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1CABD">
      <w:pPr>
        <w:jc w:val="right"/>
        <w:rPr>
          <w:rFonts w:hint="eastAsia" w:ascii="宋体" w:hAnsi="宋体" w:eastAsia="宋体" w:cs="Times New Roman"/>
          <w:b/>
          <w:bCs/>
          <w:sz w:val="28"/>
          <w:szCs w:val="28"/>
          <w:lang w:eastAsia="zh-CN"/>
        </w:rPr>
      </w:pPr>
      <w:r>
        <w:rPr>
          <w:rFonts w:hint="eastAsia" w:hAnsi="宋体"/>
          <w:b/>
          <w:sz w:val="84"/>
          <w:szCs w:val="84"/>
        </w:rPr>
        <w:drawing>
          <wp:anchor distT="0" distB="0" distL="114300" distR="114300" simplePos="0" relativeHeight="251659264" behindDoc="0" locked="0" layoutInCell="1" allowOverlap="1">
            <wp:simplePos x="0" y="0"/>
            <wp:positionH relativeFrom="column">
              <wp:posOffset>-111125</wp:posOffset>
            </wp:positionH>
            <wp:positionV relativeFrom="paragraph">
              <wp:posOffset>0</wp:posOffset>
            </wp:positionV>
            <wp:extent cx="5774690" cy="9113520"/>
            <wp:effectExtent l="0" t="0" r="16510" b="11430"/>
            <wp:wrapNone/>
            <wp:docPr id="4" name="图片 4" descr="df1847aad17045698818a9016533e2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f1847aad17045698818a9016533e2ad"/>
                    <pic:cNvPicPr>
                      <a:picLocks noChangeAspect="1"/>
                    </pic:cNvPicPr>
                  </pic:nvPicPr>
                  <pic:blipFill>
                    <a:blip r:embed="rId17"/>
                    <a:stretch>
                      <a:fillRect/>
                    </a:stretch>
                  </pic:blipFill>
                  <pic:spPr>
                    <a:xfrm>
                      <a:off x="0" y="0"/>
                      <a:ext cx="5774690" cy="9113520"/>
                    </a:xfrm>
                    <a:prstGeom prst="rect">
                      <a:avLst/>
                    </a:prstGeom>
                  </pic:spPr>
                </pic:pic>
              </a:graphicData>
            </a:graphic>
          </wp:anchor>
        </w:drawing>
      </w:r>
      <w:r>
        <w:rPr>
          <w:rFonts w:hint="eastAsia" w:ascii="黑体" w:eastAsia="黑体"/>
          <w:sz w:val="28"/>
          <w:szCs w:val="28"/>
        </w:rPr>
        <w:t>政府采购品目分类</w:t>
      </w:r>
      <w:r>
        <w:rPr>
          <w:rFonts w:hint="eastAsia" w:ascii="宋体" w:hAnsi="宋体" w:eastAsia="宋体" w:cs="Times New Roman"/>
          <w:b/>
          <w:bCs/>
          <w:sz w:val="28"/>
          <w:szCs w:val="28"/>
          <w:lang w:eastAsia="zh-CN"/>
        </w:rPr>
        <w:t>：</w:t>
      </w:r>
      <w:r>
        <w:rPr>
          <w:rFonts w:hint="eastAsia" w:ascii="宋体" w:hAnsi="宋体" w:cs="Times New Roman"/>
          <w:b/>
          <w:bCs/>
          <w:sz w:val="28"/>
          <w:szCs w:val="28"/>
          <w:lang w:val="en-US" w:eastAsia="zh-CN"/>
        </w:rPr>
        <w:t>C</w:t>
      </w:r>
    </w:p>
    <w:p w14:paraId="72E3C0F3">
      <w:pPr>
        <w:rPr>
          <w:rFonts w:hint="eastAsia" w:ascii="宋体" w:hAnsi="宋体" w:eastAsia="宋体" w:cs="宋体"/>
          <w:color w:val="auto"/>
          <w:sz w:val="32"/>
          <w:szCs w:val="32"/>
        </w:rPr>
      </w:pPr>
    </w:p>
    <w:p w14:paraId="3F93954E">
      <w:pPr>
        <w:pStyle w:val="24"/>
        <w:jc w:val="center"/>
        <w:rPr>
          <w:rFonts w:hint="eastAsia" w:hAnsi="宋体"/>
          <w:b/>
          <w:bCs/>
          <w:sz w:val="84"/>
          <w:szCs w:val="84"/>
        </w:rPr>
      </w:pPr>
      <w:r>
        <w:rPr>
          <w:rFonts w:hint="eastAsia" w:hAnsi="宋体"/>
          <w:b/>
          <w:sz w:val="84"/>
          <w:szCs w:val="84"/>
        </w:rPr>
        <w:t>政府采购</w:t>
      </w:r>
    </w:p>
    <w:p w14:paraId="1C045DEB">
      <w:pPr>
        <w:pStyle w:val="24"/>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609CC74C">
      <w:pPr>
        <w:pStyle w:val="24"/>
        <w:adjustRightInd w:val="0"/>
        <w:snapToGrid w:val="0"/>
        <w:spacing w:before="156" w:beforeLines="50" w:line="360" w:lineRule="auto"/>
        <w:ind w:left="846" w:leftChars="403" w:firstLine="102" w:firstLineChars="49"/>
        <w:rPr>
          <w:rFonts w:hint="eastAsia" w:ascii="宋体" w:hAnsi="宋体" w:eastAsia="宋体" w:cs="Courier New"/>
          <w:b/>
          <w:bCs/>
          <w:color w:val="auto"/>
          <w:kern w:val="2"/>
          <w:sz w:val="32"/>
          <w:szCs w:val="32"/>
          <w:lang w:val="en-US" w:eastAsia="zh-CN" w:bidi="ar-SA"/>
        </w:rPr>
      </w:pPr>
      <w:r>
        <w:rPr>
          <w:rFonts w:hint="eastAsia" w:hAnsi="宋体" w:cs="宋体"/>
          <w:lang w:val="en-US" w:eastAsia="zh-CN"/>
        </w:rPr>
        <w:t>.</w:t>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2253615" cy="2141220"/>
            <wp:effectExtent l="0" t="0" r="13335" b="1143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8"/>
                    <a:stretch>
                      <a:fillRect/>
                    </a:stretch>
                  </pic:blipFill>
                  <pic:spPr>
                    <a:xfrm>
                      <a:off x="0" y="0"/>
                      <a:ext cx="2253615" cy="2141220"/>
                    </a:xfrm>
                    <a:prstGeom prst="rect">
                      <a:avLst/>
                    </a:prstGeom>
                    <a:noFill/>
                    <a:ln>
                      <a:noFill/>
                    </a:ln>
                  </pic:spPr>
                </pic:pic>
              </a:graphicData>
            </a:graphic>
          </wp:inline>
        </w:drawing>
      </w:r>
    </w:p>
    <w:p w14:paraId="10ECA262">
      <w:pPr>
        <w:widowControl w:val="0"/>
        <w:autoSpaceDE w:val="0"/>
        <w:autoSpaceDN w:val="0"/>
        <w:adjustRightInd w:val="0"/>
        <w:rPr>
          <w:rFonts w:hint="eastAsia" w:ascii="黑体" w:hAnsi="Times New Roman" w:eastAsia="黑体" w:cs="Times New Roman"/>
          <w:lang w:val="en-US" w:eastAsia="zh-CN" w:bidi="ar-SA"/>
        </w:rPr>
      </w:pPr>
    </w:p>
    <w:p w14:paraId="541F9A92">
      <w:pPr>
        <w:widowControl w:val="0"/>
        <w:adjustRightInd w:val="0"/>
        <w:snapToGrid w:val="0"/>
        <w:spacing w:line="360" w:lineRule="auto"/>
        <w:ind w:left="3207" w:leftChars="456" w:hanging="2249" w:hangingChars="700"/>
        <w:jc w:val="left"/>
        <w:rPr>
          <w:rFonts w:hint="default" w:ascii="宋体" w:hAnsi="宋体" w:eastAsia="宋体" w:cs="Courier New"/>
          <w:b/>
          <w:bCs/>
          <w:color w:val="auto"/>
          <w:kern w:val="2"/>
          <w:sz w:val="28"/>
          <w:szCs w:val="28"/>
          <w:u w:val="single"/>
          <w:lang w:val="en-US" w:eastAsia="zh-CN" w:bidi="ar-SA"/>
        </w:rPr>
      </w:pPr>
      <w:r>
        <w:rPr>
          <w:rFonts w:hint="eastAsia" w:ascii="宋体" w:hAnsi="宋体" w:eastAsia="宋体" w:cs="Courier New"/>
          <w:b/>
          <w:bCs/>
          <w:color w:val="auto"/>
          <w:kern w:val="2"/>
          <w:sz w:val="32"/>
          <w:szCs w:val="32"/>
          <w:lang w:val="en-US" w:eastAsia="zh-CN" w:bidi="ar-SA"/>
        </w:rPr>
        <w:t>采购项目名称：</w:t>
      </w:r>
      <w:r>
        <w:rPr>
          <w:rFonts w:hint="eastAsia" w:ascii="宋体" w:hAnsi="宋体" w:cs="Courier New"/>
          <w:b/>
          <w:bCs/>
          <w:color w:val="auto"/>
          <w:kern w:val="2"/>
          <w:sz w:val="28"/>
          <w:szCs w:val="28"/>
          <w:u w:val="single"/>
          <w:lang w:val="en-US" w:eastAsia="zh-CN" w:bidi="ar-SA"/>
        </w:rPr>
        <w:t>岳阳县第一中学学生宿舍及教学楼建设项目（一期）代建制服务</w:t>
      </w:r>
    </w:p>
    <w:p w14:paraId="3D730F5F">
      <w:pPr>
        <w:widowControl w:val="0"/>
        <w:adjustRightInd w:val="0"/>
        <w:snapToGrid w:val="0"/>
        <w:spacing w:line="360" w:lineRule="auto"/>
        <w:ind w:firstLine="964" w:firstLineChars="300"/>
        <w:jc w:val="left"/>
        <w:rPr>
          <w:rFonts w:hint="eastAsia" w:ascii="宋体" w:hAnsi="宋体" w:eastAsia="宋体" w:cs="Courier New"/>
          <w:b/>
          <w:bCs/>
          <w:color w:val="auto"/>
          <w:kern w:val="2"/>
          <w:sz w:val="28"/>
          <w:szCs w:val="28"/>
          <w:u w:val="single"/>
          <w:lang w:val="en-US" w:eastAsia="zh-CN" w:bidi="ar-SA"/>
        </w:rPr>
      </w:pPr>
      <w:r>
        <w:rPr>
          <w:rFonts w:hint="eastAsia" w:ascii="宋体" w:hAnsi="宋体" w:eastAsia="宋体" w:cs="Courier New"/>
          <w:b/>
          <w:bCs/>
          <w:color w:val="auto"/>
          <w:kern w:val="2"/>
          <w:sz w:val="32"/>
          <w:szCs w:val="32"/>
          <w:lang w:val="en-US" w:eastAsia="zh-CN" w:bidi="ar-SA"/>
        </w:rPr>
        <w:t>采</w:t>
      </w:r>
      <w:r>
        <w:rPr>
          <w:rFonts w:ascii="宋体" w:hAnsi="宋体" w:eastAsia="宋体" w:cs="Courier New"/>
          <w:b/>
          <w:bCs/>
          <w:color w:val="auto"/>
          <w:kern w:val="2"/>
          <w:sz w:val="32"/>
          <w:szCs w:val="32"/>
          <w:lang w:val="en-US" w:eastAsia="zh-CN" w:bidi="ar-SA"/>
        </w:rPr>
        <w:t xml:space="preserve">   </w:t>
      </w:r>
      <w:r>
        <w:rPr>
          <w:rFonts w:hint="eastAsia" w:ascii="宋体" w:hAnsi="宋体" w:eastAsia="宋体" w:cs="Courier New"/>
          <w:b/>
          <w:bCs/>
          <w:color w:val="auto"/>
          <w:kern w:val="2"/>
          <w:sz w:val="32"/>
          <w:szCs w:val="32"/>
          <w:lang w:val="en-US" w:eastAsia="zh-CN" w:bidi="ar-SA"/>
        </w:rPr>
        <w:t xml:space="preserve"> 购</w:t>
      </w:r>
      <w:r>
        <w:rPr>
          <w:rFonts w:ascii="宋体" w:hAnsi="宋体" w:eastAsia="宋体" w:cs="Courier New"/>
          <w:b/>
          <w:bCs/>
          <w:color w:val="auto"/>
          <w:kern w:val="2"/>
          <w:sz w:val="32"/>
          <w:szCs w:val="32"/>
          <w:lang w:val="en-US" w:eastAsia="zh-CN" w:bidi="ar-SA"/>
        </w:rPr>
        <w:t xml:space="preserve">  </w:t>
      </w:r>
      <w:r>
        <w:rPr>
          <w:rFonts w:hint="eastAsia" w:ascii="宋体" w:hAnsi="宋体" w:eastAsia="宋体" w:cs="Courier New"/>
          <w:b/>
          <w:bCs/>
          <w:color w:val="auto"/>
          <w:kern w:val="2"/>
          <w:sz w:val="32"/>
          <w:szCs w:val="32"/>
          <w:lang w:val="en-US" w:eastAsia="zh-CN" w:bidi="ar-SA"/>
        </w:rPr>
        <w:t>人：</w:t>
      </w:r>
      <w:r>
        <w:rPr>
          <w:rFonts w:hint="eastAsia" w:ascii="宋体" w:hAnsi="宋体" w:cs="Courier New"/>
          <w:b/>
          <w:bCs/>
          <w:color w:val="auto"/>
          <w:kern w:val="2"/>
          <w:sz w:val="28"/>
          <w:szCs w:val="28"/>
          <w:u w:val="single"/>
          <w:lang w:val="en-US" w:eastAsia="zh-CN" w:bidi="ar-SA"/>
        </w:rPr>
        <w:t>岳阳县教育体育局</w:t>
      </w:r>
    </w:p>
    <w:p w14:paraId="675B8FB4">
      <w:pPr>
        <w:widowControl w:val="0"/>
        <w:adjustRightInd w:val="0"/>
        <w:snapToGrid w:val="0"/>
        <w:spacing w:line="360" w:lineRule="auto"/>
        <w:ind w:firstLine="964" w:firstLineChars="300"/>
        <w:jc w:val="left"/>
        <w:rPr>
          <w:rFonts w:hint="eastAsia" w:ascii="宋体" w:hAnsi="宋体" w:eastAsia="宋体" w:cs="Courier New"/>
          <w:b/>
          <w:bCs/>
          <w:color w:val="FF0000"/>
          <w:kern w:val="2"/>
          <w:sz w:val="28"/>
          <w:szCs w:val="28"/>
          <w:highlight w:val="none"/>
          <w:u w:val="single"/>
          <w:lang w:val="en-US" w:eastAsia="zh-CN" w:bidi="ar-SA"/>
        </w:rPr>
      </w:pPr>
      <w:r>
        <w:rPr>
          <w:rFonts w:hint="eastAsia" w:ascii="宋体" w:hAnsi="宋体" w:eastAsia="宋体" w:cs="Courier New"/>
          <w:b/>
          <w:bCs/>
          <w:color w:val="auto"/>
          <w:kern w:val="2"/>
          <w:sz w:val="32"/>
          <w:szCs w:val="32"/>
          <w:lang w:val="en-US" w:eastAsia="zh-CN" w:bidi="ar-SA"/>
        </w:rPr>
        <w:t>政府采购编号：</w:t>
      </w:r>
      <w:r>
        <w:rPr>
          <w:rFonts w:hint="eastAsia" w:ascii="宋体" w:hAnsi="宋体" w:eastAsia="宋体" w:cs="Courier New"/>
          <w:b/>
          <w:bCs/>
          <w:color w:val="auto"/>
          <w:kern w:val="2"/>
          <w:sz w:val="28"/>
          <w:szCs w:val="28"/>
          <w:u w:val="single"/>
          <w:lang w:val="en-US" w:eastAsia="zh-CN" w:bidi="ar-SA"/>
        </w:rPr>
        <w:t xml:space="preserve">                    </w:t>
      </w:r>
    </w:p>
    <w:p w14:paraId="5D2DEB9A">
      <w:pPr>
        <w:widowControl w:val="0"/>
        <w:adjustRightInd w:val="0"/>
        <w:snapToGrid w:val="0"/>
        <w:spacing w:line="360" w:lineRule="auto"/>
        <w:ind w:firstLine="964" w:firstLineChars="300"/>
        <w:jc w:val="left"/>
        <w:rPr>
          <w:rFonts w:hint="eastAsia" w:ascii="宋体" w:hAnsi="宋体" w:eastAsia="宋体" w:cs="Courier New"/>
          <w:b/>
          <w:bCs/>
          <w:color w:val="FF0000"/>
          <w:kern w:val="2"/>
          <w:sz w:val="28"/>
          <w:szCs w:val="28"/>
          <w:highlight w:val="none"/>
          <w:u w:val="single"/>
          <w:lang w:val="en-US" w:eastAsia="zh-CN" w:bidi="ar-SA"/>
        </w:rPr>
      </w:pPr>
      <w:r>
        <w:rPr>
          <w:rFonts w:hint="eastAsia" w:ascii="宋体" w:hAnsi="宋体" w:eastAsia="宋体" w:cs="Courier New"/>
          <w:b/>
          <w:bCs/>
          <w:color w:val="auto"/>
          <w:kern w:val="2"/>
          <w:sz w:val="32"/>
          <w:szCs w:val="32"/>
          <w:highlight w:val="none"/>
          <w:lang w:val="en-US" w:eastAsia="zh-CN" w:bidi="ar-SA"/>
        </w:rPr>
        <w:t>采购项目编号：</w:t>
      </w:r>
      <w:r>
        <w:rPr>
          <w:rFonts w:hint="eastAsia" w:ascii="宋体" w:hAnsi="宋体" w:eastAsia="宋体" w:cs="Courier New"/>
          <w:b/>
          <w:bCs/>
          <w:color w:val="auto"/>
          <w:kern w:val="2"/>
          <w:sz w:val="28"/>
          <w:szCs w:val="28"/>
          <w:u w:val="single"/>
          <w:lang w:val="en-US" w:eastAsia="zh-CN" w:bidi="ar-SA"/>
        </w:rPr>
        <w:t xml:space="preserve">                    </w:t>
      </w:r>
    </w:p>
    <w:p w14:paraId="46BD7238">
      <w:pPr>
        <w:widowControl w:val="0"/>
        <w:adjustRightInd w:val="0"/>
        <w:snapToGrid w:val="0"/>
        <w:spacing w:line="360" w:lineRule="auto"/>
        <w:ind w:firstLine="964" w:firstLineChars="300"/>
        <w:jc w:val="left"/>
        <w:rPr>
          <w:rFonts w:hint="default" w:ascii="宋体" w:hAnsi="宋体" w:eastAsia="宋体" w:cs="Courier New"/>
          <w:b/>
          <w:bCs/>
          <w:color w:val="auto"/>
          <w:kern w:val="2"/>
          <w:sz w:val="28"/>
          <w:szCs w:val="28"/>
          <w:u w:val="single"/>
          <w:lang w:val="en-US" w:eastAsia="zh-CN" w:bidi="ar-SA"/>
        </w:rPr>
      </w:pPr>
      <w:r>
        <w:rPr>
          <w:rFonts w:hint="eastAsia" w:ascii="宋体" w:hAnsi="宋体" w:eastAsia="宋体" w:cs="Courier New"/>
          <w:b/>
          <w:bCs/>
          <w:color w:val="auto"/>
          <w:kern w:val="2"/>
          <w:sz w:val="32"/>
          <w:szCs w:val="32"/>
          <w:lang w:val="en-US" w:eastAsia="zh-CN" w:bidi="ar-SA"/>
        </w:rPr>
        <w:t>采购代理机</w:t>
      </w:r>
      <w:r>
        <w:rPr>
          <w:rFonts w:hint="eastAsia" w:ascii="宋体" w:hAnsi="宋体" w:eastAsia="宋体" w:cs="Courier New"/>
          <w:b/>
          <w:bCs/>
          <w:color w:val="000000" w:themeColor="text1"/>
          <w:kern w:val="2"/>
          <w:sz w:val="32"/>
          <w:szCs w:val="32"/>
          <w:lang w:val="en-US" w:eastAsia="zh-CN" w:bidi="ar-SA"/>
          <w14:textFill>
            <w14:solidFill>
              <w14:schemeClr w14:val="tx1"/>
            </w14:solidFill>
          </w14:textFill>
        </w:rPr>
        <w:t>构：</w:t>
      </w:r>
      <w:r>
        <w:rPr>
          <w:rFonts w:hint="eastAsia" w:ascii="宋体" w:hAnsi="宋体" w:cs="Courier New"/>
          <w:b/>
          <w:bCs/>
          <w:color w:val="000000" w:themeColor="text1"/>
          <w:kern w:val="2"/>
          <w:sz w:val="28"/>
          <w:szCs w:val="28"/>
          <w:u w:val="single"/>
          <w:lang w:val="en-US" w:eastAsia="zh-CN" w:bidi="ar-SA"/>
          <w14:textFill>
            <w14:solidFill>
              <w14:schemeClr w14:val="tx1"/>
            </w14:solidFill>
          </w14:textFill>
        </w:rPr>
        <w:t>湖南湘建智科工程技术有限公司</w:t>
      </w:r>
    </w:p>
    <w:p w14:paraId="45515A7C">
      <w:pPr>
        <w:widowControl w:val="0"/>
        <w:adjustRightInd w:val="0"/>
        <w:snapToGrid w:val="0"/>
        <w:spacing w:line="360" w:lineRule="auto"/>
        <w:jc w:val="both"/>
        <w:rPr>
          <w:rFonts w:hint="eastAsia" w:ascii="宋体" w:hAnsi="宋体" w:eastAsia="宋体" w:cs="宋体"/>
          <w:color w:val="auto"/>
          <w:kern w:val="2"/>
          <w:sz w:val="32"/>
          <w:szCs w:val="32"/>
          <w:lang w:val="en-US" w:eastAsia="zh-CN" w:bidi="ar-SA"/>
        </w:rPr>
      </w:pPr>
    </w:p>
    <w:p w14:paraId="7CA60F54">
      <w:pPr>
        <w:widowControl w:val="0"/>
        <w:autoSpaceDE w:val="0"/>
        <w:autoSpaceDN w:val="0"/>
        <w:adjustRightInd w:val="0"/>
        <w:rPr>
          <w:rFonts w:hint="eastAsia" w:ascii="黑体" w:hAnsi="Times New Roman" w:eastAsia="黑体" w:cs="Times New Roman"/>
          <w:lang w:val="en-US" w:eastAsia="zh-CN" w:bidi="ar-SA"/>
        </w:rPr>
      </w:pPr>
    </w:p>
    <w:p w14:paraId="325194BC">
      <w:pPr>
        <w:widowControl w:val="0"/>
        <w:adjustRightInd w:val="0"/>
        <w:snapToGrid w:val="0"/>
        <w:spacing w:line="360" w:lineRule="auto"/>
        <w:jc w:val="center"/>
        <w:rPr>
          <w:rFonts w:hint="eastAsia" w:ascii="宋体" w:hAnsi="宋体" w:eastAsia="宋体" w:cs="宋体"/>
          <w:b/>
          <w:color w:val="auto"/>
          <w:kern w:val="2"/>
          <w:sz w:val="32"/>
          <w:szCs w:val="21"/>
          <w:lang w:val="en-US" w:eastAsia="zh-CN" w:bidi="ar-SA"/>
        </w:rPr>
      </w:pPr>
      <w:r>
        <w:rPr>
          <w:rFonts w:hint="eastAsia" w:ascii="宋体" w:hAnsi="宋体" w:eastAsia="宋体" w:cs="宋体"/>
          <w:b/>
          <w:color w:val="auto"/>
          <w:kern w:val="2"/>
          <w:sz w:val="32"/>
          <w:szCs w:val="21"/>
          <w:lang w:val="en-US" w:eastAsia="zh-CN" w:bidi="ar-SA"/>
        </w:rPr>
        <w:t>二零二六年</w:t>
      </w:r>
      <w:r>
        <w:rPr>
          <w:rFonts w:hint="eastAsia" w:ascii="宋体" w:hAnsi="宋体" w:cs="宋体"/>
          <w:b/>
          <w:color w:val="auto"/>
          <w:kern w:val="2"/>
          <w:sz w:val="32"/>
          <w:szCs w:val="21"/>
          <w:lang w:val="en-US" w:eastAsia="zh-CN" w:bidi="ar-SA"/>
        </w:rPr>
        <w:t>九</w:t>
      </w:r>
      <w:r>
        <w:rPr>
          <w:rFonts w:hint="eastAsia" w:ascii="宋体" w:hAnsi="宋体" w:eastAsia="宋体" w:cs="宋体"/>
          <w:b/>
          <w:color w:val="auto"/>
          <w:kern w:val="2"/>
          <w:sz w:val="32"/>
          <w:szCs w:val="21"/>
          <w:lang w:val="en-US" w:eastAsia="zh-CN" w:bidi="ar-SA"/>
        </w:rPr>
        <w:t>月</w:t>
      </w:r>
    </w:p>
    <w:p w14:paraId="16D928A5">
      <w:pPr>
        <w:pStyle w:val="24"/>
        <w:adjustRightInd w:val="0"/>
        <w:snapToGrid w:val="0"/>
        <w:spacing w:line="360" w:lineRule="auto"/>
        <w:jc w:val="center"/>
        <w:rPr>
          <w:rFonts w:hint="eastAsia" w:ascii="宋体" w:hAnsi="宋体" w:eastAsia="宋体" w:cs="宋体"/>
          <w:b/>
          <w:bCs/>
          <w:color w:val="auto"/>
          <w:spacing w:val="160"/>
          <w:sz w:val="36"/>
          <w:szCs w:val="36"/>
        </w:rPr>
        <w:sectPr>
          <w:headerReference r:id="rId4" w:type="first"/>
          <w:footerReference r:id="rId7" w:type="first"/>
          <w:headerReference r:id="rId3" w:type="default"/>
          <w:footerReference r:id="rId5" w:type="default"/>
          <w:footerReference r:id="rId6" w:type="even"/>
          <w:pgSz w:w="11906" w:h="16838"/>
          <w:pgMar w:top="1388" w:right="1531" w:bottom="1440" w:left="1531" w:header="871" w:footer="737" w:gutter="0"/>
          <w:pgNumType w:fmt="decimal"/>
          <w:cols w:space="720" w:num="1"/>
          <w:docGrid w:type="lines" w:linePitch="312" w:charSpace="0"/>
        </w:sectPr>
      </w:pPr>
    </w:p>
    <w:p w14:paraId="4125B8FA">
      <w:pPr>
        <w:pStyle w:val="24"/>
        <w:adjustRightInd w:val="0"/>
        <w:snapToGrid w:val="0"/>
        <w:spacing w:line="360" w:lineRule="auto"/>
        <w:jc w:val="center"/>
        <w:rPr>
          <w:rFonts w:hint="eastAsia" w:ascii="宋体" w:hAnsi="宋体" w:eastAsia="宋体" w:cs="宋体"/>
          <w:b/>
          <w:bCs/>
          <w:color w:val="auto"/>
          <w:spacing w:val="160"/>
          <w:sz w:val="36"/>
          <w:szCs w:val="36"/>
        </w:rPr>
      </w:pPr>
      <w:r>
        <w:rPr>
          <w:rFonts w:hint="eastAsia" w:ascii="宋体" w:hAnsi="宋体" w:eastAsia="宋体" w:cs="宋体"/>
          <w:b/>
          <w:bCs/>
          <w:color w:val="auto"/>
          <w:spacing w:val="160"/>
          <w:sz w:val="36"/>
          <w:szCs w:val="36"/>
        </w:rPr>
        <w:t>目录</w:t>
      </w:r>
    </w:p>
    <w:p w14:paraId="7DE2BA62">
      <w:pPr>
        <w:pStyle w:val="24"/>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第一章  磋商邀请</w:t>
      </w:r>
    </w:p>
    <w:p w14:paraId="29FB4070">
      <w:pPr>
        <w:pStyle w:val="24"/>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第二章  磋商须知</w:t>
      </w:r>
    </w:p>
    <w:p w14:paraId="0FF4E41C">
      <w:pPr>
        <w:tabs>
          <w:tab w:val="left" w:pos="1440"/>
        </w:tabs>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磋商须知前附表</w:t>
      </w:r>
    </w:p>
    <w:p w14:paraId="3256823C">
      <w:pPr>
        <w:tabs>
          <w:tab w:val="left" w:pos="1440"/>
        </w:tabs>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磋商须知正文</w:t>
      </w:r>
    </w:p>
    <w:p w14:paraId="76004C4D">
      <w:pPr>
        <w:tabs>
          <w:tab w:val="left" w:pos="1440"/>
        </w:tabs>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一、说明</w:t>
      </w:r>
    </w:p>
    <w:p w14:paraId="4729CF7B">
      <w:pPr>
        <w:tabs>
          <w:tab w:val="left" w:pos="1440"/>
        </w:tabs>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bCs/>
          <w:color w:val="auto"/>
          <w:szCs w:val="21"/>
        </w:rPr>
        <w:t>磋商</w:t>
      </w:r>
      <w:r>
        <w:rPr>
          <w:rFonts w:hint="eastAsia" w:ascii="宋体" w:hAnsi="宋体" w:eastAsia="宋体" w:cs="宋体"/>
          <w:color w:val="auto"/>
          <w:szCs w:val="21"/>
        </w:rPr>
        <w:t>文件</w:t>
      </w:r>
    </w:p>
    <w:p w14:paraId="4A186225">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三、响应文件</w:t>
      </w:r>
    </w:p>
    <w:p w14:paraId="4059ABEC">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四、响应文件的递交</w:t>
      </w:r>
    </w:p>
    <w:p w14:paraId="5344511A">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bCs/>
          <w:color w:val="auto"/>
          <w:szCs w:val="21"/>
        </w:rPr>
        <w:t>五、</w:t>
      </w:r>
      <w:r>
        <w:rPr>
          <w:rFonts w:hint="eastAsia" w:ascii="宋体" w:hAnsi="宋体" w:eastAsia="宋体" w:cs="宋体"/>
          <w:color w:val="auto"/>
          <w:szCs w:val="21"/>
        </w:rPr>
        <w:t>响应文件</w:t>
      </w:r>
      <w:r>
        <w:rPr>
          <w:rFonts w:hint="eastAsia" w:ascii="宋体" w:hAnsi="宋体" w:eastAsia="宋体" w:cs="宋体"/>
          <w:bCs/>
          <w:color w:val="auto"/>
          <w:szCs w:val="21"/>
        </w:rPr>
        <w:t>的</w:t>
      </w:r>
      <w:r>
        <w:rPr>
          <w:rFonts w:hint="eastAsia" w:ascii="宋体" w:hAnsi="宋体" w:eastAsia="宋体" w:cs="宋体"/>
          <w:color w:val="auto"/>
          <w:szCs w:val="21"/>
        </w:rPr>
        <w:t>磋商与评审</w:t>
      </w:r>
    </w:p>
    <w:p w14:paraId="71F59220">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六、成交结果信息公布与授予合同</w:t>
      </w:r>
    </w:p>
    <w:p w14:paraId="48172760">
      <w:pPr>
        <w:adjustRightInd w:val="0"/>
        <w:snapToGrid w:val="0"/>
        <w:spacing w:line="360" w:lineRule="auto"/>
        <w:ind w:firstLine="630" w:firstLineChars="300"/>
        <w:jc w:val="left"/>
        <w:rPr>
          <w:rFonts w:hint="eastAsia" w:ascii="宋体" w:hAnsi="宋体" w:eastAsia="宋体" w:cs="宋体"/>
          <w:color w:val="auto"/>
          <w:szCs w:val="21"/>
        </w:rPr>
      </w:pPr>
      <w:r>
        <w:rPr>
          <w:rFonts w:hint="eastAsia" w:ascii="宋体" w:hAnsi="宋体" w:eastAsia="宋体" w:cs="宋体"/>
          <w:color w:val="auto"/>
          <w:szCs w:val="21"/>
        </w:rPr>
        <w:t>七、其他规定</w:t>
      </w:r>
    </w:p>
    <w:p w14:paraId="41EF1329">
      <w:pPr>
        <w:adjustRightInd w:val="0"/>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第三章  政府采购合同格式</w:t>
      </w:r>
    </w:p>
    <w:p w14:paraId="36E9FFFA">
      <w:pPr>
        <w:adjustRightInd w:val="0"/>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第四章  采购需求</w:t>
      </w:r>
    </w:p>
    <w:p w14:paraId="32E66F7D">
      <w:pPr>
        <w:pStyle w:val="24"/>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第五章  </w:t>
      </w:r>
      <w:r>
        <w:rPr>
          <w:rFonts w:hint="eastAsia" w:ascii="宋体" w:hAnsi="宋体" w:eastAsia="宋体" w:cs="宋体"/>
          <w:b/>
          <w:color w:val="auto"/>
          <w:sz w:val="24"/>
        </w:rPr>
        <w:t>响应文件组成</w:t>
      </w:r>
    </w:p>
    <w:p w14:paraId="58ACC0DA">
      <w:pPr>
        <w:spacing w:line="360" w:lineRule="exact"/>
        <w:rPr>
          <w:rFonts w:hint="eastAsia" w:ascii="宋体" w:hAnsi="宋体" w:eastAsia="宋体" w:cs="宋体"/>
          <w:b/>
          <w:color w:val="auto"/>
          <w:sz w:val="24"/>
        </w:rPr>
      </w:pPr>
    </w:p>
    <w:p w14:paraId="00C062A4">
      <w:pPr>
        <w:jc w:val="center"/>
        <w:rPr>
          <w:rFonts w:hint="eastAsia" w:ascii="宋体" w:hAnsi="宋体" w:eastAsia="宋体" w:cs="宋体"/>
          <w:color w:val="auto"/>
          <w:sz w:val="32"/>
          <w:szCs w:val="32"/>
        </w:rPr>
      </w:pPr>
    </w:p>
    <w:p w14:paraId="5A519682">
      <w:pPr>
        <w:numPr>
          <w:ilvl w:val="0"/>
          <w:numId w:val="1"/>
        </w:numPr>
        <w:jc w:val="center"/>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r>
        <w:rPr>
          <w:rFonts w:hint="eastAsia" w:ascii="宋体" w:hAnsi="宋体" w:eastAsia="宋体" w:cs="宋体"/>
          <w:b/>
          <w:color w:val="auto"/>
          <w:sz w:val="32"/>
          <w:szCs w:val="32"/>
        </w:rPr>
        <w:t xml:space="preserve"> 磋商邀请</w:t>
      </w:r>
    </w:p>
    <w:p w14:paraId="4F60E0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岳阳县教育体育局的岳阳县第一中学学生宿舍及教学楼建设项目（一期）代建制服务</w:t>
      </w:r>
      <w:r>
        <w:rPr>
          <w:rFonts w:hint="eastAsia" w:ascii="宋体" w:hAnsi="宋体" w:eastAsia="宋体" w:cs="宋体"/>
          <w:kern w:val="0"/>
          <w:sz w:val="21"/>
          <w:szCs w:val="21"/>
          <w:lang w:val="en-US" w:eastAsia="zh-CN" w:bidi="ar"/>
        </w:rPr>
        <w:t xml:space="preserve">进行采购，现邀请合格投标人参加投标。 </w:t>
      </w:r>
    </w:p>
    <w:p w14:paraId="0098DB0C">
      <w:pPr>
        <w:pStyle w:val="5"/>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一、采购项目基本信息</w:t>
      </w:r>
    </w:p>
    <w:p w14:paraId="11083D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1、采购项目名称：</w:t>
      </w:r>
      <w:r>
        <w:rPr>
          <w:rFonts w:hint="eastAsia" w:ascii="宋体" w:hAnsi="宋体" w:cs="宋体"/>
          <w:kern w:val="0"/>
          <w:sz w:val="21"/>
          <w:szCs w:val="21"/>
          <w:lang w:val="en-US" w:eastAsia="zh-CN" w:bidi="ar"/>
        </w:rPr>
        <w:t>岳阳县第一中学学生宿舍及教学楼建设项目（一期）代建制服务</w:t>
      </w:r>
      <w:r>
        <w:rPr>
          <w:rFonts w:hint="eastAsia" w:ascii="宋体" w:hAnsi="宋体" w:eastAsia="宋体" w:cs="宋体"/>
          <w:kern w:val="0"/>
          <w:sz w:val="21"/>
          <w:szCs w:val="21"/>
          <w:lang w:val="en-US" w:eastAsia="zh-CN" w:bidi="ar"/>
        </w:rPr>
        <w:t xml:space="preserve"> </w:t>
      </w:r>
    </w:p>
    <w:p w14:paraId="079A58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2、采购项目编号：CGXM2026430621000074</w:t>
      </w:r>
    </w:p>
    <w:p w14:paraId="0B49C9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3、采购计划编号：(2026)430621000055-1</w:t>
      </w:r>
    </w:p>
    <w:p w14:paraId="1566D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kern w:val="0"/>
          <w:sz w:val="21"/>
          <w:szCs w:val="21"/>
          <w:lang w:val="en-US" w:eastAsia="zh-CN" w:bidi="ar"/>
        </w:rPr>
        <w:t>4、采购项目预算：</w:t>
      </w:r>
      <w:r>
        <w:rPr>
          <w:rFonts w:hint="eastAsia" w:ascii="宋体" w:hAnsi="宋体" w:cs="宋体"/>
          <w:color w:val="auto"/>
          <w:kern w:val="0"/>
          <w:sz w:val="21"/>
          <w:szCs w:val="21"/>
          <w:highlight w:val="none"/>
          <w:u w:val="none"/>
          <w:lang w:val="en-US" w:eastAsia="zh-CN" w:bidi="ar"/>
        </w:rPr>
        <w:t>951200.00</w:t>
      </w:r>
      <w:r>
        <w:rPr>
          <w:rFonts w:hint="eastAsia" w:ascii="宋体" w:hAnsi="宋体" w:eastAsia="宋体" w:cs="宋体"/>
          <w:color w:val="auto"/>
          <w:kern w:val="0"/>
          <w:sz w:val="21"/>
          <w:szCs w:val="21"/>
          <w:u w:val="none"/>
          <w:lang w:val="en-US" w:eastAsia="zh-CN" w:bidi="ar"/>
        </w:rPr>
        <w:t xml:space="preserve">元 </w:t>
      </w:r>
    </w:p>
    <w:p w14:paraId="40452F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支持预付款，预付比例：</w:t>
      </w:r>
      <w:r>
        <w:rPr>
          <w:rFonts w:hint="eastAsia" w:ascii="宋体" w:hAnsi="宋体" w:eastAsia="宋体" w:cs="宋体"/>
          <w:kern w:val="0"/>
          <w:sz w:val="21"/>
          <w:szCs w:val="21"/>
          <w:u w:val="single"/>
          <w:lang w:val="en-US" w:eastAsia="zh-CN" w:bidi="ar"/>
        </w:rPr>
        <w:t>/%</w:t>
      </w:r>
      <w:r>
        <w:rPr>
          <w:rFonts w:hint="eastAsia" w:ascii="宋体" w:hAnsi="宋体" w:eastAsia="宋体" w:cs="宋体"/>
          <w:kern w:val="0"/>
          <w:sz w:val="21"/>
          <w:szCs w:val="21"/>
          <w:lang w:val="en-US" w:eastAsia="zh-CN" w:bidi="ar"/>
        </w:rPr>
        <w:t xml:space="preserve"> </w:t>
      </w:r>
    </w:p>
    <w:p w14:paraId="55EDAE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5、本项目对应的中小企业划分标准所属行业</w:t>
      </w:r>
      <w:r>
        <w:rPr>
          <w:rFonts w:hint="eastAsia" w:ascii="宋体" w:hAnsi="宋体" w:eastAsia="宋体" w:cs="宋体"/>
          <w:kern w:val="0"/>
          <w:sz w:val="21"/>
          <w:szCs w:val="21"/>
          <w:highlight w:val="none"/>
          <w:lang w:val="en-US" w:eastAsia="zh-CN" w:bidi="ar"/>
        </w:rPr>
        <w:t>：其他未列明行业</w:t>
      </w:r>
    </w:p>
    <w:p w14:paraId="77E657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6、评标方法：</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最低价法 </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 xml:space="preserve">综合评分法 </w:t>
      </w:r>
    </w:p>
    <w:p w14:paraId="3EC82C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7、合同定价方式： </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 xml:space="preserve">固定总价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固定单价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成本补偿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绩效激励 </w:t>
      </w:r>
    </w:p>
    <w:p w14:paraId="5B9289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8、合同履行期</w:t>
      </w:r>
      <w:r>
        <w:rPr>
          <w:rFonts w:hint="eastAsia" w:ascii="宋体" w:hAnsi="宋体" w:eastAsia="宋体" w:cs="宋体"/>
          <w:color w:val="auto"/>
          <w:kern w:val="0"/>
          <w:sz w:val="21"/>
          <w:szCs w:val="21"/>
          <w:lang w:val="en-US" w:eastAsia="zh-CN" w:bidi="ar"/>
        </w:rPr>
        <w:t>限：</w:t>
      </w:r>
      <w:r>
        <w:rPr>
          <w:spacing w:val="-2"/>
        </w:rPr>
        <w:t>代建周期为合同生效起到实体移交手续完成止。其中合同生效之日起至工</w:t>
      </w:r>
      <w:r>
        <w:rPr>
          <w:spacing w:val="-3"/>
        </w:rPr>
        <w:t>程竣工验收合格之日止为</w:t>
      </w:r>
      <w:r>
        <w:rPr>
          <w:spacing w:val="-46"/>
        </w:rPr>
        <w:t xml:space="preserve"> </w:t>
      </w:r>
      <w:r>
        <w:rPr>
          <w:rFonts w:hint="eastAsia" w:eastAsia="宋体" w:cs="Times New Roman"/>
          <w:color w:val="0000FF"/>
          <w:spacing w:val="-3"/>
          <w:lang w:eastAsia="zh-CN"/>
        </w:rPr>
        <w:t>425日</w:t>
      </w:r>
      <w:r>
        <w:rPr>
          <w:spacing w:val="-3"/>
        </w:rPr>
        <w:t>；竣工验收合格后</w:t>
      </w:r>
      <w:r>
        <w:rPr>
          <w:spacing w:val="-46"/>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4"/>
        </w:rPr>
        <w:t>0</w:t>
      </w:r>
      <w:r>
        <w:rPr>
          <w:spacing w:val="-3"/>
        </w:rPr>
        <w:t>日内</w:t>
      </w:r>
      <w:r>
        <w:rPr>
          <w:spacing w:val="-4"/>
        </w:rPr>
        <w:t>向财政部门申</w:t>
      </w:r>
      <w:r>
        <w:rPr>
          <w:spacing w:val="-1"/>
        </w:rPr>
        <w:t>请办理工程结算审批事宜，并按合同约定向使用单位办理实体移</w:t>
      </w:r>
      <w:r>
        <w:rPr>
          <w:spacing w:val="-2"/>
        </w:rPr>
        <w:t>交手续。</w:t>
      </w:r>
    </w:p>
    <w:p w14:paraId="5CA41C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9、本项目分阶段要求投标人提供以下保证：</w:t>
      </w:r>
    </w:p>
    <w:p w14:paraId="38AF89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投标保证金：采购项目预算的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0"/>
          <w:sz w:val="21"/>
          <w:szCs w:val="21"/>
          <w:lang w:val="en-US" w:eastAsia="zh-CN" w:bidi="ar"/>
        </w:rPr>
        <w:t xml:space="preserve">%； </w:t>
      </w:r>
    </w:p>
    <w:p w14:paraId="03AEF1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履约保证金：中标金额的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0"/>
          <w:sz w:val="21"/>
          <w:szCs w:val="21"/>
          <w:lang w:val="en-US" w:eastAsia="zh-CN" w:bidi="ar"/>
        </w:rPr>
        <w:t xml:space="preserve">%； </w:t>
      </w:r>
    </w:p>
    <w:p w14:paraId="37CFF2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质量保证金：合同金额的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0"/>
          <w:sz w:val="21"/>
          <w:szCs w:val="21"/>
          <w:lang w:val="en-US" w:eastAsia="zh-CN" w:bidi="ar"/>
        </w:rPr>
        <w:t xml:space="preserve">%； </w:t>
      </w:r>
    </w:p>
    <w:p w14:paraId="5F0E9521">
      <w:pPr>
        <w:pStyle w:val="5"/>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sz w:val="21"/>
          <w:szCs w:val="21"/>
        </w:rPr>
      </w:pPr>
      <w:r>
        <w:rPr>
          <w:rFonts w:hint="eastAsia" w:ascii="宋体" w:hAnsi="宋体" w:eastAsia="宋体" w:cs="宋体"/>
          <w:sz w:val="21"/>
          <w:szCs w:val="21"/>
        </w:rPr>
        <w:t>二、采购人的采购需求</w:t>
      </w:r>
    </w:p>
    <w:tbl>
      <w:tblPr>
        <w:tblStyle w:val="43"/>
        <w:tblW w:w="9705" w:type="dxa"/>
        <w:tblCellSpacing w:w="0" w:type="dxa"/>
        <w:tblInd w:w="-333"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77"/>
        <w:gridCol w:w="1091"/>
        <w:gridCol w:w="1732"/>
        <w:gridCol w:w="2618"/>
        <w:gridCol w:w="1077"/>
        <w:gridCol w:w="1159"/>
        <w:gridCol w:w="627"/>
        <w:gridCol w:w="624"/>
      </w:tblGrid>
      <w:tr w14:paraId="75988864">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rHeight w:val="1116" w:hRule="atLeast"/>
          <w:tblCellSpacing w:w="0" w:type="dxa"/>
        </w:trPr>
        <w:tc>
          <w:tcPr>
            <w:tcW w:w="777"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3CC72BD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1091"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4A92DBE">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最高限价</w:t>
            </w:r>
          </w:p>
          <w:p w14:paraId="635E50AF">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1732"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DBAA9CE">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2618"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6A9B25FA">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简要技术要求</w:t>
            </w:r>
          </w:p>
        </w:tc>
        <w:tc>
          <w:tcPr>
            <w:tcW w:w="1077"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6CD29A56">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1159"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538CC03">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标的预算</w:t>
            </w:r>
          </w:p>
          <w:p w14:paraId="5C6F4090">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627"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17EF6F46">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节能产品</w:t>
            </w:r>
          </w:p>
        </w:tc>
        <w:tc>
          <w:tcPr>
            <w:tcW w:w="624"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E0A243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进口产品</w:t>
            </w:r>
          </w:p>
        </w:tc>
      </w:tr>
      <w:tr w14:paraId="562F4BDE">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trPr>
        <w:tc>
          <w:tcPr>
            <w:tcW w:w="777" w:type="dxa"/>
            <w:tcBorders>
              <w:top w:val="single" w:color="D5D5D5" w:sz="6" w:space="0"/>
              <w:left w:val="single" w:color="D5D5D5" w:sz="6" w:space="0"/>
              <w:bottom w:val="single" w:color="D5D5D5" w:sz="6" w:space="0"/>
              <w:right w:val="single" w:color="D5D5D5" w:sz="6" w:space="0"/>
            </w:tcBorders>
            <w:shd w:val="clear" w:color="auto" w:fill="auto"/>
            <w:vAlign w:val="center"/>
          </w:tcPr>
          <w:p w14:paraId="3D26B446">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center"/>
              <w:textAlignment w:val="auto"/>
              <w:rPr>
                <w:rFonts w:hint="eastAsia" w:ascii="宋体" w:hAnsi="宋体" w:eastAsia="宋体" w:cs="宋体"/>
                <w:b w:val="0"/>
                <w:bCs w:val="0"/>
                <w:color w:val="000000" w:themeColor="text1"/>
                <w:sz w:val="20"/>
                <w:szCs w:val="20"/>
                <w:highlight w:val="none"/>
                <w:lang w:val="en-US" w:eastAsia="zh-CN"/>
                <w14:textFill>
                  <w14:solidFill>
                    <w14:schemeClr w14:val="tx1"/>
                  </w14:solidFill>
                </w14:textFill>
              </w:rPr>
            </w:pPr>
            <w:r>
              <w:rPr>
                <w:rFonts w:hint="eastAsia" w:ascii="宋体" w:hAnsi="宋体" w:eastAsia="宋体" w:cs="宋体"/>
                <w:b w:val="0"/>
                <w:bCs w:val="0"/>
                <w:color w:val="000000" w:themeColor="text1"/>
                <w:sz w:val="20"/>
                <w:szCs w:val="20"/>
                <w:highlight w:val="none"/>
                <w:lang w:val="en-US" w:eastAsia="zh-CN"/>
                <w14:textFill>
                  <w14:solidFill>
                    <w14:schemeClr w14:val="tx1"/>
                  </w14:solidFill>
                </w14:textFill>
              </w:rPr>
              <w:t>包1</w:t>
            </w:r>
          </w:p>
        </w:tc>
        <w:tc>
          <w:tcPr>
            <w:tcW w:w="1091" w:type="dxa"/>
            <w:tcBorders>
              <w:top w:val="single" w:color="D5D5D5" w:sz="6" w:space="0"/>
              <w:left w:val="single" w:color="D5D5D5" w:sz="6" w:space="0"/>
              <w:bottom w:val="single" w:color="D5D5D5" w:sz="6" w:space="0"/>
              <w:right w:val="single" w:color="D5D5D5" w:sz="6" w:space="0"/>
            </w:tcBorders>
            <w:shd w:val="clear" w:color="auto" w:fill="auto"/>
            <w:vAlign w:val="center"/>
          </w:tcPr>
          <w:p w14:paraId="0636155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val="0"/>
                <w:bCs w:val="0"/>
                <w:color w:val="000000" w:themeColor="text1"/>
                <w:sz w:val="21"/>
                <w:szCs w:val="21"/>
                <w:highlight w:val="none"/>
                <w:lang w:val="en-US"/>
                <w14:textFill>
                  <w14:solidFill>
                    <w14:schemeClr w14:val="tx1"/>
                  </w14:solidFill>
                </w14:textFill>
              </w:rPr>
            </w:pPr>
            <w:r>
              <w:rPr>
                <w:rFonts w:hint="eastAsia" w:ascii="宋体" w:hAnsi="宋体" w:cs="宋体"/>
                <w:b w:val="0"/>
                <w:bCs w:val="0"/>
                <w:color w:val="000000" w:themeColor="text1"/>
                <w:kern w:val="0"/>
                <w:sz w:val="21"/>
                <w:szCs w:val="21"/>
                <w:highlight w:val="none"/>
                <w:u w:val="none"/>
                <w:lang w:val="en-US" w:eastAsia="zh-CN" w:bidi="ar"/>
                <w14:textFill>
                  <w14:solidFill>
                    <w14:schemeClr w14:val="tx1"/>
                  </w14:solidFill>
                </w14:textFill>
              </w:rPr>
              <w:t>951200.00</w:t>
            </w:r>
          </w:p>
        </w:tc>
        <w:tc>
          <w:tcPr>
            <w:tcW w:w="1732" w:type="dxa"/>
            <w:tcBorders>
              <w:top w:val="single" w:color="D5D5D5" w:sz="6" w:space="0"/>
              <w:left w:val="single" w:color="D5D5D5" w:sz="6" w:space="0"/>
              <w:bottom w:val="single" w:color="D5D5D5" w:sz="6" w:space="0"/>
              <w:right w:val="single" w:color="D5D5D5" w:sz="6" w:space="0"/>
            </w:tcBorders>
            <w:shd w:val="clear" w:color="auto" w:fill="auto"/>
            <w:vAlign w:val="center"/>
          </w:tcPr>
          <w:p w14:paraId="45B30074">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left"/>
              <w:textAlignment w:val="auto"/>
              <w:rPr>
                <w:rFonts w:hint="eastAsia" w:ascii="宋体" w:hAnsi="宋体" w:eastAsia="宋体" w:cs="宋体"/>
                <w:b w:val="0"/>
                <w:bCs w:val="0"/>
                <w:color w:val="000000" w:themeColor="text1"/>
                <w:sz w:val="20"/>
                <w:szCs w:val="20"/>
                <w:highlight w:val="none"/>
                <w:lang w:val="en-US" w:eastAsia="zh-CN"/>
                <w14:textFill>
                  <w14:solidFill>
                    <w14:schemeClr w14:val="tx1"/>
                  </w14:solidFill>
                </w14:textFill>
              </w:rPr>
            </w:pPr>
            <w:r>
              <w:rPr>
                <w:rFonts w:hint="eastAsia" w:ascii="宋体" w:hAnsi="宋体" w:cs="宋体"/>
                <w:b w:val="0"/>
                <w:bCs w:val="0"/>
                <w:color w:val="000000" w:themeColor="text1"/>
                <w:sz w:val="20"/>
                <w:szCs w:val="20"/>
                <w:highlight w:val="none"/>
                <w:lang w:val="en-US" w:eastAsia="zh-CN"/>
                <w14:textFill>
                  <w14:solidFill>
                    <w14:schemeClr w14:val="tx1"/>
                  </w14:solidFill>
                </w14:textFill>
              </w:rPr>
              <w:t>岳阳县第一中学学生宿舍及教学楼建设项目（一期）代建制服务</w:t>
            </w:r>
          </w:p>
        </w:tc>
        <w:tc>
          <w:tcPr>
            <w:tcW w:w="2618" w:type="dxa"/>
            <w:tcBorders>
              <w:top w:val="single" w:color="D5D5D5" w:sz="6" w:space="0"/>
              <w:left w:val="single" w:color="D5D5D5" w:sz="6" w:space="0"/>
              <w:bottom w:val="single" w:color="D5D5D5" w:sz="6" w:space="0"/>
              <w:right w:val="single" w:color="D5D5D5" w:sz="6" w:space="0"/>
            </w:tcBorders>
            <w:shd w:val="clear" w:color="auto" w:fill="auto"/>
            <w:vAlign w:val="center"/>
          </w:tcPr>
          <w:p w14:paraId="7C1145D6">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left"/>
              <w:textAlignment w:val="auto"/>
              <w:rPr>
                <w:rFonts w:hint="eastAsia" w:ascii="宋体" w:hAnsi="宋体" w:eastAsia="宋体" w:cs="宋体"/>
                <w:sz w:val="20"/>
                <w:szCs w:val="20"/>
                <w:highlight w:val="none"/>
                <w:lang w:val="en-US"/>
              </w:rPr>
            </w:pPr>
            <w:r>
              <w:rPr>
                <w:rFonts w:hint="eastAsia" w:ascii="宋体" w:hAnsi="宋体" w:cs="宋体"/>
                <w:sz w:val="20"/>
                <w:szCs w:val="20"/>
                <w:highlight w:val="none"/>
                <w:lang w:val="en-US" w:eastAsia="zh-CN"/>
              </w:rPr>
              <w:t>岳阳县第一中学学生宿舍及教学楼建设项目（一期）新建一栋5层教学楼6434.92平方米、新建6层学生宿舍4615.19平方米以及相关配套附属设施。该代建制服务阶段性代建服务主要采包括项目前期、实施、验收及后期结算、审计等阶段管理服务。</w:t>
            </w:r>
          </w:p>
        </w:tc>
        <w:tc>
          <w:tcPr>
            <w:tcW w:w="1077" w:type="dxa"/>
            <w:tcBorders>
              <w:top w:val="single" w:color="D5D5D5" w:sz="6" w:space="0"/>
              <w:left w:val="single" w:color="D5D5D5" w:sz="6" w:space="0"/>
              <w:bottom w:val="single" w:color="D5D5D5" w:sz="6" w:space="0"/>
              <w:right w:val="single" w:color="D5D5D5" w:sz="6" w:space="0"/>
            </w:tcBorders>
            <w:shd w:val="clear" w:color="auto" w:fill="auto"/>
            <w:vAlign w:val="center"/>
          </w:tcPr>
          <w:p w14:paraId="56D4C6DE">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159" w:type="dxa"/>
            <w:tcBorders>
              <w:top w:val="single" w:color="D5D5D5" w:sz="6" w:space="0"/>
              <w:left w:val="single" w:color="D5D5D5" w:sz="6" w:space="0"/>
              <w:bottom w:val="single" w:color="D5D5D5" w:sz="6" w:space="0"/>
              <w:right w:val="single" w:color="D5D5D5" w:sz="6" w:space="0"/>
            </w:tcBorders>
            <w:shd w:val="clear" w:color="auto" w:fill="auto"/>
            <w:vAlign w:val="center"/>
          </w:tcPr>
          <w:p w14:paraId="027E2372">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rPr>
            </w:pPr>
            <w:r>
              <w:rPr>
                <w:rFonts w:hint="eastAsia" w:ascii="宋体" w:hAnsi="宋体" w:cs="宋体"/>
                <w:color w:val="auto"/>
                <w:kern w:val="0"/>
                <w:sz w:val="21"/>
                <w:szCs w:val="21"/>
                <w:highlight w:val="none"/>
                <w:u w:val="none"/>
                <w:lang w:val="en-US" w:eastAsia="zh-CN" w:bidi="ar"/>
              </w:rPr>
              <w:t>951200.00</w:t>
            </w:r>
            <w:r>
              <w:rPr>
                <w:rFonts w:hint="eastAsia" w:ascii="宋体" w:hAnsi="宋体" w:eastAsia="宋体" w:cs="宋体"/>
                <w:color w:val="auto"/>
                <w:kern w:val="0"/>
                <w:sz w:val="21"/>
                <w:szCs w:val="21"/>
                <w:highlight w:val="none"/>
                <w:lang w:val="en-US" w:eastAsia="zh-CN" w:bidi="ar"/>
              </w:rPr>
              <w:t xml:space="preserve"> </w:t>
            </w:r>
          </w:p>
        </w:tc>
        <w:tc>
          <w:tcPr>
            <w:tcW w:w="627" w:type="dxa"/>
            <w:tcBorders>
              <w:top w:val="single" w:color="D5D5D5" w:sz="6" w:space="0"/>
              <w:left w:val="single" w:color="D5D5D5" w:sz="6" w:space="0"/>
              <w:bottom w:val="single" w:color="D5D5D5" w:sz="6" w:space="0"/>
              <w:right w:val="single" w:color="D5D5D5" w:sz="6" w:space="0"/>
            </w:tcBorders>
            <w:shd w:val="clear" w:color="auto" w:fill="auto"/>
            <w:vAlign w:val="center"/>
          </w:tcPr>
          <w:p w14:paraId="04AD476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p>
        </w:tc>
        <w:tc>
          <w:tcPr>
            <w:tcW w:w="624" w:type="dxa"/>
            <w:tcBorders>
              <w:top w:val="single" w:color="D5D5D5" w:sz="6" w:space="0"/>
              <w:left w:val="single" w:color="D5D5D5" w:sz="6" w:space="0"/>
              <w:bottom w:val="single" w:color="D5D5D5" w:sz="6" w:space="0"/>
              <w:right w:val="single" w:color="D5D5D5" w:sz="6" w:space="0"/>
            </w:tcBorders>
            <w:shd w:val="clear" w:color="auto" w:fill="auto"/>
            <w:vAlign w:val="center"/>
          </w:tcPr>
          <w:p w14:paraId="548DCD76">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p>
        </w:tc>
      </w:tr>
    </w:tbl>
    <w:p w14:paraId="7B2369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说明： </w:t>
      </w:r>
    </w:p>
    <w:p w14:paraId="3DFF2A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1.节能产品实行强制采购的，需提供国家认证机构出具的、处于有效期内的节能产品证书。 </w:t>
      </w:r>
    </w:p>
    <w:p w14:paraId="36E64A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2.同意购买进口产品的，不限制满足采购需求的国内产品参与投标。 </w:t>
      </w:r>
    </w:p>
    <w:p w14:paraId="2C34B42F">
      <w:pPr>
        <w:pStyle w:val="5"/>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三、采购项目需落实的政府采购政策：</w:t>
      </w:r>
    </w:p>
    <w:p w14:paraId="3EE22A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1、优先采购：节能产品、环境标志产品享受加分或价格折扣。</w:t>
      </w:r>
    </w:p>
    <w:p w14:paraId="2C9240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2、支持中小企业：中小企业享受预留采购份额或价格折扣。</w:t>
      </w:r>
    </w:p>
    <w:p w14:paraId="19FCC5F3">
      <w:pPr>
        <w:pStyle w:val="5"/>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四、投标人的资格要求：</w:t>
      </w:r>
    </w:p>
    <w:p w14:paraId="514D34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6F8D44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2、落实政府采购政策需满足的资格要求： </w:t>
      </w:r>
    </w:p>
    <w:p w14:paraId="1A879B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中小企业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小微企业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监狱企业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福利性单位 </w:t>
      </w:r>
    </w:p>
    <w:p w14:paraId="28F944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3BCE01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w:t>
      </w:r>
      <w:r>
        <w:rPr>
          <w:rFonts w:hint="eastAsia" w:ascii="宋体" w:hAnsi="宋体" w:eastAsia="宋体" w:cs="宋体"/>
          <w:kern w:val="0"/>
          <w:sz w:val="21"/>
          <w:szCs w:val="21"/>
          <w:highlight w:val="none"/>
          <w:lang w:val="en-US" w:eastAsia="zh-CN" w:bidi="ar"/>
        </w:rPr>
        <w:t xml:space="preserve">供应商特定资格条件： </w:t>
      </w:r>
    </w:p>
    <w:p w14:paraId="206C34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）供应商具有有效的营业执照、组织机构代码证、税务登记证（如供应商已办理三证合一，只提供营业执照）</w:t>
      </w:r>
      <w:r>
        <w:rPr>
          <w:rFonts w:hint="eastAsia" w:ascii="宋体" w:hAnsi="宋体" w:cs="宋体"/>
          <w:kern w:val="0"/>
          <w:sz w:val="21"/>
          <w:szCs w:val="21"/>
          <w:lang w:val="en-US" w:eastAsia="zh-CN" w:bidi="ar"/>
        </w:rPr>
        <w:t>；</w:t>
      </w:r>
    </w:p>
    <w:p w14:paraId="33DF41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eastAsia="宋体"/>
          <w:spacing w:val="-40"/>
          <w:lang w:eastAsia="zh-CN"/>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w:t>
      </w:r>
      <w:r>
        <w:rPr>
          <w:spacing w:val="9"/>
        </w:rPr>
        <w:t>具有下列一项或者多项资质（资信</w:t>
      </w:r>
      <w:r>
        <w:rPr>
          <w:spacing w:val="-77"/>
        </w:rPr>
        <w:t>）：</w:t>
      </w:r>
      <w:r>
        <w:rPr>
          <w:spacing w:val="-90"/>
        </w:rPr>
        <w:t xml:space="preserve"> </w:t>
      </w:r>
      <w:r>
        <w:rPr>
          <w:spacing w:val="9"/>
        </w:rPr>
        <w:t>工程咨询</w:t>
      </w:r>
      <w:r>
        <w:rPr>
          <w:rFonts w:hint="eastAsia"/>
          <w:color w:val="0000FF"/>
          <w:spacing w:val="9"/>
          <w:lang w:val="en-US" w:eastAsia="zh-CN"/>
        </w:rPr>
        <w:t>建</w:t>
      </w:r>
      <w:r>
        <w:rPr>
          <w:color w:val="0000FF"/>
          <w:spacing w:val="9"/>
        </w:rPr>
        <w:t>筑工程</w:t>
      </w:r>
      <w:r>
        <w:rPr>
          <w:spacing w:val="8"/>
        </w:rPr>
        <w:t>专业甲级或综合甲级、工程监理</w:t>
      </w:r>
      <w:r>
        <w:rPr>
          <w:color w:val="0000FF"/>
          <w:spacing w:val="8"/>
        </w:rPr>
        <w:t>房屋建筑工程</w:t>
      </w:r>
      <w:r>
        <w:rPr>
          <w:spacing w:val="8"/>
        </w:rPr>
        <w:t>（资质类别）甲</w:t>
      </w:r>
      <w:r>
        <w:rPr>
          <w:spacing w:val="14"/>
        </w:rPr>
        <w:t>级或综合资质、工程设计</w:t>
      </w:r>
      <w:r>
        <w:rPr>
          <w:color w:val="0000FF"/>
          <w:spacing w:val="14"/>
        </w:rPr>
        <w:t>建筑工程</w:t>
      </w:r>
      <w:r>
        <w:rPr>
          <w:spacing w:val="14"/>
        </w:rPr>
        <w:t>专业甲级或综合甲级、</w:t>
      </w:r>
      <w:r>
        <w:rPr>
          <w:color w:val="0000FF"/>
          <w:spacing w:val="14"/>
        </w:rPr>
        <w:t>建筑</w:t>
      </w:r>
      <w:r>
        <w:rPr>
          <w:color w:val="0000FF"/>
          <w:spacing w:val="3"/>
        </w:rPr>
        <w:t>工程</w:t>
      </w:r>
      <w:r>
        <w:rPr>
          <w:spacing w:val="3"/>
        </w:rPr>
        <w:t>（资质类别）施工总承包一级及以上、房地产开发一级</w:t>
      </w:r>
      <w:r>
        <w:rPr>
          <w:rFonts w:hint="eastAsia"/>
          <w:spacing w:val="-40"/>
          <w:lang w:eastAsia="zh-CN"/>
        </w:rPr>
        <w:t>；</w:t>
      </w:r>
    </w:p>
    <w:p w14:paraId="28CFFA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color w:val="auto"/>
          <w:spacing w:val="3"/>
          <w:highlight w:val="yellow"/>
          <w:lang w:val="en-US" w:eastAsia="zh-CN"/>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）拟任代建项目经理</w:t>
      </w:r>
      <w:r>
        <w:rPr>
          <w:spacing w:val="6"/>
        </w:rPr>
        <w:t>具备</w:t>
      </w:r>
      <w:r>
        <w:rPr>
          <w:color w:val="0000FF"/>
          <w:spacing w:val="6"/>
        </w:rPr>
        <w:t>中级及以上</w:t>
      </w:r>
      <w:r>
        <w:rPr>
          <w:spacing w:val="7"/>
        </w:rPr>
        <w:t>专业技术职称，并具有下列一项或者多项资质：注册咨询</w:t>
      </w:r>
      <w:r>
        <w:rPr>
          <w:spacing w:val="3"/>
        </w:rPr>
        <w:t>工程师（投资）、一级注册建造师</w:t>
      </w:r>
      <w:r>
        <w:rPr>
          <w:color w:val="0000FF"/>
          <w:spacing w:val="3"/>
        </w:rPr>
        <w:t>建筑工程</w:t>
      </w:r>
      <w:r>
        <w:rPr>
          <w:spacing w:val="3"/>
        </w:rPr>
        <w:t>专业、一级注册建筑师、一级注册结构工程师</w:t>
      </w:r>
      <w:r>
        <w:rPr>
          <w:spacing w:val="1"/>
        </w:rPr>
        <w:t>、</w:t>
      </w:r>
      <w:r>
        <w:rPr>
          <w:spacing w:val="15"/>
        </w:rPr>
        <w:t>国家注册监理工程师</w:t>
      </w:r>
      <w:r>
        <w:rPr>
          <w:color w:val="0000FF"/>
          <w:spacing w:val="15"/>
        </w:rPr>
        <w:t>房屋建筑工程</w:t>
      </w:r>
      <w:r>
        <w:rPr>
          <w:spacing w:val="15"/>
        </w:rPr>
        <w:t>专业</w:t>
      </w:r>
      <w:r>
        <w:rPr>
          <w:rFonts w:hint="eastAsia"/>
          <w:color w:val="FF0000"/>
          <w:spacing w:val="15"/>
          <w:lang w:eastAsia="zh-CN"/>
        </w:rPr>
        <w:t>。</w:t>
      </w:r>
      <w:r>
        <w:rPr>
          <w:rFonts w:hint="eastAsia"/>
          <w:color w:val="auto"/>
          <w:spacing w:val="15"/>
          <w:highlight w:val="yellow"/>
          <w:lang w:val="en-US" w:eastAsia="zh-CN"/>
        </w:rPr>
        <w:t>提</w:t>
      </w:r>
      <w:r>
        <w:rPr>
          <w:rFonts w:hint="eastAsia"/>
          <w:color w:val="auto"/>
          <w:spacing w:val="3"/>
          <w:highlight w:val="yellow"/>
          <w:lang w:val="en-US" w:eastAsia="zh-CN"/>
        </w:rPr>
        <w:t>供项目经理无在建承诺书和近三个月任意一个月社保证明；</w:t>
      </w:r>
    </w:p>
    <w:p w14:paraId="4BF5DE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color w:val="auto"/>
          <w:spacing w:val="3"/>
          <w:highlight w:val="yellow"/>
          <w:lang w:val="en-US" w:eastAsia="zh-CN"/>
        </w:rPr>
      </w:pPr>
      <w:r>
        <w:rPr>
          <w:rFonts w:hint="eastAsia"/>
          <w:lang w:val="en-US" w:eastAsia="zh-CN"/>
        </w:rPr>
        <w:t>（4）拟任现场管理1人，</w:t>
      </w:r>
      <w:r>
        <w:rPr>
          <w:spacing w:val="6"/>
        </w:rPr>
        <w:t>具备</w:t>
      </w:r>
      <w:r>
        <w:rPr>
          <w:color w:val="0000FF"/>
          <w:spacing w:val="6"/>
        </w:rPr>
        <w:t>中级及以上</w:t>
      </w:r>
      <w:r>
        <w:rPr>
          <w:spacing w:val="7"/>
        </w:rPr>
        <w:t>专业技术职称，并</w:t>
      </w:r>
      <w:r>
        <w:rPr>
          <w:rFonts w:hint="eastAsia"/>
          <w:spacing w:val="7"/>
          <w:lang w:val="en-US" w:eastAsia="zh-CN"/>
        </w:rPr>
        <w:t>具备以下资质之一</w:t>
      </w:r>
      <w:r>
        <w:rPr>
          <w:spacing w:val="7"/>
        </w:rPr>
        <w:t>：</w:t>
      </w:r>
      <w:r>
        <w:rPr>
          <w:rFonts w:hint="eastAsia" w:ascii="Times New Roman" w:hAnsi="Times New Roman" w:eastAsia="宋体" w:cs="宋体"/>
          <w:color w:val="auto"/>
          <w:highlight w:val="none"/>
          <w:lang w:eastAsia="zh-CN"/>
        </w:rPr>
        <w:t>注册建造师二级及以上、注册造价工程师二级及以上、注册结构工程师二级及以上、注册公用设备工程师、注册电气工程师、注册咨询工程师（投资）、注册监理工程师、中级注册安全工程师（建筑施工安全），</w:t>
      </w:r>
      <w:r>
        <w:rPr>
          <w:rFonts w:hint="eastAsia"/>
          <w:color w:val="auto"/>
          <w:spacing w:val="15"/>
          <w:highlight w:val="yellow"/>
          <w:lang w:val="en-US" w:eastAsia="zh-CN"/>
        </w:rPr>
        <w:t>提</w:t>
      </w:r>
      <w:r>
        <w:rPr>
          <w:rFonts w:hint="eastAsia"/>
          <w:color w:val="auto"/>
          <w:spacing w:val="3"/>
          <w:highlight w:val="yellow"/>
          <w:lang w:val="en-US" w:eastAsia="zh-CN"/>
        </w:rPr>
        <w:t>供无在建承诺书和近三个月任意一个月社保证明；</w:t>
      </w:r>
    </w:p>
    <w:p w14:paraId="325A5D97">
      <w:pPr>
        <w:pStyle w:val="24"/>
        <w:bidi w:val="0"/>
        <w:spacing w:line="360" w:lineRule="auto"/>
        <w:ind w:firstLine="420" w:firstLineChars="200"/>
        <w:rPr>
          <w:rFonts w:hint="eastAsia" w:ascii="Times New Roman" w:hAnsi="Times New Roman" w:eastAsia="宋体" w:cs="宋体"/>
          <w:color w:val="auto"/>
          <w:highlight w:val="none"/>
          <w:lang w:eastAsia="zh-CN"/>
        </w:rPr>
      </w:pPr>
      <w:r>
        <w:rPr>
          <w:rFonts w:hint="eastAsia" w:hAnsi="宋体" w:cs="宋体"/>
          <w:kern w:val="0"/>
          <w:sz w:val="21"/>
          <w:szCs w:val="21"/>
          <w:highlight w:val="yellow"/>
          <w:lang w:val="en-US" w:eastAsia="zh-CN" w:bidi="ar"/>
        </w:rPr>
        <w:t>（5）拟任设计管理1人，</w:t>
      </w:r>
      <w:r>
        <w:rPr>
          <w:spacing w:val="6"/>
        </w:rPr>
        <w:t>具备</w:t>
      </w:r>
      <w:r>
        <w:rPr>
          <w:color w:val="0000FF"/>
          <w:spacing w:val="6"/>
        </w:rPr>
        <w:t>中级及以上</w:t>
      </w:r>
      <w:r>
        <w:rPr>
          <w:spacing w:val="7"/>
        </w:rPr>
        <w:t>专业技术职称，并</w:t>
      </w:r>
      <w:r>
        <w:rPr>
          <w:rFonts w:hint="eastAsia"/>
          <w:spacing w:val="7"/>
          <w:lang w:val="en-US" w:eastAsia="zh-CN"/>
        </w:rPr>
        <w:t>具备以下资质之一</w:t>
      </w:r>
      <w:r>
        <w:rPr>
          <w:spacing w:val="7"/>
        </w:rPr>
        <w:t>：</w:t>
      </w:r>
      <w:r>
        <w:rPr>
          <w:rFonts w:hint="eastAsia" w:ascii="Times New Roman" w:hAnsi="Times New Roman" w:eastAsia="宋体" w:cs="宋体"/>
          <w:color w:val="auto"/>
          <w:highlight w:val="none"/>
          <w:lang w:eastAsia="zh-CN"/>
        </w:rPr>
        <w:t>注册建筑师二级及以上、注册结构工程师二级及以上、注册公用设备工程师（仅限机电安装工程代建单位招标选用）</w:t>
      </w:r>
      <w:r>
        <w:rPr>
          <w:rFonts w:hint="eastAsia" w:ascii="Times New Roman" w:hAnsi="Times New Roman" w:cs="宋体"/>
          <w:color w:val="auto"/>
          <w:highlight w:val="none"/>
          <w:lang w:eastAsia="zh-CN"/>
        </w:rPr>
        <w:t>。</w:t>
      </w:r>
      <w:r>
        <w:rPr>
          <w:rFonts w:hint="eastAsia" w:ascii="Times New Roman" w:hAnsi="Times New Roman" w:cs="宋体"/>
          <w:color w:val="auto"/>
          <w:highlight w:val="none"/>
          <w:lang w:val="en-US" w:eastAsia="zh-CN"/>
        </w:rPr>
        <w:t>提供</w:t>
      </w:r>
      <w:r>
        <w:rPr>
          <w:rFonts w:hint="eastAsia"/>
          <w:color w:val="auto"/>
          <w:spacing w:val="3"/>
          <w:highlight w:val="yellow"/>
          <w:lang w:val="en-US" w:eastAsia="zh-CN"/>
        </w:rPr>
        <w:t>近三个月任意一个月社保证明；</w:t>
      </w:r>
    </w:p>
    <w:p w14:paraId="138B8CCD">
      <w:pPr>
        <w:pStyle w:val="24"/>
        <w:bidi w:val="0"/>
        <w:spacing w:line="360" w:lineRule="auto"/>
        <w:ind w:firstLine="420" w:firstLineChars="200"/>
        <w:rPr>
          <w:rFonts w:hint="eastAsia" w:ascii="Times New Roman" w:hAnsi="Times New Roman" w:eastAsia="宋体" w:cs="宋体"/>
          <w:color w:val="auto"/>
          <w:highlight w:val="none"/>
          <w:lang w:eastAsia="zh-CN"/>
        </w:rPr>
      </w:pPr>
      <w:r>
        <w:rPr>
          <w:rFonts w:hint="eastAsia" w:ascii="Times New Roman" w:hAnsi="Times New Roman" w:eastAsia="宋体" w:cs="宋体"/>
          <w:color w:val="auto"/>
          <w:highlight w:val="none"/>
          <w:lang w:eastAsia="zh-CN"/>
        </w:rPr>
        <w:t>（</w:t>
      </w:r>
      <w:r>
        <w:rPr>
          <w:rFonts w:hint="eastAsia" w:ascii="Times New Roman" w:hAnsi="Times New Roman" w:eastAsia="宋体" w:cs="宋体"/>
          <w:color w:val="auto"/>
          <w:highlight w:val="none"/>
          <w:lang w:val="en-US" w:eastAsia="zh-CN"/>
        </w:rPr>
        <w:t>6）</w:t>
      </w:r>
      <w:r>
        <w:rPr>
          <w:rFonts w:hint="eastAsia" w:hAnsi="宋体" w:cs="宋体"/>
          <w:kern w:val="0"/>
          <w:sz w:val="21"/>
          <w:szCs w:val="21"/>
          <w:highlight w:val="yellow"/>
          <w:lang w:val="en-US" w:eastAsia="zh-CN" w:bidi="ar"/>
        </w:rPr>
        <w:t>拟任造价管理1人，</w:t>
      </w:r>
      <w:r>
        <w:rPr>
          <w:spacing w:val="6"/>
        </w:rPr>
        <w:t>具备</w:t>
      </w:r>
      <w:r>
        <w:rPr>
          <w:color w:val="0000FF"/>
          <w:spacing w:val="6"/>
        </w:rPr>
        <w:t>中级及以上</w:t>
      </w:r>
      <w:r>
        <w:rPr>
          <w:spacing w:val="7"/>
        </w:rPr>
        <w:t>专业技术职称，并</w:t>
      </w:r>
      <w:r>
        <w:rPr>
          <w:rFonts w:hint="eastAsia" w:ascii="Times New Roman" w:hAnsi="Times New Roman" w:eastAsia="宋体" w:cs="宋体"/>
          <w:color w:val="auto"/>
          <w:highlight w:val="none"/>
          <w:lang w:eastAsia="zh-CN"/>
        </w:rPr>
        <w:t>具备注册造价工程师二级及以上资质</w:t>
      </w:r>
      <w:r>
        <w:rPr>
          <w:rFonts w:hint="eastAsia" w:ascii="Times New Roman" w:hAnsi="Times New Roman" w:cs="宋体"/>
          <w:color w:val="auto"/>
          <w:highlight w:val="none"/>
          <w:lang w:eastAsia="zh-CN"/>
        </w:rPr>
        <w:t>。</w:t>
      </w:r>
      <w:r>
        <w:rPr>
          <w:rFonts w:hint="eastAsia" w:ascii="Times New Roman" w:hAnsi="Times New Roman" w:cs="宋体"/>
          <w:color w:val="auto"/>
          <w:highlight w:val="none"/>
          <w:lang w:val="en-US" w:eastAsia="zh-CN"/>
        </w:rPr>
        <w:t>提供</w:t>
      </w:r>
      <w:r>
        <w:rPr>
          <w:rFonts w:hint="eastAsia"/>
          <w:color w:val="auto"/>
          <w:spacing w:val="3"/>
          <w:highlight w:val="yellow"/>
          <w:lang w:val="en-US" w:eastAsia="zh-CN"/>
        </w:rPr>
        <w:t>近三个月任意一个月社保证明；</w:t>
      </w:r>
    </w:p>
    <w:p w14:paraId="5BFC799D">
      <w:pPr>
        <w:widowControl w:val="0"/>
        <w:kinsoku/>
        <w:wordWrap w:val="0"/>
        <w:spacing w:line="576" w:lineRule="exact"/>
        <w:ind w:firstLine="420" w:firstLineChars="200"/>
        <w:jc w:val="both"/>
        <w:rPr>
          <w:rFonts w:ascii="宋体" w:hAnsi="Courier New" w:eastAsia="宋体" w:cs="Courier New"/>
          <w:spacing w:val="7"/>
          <w:kern w:val="2"/>
          <w:sz w:val="21"/>
          <w:szCs w:val="21"/>
          <w:lang w:val="en-US" w:eastAsia="zh-CN" w:bidi="ar-SA"/>
        </w:rPr>
      </w:pPr>
      <w:r>
        <w:rPr>
          <w:rFonts w:hint="eastAsia" w:ascii="宋体" w:hAnsi="宋体" w:cs="宋体"/>
          <w:kern w:val="0"/>
          <w:sz w:val="21"/>
          <w:szCs w:val="21"/>
          <w:highlight w:val="yellow"/>
          <w:lang w:val="en-US" w:eastAsia="zh-CN" w:bidi="ar"/>
        </w:rPr>
        <w:t>（</w:t>
      </w:r>
      <w:r>
        <w:rPr>
          <w:rFonts w:hint="eastAsia" w:hAnsi="宋体" w:cs="宋体"/>
          <w:kern w:val="0"/>
          <w:sz w:val="21"/>
          <w:szCs w:val="21"/>
          <w:highlight w:val="yellow"/>
          <w:lang w:val="en-US" w:eastAsia="zh-CN" w:bidi="ar"/>
        </w:rPr>
        <w:t>7</w:t>
      </w:r>
      <w:r>
        <w:rPr>
          <w:rFonts w:hint="eastAsia" w:ascii="宋体" w:hAnsi="宋体" w:cs="宋体"/>
          <w:kern w:val="0"/>
          <w:sz w:val="21"/>
          <w:szCs w:val="21"/>
          <w:highlight w:val="yellow"/>
          <w:lang w:val="en-US" w:eastAsia="zh-CN" w:bidi="ar"/>
        </w:rPr>
        <w:t>）</w:t>
      </w:r>
      <w:r>
        <w:rPr>
          <w:rFonts w:hint="eastAsia" w:hAnsi="宋体" w:cs="宋体"/>
          <w:kern w:val="0"/>
          <w:sz w:val="21"/>
          <w:szCs w:val="21"/>
          <w:highlight w:val="yellow"/>
          <w:lang w:val="en-US" w:eastAsia="zh-CN" w:bidi="ar"/>
        </w:rPr>
        <w:t>信誉要求。</w:t>
      </w:r>
      <w:r>
        <w:rPr>
          <w:rFonts w:hint="eastAsia" w:ascii="宋体" w:hAnsi="Courier New" w:eastAsia="宋体" w:cs="Courier New"/>
          <w:spacing w:val="7"/>
          <w:kern w:val="2"/>
          <w:sz w:val="21"/>
          <w:szCs w:val="21"/>
          <w:lang w:val="en-US" w:eastAsia="zh-CN" w:bidi="ar-SA"/>
        </w:rPr>
        <w:t>投标人不得存在下列情形之一：</w:t>
      </w:r>
    </w:p>
    <w:p w14:paraId="5E099781">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1）为招标人的附属机构；</w:t>
      </w:r>
    </w:p>
    <w:p w14:paraId="0393E3B1">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2）被暂停或取消投标资格；</w:t>
      </w:r>
    </w:p>
    <w:p w14:paraId="76B5A2D3">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3）财产被接管或冻结；</w:t>
      </w:r>
    </w:p>
    <w:p w14:paraId="736E8677">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4）与招标人或招标代理机构存在利害关系，可能影响招标公正性的（为代建项目提供项目建议书、可研咨询服务的情形除外）；</w:t>
      </w:r>
    </w:p>
    <w:p w14:paraId="0C02B889">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5</w:t>
      </w:r>
      <w:r>
        <w:rPr>
          <w:rFonts w:hint="eastAsia" w:ascii="宋体" w:hAnsi="Courier New" w:eastAsia="宋体" w:cs="Courier New"/>
          <w:spacing w:val="7"/>
          <w:kern w:val="2"/>
          <w:sz w:val="21"/>
          <w:szCs w:val="21"/>
          <w:lang w:val="en-US" w:eastAsia="zh-CN" w:bidi="ar-SA"/>
        </w:rPr>
        <w:t>）被依法责令停业；</w:t>
      </w:r>
    </w:p>
    <w:p w14:paraId="2250414F">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6</w:t>
      </w:r>
      <w:r>
        <w:rPr>
          <w:rFonts w:hint="eastAsia" w:ascii="宋体" w:hAnsi="Courier New" w:eastAsia="宋体" w:cs="Courier New"/>
          <w:spacing w:val="7"/>
          <w:kern w:val="2"/>
          <w:sz w:val="21"/>
          <w:szCs w:val="21"/>
          <w:lang w:val="en-US" w:eastAsia="zh-CN" w:bidi="ar-SA"/>
        </w:rPr>
        <w:t>）近三年承接的项目发生过较大以上责任事故；</w:t>
      </w:r>
    </w:p>
    <w:p w14:paraId="65590434">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7</w:t>
      </w:r>
      <w:r>
        <w:rPr>
          <w:rFonts w:hint="eastAsia" w:ascii="宋体" w:hAnsi="Courier New" w:eastAsia="宋体" w:cs="Courier New"/>
          <w:spacing w:val="7"/>
          <w:kern w:val="2"/>
          <w:sz w:val="21"/>
          <w:szCs w:val="21"/>
          <w:lang w:val="en-US" w:eastAsia="zh-CN" w:bidi="ar-SA"/>
        </w:rPr>
        <w:t>）近三年内存在严重违法、违约等不良记录；</w:t>
      </w:r>
    </w:p>
    <w:p w14:paraId="054914E7">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8</w:t>
      </w:r>
      <w:r>
        <w:rPr>
          <w:rFonts w:hint="eastAsia" w:ascii="宋体" w:hAnsi="Courier New" w:eastAsia="宋体" w:cs="Courier New"/>
          <w:spacing w:val="7"/>
          <w:kern w:val="2"/>
          <w:sz w:val="21"/>
          <w:szCs w:val="21"/>
          <w:lang w:val="en-US" w:eastAsia="zh-CN" w:bidi="ar-SA"/>
        </w:rPr>
        <w:t>）被禁止参与代建活动；</w:t>
      </w:r>
    </w:p>
    <w:p w14:paraId="0A2E4101">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9</w:t>
      </w:r>
      <w:r>
        <w:rPr>
          <w:rFonts w:hint="eastAsia" w:ascii="宋体" w:hAnsi="Courier New" w:eastAsia="宋体" w:cs="Courier New"/>
          <w:spacing w:val="7"/>
          <w:kern w:val="2"/>
          <w:sz w:val="21"/>
          <w:szCs w:val="21"/>
          <w:lang w:val="en-US" w:eastAsia="zh-CN" w:bidi="ar-SA"/>
        </w:rPr>
        <w:t>）至投标截止时间，在“信用中国”网站（www.creditchina.gov.cn）、“信用湖南”网站（credit.fgw.hunan.gov.cn）中查询存在严重失信主体名单、安全生产领域严重失信惩戒名单、拖欠农民工工资失信联合惩戒对象名单，在中国执行信息公开网（http://zxgk.court.gov.cn/shixin/）中查询存在失信被执行人；</w:t>
      </w:r>
    </w:p>
    <w:p w14:paraId="135DEE04">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10</w:t>
      </w:r>
      <w:r>
        <w:rPr>
          <w:rFonts w:hint="eastAsia" w:ascii="宋体" w:hAnsi="Courier New" w:eastAsia="宋体" w:cs="Courier New"/>
          <w:spacing w:val="7"/>
          <w:kern w:val="2"/>
          <w:sz w:val="21"/>
          <w:szCs w:val="21"/>
          <w:lang w:val="en-US" w:eastAsia="zh-CN" w:bidi="ar-SA"/>
        </w:rPr>
        <w:t>）存在法律法规规定不允许参加招标投标活动的情形；</w:t>
      </w:r>
    </w:p>
    <w:p w14:paraId="5E487CAF">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11</w:t>
      </w:r>
      <w:r>
        <w:rPr>
          <w:rFonts w:hint="eastAsia" w:ascii="宋体" w:hAnsi="Courier New" w:eastAsia="宋体" w:cs="Courier New"/>
          <w:spacing w:val="7"/>
          <w:kern w:val="2"/>
          <w:sz w:val="21"/>
          <w:szCs w:val="21"/>
          <w:lang w:val="en-US" w:eastAsia="zh-CN" w:bidi="ar-SA"/>
        </w:rPr>
        <w:t>）被依法暂停或者取消投标资格；</w:t>
      </w:r>
    </w:p>
    <w:p w14:paraId="73E8CB12">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12</w:t>
      </w:r>
      <w:r>
        <w:rPr>
          <w:rFonts w:hint="eastAsia" w:ascii="宋体" w:hAnsi="Courier New" w:eastAsia="宋体" w:cs="Courier New"/>
          <w:spacing w:val="7"/>
          <w:kern w:val="2"/>
          <w:sz w:val="21"/>
          <w:szCs w:val="21"/>
          <w:lang w:val="en-US" w:eastAsia="zh-CN" w:bidi="ar-SA"/>
        </w:rPr>
        <w:t>）被责令停业，暂扣或者吊销执照，或吊销资质证书；</w:t>
      </w:r>
    </w:p>
    <w:p w14:paraId="597802A2">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13</w:t>
      </w:r>
      <w:r>
        <w:rPr>
          <w:rFonts w:hint="eastAsia" w:ascii="宋体" w:hAnsi="Courier New" w:eastAsia="宋体" w:cs="Courier New"/>
          <w:spacing w:val="7"/>
          <w:kern w:val="2"/>
          <w:sz w:val="21"/>
          <w:szCs w:val="21"/>
          <w:lang w:val="en-US" w:eastAsia="zh-CN" w:bidi="ar-SA"/>
        </w:rPr>
        <w:t>）进入清算程序，或被宣告破产，或其他丧失履约能力的情形。</w:t>
      </w:r>
    </w:p>
    <w:p w14:paraId="1B4379C1">
      <w:pPr>
        <w:pStyle w:val="24"/>
        <w:bidi w:val="0"/>
        <w:spacing w:line="360" w:lineRule="auto"/>
        <w:ind w:firstLine="420" w:firstLineChars="200"/>
        <w:rPr>
          <w:rFonts w:hint="default" w:ascii="宋体" w:hAnsi="宋体" w:eastAsia="宋体" w:cs="宋体"/>
          <w:kern w:val="0"/>
          <w:sz w:val="21"/>
          <w:szCs w:val="21"/>
          <w:highlight w:val="yellow"/>
          <w:lang w:val="en-US" w:eastAsia="zh-CN" w:bidi="ar"/>
        </w:rPr>
      </w:pPr>
    </w:p>
    <w:p w14:paraId="1D93A4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highlight w:val="yellow"/>
          <w:lang w:val="en-US" w:eastAsia="zh-CN" w:bidi="ar"/>
        </w:rPr>
      </w:pPr>
      <w:r>
        <w:rPr>
          <w:rFonts w:hint="eastAsia" w:ascii="宋体" w:hAnsi="宋体" w:eastAsia="宋体" w:cs="宋体"/>
          <w:kern w:val="0"/>
          <w:sz w:val="21"/>
          <w:szCs w:val="21"/>
          <w:highlight w:val="yellow"/>
          <w:lang w:val="en-US" w:eastAsia="zh-CN" w:bidi="ar"/>
        </w:rPr>
        <w:t>注：根据《湖南省财政厅关于政府采购促进中小企业发展有关措施的通知》，不再要求供应商提供相关财务状况、缴纳税收和社会保障资金等资格证明材料，改为书面承诺。经采购人或监管部门查实，提供虚假承诺的供应商将以虚假资料谋取中标（成交）的违法行为，被列入不良记录名单，采购人有权取消其中标资格不良记录名单，采购人有权取消其中标资格。</w:t>
      </w:r>
    </w:p>
    <w:p w14:paraId="5D5E60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547E3F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74D297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42CD1F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7、联合体投标。本次招标</w:t>
      </w:r>
      <w:r>
        <w:rPr>
          <w:rFonts w:hint="eastAsia" w:ascii="宋体" w:hAnsi="宋体" w:eastAsia="宋体" w:cs="宋体"/>
          <w:kern w:val="0"/>
          <w:sz w:val="21"/>
          <w:szCs w:val="21"/>
          <w:u w:val="single"/>
          <w:lang w:val="en-US" w:eastAsia="zh-CN" w:bidi="ar"/>
        </w:rPr>
        <w:t>不接受</w:t>
      </w:r>
      <w:r>
        <w:rPr>
          <w:rFonts w:hint="eastAsia" w:ascii="宋体" w:hAnsi="宋体" w:eastAsia="宋体" w:cs="宋体"/>
          <w:kern w:val="0"/>
          <w:sz w:val="21"/>
          <w:szCs w:val="21"/>
          <w:lang w:val="en-US" w:eastAsia="zh-CN" w:bidi="ar"/>
        </w:rPr>
        <w:t xml:space="preserve">联合体投标。 </w:t>
      </w:r>
    </w:p>
    <w:p w14:paraId="4EDA081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五、获取招标文件的时间、期限、地点及方式</w:t>
      </w:r>
    </w:p>
    <w:p w14:paraId="533F26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lang w:val="en-US" w:eastAsia="zh-CN" w:bidi="ar"/>
        </w:rPr>
        <w:t>有意参加投</w:t>
      </w:r>
      <w:r>
        <w:rPr>
          <w:rFonts w:hint="eastAsia" w:ascii="宋体" w:hAnsi="宋体" w:eastAsia="宋体" w:cs="宋体"/>
          <w:color w:val="000000" w:themeColor="text1"/>
          <w:kern w:val="0"/>
          <w:sz w:val="21"/>
          <w:szCs w:val="21"/>
          <w:lang w:val="en-US" w:eastAsia="zh-CN" w:bidi="ar"/>
          <w14:textFill>
            <w14:solidFill>
              <w14:schemeClr w14:val="tx1"/>
            </w14:solidFill>
          </w14:textFill>
        </w:rPr>
        <w:t>标者</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，于2026年</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月</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21</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日起至2026年</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月</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29</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日止，每日上午 8:00--11:30,下午1</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0</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0--17:</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0(北京</w:t>
      </w:r>
      <w:r>
        <w:rPr>
          <w:rFonts w:hint="eastAsia" w:ascii="宋体" w:hAnsi="宋体" w:eastAsia="宋体" w:cs="宋体"/>
          <w:kern w:val="0"/>
          <w:sz w:val="21"/>
          <w:szCs w:val="21"/>
          <w:highlight w:val="none"/>
          <w:lang w:val="en-US" w:eastAsia="zh-CN" w:bidi="ar"/>
        </w:rPr>
        <w:t>时间，下同)，双休日及节假日除外，在</w:t>
      </w:r>
      <w:r>
        <w:rPr>
          <w:rFonts w:hint="eastAsia" w:ascii="宋体" w:hAnsi="宋体" w:cs="宋体"/>
          <w:kern w:val="0"/>
          <w:sz w:val="21"/>
          <w:szCs w:val="21"/>
          <w:highlight w:val="none"/>
          <w:lang w:val="en-US" w:eastAsia="zh-CN" w:bidi="ar"/>
        </w:rPr>
        <w:t>湖南湘建智科工程技术有限公司</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岳阳县荣家湾镇青山南路城南社区第三网格001栋东边六楼</w:t>
      </w:r>
      <w:r>
        <w:rPr>
          <w:rFonts w:hint="eastAsia" w:ascii="宋体" w:hAnsi="宋体" w:eastAsia="宋体" w:cs="宋体"/>
          <w:kern w:val="0"/>
          <w:sz w:val="21"/>
          <w:szCs w:val="21"/>
          <w:highlight w:val="none"/>
          <w:lang w:val="en-US" w:eastAsia="zh-CN" w:bidi="ar"/>
        </w:rPr>
        <w:t>)持投标人公司营业执照（复印件加盖公章）、法定代表人身份证明或授权委托书(附法定代表人身份证明)、法定代表人或委托人身份证领取招标文件。</w:t>
      </w:r>
    </w:p>
    <w:p w14:paraId="5CBFE2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六、投标截止时间、开标时间及地点</w:t>
      </w:r>
    </w:p>
    <w:p w14:paraId="2F8996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highlight w:val="none"/>
          <w:lang w:val="en-US"/>
        </w:rPr>
      </w:pPr>
      <w:r>
        <w:rPr>
          <w:rFonts w:hint="eastAsia" w:ascii="宋体" w:hAnsi="宋体" w:eastAsia="宋体" w:cs="宋体"/>
          <w:kern w:val="0"/>
          <w:sz w:val="21"/>
          <w:szCs w:val="21"/>
          <w:highlight w:val="none"/>
          <w:lang w:val="en-US" w:eastAsia="zh-CN" w:bidi="ar"/>
        </w:rPr>
        <w:t>1、提交响应文件的截止</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时间：2026年</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10</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月</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8</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日 </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15</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0</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0</w:t>
      </w:r>
    </w:p>
    <w:p w14:paraId="19D7A9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2、提交响应文件地点：</w:t>
      </w:r>
      <w:r>
        <w:rPr>
          <w:rFonts w:hint="eastAsia" w:ascii="宋体" w:hAnsi="宋体" w:cs="宋体"/>
          <w:kern w:val="0"/>
          <w:sz w:val="21"/>
          <w:szCs w:val="21"/>
          <w:highlight w:val="none"/>
          <w:lang w:val="en-US" w:eastAsia="zh-CN" w:bidi="ar"/>
        </w:rPr>
        <w:t>湖南湘建智科工程技术有限公司</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岳阳县荣家湾镇青山南路城南社区第三网格001栋东边六楼</w:t>
      </w:r>
      <w:r>
        <w:rPr>
          <w:rFonts w:hint="eastAsia" w:ascii="宋体" w:hAnsi="宋体" w:eastAsia="宋体" w:cs="宋体"/>
          <w:kern w:val="0"/>
          <w:sz w:val="21"/>
          <w:szCs w:val="21"/>
          <w:highlight w:val="none"/>
          <w:lang w:val="en-US" w:eastAsia="zh-CN" w:bidi="ar"/>
        </w:rPr>
        <w:t xml:space="preserve">) </w:t>
      </w:r>
    </w:p>
    <w:p w14:paraId="378F08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3、</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开标时间：</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2026年10月8日 15:00</w:t>
      </w:r>
    </w:p>
    <w:p w14:paraId="4C21CE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highlight w:val="none"/>
          <w:lang w:val="en-US" w:eastAsia="zh-CN" w:bidi="ar"/>
        </w:rPr>
        <w:t>4、开标地点：</w:t>
      </w:r>
      <w:r>
        <w:rPr>
          <w:rFonts w:hint="eastAsia" w:ascii="宋体" w:hAnsi="宋体" w:cs="宋体"/>
          <w:kern w:val="0"/>
          <w:sz w:val="21"/>
          <w:szCs w:val="21"/>
          <w:highlight w:val="none"/>
          <w:lang w:val="en-US" w:eastAsia="zh-CN" w:bidi="ar"/>
        </w:rPr>
        <w:t>湖南湘建智科工程技术有限公司</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岳阳县荣家湾镇青山南路城南社区第三网格001栋东边六楼</w:t>
      </w:r>
      <w:r>
        <w:rPr>
          <w:rFonts w:hint="eastAsia" w:ascii="宋体" w:hAnsi="宋体" w:eastAsia="宋体" w:cs="宋体"/>
          <w:kern w:val="0"/>
          <w:sz w:val="21"/>
          <w:szCs w:val="21"/>
          <w:lang w:val="en-US" w:eastAsia="zh-CN" w:bidi="ar"/>
        </w:rPr>
        <w:t xml:space="preserve">) </w:t>
      </w:r>
    </w:p>
    <w:p w14:paraId="0F7345C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七、公告期限</w:t>
      </w:r>
    </w:p>
    <w:p w14:paraId="62D264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1、本招标公告在中国湖南政府采购网（www.ccgp-hunan.gov.cn）发布。公告期限从本招标公告发布之日起5个工作日。</w:t>
      </w:r>
    </w:p>
    <w:p w14:paraId="177589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2、在其他媒体发布的招标公告，公告内容以本招标公告指定媒体发布的公告为准；公告期限自本招标公告指定媒体最先发布公告之日起算。</w:t>
      </w:r>
    </w:p>
    <w:p w14:paraId="756C03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八、询问及质疑</w:t>
      </w:r>
    </w:p>
    <w:p w14:paraId="3F8DB1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1、投标人对政府采购活动事项如有疑问的，可以向采购人、采购代理机构提出询问。采购人、采购代理机构将在3个工作日内作出答复。</w:t>
      </w:r>
    </w:p>
    <w:p w14:paraId="1E3596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2、投标人对电子交易平台办理CA证书、操作等如有疑问，请咨询电子交易平台服务机构。</w:t>
      </w:r>
    </w:p>
    <w:p w14:paraId="08C705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5D12B92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九、投标说明</w:t>
      </w:r>
    </w:p>
    <w:p w14:paraId="0111BD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表示未选择。 </w:t>
      </w:r>
    </w:p>
    <w:p w14:paraId="472378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lang w:val="en-US"/>
        </w:rPr>
      </w:pPr>
      <w:r>
        <w:rPr>
          <w:rFonts w:hint="eastAsia" w:ascii="宋体" w:hAnsi="宋体" w:eastAsia="宋体" w:cs="宋体"/>
          <w:kern w:val="0"/>
          <w:sz w:val="21"/>
          <w:szCs w:val="21"/>
          <w:lang w:val="en-US" w:eastAsia="zh-CN" w:bidi="ar"/>
        </w:rPr>
        <w:t>2、投标人参与政府采购活动，无需向采购人、代理机构、交易平台缴纳任何费用。</w:t>
      </w:r>
    </w:p>
    <w:p w14:paraId="080A8F2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十、采购人、采购代理机构的名称、地址和联系方法</w:t>
      </w:r>
    </w:p>
    <w:p w14:paraId="06ADF97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1、采购人信息</w:t>
      </w:r>
    </w:p>
    <w:p w14:paraId="0B432C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（1）名 称：</w:t>
      </w:r>
      <w:r>
        <w:rPr>
          <w:rFonts w:hint="eastAsia" w:ascii="宋体" w:hAnsi="宋体" w:cs="宋体"/>
          <w:kern w:val="0"/>
          <w:sz w:val="21"/>
          <w:szCs w:val="21"/>
          <w:lang w:val="en-US" w:eastAsia="zh-CN" w:bidi="ar"/>
        </w:rPr>
        <w:t>岳阳县教育体育局</w:t>
      </w:r>
      <w:r>
        <w:rPr>
          <w:rFonts w:hint="eastAsia" w:ascii="宋体" w:hAnsi="宋体" w:eastAsia="宋体" w:cs="宋体"/>
          <w:kern w:val="0"/>
          <w:sz w:val="21"/>
          <w:szCs w:val="21"/>
          <w:lang w:val="en-US" w:eastAsia="zh-CN" w:bidi="ar"/>
        </w:rPr>
        <w:t xml:space="preserve"> </w:t>
      </w:r>
    </w:p>
    <w:p w14:paraId="4B06A2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kern w:val="0"/>
          <w:sz w:val="21"/>
          <w:szCs w:val="21"/>
          <w:lang w:val="en-US" w:eastAsia="zh-CN" w:bidi="ar"/>
        </w:rPr>
        <w:t>（2）地</w:t>
      </w:r>
      <w:r>
        <w:rPr>
          <w:rFonts w:hint="eastAsia" w:ascii="宋体" w:hAnsi="宋体" w:eastAsia="宋体" w:cs="宋体"/>
          <w:color w:val="auto"/>
          <w:kern w:val="0"/>
          <w:sz w:val="21"/>
          <w:szCs w:val="21"/>
          <w:lang w:val="en-US" w:eastAsia="zh-CN" w:bidi="ar"/>
        </w:rPr>
        <w:t xml:space="preserve"> 址：岳阳县</w:t>
      </w:r>
    </w:p>
    <w:p w14:paraId="4E32F6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bidi="ar"/>
        </w:rPr>
        <w:t>（3）联系人：</w:t>
      </w:r>
      <w:r>
        <w:rPr>
          <w:rFonts w:hint="eastAsia"/>
          <w:color w:val="auto"/>
          <w:spacing w:val="7"/>
          <w:lang w:val="en-US" w:eastAsia="zh-CN"/>
        </w:rPr>
        <w:t>刘露</w:t>
      </w:r>
    </w:p>
    <w:p w14:paraId="17A399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（4）邮 编：414100 </w:t>
      </w:r>
    </w:p>
    <w:p w14:paraId="6B8B79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val="en-US" w:eastAsia="zh-CN" w:bidi="ar"/>
        </w:rPr>
        <w:t>（5）电 话：13348600748</w:t>
      </w:r>
    </w:p>
    <w:p w14:paraId="53EC6D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（6）电子邮箱：/ </w:t>
      </w:r>
    </w:p>
    <w:p w14:paraId="2CD13C9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2、采购代理机构信息</w:t>
      </w:r>
    </w:p>
    <w:p w14:paraId="60D502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（1）名 称：湖南湘建智科工程技术有限公司 </w:t>
      </w:r>
    </w:p>
    <w:p w14:paraId="0B598C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（2）地 址：岳阳县荣家湾镇青山南路城南社区第三网格001栋东边六楼 </w:t>
      </w:r>
    </w:p>
    <w:p w14:paraId="080319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（3）联系人：陈卓 </w:t>
      </w:r>
    </w:p>
    <w:p w14:paraId="0FFEAE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（4）邮 编：414100 </w:t>
      </w:r>
    </w:p>
    <w:p w14:paraId="10B4B7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（5）电 话：19109832777 </w:t>
      </w:r>
    </w:p>
    <w:p w14:paraId="05F5DC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（6）电子邮箱：xjzktz88@163.com </w:t>
      </w:r>
    </w:p>
    <w:p w14:paraId="61324C1F">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50A706BD">
      <w:pPr>
        <w:pStyle w:val="3"/>
        <w:rPr>
          <w:rFonts w:hint="eastAsia" w:ascii="宋体" w:hAnsi="宋体" w:eastAsia="宋体" w:cs="宋体"/>
          <w:color w:val="auto"/>
          <w:sz w:val="24"/>
          <w:szCs w:val="24"/>
        </w:rPr>
      </w:pPr>
    </w:p>
    <w:p w14:paraId="304F703E">
      <w:pPr>
        <w:rPr>
          <w:rFonts w:hint="eastAsia" w:ascii="宋体" w:hAnsi="宋体" w:eastAsia="宋体" w:cs="宋体"/>
        </w:rPr>
      </w:pPr>
      <w:r>
        <w:rPr>
          <w:rFonts w:hint="eastAsia" w:ascii="宋体" w:hAnsi="宋体" w:eastAsia="宋体" w:cs="宋体"/>
        </w:rPr>
        <w:br w:type="page"/>
      </w:r>
    </w:p>
    <w:p w14:paraId="4B098F11">
      <w:pPr>
        <w:rPr>
          <w:rFonts w:hint="eastAsia" w:ascii="宋体" w:hAnsi="宋体" w:eastAsia="宋体" w:cs="宋体"/>
        </w:rPr>
      </w:pPr>
    </w:p>
    <w:p w14:paraId="1029B215">
      <w:pPr>
        <w:adjustRightInd w:val="0"/>
        <w:snapToGrid w:val="0"/>
        <w:spacing w:line="360" w:lineRule="auto"/>
        <w:jc w:val="center"/>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第二章 磋商须知</w:t>
      </w:r>
    </w:p>
    <w:p w14:paraId="0D196AD5">
      <w:pPr>
        <w:pStyle w:val="24"/>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磋商须知前附表</w:t>
      </w:r>
    </w:p>
    <w:tbl>
      <w:tblPr>
        <w:tblStyle w:val="43"/>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2180"/>
        <w:gridCol w:w="6140"/>
      </w:tblGrid>
      <w:tr w14:paraId="2328E4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601621D0">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b/>
                <w:color w:val="auto"/>
                <w:szCs w:val="21"/>
              </w:rPr>
              <w:t>一、说明</w:t>
            </w:r>
          </w:p>
        </w:tc>
      </w:tr>
      <w:tr w14:paraId="51E715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CD2CD04">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69197F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第1.1款</w:t>
            </w:r>
          </w:p>
        </w:tc>
        <w:tc>
          <w:tcPr>
            <w:tcW w:w="2180" w:type="dxa"/>
            <w:noWrap w:val="0"/>
            <w:vAlign w:val="center"/>
          </w:tcPr>
          <w:p w14:paraId="19936A40">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采购项目</w:t>
            </w:r>
          </w:p>
        </w:tc>
        <w:tc>
          <w:tcPr>
            <w:tcW w:w="6140" w:type="dxa"/>
            <w:noWrap w:val="0"/>
            <w:vAlign w:val="center"/>
          </w:tcPr>
          <w:p w14:paraId="5EDBC109">
            <w:pPr>
              <w:adjustRightInd w:val="0"/>
              <w:snapToGrid w:val="0"/>
              <w:spacing w:line="320" w:lineRule="exact"/>
              <w:rPr>
                <w:rFonts w:hint="eastAsia" w:ascii="宋体" w:hAnsi="宋体" w:eastAsia="宋体" w:cs="宋体"/>
                <w:color w:val="auto"/>
                <w:szCs w:val="21"/>
                <w:lang w:eastAsia="zh-CN"/>
              </w:rPr>
            </w:pPr>
            <w:r>
              <w:rPr>
                <w:rFonts w:hint="eastAsia" w:ascii="宋体" w:hAnsi="宋体" w:cs="宋体"/>
                <w:color w:val="auto"/>
                <w:szCs w:val="21"/>
                <w:u w:val="none"/>
                <w:lang w:val="en-US" w:eastAsia="zh-CN"/>
              </w:rPr>
              <w:t>岳阳县第一中学学生宿舍及教学楼建设项目（一期）代建制服务</w:t>
            </w:r>
          </w:p>
        </w:tc>
      </w:tr>
      <w:tr w14:paraId="2893AB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1B4780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2CD96CE1">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第2.1款</w:t>
            </w:r>
          </w:p>
        </w:tc>
        <w:tc>
          <w:tcPr>
            <w:tcW w:w="2180" w:type="dxa"/>
            <w:noWrap w:val="0"/>
            <w:vAlign w:val="center"/>
          </w:tcPr>
          <w:p w14:paraId="49F201B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采购人</w:t>
            </w:r>
          </w:p>
        </w:tc>
        <w:tc>
          <w:tcPr>
            <w:tcW w:w="6140" w:type="dxa"/>
            <w:noWrap w:val="0"/>
            <w:vAlign w:val="center"/>
          </w:tcPr>
          <w:p w14:paraId="03088D45">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采购人：</w:t>
            </w:r>
            <w:r>
              <w:rPr>
                <w:rFonts w:hint="eastAsia" w:ascii="宋体" w:hAnsi="宋体" w:cs="宋体"/>
                <w:color w:val="auto"/>
                <w:szCs w:val="21"/>
                <w:u w:val="none"/>
                <w:lang w:val="en-US" w:eastAsia="zh-CN"/>
              </w:rPr>
              <w:t>岳阳县教育体育局</w:t>
            </w:r>
            <w:r>
              <w:rPr>
                <w:rFonts w:hint="eastAsia" w:ascii="宋体" w:hAnsi="宋体" w:eastAsia="宋体" w:cs="宋体"/>
                <w:color w:val="auto"/>
                <w:szCs w:val="21"/>
                <w:u w:val="none"/>
                <w:lang w:val="en-US" w:eastAsia="zh-CN"/>
              </w:rPr>
              <w:t xml:space="preserve">           </w:t>
            </w:r>
          </w:p>
          <w:p w14:paraId="4B93DFF8">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地址： 岳阳县</w:t>
            </w:r>
          </w:p>
          <w:p w14:paraId="0A77927B">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联系人：</w:t>
            </w:r>
            <w:r>
              <w:rPr>
                <w:rFonts w:hint="eastAsia"/>
                <w:color w:val="auto"/>
                <w:spacing w:val="7"/>
                <w:lang w:eastAsia="zh-CN"/>
              </w:rPr>
              <w:t>刘露</w:t>
            </w:r>
            <w:r>
              <w:rPr>
                <w:rFonts w:hint="eastAsia" w:ascii="宋体" w:hAnsi="宋体" w:eastAsia="宋体" w:cs="宋体"/>
                <w:color w:val="auto"/>
                <w:szCs w:val="21"/>
                <w:u w:val="none"/>
                <w:lang w:val="en-US" w:eastAsia="zh-CN"/>
              </w:rPr>
              <w:t xml:space="preserve"> </w:t>
            </w:r>
          </w:p>
          <w:p w14:paraId="25994A43">
            <w:pPr>
              <w:adjustRightInd w:val="0"/>
              <w:snapToGrid w:val="0"/>
              <w:spacing w:line="320" w:lineRule="exact"/>
              <w:rPr>
                <w:rFonts w:hint="eastAsia" w:ascii="宋体" w:hAnsi="宋体" w:eastAsia="宋体" w:cs="宋体"/>
                <w:color w:val="auto"/>
                <w:szCs w:val="21"/>
                <w:u w:val="none"/>
                <w:lang w:eastAsia="zh-CN"/>
              </w:rPr>
            </w:pPr>
            <w:r>
              <w:rPr>
                <w:rFonts w:hint="eastAsia" w:ascii="宋体" w:hAnsi="宋体" w:eastAsia="宋体" w:cs="宋体"/>
                <w:color w:val="auto"/>
                <w:szCs w:val="21"/>
                <w:u w:val="none"/>
                <w:lang w:val="en-US" w:eastAsia="zh-CN"/>
              </w:rPr>
              <w:t>联系电话：</w:t>
            </w:r>
            <w:r>
              <w:rPr>
                <w:rFonts w:hint="eastAsia" w:eastAsia="宋体" w:cs="Times New Roman"/>
                <w:color w:val="auto"/>
                <w:spacing w:val="5"/>
                <w:lang w:eastAsia="zh-CN"/>
              </w:rPr>
              <w:t>13348600748</w:t>
            </w:r>
          </w:p>
        </w:tc>
      </w:tr>
      <w:tr w14:paraId="448628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EBE6E73">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0573A48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第2.2款</w:t>
            </w:r>
          </w:p>
        </w:tc>
        <w:tc>
          <w:tcPr>
            <w:tcW w:w="2180" w:type="dxa"/>
            <w:noWrap w:val="0"/>
            <w:vAlign w:val="center"/>
          </w:tcPr>
          <w:p w14:paraId="2695AEA8">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采购代理机构</w:t>
            </w:r>
          </w:p>
        </w:tc>
        <w:tc>
          <w:tcPr>
            <w:tcW w:w="6140" w:type="dxa"/>
            <w:noWrap w:val="0"/>
            <w:vAlign w:val="center"/>
          </w:tcPr>
          <w:p w14:paraId="7EC579D4">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名 称：湖南湘建智科工程技术有限公司 </w:t>
            </w:r>
          </w:p>
          <w:p w14:paraId="0925C761">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地 址：岳阳县荣家湾镇青山南路城南社区第三网格001栋东边六楼 </w:t>
            </w:r>
          </w:p>
          <w:p w14:paraId="211D9967">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联系人：陈卓 </w:t>
            </w:r>
          </w:p>
          <w:p w14:paraId="6FAA22BC">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邮 编：414100 </w:t>
            </w:r>
          </w:p>
          <w:p w14:paraId="31C9D7BA">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电 话：19109832777 </w:t>
            </w:r>
          </w:p>
          <w:p w14:paraId="6FFBB8D3">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电子邮箱：xjzktz88@163.com </w:t>
            </w:r>
          </w:p>
        </w:tc>
      </w:tr>
      <w:tr w14:paraId="05B9BF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4AE5489">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56E41C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第2.3款</w:t>
            </w:r>
          </w:p>
        </w:tc>
        <w:tc>
          <w:tcPr>
            <w:tcW w:w="2180" w:type="dxa"/>
            <w:noWrap w:val="0"/>
            <w:vAlign w:val="center"/>
          </w:tcPr>
          <w:p w14:paraId="65244FF7">
            <w:pPr>
              <w:adjustRightInd w:val="0"/>
              <w:snapToGrid w:val="0"/>
              <w:spacing w:line="320" w:lineRule="exact"/>
              <w:jc w:val="center"/>
              <w:rPr>
                <w:rFonts w:hint="eastAsia" w:ascii="宋体" w:hAnsi="宋体" w:eastAsia="宋体" w:cs="宋体"/>
                <w:bCs/>
                <w:color w:val="auto"/>
                <w:szCs w:val="21"/>
              </w:rPr>
            </w:pPr>
            <w:r>
              <w:rPr>
                <w:rFonts w:hint="eastAsia" w:ascii="宋体" w:hAnsi="宋体" w:eastAsia="宋体" w:cs="宋体"/>
                <w:color w:val="auto"/>
                <w:kern w:val="0"/>
                <w:szCs w:val="21"/>
              </w:rPr>
              <w:t>供应商的</w:t>
            </w:r>
            <w:r>
              <w:rPr>
                <w:rFonts w:hint="eastAsia" w:ascii="宋体" w:hAnsi="宋体" w:eastAsia="宋体" w:cs="宋体"/>
                <w:color w:val="auto"/>
                <w:szCs w:val="21"/>
              </w:rPr>
              <w:t>邀请方式</w:t>
            </w:r>
          </w:p>
        </w:tc>
        <w:tc>
          <w:tcPr>
            <w:tcW w:w="6140" w:type="dxa"/>
            <w:noWrap w:val="0"/>
            <w:vAlign w:val="center"/>
          </w:tcPr>
          <w:p w14:paraId="08E6C038">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发布公告</w:t>
            </w:r>
          </w:p>
          <w:p w14:paraId="61F92E43">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从省级以上财政部门建立的供应商库中随机抽取</w:t>
            </w:r>
          </w:p>
          <w:p w14:paraId="23F89A51">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采购人和评审专家分别书面推荐的方式</w:t>
            </w:r>
          </w:p>
        </w:tc>
      </w:tr>
      <w:tr w14:paraId="3CAD94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continue"/>
            <w:noWrap w:val="0"/>
            <w:vAlign w:val="center"/>
          </w:tcPr>
          <w:p w14:paraId="2517BF2F">
            <w:pPr>
              <w:adjustRightInd w:val="0"/>
              <w:snapToGrid w:val="0"/>
              <w:spacing w:line="320" w:lineRule="exact"/>
              <w:jc w:val="center"/>
              <w:rPr>
                <w:rFonts w:hint="eastAsia" w:ascii="宋体" w:hAnsi="宋体" w:eastAsia="宋体" w:cs="宋体"/>
                <w:color w:val="auto"/>
                <w:szCs w:val="21"/>
              </w:rPr>
            </w:pPr>
          </w:p>
        </w:tc>
        <w:tc>
          <w:tcPr>
            <w:tcW w:w="2180" w:type="dxa"/>
            <w:noWrap w:val="0"/>
            <w:vAlign w:val="center"/>
          </w:tcPr>
          <w:p w14:paraId="6A82F996">
            <w:pPr>
              <w:adjustRightInd w:val="0"/>
              <w:snapToGrid w:val="0"/>
              <w:spacing w:line="32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购买磋商文件时应提供的资料</w:t>
            </w:r>
          </w:p>
        </w:tc>
        <w:tc>
          <w:tcPr>
            <w:tcW w:w="6140" w:type="dxa"/>
            <w:noWrap w:val="0"/>
            <w:vAlign w:val="center"/>
          </w:tcPr>
          <w:p w14:paraId="2C856E61">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kern w:val="0"/>
                <w:sz w:val="21"/>
                <w:szCs w:val="21"/>
                <w:lang w:val="en-US" w:eastAsia="zh-CN" w:bidi="ar"/>
              </w:rPr>
              <w:t>投标人公司营业执照（复印件加盖公章）、法定代表人身份证明或授权委托书(附法定代表人身份证明)、法定代表人或委托人身份证</w:t>
            </w:r>
          </w:p>
        </w:tc>
      </w:tr>
      <w:tr w14:paraId="3F207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FC5CD4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19B502A">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第3.1款</w:t>
            </w:r>
          </w:p>
        </w:tc>
        <w:tc>
          <w:tcPr>
            <w:tcW w:w="2180" w:type="dxa"/>
            <w:noWrap w:val="0"/>
            <w:vAlign w:val="center"/>
          </w:tcPr>
          <w:p w14:paraId="2EA89D7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6140" w:type="dxa"/>
            <w:noWrap w:val="0"/>
            <w:vAlign w:val="center"/>
          </w:tcPr>
          <w:p w14:paraId="0B82FF0F">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宋体"/>
                <w:color w:val="auto"/>
                <w:szCs w:val="21"/>
              </w:rPr>
            </w:pPr>
            <w:r>
              <w:rPr>
                <w:rFonts w:hint="eastAsia" w:ascii="宋体" w:hAnsi="宋体" w:eastAsia="宋体" w:cs="宋体"/>
                <w:color w:val="auto"/>
                <w:szCs w:val="21"/>
              </w:rPr>
              <w:t>1、投标人的基本资格条件：应当符合《政府采购法》第二十二条规定的供应商条件，即：</w:t>
            </w:r>
          </w:p>
          <w:p w14:paraId="65F834F8">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（1）具有独立承担民事责任的能力；</w:t>
            </w:r>
          </w:p>
          <w:p w14:paraId="1535B0BE">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（2）具有良好的商业信誉和健全的财务会计制度；</w:t>
            </w:r>
          </w:p>
          <w:p w14:paraId="2354FA9E">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（3）具有履行合同所必需的设备和专业技术能力；</w:t>
            </w:r>
          </w:p>
          <w:p w14:paraId="3E151F0B">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（4）有依法缴纳税收和社会保障资金的良好记录；</w:t>
            </w:r>
          </w:p>
          <w:p w14:paraId="00D68B94">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（5）参加政府采购活动前三年内，在经营活动中没有重大违法记录；</w:t>
            </w:r>
          </w:p>
          <w:p w14:paraId="196471EC">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rPr>
              <w:t>（6）法律、行政法规规定的其他条件。</w:t>
            </w:r>
          </w:p>
          <w:p w14:paraId="2D0E25FF">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2、落实政府采购政策需满足的资格要求： </w:t>
            </w:r>
          </w:p>
          <w:p w14:paraId="1287F5BC">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sym w:font="Wingdings" w:char="00A8"/>
            </w:r>
            <w:r>
              <w:rPr>
                <w:rFonts w:hint="eastAsia" w:ascii="宋体" w:hAnsi="宋体" w:eastAsia="宋体" w:cs="宋体"/>
                <w:color w:val="auto"/>
                <w:szCs w:val="21"/>
                <w:lang w:val="en-US" w:eastAsia="zh-CN"/>
              </w:rPr>
              <w:t>专门面向：</w:t>
            </w:r>
            <w:r>
              <w:rPr>
                <w:rFonts w:hint="eastAsia" w:ascii="宋体" w:hAnsi="宋体" w:eastAsia="宋体" w:cs="宋体"/>
                <w:color w:val="auto"/>
                <w:szCs w:val="21"/>
                <w:lang w:val="en-US" w:eastAsia="zh-CN"/>
              </w:rPr>
              <w:sym w:font="Wingdings" w:char="00A8"/>
            </w:r>
            <w:r>
              <w:rPr>
                <w:rFonts w:hint="eastAsia" w:ascii="宋体" w:hAnsi="宋体" w:eastAsia="宋体" w:cs="宋体"/>
                <w:color w:val="auto"/>
                <w:szCs w:val="21"/>
                <w:lang w:val="en-US" w:eastAsia="zh-CN"/>
              </w:rPr>
              <w:t xml:space="preserve">中小企业 </w:t>
            </w:r>
            <w:r>
              <w:rPr>
                <w:rFonts w:hint="eastAsia" w:ascii="宋体" w:hAnsi="宋体" w:eastAsia="宋体" w:cs="宋体"/>
                <w:color w:val="auto"/>
                <w:szCs w:val="21"/>
                <w:lang w:val="en-US" w:eastAsia="zh-CN"/>
              </w:rPr>
              <w:sym w:font="Wingdings 2" w:char="00A3"/>
            </w:r>
            <w:r>
              <w:rPr>
                <w:rFonts w:hint="eastAsia" w:ascii="宋体" w:hAnsi="宋体" w:eastAsia="宋体" w:cs="宋体"/>
                <w:color w:val="auto"/>
                <w:szCs w:val="21"/>
                <w:lang w:val="en-US" w:eastAsia="zh-CN"/>
              </w:rPr>
              <w:t xml:space="preserve">小微企业 </w:t>
            </w:r>
            <w:r>
              <w:rPr>
                <w:rFonts w:hint="eastAsia" w:ascii="宋体" w:hAnsi="宋体" w:eastAsia="宋体" w:cs="宋体"/>
                <w:color w:val="auto"/>
                <w:szCs w:val="21"/>
                <w:lang w:val="en-US" w:eastAsia="zh-CN"/>
              </w:rPr>
              <w:sym w:font="Wingdings" w:char="00A8"/>
            </w:r>
            <w:r>
              <w:rPr>
                <w:rFonts w:hint="eastAsia" w:ascii="宋体" w:hAnsi="宋体" w:eastAsia="宋体" w:cs="宋体"/>
                <w:color w:val="auto"/>
                <w:szCs w:val="21"/>
                <w:lang w:val="en-US" w:eastAsia="zh-CN"/>
              </w:rPr>
              <w:t xml:space="preserve">监狱企业 </w:t>
            </w:r>
            <w:r>
              <w:rPr>
                <w:rFonts w:hint="eastAsia" w:ascii="宋体" w:hAnsi="宋体" w:eastAsia="宋体" w:cs="宋体"/>
                <w:color w:val="auto"/>
                <w:szCs w:val="21"/>
                <w:lang w:val="en-US" w:eastAsia="zh-CN"/>
              </w:rPr>
              <w:sym w:font="Wingdings" w:char="00A8"/>
            </w:r>
            <w:r>
              <w:rPr>
                <w:rFonts w:hint="eastAsia" w:ascii="宋体" w:hAnsi="宋体" w:eastAsia="宋体" w:cs="宋体"/>
                <w:color w:val="auto"/>
                <w:szCs w:val="21"/>
                <w:lang w:val="en-US" w:eastAsia="zh-CN"/>
              </w:rPr>
              <w:t xml:space="preserve">福利性单位 </w:t>
            </w:r>
          </w:p>
          <w:p w14:paraId="558DF1BE">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sym w:font="Wingdings" w:char="00A8"/>
            </w:r>
            <w:r>
              <w:rPr>
                <w:rFonts w:hint="eastAsia" w:ascii="宋体" w:hAnsi="宋体" w:eastAsia="宋体" w:cs="宋体"/>
                <w:color w:val="auto"/>
                <w:szCs w:val="21"/>
                <w:lang w:val="en-US" w:eastAsia="zh-CN"/>
              </w:rPr>
              <w:t>强制分包：大型企业应将采购份额的</w:t>
            </w:r>
            <w:r>
              <w:rPr>
                <w:rFonts w:hint="eastAsia" w:ascii="宋体" w:hAnsi="宋体" w:eastAsia="宋体" w:cs="宋体"/>
                <w:color w:val="auto"/>
                <w:szCs w:val="21"/>
                <w:u w:val="single"/>
                <w:lang w:val="en-US" w:eastAsia="zh-CN"/>
              </w:rPr>
              <w:t>     </w:t>
            </w:r>
            <w:r>
              <w:rPr>
                <w:rFonts w:hint="eastAsia" w:ascii="宋体" w:hAnsi="宋体" w:eastAsia="宋体" w:cs="宋体"/>
                <w:color w:val="auto"/>
                <w:szCs w:val="21"/>
                <w:lang w:val="en-US" w:eastAsia="zh-CN"/>
              </w:rPr>
              <w:t xml:space="preserve">%分包给中小企业。 </w:t>
            </w:r>
          </w:p>
          <w:p w14:paraId="316B1E91">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3、供应商特定资格条件： </w:t>
            </w:r>
          </w:p>
          <w:p w14:paraId="58A3DB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）供应商具有有效的营业执照、组织机构代码证、税务登记证（如供应商已办理三证合一，只提供营业执照）</w:t>
            </w:r>
            <w:r>
              <w:rPr>
                <w:rFonts w:hint="eastAsia" w:ascii="宋体" w:hAnsi="宋体" w:cs="宋体"/>
                <w:kern w:val="0"/>
                <w:sz w:val="21"/>
                <w:szCs w:val="21"/>
                <w:lang w:val="en-US" w:eastAsia="zh-CN" w:bidi="ar"/>
              </w:rPr>
              <w:t>；</w:t>
            </w:r>
          </w:p>
          <w:p w14:paraId="56C1B5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eastAsia="宋体"/>
                <w:spacing w:val="-40"/>
                <w:lang w:eastAsia="zh-CN"/>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w:t>
            </w:r>
            <w:r>
              <w:rPr>
                <w:spacing w:val="9"/>
              </w:rPr>
              <w:t>具有下列一项或者多项资质（资信</w:t>
            </w:r>
            <w:r>
              <w:rPr>
                <w:spacing w:val="-77"/>
              </w:rPr>
              <w:t>）：</w:t>
            </w:r>
            <w:r>
              <w:rPr>
                <w:spacing w:val="-90"/>
              </w:rPr>
              <w:t xml:space="preserve"> </w:t>
            </w:r>
            <w:r>
              <w:rPr>
                <w:spacing w:val="9"/>
              </w:rPr>
              <w:t>工程咨询</w:t>
            </w:r>
            <w:r>
              <w:rPr>
                <w:rFonts w:hint="eastAsia"/>
                <w:color w:val="0000FF"/>
                <w:spacing w:val="9"/>
                <w:lang w:val="en-US" w:eastAsia="zh-CN"/>
              </w:rPr>
              <w:t>建</w:t>
            </w:r>
            <w:r>
              <w:rPr>
                <w:color w:val="0000FF"/>
                <w:spacing w:val="9"/>
              </w:rPr>
              <w:t>筑工程</w:t>
            </w:r>
            <w:r>
              <w:rPr>
                <w:spacing w:val="8"/>
              </w:rPr>
              <w:t>专业甲级或综合甲级、工程监理</w:t>
            </w:r>
            <w:r>
              <w:rPr>
                <w:color w:val="0000FF"/>
                <w:spacing w:val="8"/>
              </w:rPr>
              <w:t>房屋建筑工程</w:t>
            </w:r>
            <w:r>
              <w:rPr>
                <w:spacing w:val="8"/>
              </w:rPr>
              <w:t>（资质类别）甲</w:t>
            </w:r>
            <w:r>
              <w:rPr>
                <w:spacing w:val="14"/>
              </w:rPr>
              <w:t>级或综合资质、工程设计</w:t>
            </w:r>
            <w:r>
              <w:rPr>
                <w:color w:val="0000FF"/>
                <w:spacing w:val="14"/>
              </w:rPr>
              <w:t>建筑工程</w:t>
            </w:r>
            <w:r>
              <w:rPr>
                <w:spacing w:val="14"/>
              </w:rPr>
              <w:t>专业甲级或综合甲级、</w:t>
            </w:r>
            <w:r>
              <w:rPr>
                <w:color w:val="0000FF"/>
                <w:spacing w:val="14"/>
              </w:rPr>
              <w:t>建筑</w:t>
            </w:r>
            <w:r>
              <w:rPr>
                <w:color w:val="0000FF"/>
                <w:spacing w:val="3"/>
              </w:rPr>
              <w:t>工程</w:t>
            </w:r>
            <w:r>
              <w:rPr>
                <w:spacing w:val="3"/>
              </w:rPr>
              <w:t>（资质类别）施工总承包一级及以上、房地产开发一级</w:t>
            </w:r>
            <w:r>
              <w:rPr>
                <w:rFonts w:hint="eastAsia"/>
                <w:spacing w:val="-40"/>
                <w:lang w:eastAsia="zh-CN"/>
              </w:rPr>
              <w:t>；</w:t>
            </w:r>
          </w:p>
          <w:p w14:paraId="369E0A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color w:val="auto"/>
                <w:spacing w:val="3"/>
                <w:highlight w:val="yellow"/>
                <w:lang w:val="en-US" w:eastAsia="zh-CN"/>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）拟任代建项目经理</w:t>
            </w:r>
            <w:r>
              <w:rPr>
                <w:spacing w:val="6"/>
              </w:rPr>
              <w:t>具备</w:t>
            </w:r>
            <w:r>
              <w:rPr>
                <w:color w:val="0000FF"/>
                <w:spacing w:val="6"/>
              </w:rPr>
              <w:t>中级及以上</w:t>
            </w:r>
            <w:r>
              <w:rPr>
                <w:spacing w:val="7"/>
              </w:rPr>
              <w:t>专业技术职称，并具有下列一项或者多项资质：注册咨询</w:t>
            </w:r>
            <w:r>
              <w:rPr>
                <w:spacing w:val="3"/>
              </w:rPr>
              <w:t>工程师（投资）、一级注册建造师</w:t>
            </w:r>
            <w:r>
              <w:rPr>
                <w:color w:val="0000FF"/>
                <w:spacing w:val="3"/>
              </w:rPr>
              <w:t>建筑工程</w:t>
            </w:r>
            <w:r>
              <w:rPr>
                <w:spacing w:val="3"/>
              </w:rPr>
              <w:t>专业、一级注册建筑师、一级注册结构工程师</w:t>
            </w:r>
            <w:r>
              <w:rPr>
                <w:spacing w:val="1"/>
              </w:rPr>
              <w:t>、</w:t>
            </w:r>
            <w:r>
              <w:rPr>
                <w:spacing w:val="15"/>
              </w:rPr>
              <w:t>国家注册监理工程师</w:t>
            </w:r>
            <w:r>
              <w:rPr>
                <w:color w:val="0000FF"/>
                <w:spacing w:val="15"/>
              </w:rPr>
              <w:t>房屋建筑工程</w:t>
            </w:r>
            <w:r>
              <w:rPr>
                <w:spacing w:val="15"/>
              </w:rPr>
              <w:t>专业</w:t>
            </w:r>
            <w:r>
              <w:rPr>
                <w:rFonts w:hint="eastAsia"/>
                <w:color w:val="FF0000"/>
                <w:spacing w:val="15"/>
                <w:lang w:eastAsia="zh-CN"/>
              </w:rPr>
              <w:t>。</w:t>
            </w:r>
            <w:r>
              <w:rPr>
                <w:rFonts w:hint="eastAsia"/>
                <w:color w:val="auto"/>
                <w:spacing w:val="15"/>
                <w:highlight w:val="yellow"/>
                <w:lang w:val="en-US" w:eastAsia="zh-CN"/>
              </w:rPr>
              <w:t>提</w:t>
            </w:r>
            <w:r>
              <w:rPr>
                <w:rFonts w:hint="eastAsia"/>
                <w:color w:val="auto"/>
                <w:spacing w:val="3"/>
                <w:highlight w:val="yellow"/>
                <w:lang w:val="en-US" w:eastAsia="zh-CN"/>
              </w:rPr>
              <w:t>供项目经理无在建承诺书和近三个月任意一个月社保证明；</w:t>
            </w:r>
          </w:p>
          <w:p w14:paraId="04717C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color w:val="auto"/>
                <w:spacing w:val="3"/>
                <w:highlight w:val="yellow"/>
                <w:lang w:val="en-US" w:eastAsia="zh-CN"/>
              </w:rPr>
            </w:pPr>
            <w:r>
              <w:rPr>
                <w:rFonts w:hint="eastAsia"/>
                <w:lang w:val="en-US" w:eastAsia="zh-CN"/>
              </w:rPr>
              <w:t>（4）拟任现场管理1人，</w:t>
            </w:r>
            <w:r>
              <w:rPr>
                <w:spacing w:val="6"/>
              </w:rPr>
              <w:t>具备</w:t>
            </w:r>
            <w:r>
              <w:rPr>
                <w:color w:val="0000FF"/>
                <w:spacing w:val="6"/>
              </w:rPr>
              <w:t>中级及以上</w:t>
            </w:r>
            <w:r>
              <w:rPr>
                <w:spacing w:val="7"/>
              </w:rPr>
              <w:t>专业技术职称，并</w:t>
            </w:r>
            <w:r>
              <w:rPr>
                <w:rFonts w:hint="eastAsia"/>
                <w:spacing w:val="7"/>
                <w:lang w:val="en-US" w:eastAsia="zh-CN"/>
              </w:rPr>
              <w:t>具备以下资质之一</w:t>
            </w:r>
            <w:r>
              <w:rPr>
                <w:spacing w:val="7"/>
              </w:rPr>
              <w:t>：</w:t>
            </w:r>
            <w:r>
              <w:rPr>
                <w:rFonts w:hint="eastAsia" w:ascii="Times New Roman" w:hAnsi="Times New Roman" w:eastAsia="宋体" w:cs="宋体"/>
                <w:color w:val="auto"/>
                <w:highlight w:val="none"/>
                <w:lang w:eastAsia="zh-CN"/>
              </w:rPr>
              <w:t>注册建造师二级及以上、注册造价工程师二级及以上、注册结构工程师二级及以上、注册公用设备工程师、注册电气工程师、注册咨询工程师（投资）、注册监理工程师、中级注册安全工程师（建筑施工安全），</w:t>
            </w:r>
            <w:r>
              <w:rPr>
                <w:rFonts w:hint="eastAsia"/>
                <w:color w:val="auto"/>
                <w:spacing w:val="15"/>
                <w:highlight w:val="yellow"/>
                <w:lang w:val="en-US" w:eastAsia="zh-CN"/>
              </w:rPr>
              <w:t>提</w:t>
            </w:r>
            <w:r>
              <w:rPr>
                <w:rFonts w:hint="eastAsia"/>
                <w:color w:val="auto"/>
                <w:spacing w:val="3"/>
                <w:highlight w:val="yellow"/>
                <w:lang w:val="en-US" w:eastAsia="zh-CN"/>
              </w:rPr>
              <w:t>供无在建承诺书和近三个月任意一个月社保证明；</w:t>
            </w:r>
          </w:p>
          <w:p w14:paraId="6EBFBC3E">
            <w:pPr>
              <w:pStyle w:val="24"/>
              <w:bidi w:val="0"/>
              <w:spacing w:line="360" w:lineRule="auto"/>
              <w:ind w:firstLine="420" w:firstLineChars="200"/>
              <w:rPr>
                <w:rFonts w:hint="eastAsia" w:ascii="Times New Roman" w:hAnsi="Times New Roman" w:eastAsia="宋体" w:cs="宋体"/>
                <w:color w:val="auto"/>
                <w:highlight w:val="none"/>
                <w:lang w:eastAsia="zh-CN"/>
              </w:rPr>
            </w:pPr>
            <w:r>
              <w:rPr>
                <w:rFonts w:hint="eastAsia" w:hAnsi="宋体" w:cs="宋体"/>
                <w:kern w:val="0"/>
                <w:sz w:val="21"/>
                <w:szCs w:val="21"/>
                <w:highlight w:val="yellow"/>
                <w:lang w:val="en-US" w:eastAsia="zh-CN" w:bidi="ar"/>
              </w:rPr>
              <w:t>（5）拟任设计管理1人，</w:t>
            </w:r>
            <w:r>
              <w:rPr>
                <w:spacing w:val="6"/>
              </w:rPr>
              <w:t>具备</w:t>
            </w:r>
            <w:r>
              <w:rPr>
                <w:color w:val="0000FF"/>
                <w:spacing w:val="6"/>
              </w:rPr>
              <w:t>中级及以上</w:t>
            </w:r>
            <w:r>
              <w:rPr>
                <w:spacing w:val="7"/>
              </w:rPr>
              <w:t>专业技术职称，并</w:t>
            </w:r>
            <w:r>
              <w:rPr>
                <w:rFonts w:hint="eastAsia"/>
                <w:spacing w:val="7"/>
                <w:lang w:val="en-US" w:eastAsia="zh-CN"/>
              </w:rPr>
              <w:t>具备以下资质之一</w:t>
            </w:r>
            <w:r>
              <w:rPr>
                <w:spacing w:val="7"/>
              </w:rPr>
              <w:t>：</w:t>
            </w:r>
            <w:r>
              <w:rPr>
                <w:rFonts w:hint="eastAsia" w:ascii="Times New Roman" w:hAnsi="Times New Roman" w:eastAsia="宋体" w:cs="宋体"/>
                <w:color w:val="auto"/>
                <w:highlight w:val="none"/>
                <w:lang w:eastAsia="zh-CN"/>
              </w:rPr>
              <w:t>注册建筑师二级及以上、注册结构工程师二级及以上、注册公用设备工程师（仅限机电安装工程代建单位招标选用）</w:t>
            </w:r>
            <w:r>
              <w:rPr>
                <w:rFonts w:hint="eastAsia" w:ascii="Times New Roman" w:hAnsi="Times New Roman" w:cs="宋体"/>
                <w:color w:val="auto"/>
                <w:highlight w:val="none"/>
                <w:lang w:eastAsia="zh-CN"/>
              </w:rPr>
              <w:t>。</w:t>
            </w:r>
            <w:r>
              <w:rPr>
                <w:rFonts w:hint="eastAsia" w:ascii="Times New Roman" w:hAnsi="Times New Roman" w:cs="宋体"/>
                <w:color w:val="auto"/>
                <w:highlight w:val="none"/>
                <w:lang w:val="en-US" w:eastAsia="zh-CN"/>
              </w:rPr>
              <w:t>提供</w:t>
            </w:r>
            <w:r>
              <w:rPr>
                <w:rFonts w:hint="eastAsia"/>
                <w:color w:val="auto"/>
                <w:spacing w:val="3"/>
                <w:highlight w:val="yellow"/>
                <w:lang w:val="en-US" w:eastAsia="zh-CN"/>
              </w:rPr>
              <w:t>近三个月任意一个月社保证明；</w:t>
            </w:r>
          </w:p>
          <w:p w14:paraId="402EB3C7">
            <w:pPr>
              <w:pStyle w:val="24"/>
              <w:bidi w:val="0"/>
              <w:spacing w:line="360" w:lineRule="auto"/>
              <w:ind w:firstLine="420" w:firstLineChars="200"/>
              <w:rPr>
                <w:rFonts w:hint="eastAsia" w:ascii="Times New Roman" w:hAnsi="Times New Roman" w:eastAsia="宋体" w:cs="宋体"/>
                <w:color w:val="auto"/>
                <w:highlight w:val="none"/>
                <w:lang w:eastAsia="zh-CN"/>
              </w:rPr>
            </w:pPr>
            <w:r>
              <w:rPr>
                <w:rFonts w:hint="eastAsia" w:ascii="Times New Roman" w:hAnsi="Times New Roman" w:eastAsia="宋体" w:cs="宋体"/>
                <w:color w:val="auto"/>
                <w:highlight w:val="none"/>
                <w:lang w:eastAsia="zh-CN"/>
              </w:rPr>
              <w:t>（</w:t>
            </w:r>
            <w:r>
              <w:rPr>
                <w:rFonts w:hint="eastAsia" w:ascii="Times New Roman" w:hAnsi="Times New Roman" w:eastAsia="宋体" w:cs="宋体"/>
                <w:color w:val="auto"/>
                <w:highlight w:val="none"/>
                <w:lang w:val="en-US" w:eastAsia="zh-CN"/>
              </w:rPr>
              <w:t>6）</w:t>
            </w:r>
            <w:r>
              <w:rPr>
                <w:rFonts w:hint="eastAsia" w:hAnsi="宋体" w:cs="宋体"/>
                <w:kern w:val="0"/>
                <w:sz w:val="21"/>
                <w:szCs w:val="21"/>
                <w:highlight w:val="yellow"/>
                <w:lang w:val="en-US" w:eastAsia="zh-CN" w:bidi="ar"/>
              </w:rPr>
              <w:t>拟任造价管理1人，</w:t>
            </w:r>
            <w:r>
              <w:rPr>
                <w:spacing w:val="6"/>
              </w:rPr>
              <w:t>具备</w:t>
            </w:r>
            <w:r>
              <w:rPr>
                <w:color w:val="0000FF"/>
                <w:spacing w:val="6"/>
              </w:rPr>
              <w:t>中级及以上</w:t>
            </w:r>
            <w:r>
              <w:rPr>
                <w:spacing w:val="7"/>
              </w:rPr>
              <w:t>专业技术职称，并</w:t>
            </w:r>
            <w:r>
              <w:rPr>
                <w:rFonts w:hint="eastAsia" w:ascii="Times New Roman" w:hAnsi="Times New Roman" w:eastAsia="宋体" w:cs="宋体"/>
                <w:color w:val="auto"/>
                <w:highlight w:val="none"/>
                <w:lang w:eastAsia="zh-CN"/>
              </w:rPr>
              <w:t>具备注册造价工程师二级及以上资质</w:t>
            </w:r>
            <w:r>
              <w:rPr>
                <w:rFonts w:hint="eastAsia" w:ascii="Times New Roman" w:hAnsi="Times New Roman" w:cs="宋体"/>
                <w:color w:val="auto"/>
                <w:highlight w:val="none"/>
                <w:lang w:eastAsia="zh-CN"/>
              </w:rPr>
              <w:t>。</w:t>
            </w:r>
            <w:r>
              <w:rPr>
                <w:rFonts w:hint="eastAsia" w:ascii="Times New Roman" w:hAnsi="Times New Roman" w:cs="宋体"/>
                <w:color w:val="auto"/>
                <w:highlight w:val="none"/>
                <w:lang w:val="en-US" w:eastAsia="zh-CN"/>
              </w:rPr>
              <w:t>提供</w:t>
            </w:r>
            <w:r>
              <w:rPr>
                <w:rFonts w:hint="eastAsia"/>
                <w:color w:val="auto"/>
                <w:spacing w:val="3"/>
                <w:highlight w:val="yellow"/>
                <w:lang w:val="en-US" w:eastAsia="zh-CN"/>
              </w:rPr>
              <w:t>近三个月任意一个月社保证明；</w:t>
            </w:r>
          </w:p>
          <w:p w14:paraId="0EEEA711">
            <w:pPr>
              <w:widowControl w:val="0"/>
              <w:kinsoku/>
              <w:wordWrap w:val="0"/>
              <w:spacing w:line="240" w:lineRule="auto"/>
              <w:ind w:firstLine="420" w:firstLineChars="200"/>
              <w:jc w:val="both"/>
              <w:rPr>
                <w:rFonts w:ascii="宋体" w:hAnsi="Courier New" w:eastAsia="宋体" w:cs="Courier New"/>
                <w:spacing w:val="7"/>
                <w:kern w:val="2"/>
                <w:sz w:val="21"/>
                <w:szCs w:val="21"/>
                <w:lang w:val="en-US" w:eastAsia="zh-CN" w:bidi="ar-SA"/>
              </w:rPr>
            </w:pPr>
            <w:r>
              <w:rPr>
                <w:rFonts w:hint="eastAsia" w:ascii="宋体" w:hAnsi="宋体" w:cs="宋体"/>
                <w:kern w:val="0"/>
                <w:sz w:val="21"/>
                <w:szCs w:val="21"/>
                <w:highlight w:val="yellow"/>
                <w:lang w:val="en-US" w:eastAsia="zh-CN" w:bidi="ar"/>
              </w:rPr>
              <w:t>（</w:t>
            </w:r>
            <w:r>
              <w:rPr>
                <w:rFonts w:hint="eastAsia" w:hAnsi="宋体" w:cs="宋体"/>
                <w:kern w:val="0"/>
                <w:sz w:val="21"/>
                <w:szCs w:val="21"/>
                <w:highlight w:val="yellow"/>
                <w:lang w:val="en-US" w:eastAsia="zh-CN" w:bidi="ar"/>
              </w:rPr>
              <w:t>7</w:t>
            </w:r>
            <w:r>
              <w:rPr>
                <w:rFonts w:hint="eastAsia" w:ascii="宋体" w:hAnsi="宋体" w:cs="宋体"/>
                <w:kern w:val="0"/>
                <w:sz w:val="21"/>
                <w:szCs w:val="21"/>
                <w:highlight w:val="yellow"/>
                <w:lang w:val="en-US" w:eastAsia="zh-CN" w:bidi="ar"/>
              </w:rPr>
              <w:t>）</w:t>
            </w:r>
            <w:r>
              <w:rPr>
                <w:rFonts w:hint="eastAsia" w:hAnsi="宋体" w:cs="宋体"/>
                <w:kern w:val="0"/>
                <w:sz w:val="21"/>
                <w:szCs w:val="21"/>
                <w:highlight w:val="yellow"/>
                <w:lang w:val="en-US" w:eastAsia="zh-CN" w:bidi="ar"/>
              </w:rPr>
              <w:t>信誉要求。</w:t>
            </w:r>
            <w:r>
              <w:rPr>
                <w:rFonts w:hint="eastAsia" w:ascii="宋体" w:hAnsi="Courier New" w:eastAsia="宋体" w:cs="Courier New"/>
                <w:spacing w:val="7"/>
                <w:kern w:val="2"/>
                <w:sz w:val="21"/>
                <w:szCs w:val="21"/>
                <w:lang w:val="en-US" w:eastAsia="zh-CN" w:bidi="ar-SA"/>
              </w:rPr>
              <w:t>投标人不得存在下列情形之一：</w:t>
            </w:r>
          </w:p>
          <w:p w14:paraId="0C8A778C">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1）为招标人的附属机构；</w:t>
            </w:r>
          </w:p>
          <w:p w14:paraId="7289C1CB">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2）被暂停或取消投标资格；</w:t>
            </w:r>
          </w:p>
          <w:p w14:paraId="1B0DB6B9">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3）财产被接管或冻结；</w:t>
            </w:r>
          </w:p>
          <w:p w14:paraId="141230FB">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eastAsia="宋体" w:cs="Courier New"/>
                <w:spacing w:val="7"/>
                <w:kern w:val="2"/>
                <w:sz w:val="21"/>
                <w:szCs w:val="21"/>
                <w:lang w:val="en-US" w:eastAsia="zh-CN" w:bidi="ar-SA"/>
              </w:rPr>
              <w:t>4）与招标人或招标代理机构存在利害关系，可能影响招标公正性的（为代建项目提供项目建议书、可研咨询服务的情形除外）；</w:t>
            </w:r>
          </w:p>
          <w:p w14:paraId="16D596E0">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5</w:t>
            </w:r>
            <w:r>
              <w:rPr>
                <w:rFonts w:hint="eastAsia" w:ascii="宋体" w:hAnsi="Courier New" w:eastAsia="宋体" w:cs="Courier New"/>
                <w:spacing w:val="7"/>
                <w:kern w:val="2"/>
                <w:sz w:val="21"/>
                <w:szCs w:val="21"/>
                <w:lang w:val="en-US" w:eastAsia="zh-CN" w:bidi="ar-SA"/>
              </w:rPr>
              <w:t>）被依法责令停业；</w:t>
            </w:r>
          </w:p>
          <w:p w14:paraId="426759D9">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6</w:t>
            </w:r>
            <w:r>
              <w:rPr>
                <w:rFonts w:hint="eastAsia" w:ascii="宋体" w:hAnsi="Courier New" w:eastAsia="宋体" w:cs="Courier New"/>
                <w:spacing w:val="7"/>
                <w:kern w:val="2"/>
                <w:sz w:val="21"/>
                <w:szCs w:val="21"/>
                <w:lang w:val="en-US" w:eastAsia="zh-CN" w:bidi="ar-SA"/>
              </w:rPr>
              <w:t>）近三年承接的项目发生过较大以上责任事故；</w:t>
            </w:r>
          </w:p>
          <w:p w14:paraId="18D6F719">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7</w:t>
            </w:r>
            <w:r>
              <w:rPr>
                <w:rFonts w:hint="eastAsia" w:ascii="宋体" w:hAnsi="Courier New" w:eastAsia="宋体" w:cs="Courier New"/>
                <w:spacing w:val="7"/>
                <w:kern w:val="2"/>
                <w:sz w:val="21"/>
                <w:szCs w:val="21"/>
                <w:lang w:val="en-US" w:eastAsia="zh-CN" w:bidi="ar-SA"/>
              </w:rPr>
              <w:t>）近三年内存在严重违法、违约等不良记录；</w:t>
            </w:r>
          </w:p>
          <w:p w14:paraId="34CF4399">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8</w:t>
            </w:r>
            <w:r>
              <w:rPr>
                <w:rFonts w:hint="eastAsia" w:ascii="宋体" w:hAnsi="Courier New" w:eastAsia="宋体" w:cs="Courier New"/>
                <w:spacing w:val="7"/>
                <w:kern w:val="2"/>
                <w:sz w:val="21"/>
                <w:szCs w:val="21"/>
                <w:lang w:val="en-US" w:eastAsia="zh-CN" w:bidi="ar-SA"/>
              </w:rPr>
              <w:t>）被禁止参与代建活动；</w:t>
            </w:r>
          </w:p>
          <w:p w14:paraId="2FAD06DC">
            <w:pPr>
              <w:widowControl w:val="0"/>
              <w:kinsoku/>
              <w:wordWrap w:val="0"/>
              <w:spacing w:line="576" w:lineRule="exact"/>
              <w:ind w:firstLine="448" w:firstLineChars="200"/>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9</w:t>
            </w:r>
            <w:r>
              <w:rPr>
                <w:rFonts w:hint="eastAsia" w:ascii="宋体" w:hAnsi="Courier New" w:eastAsia="宋体" w:cs="Courier New"/>
                <w:spacing w:val="7"/>
                <w:kern w:val="2"/>
                <w:sz w:val="21"/>
                <w:szCs w:val="21"/>
                <w:lang w:val="en-US" w:eastAsia="zh-CN" w:bidi="ar-SA"/>
              </w:rPr>
              <w:t>）至投标截止时间，在“信用中国”网站（www.creditchina.gov.cn）、“信用湖南”网站（credit.fgw.hunan.gov.cn）中查询存在严重失信主体名单、安全生产领域严重失信惩戒名单、拖欠农民工工资失信联合惩戒对象名单，在中国执行信息公开网（http://zxgk.court.gov.cn/shixin/）中查询存在失信被执行人；</w:t>
            </w:r>
          </w:p>
          <w:p w14:paraId="49948909">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10</w:t>
            </w:r>
            <w:r>
              <w:rPr>
                <w:rFonts w:hint="eastAsia" w:ascii="宋体" w:hAnsi="Courier New" w:eastAsia="宋体" w:cs="Courier New"/>
                <w:spacing w:val="7"/>
                <w:kern w:val="2"/>
                <w:sz w:val="21"/>
                <w:szCs w:val="21"/>
                <w:lang w:val="en-US" w:eastAsia="zh-CN" w:bidi="ar-SA"/>
              </w:rPr>
              <w:t>）存在法律法规规定不允许参加招标投标活动的情形；</w:t>
            </w:r>
          </w:p>
          <w:p w14:paraId="6410330B">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11</w:t>
            </w:r>
            <w:r>
              <w:rPr>
                <w:rFonts w:hint="eastAsia" w:ascii="宋体" w:hAnsi="Courier New" w:eastAsia="宋体" w:cs="Courier New"/>
                <w:spacing w:val="7"/>
                <w:kern w:val="2"/>
                <w:sz w:val="21"/>
                <w:szCs w:val="21"/>
                <w:lang w:val="en-US" w:eastAsia="zh-CN" w:bidi="ar-SA"/>
              </w:rPr>
              <w:t>）被依法暂停或者取消投标资格；</w:t>
            </w:r>
          </w:p>
          <w:p w14:paraId="3D8C1894">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12</w:t>
            </w:r>
            <w:r>
              <w:rPr>
                <w:rFonts w:hint="eastAsia" w:ascii="宋体" w:hAnsi="Courier New" w:eastAsia="宋体" w:cs="Courier New"/>
                <w:spacing w:val="7"/>
                <w:kern w:val="2"/>
                <w:sz w:val="21"/>
                <w:szCs w:val="21"/>
                <w:lang w:val="en-US" w:eastAsia="zh-CN" w:bidi="ar-SA"/>
              </w:rPr>
              <w:t>）被责令停业，暂扣或者吊销执照，或吊销资质证书；</w:t>
            </w:r>
          </w:p>
          <w:p w14:paraId="216682BD">
            <w:pPr>
              <w:widowControl w:val="0"/>
              <w:kinsoku/>
              <w:wordWrap w:val="0"/>
              <w:spacing w:line="576" w:lineRule="exact"/>
              <w:jc w:val="both"/>
              <w:rPr>
                <w:rFonts w:ascii="宋体" w:hAnsi="Courier New" w:eastAsia="宋体" w:cs="Courier New"/>
                <w:spacing w:val="7"/>
                <w:kern w:val="2"/>
                <w:sz w:val="21"/>
                <w:szCs w:val="21"/>
                <w:lang w:val="en-US" w:eastAsia="zh-CN" w:bidi="ar-SA"/>
              </w:rPr>
            </w:pPr>
            <w:r>
              <w:rPr>
                <w:rFonts w:hint="eastAsia" w:ascii="宋体" w:hAnsi="Courier New" w:cs="Courier New"/>
                <w:spacing w:val="7"/>
                <w:kern w:val="2"/>
                <w:sz w:val="21"/>
                <w:szCs w:val="21"/>
                <w:lang w:val="en-US" w:eastAsia="zh-CN" w:bidi="ar-SA"/>
              </w:rPr>
              <w:t>13</w:t>
            </w:r>
            <w:r>
              <w:rPr>
                <w:rFonts w:hint="eastAsia" w:ascii="宋体" w:hAnsi="Courier New" w:eastAsia="宋体" w:cs="Courier New"/>
                <w:spacing w:val="7"/>
                <w:kern w:val="2"/>
                <w:sz w:val="21"/>
                <w:szCs w:val="21"/>
                <w:lang w:val="en-US" w:eastAsia="zh-CN" w:bidi="ar-SA"/>
              </w:rPr>
              <w:t>）进入清算程序，或被宣告破产，或其他丧失履约能力的情形。</w:t>
            </w:r>
          </w:p>
          <w:p w14:paraId="4F7AE0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highlight w:val="yellow"/>
                <w:lang w:val="en-US" w:eastAsia="zh-CN" w:bidi="ar"/>
              </w:rPr>
            </w:pPr>
            <w:r>
              <w:rPr>
                <w:rFonts w:hint="eastAsia" w:ascii="宋体" w:hAnsi="宋体" w:eastAsia="宋体" w:cs="宋体"/>
                <w:kern w:val="0"/>
                <w:sz w:val="21"/>
                <w:szCs w:val="21"/>
                <w:highlight w:val="yellow"/>
                <w:lang w:val="en-US" w:eastAsia="zh-CN" w:bidi="ar"/>
              </w:rPr>
              <w:t>注：根据《湖南省财政厅关于政府采购促进中小企业发展有关措施的通知》，不再要求供应商提供相关财务状况、缴纳税收和社会保障资金等资格证明材料，改为书面承诺。经采购人或监管部门查实，提供虚假承诺的供应商将以虚假资料谋取中标（成交）的违法行为，被列入不良记录名单，采购人有权取消其中标资格不良记录名单，采购人有权取消其中标资格。</w:t>
            </w:r>
          </w:p>
          <w:p w14:paraId="0A17F300">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4、单位负责人为同一人或者存在直接控股、管理关系的不同投标人，不得参加同一合同项下的政府采购活动。 </w:t>
            </w:r>
          </w:p>
          <w:p w14:paraId="5CB8E8FC">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5、为本采购项目提供整体设计、规范编制或者项目管理、监理、检测等服务的，不得再参加此项目的其他采购活动。 </w:t>
            </w:r>
          </w:p>
          <w:p w14:paraId="0AF2F80F">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6、列入失信被执行人、重大税收违法失信主体名单、政府采购严重违法失信行为记录名单的，拒绝其参与政府采购活动。 </w:t>
            </w:r>
          </w:p>
          <w:p w14:paraId="45431FD2">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宋体"/>
                <w:lang w:val="en-US" w:eastAsia="zh-CN"/>
              </w:rPr>
            </w:pPr>
            <w:r>
              <w:rPr>
                <w:rFonts w:hint="eastAsia" w:ascii="宋体" w:hAnsi="宋体" w:eastAsia="宋体" w:cs="宋体"/>
                <w:color w:val="auto"/>
                <w:szCs w:val="21"/>
                <w:lang w:val="en-US" w:eastAsia="zh-CN"/>
              </w:rPr>
              <w:t>7、联合体投标。本次招标</w:t>
            </w:r>
            <w:r>
              <w:rPr>
                <w:rFonts w:hint="eastAsia" w:ascii="宋体" w:hAnsi="宋体" w:eastAsia="宋体" w:cs="宋体"/>
                <w:color w:val="auto"/>
                <w:szCs w:val="21"/>
                <w:u w:val="single"/>
                <w:lang w:val="en-US" w:eastAsia="zh-CN"/>
              </w:rPr>
              <w:t>不接受</w:t>
            </w:r>
            <w:r>
              <w:rPr>
                <w:rFonts w:hint="eastAsia" w:ascii="宋体" w:hAnsi="宋体" w:eastAsia="宋体" w:cs="宋体"/>
                <w:color w:val="auto"/>
                <w:szCs w:val="21"/>
                <w:lang w:val="en-US" w:eastAsia="zh-CN"/>
              </w:rPr>
              <w:t xml:space="preserve">联合体投标。 </w:t>
            </w:r>
          </w:p>
        </w:tc>
      </w:tr>
      <w:tr w14:paraId="6AA786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8351690">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058ED1A9">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第6.1款</w:t>
            </w:r>
          </w:p>
        </w:tc>
        <w:tc>
          <w:tcPr>
            <w:tcW w:w="2180" w:type="dxa"/>
            <w:noWrap w:val="0"/>
            <w:vAlign w:val="center"/>
          </w:tcPr>
          <w:p w14:paraId="1EFBE82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联合体形式</w:t>
            </w:r>
          </w:p>
        </w:tc>
        <w:tc>
          <w:tcPr>
            <w:tcW w:w="6140" w:type="dxa"/>
            <w:noWrap w:val="0"/>
            <w:vAlign w:val="center"/>
          </w:tcPr>
          <w:p w14:paraId="3565E442">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不接受</w:t>
            </w:r>
          </w:p>
          <w:p w14:paraId="6CFE1C79">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接受</w:t>
            </w:r>
          </w:p>
        </w:tc>
      </w:tr>
      <w:tr w14:paraId="3D566F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59" w:hRule="atLeast"/>
          <w:jc w:val="center"/>
        </w:trPr>
        <w:tc>
          <w:tcPr>
            <w:tcW w:w="1256" w:type="dxa"/>
            <w:noWrap w:val="0"/>
            <w:vAlign w:val="center"/>
          </w:tcPr>
          <w:p w14:paraId="2C89F414">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736CC3D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第6.2款</w:t>
            </w:r>
          </w:p>
        </w:tc>
        <w:tc>
          <w:tcPr>
            <w:tcW w:w="2180" w:type="dxa"/>
            <w:noWrap w:val="0"/>
            <w:vAlign w:val="center"/>
          </w:tcPr>
          <w:p w14:paraId="141016F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对联合体各方的要求</w:t>
            </w:r>
          </w:p>
        </w:tc>
        <w:tc>
          <w:tcPr>
            <w:tcW w:w="6140" w:type="dxa"/>
            <w:noWrap w:val="0"/>
            <w:vAlign w:val="center"/>
          </w:tcPr>
          <w:p w14:paraId="0E872A7E">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无</w:t>
            </w:r>
          </w:p>
        </w:tc>
      </w:tr>
      <w:tr w14:paraId="3BD278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5" w:hRule="atLeast"/>
          <w:jc w:val="center"/>
        </w:trPr>
        <w:tc>
          <w:tcPr>
            <w:tcW w:w="1256" w:type="dxa"/>
            <w:noWrap w:val="0"/>
            <w:vAlign w:val="center"/>
          </w:tcPr>
          <w:p w14:paraId="7833843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6F9A9FBA">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第7.1款</w:t>
            </w:r>
          </w:p>
        </w:tc>
        <w:tc>
          <w:tcPr>
            <w:tcW w:w="2180" w:type="dxa"/>
            <w:noWrap w:val="0"/>
            <w:vAlign w:val="center"/>
          </w:tcPr>
          <w:p w14:paraId="7A817EE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现场勘察</w:t>
            </w:r>
          </w:p>
        </w:tc>
        <w:tc>
          <w:tcPr>
            <w:tcW w:w="6140" w:type="dxa"/>
            <w:noWrap w:val="0"/>
            <w:vAlign w:val="center"/>
          </w:tcPr>
          <w:p w14:paraId="17391B50">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采购人不组织（如有必要，另行通知）</w:t>
            </w:r>
          </w:p>
          <w:p w14:paraId="79B604A3">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采购人组织</w:t>
            </w:r>
          </w:p>
        </w:tc>
      </w:tr>
      <w:tr w14:paraId="5EFAE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23031CA6">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3E9075BA">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第8.1款</w:t>
            </w:r>
          </w:p>
        </w:tc>
        <w:tc>
          <w:tcPr>
            <w:tcW w:w="2180" w:type="dxa"/>
            <w:noWrap w:val="0"/>
            <w:vAlign w:val="center"/>
          </w:tcPr>
          <w:p w14:paraId="52B17920">
            <w:pPr>
              <w:spacing w:line="320" w:lineRule="exact"/>
              <w:rPr>
                <w:rFonts w:hint="eastAsia" w:ascii="宋体" w:hAnsi="宋体" w:eastAsia="宋体" w:cs="宋体"/>
                <w:color w:val="auto"/>
                <w:szCs w:val="21"/>
              </w:rPr>
            </w:pPr>
            <w:r>
              <w:rPr>
                <w:rFonts w:hint="eastAsia" w:ascii="宋体" w:hAnsi="宋体" w:eastAsia="宋体" w:cs="宋体"/>
                <w:color w:val="auto"/>
                <w:szCs w:val="21"/>
              </w:rPr>
              <w:t>采购进口产品</w:t>
            </w:r>
          </w:p>
        </w:tc>
        <w:tc>
          <w:tcPr>
            <w:tcW w:w="6140" w:type="dxa"/>
            <w:noWrap w:val="0"/>
            <w:vAlign w:val="center"/>
          </w:tcPr>
          <w:p w14:paraId="2FD1C4B0">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本项目拒绝采购进口产品</w:t>
            </w:r>
          </w:p>
          <w:p w14:paraId="519F5B8D">
            <w:pPr>
              <w:spacing w:line="320" w:lineRule="exact"/>
              <w:rPr>
                <w:rFonts w:hint="eastAsia" w:ascii="宋体" w:hAnsi="宋体" w:eastAsia="宋体" w:cs="宋体"/>
                <w:color w:val="auto"/>
                <w:szCs w:val="21"/>
              </w:rPr>
            </w:pPr>
            <w:r>
              <w:rPr>
                <w:rFonts w:hint="eastAsia" w:ascii="宋体" w:hAnsi="宋体" w:eastAsia="宋体" w:cs="宋体"/>
                <w:color w:val="auto"/>
                <w:szCs w:val="21"/>
              </w:rPr>
              <w:t>□ 本项目已经财政部门审核同意购买进口产品</w:t>
            </w:r>
          </w:p>
        </w:tc>
      </w:tr>
      <w:tr w14:paraId="44F4A1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7" w:hRule="atLeast"/>
          <w:jc w:val="center"/>
        </w:trPr>
        <w:tc>
          <w:tcPr>
            <w:tcW w:w="1256" w:type="dxa"/>
            <w:noWrap w:val="0"/>
            <w:vAlign w:val="center"/>
          </w:tcPr>
          <w:p w14:paraId="1A9CD3BF">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061944F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第9.1款</w:t>
            </w:r>
          </w:p>
        </w:tc>
        <w:tc>
          <w:tcPr>
            <w:tcW w:w="2180" w:type="dxa"/>
            <w:noWrap w:val="0"/>
            <w:vAlign w:val="center"/>
          </w:tcPr>
          <w:p w14:paraId="5B1A4418">
            <w:pPr>
              <w:spacing w:line="240" w:lineRule="auto"/>
              <w:rPr>
                <w:rFonts w:hint="eastAsia" w:ascii="宋体" w:hAnsi="宋体" w:eastAsia="宋体" w:cs="宋体"/>
                <w:color w:val="auto"/>
                <w:szCs w:val="21"/>
              </w:rPr>
            </w:pPr>
            <w:r>
              <w:rPr>
                <w:rFonts w:hint="eastAsia" w:ascii="宋体" w:hAnsi="宋体" w:eastAsia="宋体" w:cs="宋体"/>
                <w:color w:val="auto"/>
                <w:szCs w:val="21"/>
              </w:rPr>
              <w:t>政府采购强制采购：</w:t>
            </w:r>
          </w:p>
          <w:p w14:paraId="6E67B8F1">
            <w:pPr>
              <w:adjustRightInd w:val="0"/>
              <w:snapToGrid w:val="0"/>
              <w:spacing w:line="240" w:lineRule="auto"/>
              <w:jc w:val="left"/>
              <w:rPr>
                <w:rFonts w:hint="eastAsia" w:ascii="宋体" w:hAnsi="宋体" w:eastAsia="宋体" w:cs="宋体"/>
                <w:color w:val="auto"/>
                <w:szCs w:val="21"/>
              </w:rPr>
            </w:pPr>
            <w:r>
              <w:rPr>
                <w:rFonts w:hint="eastAsia" w:ascii="宋体" w:hAnsi="宋体" w:eastAsia="宋体" w:cs="宋体"/>
                <w:color w:val="auto"/>
                <w:szCs w:val="21"/>
              </w:rPr>
              <w:t>1、强制采购的节能产品；</w:t>
            </w:r>
          </w:p>
          <w:p w14:paraId="5E75A905">
            <w:pPr>
              <w:adjustRightInd w:val="0"/>
              <w:snapToGrid w:val="0"/>
              <w:spacing w:line="240" w:lineRule="auto"/>
              <w:jc w:val="left"/>
              <w:rPr>
                <w:rFonts w:hint="eastAsia" w:ascii="宋体" w:hAnsi="宋体" w:eastAsia="宋体" w:cs="宋体"/>
                <w:color w:val="auto"/>
                <w:szCs w:val="21"/>
              </w:rPr>
            </w:pPr>
            <w:r>
              <w:rPr>
                <w:rFonts w:hint="eastAsia" w:ascii="宋体" w:hAnsi="宋体" w:eastAsia="宋体" w:cs="宋体"/>
                <w:color w:val="auto"/>
                <w:szCs w:val="21"/>
              </w:rPr>
              <w:t>2、其他。</w:t>
            </w:r>
          </w:p>
        </w:tc>
        <w:tc>
          <w:tcPr>
            <w:tcW w:w="6140" w:type="dxa"/>
            <w:noWrap w:val="0"/>
            <w:vAlign w:val="center"/>
          </w:tcPr>
          <w:p w14:paraId="715EFD87">
            <w:pPr>
              <w:spacing w:line="320" w:lineRule="exact"/>
              <w:rPr>
                <w:rFonts w:hint="eastAsia" w:ascii="宋体" w:hAnsi="宋体" w:eastAsia="宋体" w:cs="宋体"/>
                <w:color w:val="auto"/>
                <w:szCs w:val="21"/>
              </w:rPr>
            </w:pPr>
            <w:r>
              <w:rPr>
                <w:rFonts w:hint="eastAsia" w:ascii="宋体" w:hAnsi="宋体" w:eastAsia="宋体" w:cs="宋体"/>
                <w:color w:val="auto"/>
                <w:szCs w:val="21"/>
              </w:rPr>
              <w:t>■ 否</w:t>
            </w:r>
          </w:p>
          <w:p w14:paraId="5F4F919D">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 是，采购《节能产品政府采购清单》内标记★符号的节能产品。</w:t>
            </w:r>
          </w:p>
        </w:tc>
      </w:tr>
      <w:tr w14:paraId="59608B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2E60AFA0">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39668C0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第9.2款</w:t>
            </w:r>
          </w:p>
        </w:tc>
        <w:tc>
          <w:tcPr>
            <w:tcW w:w="2180" w:type="dxa"/>
            <w:noWrap w:val="0"/>
            <w:vAlign w:val="center"/>
          </w:tcPr>
          <w:p w14:paraId="5FBC4CE2">
            <w:pPr>
              <w:spacing w:line="320" w:lineRule="exact"/>
              <w:rPr>
                <w:rFonts w:hint="eastAsia" w:ascii="宋体" w:hAnsi="宋体" w:eastAsia="宋体" w:cs="宋体"/>
                <w:color w:val="auto"/>
                <w:szCs w:val="21"/>
              </w:rPr>
            </w:pPr>
            <w:r>
              <w:rPr>
                <w:rFonts w:hint="eastAsia" w:ascii="宋体" w:hAnsi="宋体" w:eastAsia="宋体" w:cs="宋体"/>
                <w:color w:val="auto"/>
                <w:szCs w:val="21"/>
              </w:rPr>
              <w:t>政府采购优先采购：</w:t>
            </w:r>
          </w:p>
          <w:p w14:paraId="7D203C82">
            <w:pPr>
              <w:adjustRightInd w:val="0"/>
              <w:snapToGrid w:val="0"/>
              <w:spacing w:line="320" w:lineRule="exact"/>
              <w:jc w:val="left"/>
              <w:rPr>
                <w:rFonts w:hint="eastAsia" w:ascii="宋体" w:hAnsi="宋体" w:eastAsia="宋体" w:cs="宋体"/>
                <w:color w:val="auto"/>
                <w:szCs w:val="21"/>
              </w:rPr>
            </w:pPr>
            <w:r>
              <w:rPr>
                <w:rFonts w:hint="eastAsia" w:ascii="宋体" w:hAnsi="宋体" w:eastAsia="宋体" w:cs="宋体"/>
                <w:color w:val="auto"/>
                <w:szCs w:val="21"/>
              </w:rPr>
              <w:t>1、非强制采购的节能产品；</w:t>
            </w:r>
          </w:p>
          <w:p w14:paraId="2CAC973B">
            <w:pPr>
              <w:adjustRightInd w:val="0"/>
              <w:snapToGrid w:val="0"/>
              <w:spacing w:line="320" w:lineRule="exact"/>
              <w:jc w:val="left"/>
              <w:rPr>
                <w:rFonts w:hint="eastAsia" w:ascii="宋体" w:hAnsi="宋体" w:eastAsia="宋体" w:cs="宋体"/>
                <w:color w:val="auto"/>
                <w:szCs w:val="21"/>
              </w:rPr>
            </w:pPr>
            <w:r>
              <w:rPr>
                <w:rFonts w:hint="eastAsia" w:ascii="宋体" w:hAnsi="宋体" w:eastAsia="宋体" w:cs="宋体"/>
                <w:color w:val="auto"/>
                <w:szCs w:val="21"/>
              </w:rPr>
              <w:t>2、环境标志产品；</w:t>
            </w:r>
          </w:p>
          <w:p w14:paraId="67856A00">
            <w:pPr>
              <w:adjustRightInd w:val="0"/>
              <w:snapToGrid w:val="0"/>
              <w:spacing w:line="320" w:lineRule="exact"/>
              <w:jc w:val="left"/>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bCs/>
                <w:color w:val="auto"/>
                <w:kern w:val="0"/>
                <w:szCs w:val="21"/>
              </w:rPr>
              <w:t>支持</w:t>
            </w:r>
            <w:r>
              <w:rPr>
                <w:rFonts w:hint="eastAsia" w:ascii="宋体" w:hAnsi="宋体" w:eastAsia="宋体" w:cs="宋体"/>
                <w:color w:val="auto"/>
                <w:szCs w:val="21"/>
              </w:rPr>
              <w:t>中小企业发展；</w:t>
            </w:r>
          </w:p>
          <w:p w14:paraId="56F1CCFC">
            <w:pPr>
              <w:adjustRightInd w:val="0"/>
              <w:snapToGrid w:val="0"/>
              <w:spacing w:line="320" w:lineRule="exact"/>
              <w:jc w:val="left"/>
              <w:rPr>
                <w:rFonts w:hint="eastAsia" w:ascii="宋体" w:hAnsi="宋体" w:eastAsia="宋体" w:cs="宋体"/>
                <w:color w:val="auto"/>
                <w:szCs w:val="21"/>
              </w:rPr>
            </w:pPr>
            <w:r>
              <w:rPr>
                <w:rFonts w:hint="eastAsia" w:ascii="宋体" w:hAnsi="宋体" w:eastAsia="宋体" w:cs="宋体"/>
                <w:color w:val="auto"/>
                <w:szCs w:val="21"/>
              </w:rPr>
              <w:t>4、其他。</w:t>
            </w:r>
          </w:p>
        </w:tc>
        <w:tc>
          <w:tcPr>
            <w:tcW w:w="6140" w:type="dxa"/>
            <w:noWrap w:val="0"/>
            <w:vAlign w:val="center"/>
          </w:tcPr>
          <w:p w14:paraId="31A865AF">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1、采购产品为《节能产品政府采购清单》内非标记★符号的，分别给予技术和价格项标准总分值4%-8%的加分。本项目具体加分比例分别为 ：技术</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%、价格</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27CA50AC">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2、采购产品为《环境标志产品政府采购清单》内的，分别给予技术和价格项标准总分值4%-8%的加分。本项目具体加分比例分别为 ：技术</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rPr>
              <w:t>%、价格</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rPr>
              <w:t>%。</w:t>
            </w:r>
          </w:p>
          <w:p w14:paraId="6E355E8C">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3、非专门面向中小企业采购（监狱企业、残疾人福利企业视同小微企业）：</w:t>
            </w:r>
          </w:p>
          <w:p w14:paraId="45614EDC">
            <w:pPr>
              <w:adjustRightInd w:val="0"/>
              <w:snapToGrid w:val="0"/>
              <w:rPr>
                <w:rFonts w:hint="eastAsia" w:ascii="宋体" w:hAnsi="宋体" w:eastAsia="宋体" w:cs="宋体"/>
                <w:color w:val="0000FF"/>
                <w:szCs w:val="21"/>
              </w:rPr>
            </w:pPr>
            <w:r>
              <w:rPr>
                <w:rFonts w:hint="eastAsia" w:ascii="宋体" w:hAnsi="宋体" w:eastAsia="宋体" w:cs="宋体"/>
                <w:color w:val="0000FF"/>
                <w:szCs w:val="21"/>
              </w:rPr>
              <w:t>（1）</w:t>
            </w:r>
            <w:r>
              <w:rPr>
                <w:rFonts w:hint="eastAsia" w:ascii="宋体" w:hAnsi="宋体" w:eastAsia="宋体" w:cs="宋体"/>
                <w:color w:val="0000FF"/>
                <w:szCs w:val="21"/>
                <w:highlight w:val="yellow"/>
              </w:rPr>
              <w:t>给予小型和微型企业产品的价格给予</w:t>
            </w:r>
            <w:r>
              <w:rPr>
                <w:rFonts w:hint="eastAsia" w:ascii="宋体" w:hAnsi="宋体" w:cs="宋体"/>
                <w:color w:val="0000FF"/>
                <w:szCs w:val="21"/>
                <w:highlight w:val="yellow"/>
                <w:lang w:val="en-US" w:eastAsia="zh-CN"/>
              </w:rPr>
              <w:t>10</w:t>
            </w:r>
            <w:r>
              <w:rPr>
                <w:rFonts w:hint="eastAsia" w:ascii="宋体" w:hAnsi="宋体" w:eastAsia="宋体" w:cs="宋体"/>
                <w:color w:val="0000FF"/>
                <w:szCs w:val="21"/>
                <w:highlight w:val="yellow"/>
              </w:rPr>
              <w:t>%-</w:t>
            </w:r>
            <w:r>
              <w:rPr>
                <w:rFonts w:hint="eastAsia" w:ascii="宋体" w:hAnsi="宋体" w:cs="宋体"/>
                <w:color w:val="0000FF"/>
                <w:szCs w:val="21"/>
                <w:highlight w:val="yellow"/>
                <w:lang w:val="en-US" w:eastAsia="zh-CN"/>
              </w:rPr>
              <w:t>2</w:t>
            </w:r>
            <w:r>
              <w:rPr>
                <w:rFonts w:hint="eastAsia" w:ascii="宋体" w:hAnsi="宋体" w:eastAsia="宋体" w:cs="宋体"/>
                <w:color w:val="0000FF"/>
                <w:szCs w:val="21"/>
                <w:highlight w:val="yellow"/>
              </w:rPr>
              <w:t>0%</w:t>
            </w:r>
            <w:r>
              <w:rPr>
                <w:rFonts w:hint="eastAsia" w:ascii="宋体" w:hAnsi="宋体" w:eastAsia="宋体" w:cs="宋体"/>
                <w:color w:val="0000FF"/>
                <w:szCs w:val="21"/>
                <w:highlight w:val="yellow"/>
                <w:lang w:eastAsia="zh-CN"/>
              </w:rPr>
              <w:t>（工程项目为</w:t>
            </w:r>
            <w:r>
              <w:rPr>
                <w:rFonts w:hint="eastAsia" w:ascii="宋体" w:hAnsi="宋体" w:cs="宋体"/>
                <w:color w:val="0000FF"/>
                <w:szCs w:val="21"/>
                <w:highlight w:val="yellow"/>
                <w:lang w:val="en-US" w:eastAsia="zh-CN"/>
              </w:rPr>
              <w:t>6</w:t>
            </w:r>
            <w:r>
              <w:rPr>
                <w:rFonts w:hint="eastAsia" w:ascii="宋体" w:hAnsi="宋体" w:eastAsia="宋体" w:cs="宋体"/>
                <w:color w:val="0000FF"/>
                <w:szCs w:val="21"/>
                <w:highlight w:val="yellow"/>
                <w:lang w:eastAsia="zh-CN"/>
              </w:rPr>
              <w:t>%—</w:t>
            </w:r>
            <w:r>
              <w:rPr>
                <w:rFonts w:hint="eastAsia" w:ascii="宋体" w:hAnsi="宋体" w:cs="宋体"/>
                <w:color w:val="0000FF"/>
                <w:szCs w:val="21"/>
                <w:highlight w:val="yellow"/>
                <w:lang w:val="en-US" w:eastAsia="zh-CN"/>
              </w:rPr>
              <w:t>10</w:t>
            </w:r>
            <w:r>
              <w:rPr>
                <w:rFonts w:hint="eastAsia" w:ascii="宋体" w:hAnsi="宋体" w:eastAsia="宋体" w:cs="宋体"/>
                <w:color w:val="0000FF"/>
                <w:szCs w:val="21"/>
                <w:highlight w:val="yellow"/>
                <w:lang w:eastAsia="zh-CN"/>
              </w:rPr>
              <w:t>%）</w:t>
            </w:r>
            <w:r>
              <w:rPr>
                <w:rFonts w:hint="eastAsia" w:ascii="宋体" w:hAnsi="宋体" w:eastAsia="宋体" w:cs="宋体"/>
                <w:color w:val="0000FF"/>
                <w:szCs w:val="21"/>
                <w:highlight w:val="yellow"/>
              </w:rPr>
              <w:t>的扣除，</w:t>
            </w:r>
            <w:r>
              <w:rPr>
                <w:rFonts w:hint="eastAsia" w:ascii="宋体" w:hAnsi="宋体" w:eastAsia="宋体" w:cs="宋体"/>
                <w:color w:val="0000FF"/>
                <w:szCs w:val="21"/>
              </w:rPr>
              <w:t>用扣除后的价格参与评审，本项目具体扣除比例为</w:t>
            </w:r>
            <w:r>
              <w:rPr>
                <w:rFonts w:hint="eastAsia" w:ascii="宋体" w:hAnsi="宋体" w:cs="宋体"/>
                <w:color w:val="0000FF"/>
                <w:szCs w:val="21"/>
                <w:u w:val="single"/>
                <w:lang w:val="en-US" w:eastAsia="zh-CN"/>
              </w:rPr>
              <w:t>10</w:t>
            </w:r>
            <w:r>
              <w:rPr>
                <w:rFonts w:hint="eastAsia" w:ascii="宋体" w:hAnsi="宋体" w:eastAsia="宋体" w:cs="宋体"/>
                <w:color w:val="0000FF"/>
                <w:szCs w:val="21"/>
                <w:u w:val="single"/>
              </w:rPr>
              <w:t xml:space="preserve"> </w:t>
            </w:r>
            <w:r>
              <w:rPr>
                <w:rFonts w:hint="eastAsia" w:ascii="宋体" w:hAnsi="宋体" w:eastAsia="宋体" w:cs="宋体"/>
                <w:color w:val="0000FF"/>
                <w:szCs w:val="21"/>
              </w:rPr>
              <w:t>％。</w:t>
            </w:r>
          </w:p>
          <w:p w14:paraId="1D10E842">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（2）给予联合体2%-3%的价格扣除。本项目具体扣除比例为 / ％。</w:t>
            </w:r>
          </w:p>
          <w:p w14:paraId="23158A7D">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 xml:space="preserve">（3）给予中型企业产品的价格给予3%-5%的扣除，用扣除后的价格参与评审，本项目具体扣除比例为 </w:t>
            </w:r>
            <w:r>
              <w:rPr>
                <w:rFonts w:hint="eastAsia" w:ascii="宋体" w:hAnsi="宋体" w:eastAsia="宋体" w:cs="宋体"/>
                <w:color w:val="auto"/>
                <w:szCs w:val="21"/>
                <w:lang w:val="en-US" w:eastAsia="zh-CN"/>
              </w:rPr>
              <w:t>/</w:t>
            </w:r>
            <w:r>
              <w:rPr>
                <w:rFonts w:hint="eastAsia" w:ascii="宋体" w:hAnsi="宋体" w:eastAsia="宋体" w:cs="宋体"/>
                <w:color w:val="auto"/>
                <w:szCs w:val="21"/>
              </w:rPr>
              <w:t xml:space="preserve"> ％。</w:t>
            </w:r>
          </w:p>
          <w:p w14:paraId="508A29E5">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（4）支持监狱企业：</w:t>
            </w:r>
          </w:p>
          <w:p w14:paraId="1B7B5760">
            <w:pPr>
              <w:adjustRightInd w:val="0"/>
              <w:snapToGrid w:val="0"/>
              <w:rPr>
                <w:rFonts w:hint="eastAsia" w:ascii="宋体" w:hAnsi="宋体" w:eastAsia="宋体" w:cs="宋体"/>
                <w:color w:val="auto"/>
                <w:szCs w:val="21"/>
                <w:lang w:eastAsia="zh-CN"/>
              </w:rPr>
            </w:pPr>
            <w:r>
              <w:rPr>
                <w:rFonts w:hint="eastAsia" w:ascii="宋体" w:hAnsi="宋体" w:eastAsia="宋体" w:cs="宋体"/>
                <w:color w:val="auto"/>
                <w:szCs w:val="21"/>
              </w:rPr>
              <w:t>①监狱企业视同小型、微型企业</w:t>
            </w:r>
            <w:r>
              <w:rPr>
                <w:rFonts w:hint="eastAsia" w:ascii="宋体" w:hAnsi="宋体" w:eastAsia="宋体" w:cs="宋体"/>
                <w:color w:val="auto"/>
                <w:szCs w:val="21"/>
                <w:lang w:eastAsia="zh-CN"/>
              </w:rPr>
              <w:t>。</w:t>
            </w:r>
          </w:p>
          <w:p w14:paraId="7F3C2773">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②监狱企业参加政府采购活动时，应当提供由省级以上监狱管理局、戒毒管理局（含新疆生产建设兵团）出具的属于监狱企业的证明文件。</w:t>
            </w:r>
          </w:p>
        </w:tc>
      </w:tr>
      <w:tr w14:paraId="1A8C44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528CC8DB">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FDA4227">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第9.2、9.4款</w:t>
            </w:r>
          </w:p>
        </w:tc>
        <w:tc>
          <w:tcPr>
            <w:tcW w:w="2180" w:type="dxa"/>
            <w:tcBorders>
              <w:top w:val="single" w:color="auto" w:sz="4" w:space="0"/>
            </w:tcBorders>
            <w:noWrap w:val="0"/>
            <w:vAlign w:val="center"/>
          </w:tcPr>
          <w:p w14:paraId="71AEC0EF">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多处获得政府采购政策优惠的计算方法</w:t>
            </w:r>
          </w:p>
        </w:tc>
        <w:tc>
          <w:tcPr>
            <w:tcW w:w="6140" w:type="dxa"/>
            <w:tcBorders>
              <w:top w:val="single" w:color="auto" w:sz="4" w:space="0"/>
            </w:tcBorders>
            <w:noWrap w:val="0"/>
            <w:vAlign w:val="center"/>
          </w:tcPr>
          <w:p w14:paraId="5199D112">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1、符合政府采购优先采购政策的，产品只能享受节能产品、环境标志产品优惠中的一项(由供应商在响应文件中选择并填报政策功能编码，评审时进行价格扣除) 。</w:t>
            </w:r>
          </w:p>
          <w:p w14:paraId="4D6C91F1">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2、供应商享受支持中小企业发展政策优惠的，可以与同时享受节能产品、环境标志产品优惠中的一项累加。</w:t>
            </w:r>
          </w:p>
          <w:p w14:paraId="752A4E78">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3、同一项目中只有部分产品满足优先采购政策的，评审时只对该部分产品的报价实行价格扣除，或按该部分产品报价所占比重，对价格、技术分值按总得分值的优惠比例进行加分。</w:t>
            </w:r>
          </w:p>
        </w:tc>
      </w:tr>
      <w:tr w14:paraId="4BB751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4FAB8751">
            <w:pPr>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1CC7C76A">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第9.6款</w:t>
            </w:r>
          </w:p>
        </w:tc>
        <w:tc>
          <w:tcPr>
            <w:tcW w:w="2180" w:type="dxa"/>
            <w:tcBorders>
              <w:top w:val="single" w:color="auto" w:sz="4" w:space="0"/>
            </w:tcBorders>
            <w:noWrap w:val="0"/>
            <w:vAlign w:val="center"/>
          </w:tcPr>
          <w:p w14:paraId="7FE49C9A">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bCs/>
                <w:color w:val="auto"/>
                <w:kern w:val="0"/>
                <w:szCs w:val="21"/>
              </w:rPr>
              <w:t>中小企业融资、信用担保</w:t>
            </w:r>
          </w:p>
        </w:tc>
        <w:tc>
          <w:tcPr>
            <w:tcW w:w="6140" w:type="dxa"/>
            <w:tcBorders>
              <w:top w:val="single" w:color="auto" w:sz="4" w:space="0"/>
            </w:tcBorders>
            <w:noWrap w:val="0"/>
            <w:vAlign w:val="center"/>
          </w:tcPr>
          <w:p w14:paraId="1F756216">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有融资、信用担保需求的，可登陆中国湖南政府采购网查询。</w:t>
            </w:r>
          </w:p>
        </w:tc>
      </w:tr>
      <w:tr w14:paraId="782784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74CF5665">
            <w:pPr>
              <w:adjustRightInd w:val="0"/>
              <w:snapToGrid w:val="0"/>
              <w:spacing w:line="320" w:lineRule="exact"/>
              <w:jc w:val="left"/>
              <w:rPr>
                <w:rFonts w:hint="eastAsia" w:ascii="宋体" w:hAnsi="宋体" w:eastAsia="宋体" w:cs="宋体"/>
                <w:b/>
                <w:color w:val="auto"/>
                <w:szCs w:val="21"/>
              </w:rPr>
            </w:pPr>
            <w:r>
              <w:rPr>
                <w:rFonts w:hint="eastAsia" w:ascii="宋体" w:hAnsi="宋体" w:eastAsia="宋体" w:cs="宋体"/>
                <w:b/>
                <w:color w:val="auto"/>
                <w:szCs w:val="21"/>
              </w:rPr>
              <w:t>二、磋商文件</w:t>
            </w:r>
          </w:p>
        </w:tc>
      </w:tr>
      <w:tr w14:paraId="15DDFB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1256" w:type="dxa"/>
            <w:noWrap w:val="0"/>
            <w:vAlign w:val="center"/>
          </w:tcPr>
          <w:p w14:paraId="4AC64076">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1910DCA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第10.2款</w:t>
            </w:r>
          </w:p>
        </w:tc>
        <w:tc>
          <w:tcPr>
            <w:tcW w:w="2180" w:type="dxa"/>
            <w:noWrap w:val="0"/>
            <w:vAlign w:val="center"/>
          </w:tcPr>
          <w:p w14:paraId="43184B2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磋商文件的可能实质性变动内容</w:t>
            </w:r>
          </w:p>
        </w:tc>
        <w:tc>
          <w:tcPr>
            <w:tcW w:w="6140" w:type="dxa"/>
            <w:noWrap w:val="0"/>
            <w:vAlign w:val="center"/>
          </w:tcPr>
          <w:p w14:paraId="052A99BE">
            <w:pPr>
              <w:adjustRightInd w:val="0"/>
              <w:snapToGrid w:val="0"/>
              <w:spacing w:line="320" w:lineRule="exact"/>
              <w:jc w:val="left"/>
              <w:rPr>
                <w:rFonts w:hint="default" w:ascii="宋体" w:hAnsi="宋体" w:eastAsia="宋体" w:cs="宋体"/>
                <w:color w:val="auto"/>
                <w:szCs w:val="21"/>
                <w:lang w:val="en-US" w:eastAsia="zh-CN"/>
              </w:rPr>
            </w:pPr>
            <w:r>
              <w:rPr>
                <w:rFonts w:hint="eastAsia" w:ascii="宋体" w:hAnsi="宋体" w:cs="宋体"/>
                <w:color w:val="auto"/>
                <w:szCs w:val="21"/>
                <w:lang w:val="en-US" w:eastAsia="zh-CN"/>
              </w:rPr>
              <w:t>无</w:t>
            </w:r>
          </w:p>
        </w:tc>
      </w:tr>
      <w:tr w14:paraId="1686A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56" w:type="dxa"/>
            <w:noWrap w:val="0"/>
            <w:vAlign w:val="center"/>
          </w:tcPr>
          <w:p w14:paraId="17EF5F6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71E02B7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第12.1款</w:t>
            </w:r>
          </w:p>
        </w:tc>
        <w:tc>
          <w:tcPr>
            <w:tcW w:w="2180" w:type="dxa"/>
            <w:noWrap w:val="0"/>
            <w:vAlign w:val="center"/>
          </w:tcPr>
          <w:p w14:paraId="54BF891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提交首次响应文件的截止时间</w:t>
            </w:r>
          </w:p>
        </w:tc>
        <w:tc>
          <w:tcPr>
            <w:tcW w:w="6140" w:type="dxa"/>
            <w:noWrap w:val="0"/>
            <w:vAlign w:val="center"/>
          </w:tcPr>
          <w:p w14:paraId="3912B9C4">
            <w:pPr>
              <w:keepNext w:val="0"/>
              <w:keepLines w:val="0"/>
              <w:pageBreakBefore w:val="0"/>
              <w:widowControl w:val="0"/>
              <w:kinsoku/>
              <w:wordWrap/>
              <w:overflowPunct/>
              <w:topLinePunct w:val="0"/>
              <w:autoSpaceDE/>
              <w:autoSpaceDN/>
              <w:bidi w:val="0"/>
              <w:adjustRightInd w:val="0"/>
              <w:snapToGrid w:val="0"/>
              <w:spacing w:line="380" w:lineRule="exact"/>
              <w:textAlignment w:val="auto"/>
              <w:outlineLvl w:val="0"/>
              <w:rPr>
                <w:rFonts w:hint="default" w:ascii="宋体" w:hAnsi="宋体" w:eastAsia="宋体" w:cs="宋体"/>
                <w:color w:val="auto"/>
                <w:szCs w:val="21"/>
                <w:lang w:val="en-US"/>
              </w:rPr>
            </w:pPr>
            <w:r>
              <w:rPr>
                <w:rFonts w:hint="eastAsia" w:ascii="宋体" w:hAnsi="宋体" w:cs="宋体"/>
                <w:color w:val="000000" w:themeColor="text1"/>
                <w:szCs w:val="21"/>
                <w:lang w:val="en-US" w:eastAsia="zh-CN"/>
                <w14:textFill>
                  <w14:solidFill>
                    <w14:schemeClr w14:val="tx1"/>
                  </w14:solidFill>
                </w14:textFill>
              </w:rPr>
              <w:t>2026年10月8日 15:00</w:t>
            </w:r>
          </w:p>
        </w:tc>
      </w:tr>
      <w:tr w14:paraId="5E908B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43FD78A7">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b/>
                <w:color w:val="auto"/>
                <w:szCs w:val="21"/>
              </w:rPr>
              <w:t>三、响应文件的编写</w:t>
            </w:r>
          </w:p>
        </w:tc>
      </w:tr>
      <w:tr w14:paraId="5C2FA2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1256" w:type="dxa"/>
            <w:vMerge w:val="restart"/>
            <w:noWrap w:val="0"/>
            <w:vAlign w:val="center"/>
          </w:tcPr>
          <w:p w14:paraId="13473246">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053A4DFF">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第16.4款</w:t>
            </w:r>
          </w:p>
        </w:tc>
        <w:tc>
          <w:tcPr>
            <w:tcW w:w="2180" w:type="dxa"/>
            <w:noWrap w:val="0"/>
            <w:vAlign w:val="center"/>
          </w:tcPr>
          <w:p w14:paraId="769CE07D">
            <w:pPr>
              <w:adjustRightInd w:val="0"/>
              <w:snapToGrid w:val="0"/>
              <w:spacing w:line="320" w:lineRule="exact"/>
              <w:jc w:val="center"/>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采购项目预算</w:t>
            </w:r>
          </w:p>
        </w:tc>
        <w:tc>
          <w:tcPr>
            <w:tcW w:w="6140" w:type="dxa"/>
            <w:noWrap w:val="0"/>
            <w:vAlign w:val="center"/>
          </w:tcPr>
          <w:p w14:paraId="69703477">
            <w:pPr>
              <w:adjustRightInd w:val="0"/>
              <w:snapToGrid w:val="0"/>
              <w:spacing w:line="320" w:lineRule="exact"/>
              <w:jc w:val="left"/>
              <w:rPr>
                <w:rFonts w:hint="eastAsia" w:ascii="宋体" w:hAnsi="宋体" w:eastAsia="宋体" w:cs="宋体"/>
                <w:b w:val="0"/>
                <w:bCs w:val="0"/>
                <w:color w:val="000000" w:themeColor="text1"/>
                <w:szCs w:val="21"/>
                <w:lang w:eastAsia="zh-CN"/>
                <w14:textFill>
                  <w14:solidFill>
                    <w14:schemeClr w14:val="tx1"/>
                  </w14:solidFill>
                </w14:textFill>
              </w:rPr>
            </w:pPr>
            <w:r>
              <w:rPr>
                <w:rFonts w:hint="eastAsia" w:ascii="宋体" w:hAnsi="宋体" w:cs="宋体"/>
                <w:b w:val="0"/>
                <w:bCs w:val="0"/>
                <w:color w:val="000000" w:themeColor="text1"/>
                <w:szCs w:val="21"/>
                <w:lang w:val="en-US" w:eastAsia="zh-CN"/>
                <w14:textFill>
                  <w14:solidFill>
                    <w14:schemeClr w14:val="tx1"/>
                  </w14:solidFill>
                </w14:textFill>
              </w:rPr>
              <w:t>951200.00</w:t>
            </w:r>
            <w:r>
              <w:rPr>
                <w:rFonts w:hint="eastAsia" w:ascii="宋体" w:hAnsi="宋体" w:eastAsia="宋体" w:cs="宋体"/>
                <w:b w:val="0"/>
                <w:bCs w:val="0"/>
                <w:color w:val="000000" w:themeColor="text1"/>
                <w:szCs w:val="21"/>
                <w:u w:val="none"/>
                <w:lang w:eastAsia="zh-CN"/>
                <w14:textFill>
                  <w14:solidFill>
                    <w14:schemeClr w14:val="tx1"/>
                  </w14:solidFill>
                </w14:textFill>
              </w:rPr>
              <w:t>元</w:t>
            </w:r>
          </w:p>
        </w:tc>
      </w:tr>
      <w:tr w14:paraId="5311CD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1256" w:type="dxa"/>
            <w:vMerge w:val="continue"/>
            <w:noWrap w:val="0"/>
            <w:vAlign w:val="center"/>
          </w:tcPr>
          <w:p w14:paraId="6D516B55">
            <w:pPr>
              <w:adjustRightInd w:val="0"/>
              <w:snapToGrid w:val="0"/>
              <w:spacing w:line="320" w:lineRule="exact"/>
              <w:jc w:val="center"/>
              <w:rPr>
                <w:rFonts w:hint="eastAsia" w:ascii="宋体" w:hAnsi="宋体" w:eastAsia="宋体" w:cs="宋体"/>
                <w:color w:val="auto"/>
                <w:szCs w:val="21"/>
              </w:rPr>
            </w:pPr>
          </w:p>
        </w:tc>
        <w:tc>
          <w:tcPr>
            <w:tcW w:w="2180" w:type="dxa"/>
            <w:noWrap w:val="0"/>
            <w:vAlign w:val="center"/>
          </w:tcPr>
          <w:p w14:paraId="13A11305">
            <w:pPr>
              <w:adjustRightInd w:val="0"/>
              <w:snapToGrid w:val="0"/>
              <w:spacing w:line="320" w:lineRule="exact"/>
              <w:jc w:val="center"/>
              <w:rPr>
                <w:rFonts w:hint="eastAsia" w:ascii="宋体" w:hAnsi="宋体" w:eastAsia="宋体" w:cs="宋体"/>
                <w:b w:val="0"/>
                <w:bCs w:val="0"/>
                <w:color w:val="000000" w:themeColor="text1"/>
                <w:szCs w:val="21"/>
                <w:lang w:eastAsia="zh-CN"/>
                <w14:textFill>
                  <w14:solidFill>
                    <w14:schemeClr w14:val="tx1"/>
                  </w14:solidFill>
                </w14:textFill>
              </w:rPr>
            </w:pPr>
            <w:r>
              <w:rPr>
                <w:rFonts w:hint="eastAsia" w:ascii="宋体" w:hAnsi="宋体" w:eastAsia="宋体" w:cs="宋体"/>
                <w:b w:val="0"/>
                <w:bCs w:val="0"/>
                <w:color w:val="000000" w:themeColor="text1"/>
                <w:szCs w:val="21"/>
                <w:lang w:eastAsia="zh-CN"/>
                <w14:textFill>
                  <w14:solidFill>
                    <w14:schemeClr w14:val="tx1"/>
                  </w14:solidFill>
                </w14:textFill>
              </w:rPr>
              <w:t>最高限价</w:t>
            </w:r>
          </w:p>
        </w:tc>
        <w:tc>
          <w:tcPr>
            <w:tcW w:w="6140" w:type="dxa"/>
            <w:noWrap w:val="0"/>
            <w:vAlign w:val="center"/>
          </w:tcPr>
          <w:p w14:paraId="2D8BB6F6">
            <w:pPr>
              <w:keepNext w:val="0"/>
              <w:keepLines w:val="0"/>
              <w:widowControl/>
              <w:suppressLineNumbers w:val="0"/>
              <w:jc w:val="left"/>
              <w:rPr>
                <w:rFonts w:hint="eastAsia" w:ascii="宋体" w:hAnsi="宋体" w:eastAsia="宋体" w:cs="宋体"/>
                <w:b w:val="0"/>
                <w:bCs w:val="0"/>
                <w:color w:val="000000" w:themeColor="text1"/>
                <w:szCs w:val="21"/>
                <w:lang w:val="en-US" w:eastAsia="zh-CN"/>
                <w14:textFill>
                  <w14:solidFill>
                    <w14:schemeClr w14:val="tx1"/>
                  </w14:solidFill>
                </w14:textFill>
              </w:rPr>
            </w:pPr>
            <w:r>
              <w:rPr>
                <w:rFonts w:hint="eastAsia" w:ascii="宋体" w:hAnsi="宋体" w:cs="宋体"/>
                <w:b w:val="0"/>
                <w:bCs w:val="0"/>
                <w:color w:val="000000" w:themeColor="text1"/>
                <w:szCs w:val="21"/>
                <w:lang w:val="en-US" w:eastAsia="zh-CN"/>
                <w14:textFill>
                  <w14:solidFill>
                    <w14:schemeClr w14:val="tx1"/>
                  </w14:solidFill>
                </w14:textFill>
              </w:rPr>
              <w:t>951200.00</w:t>
            </w:r>
            <w:r>
              <w:rPr>
                <w:rFonts w:hint="eastAsia" w:ascii="宋体" w:hAnsi="宋体" w:eastAsia="宋体" w:cs="宋体"/>
                <w:b w:val="0"/>
                <w:bCs w:val="0"/>
                <w:color w:val="000000" w:themeColor="text1"/>
                <w:szCs w:val="21"/>
                <w:u w:val="none"/>
                <w:lang w:eastAsia="zh-CN"/>
                <w14:textFill>
                  <w14:solidFill>
                    <w14:schemeClr w14:val="tx1"/>
                  </w14:solidFill>
                </w14:textFill>
              </w:rPr>
              <w:t>元</w:t>
            </w:r>
            <w:r>
              <w:rPr>
                <w:rFonts w:hint="eastAsia" w:ascii="宋体" w:hAnsi="宋体" w:cs="宋体"/>
                <w:b w:val="0"/>
                <w:bCs w:val="0"/>
                <w:color w:val="000000" w:themeColor="text1"/>
                <w:szCs w:val="21"/>
                <w:u w:val="none"/>
                <w:lang w:eastAsia="zh-CN"/>
                <w14:textFill>
                  <w14:solidFill>
                    <w14:schemeClr w14:val="tx1"/>
                  </w14:solidFill>
                </w14:textFill>
              </w:rPr>
              <w:t>，</w:t>
            </w:r>
            <w:r>
              <w:rPr>
                <w:rFonts w:hint="eastAsia" w:ascii="宋体" w:hAnsi="宋体" w:eastAsia="宋体" w:cs="宋体"/>
                <w:b w:val="0"/>
                <w:bCs w:val="0"/>
                <w:color w:val="000000" w:themeColor="text1"/>
                <w:kern w:val="0"/>
                <w:sz w:val="20"/>
                <w:szCs w:val="20"/>
                <w:lang w:val="en-US" w:eastAsia="zh-CN" w:bidi="ar"/>
                <w14:textFill>
                  <w14:solidFill>
                    <w14:schemeClr w14:val="tx1"/>
                  </w14:solidFill>
                </w14:textFill>
              </w:rPr>
              <w:t>供应商报价不得超过最高限价，否则为无效投标。</w:t>
            </w:r>
          </w:p>
        </w:tc>
      </w:tr>
      <w:tr w14:paraId="680E5F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2FA9E8B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D6D84FF">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第19.1款</w:t>
            </w:r>
          </w:p>
        </w:tc>
        <w:tc>
          <w:tcPr>
            <w:tcW w:w="2180" w:type="dxa"/>
            <w:noWrap w:val="0"/>
            <w:vAlign w:val="center"/>
          </w:tcPr>
          <w:p w14:paraId="20F169FE">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磋商保证金</w:t>
            </w:r>
          </w:p>
        </w:tc>
        <w:tc>
          <w:tcPr>
            <w:tcW w:w="6140" w:type="dxa"/>
            <w:noWrap w:val="0"/>
            <w:vAlign w:val="center"/>
          </w:tcPr>
          <w:p w14:paraId="2553F614">
            <w:pPr>
              <w:spacing w:line="240" w:lineRule="auto"/>
              <w:rPr>
                <w:rFonts w:hint="eastAsia" w:ascii="宋体" w:hAnsi="宋体" w:eastAsia="宋体" w:cs="宋体"/>
                <w:color w:val="auto"/>
              </w:rPr>
            </w:pPr>
            <w:r>
              <w:rPr>
                <w:rFonts w:hint="eastAsia" w:ascii="宋体" w:hAnsi="宋体" w:eastAsia="宋体" w:cs="宋体"/>
                <w:color w:val="auto"/>
                <w:szCs w:val="21"/>
                <w:lang w:val="en-US" w:eastAsia="zh-CN"/>
              </w:rPr>
              <w:sym w:font="Wingdings" w:char="00FE"/>
            </w:r>
            <w:r>
              <w:rPr>
                <w:rFonts w:hint="eastAsia" w:ascii="宋体" w:hAnsi="宋体" w:eastAsia="宋体" w:cs="宋体"/>
                <w:color w:val="auto"/>
              </w:rPr>
              <w:t xml:space="preserve"> 不要求提供</w:t>
            </w:r>
          </w:p>
          <w:p w14:paraId="16A3AFB0">
            <w:pPr>
              <w:spacing w:line="276" w:lineRule="auto"/>
              <w:rPr>
                <w:rFonts w:hint="eastAsia" w:ascii="宋体" w:hAnsi="宋体" w:eastAsia="宋体" w:cs="宋体"/>
                <w:color w:val="auto"/>
                <w:szCs w:val="21"/>
              </w:rPr>
            </w:pPr>
            <w:r>
              <w:rPr>
                <w:rFonts w:hint="eastAsia" w:ascii="宋体" w:hAnsi="宋体" w:eastAsia="宋体" w:cs="宋体"/>
                <w:color w:val="auto"/>
                <w:szCs w:val="21"/>
                <w:lang w:val="en-US" w:eastAsia="zh-CN"/>
              </w:rPr>
              <w:sym w:font="Wingdings" w:char="00A8"/>
            </w:r>
            <w:r>
              <w:rPr>
                <w:rFonts w:hint="eastAsia" w:ascii="宋体" w:hAnsi="宋体" w:eastAsia="宋体" w:cs="宋体"/>
                <w:color w:val="auto"/>
              </w:rPr>
              <w:t xml:space="preserve"> 要求提供</w:t>
            </w:r>
          </w:p>
        </w:tc>
      </w:tr>
      <w:tr w14:paraId="3F628B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FF6459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4DCF6E16">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第20.1款</w:t>
            </w:r>
          </w:p>
        </w:tc>
        <w:tc>
          <w:tcPr>
            <w:tcW w:w="2180" w:type="dxa"/>
            <w:noWrap w:val="0"/>
            <w:vAlign w:val="center"/>
          </w:tcPr>
          <w:p w14:paraId="490D9FF2">
            <w:pPr>
              <w:adjustRightInd w:val="0"/>
              <w:snapToGrid w:val="0"/>
              <w:spacing w:line="320" w:lineRule="exact"/>
              <w:jc w:val="center"/>
              <w:rPr>
                <w:rFonts w:hint="eastAsia" w:ascii="宋体" w:hAnsi="宋体" w:eastAsia="宋体" w:cs="宋体"/>
                <w:bCs/>
                <w:color w:val="auto"/>
                <w:szCs w:val="21"/>
              </w:rPr>
            </w:pPr>
            <w:r>
              <w:rPr>
                <w:rFonts w:hint="eastAsia" w:ascii="宋体" w:hAnsi="宋体" w:eastAsia="宋体" w:cs="宋体"/>
                <w:bCs/>
                <w:color w:val="auto"/>
                <w:szCs w:val="21"/>
              </w:rPr>
              <w:t>响应文件有效期</w:t>
            </w:r>
          </w:p>
        </w:tc>
        <w:tc>
          <w:tcPr>
            <w:tcW w:w="6140" w:type="dxa"/>
            <w:noWrap w:val="0"/>
            <w:vAlign w:val="center"/>
          </w:tcPr>
          <w:p w14:paraId="1B035E80">
            <w:pPr>
              <w:adjustRightInd w:val="0"/>
              <w:snapToGrid w:val="0"/>
              <w:spacing w:line="320" w:lineRule="exact"/>
              <w:rPr>
                <w:rFonts w:hint="eastAsia" w:ascii="宋体" w:hAnsi="宋体" w:eastAsia="宋体" w:cs="宋体"/>
                <w:bCs/>
                <w:color w:val="auto"/>
                <w:szCs w:val="21"/>
              </w:rPr>
            </w:pPr>
            <w:r>
              <w:rPr>
                <w:rFonts w:hint="eastAsia" w:ascii="宋体" w:hAnsi="宋体" w:eastAsia="宋体" w:cs="宋体"/>
                <w:color w:val="auto"/>
                <w:szCs w:val="21"/>
                <w:highlight w:val="none"/>
                <w:u w:val="single"/>
              </w:rPr>
              <w:t>90</w:t>
            </w:r>
            <w:r>
              <w:rPr>
                <w:rFonts w:hint="eastAsia" w:ascii="宋体" w:hAnsi="宋体" w:eastAsia="宋体" w:cs="宋体"/>
                <w:color w:val="auto"/>
                <w:szCs w:val="21"/>
                <w:highlight w:val="none"/>
              </w:rPr>
              <w:t>日（日历日）</w:t>
            </w:r>
          </w:p>
        </w:tc>
      </w:tr>
      <w:tr w14:paraId="7333DE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FCD95C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6A22AD9B">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第21.1款</w:t>
            </w:r>
          </w:p>
        </w:tc>
        <w:tc>
          <w:tcPr>
            <w:tcW w:w="2180" w:type="dxa"/>
            <w:noWrap w:val="0"/>
            <w:vAlign w:val="center"/>
          </w:tcPr>
          <w:p w14:paraId="3B8DEAC4">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bCs/>
                <w:color w:val="auto"/>
                <w:szCs w:val="21"/>
              </w:rPr>
              <w:t>响应</w:t>
            </w:r>
            <w:r>
              <w:rPr>
                <w:rFonts w:hint="eastAsia" w:ascii="宋体" w:hAnsi="宋体" w:eastAsia="宋体" w:cs="宋体"/>
                <w:color w:val="auto"/>
                <w:szCs w:val="21"/>
              </w:rPr>
              <w:t>文件副本份数</w:t>
            </w:r>
          </w:p>
        </w:tc>
        <w:tc>
          <w:tcPr>
            <w:tcW w:w="6140" w:type="dxa"/>
            <w:noWrap w:val="0"/>
            <w:vAlign w:val="center"/>
          </w:tcPr>
          <w:p w14:paraId="026B4418">
            <w:pPr>
              <w:adjustRightInd w:val="0"/>
              <w:snapToGrid w:val="0"/>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纸质文件：</w:t>
            </w:r>
            <w:r>
              <w:rPr>
                <w:rFonts w:hint="eastAsia" w:ascii="宋体" w:hAnsi="宋体" w:eastAsia="宋体" w:cs="宋体"/>
                <w:sz w:val="21"/>
                <w:szCs w:val="21"/>
                <w:highlight w:val="none"/>
                <w:lang w:eastAsia="zh-CN"/>
              </w:rPr>
              <w:t>一正二副</w:t>
            </w:r>
            <w:r>
              <w:rPr>
                <w:rFonts w:hint="eastAsia" w:ascii="宋体" w:hAnsi="宋体" w:eastAsia="宋体" w:cs="宋体"/>
                <w:sz w:val="21"/>
                <w:szCs w:val="21"/>
                <w:highlight w:val="none"/>
              </w:rPr>
              <w:t>；响应文件封面上明确写明“正本”或“副本”，正本和副本内容如不一致，以正本为准。</w:t>
            </w:r>
          </w:p>
          <w:p w14:paraId="28DBCDB1">
            <w:pPr>
              <w:adjustRightInd w:val="0"/>
              <w:snapToGrid w:val="0"/>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纸质文件装订要求：采用胶装方式装订，装订应牢固、不易拆散和换页，不得采用活页装订。</w:t>
            </w:r>
          </w:p>
          <w:p w14:paraId="6AD33AC2">
            <w:pPr>
              <w:adjustRightInd w:val="0"/>
              <w:snapToGrid w:val="0"/>
              <w:spacing w:line="240" w:lineRule="auto"/>
              <w:rPr>
                <w:rFonts w:hint="eastAsia" w:ascii="宋体" w:hAnsi="宋体" w:eastAsia="宋体" w:cs="宋体"/>
                <w:color w:val="FF0000"/>
                <w:sz w:val="21"/>
                <w:szCs w:val="21"/>
                <w:highlight w:val="none"/>
                <w:lang w:eastAsia="zh-CN"/>
              </w:rPr>
            </w:pPr>
            <w:r>
              <w:rPr>
                <w:rFonts w:hint="eastAsia" w:ascii="宋体" w:hAnsi="宋体" w:eastAsia="宋体" w:cs="宋体"/>
                <w:color w:val="FF0000"/>
                <w:sz w:val="21"/>
                <w:szCs w:val="21"/>
                <w:highlight w:val="none"/>
              </w:rPr>
              <w:t>电子文件：投标人应准备所投项目的电子</w:t>
            </w:r>
            <w:r>
              <w:rPr>
                <w:rFonts w:hint="eastAsia" w:ascii="宋体" w:hAnsi="宋体" w:eastAsia="宋体" w:cs="宋体"/>
                <w:color w:val="FF0000"/>
                <w:sz w:val="21"/>
                <w:szCs w:val="21"/>
                <w:highlight w:val="none"/>
                <w:lang w:eastAsia="zh-CN"/>
              </w:rPr>
              <w:t>响应文件</w:t>
            </w:r>
            <w:r>
              <w:rPr>
                <w:rFonts w:hint="eastAsia" w:ascii="宋体" w:hAnsi="宋体" w:eastAsia="宋体" w:cs="宋体"/>
                <w:color w:val="FF0000"/>
                <w:sz w:val="21"/>
                <w:szCs w:val="21"/>
                <w:highlight w:val="none"/>
              </w:rPr>
              <w:t>（U盘）一份，内容与纸质版</w:t>
            </w:r>
            <w:r>
              <w:rPr>
                <w:rFonts w:hint="eastAsia" w:ascii="宋体" w:hAnsi="宋体" w:eastAsia="宋体" w:cs="宋体"/>
                <w:color w:val="FF0000"/>
                <w:sz w:val="21"/>
                <w:szCs w:val="21"/>
                <w:highlight w:val="none"/>
                <w:lang w:eastAsia="zh-CN"/>
              </w:rPr>
              <w:t>响应文件</w:t>
            </w:r>
            <w:r>
              <w:rPr>
                <w:rFonts w:hint="eastAsia" w:ascii="宋体" w:hAnsi="宋体" w:eastAsia="宋体" w:cs="宋体"/>
                <w:color w:val="FF0000"/>
                <w:sz w:val="21"/>
                <w:szCs w:val="21"/>
                <w:highlight w:val="none"/>
              </w:rPr>
              <w:t>正本完全一致，格式为已签字盖章的响应文件正本的扫描件(PDF格式)。</w:t>
            </w:r>
            <w:r>
              <w:rPr>
                <w:rFonts w:hint="eastAsia" w:ascii="宋体" w:hAnsi="宋体" w:eastAsia="宋体" w:cs="宋体"/>
                <w:color w:val="FF0000"/>
                <w:sz w:val="21"/>
                <w:szCs w:val="21"/>
                <w:highlight w:val="none"/>
                <w:lang w:val="en-US" w:eastAsia="zh-CN"/>
              </w:rPr>
              <w:t>本</w:t>
            </w:r>
            <w:r>
              <w:rPr>
                <w:rFonts w:hint="eastAsia" w:ascii="宋体" w:hAnsi="宋体" w:eastAsia="宋体" w:cs="宋体"/>
                <w:color w:val="FF0000"/>
                <w:sz w:val="21"/>
                <w:szCs w:val="21"/>
                <w:highlight w:val="none"/>
              </w:rPr>
              <w:t>文件要求加盖的公章仅指供应商在公安机关依法备案公章</w:t>
            </w:r>
            <w:r>
              <w:rPr>
                <w:rFonts w:hint="eastAsia" w:ascii="宋体" w:hAnsi="宋体" w:eastAsia="宋体" w:cs="宋体"/>
                <w:color w:val="FF0000"/>
                <w:sz w:val="21"/>
                <w:szCs w:val="21"/>
                <w:highlight w:val="none"/>
                <w:lang w:eastAsia="zh-CN"/>
              </w:rPr>
              <w:t>，带防伪码。</w:t>
            </w:r>
          </w:p>
          <w:p w14:paraId="612A0321">
            <w:pPr>
              <w:adjustRightInd w:val="0"/>
              <w:snapToGrid w:val="0"/>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电子文件密封要求：电子</w:t>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（U盘）与纸质版响应文件一并装入响应文件袋中。</w:t>
            </w:r>
          </w:p>
        </w:tc>
      </w:tr>
      <w:tr w14:paraId="2F3B9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4ADD9D7F">
            <w:pPr>
              <w:adjustRightInd w:val="0"/>
              <w:snapToGrid w:val="0"/>
              <w:spacing w:line="320" w:lineRule="exact"/>
              <w:rPr>
                <w:rFonts w:hint="eastAsia" w:ascii="宋体" w:hAnsi="宋体" w:eastAsia="宋体" w:cs="宋体"/>
                <w:b/>
                <w:bCs/>
                <w:color w:val="auto"/>
                <w:szCs w:val="21"/>
              </w:rPr>
            </w:pPr>
            <w:r>
              <w:rPr>
                <w:rFonts w:hint="eastAsia" w:ascii="宋体" w:hAnsi="宋体" w:eastAsia="宋体" w:cs="宋体"/>
                <w:b/>
                <w:color w:val="auto"/>
                <w:szCs w:val="21"/>
              </w:rPr>
              <w:t>四、响应文件的递交</w:t>
            </w:r>
          </w:p>
        </w:tc>
      </w:tr>
      <w:tr w14:paraId="213E1B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D953DD0">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90DAC5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第22.2款</w:t>
            </w:r>
          </w:p>
        </w:tc>
        <w:tc>
          <w:tcPr>
            <w:tcW w:w="2180" w:type="dxa"/>
            <w:noWrap w:val="0"/>
            <w:vAlign w:val="center"/>
          </w:tcPr>
          <w:p w14:paraId="55CCC72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封套上应载明的信息</w:t>
            </w:r>
          </w:p>
        </w:tc>
        <w:tc>
          <w:tcPr>
            <w:tcW w:w="6140" w:type="dxa"/>
            <w:noWrap w:val="0"/>
            <w:vAlign w:val="center"/>
          </w:tcPr>
          <w:p w14:paraId="2687DBED">
            <w:pPr>
              <w:spacing w:line="320" w:lineRule="exact"/>
              <w:rPr>
                <w:rFonts w:hint="eastAsia" w:ascii="宋体" w:hAnsi="宋体" w:eastAsia="宋体" w:cs="宋体"/>
                <w:color w:val="auto"/>
                <w:szCs w:val="21"/>
              </w:rPr>
            </w:pP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（项目名称）响应文件  </w:t>
            </w:r>
          </w:p>
          <w:p w14:paraId="26DC8B74">
            <w:pPr>
              <w:spacing w:line="320" w:lineRule="exact"/>
              <w:rPr>
                <w:rFonts w:hint="eastAsia" w:ascii="宋体" w:hAnsi="宋体" w:eastAsia="宋体" w:cs="宋体"/>
                <w:color w:val="auto"/>
                <w:szCs w:val="21"/>
                <w:lang w:val="en-US" w:eastAsia="zh-CN"/>
              </w:rPr>
            </w:pPr>
            <w:r>
              <w:rPr>
                <w:rFonts w:hint="eastAsia" w:ascii="宋体" w:hAnsi="宋体" w:eastAsia="宋体" w:cs="宋体"/>
                <w:color w:val="auto"/>
                <w:szCs w:val="21"/>
              </w:rPr>
              <w:t>采购编号：</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采购代理机构编号：</w:t>
            </w:r>
            <w:r>
              <w:rPr>
                <w:rFonts w:hint="eastAsia" w:ascii="宋体" w:hAnsi="宋体" w:eastAsia="宋体" w:cs="宋体"/>
                <w:color w:val="auto"/>
                <w:szCs w:val="21"/>
                <w:u w:val="single"/>
                <w:lang w:val="en-US" w:eastAsia="zh-CN"/>
              </w:rPr>
              <w:t xml:space="preserve">           </w:t>
            </w:r>
          </w:p>
          <w:p w14:paraId="518CE6D7">
            <w:pPr>
              <w:spacing w:line="320" w:lineRule="exact"/>
              <w:rPr>
                <w:rFonts w:hint="eastAsia" w:ascii="宋体" w:hAnsi="宋体" w:eastAsia="宋体" w:cs="宋体"/>
                <w:color w:val="auto"/>
                <w:szCs w:val="21"/>
                <w:lang w:val="en-US" w:eastAsia="zh-CN"/>
              </w:rPr>
            </w:pPr>
            <w:r>
              <w:rPr>
                <w:rFonts w:hint="eastAsia" w:ascii="宋体" w:hAnsi="宋体" w:eastAsia="宋体" w:cs="宋体"/>
                <w:color w:val="auto"/>
                <w:szCs w:val="21"/>
              </w:rPr>
              <w:t>供应商名称：</w:t>
            </w:r>
            <w:r>
              <w:rPr>
                <w:rFonts w:hint="eastAsia" w:ascii="宋体" w:hAnsi="宋体" w:eastAsia="宋体" w:cs="宋体"/>
                <w:color w:val="auto"/>
                <w:szCs w:val="21"/>
                <w:u w:val="single"/>
                <w:lang w:val="en-US" w:eastAsia="zh-CN"/>
              </w:rPr>
              <w:t xml:space="preserve">             </w:t>
            </w:r>
          </w:p>
          <w:p w14:paraId="68A511EC">
            <w:pPr>
              <w:spacing w:line="320" w:lineRule="exact"/>
              <w:rPr>
                <w:rFonts w:hint="eastAsia" w:ascii="宋体" w:hAnsi="宋体" w:eastAsia="宋体" w:cs="宋体"/>
                <w:color w:val="auto"/>
                <w:szCs w:val="21"/>
              </w:rPr>
            </w:pPr>
            <w:r>
              <w:rPr>
                <w:rFonts w:hint="eastAsia" w:ascii="宋体" w:hAnsi="宋体" w:eastAsia="宋体" w:cs="宋体"/>
                <w:color w:val="auto"/>
                <w:szCs w:val="21"/>
              </w:rPr>
              <w:t>在</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日</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时</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分（磋商响应文件递交截止时间）之前不得启封</w:t>
            </w:r>
          </w:p>
        </w:tc>
      </w:tr>
      <w:tr w14:paraId="4ED45A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5F612F79">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5D263D21">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第24.1款</w:t>
            </w:r>
          </w:p>
        </w:tc>
        <w:tc>
          <w:tcPr>
            <w:tcW w:w="2180" w:type="dxa"/>
            <w:noWrap w:val="0"/>
            <w:vAlign w:val="center"/>
          </w:tcPr>
          <w:p w14:paraId="65EF6DBC">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响应文件的递交地点</w:t>
            </w:r>
          </w:p>
        </w:tc>
        <w:tc>
          <w:tcPr>
            <w:tcW w:w="6140" w:type="dxa"/>
            <w:noWrap w:val="0"/>
            <w:vAlign w:val="center"/>
          </w:tcPr>
          <w:p w14:paraId="2F852430">
            <w:pPr>
              <w:spacing w:line="320" w:lineRule="exact"/>
              <w:rPr>
                <w:rFonts w:hint="eastAsia" w:ascii="宋体" w:hAnsi="宋体" w:eastAsia="宋体" w:cs="宋体"/>
                <w:bCs/>
                <w:color w:val="auto"/>
                <w:szCs w:val="21"/>
                <w:lang w:val="en-US" w:eastAsia="zh-CN"/>
              </w:rPr>
            </w:pPr>
            <w:r>
              <w:rPr>
                <w:rFonts w:hint="eastAsia" w:ascii="宋体" w:hAnsi="宋体" w:cs="宋体"/>
                <w:bCs/>
                <w:color w:val="auto"/>
                <w:szCs w:val="21"/>
                <w:lang w:val="en-US" w:eastAsia="zh-CN"/>
              </w:rPr>
              <w:t>湖南湘建智科工程技术有限公司</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岳阳县荣家湾镇青山南路城南社区第三网格001栋东边六楼</w:t>
            </w:r>
            <w:r>
              <w:rPr>
                <w:rFonts w:hint="eastAsia" w:ascii="宋体" w:hAnsi="宋体" w:eastAsia="宋体" w:cs="宋体"/>
                <w:bCs/>
                <w:color w:val="auto"/>
                <w:szCs w:val="21"/>
                <w:lang w:val="en-US" w:eastAsia="zh-CN"/>
              </w:rPr>
              <w:t>)</w:t>
            </w:r>
          </w:p>
        </w:tc>
      </w:tr>
      <w:tr w14:paraId="764D9E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76" w:type="dxa"/>
            <w:gridSpan w:val="3"/>
            <w:noWrap w:val="0"/>
            <w:vAlign w:val="center"/>
          </w:tcPr>
          <w:p w14:paraId="757D4A44">
            <w:pPr>
              <w:adjustRightInd w:val="0"/>
              <w:snapToGrid w:val="0"/>
              <w:spacing w:line="320" w:lineRule="exact"/>
              <w:rPr>
                <w:rFonts w:hint="eastAsia" w:ascii="宋体" w:hAnsi="宋体" w:eastAsia="宋体" w:cs="宋体"/>
                <w:b/>
                <w:bCs/>
                <w:color w:val="auto"/>
                <w:szCs w:val="21"/>
              </w:rPr>
            </w:pPr>
            <w:r>
              <w:rPr>
                <w:rFonts w:hint="eastAsia" w:ascii="宋体" w:hAnsi="宋体" w:eastAsia="宋体" w:cs="宋体"/>
                <w:b/>
                <w:bCs/>
                <w:color w:val="auto"/>
                <w:szCs w:val="21"/>
              </w:rPr>
              <w:t>五、响应文件的磋商与评审</w:t>
            </w:r>
          </w:p>
        </w:tc>
      </w:tr>
      <w:tr w14:paraId="48E4B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EC11613">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09E1FB94">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第31.2款</w:t>
            </w:r>
          </w:p>
        </w:tc>
        <w:tc>
          <w:tcPr>
            <w:tcW w:w="2180" w:type="dxa"/>
            <w:noWrap w:val="0"/>
            <w:vAlign w:val="center"/>
          </w:tcPr>
          <w:p w14:paraId="04620EC4">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评审因素和标准</w:t>
            </w:r>
          </w:p>
        </w:tc>
        <w:tc>
          <w:tcPr>
            <w:tcW w:w="6140" w:type="dxa"/>
            <w:noWrap w:val="0"/>
            <w:vAlign w:val="center"/>
          </w:tcPr>
          <w:p w14:paraId="5A4801BF">
            <w:pPr>
              <w:adjustRightInd w:val="0"/>
              <w:snapToGrid w:val="0"/>
              <w:spacing w:line="320" w:lineRule="exact"/>
              <w:rPr>
                <w:rFonts w:hint="eastAsia" w:ascii="宋体" w:hAnsi="宋体" w:eastAsia="宋体" w:cs="宋体"/>
                <w:bCs/>
                <w:color w:val="auto"/>
                <w:szCs w:val="21"/>
                <w:lang w:eastAsia="zh-CN"/>
              </w:rPr>
            </w:pPr>
            <w:r>
              <w:rPr>
                <w:rFonts w:hint="eastAsia" w:ascii="宋体" w:hAnsi="宋体" w:eastAsia="宋体" w:cs="宋体"/>
                <w:bCs/>
                <w:color w:val="auto"/>
                <w:szCs w:val="21"/>
              </w:rPr>
              <w:t>见附页</w:t>
            </w:r>
            <w:r>
              <w:rPr>
                <w:rFonts w:hint="eastAsia" w:ascii="宋体" w:hAnsi="宋体" w:eastAsia="宋体" w:cs="宋体"/>
                <w:bCs/>
                <w:color w:val="auto"/>
                <w:szCs w:val="21"/>
                <w:lang w:val="en-US" w:eastAsia="zh-CN"/>
              </w:rPr>
              <w:t>2</w:t>
            </w:r>
          </w:p>
        </w:tc>
      </w:tr>
      <w:tr w14:paraId="2FC30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CDD59">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第二章第31.3款</w:t>
            </w:r>
          </w:p>
        </w:tc>
        <w:tc>
          <w:tcPr>
            <w:tcW w:w="2180" w:type="dxa"/>
            <w:noWrap w:val="0"/>
            <w:vAlign w:val="center"/>
          </w:tcPr>
          <w:p w14:paraId="688397AF">
            <w:pPr>
              <w:adjustRightInd w:val="0"/>
              <w:snapToGrid w:val="0"/>
              <w:jc w:val="center"/>
              <w:rPr>
                <w:rFonts w:hint="eastAsia" w:ascii="宋体" w:hAnsi="宋体" w:eastAsia="宋体" w:cs="宋体"/>
                <w:color w:val="auto"/>
                <w:szCs w:val="21"/>
              </w:rPr>
            </w:pPr>
            <w:r>
              <w:rPr>
                <w:rFonts w:hint="eastAsia" w:ascii="宋体" w:hAnsi="宋体" w:eastAsia="宋体" w:cs="宋体"/>
                <w:color w:val="auto"/>
                <w:kern w:val="0"/>
                <w:szCs w:val="21"/>
              </w:rPr>
              <w:t>最后报价</w:t>
            </w:r>
            <w:r>
              <w:rPr>
                <w:rFonts w:hint="eastAsia" w:ascii="宋体" w:hAnsi="宋体" w:eastAsia="宋体" w:cs="宋体"/>
                <w:color w:val="auto"/>
                <w:szCs w:val="21"/>
              </w:rPr>
              <w:t>调整</w:t>
            </w:r>
          </w:p>
        </w:tc>
        <w:tc>
          <w:tcPr>
            <w:tcW w:w="6140" w:type="dxa"/>
            <w:noWrap w:val="0"/>
            <w:vAlign w:val="center"/>
          </w:tcPr>
          <w:p w14:paraId="68494D5B">
            <w:pPr>
              <w:adjustRightInd w:val="0"/>
              <w:snapToGrid w:val="0"/>
              <w:rPr>
                <w:rFonts w:hint="eastAsia" w:ascii="宋体" w:hAnsi="宋体" w:eastAsia="宋体" w:cs="宋体"/>
                <w:color w:val="auto"/>
                <w:szCs w:val="21"/>
              </w:rPr>
            </w:pPr>
            <w:r>
              <w:rPr>
                <w:rFonts w:hint="eastAsia" w:ascii="宋体" w:hAnsi="宋体" w:eastAsia="宋体" w:cs="宋体"/>
                <w:bCs/>
                <w:color w:val="auto"/>
                <w:kern w:val="0"/>
                <w:szCs w:val="21"/>
              </w:rPr>
              <w:t>政府采购支持中小企业发展</w:t>
            </w:r>
            <w:r>
              <w:rPr>
                <w:rFonts w:hint="eastAsia" w:ascii="宋体" w:hAnsi="宋体" w:eastAsia="宋体" w:cs="宋体"/>
                <w:color w:val="auto"/>
                <w:szCs w:val="21"/>
              </w:rPr>
              <w:t>（货物类供应商和产品制造商应同时满足中小微企业的条件）</w:t>
            </w:r>
            <w:r>
              <w:rPr>
                <w:rFonts w:hint="eastAsia" w:ascii="宋体" w:hAnsi="宋体" w:eastAsia="宋体" w:cs="宋体"/>
                <w:bCs/>
                <w:color w:val="auto"/>
                <w:kern w:val="0"/>
                <w:szCs w:val="21"/>
              </w:rPr>
              <w:t>：</w:t>
            </w:r>
            <w:r>
              <w:rPr>
                <w:rFonts w:hint="eastAsia" w:ascii="宋体" w:hAnsi="宋体" w:eastAsia="宋体" w:cs="宋体"/>
                <w:color w:val="auto"/>
                <w:szCs w:val="21"/>
              </w:rPr>
              <w:t>小型或微型企业，</w:t>
            </w:r>
            <w:r>
              <w:rPr>
                <w:rFonts w:hint="eastAsia" w:ascii="宋体" w:hAnsi="宋体" w:eastAsia="宋体" w:cs="宋体"/>
                <w:color w:val="auto"/>
                <w:kern w:val="0"/>
                <w:szCs w:val="21"/>
              </w:rPr>
              <w:t>最后报价</w:t>
            </w:r>
            <w:r>
              <w:rPr>
                <w:rFonts w:hint="eastAsia" w:ascii="宋体" w:hAnsi="宋体" w:eastAsia="宋体" w:cs="宋体"/>
                <w:color w:val="auto"/>
                <w:szCs w:val="21"/>
              </w:rPr>
              <w:t xml:space="preserve">扣除比例为 </w:t>
            </w:r>
            <w:r>
              <w:rPr>
                <w:rFonts w:hint="eastAsia" w:ascii="宋体" w:hAnsi="宋体" w:cs="宋体"/>
                <w:color w:val="0000FF"/>
                <w:szCs w:val="21"/>
                <w:u w:val="single"/>
                <w:lang w:val="en-US" w:eastAsia="zh-CN"/>
              </w:rPr>
              <w:t xml:space="preserve"> 10 </w:t>
            </w:r>
            <w:r>
              <w:rPr>
                <w:rFonts w:hint="eastAsia" w:ascii="宋体" w:hAnsi="宋体" w:eastAsia="宋体" w:cs="宋体"/>
                <w:color w:val="auto"/>
                <w:szCs w:val="21"/>
              </w:rPr>
              <w:t>％；中型企业，</w:t>
            </w:r>
            <w:r>
              <w:rPr>
                <w:rFonts w:hint="eastAsia" w:ascii="宋体" w:hAnsi="宋体" w:eastAsia="宋体" w:cs="宋体"/>
                <w:color w:val="auto"/>
                <w:kern w:val="0"/>
                <w:szCs w:val="21"/>
              </w:rPr>
              <w:t>最后报价</w:t>
            </w:r>
            <w:r>
              <w:rPr>
                <w:rFonts w:hint="eastAsia" w:ascii="宋体" w:hAnsi="宋体" w:eastAsia="宋体" w:cs="宋体"/>
                <w:color w:val="auto"/>
                <w:szCs w:val="21"/>
              </w:rPr>
              <w:t xml:space="preserve">扣除比例为 </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％；联合体参与磋商的，最后报价扣除比例为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%。评审时，用扣除后的最后报价计算价格分。</w:t>
            </w:r>
          </w:p>
        </w:tc>
      </w:tr>
      <w:tr w14:paraId="0144BB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0C3124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4B29134B">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第29.5款</w:t>
            </w:r>
          </w:p>
        </w:tc>
        <w:tc>
          <w:tcPr>
            <w:tcW w:w="2180" w:type="dxa"/>
            <w:noWrap w:val="0"/>
            <w:vAlign w:val="center"/>
          </w:tcPr>
          <w:p w14:paraId="4A54BE9B">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技术、价格</w:t>
            </w:r>
            <w:r>
              <w:rPr>
                <w:rFonts w:hint="eastAsia" w:ascii="宋体" w:hAnsi="宋体" w:eastAsia="宋体" w:cs="宋体"/>
                <w:color w:val="auto"/>
                <w:kern w:val="0"/>
                <w:szCs w:val="21"/>
              </w:rPr>
              <w:t>得分或总得分</w:t>
            </w:r>
            <w:r>
              <w:rPr>
                <w:rFonts w:hint="eastAsia" w:ascii="宋体" w:hAnsi="宋体" w:eastAsia="宋体" w:cs="宋体"/>
                <w:color w:val="auto"/>
                <w:szCs w:val="21"/>
              </w:rPr>
              <w:t>调整</w:t>
            </w:r>
          </w:p>
        </w:tc>
        <w:tc>
          <w:tcPr>
            <w:tcW w:w="6140" w:type="dxa"/>
            <w:noWrap w:val="0"/>
            <w:vAlign w:val="center"/>
          </w:tcPr>
          <w:p w14:paraId="3E463235">
            <w:pPr>
              <w:spacing w:line="240" w:lineRule="auto"/>
              <w:rPr>
                <w:rFonts w:hint="eastAsia" w:ascii="宋体" w:hAnsi="宋体" w:eastAsia="宋体" w:cs="宋体"/>
              </w:rPr>
            </w:pPr>
            <w:r>
              <w:rPr>
                <w:rFonts w:hint="eastAsia" w:ascii="宋体" w:hAnsi="宋体" w:eastAsia="宋体" w:cs="宋体"/>
              </w:rPr>
              <w:t>符合第二章第9.2款规定的，按以下进行分值调整：</w:t>
            </w:r>
          </w:p>
          <w:p w14:paraId="65778DD9">
            <w:pPr>
              <w:numPr>
                <w:ilvl w:val="0"/>
                <w:numId w:val="2"/>
              </w:numPr>
              <w:adjustRightInd w:val="0"/>
              <w:snapToGrid w:val="0"/>
              <w:spacing w:line="240" w:lineRule="auto"/>
              <w:ind w:left="0" w:firstLine="0"/>
              <w:rPr>
                <w:rFonts w:hint="eastAsia" w:ascii="宋体" w:hAnsi="宋体" w:eastAsia="宋体" w:cs="宋体"/>
              </w:rPr>
            </w:pPr>
            <w:r>
              <w:rPr>
                <w:rFonts w:hint="eastAsia" w:ascii="宋体" w:hAnsi="宋体" w:eastAsia="宋体" w:cs="宋体"/>
              </w:rPr>
              <w:t>节能产品：</w:t>
            </w:r>
          </w:p>
          <w:p w14:paraId="2E2E3EC5">
            <w:pPr>
              <w:spacing w:line="240" w:lineRule="auto"/>
              <w:rPr>
                <w:rFonts w:hint="eastAsia" w:ascii="宋体" w:hAnsi="宋体" w:eastAsia="宋体" w:cs="宋体"/>
              </w:rPr>
            </w:pPr>
            <w:r>
              <w:rPr>
                <w:rFonts w:hint="eastAsia" w:ascii="宋体" w:hAnsi="宋体" w:eastAsia="宋体" w:cs="宋体"/>
              </w:rPr>
              <w:t>技术加分＝技术分值×加分比例（比例见本表“第二章第9.2款”，下同）×（节能产品报价÷总报价）；</w:t>
            </w:r>
          </w:p>
          <w:p w14:paraId="57AE30A7">
            <w:pPr>
              <w:adjustRightInd w:val="0"/>
              <w:snapToGrid w:val="0"/>
              <w:spacing w:line="240" w:lineRule="auto"/>
              <w:rPr>
                <w:rFonts w:hint="eastAsia" w:ascii="宋体" w:hAnsi="宋体" w:eastAsia="宋体" w:cs="宋体"/>
              </w:rPr>
            </w:pPr>
            <w:r>
              <w:rPr>
                <w:rFonts w:hint="eastAsia" w:ascii="宋体" w:hAnsi="宋体" w:eastAsia="宋体" w:cs="宋体"/>
              </w:rPr>
              <w:t>价格加分＝价格分值×加分比例×（节能产品报价÷总报价）。</w:t>
            </w:r>
          </w:p>
          <w:p w14:paraId="356FB67F">
            <w:pPr>
              <w:adjustRightInd w:val="0"/>
              <w:snapToGrid w:val="0"/>
              <w:spacing w:line="240" w:lineRule="auto"/>
              <w:rPr>
                <w:rFonts w:hint="eastAsia" w:ascii="宋体" w:hAnsi="宋体" w:eastAsia="宋体" w:cs="宋体"/>
              </w:rPr>
            </w:pPr>
            <w:r>
              <w:rPr>
                <w:rFonts w:hint="eastAsia" w:ascii="宋体" w:hAnsi="宋体" w:eastAsia="宋体" w:cs="宋体"/>
              </w:rPr>
              <w:t>2、环境标志产品：</w:t>
            </w:r>
          </w:p>
          <w:p w14:paraId="34E195D6">
            <w:pPr>
              <w:adjustRightInd w:val="0"/>
              <w:snapToGrid w:val="0"/>
              <w:spacing w:line="240" w:lineRule="auto"/>
              <w:rPr>
                <w:rFonts w:hint="eastAsia" w:ascii="宋体" w:hAnsi="宋体" w:eastAsia="宋体" w:cs="宋体"/>
              </w:rPr>
            </w:pPr>
            <w:r>
              <w:rPr>
                <w:rFonts w:hint="eastAsia" w:ascii="宋体" w:hAnsi="宋体" w:eastAsia="宋体" w:cs="宋体"/>
              </w:rPr>
              <w:t>技术加分＝技术分值×加分比例×（环境标志产品报价÷总报价）；</w:t>
            </w:r>
          </w:p>
          <w:p w14:paraId="49156C2D">
            <w:pPr>
              <w:adjustRightInd w:val="0"/>
              <w:snapToGrid w:val="0"/>
              <w:spacing w:line="240" w:lineRule="auto"/>
              <w:rPr>
                <w:rFonts w:hint="eastAsia" w:ascii="宋体" w:hAnsi="宋体" w:eastAsia="宋体" w:cs="宋体"/>
              </w:rPr>
            </w:pPr>
            <w:r>
              <w:rPr>
                <w:rFonts w:hint="eastAsia" w:ascii="宋体" w:hAnsi="宋体" w:eastAsia="宋体" w:cs="宋体"/>
              </w:rPr>
              <w:t>价格加分＝价格分值×加分比例×（环境标志产品报价÷总报价）。</w:t>
            </w:r>
          </w:p>
        </w:tc>
      </w:tr>
      <w:tr w14:paraId="1CF16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shd w:val="clear" w:color="auto" w:fill="auto"/>
            <w:noWrap w:val="0"/>
            <w:vAlign w:val="center"/>
          </w:tcPr>
          <w:p w14:paraId="63B72F7D">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第二章</w:t>
            </w:r>
          </w:p>
          <w:p w14:paraId="2126D2A1">
            <w:pPr>
              <w:adjustRightInd w:val="0"/>
              <w:snapToGrid w:val="0"/>
              <w:spacing w:line="320" w:lineRule="exac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第</w:t>
            </w:r>
            <w:r>
              <w:rPr>
                <w:rFonts w:hint="eastAsia" w:ascii="宋体" w:hAnsi="宋体"/>
                <w:color w:val="auto"/>
                <w:szCs w:val="21"/>
                <w:highlight w:val="none"/>
                <w:lang w:val="en-US" w:eastAsia="zh-CN"/>
              </w:rPr>
              <w:t>28</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款</w:t>
            </w:r>
          </w:p>
        </w:tc>
        <w:tc>
          <w:tcPr>
            <w:tcW w:w="2180" w:type="dxa"/>
            <w:shd w:val="clear" w:color="auto" w:fill="auto"/>
            <w:noWrap w:val="0"/>
            <w:vAlign w:val="center"/>
          </w:tcPr>
          <w:p w14:paraId="6A286A86">
            <w:pPr>
              <w:adjustRightInd w:val="0"/>
              <w:snapToGrid w:val="0"/>
              <w:spacing w:line="320" w:lineRule="exact"/>
              <w:jc w:val="center"/>
              <w:rPr>
                <w:rFonts w:hint="eastAsia" w:ascii="宋体" w:hAnsi="Times New Roman" w:eastAsia="宋体" w:cs="Times New Roman"/>
                <w:color w:val="auto"/>
                <w:kern w:val="2"/>
                <w:sz w:val="21"/>
                <w:szCs w:val="21"/>
                <w:highlight w:val="none"/>
                <w:lang w:val="en-US" w:eastAsia="zh-CN" w:bidi="ar-SA"/>
              </w:rPr>
            </w:pPr>
            <w:r>
              <w:rPr>
                <w:rFonts w:hint="eastAsia" w:ascii="宋体"/>
                <w:color w:val="auto"/>
                <w:szCs w:val="21"/>
                <w:highlight w:val="none"/>
              </w:rPr>
              <w:t>审查条件</w:t>
            </w:r>
          </w:p>
        </w:tc>
        <w:tc>
          <w:tcPr>
            <w:tcW w:w="6140" w:type="dxa"/>
            <w:shd w:val="clear" w:color="auto" w:fill="auto"/>
            <w:noWrap w:val="0"/>
            <w:vAlign w:val="center"/>
          </w:tcPr>
          <w:p w14:paraId="2BEAACD0">
            <w:pPr>
              <w:adjustRightInd w:val="0"/>
              <w:snapToGrid w:val="0"/>
              <w:spacing w:line="240" w:lineRule="auto"/>
              <w:rPr>
                <w:rFonts w:hint="eastAsia" w:ascii="Times New Roman" w:hAnsi="Times New Roman" w:eastAsia="宋体" w:cs="Times New Roman"/>
                <w:lang w:eastAsia="zh-CN"/>
              </w:rPr>
            </w:pPr>
            <w:r>
              <w:rPr>
                <w:rFonts w:hint="eastAsia" w:ascii="Times New Roman" w:hAnsi="Times New Roman" w:eastAsia="宋体" w:cs="Times New Roman"/>
              </w:rPr>
              <w:t>政府采购评审中出现下列情形之一的，评审委员会应当启动异常低价投标(响应)审查程序</w:t>
            </w:r>
            <w:r>
              <w:rPr>
                <w:rFonts w:hint="eastAsia" w:cs="Times New Roman"/>
                <w:lang w:eastAsia="zh-CN"/>
              </w:rPr>
              <w:t>：</w:t>
            </w:r>
          </w:p>
          <w:p w14:paraId="41A2C832">
            <w:pPr>
              <w:numPr>
                <w:ilvl w:val="0"/>
                <w:numId w:val="3"/>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投标(响应)报价低于全部通过符合性审查供应商投示(响应)报价平均值</w:t>
            </w:r>
            <w:r>
              <w:rPr>
                <w:rFonts w:hint="eastAsia" w:ascii="Times New Roman" w:hAnsi="Times New Roman" w:eastAsia="宋体" w:cs="Times New Roman"/>
                <w:color w:val="0000FF"/>
              </w:rPr>
              <w:t>65%</w:t>
            </w:r>
            <w:r>
              <w:rPr>
                <w:rFonts w:hint="eastAsia" w:ascii="Times New Roman" w:hAnsi="Times New Roman" w:eastAsia="宋体" w:cs="Times New Roman"/>
              </w:rPr>
              <w:t>的，即投标(响应)报价&lt;全部通过符合性审查供应商投标(响应)报价平均值</w:t>
            </w:r>
            <w:r>
              <w:rPr>
                <w:rFonts w:hint="eastAsia" w:cs="Times New Roman"/>
                <w:lang w:val="en-US" w:eastAsia="zh-CN"/>
              </w:rPr>
              <w:t>*</w:t>
            </w:r>
            <w:r>
              <w:rPr>
                <w:rFonts w:hint="eastAsia" w:cs="Times New Roman"/>
                <w:color w:val="0000FF"/>
                <w:lang w:val="en-US" w:eastAsia="zh-CN"/>
              </w:rPr>
              <w:t>6</w:t>
            </w:r>
            <w:r>
              <w:rPr>
                <w:rFonts w:hint="eastAsia" w:ascii="Times New Roman" w:hAnsi="Times New Roman" w:eastAsia="宋体" w:cs="Times New Roman"/>
                <w:color w:val="0000FF"/>
              </w:rPr>
              <w:t>5%</w:t>
            </w:r>
            <w:r>
              <w:rPr>
                <w:rFonts w:hint="eastAsia" w:cs="Times New Roman"/>
                <w:lang w:eastAsia="zh-CN"/>
              </w:rPr>
              <w:t>；</w:t>
            </w:r>
          </w:p>
          <w:p w14:paraId="360D36CB">
            <w:pPr>
              <w:numPr>
                <w:ilvl w:val="0"/>
                <w:numId w:val="0"/>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2.投标(响应)报价低于通过符合性审查的次低报价供应商投标(响应)报价</w:t>
            </w:r>
            <w:r>
              <w:rPr>
                <w:rFonts w:hint="eastAsia" w:cs="Times New Roman"/>
                <w:color w:val="0000FF"/>
                <w:lang w:val="en-US" w:eastAsia="zh-CN"/>
              </w:rPr>
              <w:t>65%</w:t>
            </w:r>
            <w:r>
              <w:rPr>
                <w:rFonts w:hint="eastAsia" w:cs="Times New Roman"/>
                <w:color w:val="auto"/>
                <w:lang w:val="en-US" w:eastAsia="zh-CN"/>
              </w:rPr>
              <w:t>的</w:t>
            </w:r>
            <w:r>
              <w:rPr>
                <w:rFonts w:hint="eastAsia" w:ascii="Times New Roman" w:hAnsi="Times New Roman" w:eastAsia="宋体" w:cs="Times New Roman"/>
              </w:rPr>
              <w:t>，即投标(响应)报价&lt;通过符合性审查的次低报价供应商投标(响应)报价</w:t>
            </w:r>
            <w:r>
              <w:rPr>
                <w:rFonts w:hint="eastAsia" w:cs="Times New Roman"/>
                <w:lang w:val="en-US" w:eastAsia="zh-CN"/>
              </w:rPr>
              <w:t>*</w:t>
            </w:r>
            <w:r>
              <w:rPr>
                <w:rFonts w:hint="eastAsia" w:cs="Times New Roman"/>
                <w:color w:val="0000FF"/>
                <w:lang w:val="en-US" w:eastAsia="zh-CN"/>
              </w:rPr>
              <w:t>6</w:t>
            </w:r>
            <w:r>
              <w:rPr>
                <w:rFonts w:hint="eastAsia" w:ascii="Times New Roman" w:hAnsi="Times New Roman" w:eastAsia="宋体" w:cs="Times New Roman"/>
                <w:color w:val="0000FF"/>
              </w:rPr>
              <w:t>5%</w:t>
            </w:r>
            <w:r>
              <w:rPr>
                <w:rFonts w:hint="eastAsia" w:cs="Times New Roman"/>
                <w:lang w:eastAsia="zh-CN"/>
              </w:rPr>
              <w:t>；</w:t>
            </w:r>
          </w:p>
          <w:p w14:paraId="1EAB4FEB">
            <w:pPr>
              <w:numPr>
                <w:ilvl w:val="0"/>
                <w:numId w:val="0"/>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3.投标(响应)报价低于采购项目最高限价</w:t>
            </w:r>
            <w:r>
              <w:rPr>
                <w:rFonts w:hint="eastAsia" w:ascii="Times New Roman" w:hAnsi="Times New Roman" w:eastAsia="宋体" w:cs="Times New Roman"/>
                <w:color w:val="0000FF"/>
              </w:rPr>
              <w:t>65%</w:t>
            </w:r>
            <w:r>
              <w:rPr>
                <w:rFonts w:hint="eastAsia" w:ascii="Times New Roman" w:hAnsi="Times New Roman" w:eastAsia="宋体" w:cs="Times New Roman"/>
              </w:rPr>
              <w:t>的即投标(响应)报价&lt;采购项目最高限价</w:t>
            </w:r>
            <w:r>
              <w:rPr>
                <w:rFonts w:hint="eastAsia" w:cs="Times New Roman"/>
                <w:lang w:val="en-US" w:eastAsia="zh-CN"/>
              </w:rPr>
              <w:t>*</w:t>
            </w:r>
            <w:r>
              <w:rPr>
                <w:rFonts w:hint="eastAsia" w:ascii="Times New Roman" w:hAnsi="Times New Roman" w:eastAsia="宋体" w:cs="Times New Roman"/>
                <w:color w:val="0000FF"/>
              </w:rPr>
              <w:t>65%</w:t>
            </w:r>
            <w:r>
              <w:rPr>
                <w:rFonts w:hint="eastAsia" w:cs="Times New Roman"/>
                <w:lang w:eastAsia="zh-CN"/>
              </w:rPr>
              <w:t>；</w:t>
            </w:r>
          </w:p>
          <w:p w14:paraId="1F106045">
            <w:pPr>
              <w:numPr>
                <w:ilvl w:val="0"/>
                <w:numId w:val="0"/>
              </w:numPr>
              <w:adjustRightInd w:val="0"/>
              <w:snapToGrid w:val="0"/>
              <w:spacing w:line="240" w:lineRule="auto"/>
              <w:ind w:left="0" w:leftChars="0" w:firstLine="0" w:firstLineChars="0"/>
              <w:rPr>
                <w:rFonts w:hint="eastAsia" w:ascii="Times New Roman" w:hAnsi="Times New Roman" w:eastAsia="宋体" w:cs="Times New Roman"/>
              </w:rPr>
            </w:pPr>
            <w:r>
              <w:rPr>
                <w:rFonts w:hint="eastAsia" w:cs="Times New Roman"/>
                <w:lang w:val="en-US" w:eastAsia="zh-CN"/>
              </w:rPr>
              <w:t>4.</w:t>
            </w:r>
            <w:r>
              <w:rPr>
                <w:rFonts w:hint="eastAsia" w:ascii="Times New Roman" w:hAnsi="Times New Roman" w:eastAsia="宋体" w:cs="Times New Roman"/>
              </w:rPr>
              <w:t>评宙委员会基于专业判断，认为供应商报价过低，有可能影响产品质量或者不能诚信履约的其他情形</w:t>
            </w:r>
          </w:p>
          <w:p w14:paraId="0EAC0507">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相关法律法规对供应商报价有规定的，从其规定。</w:t>
            </w:r>
          </w:p>
          <w:p w14:paraId="3EFBA765">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B923B95">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6AD1F43">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561EF544">
            <w:pPr>
              <w:numPr>
                <w:ilvl w:val="0"/>
                <w:numId w:val="0"/>
              </w:numPr>
              <w:adjustRightInd w:val="0"/>
              <w:snapToGrid w:val="0"/>
              <w:spacing w:line="240" w:lineRule="auto"/>
              <w:ind w:left="0" w:leftChars="0"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color w:val="FF0000"/>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6DF0A9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1DAD64C6">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b/>
                <w:color w:val="auto"/>
                <w:szCs w:val="21"/>
              </w:rPr>
              <w:t>六、成交结果信息公布与授予合同</w:t>
            </w:r>
          </w:p>
        </w:tc>
      </w:tr>
      <w:tr w14:paraId="6CA2E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C7BF838">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2372077D">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第37.1款</w:t>
            </w:r>
          </w:p>
        </w:tc>
        <w:tc>
          <w:tcPr>
            <w:tcW w:w="2180" w:type="dxa"/>
            <w:noWrap w:val="0"/>
            <w:vAlign w:val="center"/>
          </w:tcPr>
          <w:p w14:paraId="39BA66D1">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财政部门</w:t>
            </w:r>
          </w:p>
          <w:p w14:paraId="4C05205E">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指定的媒体</w:t>
            </w:r>
          </w:p>
        </w:tc>
        <w:tc>
          <w:tcPr>
            <w:tcW w:w="6140" w:type="dxa"/>
            <w:noWrap w:val="0"/>
            <w:vAlign w:val="center"/>
          </w:tcPr>
          <w:p w14:paraId="75F1D6C4">
            <w:pPr>
              <w:adjustRightInd w:val="0"/>
              <w:snapToGrid w:val="0"/>
              <w:spacing w:line="276" w:lineRule="auto"/>
              <w:jc w:val="left"/>
              <w:rPr>
                <w:rFonts w:hint="eastAsia" w:ascii="宋体" w:hAnsi="宋体" w:eastAsia="宋体" w:cs="宋体"/>
                <w:color w:val="auto"/>
                <w:szCs w:val="21"/>
                <w:lang w:val="en-US" w:eastAsia="zh-CN"/>
              </w:rPr>
            </w:pPr>
            <w:r>
              <w:rPr>
                <w:rFonts w:hint="eastAsia" w:ascii="宋体" w:hAnsi="宋体" w:eastAsia="宋体" w:cs="宋体"/>
                <w:color w:val="auto"/>
                <w:szCs w:val="21"/>
              </w:rPr>
              <w:t>湖南省政府采购网http://www.ccgp-hunan.gov.cn/</w:t>
            </w:r>
            <w:r>
              <w:rPr>
                <w:rFonts w:hint="eastAsia" w:ascii="宋体" w:hAnsi="宋体" w:eastAsia="宋体" w:cs="宋体"/>
                <w:color w:val="auto"/>
                <w:szCs w:val="21"/>
                <w:lang w:val="en-US" w:eastAsia="zh-CN"/>
              </w:rPr>
              <w:t xml:space="preserve">    </w:t>
            </w:r>
          </w:p>
        </w:tc>
      </w:tr>
      <w:tr w14:paraId="399DD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66" w:hRule="atLeast"/>
          <w:jc w:val="center"/>
        </w:trPr>
        <w:tc>
          <w:tcPr>
            <w:tcW w:w="1256" w:type="dxa"/>
            <w:noWrap w:val="0"/>
            <w:vAlign w:val="center"/>
          </w:tcPr>
          <w:p w14:paraId="4CD5F4B5">
            <w:pPr>
              <w:adjustRightInd w:val="0"/>
              <w:snapToGrid w:val="0"/>
              <w:spacing w:line="320" w:lineRule="exact"/>
              <w:jc w:val="center"/>
              <w:rPr>
                <w:rFonts w:hint="eastAsia" w:ascii="宋体" w:hAnsi="宋体" w:eastAsia="宋体" w:cs="宋体"/>
                <w:bCs/>
                <w:color w:val="auto"/>
                <w:kern w:val="0"/>
                <w:szCs w:val="21"/>
              </w:rPr>
            </w:pPr>
            <w:r>
              <w:rPr>
                <w:rFonts w:hint="eastAsia" w:ascii="宋体" w:hAnsi="宋体" w:eastAsia="宋体" w:cs="宋体"/>
                <w:bCs/>
                <w:color w:val="auto"/>
                <w:kern w:val="0"/>
                <w:szCs w:val="21"/>
              </w:rPr>
              <w:t>第二章</w:t>
            </w:r>
          </w:p>
          <w:p w14:paraId="2C8C1F5C">
            <w:pPr>
              <w:adjustRightInd w:val="0"/>
              <w:snapToGrid w:val="0"/>
              <w:spacing w:line="320" w:lineRule="exact"/>
              <w:jc w:val="center"/>
              <w:rPr>
                <w:rFonts w:hint="eastAsia" w:ascii="宋体" w:hAnsi="宋体" w:eastAsia="宋体" w:cs="宋体"/>
                <w:bCs/>
                <w:color w:val="auto"/>
                <w:kern w:val="0"/>
                <w:szCs w:val="21"/>
              </w:rPr>
            </w:pPr>
            <w:r>
              <w:rPr>
                <w:rFonts w:hint="eastAsia" w:ascii="宋体" w:hAnsi="宋体" w:eastAsia="宋体" w:cs="宋体"/>
                <w:bCs/>
                <w:color w:val="auto"/>
                <w:kern w:val="0"/>
                <w:szCs w:val="21"/>
              </w:rPr>
              <w:t>第39.3款</w:t>
            </w:r>
          </w:p>
        </w:tc>
        <w:tc>
          <w:tcPr>
            <w:tcW w:w="2180" w:type="dxa"/>
            <w:noWrap w:val="0"/>
            <w:vAlign w:val="center"/>
          </w:tcPr>
          <w:p w14:paraId="7682265C">
            <w:pPr>
              <w:adjustRightInd w:val="0"/>
              <w:snapToGrid w:val="0"/>
              <w:spacing w:line="320" w:lineRule="exact"/>
              <w:jc w:val="center"/>
              <w:rPr>
                <w:rFonts w:hint="eastAsia" w:ascii="宋体" w:hAnsi="宋体" w:eastAsia="宋体" w:cs="宋体"/>
                <w:bCs/>
                <w:color w:val="auto"/>
                <w:kern w:val="0"/>
                <w:szCs w:val="21"/>
              </w:rPr>
            </w:pPr>
            <w:r>
              <w:rPr>
                <w:rFonts w:hint="eastAsia" w:ascii="宋体" w:hAnsi="宋体" w:eastAsia="宋体" w:cs="宋体"/>
                <w:bCs/>
                <w:color w:val="auto"/>
                <w:kern w:val="0"/>
                <w:szCs w:val="21"/>
              </w:rPr>
              <w:t>履约担保</w:t>
            </w:r>
          </w:p>
        </w:tc>
        <w:tc>
          <w:tcPr>
            <w:tcW w:w="6140" w:type="dxa"/>
            <w:noWrap w:val="0"/>
            <w:vAlign w:val="center"/>
          </w:tcPr>
          <w:p w14:paraId="554C4D8B">
            <w:pPr>
              <w:adjustRightInd w:val="0"/>
              <w:snapToGrid w:val="0"/>
              <w:spacing w:line="320" w:lineRule="exact"/>
              <w:rPr>
                <w:rFonts w:hint="eastAsia" w:ascii="宋体" w:hAnsi="宋体" w:eastAsia="宋体" w:cs="宋体"/>
              </w:rPr>
            </w:pPr>
            <w:r>
              <w:rPr>
                <w:rFonts w:hint="eastAsia" w:ascii="宋体" w:hAnsi="宋体" w:eastAsia="宋体" w:cs="宋体"/>
                <w:color w:val="auto"/>
                <w:szCs w:val="21"/>
                <w:lang w:val="en-US" w:eastAsia="zh-CN"/>
              </w:rPr>
              <w:sym w:font="Wingdings" w:char="00A8"/>
            </w:r>
            <w:r>
              <w:rPr>
                <w:rFonts w:hint="eastAsia" w:ascii="宋体" w:hAnsi="宋体" w:eastAsia="宋体" w:cs="宋体"/>
              </w:rPr>
              <w:t>不要求提供</w:t>
            </w:r>
          </w:p>
          <w:p w14:paraId="1E8E5545">
            <w:pPr>
              <w:adjustRightInd w:val="0"/>
              <w:snapToGrid w:val="0"/>
              <w:spacing w:line="400" w:lineRule="exact"/>
              <w:rPr>
                <w:rFonts w:hint="eastAsia" w:ascii="宋体" w:hAnsi="宋体" w:eastAsia="宋体" w:cs="宋体"/>
                <w:color w:val="FF0000"/>
                <w:highlight w:val="cyan"/>
              </w:rPr>
            </w:pPr>
            <w:r>
              <w:rPr>
                <w:rFonts w:hint="eastAsia" w:ascii="宋体" w:hAnsi="宋体" w:eastAsia="宋体" w:cs="宋体"/>
                <w:color w:val="auto"/>
                <w:szCs w:val="21"/>
                <w:lang w:val="en-US" w:eastAsia="zh-CN"/>
              </w:rPr>
              <w:sym w:font="Wingdings" w:char="00FE"/>
            </w:r>
            <w:r>
              <w:rPr>
                <w:rFonts w:hint="eastAsia" w:ascii="宋体" w:hAnsi="宋体" w:eastAsia="宋体" w:cs="宋体"/>
              </w:rPr>
              <w:t>要求提供，履约担保的金额为：</w:t>
            </w:r>
            <w:r>
              <w:rPr>
                <w:rFonts w:hint="eastAsia" w:ascii="宋体" w:hAnsi="宋体" w:eastAsia="宋体" w:cs="宋体"/>
                <w:highlight w:val="cyan"/>
              </w:rPr>
              <w:t>1、</w:t>
            </w:r>
            <w:r>
              <w:rPr>
                <w:rFonts w:hint="eastAsia" w:ascii="宋体" w:hAnsi="宋体" w:eastAsia="宋体" w:cs="宋体"/>
                <w:color w:val="FF0000"/>
                <w:highlight w:val="cyan"/>
              </w:rPr>
              <w:t>履约担保的金额为代建范围内项目估算总投资</w:t>
            </w:r>
            <w:r>
              <w:rPr>
                <w:rFonts w:hint="eastAsia" w:ascii="宋体" w:hAnsi="宋体" w:eastAsia="宋体" w:cs="宋体"/>
                <w:color w:val="FF0000"/>
                <w:highlight w:val="cyan"/>
                <w:lang w:val="en-US" w:eastAsia="zh-CN"/>
              </w:rPr>
              <w:t>1</w:t>
            </w:r>
            <w:r>
              <w:rPr>
                <w:rFonts w:hint="eastAsia" w:ascii="宋体" w:hAnsi="宋体" w:eastAsia="宋体" w:cs="宋体"/>
                <w:color w:val="FF0000"/>
                <w:highlight w:val="cyan"/>
              </w:rPr>
              <w:t>%。</w:t>
            </w:r>
          </w:p>
          <w:p w14:paraId="1FAD7E7B">
            <w:pPr>
              <w:pStyle w:val="42"/>
              <w:rPr>
                <w:rFonts w:hint="eastAsia" w:ascii="宋体" w:hAnsi="宋体" w:eastAsia="宋体" w:cs="宋体"/>
                <w:lang w:val="en-US" w:eastAsia="zh-CN"/>
              </w:rPr>
            </w:pPr>
            <w:r>
              <w:rPr>
                <w:rFonts w:hint="eastAsia" w:ascii="宋体" w:hAnsi="宋体" w:eastAsia="宋体" w:cs="宋体"/>
                <w:color w:val="auto"/>
                <w:szCs w:val="21"/>
                <w:lang w:val="en-US" w:eastAsia="zh-CN"/>
              </w:rPr>
              <w:t>履约担保金额缴纳形式</w:t>
            </w:r>
            <w:r>
              <w:rPr>
                <w:rFonts w:hint="eastAsia" w:ascii="宋体" w:hAnsi="宋体" w:cs="宋体"/>
                <w:color w:val="auto"/>
                <w:szCs w:val="21"/>
                <w:lang w:val="en-US" w:eastAsia="zh-CN"/>
              </w:rPr>
              <w:t>：</w:t>
            </w:r>
            <w:r>
              <w:rPr>
                <w:color w:val="0000FF"/>
                <w:spacing w:val="-1"/>
              </w:rPr>
              <w:t>银行</w:t>
            </w:r>
            <w:r>
              <w:rPr>
                <w:rFonts w:hint="eastAsia"/>
                <w:color w:val="0000FF"/>
                <w:spacing w:val="-1"/>
              </w:rPr>
              <w:t>转账</w:t>
            </w:r>
            <w:r>
              <w:rPr>
                <w:color w:val="0000FF"/>
                <w:spacing w:val="-1"/>
              </w:rPr>
              <w:t>或第三方担保机构出具的担保函</w:t>
            </w:r>
          </w:p>
        </w:tc>
      </w:tr>
      <w:tr w14:paraId="032BF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50D52C95">
            <w:pPr>
              <w:adjustRightInd w:val="0"/>
              <w:snapToGrid w:val="0"/>
              <w:spacing w:line="320" w:lineRule="exact"/>
              <w:rPr>
                <w:rFonts w:hint="eastAsia" w:ascii="宋体" w:hAnsi="宋体" w:eastAsia="宋体" w:cs="宋体"/>
                <w:b/>
                <w:color w:val="auto"/>
                <w:szCs w:val="21"/>
              </w:rPr>
            </w:pPr>
            <w:r>
              <w:rPr>
                <w:rFonts w:hint="eastAsia" w:ascii="宋体" w:hAnsi="宋体" w:eastAsia="宋体" w:cs="宋体"/>
                <w:b/>
                <w:color w:val="auto"/>
                <w:szCs w:val="21"/>
              </w:rPr>
              <w:t>七、其他规定</w:t>
            </w:r>
          </w:p>
        </w:tc>
      </w:tr>
      <w:tr w14:paraId="4A610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25917D2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6CA8F572">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第41.1款</w:t>
            </w:r>
          </w:p>
        </w:tc>
        <w:tc>
          <w:tcPr>
            <w:tcW w:w="2180" w:type="dxa"/>
            <w:noWrap w:val="0"/>
            <w:vAlign w:val="center"/>
          </w:tcPr>
          <w:p w14:paraId="6EF37693">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采购代理</w:t>
            </w:r>
          </w:p>
          <w:p w14:paraId="4CBB0E27">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服务费</w:t>
            </w:r>
          </w:p>
        </w:tc>
        <w:tc>
          <w:tcPr>
            <w:tcW w:w="6140" w:type="dxa"/>
            <w:noWrap w:val="0"/>
            <w:vAlign w:val="center"/>
          </w:tcPr>
          <w:p w14:paraId="4AC16BB4">
            <w:pPr>
              <w:adjustRightInd w:val="0"/>
              <w:snapToGrid w:val="0"/>
              <w:spacing w:line="32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1、本项目招标代理服务费：按《湖南省招标采购行业规范收取代理服务费倡议书》收费标准文件收取。</w:t>
            </w:r>
          </w:p>
          <w:p w14:paraId="09019022">
            <w:pPr>
              <w:adjustRightInd w:val="0"/>
              <w:snapToGrid w:val="0"/>
              <w:spacing w:line="32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2、招标代理服务费的支付方式及支付时间：发出中标（成交）通知书前以转账方式支付。</w:t>
            </w:r>
          </w:p>
          <w:p w14:paraId="22857B9B">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lang w:val="en-US" w:eastAsia="zh-CN"/>
              </w:rPr>
              <w:t>3、代理服务费收费方式：采购人支付</w:t>
            </w:r>
            <w:r>
              <w:rPr>
                <w:rFonts w:hint="eastAsia" w:ascii="宋体" w:hAnsi="宋体" w:eastAsia="宋体" w:cs="宋体"/>
                <w:color w:val="auto"/>
                <w:szCs w:val="21"/>
                <w:highlight w:val="none"/>
                <w:lang w:val="en-US" w:eastAsia="zh-CN"/>
              </w:rPr>
              <w:t>代理服务费。</w:t>
            </w:r>
          </w:p>
          <w:p w14:paraId="4E9516C5">
            <w:pPr>
              <w:adjustRightInd w:val="0"/>
              <w:snapToGrid w:val="0"/>
              <w:spacing w:line="320" w:lineRule="exact"/>
              <w:rPr>
                <w:rFonts w:hint="eastAsia" w:ascii="宋体" w:hAnsi="宋体" w:eastAsia="宋体" w:cs="宋体"/>
                <w:color w:val="auto"/>
                <w:szCs w:val="21"/>
                <w:lang w:val="en-US" w:eastAsia="zh-CN"/>
              </w:rPr>
            </w:pPr>
            <w:r>
              <w:rPr>
                <w:rFonts w:hint="eastAsia" w:ascii="宋体" w:hAnsi="宋体" w:eastAsia="宋体" w:cs="宋体"/>
                <w:color w:val="auto"/>
                <w:szCs w:val="21"/>
                <w:highlight w:val="none"/>
                <w:lang w:val="en-US" w:eastAsia="zh-CN"/>
              </w:rPr>
              <w:t>4、本项目代理服务费总额的最高限价：</w:t>
            </w:r>
            <w:r>
              <w:rPr>
                <w:rFonts w:hint="eastAsia" w:ascii="宋体" w:hAnsi="宋体" w:cs="宋体"/>
                <w:color w:val="0000FF"/>
                <w:szCs w:val="21"/>
                <w:lang w:val="en-US" w:eastAsia="zh-CN"/>
              </w:rPr>
              <w:t>14100</w:t>
            </w:r>
            <w:r>
              <w:rPr>
                <w:rFonts w:hint="eastAsia" w:ascii="宋体" w:hAnsi="宋体" w:eastAsia="宋体" w:cs="宋体"/>
                <w:color w:val="auto"/>
                <w:szCs w:val="21"/>
                <w:highlight w:val="none"/>
                <w:lang w:val="en-US" w:eastAsia="zh-CN"/>
              </w:rPr>
              <w:t>元</w:t>
            </w:r>
          </w:p>
        </w:tc>
      </w:tr>
      <w:tr w14:paraId="65310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64" w:hRule="atLeast"/>
          <w:jc w:val="center"/>
        </w:trPr>
        <w:tc>
          <w:tcPr>
            <w:tcW w:w="1256" w:type="dxa"/>
            <w:noWrap w:val="0"/>
            <w:vAlign w:val="center"/>
          </w:tcPr>
          <w:p w14:paraId="7782DAC8">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第二章</w:t>
            </w:r>
          </w:p>
          <w:p w14:paraId="75D458B5">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第42.1款</w:t>
            </w:r>
          </w:p>
        </w:tc>
        <w:tc>
          <w:tcPr>
            <w:tcW w:w="2180" w:type="dxa"/>
            <w:noWrap w:val="0"/>
            <w:vAlign w:val="center"/>
          </w:tcPr>
          <w:p w14:paraId="0F519363">
            <w:pPr>
              <w:adjustRightInd w:val="0"/>
              <w:snapToGrid w:val="0"/>
              <w:spacing w:line="320" w:lineRule="exact"/>
              <w:jc w:val="center"/>
              <w:rPr>
                <w:rFonts w:hint="eastAsia" w:ascii="宋体" w:hAnsi="宋体" w:eastAsia="宋体" w:cs="宋体"/>
                <w:color w:val="auto"/>
                <w:szCs w:val="21"/>
              </w:rPr>
            </w:pPr>
            <w:r>
              <w:rPr>
                <w:rFonts w:hint="eastAsia" w:ascii="宋体" w:hAnsi="宋体" w:eastAsia="宋体" w:cs="宋体"/>
                <w:color w:val="auto"/>
                <w:szCs w:val="21"/>
              </w:rPr>
              <w:t>其他规定</w:t>
            </w:r>
          </w:p>
        </w:tc>
        <w:tc>
          <w:tcPr>
            <w:tcW w:w="6140" w:type="dxa"/>
            <w:noWrap w:val="0"/>
            <w:vAlign w:val="center"/>
          </w:tcPr>
          <w:p w14:paraId="39F71EAD">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1、对列入失信被执行人、重大税收违法案件当事人名单、政府采购严重违法失信行为记录名单的供应商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依法自行选定评审专家的，采购人或者采购代理机构应当查询有关信用记录，不得选定具有行贿、受贿、欺诈等不良信用记录人员。</w:t>
            </w:r>
          </w:p>
          <w:p w14:paraId="7A488157">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①、信用信息查询的查询渠道：“信用中国”网站（www.creditchina.gov.cn）</w:t>
            </w:r>
            <w:r>
              <w:rPr>
                <w:rFonts w:hint="eastAsia" w:ascii="宋体" w:hAnsi="宋体" w:eastAsia="宋体" w:cs="宋体"/>
                <w:color w:val="auto"/>
                <w:szCs w:val="21"/>
                <w:lang w:eastAsia="zh-CN"/>
              </w:rPr>
              <w:t>或</w:t>
            </w:r>
            <w:r>
              <w:rPr>
                <w:rFonts w:hint="eastAsia" w:ascii="宋体" w:hAnsi="宋体" w:eastAsia="宋体" w:cs="宋体"/>
                <w:color w:val="auto"/>
                <w:szCs w:val="21"/>
              </w:rPr>
              <w:t>中国政府采购网（www.ccgp.gov.cn）。</w:t>
            </w:r>
          </w:p>
          <w:p w14:paraId="5B53C92B">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②、信用信息查询的截止时点：至本项目投标截止时间止。</w:t>
            </w:r>
          </w:p>
          <w:p w14:paraId="7F39F34E">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③、信用信息查询记录的具体方式：采购人或采购代理机构在开标后在规定的查询渠道进行查询。</w:t>
            </w:r>
          </w:p>
          <w:p w14:paraId="70D6DAFE">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④、信用信息查询记录证据留存的具体方式：查询记录的网上打印件。</w:t>
            </w:r>
          </w:p>
          <w:p w14:paraId="25E75785">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⑤、信用信息的使用规则：查询后交由评标委员会评定。</w:t>
            </w:r>
          </w:p>
          <w:p w14:paraId="41126CDC">
            <w:pPr>
              <w:adjustRightInd w:val="0"/>
              <w:snapToGrid w:val="0"/>
              <w:spacing w:line="240" w:lineRule="auto"/>
              <w:rPr>
                <w:rFonts w:hint="eastAsia" w:ascii="宋体" w:hAnsi="宋体" w:eastAsia="宋体" w:cs="宋体"/>
                <w:color w:val="auto"/>
                <w:szCs w:val="21"/>
              </w:rPr>
            </w:pPr>
            <w:r>
              <w:rPr>
                <w:rFonts w:hint="eastAsia" w:ascii="宋体" w:hAnsi="宋体" w:eastAsia="宋体" w:cs="宋体"/>
                <w:color w:val="auto"/>
                <w:szCs w:val="21"/>
              </w:rPr>
              <w:t>2、投标截止时间前，采购人、采购代理机构和有关人员不得向他人透露已获取招标文件的潜在投标人的名称、数量以及可能影响公平竞争的有关招标投标的其他情况。</w:t>
            </w:r>
          </w:p>
          <w:p w14:paraId="36FDFD96">
            <w:pPr>
              <w:adjustRightInd w:val="0"/>
              <w:snapToGrid w:val="0"/>
              <w:spacing w:line="240" w:lineRule="auto"/>
              <w:rPr>
                <w:rFonts w:hint="default" w:ascii="宋体" w:hAnsi="宋体" w:eastAsia="宋体" w:cs="宋体"/>
                <w:color w:val="FF0000"/>
                <w:szCs w:val="21"/>
                <w:lang w:val="en-US" w:eastAsia="zh-CN"/>
              </w:rPr>
            </w:pPr>
          </w:p>
        </w:tc>
      </w:tr>
    </w:tbl>
    <w:p w14:paraId="196E2D47">
      <w:pPr>
        <w:adjustRightInd w:val="0"/>
        <w:snapToGrid w:val="0"/>
        <w:spacing w:line="360" w:lineRule="auto"/>
        <w:rPr>
          <w:rFonts w:hint="eastAsia" w:ascii="宋体" w:hAnsi="宋体" w:eastAsia="宋体" w:cs="宋体"/>
          <w:b/>
          <w:bCs/>
          <w:color w:val="auto"/>
          <w:szCs w:val="21"/>
        </w:rPr>
      </w:pPr>
      <w:r>
        <w:rPr>
          <w:rFonts w:hint="eastAsia" w:ascii="宋体" w:hAnsi="宋体" w:eastAsia="宋体" w:cs="宋体"/>
          <w:b/>
          <w:bCs/>
          <w:color w:val="auto"/>
          <w:szCs w:val="21"/>
        </w:rPr>
        <w:br w:type="page"/>
      </w:r>
    </w:p>
    <w:p w14:paraId="728BCD3D">
      <w:pPr>
        <w:adjustRightInd w:val="0"/>
        <w:snapToGrid w:val="0"/>
        <w:spacing w:line="360" w:lineRule="auto"/>
        <w:rPr>
          <w:rFonts w:hint="eastAsia" w:ascii="宋体" w:hAnsi="宋体" w:eastAsia="宋体" w:cs="宋体"/>
          <w:b/>
          <w:bCs/>
          <w:szCs w:val="21"/>
        </w:rPr>
      </w:pPr>
      <w:r>
        <w:rPr>
          <w:rFonts w:hint="eastAsia" w:ascii="宋体" w:hAnsi="宋体" w:eastAsia="宋体" w:cs="宋体"/>
          <w:b/>
          <w:bCs/>
          <w:szCs w:val="21"/>
        </w:rPr>
        <w:t>附页1</w:t>
      </w:r>
    </w:p>
    <w:p w14:paraId="249CC02A">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kern w:val="0"/>
          <w:sz w:val="28"/>
          <w:szCs w:val="28"/>
        </w:rPr>
        <w:t>湖南省政府采购支持中小企业融资合作银行及联系人名单</w:t>
      </w:r>
    </w:p>
    <w:tbl>
      <w:tblPr>
        <w:tblStyle w:val="43"/>
        <w:tblW w:w="9081"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CBB65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A8B5468">
            <w:pPr>
              <w:adjustRightInd w:val="0"/>
              <w:snapToGrid w:val="0"/>
              <w:spacing w:line="360" w:lineRule="auto"/>
              <w:jc w:val="center"/>
              <w:rPr>
                <w:rFonts w:hint="eastAsia" w:ascii="宋体" w:hAnsi="宋体" w:eastAsia="宋体" w:cs="宋体"/>
                <w:b/>
                <w:szCs w:val="21"/>
              </w:rPr>
            </w:pPr>
            <w:r>
              <w:rPr>
                <w:rFonts w:hint="eastAsia" w:ascii="宋体" w:hAnsi="宋体" w:eastAsia="宋体" w:cs="宋体"/>
                <w:b/>
                <w:kern w:val="0"/>
                <w:szCs w:val="21"/>
              </w:rPr>
              <w:t>银行名称</w:t>
            </w:r>
          </w:p>
        </w:tc>
        <w:tc>
          <w:tcPr>
            <w:tcW w:w="1317" w:type="dxa"/>
            <w:shd w:val="clear" w:color="auto" w:fill="D7D7D7"/>
            <w:noWrap w:val="0"/>
            <w:vAlign w:val="center"/>
          </w:tcPr>
          <w:p w14:paraId="49A8C9EA">
            <w:pPr>
              <w:adjustRightInd w:val="0"/>
              <w:snapToGrid w:val="0"/>
              <w:spacing w:line="360" w:lineRule="auto"/>
              <w:jc w:val="center"/>
              <w:rPr>
                <w:rFonts w:hint="eastAsia" w:ascii="宋体" w:hAnsi="宋体" w:eastAsia="宋体" w:cs="宋体"/>
                <w:b/>
                <w:szCs w:val="21"/>
              </w:rPr>
            </w:pPr>
            <w:r>
              <w:rPr>
                <w:rFonts w:hint="eastAsia" w:ascii="宋体" w:hAnsi="宋体" w:eastAsia="宋体" w:cs="宋体"/>
                <w:b/>
                <w:kern w:val="0"/>
                <w:szCs w:val="21"/>
              </w:rPr>
              <w:t>联系人</w:t>
            </w:r>
          </w:p>
        </w:tc>
        <w:tc>
          <w:tcPr>
            <w:tcW w:w="2917" w:type="dxa"/>
            <w:shd w:val="clear" w:color="auto" w:fill="D7D7D7"/>
            <w:noWrap w:val="0"/>
            <w:vAlign w:val="center"/>
          </w:tcPr>
          <w:p w14:paraId="35465921">
            <w:pPr>
              <w:adjustRightInd w:val="0"/>
              <w:snapToGrid w:val="0"/>
              <w:spacing w:line="360" w:lineRule="auto"/>
              <w:jc w:val="center"/>
              <w:rPr>
                <w:rFonts w:hint="eastAsia" w:ascii="宋体" w:hAnsi="宋体" w:eastAsia="宋体" w:cs="宋体"/>
                <w:b/>
                <w:szCs w:val="21"/>
              </w:rPr>
            </w:pPr>
            <w:r>
              <w:rPr>
                <w:rFonts w:hint="eastAsia" w:ascii="宋体" w:hAnsi="宋体" w:eastAsia="宋体" w:cs="宋体"/>
                <w:b/>
                <w:kern w:val="0"/>
                <w:szCs w:val="21"/>
              </w:rPr>
              <w:t>职 务</w:t>
            </w:r>
          </w:p>
        </w:tc>
        <w:tc>
          <w:tcPr>
            <w:tcW w:w="2397" w:type="dxa"/>
            <w:shd w:val="clear" w:color="auto" w:fill="D7D7D7"/>
            <w:noWrap w:val="0"/>
            <w:vAlign w:val="center"/>
          </w:tcPr>
          <w:p w14:paraId="12D8AFC5">
            <w:pPr>
              <w:adjustRightInd w:val="0"/>
              <w:snapToGrid w:val="0"/>
              <w:spacing w:line="360" w:lineRule="auto"/>
              <w:jc w:val="center"/>
              <w:rPr>
                <w:rFonts w:hint="eastAsia" w:ascii="宋体" w:hAnsi="宋体" w:eastAsia="宋体" w:cs="宋体"/>
                <w:b/>
                <w:szCs w:val="21"/>
              </w:rPr>
            </w:pPr>
            <w:r>
              <w:rPr>
                <w:rFonts w:hint="eastAsia" w:ascii="宋体" w:hAnsi="宋体" w:eastAsia="宋体" w:cs="宋体"/>
                <w:b/>
                <w:kern w:val="0"/>
                <w:szCs w:val="21"/>
              </w:rPr>
              <w:t>联系电话</w:t>
            </w:r>
          </w:p>
        </w:tc>
      </w:tr>
      <w:tr w14:paraId="2C5C11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E0ADBAA">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交通银行湖南省分行</w:t>
            </w:r>
          </w:p>
        </w:tc>
        <w:tc>
          <w:tcPr>
            <w:tcW w:w="1317" w:type="dxa"/>
            <w:noWrap w:val="0"/>
            <w:vAlign w:val="center"/>
          </w:tcPr>
          <w:p w14:paraId="25FAE599">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刘 波</w:t>
            </w:r>
          </w:p>
        </w:tc>
        <w:tc>
          <w:tcPr>
            <w:tcW w:w="2917" w:type="dxa"/>
            <w:noWrap w:val="0"/>
            <w:vAlign w:val="center"/>
          </w:tcPr>
          <w:p w14:paraId="6E795931">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名城支行客户经理</w:t>
            </w:r>
          </w:p>
        </w:tc>
        <w:tc>
          <w:tcPr>
            <w:tcW w:w="2397" w:type="dxa"/>
            <w:noWrap w:val="0"/>
            <w:vAlign w:val="center"/>
          </w:tcPr>
          <w:p w14:paraId="076E309F">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13874998873</w:t>
            </w:r>
          </w:p>
        </w:tc>
      </w:tr>
      <w:tr w14:paraId="75908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1F0FC78">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交通银行湖南省分行</w:t>
            </w:r>
          </w:p>
        </w:tc>
        <w:tc>
          <w:tcPr>
            <w:tcW w:w="1317" w:type="dxa"/>
            <w:noWrap w:val="0"/>
            <w:vAlign w:val="center"/>
          </w:tcPr>
          <w:p w14:paraId="7C17076D">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肖勇光</w:t>
            </w:r>
          </w:p>
        </w:tc>
        <w:tc>
          <w:tcPr>
            <w:tcW w:w="2917" w:type="dxa"/>
            <w:noWrap w:val="0"/>
            <w:vAlign w:val="center"/>
          </w:tcPr>
          <w:p w14:paraId="1257B483">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分行高级经理</w:t>
            </w:r>
          </w:p>
        </w:tc>
        <w:tc>
          <w:tcPr>
            <w:tcW w:w="2397" w:type="dxa"/>
            <w:noWrap w:val="0"/>
            <w:vAlign w:val="center"/>
          </w:tcPr>
          <w:p w14:paraId="512CBDD6">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13755192647</w:t>
            </w:r>
          </w:p>
        </w:tc>
      </w:tr>
      <w:tr w14:paraId="5F485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FC2A1">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中国民生银行长沙分行</w:t>
            </w:r>
          </w:p>
        </w:tc>
        <w:tc>
          <w:tcPr>
            <w:tcW w:w="1317" w:type="dxa"/>
            <w:noWrap w:val="0"/>
            <w:vAlign w:val="center"/>
          </w:tcPr>
          <w:p w14:paraId="4C4F33ED">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黄飞燕</w:t>
            </w:r>
          </w:p>
        </w:tc>
        <w:tc>
          <w:tcPr>
            <w:tcW w:w="2917" w:type="dxa"/>
            <w:noWrap w:val="0"/>
            <w:vAlign w:val="center"/>
          </w:tcPr>
          <w:p w14:paraId="32E2BAB4">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营业部总经理</w:t>
            </w:r>
          </w:p>
        </w:tc>
        <w:tc>
          <w:tcPr>
            <w:tcW w:w="2397" w:type="dxa"/>
            <w:noWrap w:val="0"/>
            <w:vAlign w:val="center"/>
          </w:tcPr>
          <w:p w14:paraId="3F9067F2">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13308463468</w:t>
            </w:r>
          </w:p>
        </w:tc>
      </w:tr>
      <w:tr w14:paraId="3E7C1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6A8E8EB3">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中国民生银行长沙分行</w:t>
            </w:r>
          </w:p>
        </w:tc>
        <w:tc>
          <w:tcPr>
            <w:tcW w:w="1317" w:type="dxa"/>
            <w:noWrap w:val="0"/>
            <w:vAlign w:val="center"/>
          </w:tcPr>
          <w:p w14:paraId="1BD89BF1">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蒋寒奇</w:t>
            </w:r>
          </w:p>
        </w:tc>
        <w:tc>
          <w:tcPr>
            <w:tcW w:w="2917" w:type="dxa"/>
            <w:noWrap w:val="0"/>
            <w:vAlign w:val="center"/>
          </w:tcPr>
          <w:p w14:paraId="2B7665D2">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营业部中小企业客户经理</w:t>
            </w:r>
          </w:p>
        </w:tc>
        <w:tc>
          <w:tcPr>
            <w:tcW w:w="2397" w:type="dxa"/>
            <w:noWrap w:val="0"/>
            <w:vAlign w:val="center"/>
          </w:tcPr>
          <w:p w14:paraId="1407957E">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13548982975</w:t>
            </w:r>
          </w:p>
        </w:tc>
      </w:tr>
      <w:tr w14:paraId="248EAA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7B8AAFE">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兴业银行长沙分行</w:t>
            </w:r>
          </w:p>
        </w:tc>
        <w:tc>
          <w:tcPr>
            <w:tcW w:w="1317" w:type="dxa"/>
            <w:noWrap w:val="0"/>
            <w:vAlign w:val="center"/>
          </w:tcPr>
          <w:p w14:paraId="4511D2E0">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刘栅延</w:t>
            </w:r>
          </w:p>
        </w:tc>
        <w:tc>
          <w:tcPr>
            <w:tcW w:w="2917" w:type="dxa"/>
            <w:noWrap w:val="0"/>
            <w:vAlign w:val="center"/>
          </w:tcPr>
          <w:p w14:paraId="5561E558">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支行行长</w:t>
            </w:r>
          </w:p>
        </w:tc>
        <w:tc>
          <w:tcPr>
            <w:tcW w:w="2397" w:type="dxa"/>
            <w:noWrap w:val="0"/>
            <w:vAlign w:val="center"/>
          </w:tcPr>
          <w:p w14:paraId="6823B314">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13337316405</w:t>
            </w:r>
          </w:p>
        </w:tc>
      </w:tr>
      <w:tr w14:paraId="0EB17E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884C2AF">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兴业银行长沙分行</w:t>
            </w:r>
          </w:p>
        </w:tc>
        <w:tc>
          <w:tcPr>
            <w:tcW w:w="1317" w:type="dxa"/>
            <w:noWrap w:val="0"/>
            <w:vAlign w:val="center"/>
          </w:tcPr>
          <w:p w14:paraId="326CE6D4">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蒋修远</w:t>
            </w:r>
          </w:p>
        </w:tc>
        <w:tc>
          <w:tcPr>
            <w:tcW w:w="2917" w:type="dxa"/>
            <w:noWrap w:val="0"/>
            <w:vAlign w:val="center"/>
          </w:tcPr>
          <w:p w14:paraId="518B30EF">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支行客户经理</w:t>
            </w:r>
          </w:p>
        </w:tc>
        <w:tc>
          <w:tcPr>
            <w:tcW w:w="2397" w:type="dxa"/>
            <w:noWrap w:val="0"/>
            <w:vAlign w:val="center"/>
          </w:tcPr>
          <w:p w14:paraId="0736DF2A">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18607310422</w:t>
            </w:r>
          </w:p>
        </w:tc>
      </w:tr>
      <w:tr w14:paraId="77A89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1E2B39B8">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中国光大银行长沙分行</w:t>
            </w:r>
          </w:p>
        </w:tc>
        <w:tc>
          <w:tcPr>
            <w:tcW w:w="1317" w:type="dxa"/>
            <w:noWrap w:val="0"/>
            <w:vAlign w:val="center"/>
          </w:tcPr>
          <w:p w14:paraId="3B6B7F25">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邓永胜</w:t>
            </w:r>
          </w:p>
        </w:tc>
        <w:tc>
          <w:tcPr>
            <w:tcW w:w="2917" w:type="dxa"/>
            <w:noWrap w:val="0"/>
            <w:vAlign w:val="center"/>
          </w:tcPr>
          <w:p w14:paraId="5A528802">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岳麓支行副行长</w:t>
            </w:r>
          </w:p>
        </w:tc>
        <w:tc>
          <w:tcPr>
            <w:tcW w:w="2397" w:type="dxa"/>
            <w:noWrap w:val="0"/>
            <w:vAlign w:val="center"/>
          </w:tcPr>
          <w:p w14:paraId="75789DE9">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13617319650</w:t>
            </w:r>
          </w:p>
        </w:tc>
      </w:tr>
      <w:tr w14:paraId="241F5E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17B35CCF">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中信银行长沙分行</w:t>
            </w:r>
          </w:p>
        </w:tc>
        <w:tc>
          <w:tcPr>
            <w:tcW w:w="1317" w:type="dxa"/>
            <w:noWrap w:val="0"/>
            <w:vAlign w:val="center"/>
          </w:tcPr>
          <w:p w14:paraId="481DE8D2">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蔡学军</w:t>
            </w:r>
          </w:p>
        </w:tc>
        <w:tc>
          <w:tcPr>
            <w:tcW w:w="2917" w:type="dxa"/>
            <w:noWrap w:val="0"/>
            <w:vAlign w:val="center"/>
          </w:tcPr>
          <w:p w14:paraId="346E0AC5">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公司银行部负责人</w:t>
            </w:r>
          </w:p>
        </w:tc>
        <w:tc>
          <w:tcPr>
            <w:tcW w:w="2397" w:type="dxa"/>
            <w:noWrap w:val="0"/>
            <w:vAlign w:val="center"/>
          </w:tcPr>
          <w:p w14:paraId="5FBF041B">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13055167195</w:t>
            </w:r>
          </w:p>
        </w:tc>
      </w:tr>
      <w:tr w14:paraId="065F2E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4AE87247">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中信银行长沙分行</w:t>
            </w:r>
          </w:p>
        </w:tc>
        <w:tc>
          <w:tcPr>
            <w:tcW w:w="1317" w:type="dxa"/>
            <w:noWrap w:val="0"/>
            <w:vAlign w:val="center"/>
          </w:tcPr>
          <w:p w14:paraId="3BAB4F33">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宋学农</w:t>
            </w:r>
          </w:p>
        </w:tc>
        <w:tc>
          <w:tcPr>
            <w:tcW w:w="2917" w:type="dxa"/>
            <w:noWrap w:val="0"/>
            <w:vAlign w:val="center"/>
          </w:tcPr>
          <w:p w14:paraId="5997D8E1">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银行部综合管理部副总经理</w:t>
            </w:r>
          </w:p>
        </w:tc>
        <w:tc>
          <w:tcPr>
            <w:tcW w:w="2397" w:type="dxa"/>
            <w:noWrap w:val="0"/>
            <w:vAlign w:val="center"/>
          </w:tcPr>
          <w:p w14:paraId="48311B64">
            <w:pPr>
              <w:adjustRightInd w:val="0"/>
              <w:snapToGrid w:val="0"/>
              <w:spacing w:line="360" w:lineRule="auto"/>
              <w:jc w:val="center"/>
              <w:rPr>
                <w:rFonts w:hint="eastAsia" w:ascii="宋体" w:hAnsi="宋体" w:eastAsia="宋体" w:cs="宋体"/>
                <w:szCs w:val="21"/>
              </w:rPr>
            </w:pPr>
            <w:r>
              <w:rPr>
                <w:rFonts w:hint="eastAsia" w:ascii="宋体" w:hAnsi="宋体" w:eastAsia="宋体" w:cs="宋体"/>
                <w:kern w:val="0"/>
                <w:szCs w:val="21"/>
              </w:rPr>
              <w:t>0731-845822141</w:t>
            </w:r>
          </w:p>
        </w:tc>
      </w:tr>
    </w:tbl>
    <w:p w14:paraId="174F1C70">
      <w:pPr>
        <w:adjustRightInd w:val="0"/>
        <w:snapToGrid w:val="0"/>
        <w:spacing w:line="360" w:lineRule="auto"/>
        <w:rPr>
          <w:rFonts w:hint="eastAsia" w:ascii="宋体" w:hAnsi="宋体" w:eastAsia="宋体" w:cs="宋体"/>
          <w:b/>
          <w:bCs/>
          <w:color w:val="auto"/>
          <w:szCs w:val="21"/>
        </w:rPr>
      </w:pPr>
    </w:p>
    <w:p w14:paraId="1327901E">
      <w:pPr>
        <w:adjustRightInd w:val="0"/>
        <w:snapToGrid w:val="0"/>
        <w:spacing w:line="360" w:lineRule="auto"/>
        <w:rPr>
          <w:rFonts w:hint="eastAsia" w:ascii="宋体" w:hAnsi="宋体" w:eastAsia="宋体" w:cs="宋体"/>
          <w:b/>
          <w:bCs/>
          <w:color w:val="auto"/>
          <w:szCs w:val="21"/>
        </w:rPr>
      </w:pPr>
    </w:p>
    <w:p w14:paraId="26943B62">
      <w:pPr>
        <w:adjustRightInd w:val="0"/>
        <w:snapToGrid w:val="0"/>
        <w:spacing w:line="360" w:lineRule="auto"/>
        <w:rPr>
          <w:rFonts w:hint="eastAsia" w:ascii="宋体" w:hAnsi="宋体" w:eastAsia="宋体" w:cs="宋体"/>
          <w:b/>
          <w:bCs/>
          <w:color w:val="auto"/>
          <w:szCs w:val="21"/>
        </w:rPr>
      </w:pPr>
    </w:p>
    <w:p w14:paraId="53425D11">
      <w:pPr>
        <w:adjustRightInd w:val="0"/>
        <w:snapToGrid w:val="0"/>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湖南省政府采购信用担保试点工作的</w:t>
      </w:r>
      <w:r>
        <w:rPr>
          <w:rFonts w:hint="eastAsia" w:ascii="宋体" w:hAnsi="宋体" w:eastAsia="宋体" w:cs="宋体"/>
          <w:b/>
          <w:color w:val="auto"/>
          <w:sz w:val="28"/>
          <w:szCs w:val="28"/>
        </w:rPr>
        <w:t>信用担保机构名单</w:t>
      </w:r>
    </w:p>
    <w:tbl>
      <w:tblPr>
        <w:tblStyle w:val="4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7BCA73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47A1FED3">
            <w:pPr>
              <w:adjustRightInd w:val="0"/>
              <w:snapToGrid w:val="0"/>
              <w:spacing w:line="240" w:lineRule="exact"/>
              <w:jc w:val="center"/>
              <w:rPr>
                <w:rFonts w:hint="eastAsia" w:ascii="宋体" w:hAnsi="宋体" w:eastAsia="宋体" w:cs="宋体"/>
                <w:b/>
                <w:bCs/>
                <w:color w:val="auto"/>
                <w:kern w:val="0"/>
                <w:szCs w:val="21"/>
              </w:rPr>
            </w:pPr>
            <w:r>
              <w:rPr>
                <w:rFonts w:hint="eastAsia" w:ascii="宋体" w:hAnsi="宋体" w:eastAsia="宋体" w:cs="宋体"/>
                <w:b/>
                <w:color w:val="auto"/>
                <w:szCs w:val="21"/>
              </w:rPr>
              <w:t>信用担保机构</w:t>
            </w:r>
          </w:p>
        </w:tc>
        <w:tc>
          <w:tcPr>
            <w:tcW w:w="1080" w:type="dxa"/>
            <w:noWrap w:val="0"/>
            <w:vAlign w:val="center"/>
          </w:tcPr>
          <w:p w14:paraId="6133316D">
            <w:pPr>
              <w:adjustRightInd w:val="0"/>
              <w:snapToGrid w:val="0"/>
              <w:spacing w:line="240" w:lineRule="exact"/>
              <w:jc w:val="center"/>
              <w:rPr>
                <w:rFonts w:hint="eastAsia" w:ascii="宋体" w:hAnsi="宋体" w:eastAsia="宋体" w:cs="宋体"/>
                <w:b/>
                <w:bCs/>
                <w:color w:val="auto"/>
                <w:kern w:val="0"/>
                <w:szCs w:val="21"/>
              </w:rPr>
            </w:pPr>
            <w:r>
              <w:rPr>
                <w:rFonts w:hint="eastAsia" w:ascii="宋体" w:hAnsi="宋体" w:eastAsia="宋体" w:cs="宋体"/>
                <w:b/>
                <w:color w:val="auto"/>
                <w:szCs w:val="21"/>
              </w:rPr>
              <w:t>联系人</w:t>
            </w:r>
          </w:p>
        </w:tc>
        <w:tc>
          <w:tcPr>
            <w:tcW w:w="3780" w:type="dxa"/>
            <w:noWrap w:val="0"/>
            <w:vAlign w:val="center"/>
          </w:tcPr>
          <w:p w14:paraId="75042E94">
            <w:pPr>
              <w:adjustRightInd w:val="0"/>
              <w:snapToGrid w:val="0"/>
              <w:spacing w:line="240" w:lineRule="exact"/>
              <w:jc w:val="center"/>
              <w:rPr>
                <w:rFonts w:hint="eastAsia" w:ascii="宋体" w:hAnsi="宋体" w:eastAsia="宋体" w:cs="宋体"/>
                <w:b/>
                <w:bCs/>
                <w:color w:val="auto"/>
                <w:kern w:val="0"/>
                <w:szCs w:val="21"/>
              </w:rPr>
            </w:pPr>
            <w:r>
              <w:rPr>
                <w:rFonts w:hint="eastAsia" w:ascii="宋体" w:hAnsi="宋体" w:eastAsia="宋体" w:cs="宋体"/>
                <w:b/>
                <w:color w:val="auto"/>
                <w:szCs w:val="21"/>
              </w:rPr>
              <w:t>联系电话</w:t>
            </w:r>
          </w:p>
        </w:tc>
      </w:tr>
      <w:tr w14:paraId="6AC9A4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11E684FA">
            <w:pPr>
              <w:adjustRightInd w:val="0"/>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szCs w:val="21"/>
              </w:rPr>
              <w:t>中国投资担保公司</w:t>
            </w:r>
          </w:p>
        </w:tc>
        <w:tc>
          <w:tcPr>
            <w:tcW w:w="1080" w:type="dxa"/>
            <w:noWrap w:val="0"/>
            <w:vAlign w:val="center"/>
          </w:tcPr>
          <w:p w14:paraId="1E8D3A8D">
            <w:pPr>
              <w:adjustRightInd w:val="0"/>
              <w:snapToGrid w:val="0"/>
              <w:spacing w:line="360" w:lineRule="auto"/>
              <w:jc w:val="center"/>
              <w:rPr>
                <w:rFonts w:hint="eastAsia" w:ascii="宋体" w:hAnsi="宋体" w:eastAsia="宋体" w:cs="宋体"/>
                <w:bCs/>
                <w:color w:val="auto"/>
                <w:kern w:val="0"/>
                <w:szCs w:val="21"/>
              </w:rPr>
            </w:pPr>
            <w:r>
              <w:rPr>
                <w:rFonts w:hint="eastAsia" w:ascii="宋体" w:hAnsi="宋体" w:eastAsia="宋体" w:cs="宋体"/>
                <w:color w:val="auto"/>
                <w:szCs w:val="21"/>
              </w:rPr>
              <w:t>何  嘉</w:t>
            </w:r>
          </w:p>
        </w:tc>
        <w:tc>
          <w:tcPr>
            <w:tcW w:w="3780" w:type="dxa"/>
            <w:noWrap w:val="0"/>
            <w:vAlign w:val="center"/>
          </w:tcPr>
          <w:p w14:paraId="7AE3752B">
            <w:pPr>
              <w:adjustRightInd w:val="0"/>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szCs w:val="21"/>
              </w:rPr>
              <w:t>010-88822659/13718642233</w:t>
            </w:r>
          </w:p>
        </w:tc>
      </w:tr>
      <w:tr w14:paraId="1038F9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73C9A704">
            <w:pPr>
              <w:adjustRightInd w:val="0"/>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szCs w:val="21"/>
              </w:rPr>
              <w:t>湖南省中小企业信用担保有限责任公司</w:t>
            </w:r>
          </w:p>
        </w:tc>
        <w:tc>
          <w:tcPr>
            <w:tcW w:w="1080" w:type="dxa"/>
            <w:noWrap w:val="0"/>
            <w:vAlign w:val="center"/>
          </w:tcPr>
          <w:p w14:paraId="3F22EFB8">
            <w:pPr>
              <w:adjustRightInd w:val="0"/>
              <w:snapToGrid w:val="0"/>
              <w:spacing w:line="360" w:lineRule="auto"/>
              <w:jc w:val="center"/>
              <w:rPr>
                <w:rFonts w:hint="eastAsia" w:ascii="宋体" w:hAnsi="宋体" w:eastAsia="宋体" w:cs="宋体"/>
                <w:bCs/>
                <w:color w:val="auto"/>
                <w:kern w:val="0"/>
                <w:szCs w:val="21"/>
              </w:rPr>
            </w:pPr>
            <w:r>
              <w:rPr>
                <w:rFonts w:hint="eastAsia" w:ascii="宋体" w:hAnsi="宋体" w:eastAsia="宋体" w:cs="宋体"/>
                <w:color w:val="auto"/>
                <w:szCs w:val="21"/>
              </w:rPr>
              <w:t>蔡建雄</w:t>
            </w:r>
          </w:p>
        </w:tc>
        <w:tc>
          <w:tcPr>
            <w:tcW w:w="3780" w:type="dxa"/>
            <w:noWrap w:val="0"/>
            <w:vAlign w:val="center"/>
          </w:tcPr>
          <w:p w14:paraId="1A49E4C2">
            <w:pPr>
              <w:adjustRightInd w:val="0"/>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szCs w:val="21"/>
              </w:rPr>
              <w:t>0731-84172390-201/15573193555</w:t>
            </w:r>
          </w:p>
        </w:tc>
      </w:tr>
      <w:tr w14:paraId="6D2B41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B5A3FA4">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湖南农业信用担保有限公司</w:t>
            </w:r>
          </w:p>
        </w:tc>
        <w:tc>
          <w:tcPr>
            <w:tcW w:w="1080" w:type="dxa"/>
            <w:noWrap w:val="0"/>
            <w:vAlign w:val="center"/>
          </w:tcPr>
          <w:p w14:paraId="48CC974C">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彭  球</w:t>
            </w:r>
          </w:p>
          <w:p w14:paraId="548F16D2">
            <w:pPr>
              <w:adjustRightInd w:val="0"/>
              <w:snapToGrid w:val="0"/>
              <w:spacing w:line="360" w:lineRule="auto"/>
              <w:jc w:val="center"/>
              <w:rPr>
                <w:rFonts w:hint="eastAsia" w:ascii="宋体" w:hAnsi="宋体" w:eastAsia="宋体" w:cs="宋体"/>
                <w:bCs/>
                <w:color w:val="auto"/>
                <w:kern w:val="0"/>
                <w:szCs w:val="21"/>
              </w:rPr>
            </w:pPr>
            <w:r>
              <w:rPr>
                <w:rFonts w:hint="eastAsia" w:ascii="宋体" w:hAnsi="宋体" w:eastAsia="宋体" w:cs="宋体"/>
                <w:color w:val="auto"/>
                <w:szCs w:val="21"/>
              </w:rPr>
              <w:t>邓霞英</w:t>
            </w:r>
          </w:p>
        </w:tc>
        <w:tc>
          <w:tcPr>
            <w:tcW w:w="3780" w:type="dxa"/>
            <w:noWrap w:val="0"/>
            <w:vAlign w:val="center"/>
          </w:tcPr>
          <w:p w14:paraId="37E8CB61">
            <w:pPr>
              <w:adjustRightInd w:val="0"/>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szCs w:val="21"/>
              </w:rPr>
              <w:t>0731-89761702/13875980906 0731-89761706/13574125851</w:t>
            </w:r>
          </w:p>
        </w:tc>
      </w:tr>
    </w:tbl>
    <w:p w14:paraId="40783C45">
      <w:pPr>
        <w:adjustRightInd w:val="0"/>
        <w:snapToGrid w:val="0"/>
        <w:spacing w:line="360" w:lineRule="auto"/>
        <w:rPr>
          <w:rFonts w:hint="eastAsia" w:ascii="宋体" w:hAnsi="宋体" w:eastAsia="宋体" w:cs="宋体"/>
          <w:b/>
          <w:color w:val="auto"/>
          <w:szCs w:val="21"/>
        </w:rPr>
        <w:sectPr>
          <w:footerReference r:id="rId8" w:type="default"/>
          <w:pgSz w:w="11906" w:h="16838"/>
          <w:pgMar w:top="1388" w:right="1531" w:bottom="1440" w:left="1531" w:header="871" w:footer="737" w:gutter="0"/>
          <w:pgNumType w:fmt="decimal" w:start="1"/>
          <w:cols w:space="720" w:num="1"/>
          <w:docGrid w:type="lines" w:linePitch="312" w:charSpace="0"/>
        </w:sectPr>
      </w:pPr>
    </w:p>
    <w:p w14:paraId="40DAFDF4">
      <w:pPr>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政府采购履约担保函</w:t>
      </w:r>
    </w:p>
    <w:p w14:paraId="1BBF3B22">
      <w:pPr>
        <w:adjustRightInd w:val="0"/>
        <w:snapToGrid w:val="0"/>
        <w:spacing w:line="360" w:lineRule="auto"/>
        <w:ind w:firstLine="6510" w:firstLineChars="3100"/>
        <w:rPr>
          <w:rFonts w:hint="eastAsia" w:ascii="宋体" w:hAnsi="宋体" w:eastAsia="宋体" w:cs="宋体"/>
          <w:b/>
          <w:color w:val="auto"/>
          <w:kern w:val="0"/>
          <w:szCs w:val="21"/>
        </w:rPr>
      </w:pPr>
      <w:r>
        <w:rPr>
          <w:rFonts w:hint="eastAsia" w:ascii="宋体" w:hAnsi="宋体" w:eastAsia="宋体" w:cs="宋体"/>
          <w:color w:val="auto"/>
          <w:kern w:val="0"/>
          <w:szCs w:val="21"/>
        </w:rPr>
        <w:t>编号：</w:t>
      </w:r>
      <w:r>
        <w:rPr>
          <w:rFonts w:hint="eastAsia" w:ascii="宋体" w:hAnsi="宋体" w:eastAsia="宋体" w:cs="宋体"/>
          <w:color w:val="auto"/>
          <w:kern w:val="0"/>
          <w:szCs w:val="21"/>
          <w:u w:val="single"/>
        </w:rPr>
        <w:t xml:space="preserve">              </w:t>
      </w:r>
    </w:p>
    <w:p w14:paraId="33EBAD73">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（采购人）： </w:t>
      </w:r>
    </w:p>
    <w:p w14:paraId="33BAB550">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鉴于你方与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（以下简称供应商）于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日签定编号为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政府采购合同》（以下简称主合同），且依据该合同的约定，供应商应在</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日前向你方交纳履约保证金，且可以履约担保函的形式交纳履约保证金。应供应商的申请，我方以保证的方式向你方提供如下履约保证金担保：</w:t>
      </w:r>
    </w:p>
    <w:p w14:paraId="4B0232E3">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一、保证责任的情形及保证金额</w:t>
      </w:r>
    </w:p>
    <w:p w14:paraId="10B5AD68">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（一）在供应商出现下列情形之一时，我方承担保证责任：</w:t>
      </w:r>
    </w:p>
    <w:p w14:paraId="1B958BB9">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1．将中标项目转让给他人，或者在</w:t>
      </w:r>
      <w:r>
        <w:rPr>
          <w:rFonts w:hint="eastAsia" w:ascii="宋体" w:hAnsi="宋体" w:eastAsia="宋体" w:cs="宋体"/>
          <w:color w:val="auto"/>
          <w:kern w:val="0"/>
          <w:szCs w:val="21"/>
          <w:lang w:eastAsia="zh-CN"/>
        </w:rPr>
        <w:t>响应文件</w:t>
      </w:r>
      <w:r>
        <w:rPr>
          <w:rFonts w:hint="eastAsia" w:ascii="宋体" w:hAnsi="宋体" w:eastAsia="宋体" w:cs="宋体"/>
          <w:color w:val="auto"/>
          <w:kern w:val="0"/>
          <w:szCs w:val="21"/>
        </w:rPr>
        <w:t>中未说明，且未经采购人同意，将中标项目分包给他人的；</w:t>
      </w:r>
    </w:p>
    <w:p w14:paraId="490B52EE">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2．主合同约定的应当缴纳履约保证金的情形: </w:t>
      </w:r>
    </w:p>
    <w:p w14:paraId="147CBE74">
      <w:pPr>
        <w:adjustRightInd w:val="0"/>
        <w:snapToGrid w:val="0"/>
        <w:spacing w:line="360" w:lineRule="auto"/>
        <w:ind w:firstLine="420" w:firstLineChars="200"/>
        <w:rPr>
          <w:rFonts w:hint="eastAsia" w:ascii="宋体" w:hAnsi="宋体" w:eastAsia="宋体" w:cs="宋体"/>
          <w:b/>
          <w:color w:val="auto"/>
          <w:kern w:val="0"/>
          <w:szCs w:val="21"/>
        </w:rPr>
      </w:pPr>
      <w:r>
        <w:rPr>
          <w:rFonts w:hint="eastAsia" w:ascii="宋体" w:hAnsi="宋体" w:eastAsia="宋体" w:cs="宋体"/>
          <w:color w:val="auto"/>
          <w:kern w:val="0"/>
          <w:szCs w:val="21"/>
        </w:rPr>
        <w:t xml:space="preserve">（1）未按主合同约定的质量、数量和期限供应货物/提供服务/完成工程的； </w:t>
      </w:r>
    </w:p>
    <w:p w14:paraId="4FCFA700">
      <w:pPr>
        <w:adjustRightInd w:val="0"/>
        <w:snapToGrid w:val="0"/>
        <w:spacing w:line="360" w:lineRule="auto"/>
        <w:ind w:firstLine="420" w:firstLineChars="200"/>
        <w:rPr>
          <w:rFonts w:hint="eastAsia" w:ascii="宋体" w:hAnsi="宋体" w:eastAsia="宋体" w:cs="宋体"/>
          <w:color w:val="auto"/>
          <w:kern w:val="0"/>
          <w:szCs w:val="21"/>
          <w:u w:val="single"/>
        </w:rPr>
      </w:pPr>
      <w:r>
        <w:rPr>
          <w:rFonts w:hint="eastAsia" w:ascii="宋体" w:hAnsi="宋体" w:eastAsia="宋体" w:cs="宋体"/>
          <w:color w:val="auto"/>
          <w:kern w:val="0"/>
          <w:szCs w:val="21"/>
        </w:rPr>
        <w:t>（2）</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p>
    <w:p w14:paraId="1A094A50">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（二）我方的保证范围是主合同约定的合同价款总额的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%数额为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元（大写</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），币种为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。（即主合同履约保证金金额）</w:t>
      </w:r>
    </w:p>
    <w:p w14:paraId="19240E2C">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二、保证的方式及保证期间 </w:t>
      </w:r>
    </w:p>
    <w:p w14:paraId="63014D20">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我方保证的方式为：连带责任保证。 </w:t>
      </w:r>
    </w:p>
    <w:p w14:paraId="3672BFA5">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我方保证的期间为：自本合同生效之日起至供应商按照主合同约定的供货/完工期限届满后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日内。</w:t>
      </w:r>
    </w:p>
    <w:p w14:paraId="5D42A24C">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如果供应商未按主合同约定向贵方供应货物/提供服务/完成工程的，由我方在保证金额内向你方支付上述款项。 </w:t>
      </w:r>
    </w:p>
    <w:p w14:paraId="3DCFD55B">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三、承担保证责任的程序</w:t>
      </w:r>
    </w:p>
    <w:p w14:paraId="12EC2B43">
      <w:pPr>
        <w:adjustRightInd w:val="0"/>
        <w:snapToGrid w:val="0"/>
        <w:spacing w:line="360" w:lineRule="auto"/>
        <w:ind w:firstLine="420" w:firstLineChars="200"/>
        <w:rPr>
          <w:rFonts w:hint="eastAsia" w:ascii="宋体" w:hAnsi="宋体" w:eastAsia="宋体" w:cs="宋体"/>
          <w:b/>
          <w:color w:val="auto"/>
          <w:kern w:val="0"/>
          <w:szCs w:val="21"/>
        </w:rPr>
      </w:pPr>
      <w:r>
        <w:rPr>
          <w:rFonts w:hint="eastAsia" w:ascii="宋体" w:hAnsi="宋体" w:eastAsia="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6152EF09">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如果你方与供应商因货物质量问题产生争议，你方还需同时提供</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部门出具的质量检测报告，或经诉讼（仲裁）程序裁决后的裁决书、调解书，本保证人即按照检测结果或裁决书、调解书决定是否承担保证责任。</w:t>
      </w:r>
    </w:p>
    <w:p w14:paraId="254D655A">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2．我方收到你方的书面索赔通知及相应证明材料，在</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工作日内进行核定后按照本保函的承诺承担保证责任。</w:t>
      </w:r>
    </w:p>
    <w:p w14:paraId="23A8FE23">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四、保证责任的终止</w:t>
      </w:r>
    </w:p>
    <w:p w14:paraId="1536A3E8">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E5D1269">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2．我方按照本保函向你方履行了保证责任后，自我方向你方支付款项（支付款项从我方账户划出）之日起，保证责任即终止。</w:t>
      </w:r>
    </w:p>
    <w:p w14:paraId="4D33B8FB">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3．按照法律法规的规定或出现应终止我方保证责任的其它情形的，我方在本保函项下的保证责任亦终止。</w:t>
      </w:r>
    </w:p>
    <w:p w14:paraId="1100D758">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3C9D53A">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五、免责条款</w:t>
      </w:r>
    </w:p>
    <w:p w14:paraId="0FF107BB">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1．因你方违反主合同约定致使供应商不能履行义务的，我方不承担保证责任。</w:t>
      </w:r>
    </w:p>
    <w:p w14:paraId="13DE253F">
      <w:pPr>
        <w:adjustRightInd w:val="0"/>
        <w:snapToGrid w:val="0"/>
        <w:spacing w:line="360" w:lineRule="auto"/>
        <w:ind w:firstLine="420" w:firstLineChars="200"/>
        <w:rPr>
          <w:rFonts w:hint="eastAsia" w:ascii="宋体" w:hAnsi="宋体" w:eastAsia="宋体" w:cs="宋体"/>
          <w:b/>
          <w:color w:val="auto"/>
          <w:kern w:val="0"/>
          <w:szCs w:val="21"/>
        </w:rPr>
      </w:pPr>
      <w:r>
        <w:rPr>
          <w:rFonts w:hint="eastAsia" w:ascii="宋体" w:hAnsi="宋体" w:eastAsia="宋体" w:cs="宋体"/>
          <w:color w:val="auto"/>
          <w:kern w:val="0"/>
          <w:szCs w:val="21"/>
        </w:rPr>
        <w:t>2．依照法律法规的规定或你方与供应商的另行约定，全部或者部分免除供应商应缴纳的保证金义务的，我方亦免除相应的保证责任。</w:t>
      </w:r>
    </w:p>
    <w:p w14:paraId="4340128F">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3．因不可抗力造成供应商不能履行供货义务的，我方不承担保证责任。</w:t>
      </w:r>
    </w:p>
    <w:p w14:paraId="43347CB8">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六、争议的解决</w:t>
      </w:r>
    </w:p>
    <w:p w14:paraId="6A346B4A">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因本保函发生的纠纷，由你我双方协商解决，协商不成的，通过诉讼程序解决，诉讼管辖地法院为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法院。</w:t>
      </w:r>
    </w:p>
    <w:p w14:paraId="3354E3A0">
      <w:pPr>
        <w:adjustRightInd w:val="0"/>
        <w:snapToGrid w:val="0"/>
        <w:spacing w:line="360" w:lineRule="auto"/>
        <w:ind w:firstLine="422" w:firstLineChars="200"/>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七、保函的生效 </w:t>
      </w:r>
    </w:p>
    <w:p w14:paraId="75ED8320">
      <w:pPr>
        <w:adjustRightInd w:val="0"/>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本保函自我方加盖公章之日起生效。 </w:t>
      </w:r>
    </w:p>
    <w:p w14:paraId="5A0780F7">
      <w:pPr>
        <w:tabs>
          <w:tab w:val="left" w:pos="2850"/>
        </w:tabs>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rPr>
        <w:tab/>
      </w:r>
      <w:r>
        <w:rPr>
          <w:rFonts w:hint="eastAsia" w:ascii="宋体" w:hAnsi="宋体" w:eastAsia="宋体" w:cs="宋体"/>
          <w:color w:val="auto"/>
          <w:kern w:val="0"/>
          <w:szCs w:val="21"/>
        </w:rPr>
        <w:t xml:space="preserve">          保证人：（公章） </w:t>
      </w:r>
    </w:p>
    <w:p w14:paraId="545614EF">
      <w:pPr>
        <w:adjustRightInd w:val="0"/>
        <w:snapToGrid w:val="0"/>
        <w:spacing w:line="360" w:lineRule="auto"/>
        <w:rPr>
          <w:rFonts w:hint="eastAsia" w:ascii="宋体" w:hAnsi="宋体" w:eastAsia="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u w:val="single"/>
          <w:lang w:val="en-US" w:eastAsia="zh-CN"/>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u w:val="none"/>
          <w:lang w:val="en-US" w:eastAsia="zh-CN"/>
        </w:rPr>
        <w:t>月</w:t>
      </w:r>
      <w:r>
        <w:rPr>
          <w:rFonts w:hint="eastAsia" w:ascii="宋体" w:hAnsi="宋体" w:eastAsia="宋体" w:cs="宋体"/>
          <w:color w:val="auto"/>
          <w:kern w:val="0"/>
          <w:szCs w:val="21"/>
          <w:u w:val="single"/>
          <w:lang w:val="en-US" w:eastAsia="zh-CN"/>
        </w:rPr>
        <w:t xml:space="preserve">      </w:t>
      </w:r>
      <w:r>
        <w:rPr>
          <w:rFonts w:hint="eastAsia" w:ascii="宋体" w:hAnsi="宋体" w:eastAsia="宋体" w:cs="宋体"/>
          <w:color w:val="auto"/>
          <w:kern w:val="0"/>
          <w:szCs w:val="21"/>
          <w:u w:val="none"/>
          <w:lang w:val="en-US" w:eastAsia="zh-CN"/>
        </w:rPr>
        <w:t xml:space="preserve"> 日</w:t>
      </w:r>
    </w:p>
    <w:p w14:paraId="14768CE7">
      <w:pPr>
        <w:pStyle w:val="5"/>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18922527">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485821379"/>
      <w:bookmarkStart w:id="1" w:name="_Toc17929"/>
      <w:r>
        <w:rPr>
          <w:rFonts w:hint="eastAsia" w:ascii="宋体" w:hAnsi="宋体" w:eastAsia="宋体" w:cs="宋体"/>
          <w:b/>
          <w:bCs/>
          <w:color w:val="auto"/>
          <w:sz w:val="36"/>
          <w:szCs w:val="36"/>
          <w:highlight w:val="none"/>
        </w:rPr>
        <w:t>评审方法</w:t>
      </w:r>
    </w:p>
    <w:p w14:paraId="4477A870">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6EB9BE6A">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7435F7BA">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A17B99">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3DE0E1F0">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4D8D88DC">
      <w:pPr>
        <w:pageBreakBefore w:val="0"/>
        <w:widowControl w:val="0"/>
        <w:numPr>
          <w:ilvl w:val="1"/>
          <w:numId w:val="6"/>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10D75940">
      <w:pPr>
        <w:keepNext w:val="0"/>
        <w:keepLines w:val="0"/>
        <w:pageBreakBefore w:val="0"/>
        <w:widowControl/>
        <w:numPr>
          <w:ilvl w:val="1"/>
          <w:numId w:val="7"/>
        </w:numPr>
        <w:kinsoku/>
        <w:wordWrap/>
        <w:overflowPunct/>
        <w:topLinePunct w:val="0"/>
        <w:autoSpaceDE/>
        <w:autoSpaceDN/>
        <w:bidi w:val="0"/>
        <w:adjustRightInd/>
        <w:snapToGrid/>
        <w:spacing w:line="400" w:lineRule="exact"/>
        <w:ind w:left="3570" w:leftChars="0" w:firstLineChars="0"/>
        <w:jc w:val="left"/>
        <w:textAlignment w:val="auto"/>
        <w:outlineLvl w:val="4"/>
        <w:rPr>
          <w:rFonts w:hint="eastAsia" w:ascii="宋体" w:hAnsi="宋体" w:eastAsia="宋体" w:cs="宋体"/>
          <w:b/>
          <w:color w:val="auto"/>
          <w:szCs w:val="21"/>
          <w:highlight w:val="none"/>
        </w:rPr>
      </w:pPr>
      <w:bookmarkStart w:id="3" w:name="_Toc2485"/>
      <w:bookmarkStart w:id="4" w:name="_Toc8161080"/>
      <w:r>
        <w:rPr>
          <w:rFonts w:hint="eastAsia" w:ascii="宋体" w:hAnsi="宋体" w:eastAsia="宋体" w:cs="宋体"/>
          <w:b/>
          <w:color w:val="auto"/>
          <w:szCs w:val="21"/>
          <w:highlight w:val="none"/>
        </w:rPr>
        <w:t>资格性审查表</w:t>
      </w:r>
      <w:bookmarkEnd w:id="3"/>
      <w:bookmarkEnd w:id="4"/>
    </w:p>
    <w:tbl>
      <w:tblPr>
        <w:tblStyle w:val="43"/>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6030"/>
        <w:gridCol w:w="2022"/>
        <w:gridCol w:w="641"/>
        <w:gridCol w:w="546"/>
        <w:gridCol w:w="529"/>
        <w:gridCol w:w="6"/>
      </w:tblGrid>
      <w:tr w14:paraId="410ED7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643" w:type="dxa"/>
            <w:vMerge w:val="restart"/>
            <w:tcBorders>
              <w:top w:val="single" w:color="auto" w:sz="4" w:space="0"/>
              <w:left w:val="single" w:color="auto" w:sz="4" w:space="0"/>
            </w:tcBorders>
            <w:noWrap w:val="0"/>
            <w:vAlign w:val="center"/>
          </w:tcPr>
          <w:p w14:paraId="5FBE370B">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6030" w:type="dxa"/>
            <w:vMerge w:val="restart"/>
            <w:tcBorders>
              <w:top w:val="single" w:color="auto" w:sz="4" w:space="0"/>
            </w:tcBorders>
            <w:noWrap w:val="0"/>
            <w:vAlign w:val="center"/>
          </w:tcPr>
          <w:p w14:paraId="6DC6CFB8">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022" w:type="dxa"/>
            <w:vMerge w:val="restart"/>
            <w:tcBorders>
              <w:top w:val="single" w:color="auto" w:sz="4" w:space="0"/>
              <w:right w:val="single" w:color="auto" w:sz="4" w:space="0"/>
            </w:tcBorders>
            <w:noWrap w:val="0"/>
            <w:vAlign w:val="center"/>
          </w:tcPr>
          <w:p w14:paraId="497F0E74">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1722" w:type="dxa"/>
            <w:gridSpan w:val="4"/>
            <w:tcBorders>
              <w:top w:val="single" w:color="auto" w:sz="4" w:space="0"/>
              <w:right w:val="single" w:color="auto" w:sz="4" w:space="0"/>
            </w:tcBorders>
            <w:noWrap w:val="0"/>
            <w:vAlign w:val="center"/>
          </w:tcPr>
          <w:p w14:paraId="009FCA25">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投标人</w:t>
            </w:r>
          </w:p>
        </w:tc>
      </w:tr>
      <w:tr w14:paraId="102106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643" w:type="dxa"/>
            <w:vMerge w:val="continue"/>
            <w:tcBorders>
              <w:left w:val="single" w:color="auto" w:sz="4" w:space="0"/>
            </w:tcBorders>
            <w:noWrap w:val="0"/>
            <w:vAlign w:val="center"/>
          </w:tcPr>
          <w:p w14:paraId="2996CD13">
            <w:pPr>
              <w:widowControl/>
              <w:spacing w:before="24" w:beforeLines="10" w:after="24" w:afterLines="10" w:line="300" w:lineRule="exact"/>
              <w:rPr>
                <w:rFonts w:hint="eastAsia" w:ascii="宋体" w:hAnsi="宋体" w:eastAsia="宋体" w:cs="宋体"/>
                <w:b/>
                <w:color w:val="auto"/>
                <w:highlight w:val="none"/>
              </w:rPr>
            </w:pPr>
          </w:p>
        </w:tc>
        <w:tc>
          <w:tcPr>
            <w:tcW w:w="6030" w:type="dxa"/>
            <w:vMerge w:val="continue"/>
            <w:noWrap w:val="0"/>
            <w:vAlign w:val="center"/>
          </w:tcPr>
          <w:p w14:paraId="70D6A1E5">
            <w:pPr>
              <w:widowControl/>
              <w:spacing w:before="24" w:beforeLines="10" w:after="24" w:afterLines="10" w:line="300" w:lineRule="exact"/>
              <w:rPr>
                <w:rFonts w:hint="eastAsia" w:ascii="宋体" w:hAnsi="宋体" w:eastAsia="宋体" w:cs="宋体"/>
                <w:b/>
                <w:color w:val="auto"/>
                <w:highlight w:val="none"/>
              </w:rPr>
            </w:pPr>
          </w:p>
        </w:tc>
        <w:tc>
          <w:tcPr>
            <w:tcW w:w="2022" w:type="dxa"/>
            <w:vMerge w:val="continue"/>
            <w:tcBorders>
              <w:right w:val="single" w:color="auto" w:sz="4" w:space="0"/>
            </w:tcBorders>
            <w:noWrap w:val="0"/>
            <w:vAlign w:val="center"/>
          </w:tcPr>
          <w:p w14:paraId="60E2F592">
            <w:pPr>
              <w:widowControl/>
              <w:spacing w:before="24" w:beforeLines="10" w:after="24" w:afterLines="10" w:line="300" w:lineRule="exact"/>
              <w:rPr>
                <w:rFonts w:hint="eastAsia" w:ascii="宋体" w:hAnsi="宋体" w:eastAsia="宋体" w:cs="宋体"/>
                <w:b/>
                <w:color w:val="auto"/>
                <w:highlight w:val="none"/>
              </w:rPr>
            </w:pPr>
          </w:p>
        </w:tc>
        <w:tc>
          <w:tcPr>
            <w:tcW w:w="641" w:type="dxa"/>
            <w:noWrap w:val="0"/>
            <w:vAlign w:val="center"/>
          </w:tcPr>
          <w:p w14:paraId="3D22631C">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546" w:type="dxa"/>
            <w:noWrap w:val="0"/>
            <w:vAlign w:val="center"/>
          </w:tcPr>
          <w:p w14:paraId="6B3D73A5">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535" w:type="dxa"/>
            <w:gridSpan w:val="2"/>
            <w:tcBorders>
              <w:right w:val="single" w:color="auto" w:sz="4" w:space="0"/>
            </w:tcBorders>
            <w:noWrap w:val="0"/>
            <w:vAlign w:val="center"/>
          </w:tcPr>
          <w:p w14:paraId="048DF938">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44DF7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43" w:type="dxa"/>
            <w:tcBorders>
              <w:left w:val="single" w:color="auto" w:sz="4" w:space="0"/>
            </w:tcBorders>
            <w:noWrap w:val="0"/>
            <w:vAlign w:val="center"/>
          </w:tcPr>
          <w:p w14:paraId="638C414F">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6030" w:type="dxa"/>
            <w:noWrap w:val="0"/>
            <w:vAlign w:val="center"/>
          </w:tcPr>
          <w:p w14:paraId="0E6A9923">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022" w:type="dxa"/>
            <w:noWrap w:val="0"/>
            <w:vAlign w:val="center"/>
          </w:tcPr>
          <w:p w14:paraId="657DB96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641" w:type="dxa"/>
            <w:noWrap w:val="0"/>
            <w:vAlign w:val="center"/>
          </w:tcPr>
          <w:p w14:paraId="7E8569E8">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3401B1C8">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2165F64">
            <w:pPr>
              <w:widowControl/>
              <w:spacing w:before="24" w:beforeLines="10" w:after="24" w:afterLines="10" w:line="300" w:lineRule="exact"/>
              <w:jc w:val="center"/>
              <w:rPr>
                <w:rFonts w:hint="eastAsia" w:ascii="宋体" w:hAnsi="宋体" w:eastAsia="宋体" w:cs="宋体"/>
                <w:color w:val="auto"/>
                <w:highlight w:val="none"/>
              </w:rPr>
            </w:pPr>
          </w:p>
        </w:tc>
      </w:tr>
      <w:tr w14:paraId="277383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43" w:type="dxa"/>
            <w:tcBorders>
              <w:left w:val="single" w:color="auto" w:sz="4" w:space="0"/>
            </w:tcBorders>
            <w:noWrap w:val="0"/>
            <w:vAlign w:val="center"/>
          </w:tcPr>
          <w:p w14:paraId="3A2504D9">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6030" w:type="dxa"/>
            <w:noWrap w:val="0"/>
            <w:vAlign w:val="center"/>
          </w:tcPr>
          <w:p w14:paraId="6E9CE51D">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营业执照副本、税务登记证副本、组织机构代码证（“三证合一或五证合一”只提供营业执照副本）。</w:t>
            </w:r>
          </w:p>
        </w:tc>
        <w:tc>
          <w:tcPr>
            <w:tcW w:w="2022" w:type="dxa"/>
            <w:noWrap w:val="0"/>
            <w:vAlign w:val="center"/>
          </w:tcPr>
          <w:p w14:paraId="4B340865">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查验响应文件中证书复印件加盖公章，要求：真实有效</w:t>
            </w:r>
          </w:p>
        </w:tc>
        <w:tc>
          <w:tcPr>
            <w:tcW w:w="641" w:type="dxa"/>
            <w:noWrap w:val="0"/>
            <w:vAlign w:val="center"/>
          </w:tcPr>
          <w:p w14:paraId="70A701A6">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D57F60E">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3C00925">
            <w:pPr>
              <w:widowControl/>
              <w:spacing w:before="24" w:beforeLines="10" w:after="24" w:afterLines="10" w:line="300" w:lineRule="exact"/>
              <w:jc w:val="center"/>
              <w:rPr>
                <w:rFonts w:hint="eastAsia" w:ascii="宋体" w:hAnsi="宋体" w:eastAsia="宋体" w:cs="宋体"/>
                <w:color w:val="auto"/>
                <w:highlight w:val="none"/>
              </w:rPr>
            </w:pPr>
          </w:p>
        </w:tc>
      </w:tr>
      <w:tr w14:paraId="34B688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jc w:val="center"/>
        </w:trPr>
        <w:tc>
          <w:tcPr>
            <w:tcW w:w="643" w:type="dxa"/>
            <w:tcBorders>
              <w:left w:val="single" w:color="auto" w:sz="4" w:space="0"/>
            </w:tcBorders>
            <w:noWrap w:val="0"/>
            <w:vAlign w:val="center"/>
          </w:tcPr>
          <w:p w14:paraId="31B00194">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6030" w:type="dxa"/>
            <w:noWrap w:val="0"/>
            <w:vAlign w:val="center"/>
          </w:tcPr>
          <w:p w14:paraId="3FC5F7C2">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具有下列一项或者多项资质（资信）： 工程咨询建筑工程专业甲级或综合甲级、工程监理房屋建筑工程（资质类别）甲级或综合资质、工程设计建筑工程专业甲级或综合甲级、建筑工程（资质类别）施工总承包一级及以上、房地产开发一级</w:t>
            </w:r>
          </w:p>
        </w:tc>
        <w:tc>
          <w:tcPr>
            <w:tcW w:w="2022" w:type="dxa"/>
            <w:noWrap w:val="0"/>
            <w:vAlign w:val="center"/>
          </w:tcPr>
          <w:p w14:paraId="47A16232">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4FB1C1D0">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6913DEA6">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3D864E79">
            <w:pPr>
              <w:widowControl/>
              <w:spacing w:before="24" w:beforeLines="10" w:after="24" w:afterLines="10" w:line="300" w:lineRule="exact"/>
              <w:jc w:val="center"/>
              <w:rPr>
                <w:rFonts w:hint="eastAsia" w:ascii="宋体" w:hAnsi="宋体" w:eastAsia="宋体" w:cs="宋体"/>
                <w:color w:val="auto"/>
                <w:highlight w:val="none"/>
              </w:rPr>
            </w:pPr>
          </w:p>
        </w:tc>
      </w:tr>
      <w:tr w14:paraId="7A3E73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643" w:type="dxa"/>
            <w:tcBorders>
              <w:left w:val="single" w:color="auto" w:sz="4" w:space="0"/>
            </w:tcBorders>
            <w:noWrap w:val="0"/>
            <w:vAlign w:val="center"/>
          </w:tcPr>
          <w:p w14:paraId="6694B5F8">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4</w:t>
            </w:r>
          </w:p>
        </w:tc>
        <w:tc>
          <w:tcPr>
            <w:tcW w:w="6030" w:type="dxa"/>
            <w:noWrap w:val="0"/>
            <w:vAlign w:val="center"/>
          </w:tcPr>
          <w:p w14:paraId="221EC6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spacing w:val="9"/>
              </w:rPr>
            </w:pPr>
            <w:r>
              <w:rPr>
                <w:rFonts w:hint="eastAsia"/>
                <w:spacing w:val="9"/>
                <w:sz w:val="20"/>
                <w:szCs w:val="22"/>
              </w:rPr>
              <w:t>拟任代建项目经理具备中级及以上专业技术职称，并具有下列一项或者多项资质：注册咨询工程师（投资）、一级注册建造师建筑工程专业、一级注册建筑师、一级注册结构工程师、国家注册监理工程师房屋建筑工程专业。提供项目经理无在建承诺书和近三个月任意一个月社保证明；</w:t>
            </w:r>
          </w:p>
        </w:tc>
        <w:tc>
          <w:tcPr>
            <w:tcW w:w="2022" w:type="dxa"/>
            <w:noWrap w:val="0"/>
            <w:vAlign w:val="center"/>
          </w:tcPr>
          <w:p w14:paraId="66981053">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42CCBC67">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42418C9F">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280A6DF">
            <w:pPr>
              <w:widowControl/>
              <w:spacing w:before="24" w:beforeLines="10" w:after="24" w:afterLines="10" w:line="300" w:lineRule="exact"/>
              <w:jc w:val="center"/>
              <w:rPr>
                <w:rFonts w:hint="eastAsia" w:ascii="宋体" w:hAnsi="宋体" w:eastAsia="宋体" w:cs="宋体"/>
                <w:color w:val="auto"/>
                <w:highlight w:val="none"/>
              </w:rPr>
            </w:pPr>
          </w:p>
        </w:tc>
      </w:tr>
      <w:tr w14:paraId="57A330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643" w:type="dxa"/>
            <w:tcBorders>
              <w:left w:val="single" w:color="auto" w:sz="4" w:space="0"/>
            </w:tcBorders>
            <w:noWrap w:val="0"/>
            <w:vAlign w:val="center"/>
          </w:tcPr>
          <w:p w14:paraId="6AC36613">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5</w:t>
            </w:r>
          </w:p>
        </w:tc>
        <w:tc>
          <w:tcPr>
            <w:tcW w:w="6030" w:type="dxa"/>
            <w:noWrap w:val="0"/>
            <w:vAlign w:val="center"/>
          </w:tcPr>
          <w:p w14:paraId="3660BF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spacing w:val="9"/>
              </w:rPr>
            </w:pPr>
            <w:r>
              <w:rPr>
                <w:rFonts w:hint="eastAsia" w:ascii="宋体" w:hAnsi="宋体" w:eastAsia="宋体" w:cs="宋体"/>
                <w:color w:val="auto"/>
                <w:sz w:val="20"/>
                <w:szCs w:val="22"/>
                <w:highlight w:val="none"/>
                <w:lang w:val="en-US" w:eastAsia="zh-CN"/>
              </w:rPr>
              <w:t>拟任现场管理1人，具备中级及以上专业技术职称，并具备以下资质之一：注册建造师二级及以上、注册造价工程师二级及以上、注册结构工程师二级及以上、注册公用设备工程师、注册电气工程师、注册咨询工程师（投资）、注册监理工程师、中级注册安全工程师（建筑施工安全），提供无在建承诺书和近三个月任意一个月社保证明；</w:t>
            </w:r>
          </w:p>
        </w:tc>
        <w:tc>
          <w:tcPr>
            <w:tcW w:w="2022" w:type="dxa"/>
            <w:noWrap w:val="0"/>
            <w:vAlign w:val="center"/>
          </w:tcPr>
          <w:p w14:paraId="5597301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D19D1B9">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1A64E84E">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3ECD316A">
            <w:pPr>
              <w:widowControl/>
              <w:spacing w:before="24" w:beforeLines="10" w:after="24" w:afterLines="10" w:line="300" w:lineRule="exact"/>
              <w:jc w:val="center"/>
              <w:rPr>
                <w:rFonts w:hint="eastAsia" w:ascii="宋体" w:hAnsi="宋体" w:eastAsia="宋体" w:cs="宋体"/>
                <w:color w:val="auto"/>
                <w:highlight w:val="none"/>
              </w:rPr>
            </w:pPr>
          </w:p>
        </w:tc>
      </w:tr>
      <w:tr w14:paraId="455751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3" w:type="dxa"/>
            <w:tcBorders>
              <w:left w:val="single" w:color="auto" w:sz="4" w:space="0"/>
            </w:tcBorders>
            <w:noWrap w:val="0"/>
            <w:vAlign w:val="center"/>
          </w:tcPr>
          <w:p w14:paraId="08DBBCA7">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6</w:t>
            </w:r>
          </w:p>
        </w:tc>
        <w:tc>
          <w:tcPr>
            <w:tcW w:w="6030" w:type="dxa"/>
            <w:noWrap w:val="0"/>
            <w:vAlign w:val="center"/>
          </w:tcPr>
          <w:p w14:paraId="5E4F56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spacing w:val="9"/>
              </w:rPr>
            </w:pPr>
            <w:r>
              <w:rPr>
                <w:rFonts w:hint="eastAsia" w:ascii="宋体" w:hAnsi="宋体" w:eastAsia="宋体" w:cs="宋体"/>
                <w:color w:val="auto"/>
                <w:sz w:val="20"/>
                <w:szCs w:val="22"/>
                <w:highlight w:val="none"/>
                <w:lang w:val="en-US" w:eastAsia="zh-CN"/>
              </w:rPr>
              <w:t>拟任设计管理1人，具备中级及以上专业技术职称，并具备以下资质之一：注册建筑师二级及以上、注册结构工程师二级及以上、注册公用设备工程师（仅限机电安装工程代建单位招标选用）。提供近三个月任意一个月社保证明；</w:t>
            </w:r>
          </w:p>
        </w:tc>
        <w:tc>
          <w:tcPr>
            <w:tcW w:w="2022" w:type="dxa"/>
            <w:noWrap w:val="0"/>
            <w:vAlign w:val="center"/>
          </w:tcPr>
          <w:p w14:paraId="5504AC34">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035FF86">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A7BAFAB">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B517EA1">
            <w:pPr>
              <w:widowControl/>
              <w:spacing w:before="24" w:beforeLines="10" w:after="24" w:afterLines="10" w:line="300" w:lineRule="exact"/>
              <w:jc w:val="center"/>
              <w:rPr>
                <w:rFonts w:hint="eastAsia" w:ascii="宋体" w:hAnsi="宋体" w:eastAsia="宋体" w:cs="宋体"/>
                <w:color w:val="auto"/>
                <w:highlight w:val="none"/>
              </w:rPr>
            </w:pPr>
          </w:p>
        </w:tc>
      </w:tr>
      <w:tr w14:paraId="43C9EA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43" w:type="dxa"/>
            <w:tcBorders>
              <w:left w:val="single" w:color="auto" w:sz="4" w:space="0"/>
            </w:tcBorders>
            <w:noWrap w:val="0"/>
            <w:vAlign w:val="center"/>
          </w:tcPr>
          <w:p w14:paraId="3C51C721">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7</w:t>
            </w:r>
          </w:p>
        </w:tc>
        <w:tc>
          <w:tcPr>
            <w:tcW w:w="6030" w:type="dxa"/>
            <w:noWrap w:val="0"/>
            <w:vAlign w:val="center"/>
          </w:tcPr>
          <w:p w14:paraId="2DB76A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spacing w:val="9"/>
              </w:rPr>
            </w:pPr>
            <w:r>
              <w:rPr>
                <w:rFonts w:hint="eastAsia" w:ascii="宋体" w:hAnsi="宋体" w:eastAsia="宋体" w:cs="宋体"/>
                <w:color w:val="auto"/>
                <w:sz w:val="20"/>
                <w:szCs w:val="22"/>
                <w:highlight w:val="none"/>
                <w:lang w:val="en-US" w:eastAsia="zh-CN"/>
              </w:rPr>
              <w:t>拟任造价管理1人，具备中级及以上专业技术职称，并具备注册造价工程师二级及以上资质。提供近三个月任意一个月社保证明；</w:t>
            </w:r>
          </w:p>
        </w:tc>
        <w:tc>
          <w:tcPr>
            <w:tcW w:w="2022" w:type="dxa"/>
            <w:noWrap w:val="0"/>
            <w:vAlign w:val="center"/>
          </w:tcPr>
          <w:p w14:paraId="66A27B64">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2AF2470">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17BB09B6">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1C4EE662">
            <w:pPr>
              <w:widowControl/>
              <w:spacing w:before="24" w:beforeLines="10" w:after="24" w:afterLines="10" w:line="300" w:lineRule="exact"/>
              <w:jc w:val="center"/>
              <w:rPr>
                <w:rFonts w:hint="eastAsia" w:ascii="宋体" w:hAnsi="宋体" w:eastAsia="宋体" w:cs="宋体"/>
                <w:color w:val="auto"/>
                <w:highlight w:val="none"/>
              </w:rPr>
            </w:pPr>
          </w:p>
        </w:tc>
      </w:tr>
      <w:tr w14:paraId="489C67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43" w:type="dxa"/>
            <w:tcBorders>
              <w:left w:val="single" w:color="auto" w:sz="4" w:space="0"/>
            </w:tcBorders>
            <w:noWrap w:val="0"/>
            <w:vAlign w:val="center"/>
          </w:tcPr>
          <w:p w14:paraId="79F3E567">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8</w:t>
            </w:r>
          </w:p>
        </w:tc>
        <w:tc>
          <w:tcPr>
            <w:tcW w:w="6030" w:type="dxa"/>
            <w:noWrap w:val="0"/>
            <w:vAlign w:val="center"/>
          </w:tcPr>
          <w:p w14:paraId="620C9F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信誉要求。投标人不得存在下列情形之一：</w:t>
            </w:r>
          </w:p>
          <w:p w14:paraId="7D238A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1）为招标人的附属机构；</w:t>
            </w:r>
          </w:p>
          <w:p w14:paraId="51DB83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2）被暂停或取消投标资格；</w:t>
            </w:r>
          </w:p>
          <w:p w14:paraId="5CFAB3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3）财产被接管或冻结；</w:t>
            </w:r>
          </w:p>
          <w:p w14:paraId="479592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4）与招标人或招标代理机构存在利害关系，可能影响招标公正性的（为代建项目提供项目建议书、可研咨询服务的情形除外）；</w:t>
            </w:r>
          </w:p>
          <w:p w14:paraId="0100D6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5）被依法责令停业；</w:t>
            </w:r>
          </w:p>
          <w:p w14:paraId="3AB096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6）近三年承接的项目发生过较大以上责任事故；</w:t>
            </w:r>
          </w:p>
          <w:p w14:paraId="7B0088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7）近三年内存在严重违法、违约等不良记录；</w:t>
            </w:r>
          </w:p>
          <w:p w14:paraId="485477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8）被禁止参与代建活动；</w:t>
            </w:r>
          </w:p>
          <w:p w14:paraId="08E35B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9）至投标截止时间，在“信用中国”网站（www.creditchina.gov.cn）、“信用湖南”网站（credit.fgw.hunan.gov.cn）中查询存在严重失信主体名单、安全生产领域严重失信惩戒名单、拖欠农民工工资失信联合惩戒对象名单，在中国执行信息公开网（http://zxgk.court.gov.cn/shixin/）中查询存在失信被执行人；</w:t>
            </w:r>
          </w:p>
          <w:p w14:paraId="726334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10）存在法律法规规定不允许参加招标投标活动的情形；</w:t>
            </w:r>
          </w:p>
          <w:p w14:paraId="4831D8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11）被依法暂停或者取消投标资格；</w:t>
            </w:r>
          </w:p>
          <w:p w14:paraId="685E3B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12）被责令停业，暂扣或者吊销执照，或吊销资质证书；</w:t>
            </w:r>
          </w:p>
          <w:p w14:paraId="1A0316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13）进入清算程序，或被宣告破产，或其他丧失履约能力的情形。</w:t>
            </w:r>
          </w:p>
        </w:tc>
        <w:tc>
          <w:tcPr>
            <w:tcW w:w="2022" w:type="dxa"/>
            <w:noWrap w:val="0"/>
            <w:vAlign w:val="center"/>
          </w:tcPr>
          <w:p w14:paraId="0BB42A1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p>
        </w:tc>
        <w:tc>
          <w:tcPr>
            <w:tcW w:w="641" w:type="dxa"/>
            <w:noWrap w:val="0"/>
            <w:vAlign w:val="center"/>
          </w:tcPr>
          <w:p w14:paraId="2515742F">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3116F9A2">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51FF5FD1">
            <w:pPr>
              <w:widowControl/>
              <w:spacing w:before="24" w:beforeLines="10" w:after="24" w:afterLines="10" w:line="300" w:lineRule="exact"/>
              <w:jc w:val="center"/>
              <w:rPr>
                <w:rFonts w:hint="eastAsia" w:ascii="宋体" w:hAnsi="宋体" w:eastAsia="宋体" w:cs="宋体"/>
                <w:color w:val="auto"/>
                <w:highlight w:val="none"/>
              </w:rPr>
            </w:pPr>
          </w:p>
        </w:tc>
      </w:tr>
      <w:tr w14:paraId="486992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43" w:type="dxa"/>
            <w:tcBorders>
              <w:left w:val="single" w:color="auto" w:sz="4" w:space="0"/>
            </w:tcBorders>
            <w:noWrap w:val="0"/>
            <w:vAlign w:val="center"/>
          </w:tcPr>
          <w:p w14:paraId="05677CDE">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9</w:t>
            </w:r>
          </w:p>
        </w:tc>
        <w:tc>
          <w:tcPr>
            <w:tcW w:w="6030" w:type="dxa"/>
            <w:noWrap w:val="0"/>
            <w:vAlign w:val="center"/>
          </w:tcPr>
          <w:p w14:paraId="6E04592A">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000000"/>
                <w:sz w:val="20"/>
                <w:szCs w:val="22"/>
                <w:highlight w:val="none"/>
                <w:lang w:val="en-US" w:eastAsia="zh-CN"/>
              </w:rPr>
              <w:t>湖南省政府采购供应商资格承诺函原件。（湘财购【2022】17号）</w:t>
            </w:r>
          </w:p>
        </w:tc>
        <w:tc>
          <w:tcPr>
            <w:tcW w:w="2022" w:type="dxa"/>
            <w:noWrap w:val="0"/>
            <w:vAlign w:val="center"/>
          </w:tcPr>
          <w:p w14:paraId="5603B5C9">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6566156B">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7C4A6164">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5E473063">
            <w:pPr>
              <w:widowControl/>
              <w:spacing w:before="24" w:beforeLines="10" w:after="24" w:afterLines="10" w:line="300" w:lineRule="exact"/>
              <w:jc w:val="center"/>
              <w:rPr>
                <w:rFonts w:hint="eastAsia" w:ascii="宋体" w:hAnsi="宋体" w:eastAsia="宋体" w:cs="宋体"/>
                <w:color w:val="auto"/>
                <w:highlight w:val="none"/>
              </w:rPr>
            </w:pPr>
          </w:p>
        </w:tc>
      </w:tr>
      <w:tr w14:paraId="7013DB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643" w:type="dxa"/>
            <w:tcBorders>
              <w:left w:val="single" w:color="auto" w:sz="4" w:space="0"/>
            </w:tcBorders>
            <w:noWrap w:val="0"/>
            <w:vAlign w:val="center"/>
          </w:tcPr>
          <w:p w14:paraId="5EA17E92">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6030" w:type="dxa"/>
            <w:shd w:val="clear" w:color="auto" w:fill="auto"/>
            <w:noWrap w:val="0"/>
            <w:vAlign w:val="center"/>
          </w:tcPr>
          <w:p w14:paraId="6886125A">
            <w:pPr>
              <w:widowControl/>
              <w:spacing w:before="24" w:beforeLines="10" w:after="24" w:afterLines="10" w:line="300" w:lineRule="exact"/>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2"/>
                <w:highlight w:val="none"/>
                <w:lang w:val="en-US" w:eastAsia="zh-CN"/>
              </w:rPr>
              <w:t>提供“信用中国”网站（www.creditchina.gov.cn）未列入失信被执行人、“中国政府采购网”（www.ccgp.gov.cn ）或“国家企业信用信息公示系统”网站未列入政府采购严重违法失信行为记录名单等被禁止投标记录）。</w:t>
            </w:r>
          </w:p>
        </w:tc>
        <w:tc>
          <w:tcPr>
            <w:tcW w:w="2022" w:type="dxa"/>
            <w:shd w:val="clear" w:color="auto" w:fill="auto"/>
            <w:noWrap w:val="0"/>
            <w:vAlign w:val="center"/>
          </w:tcPr>
          <w:p w14:paraId="2CD03743">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65EE797F">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6559600F">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F1970F6">
            <w:pPr>
              <w:widowControl/>
              <w:spacing w:before="24" w:beforeLines="10" w:after="24" w:afterLines="10" w:line="300" w:lineRule="exact"/>
              <w:jc w:val="center"/>
              <w:rPr>
                <w:rFonts w:hint="eastAsia" w:ascii="宋体" w:hAnsi="宋体" w:eastAsia="宋体" w:cs="宋体"/>
                <w:color w:val="auto"/>
                <w:highlight w:val="none"/>
              </w:rPr>
            </w:pPr>
          </w:p>
        </w:tc>
      </w:tr>
      <w:tr w14:paraId="74D25B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643" w:type="dxa"/>
            <w:tcBorders>
              <w:left w:val="single" w:color="auto" w:sz="4" w:space="0"/>
              <w:bottom w:val="single" w:color="auto" w:sz="4" w:space="0"/>
            </w:tcBorders>
            <w:noWrap w:val="0"/>
            <w:vAlign w:val="center"/>
          </w:tcPr>
          <w:p w14:paraId="0F22AD0E">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8052" w:type="dxa"/>
            <w:gridSpan w:val="2"/>
            <w:tcBorders>
              <w:bottom w:val="single" w:color="auto" w:sz="4" w:space="0"/>
            </w:tcBorders>
            <w:noWrap w:val="0"/>
            <w:vAlign w:val="center"/>
          </w:tcPr>
          <w:p w14:paraId="4E73A1EB">
            <w:pPr>
              <w:widowControl/>
              <w:spacing w:before="24" w:beforeLines="10" w:after="24" w:afterLines="10" w:line="300" w:lineRule="exact"/>
              <w:jc w:val="center"/>
              <w:rPr>
                <w:rFonts w:hint="eastAsia" w:ascii="宋体" w:hAnsi="宋体" w:eastAsia="宋体" w:cs="宋体"/>
                <w:color w:val="auto"/>
                <w:highlight w:val="none"/>
              </w:rPr>
            </w:pPr>
          </w:p>
        </w:tc>
        <w:tc>
          <w:tcPr>
            <w:tcW w:w="641" w:type="dxa"/>
            <w:tcBorders>
              <w:bottom w:val="single" w:color="auto" w:sz="4" w:space="0"/>
            </w:tcBorders>
            <w:noWrap w:val="0"/>
            <w:vAlign w:val="center"/>
          </w:tcPr>
          <w:p w14:paraId="59CC1670">
            <w:pPr>
              <w:widowControl/>
              <w:spacing w:before="24" w:beforeLines="10" w:after="24" w:afterLines="10" w:line="300" w:lineRule="exact"/>
              <w:jc w:val="center"/>
              <w:rPr>
                <w:rFonts w:hint="eastAsia" w:ascii="宋体" w:hAnsi="宋体" w:eastAsia="宋体" w:cs="宋体"/>
                <w:color w:val="auto"/>
                <w:highlight w:val="none"/>
              </w:rPr>
            </w:pPr>
          </w:p>
        </w:tc>
        <w:tc>
          <w:tcPr>
            <w:tcW w:w="546" w:type="dxa"/>
            <w:tcBorders>
              <w:bottom w:val="single" w:color="auto" w:sz="4" w:space="0"/>
            </w:tcBorders>
            <w:noWrap w:val="0"/>
            <w:vAlign w:val="center"/>
          </w:tcPr>
          <w:p w14:paraId="23BF580D">
            <w:pPr>
              <w:widowControl/>
              <w:spacing w:before="24" w:beforeLines="10" w:after="24" w:afterLines="10" w:line="300" w:lineRule="exact"/>
              <w:jc w:val="center"/>
              <w:rPr>
                <w:rFonts w:hint="eastAsia" w:ascii="宋体" w:hAnsi="宋体" w:eastAsia="宋体" w:cs="宋体"/>
                <w:color w:val="auto"/>
                <w:highlight w:val="none"/>
              </w:rPr>
            </w:pPr>
          </w:p>
        </w:tc>
        <w:tc>
          <w:tcPr>
            <w:tcW w:w="529" w:type="dxa"/>
            <w:tcBorders>
              <w:bottom w:val="single" w:color="auto" w:sz="4" w:space="0"/>
              <w:right w:val="single" w:color="auto" w:sz="4" w:space="0"/>
            </w:tcBorders>
            <w:noWrap w:val="0"/>
            <w:vAlign w:val="center"/>
          </w:tcPr>
          <w:p w14:paraId="2E2533D2">
            <w:pPr>
              <w:widowControl/>
              <w:spacing w:before="24" w:beforeLines="10" w:after="24" w:afterLines="10" w:line="300" w:lineRule="exact"/>
              <w:jc w:val="center"/>
              <w:rPr>
                <w:rFonts w:hint="eastAsia" w:ascii="宋体" w:hAnsi="宋体" w:eastAsia="宋体" w:cs="宋体"/>
                <w:color w:val="auto"/>
                <w:highlight w:val="none"/>
              </w:rPr>
            </w:pPr>
          </w:p>
        </w:tc>
      </w:tr>
    </w:tbl>
    <w:p w14:paraId="7DE211EF">
      <w:pPr>
        <w:pStyle w:val="19"/>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2FFC0719">
      <w:pPr>
        <w:numPr>
          <w:ilvl w:val="0"/>
          <w:numId w:val="0"/>
        </w:numPr>
        <w:adjustRightInd w:val="0"/>
        <w:snapToGrid w:val="0"/>
        <w:spacing w:before="120" w:beforeLines="50" w:line="360" w:lineRule="auto"/>
        <w:ind w:right="-109" w:rightChars="-52" w:firstLine="420" w:firstLineChars="200"/>
        <w:rPr>
          <w:rFonts w:hint="eastAsia" w:ascii="宋体" w:hAnsi="宋体" w:eastAsia="宋体" w:cs="宋体"/>
        </w:rPr>
      </w:pPr>
      <w:r>
        <w:rPr>
          <w:rFonts w:hint="eastAsia" w:ascii="宋体" w:hAnsi="宋体" w:eastAsia="宋体" w:cs="宋体"/>
          <w:kern w:val="2"/>
          <w:sz w:val="21"/>
          <w:szCs w:val="24"/>
          <w:lang w:val="en-US" w:eastAsia="zh-CN" w:bidi="ar-SA"/>
        </w:rPr>
        <w:t>2、</w:t>
      </w:r>
      <w:r>
        <w:rPr>
          <w:rFonts w:hint="eastAsia" w:ascii="宋体" w:hAnsi="宋体" w:eastAsia="宋体" w:cs="宋体"/>
          <w:color w:val="auto"/>
          <w:szCs w:val="21"/>
          <w:highlight w:val="none"/>
        </w:rPr>
        <w:t>以上内容有一项不合格的，则初步评审的综合评定结果为不合格。</w:t>
      </w:r>
    </w:p>
    <w:p w14:paraId="27CAF774">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0238ED7F">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lang w:val="en-US" w:eastAsia="zh-CN"/>
        </w:rPr>
      </w:pPr>
      <w:bookmarkStart w:id="5" w:name="_Toc8161081"/>
      <w:bookmarkStart w:id="6" w:name="_Toc9245"/>
    </w:p>
    <w:p w14:paraId="47E31148">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表2  </w:t>
      </w:r>
      <w:r>
        <w:rPr>
          <w:rFonts w:hint="eastAsia" w:ascii="宋体" w:hAnsi="宋体" w:eastAsia="宋体" w:cs="宋体"/>
          <w:b/>
          <w:color w:val="auto"/>
          <w:szCs w:val="21"/>
          <w:highlight w:val="none"/>
          <w:lang w:eastAsia="zh-CN"/>
        </w:rPr>
        <w:t>符合</w:t>
      </w:r>
      <w:r>
        <w:rPr>
          <w:rFonts w:hint="eastAsia" w:ascii="宋体" w:hAnsi="宋体" w:eastAsia="宋体" w:cs="宋体"/>
          <w:b/>
          <w:color w:val="auto"/>
          <w:szCs w:val="21"/>
          <w:highlight w:val="none"/>
        </w:rPr>
        <w:t>审查表</w:t>
      </w:r>
      <w:bookmarkEnd w:id="5"/>
      <w:bookmarkEnd w:id="6"/>
    </w:p>
    <w:tbl>
      <w:tblPr>
        <w:tblStyle w:val="43"/>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4590"/>
        <w:gridCol w:w="2137"/>
        <w:gridCol w:w="707"/>
        <w:gridCol w:w="706"/>
        <w:gridCol w:w="709"/>
      </w:tblGrid>
      <w:tr w14:paraId="26A48E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768" w:type="dxa"/>
            <w:vMerge w:val="restart"/>
            <w:tcBorders>
              <w:top w:val="single" w:color="auto" w:sz="4" w:space="0"/>
              <w:left w:val="single" w:color="auto" w:sz="4" w:space="0"/>
            </w:tcBorders>
            <w:noWrap w:val="0"/>
            <w:vAlign w:val="center"/>
          </w:tcPr>
          <w:p w14:paraId="13C29663">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590" w:type="dxa"/>
            <w:vMerge w:val="restart"/>
            <w:tcBorders>
              <w:top w:val="single" w:color="auto" w:sz="4" w:space="0"/>
            </w:tcBorders>
            <w:noWrap w:val="0"/>
            <w:vAlign w:val="center"/>
          </w:tcPr>
          <w:p w14:paraId="3CB374A3">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137" w:type="dxa"/>
            <w:vMerge w:val="restart"/>
            <w:tcBorders>
              <w:top w:val="single" w:color="auto" w:sz="4" w:space="0"/>
            </w:tcBorders>
            <w:noWrap w:val="0"/>
            <w:vAlign w:val="center"/>
          </w:tcPr>
          <w:p w14:paraId="130CFB59">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72DE91A5">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8B469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768" w:type="dxa"/>
            <w:vMerge w:val="continue"/>
            <w:tcBorders>
              <w:left w:val="single" w:color="auto" w:sz="4" w:space="0"/>
            </w:tcBorders>
            <w:noWrap w:val="0"/>
            <w:vAlign w:val="center"/>
          </w:tcPr>
          <w:p w14:paraId="267D04F5">
            <w:pPr>
              <w:widowControl/>
              <w:spacing w:before="24" w:beforeLines="10" w:after="24" w:afterLines="10" w:line="300" w:lineRule="exact"/>
              <w:rPr>
                <w:rFonts w:hint="eastAsia" w:ascii="宋体" w:hAnsi="宋体" w:eastAsia="宋体" w:cs="宋体"/>
                <w:b/>
                <w:color w:val="auto"/>
                <w:highlight w:val="none"/>
              </w:rPr>
            </w:pPr>
          </w:p>
        </w:tc>
        <w:tc>
          <w:tcPr>
            <w:tcW w:w="4590" w:type="dxa"/>
            <w:vMerge w:val="continue"/>
            <w:noWrap w:val="0"/>
            <w:vAlign w:val="center"/>
          </w:tcPr>
          <w:p w14:paraId="38D7BF3E">
            <w:pPr>
              <w:widowControl/>
              <w:spacing w:before="24" w:beforeLines="10" w:after="24" w:afterLines="10" w:line="300" w:lineRule="exact"/>
              <w:rPr>
                <w:rFonts w:hint="eastAsia" w:ascii="宋体" w:hAnsi="宋体" w:eastAsia="宋体" w:cs="宋体"/>
                <w:b/>
                <w:color w:val="auto"/>
                <w:highlight w:val="none"/>
              </w:rPr>
            </w:pPr>
          </w:p>
        </w:tc>
        <w:tc>
          <w:tcPr>
            <w:tcW w:w="2137" w:type="dxa"/>
            <w:vMerge w:val="continue"/>
            <w:noWrap w:val="0"/>
            <w:vAlign w:val="center"/>
          </w:tcPr>
          <w:p w14:paraId="17DA8BAD">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77C16F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17A8B4E9">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661C652D">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2BB41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8" w:type="dxa"/>
            <w:tcBorders>
              <w:left w:val="single" w:color="auto" w:sz="4" w:space="0"/>
            </w:tcBorders>
            <w:noWrap w:val="0"/>
            <w:vAlign w:val="center"/>
          </w:tcPr>
          <w:p w14:paraId="3C9AB578">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1</w:t>
            </w:r>
          </w:p>
        </w:tc>
        <w:tc>
          <w:tcPr>
            <w:tcW w:w="4590" w:type="dxa"/>
            <w:noWrap w:val="0"/>
            <w:vAlign w:val="center"/>
          </w:tcPr>
          <w:p w14:paraId="7CB25026">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137" w:type="dxa"/>
            <w:noWrap w:val="0"/>
            <w:vAlign w:val="center"/>
          </w:tcPr>
          <w:p w14:paraId="50DB10B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highlight w:val="none"/>
              </w:rPr>
              <w:t>符合</w:t>
            </w:r>
            <w:r>
              <w:rPr>
                <w:rFonts w:hint="eastAsia" w:ascii="宋体" w:hAnsi="宋体" w:eastAsia="宋体" w:cs="宋体"/>
                <w:highlight w:val="none"/>
                <w:lang w:val="en-US" w:eastAsia="zh-CN"/>
              </w:rPr>
              <w:t>磋商</w:t>
            </w:r>
            <w:r>
              <w:rPr>
                <w:rFonts w:hint="eastAsia" w:ascii="宋体" w:hAnsi="宋体" w:eastAsia="宋体" w:cs="宋体"/>
                <w:highlight w:val="none"/>
              </w:rPr>
              <w:t>文件要求</w:t>
            </w:r>
          </w:p>
        </w:tc>
        <w:tc>
          <w:tcPr>
            <w:tcW w:w="707" w:type="dxa"/>
            <w:noWrap w:val="0"/>
            <w:vAlign w:val="center"/>
          </w:tcPr>
          <w:p w14:paraId="3CD0CE43">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C7433E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749EC0D">
            <w:pPr>
              <w:widowControl/>
              <w:spacing w:before="24" w:beforeLines="10" w:after="24" w:afterLines="10" w:line="300" w:lineRule="exact"/>
              <w:jc w:val="center"/>
              <w:rPr>
                <w:rFonts w:hint="eastAsia" w:ascii="宋体" w:hAnsi="宋体" w:eastAsia="宋体" w:cs="宋体"/>
                <w:color w:val="auto"/>
                <w:highlight w:val="none"/>
              </w:rPr>
            </w:pPr>
          </w:p>
        </w:tc>
      </w:tr>
      <w:tr w14:paraId="40CB97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8" w:type="dxa"/>
            <w:tcBorders>
              <w:left w:val="single" w:color="auto" w:sz="4" w:space="0"/>
            </w:tcBorders>
            <w:noWrap w:val="0"/>
            <w:vAlign w:val="center"/>
          </w:tcPr>
          <w:p w14:paraId="51B5DD7D">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2</w:t>
            </w:r>
          </w:p>
        </w:tc>
        <w:tc>
          <w:tcPr>
            <w:tcW w:w="4590" w:type="dxa"/>
            <w:noWrap w:val="0"/>
            <w:vAlign w:val="center"/>
          </w:tcPr>
          <w:p w14:paraId="5B98B4A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投标</w:t>
            </w:r>
            <w:r>
              <w:rPr>
                <w:rFonts w:hint="eastAsia" w:ascii="宋体" w:hAnsi="宋体" w:eastAsia="宋体" w:cs="宋体"/>
                <w:color w:val="auto"/>
                <w:highlight w:val="none"/>
              </w:rPr>
              <w:t>有效期</w:t>
            </w:r>
          </w:p>
        </w:tc>
        <w:tc>
          <w:tcPr>
            <w:tcW w:w="2137" w:type="dxa"/>
            <w:noWrap w:val="0"/>
            <w:vAlign w:val="center"/>
          </w:tcPr>
          <w:p w14:paraId="5557F2EA">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highlight w:val="none"/>
              </w:rPr>
              <w:t>符合</w:t>
            </w:r>
            <w:r>
              <w:rPr>
                <w:rFonts w:hint="eastAsia" w:ascii="宋体" w:hAnsi="宋体" w:eastAsia="宋体" w:cs="宋体"/>
                <w:highlight w:val="none"/>
                <w:lang w:val="en-US" w:eastAsia="zh-CN"/>
              </w:rPr>
              <w:t>磋商</w:t>
            </w:r>
            <w:r>
              <w:rPr>
                <w:rFonts w:hint="eastAsia" w:ascii="宋体" w:hAnsi="宋体" w:eastAsia="宋体" w:cs="宋体"/>
                <w:highlight w:val="none"/>
              </w:rPr>
              <w:t>文件要求</w:t>
            </w:r>
          </w:p>
        </w:tc>
        <w:tc>
          <w:tcPr>
            <w:tcW w:w="707" w:type="dxa"/>
            <w:noWrap w:val="0"/>
            <w:vAlign w:val="center"/>
          </w:tcPr>
          <w:p w14:paraId="07D3B0FB">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20FA6351">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764F050">
            <w:pPr>
              <w:widowControl/>
              <w:spacing w:before="24" w:beforeLines="10" w:after="24" w:afterLines="10" w:line="300" w:lineRule="exact"/>
              <w:jc w:val="center"/>
              <w:rPr>
                <w:rFonts w:hint="eastAsia" w:ascii="宋体" w:hAnsi="宋体" w:eastAsia="宋体" w:cs="宋体"/>
                <w:color w:val="auto"/>
                <w:highlight w:val="none"/>
              </w:rPr>
            </w:pPr>
          </w:p>
        </w:tc>
      </w:tr>
      <w:tr w14:paraId="1F3069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8" w:type="dxa"/>
            <w:tcBorders>
              <w:left w:val="single" w:color="auto" w:sz="4" w:space="0"/>
            </w:tcBorders>
            <w:noWrap w:val="0"/>
            <w:vAlign w:val="center"/>
          </w:tcPr>
          <w:p w14:paraId="07D76265">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3</w:t>
            </w:r>
          </w:p>
        </w:tc>
        <w:tc>
          <w:tcPr>
            <w:tcW w:w="4590" w:type="dxa"/>
            <w:noWrap w:val="0"/>
            <w:vAlign w:val="center"/>
          </w:tcPr>
          <w:p w14:paraId="11FF4517">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137" w:type="dxa"/>
            <w:noWrap w:val="0"/>
            <w:vAlign w:val="center"/>
          </w:tcPr>
          <w:p w14:paraId="6C56FBCC">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highlight w:val="none"/>
                <w:lang w:val="en-US" w:eastAsia="zh-CN"/>
              </w:rPr>
              <w:t>未</w:t>
            </w:r>
            <w:r>
              <w:rPr>
                <w:rFonts w:hint="eastAsia" w:ascii="宋体" w:hAnsi="宋体" w:eastAsia="宋体" w:cs="宋体"/>
                <w:highlight w:val="none"/>
              </w:rPr>
              <w:t>超过最高限价</w:t>
            </w:r>
          </w:p>
        </w:tc>
        <w:tc>
          <w:tcPr>
            <w:tcW w:w="707" w:type="dxa"/>
            <w:noWrap w:val="0"/>
            <w:vAlign w:val="center"/>
          </w:tcPr>
          <w:p w14:paraId="43DAA4A7">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301291CC">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059235D">
            <w:pPr>
              <w:widowControl/>
              <w:spacing w:before="24" w:beforeLines="10" w:after="24" w:afterLines="10" w:line="300" w:lineRule="exact"/>
              <w:jc w:val="center"/>
              <w:rPr>
                <w:rFonts w:hint="eastAsia" w:ascii="宋体" w:hAnsi="宋体" w:eastAsia="宋体" w:cs="宋体"/>
                <w:color w:val="auto"/>
                <w:highlight w:val="none"/>
              </w:rPr>
            </w:pPr>
          </w:p>
        </w:tc>
      </w:tr>
      <w:tr w14:paraId="690696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768" w:type="dxa"/>
            <w:tcBorders>
              <w:left w:val="single" w:color="auto" w:sz="4" w:space="0"/>
            </w:tcBorders>
            <w:noWrap w:val="0"/>
            <w:vAlign w:val="center"/>
          </w:tcPr>
          <w:p w14:paraId="71E385E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4</w:t>
            </w:r>
          </w:p>
        </w:tc>
        <w:tc>
          <w:tcPr>
            <w:tcW w:w="4590" w:type="dxa"/>
            <w:noWrap w:val="0"/>
            <w:vAlign w:val="center"/>
          </w:tcPr>
          <w:p w14:paraId="0B8952E0">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服务期限</w:t>
            </w:r>
          </w:p>
        </w:tc>
        <w:tc>
          <w:tcPr>
            <w:tcW w:w="2137" w:type="dxa"/>
            <w:noWrap w:val="0"/>
            <w:vAlign w:val="center"/>
          </w:tcPr>
          <w:p w14:paraId="535ADCCC">
            <w:pPr>
              <w:widowControl/>
              <w:spacing w:before="24" w:beforeLines="10" w:after="24" w:afterLines="10" w:line="300" w:lineRule="exact"/>
              <w:jc w:val="center"/>
              <w:rPr>
                <w:rFonts w:hint="eastAsia" w:ascii="宋体" w:hAnsi="宋体" w:eastAsia="宋体" w:cs="宋体"/>
                <w:highlight w:val="none"/>
                <w:lang w:val="en-US" w:eastAsia="zh-CN"/>
              </w:rPr>
            </w:pPr>
            <w:r>
              <w:rPr>
                <w:rFonts w:hint="eastAsia" w:ascii="宋体" w:hAnsi="宋体" w:eastAsia="宋体" w:cs="宋体"/>
                <w:highlight w:val="none"/>
              </w:rPr>
              <w:t>符合</w:t>
            </w:r>
            <w:r>
              <w:rPr>
                <w:rFonts w:hint="eastAsia" w:ascii="宋体" w:hAnsi="宋体" w:eastAsia="宋体" w:cs="宋体"/>
                <w:highlight w:val="none"/>
                <w:lang w:val="en-US" w:eastAsia="zh-CN"/>
              </w:rPr>
              <w:t>磋商</w:t>
            </w:r>
            <w:r>
              <w:rPr>
                <w:rFonts w:hint="eastAsia" w:ascii="宋体" w:hAnsi="宋体" w:eastAsia="宋体" w:cs="宋体"/>
                <w:highlight w:val="none"/>
              </w:rPr>
              <w:t>文件要求</w:t>
            </w:r>
          </w:p>
        </w:tc>
        <w:tc>
          <w:tcPr>
            <w:tcW w:w="707" w:type="dxa"/>
            <w:noWrap w:val="0"/>
            <w:vAlign w:val="center"/>
          </w:tcPr>
          <w:p w14:paraId="0621DEE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5993E4C">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B2F49A9">
            <w:pPr>
              <w:widowControl/>
              <w:spacing w:before="24" w:beforeLines="10" w:after="24" w:afterLines="10" w:line="300" w:lineRule="exact"/>
              <w:jc w:val="center"/>
              <w:rPr>
                <w:rFonts w:hint="eastAsia" w:ascii="宋体" w:hAnsi="宋体" w:eastAsia="宋体" w:cs="宋体"/>
                <w:color w:val="auto"/>
                <w:highlight w:val="none"/>
              </w:rPr>
            </w:pPr>
          </w:p>
        </w:tc>
      </w:tr>
      <w:tr w14:paraId="754944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8" w:type="dxa"/>
            <w:tcBorders>
              <w:left w:val="single" w:color="auto" w:sz="4" w:space="0"/>
            </w:tcBorders>
            <w:noWrap w:val="0"/>
            <w:vAlign w:val="center"/>
          </w:tcPr>
          <w:p w14:paraId="29F4176A">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w:t>
            </w:r>
          </w:p>
        </w:tc>
        <w:tc>
          <w:tcPr>
            <w:tcW w:w="4590" w:type="dxa"/>
            <w:noWrap w:val="0"/>
            <w:vAlign w:val="center"/>
          </w:tcPr>
          <w:p w14:paraId="4200B0A2">
            <w:pPr>
              <w:widowControl/>
              <w:spacing w:before="24" w:beforeLines="10" w:after="24" w:afterLines="10" w:line="300" w:lineRule="exact"/>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是否响应磋商须知前附表第二章第42.1款</w:t>
            </w:r>
          </w:p>
          <w:p w14:paraId="122C2579">
            <w:pPr>
              <w:widowControl/>
              <w:spacing w:before="24" w:beforeLines="10" w:after="24" w:afterLines="10" w:line="300" w:lineRule="exact"/>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其他规定</w:t>
            </w:r>
          </w:p>
        </w:tc>
        <w:tc>
          <w:tcPr>
            <w:tcW w:w="2137" w:type="dxa"/>
            <w:noWrap w:val="0"/>
            <w:vAlign w:val="center"/>
          </w:tcPr>
          <w:p w14:paraId="444ACF7A">
            <w:pPr>
              <w:widowControl/>
              <w:spacing w:before="24" w:beforeLines="10" w:after="24" w:afterLines="10" w:line="300" w:lineRule="exact"/>
              <w:jc w:val="center"/>
              <w:rPr>
                <w:rFonts w:hint="eastAsia" w:ascii="宋体" w:hAnsi="宋体" w:eastAsia="宋体" w:cs="宋体"/>
                <w:highlight w:val="none"/>
              </w:rPr>
            </w:pPr>
            <w:r>
              <w:rPr>
                <w:rFonts w:hint="eastAsia" w:ascii="宋体" w:hAnsi="宋体" w:eastAsia="宋体" w:cs="宋体"/>
                <w:highlight w:val="none"/>
              </w:rPr>
              <w:t>符合</w:t>
            </w:r>
            <w:r>
              <w:rPr>
                <w:rFonts w:hint="eastAsia" w:ascii="宋体" w:hAnsi="宋体" w:eastAsia="宋体" w:cs="宋体"/>
                <w:highlight w:val="none"/>
                <w:lang w:val="en-US" w:eastAsia="zh-CN"/>
              </w:rPr>
              <w:t>磋商</w:t>
            </w:r>
            <w:r>
              <w:rPr>
                <w:rFonts w:hint="eastAsia" w:ascii="宋体" w:hAnsi="宋体" w:eastAsia="宋体" w:cs="宋体"/>
                <w:highlight w:val="none"/>
              </w:rPr>
              <w:t>文件要求</w:t>
            </w:r>
          </w:p>
        </w:tc>
        <w:tc>
          <w:tcPr>
            <w:tcW w:w="707" w:type="dxa"/>
            <w:noWrap w:val="0"/>
            <w:vAlign w:val="center"/>
          </w:tcPr>
          <w:p w14:paraId="3DB46C3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C915A9D">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3B586F2">
            <w:pPr>
              <w:widowControl/>
              <w:spacing w:before="24" w:beforeLines="10" w:after="24" w:afterLines="10" w:line="300" w:lineRule="exact"/>
              <w:jc w:val="center"/>
              <w:rPr>
                <w:rFonts w:hint="eastAsia" w:ascii="宋体" w:hAnsi="宋体" w:eastAsia="宋体" w:cs="宋体"/>
                <w:color w:val="auto"/>
                <w:highlight w:val="none"/>
              </w:rPr>
            </w:pPr>
          </w:p>
        </w:tc>
      </w:tr>
      <w:tr w14:paraId="4C2B6B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8" w:type="dxa"/>
            <w:tcBorders>
              <w:left w:val="single" w:color="auto" w:sz="4" w:space="0"/>
            </w:tcBorders>
            <w:noWrap w:val="0"/>
            <w:vAlign w:val="center"/>
          </w:tcPr>
          <w:p w14:paraId="64BFE1F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6</w:t>
            </w:r>
          </w:p>
        </w:tc>
        <w:tc>
          <w:tcPr>
            <w:tcW w:w="4590" w:type="dxa"/>
            <w:noWrap w:val="0"/>
            <w:vAlign w:val="center"/>
          </w:tcPr>
          <w:p w14:paraId="681D7251">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highlight w:val="none"/>
                <w:lang w:eastAsia="zh-CN"/>
              </w:rPr>
              <w:t>响应文件</w:t>
            </w:r>
            <w:r>
              <w:rPr>
                <w:rFonts w:hint="eastAsia" w:ascii="宋体" w:hAnsi="宋体" w:eastAsia="宋体" w:cs="宋体"/>
                <w:highlight w:val="none"/>
              </w:rPr>
              <w:t>中</w:t>
            </w:r>
            <w:r>
              <w:rPr>
                <w:rFonts w:hint="eastAsia" w:ascii="宋体" w:hAnsi="宋体" w:eastAsia="宋体" w:cs="宋体"/>
                <w:highlight w:val="none"/>
                <w:lang w:val="en-US" w:eastAsia="zh-CN"/>
              </w:rPr>
              <w:t>是否</w:t>
            </w:r>
            <w:r>
              <w:rPr>
                <w:rFonts w:hint="eastAsia" w:ascii="宋体" w:hAnsi="宋体" w:eastAsia="宋体" w:cs="宋体"/>
                <w:highlight w:val="none"/>
              </w:rPr>
              <w:t>符合法律、法规和招标文件其他实质性规定</w:t>
            </w:r>
          </w:p>
        </w:tc>
        <w:tc>
          <w:tcPr>
            <w:tcW w:w="2137" w:type="dxa"/>
            <w:noWrap w:val="0"/>
            <w:vAlign w:val="center"/>
          </w:tcPr>
          <w:p w14:paraId="7872798C">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eastAsia="宋体" w:cs="宋体"/>
                <w:highlight w:val="none"/>
              </w:rPr>
              <w:t>符合</w:t>
            </w:r>
            <w:r>
              <w:rPr>
                <w:rFonts w:hint="eastAsia" w:ascii="宋体" w:hAnsi="宋体" w:eastAsia="宋体" w:cs="宋体"/>
                <w:highlight w:val="none"/>
                <w:lang w:val="en-US" w:eastAsia="zh-CN"/>
              </w:rPr>
              <w:t>磋商</w:t>
            </w:r>
            <w:r>
              <w:rPr>
                <w:rFonts w:hint="eastAsia" w:ascii="宋体" w:hAnsi="宋体" w:eastAsia="宋体" w:cs="宋体"/>
                <w:highlight w:val="none"/>
              </w:rPr>
              <w:t>文件要求</w:t>
            </w:r>
          </w:p>
        </w:tc>
        <w:tc>
          <w:tcPr>
            <w:tcW w:w="707" w:type="dxa"/>
            <w:noWrap w:val="0"/>
            <w:vAlign w:val="center"/>
          </w:tcPr>
          <w:p w14:paraId="5A10FA5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2F49592C">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E6557AC">
            <w:pPr>
              <w:widowControl/>
              <w:spacing w:before="24" w:beforeLines="10" w:after="24" w:afterLines="10" w:line="300" w:lineRule="exact"/>
              <w:jc w:val="center"/>
              <w:rPr>
                <w:rFonts w:hint="eastAsia" w:ascii="宋体" w:hAnsi="宋体" w:eastAsia="宋体" w:cs="宋体"/>
                <w:color w:val="auto"/>
                <w:highlight w:val="none"/>
              </w:rPr>
            </w:pPr>
          </w:p>
        </w:tc>
      </w:tr>
      <w:tr w14:paraId="323058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495" w:type="dxa"/>
            <w:gridSpan w:val="3"/>
            <w:tcBorders>
              <w:left w:val="single" w:color="auto" w:sz="4" w:space="0"/>
              <w:bottom w:val="single" w:color="auto" w:sz="4" w:space="0"/>
            </w:tcBorders>
            <w:noWrap w:val="0"/>
            <w:vAlign w:val="center"/>
          </w:tcPr>
          <w:p w14:paraId="41CC8C0C">
            <w:pPr>
              <w:widowControl/>
              <w:spacing w:before="24" w:beforeLines="10" w:after="24" w:afterLines="10" w:line="300" w:lineRule="exact"/>
              <w:jc w:val="center"/>
              <w:rPr>
                <w:rFonts w:hint="eastAsia" w:ascii="宋体" w:hAnsi="宋体" w:eastAsia="宋体" w:cs="宋体"/>
                <w:color w:val="auto"/>
                <w:kern w:val="0"/>
                <w:szCs w:val="21"/>
                <w:lang w:val="en-US" w:eastAsia="zh-CN"/>
              </w:rPr>
            </w:pPr>
            <w:r>
              <w:rPr>
                <w:rFonts w:hint="eastAsia" w:ascii="宋体" w:hAnsi="宋体" w:eastAsia="宋体" w:cs="宋体"/>
                <w:highlight w:val="none"/>
                <w:lang w:eastAsia="zh-CN"/>
              </w:rPr>
              <w:t>结论</w:t>
            </w:r>
          </w:p>
        </w:tc>
        <w:tc>
          <w:tcPr>
            <w:tcW w:w="707" w:type="dxa"/>
            <w:tcBorders>
              <w:bottom w:val="single" w:color="auto" w:sz="4" w:space="0"/>
            </w:tcBorders>
            <w:noWrap w:val="0"/>
            <w:vAlign w:val="center"/>
          </w:tcPr>
          <w:p w14:paraId="022A7D6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496CF88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57A26E95">
            <w:pPr>
              <w:widowControl/>
              <w:spacing w:before="24" w:beforeLines="10" w:after="24" w:afterLines="10" w:line="300" w:lineRule="exact"/>
              <w:jc w:val="center"/>
              <w:rPr>
                <w:rFonts w:hint="eastAsia" w:ascii="宋体" w:hAnsi="宋体" w:eastAsia="宋体" w:cs="宋体"/>
                <w:color w:val="auto"/>
                <w:highlight w:val="none"/>
              </w:rPr>
            </w:pPr>
          </w:p>
        </w:tc>
      </w:tr>
    </w:tbl>
    <w:p w14:paraId="24CD280F">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51FB813B">
      <w:pPr>
        <w:pStyle w:val="63"/>
        <w:ind w:firstLine="789" w:firstLineChars="329"/>
        <w:rPr>
          <w:rFonts w:hint="eastAsia" w:ascii="宋体" w:hAnsi="宋体" w:eastAsia="宋体" w:cs="宋体"/>
        </w:rPr>
      </w:pPr>
      <w:r>
        <w:rPr>
          <w:rFonts w:hint="eastAsia" w:ascii="宋体" w:hAnsi="宋体" w:eastAsia="宋体" w:cs="宋体"/>
          <w:color w:val="auto"/>
          <w:szCs w:val="21"/>
          <w:highlight w:val="none"/>
        </w:rPr>
        <w:t>2、以上内容有一项不合格的，则初步评审的综合评定结果为不合格。</w:t>
      </w:r>
    </w:p>
    <w:p w14:paraId="4C5888F2">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65B68CEA">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7BF74B70">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4A1DE3FC">
      <w:pPr>
        <w:adjustRightInd w:val="0"/>
        <w:snapToGrid w:val="0"/>
        <w:spacing w:before="120" w:beforeLines="50" w:after="120" w:afterLines="50" w:line="440" w:lineRule="exact"/>
        <w:ind w:left="525" w:hanging="525" w:hangingChars="250"/>
        <w:rPr>
          <w:rFonts w:hint="eastAsia" w:ascii="宋体" w:hAnsi="宋体" w:eastAsia="宋体" w:cs="宋体"/>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341FE984">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3"/>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207752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8" w:type="dxa"/>
            <w:noWrap w:val="0"/>
            <w:vAlign w:val="center"/>
          </w:tcPr>
          <w:p w14:paraId="33715E98">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4D1C8BF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2C81436C">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6741A469">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中含义不明确同类问题表述不一致或明显文字和计算错误的澄清、说明或修正记录</w:t>
            </w:r>
          </w:p>
        </w:tc>
        <w:tc>
          <w:tcPr>
            <w:tcW w:w="1425" w:type="dxa"/>
            <w:noWrap w:val="0"/>
            <w:vAlign w:val="center"/>
          </w:tcPr>
          <w:p w14:paraId="3B1821AE">
            <w:pPr>
              <w:jc w:val="center"/>
              <w:rPr>
                <w:rFonts w:hint="eastAsia" w:ascii="宋体" w:hAnsi="宋体" w:eastAsia="宋体" w:cs="宋体"/>
                <w:color w:val="auto"/>
                <w:szCs w:val="21"/>
                <w:highlight w:val="none"/>
              </w:rPr>
            </w:pPr>
            <w:r>
              <w:rPr>
                <w:rFonts w:hint="eastAsia" w:ascii="宋体" w:hAnsi="宋体" w:eastAsia="宋体" w:cs="宋体"/>
                <w:sz w:val="24"/>
              </w:rPr>
              <w:t>投标人对修正的意见</w:t>
            </w:r>
          </w:p>
        </w:tc>
        <w:tc>
          <w:tcPr>
            <w:tcW w:w="1111" w:type="dxa"/>
            <w:noWrap w:val="0"/>
            <w:vAlign w:val="center"/>
          </w:tcPr>
          <w:p w14:paraId="3125692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4BC6A270">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22DFD6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1C9BD7DE">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45CE3369">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4FA52F6D">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1F331C32">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EB09D36">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08778622">
            <w:pPr>
              <w:widowControl/>
              <w:spacing w:line="495" w:lineRule="atLeast"/>
              <w:rPr>
                <w:rFonts w:hint="eastAsia" w:ascii="宋体" w:hAnsi="宋体" w:eastAsia="宋体" w:cs="宋体"/>
                <w:color w:val="auto"/>
                <w:szCs w:val="21"/>
                <w:highlight w:val="none"/>
              </w:rPr>
            </w:pPr>
          </w:p>
        </w:tc>
      </w:tr>
      <w:tr w14:paraId="5C67F6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598F969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112E08A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A25D70A">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2BF02D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1E49CA2">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3E74A078">
            <w:pPr>
              <w:widowControl/>
              <w:spacing w:line="495" w:lineRule="atLeast"/>
              <w:rPr>
                <w:rFonts w:hint="eastAsia" w:ascii="宋体" w:hAnsi="宋体" w:eastAsia="宋体" w:cs="宋体"/>
                <w:color w:val="auto"/>
                <w:szCs w:val="21"/>
                <w:highlight w:val="none"/>
              </w:rPr>
            </w:pPr>
          </w:p>
        </w:tc>
      </w:tr>
      <w:tr w14:paraId="775F5C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8" w:type="dxa"/>
            <w:noWrap w:val="0"/>
            <w:vAlign w:val="center"/>
          </w:tcPr>
          <w:p w14:paraId="31C6FA5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6E43FE36">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5596EFB">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23D5BAEE">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EAC6514">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4AE55419">
            <w:pPr>
              <w:widowControl/>
              <w:spacing w:line="495" w:lineRule="atLeast"/>
              <w:rPr>
                <w:rFonts w:hint="eastAsia" w:ascii="宋体" w:hAnsi="宋体" w:eastAsia="宋体" w:cs="宋体"/>
                <w:color w:val="auto"/>
                <w:szCs w:val="21"/>
                <w:highlight w:val="none"/>
              </w:rPr>
            </w:pPr>
          </w:p>
        </w:tc>
      </w:tr>
    </w:tbl>
    <w:p w14:paraId="352E71E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31413A65">
      <w:pPr>
        <w:numPr>
          <w:ilvl w:val="0"/>
          <w:numId w:val="4"/>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6CED8BB5">
      <w:pPr>
        <w:adjustRightInd w:val="0"/>
        <w:snapToGrid w:val="0"/>
        <w:spacing w:before="120" w:beforeLines="50" w:after="120" w:afterLines="50" w:line="440" w:lineRule="exact"/>
        <w:ind w:left="420" w:leftChars="200"/>
        <w:rPr>
          <w:rFonts w:hint="eastAsia" w:ascii="宋体" w:hAnsi="宋体" w:eastAsia="宋体" w:cs="宋体"/>
          <w:b/>
          <w:sz w:val="30"/>
          <w:szCs w:val="30"/>
          <w:lang w:val="en-US" w:eastAsia="zh-CN"/>
        </w:r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4A54612B">
      <w:pPr>
        <w:adjustRightInd w:val="0"/>
        <w:snapToGrid w:val="0"/>
        <w:spacing w:before="120" w:beforeLines="50" w:after="120" w:afterLines="50" w:line="440" w:lineRule="exact"/>
        <w:ind w:left="420" w:leftChars="200"/>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权值构成表</w:t>
      </w:r>
    </w:p>
    <w:tbl>
      <w:tblPr>
        <w:tblStyle w:val="43"/>
        <w:tblpPr w:leftFromText="180" w:rightFromText="180" w:vertAnchor="text" w:horzAnchor="page" w:tblpX="1667" w:tblpY="134"/>
        <w:tblOverlap w:val="never"/>
        <w:tblW w:w="89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4"/>
        <w:gridCol w:w="3903"/>
        <w:gridCol w:w="3541"/>
      </w:tblGrid>
      <w:tr w14:paraId="19A7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494" w:type="dxa"/>
            <w:tcBorders>
              <w:top w:val="single" w:color="000000" w:sz="4" w:space="0"/>
              <w:left w:val="single" w:color="000000" w:sz="4" w:space="0"/>
              <w:bottom w:val="single" w:color="000000" w:sz="4" w:space="0"/>
              <w:right w:val="single" w:color="000000" w:sz="4" w:space="0"/>
            </w:tcBorders>
            <w:noWrap w:val="0"/>
            <w:vAlign w:val="center"/>
          </w:tcPr>
          <w:p w14:paraId="60677DB8">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序号</w:t>
            </w:r>
          </w:p>
        </w:tc>
        <w:tc>
          <w:tcPr>
            <w:tcW w:w="3903" w:type="dxa"/>
            <w:tcBorders>
              <w:top w:val="single" w:color="000000" w:sz="4" w:space="0"/>
              <w:left w:val="single" w:color="000000" w:sz="4" w:space="0"/>
              <w:bottom w:val="single" w:color="000000" w:sz="4" w:space="0"/>
              <w:right w:val="single" w:color="000000" w:sz="4" w:space="0"/>
            </w:tcBorders>
            <w:noWrap w:val="0"/>
            <w:vAlign w:val="center"/>
          </w:tcPr>
          <w:p w14:paraId="4C39F0D1">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项目</w:t>
            </w:r>
          </w:p>
        </w:tc>
        <w:tc>
          <w:tcPr>
            <w:tcW w:w="3541" w:type="dxa"/>
            <w:tcBorders>
              <w:top w:val="single" w:color="000000" w:sz="4" w:space="0"/>
              <w:left w:val="single" w:color="000000" w:sz="4" w:space="0"/>
              <w:bottom w:val="single" w:color="000000" w:sz="4" w:space="0"/>
              <w:right w:val="single" w:color="000000" w:sz="4" w:space="0"/>
            </w:tcBorders>
            <w:noWrap w:val="0"/>
            <w:vAlign w:val="center"/>
          </w:tcPr>
          <w:p w14:paraId="45A0D19B">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具体权值</w:t>
            </w:r>
          </w:p>
        </w:tc>
      </w:tr>
      <w:tr w14:paraId="5E5AB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5" w:hRule="atLeast"/>
        </w:trPr>
        <w:tc>
          <w:tcPr>
            <w:tcW w:w="1494" w:type="dxa"/>
            <w:tcBorders>
              <w:top w:val="single" w:color="000000" w:sz="4" w:space="0"/>
              <w:left w:val="single" w:color="000000" w:sz="4" w:space="0"/>
              <w:bottom w:val="single" w:color="000000" w:sz="4" w:space="0"/>
              <w:right w:val="single" w:color="000000" w:sz="4" w:space="0"/>
            </w:tcBorders>
            <w:noWrap w:val="0"/>
            <w:vAlign w:val="center"/>
          </w:tcPr>
          <w:p w14:paraId="72CBD5A9">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1</w:t>
            </w:r>
          </w:p>
        </w:tc>
        <w:tc>
          <w:tcPr>
            <w:tcW w:w="3903" w:type="dxa"/>
            <w:tcBorders>
              <w:top w:val="single" w:color="000000" w:sz="4" w:space="0"/>
              <w:left w:val="single" w:color="000000" w:sz="4" w:space="0"/>
              <w:bottom w:val="single" w:color="000000" w:sz="4" w:space="0"/>
              <w:right w:val="single" w:color="000000" w:sz="4" w:space="0"/>
            </w:tcBorders>
            <w:noWrap w:val="0"/>
            <w:vAlign w:val="center"/>
          </w:tcPr>
          <w:p w14:paraId="6B2EC8C5">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rPr>
              <w:t>价格</w:t>
            </w:r>
          </w:p>
        </w:tc>
        <w:tc>
          <w:tcPr>
            <w:tcW w:w="3541" w:type="dxa"/>
            <w:tcBorders>
              <w:top w:val="single" w:color="000000" w:sz="4" w:space="0"/>
              <w:left w:val="single" w:color="000000" w:sz="4" w:space="0"/>
              <w:bottom w:val="single" w:color="000000" w:sz="4" w:space="0"/>
              <w:right w:val="single" w:color="000000" w:sz="4" w:space="0"/>
            </w:tcBorders>
            <w:noWrap w:val="0"/>
            <w:vAlign w:val="center"/>
          </w:tcPr>
          <w:p w14:paraId="495C5936">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20%</w:t>
            </w:r>
          </w:p>
        </w:tc>
      </w:tr>
      <w:tr w14:paraId="06FD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5" w:hRule="atLeast"/>
        </w:trPr>
        <w:tc>
          <w:tcPr>
            <w:tcW w:w="1494" w:type="dxa"/>
            <w:tcBorders>
              <w:top w:val="single" w:color="000000" w:sz="4" w:space="0"/>
              <w:left w:val="single" w:color="000000" w:sz="4" w:space="0"/>
              <w:bottom w:val="single" w:color="000000" w:sz="4" w:space="0"/>
              <w:right w:val="single" w:color="000000" w:sz="4" w:space="0"/>
            </w:tcBorders>
            <w:noWrap w:val="0"/>
            <w:vAlign w:val="center"/>
          </w:tcPr>
          <w:p w14:paraId="4F9CEA51">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2</w:t>
            </w:r>
          </w:p>
        </w:tc>
        <w:tc>
          <w:tcPr>
            <w:tcW w:w="3903" w:type="dxa"/>
            <w:tcBorders>
              <w:top w:val="single" w:color="000000" w:sz="4" w:space="0"/>
              <w:left w:val="single" w:color="000000" w:sz="4" w:space="0"/>
              <w:bottom w:val="single" w:color="000000" w:sz="4" w:space="0"/>
              <w:right w:val="single" w:color="000000" w:sz="4" w:space="0"/>
            </w:tcBorders>
            <w:noWrap w:val="0"/>
            <w:vAlign w:val="center"/>
          </w:tcPr>
          <w:p w14:paraId="26B07BA9">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rPr>
              <w:t>商务</w:t>
            </w:r>
          </w:p>
        </w:tc>
        <w:tc>
          <w:tcPr>
            <w:tcW w:w="3541" w:type="dxa"/>
            <w:tcBorders>
              <w:top w:val="single" w:color="000000" w:sz="4" w:space="0"/>
              <w:left w:val="single" w:color="000000" w:sz="4" w:space="0"/>
              <w:bottom w:val="single" w:color="000000" w:sz="4" w:space="0"/>
              <w:right w:val="single" w:color="000000" w:sz="4" w:space="0"/>
            </w:tcBorders>
            <w:noWrap w:val="0"/>
            <w:vAlign w:val="center"/>
          </w:tcPr>
          <w:p w14:paraId="65AFA9BF">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cs="宋体"/>
                <w:sz w:val="22"/>
                <w:szCs w:val="22"/>
                <w:lang w:val="en-US" w:eastAsia="zh-CN"/>
              </w:rPr>
              <w:t>20</w:t>
            </w:r>
            <w:r>
              <w:rPr>
                <w:rFonts w:hint="eastAsia" w:ascii="宋体" w:hAnsi="宋体" w:eastAsia="宋体" w:cs="宋体"/>
                <w:sz w:val="22"/>
                <w:szCs w:val="22"/>
                <w:lang w:val="en-US" w:eastAsia="zh-CN"/>
              </w:rPr>
              <w:t>%</w:t>
            </w:r>
          </w:p>
        </w:tc>
      </w:tr>
      <w:tr w14:paraId="1798A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96" w:hRule="atLeast"/>
        </w:trPr>
        <w:tc>
          <w:tcPr>
            <w:tcW w:w="1494" w:type="dxa"/>
            <w:tcBorders>
              <w:top w:val="single" w:color="000000" w:sz="4" w:space="0"/>
              <w:left w:val="single" w:color="000000" w:sz="4" w:space="0"/>
              <w:bottom w:val="single" w:color="000000" w:sz="4" w:space="0"/>
              <w:right w:val="single" w:color="000000" w:sz="4" w:space="0"/>
            </w:tcBorders>
            <w:noWrap w:val="0"/>
            <w:vAlign w:val="center"/>
          </w:tcPr>
          <w:p w14:paraId="376A347B">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lang w:val="en-US" w:eastAsia="zh-CN"/>
              </w:rPr>
              <w:t>3</w:t>
            </w:r>
          </w:p>
        </w:tc>
        <w:tc>
          <w:tcPr>
            <w:tcW w:w="3903" w:type="dxa"/>
            <w:tcBorders>
              <w:top w:val="single" w:color="000000" w:sz="4" w:space="0"/>
              <w:left w:val="single" w:color="000000" w:sz="4" w:space="0"/>
              <w:bottom w:val="single" w:color="000000" w:sz="4" w:space="0"/>
              <w:right w:val="single" w:color="000000" w:sz="4" w:space="0"/>
            </w:tcBorders>
            <w:noWrap w:val="0"/>
            <w:vAlign w:val="center"/>
          </w:tcPr>
          <w:p w14:paraId="2606D8EF">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eastAsia="宋体" w:cs="宋体"/>
                <w:sz w:val="22"/>
                <w:szCs w:val="22"/>
              </w:rPr>
              <w:t>技术</w:t>
            </w:r>
          </w:p>
        </w:tc>
        <w:tc>
          <w:tcPr>
            <w:tcW w:w="3541" w:type="dxa"/>
            <w:tcBorders>
              <w:top w:val="single" w:color="000000" w:sz="4" w:space="0"/>
              <w:left w:val="single" w:color="000000" w:sz="4" w:space="0"/>
              <w:bottom w:val="single" w:color="000000" w:sz="4" w:space="0"/>
              <w:right w:val="single" w:color="000000" w:sz="4" w:space="0"/>
            </w:tcBorders>
            <w:noWrap w:val="0"/>
            <w:vAlign w:val="center"/>
          </w:tcPr>
          <w:p w14:paraId="0CC6F8AB">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 w:val="22"/>
                <w:szCs w:val="22"/>
              </w:rPr>
            </w:pPr>
            <w:r>
              <w:rPr>
                <w:rFonts w:hint="eastAsia" w:ascii="宋体" w:hAnsi="宋体" w:cs="宋体"/>
                <w:sz w:val="22"/>
                <w:szCs w:val="22"/>
                <w:lang w:val="en-US" w:eastAsia="zh-CN"/>
              </w:rPr>
              <w:t>6</w:t>
            </w:r>
            <w:r>
              <w:rPr>
                <w:rFonts w:hint="eastAsia" w:ascii="宋体" w:hAnsi="宋体" w:eastAsia="宋体" w:cs="宋体"/>
                <w:sz w:val="22"/>
                <w:szCs w:val="22"/>
                <w:lang w:val="en-US" w:eastAsia="zh-CN"/>
              </w:rPr>
              <w:t>0%</w:t>
            </w:r>
          </w:p>
        </w:tc>
      </w:tr>
    </w:tbl>
    <w:p w14:paraId="19AC44AD">
      <w:pPr>
        <w:jc w:val="center"/>
        <w:rPr>
          <w:rFonts w:hint="eastAsia" w:ascii="宋体" w:hAnsi="宋体" w:eastAsia="宋体" w:cs="宋体"/>
          <w:b/>
          <w:sz w:val="32"/>
          <w:szCs w:val="32"/>
          <w:lang w:eastAsia="zh-CN"/>
        </w:rPr>
      </w:pPr>
      <w:r>
        <w:rPr>
          <w:rFonts w:hint="eastAsia" w:ascii="宋体" w:hAnsi="宋体" w:eastAsia="宋体" w:cs="宋体"/>
          <w:b/>
          <w:sz w:val="32"/>
          <w:szCs w:val="32"/>
        </w:rPr>
        <w:t>评审因素和标准</w:t>
      </w:r>
    </w:p>
    <w:tbl>
      <w:tblPr>
        <w:tblStyle w:val="43"/>
        <w:tblW w:w="9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423"/>
        <w:gridCol w:w="721"/>
        <w:gridCol w:w="6688"/>
      </w:tblGrid>
      <w:tr w14:paraId="1D90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037" w:type="dxa"/>
            <w:gridSpan w:val="2"/>
            <w:tcBorders>
              <w:top w:val="single" w:color="auto" w:sz="4" w:space="0"/>
              <w:left w:val="single" w:color="auto" w:sz="4" w:space="0"/>
              <w:bottom w:val="single" w:color="auto" w:sz="4" w:space="0"/>
              <w:right w:val="single" w:color="auto" w:sz="4" w:space="0"/>
            </w:tcBorders>
            <w:vAlign w:val="center"/>
          </w:tcPr>
          <w:p w14:paraId="6B2D81D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Cs w:val="21"/>
              </w:rPr>
            </w:pPr>
            <w:r>
              <w:rPr>
                <w:rFonts w:hint="eastAsia" w:ascii="宋体" w:hAnsi="宋体" w:eastAsia="宋体" w:cs="宋体"/>
                <w:b/>
                <w:bCs/>
                <w:szCs w:val="21"/>
              </w:rPr>
              <w:t>评审因素</w:t>
            </w:r>
          </w:p>
        </w:tc>
        <w:tc>
          <w:tcPr>
            <w:tcW w:w="721" w:type="dxa"/>
            <w:tcBorders>
              <w:top w:val="single" w:color="auto" w:sz="4" w:space="0"/>
              <w:left w:val="single" w:color="auto" w:sz="4" w:space="0"/>
              <w:bottom w:val="single" w:color="auto" w:sz="4" w:space="0"/>
              <w:right w:val="single" w:color="auto" w:sz="4" w:space="0"/>
            </w:tcBorders>
            <w:vAlign w:val="center"/>
          </w:tcPr>
          <w:p w14:paraId="7E2C2B2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Cs w:val="21"/>
              </w:rPr>
            </w:pPr>
            <w:r>
              <w:rPr>
                <w:rFonts w:hint="eastAsia" w:ascii="宋体" w:hAnsi="宋体" w:eastAsia="宋体" w:cs="宋体"/>
                <w:b/>
                <w:bCs/>
                <w:szCs w:val="21"/>
              </w:rPr>
              <w:t>分值</w:t>
            </w:r>
          </w:p>
        </w:tc>
        <w:tc>
          <w:tcPr>
            <w:tcW w:w="6688" w:type="dxa"/>
            <w:tcBorders>
              <w:top w:val="single" w:color="auto" w:sz="4" w:space="0"/>
              <w:left w:val="single" w:color="auto" w:sz="4" w:space="0"/>
              <w:bottom w:val="single" w:color="auto" w:sz="4" w:space="0"/>
              <w:right w:val="single" w:color="auto" w:sz="4" w:space="0"/>
            </w:tcBorders>
            <w:vAlign w:val="center"/>
          </w:tcPr>
          <w:p w14:paraId="0F3745A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Cs w:val="21"/>
              </w:rPr>
            </w:pPr>
            <w:r>
              <w:rPr>
                <w:rFonts w:hint="eastAsia" w:ascii="宋体" w:hAnsi="宋体" w:eastAsia="宋体" w:cs="宋体"/>
                <w:b/>
                <w:bCs/>
                <w:szCs w:val="21"/>
              </w:rPr>
              <w:t>评分标准</w:t>
            </w:r>
          </w:p>
        </w:tc>
      </w:tr>
      <w:tr w14:paraId="264E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2037" w:type="dxa"/>
            <w:gridSpan w:val="2"/>
            <w:tcBorders>
              <w:top w:val="single" w:color="auto" w:sz="4" w:space="0"/>
              <w:left w:val="single" w:color="auto" w:sz="4" w:space="0"/>
              <w:bottom w:val="single" w:color="auto" w:sz="4" w:space="0"/>
              <w:right w:val="single" w:color="auto" w:sz="4" w:space="0"/>
            </w:tcBorders>
            <w:vAlign w:val="center"/>
          </w:tcPr>
          <w:p w14:paraId="55DF5730">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w:t>
            </w:r>
          </w:p>
          <w:p w14:paraId="6D5C1AB2">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100</w:t>
            </w:r>
            <w:r>
              <w:rPr>
                <w:rFonts w:hint="eastAsia" w:ascii="宋体" w:hAnsi="宋体" w:eastAsia="宋体" w:cs="宋体"/>
                <w:sz w:val="21"/>
                <w:szCs w:val="21"/>
                <w:lang w:val="en-US" w:eastAsia="zh-CN"/>
              </w:rPr>
              <w:t>分）</w:t>
            </w:r>
          </w:p>
        </w:tc>
        <w:tc>
          <w:tcPr>
            <w:tcW w:w="721" w:type="dxa"/>
            <w:tcBorders>
              <w:top w:val="single" w:color="auto" w:sz="4" w:space="0"/>
              <w:left w:val="single" w:color="auto" w:sz="4" w:space="0"/>
              <w:bottom w:val="single" w:color="auto" w:sz="4" w:space="0"/>
              <w:right w:val="single" w:color="auto" w:sz="4" w:space="0"/>
            </w:tcBorders>
            <w:vAlign w:val="center"/>
          </w:tcPr>
          <w:p w14:paraId="7675604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sz w:val="21"/>
                <w:szCs w:val="21"/>
                <w:lang w:val="en-US" w:eastAsia="zh-CN"/>
              </w:rPr>
            </w:pPr>
            <w:r>
              <w:rPr>
                <w:rFonts w:hint="eastAsia" w:ascii="宋体" w:hAnsi="宋体" w:cs="宋体"/>
                <w:sz w:val="21"/>
                <w:szCs w:val="21"/>
                <w:lang w:val="en-US" w:eastAsia="zh-CN"/>
              </w:rPr>
              <w:t>100</w:t>
            </w:r>
          </w:p>
        </w:tc>
        <w:tc>
          <w:tcPr>
            <w:tcW w:w="6688" w:type="dxa"/>
            <w:tcBorders>
              <w:top w:val="single" w:color="auto" w:sz="4" w:space="0"/>
              <w:left w:val="single" w:color="auto" w:sz="4" w:space="0"/>
              <w:bottom w:val="single" w:color="auto" w:sz="4" w:space="0"/>
              <w:right w:val="single" w:color="auto" w:sz="4" w:space="0"/>
            </w:tcBorders>
            <w:vAlign w:val="center"/>
          </w:tcPr>
          <w:p w14:paraId="7BD3CEF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满足磋商文件要求且最后报价最低的供应商的价</w:t>
            </w:r>
            <w:r>
              <w:rPr>
                <w:rFonts w:hint="eastAsia" w:ascii="宋体" w:hAnsi="宋体" w:eastAsia="宋体" w:cs="宋体"/>
                <w:color w:val="auto"/>
                <w:sz w:val="21"/>
                <w:szCs w:val="21"/>
              </w:rPr>
              <w:t>格为磋商基准价，</w:t>
            </w:r>
            <w:r>
              <w:rPr>
                <w:rFonts w:hint="eastAsia" w:ascii="宋体" w:hAnsi="宋体" w:eastAsia="宋体" w:cs="宋体"/>
                <w:color w:val="000000" w:themeColor="text1"/>
                <w:sz w:val="21"/>
                <w:szCs w:val="21"/>
                <w14:textFill>
                  <w14:solidFill>
                    <w14:schemeClr w14:val="tx1"/>
                  </w14:solidFill>
                </w14:textFill>
              </w:rPr>
              <w:t>其价格得分计</w:t>
            </w:r>
            <w:r>
              <w:rPr>
                <w:rFonts w:hint="eastAsia" w:ascii="宋体" w:hAnsi="宋体" w:cs="宋体"/>
                <w:color w:val="000000" w:themeColor="text1"/>
                <w:sz w:val="21"/>
                <w:szCs w:val="21"/>
                <w:lang w:val="en-US" w:eastAsia="zh-CN"/>
                <w14:textFill>
                  <w14:solidFill>
                    <w14:schemeClr w14:val="tx1"/>
                  </w14:solidFill>
                </w14:textFill>
              </w:rPr>
              <w:t>100</w:t>
            </w:r>
            <w:r>
              <w:rPr>
                <w:rFonts w:hint="eastAsia" w:ascii="宋体" w:hAnsi="宋体" w:eastAsia="宋体" w:cs="宋体"/>
                <w:color w:val="000000" w:themeColor="text1"/>
                <w:sz w:val="21"/>
                <w:szCs w:val="21"/>
                <w14:textFill>
                  <w14:solidFill>
                    <w14:schemeClr w14:val="tx1"/>
                  </w14:solidFill>
                </w14:textFill>
              </w:rPr>
              <w:t>分。其他</w:t>
            </w:r>
            <w:r>
              <w:rPr>
                <w:rFonts w:hint="eastAsia" w:ascii="宋体" w:hAnsi="宋体" w:eastAsia="宋体" w:cs="宋体"/>
                <w:color w:val="000000" w:themeColor="text1"/>
                <w:sz w:val="21"/>
                <w:szCs w:val="21"/>
                <w:lang w:eastAsia="zh-CN"/>
                <w14:textFill>
                  <w14:solidFill>
                    <w14:schemeClr w14:val="tx1"/>
                  </w14:solidFill>
                </w14:textFill>
              </w:rPr>
              <w:t>供应商的价格得分统一按公式计算：报价得分＝评标基准价÷投标报价×</w:t>
            </w:r>
            <w:r>
              <w:rPr>
                <w:rFonts w:hint="eastAsia" w:ascii="宋体" w:hAnsi="宋体" w:cs="宋体"/>
                <w:color w:val="000000" w:themeColor="text1"/>
                <w:sz w:val="21"/>
                <w:szCs w:val="21"/>
                <w:lang w:val="en-US" w:eastAsia="zh-CN"/>
                <w14:textFill>
                  <w14:solidFill>
                    <w14:schemeClr w14:val="tx1"/>
                  </w14:solidFill>
                </w14:textFill>
              </w:rPr>
              <w:t>100%</w:t>
            </w:r>
            <w:r>
              <w:rPr>
                <w:rFonts w:hint="eastAsia" w:ascii="宋体" w:hAnsi="宋体" w:eastAsia="宋体" w:cs="宋体"/>
                <w:color w:val="000000" w:themeColor="text1"/>
                <w:sz w:val="21"/>
                <w:szCs w:val="21"/>
                <w14:textFill>
                  <w14:solidFill>
                    <w14:schemeClr w14:val="tx1"/>
                  </w14:solidFill>
                </w14:textFill>
              </w:rPr>
              <w:t>。</w:t>
            </w:r>
          </w:p>
          <w:p w14:paraId="50390899">
            <w:pPr>
              <w:adjustRightInd w:val="0"/>
              <w:snapToGrid w:val="0"/>
              <w:spacing w:line="240" w:lineRule="auto"/>
              <w:rPr>
                <w:rFonts w:hint="eastAsia" w:ascii="Times New Roman" w:hAnsi="Times New Roman" w:eastAsia="宋体" w:cs="Times New Roman"/>
                <w:lang w:eastAsia="zh-CN"/>
              </w:rPr>
            </w:pPr>
            <w:r>
              <w:rPr>
                <w:rFonts w:hint="eastAsia" w:ascii="宋体" w:hAnsi="宋体" w:cs="宋体"/>
                <w:color w:val="000000" w:themeColor="text1"/>
                <w:sz w:val="21"/>
                <w:szCs w:val="21"/>
                <w:lang w:val="en-US" w:eastAsia="zh-CN"/>
                <w14:textFill>
                  <w14:solidFill>
                    <w14:schemeClr w14:val="tx1"/>
                  </w14:solidFill>
                </w14:textFill>
              </w:rPr>
              <w:t>说明：</w:t>
            </w:r>
            <w:r>
              <w:rPr>
                <w:rFonts w:hint="eastAsia" w:ascii="Times New Roman" w:hAnsi="Times New Roman" w:eastAsia="宋体" w:cs="Times New Roman"/>
              </w:rPr>
              <w:t>政府采购评审中出现下列情形之一的，评审委员会应当启动异常低价投标(响应)审查程序</w:t>
            </w:r>
            <w:r>
              <w:rPr>
                <w:rFonts w:hint="eastAsia" w:eastAsia="宋体" w:cs="Times New Roman"/>
                <w:lang w:eastAsia="zh-CN"/>
              </w:rPr>
              <w:t>：</w:t>
            </w:r>
          </w:p>
          <w:p w14:paraId="4F720871">
            <w:pPr>
              <w:numPr>
                <w:ilvl w:val="0"/>
                <w:numId w:val="3"/>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投标(响应)报价低于全部通过符合性审查供应商投示(响应)报价平均值</w:t>
            </w:r>
            <w:r>
              <w:rPr>
                <w:rFonts w:hint="eastAsia" w:ascii="Times New Roman" w:hAnsi="Times New Roman" w:eastAsia="宋体" w:cs="Times New Roman"/>
                <w:color w:val="0000FF"/>
              </w:rPr>
              <w:t>65%</w:t>
            </w:r>
            <w:r>
              <w:rPr>
                <w:rFonts w:hint="eastAsia" w:ascii="Times New Roman" w:hAnsi="Times New Roman" w:eastAsia="宋体" w:cs="Times New Roman"/>
              </w:rPr>
              <w:t>的，即投标(响应)报价&lt;全部通过符合性审查供应商投标(响应)报价平均值</w:t>
            </w:r>
            <w:r>
              <w:rPr>
                <w:rFonts w:hint="eastAsia" w:eastAsia="宋体" w:cs="Times New Roman"/>
                <w:lang w:val="en-US" w:eastAsia="zh-CN"/>
              </w:rPr>
              <w:t>*</w:t>
            </w:r>
            <w:r>
              <w:rPr>
                <w:rFonts w:hint="eastAsia" w:eastAsia="宋体" w:cs="Times New Roman"/>
                <w:color w:val="0000FF"/>
                <w:lang w:val="en-US" w:eastAsia="zh-CN"/>
              </w:rPr>
              <w:t>6</w:t>
            </w:r>
            <w:r>
              <w:rPr>
                <w:rFonts w:hint="eastAsia" w:ascii="Times New Roman" w:hAnsi="Times New Roman" w:eastAsia="宋体" w:cs="Times New Roman"/>
                <w:color w:val="0000FF"/>
              </w:rPr>
              <w:t>5%</w:t>
            </w:r>
            <w:r>
              <w:rPr>
                <w:rFonts w:hint="eastAsia" w:eastAsia="宋体" w:cs="Times New Roman"/>
                <w:lang w:eastAsia="zh-CN"/>
              </w:rPr>
              <w:t>；</w:t>
            </w:r>
          </w:p>
          <w:p w14:paraId="29D86039">
            <w:pPr>
              <w:numPr>
                <w:ilvl w:val="0"/>
                <w:numId w:val="0"/>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2.投标(响应)报价低于通过符合性审查的次低报价供应商投标(响应)报价</w:t>
            </w:r>
            <w:r>
              <w:rPr>
                <w:rFonts w:hint="eastAsia" w:eastAsia="宋体" w:cs="Times New Roman"/>
                <w:color w:val="0000FF"/>
                <w:lang w:val="en-US" w:eastAsia="zh-CN"/>
              </w:rPr>
              <w:t>65%</w:t>
            </w:r>
            <w:r>
              <w:rPr>
                <w:rFonts w:hint="eastAsia" w:eastAsia="宋体" w:cs="Times New Roman"/>
                <w:color w:val="auto"/>
                <w:lang w:val="en-US" w:eastAsia="zh-CN"/>
              </w:rPr>
              <w:t>的</w:t>
            </w:r>
            <w:r>
              <w:rPr>
                <w:rFonts w:hint="eastAsia" w:ascii="Times New Roman" w:hAnsi="Times New Roman" w:eastAsia="宋体" w:cs="Times New Roman"/>
              </w:rPr>
              <w:t>，即投标(响应)报价&lt;通过符合性审查的次低报价供应商投标(响应)报价</w:t>
            </w:r>
            <w:r>
              <w:rPr>
                <w:rFonts w:hint="eastAsia" w:eastAsia="宋体" w:cs="Times New Roman"/>
                <w:lang w:val="en-US" w:eastAsia="zh-CN"/>
              </w:rPr>
              <w:t>*</w:t>
            </w:r>
            <w:r>
              <w:rPr>
                <w:rFonts w:hint="eastAsia" w:eastAsia="宋体" w:cs="Times New Roman"/>
                <w:color w:val="0000FF"/>
                <w:lang w:val="en-US" w:eastAsia="zh-CN"/>
              </w:rPr>
              <w:t>6</w:t>
            </w:r>
            <w:r>
              <w:rPr>
                <w:rFonts w:hint="eastAsia" w:ascii="Times New Roman" w:hAnsi="Times New Roman" w:eastAsia="宋体" w:cs="Times New Roman"/>
                <w:color w:val="0000FF"/>
              </w:rPr>
              <w:t>5%</w:t>
            </w:r>
            <w:r>
              <w:rPr>
                <w:rFonts w:hint="eastAsia" w:eastAsia="宋体" w:cs="Times New Roman"/>
                <w:lang w:eastAsia="zh-CN"/>
              </w:rPr>
              <w:t>；</w:t>
            </w:r>
          </w:p>
          <w:p w14:paraId="3FFB4CEF">
            <w:pPr>
              <w:numPr>
                <w:ilvl w:val="0"/>
                <w:numId w:val="0"/>
              </w:num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3.投标(响应)报价低于采购项目最高限价</w:t>
            </w:r>
            <w:r>
              <w:rPr>
                <w:rFonts w:hint="eastAsia" w:ascii="Times New Roman" w:hAnsi="Times New Roman" w:eastAsia="宋体" w:cs="Times New Roman"/>
                <w:color w:val="0000FF"/>
              </w:rPr>
              <w:t>65%</w:t>
            </w:r>
            <w:r>
              <w:rPr>
                <w:rFonts w:hint="eastAsia" w:ascii="Times New Roman" w:hAnsi="Times New Roman" w:eastAsia="宋体" w:cs="Times New Roman"/>
              </w:rPr>
              <w:t>的即投标(响应)报价&lt;采购项目最高限价</w:t>
            </w:r>
            <w:r>
              <w:rPr>
                <w:rFonts w:hint="eastAsia" w:eastAsia="宋体" w:cs="Times New Roman"/>
                <w:lang w:val="en-US" w:eastAsia="zh-CN"/>
              </w:rPr>
              <w:t>*</w:t>
            </w:r>
            <w:r>
              <w:rPr>
                <w:rFonts w:hint="eastAsia" w:ascii="Times New Roman" w:hAnsi="Times New Roman" w:eastAsia="宋体" w:cs="Times New Roman"/>
                <w:color w:val="0000FF"/>
              </w:rPr>
              <w:t>65%</w:t>
            </w:r>
            <w:r>
              <w:rPr>
                <w:rFonts w:hint="eastAsia" w:eastAsia="宋体" w:cs="Times New Roman"/>
                <w:lang w:eastAsia="zh-CN"/>
              </w:rPr>
              <w:t>；</w:t>
            </w:r>
          </w:p>
          <w:p w14:paraId="16EE6C02">
            <w:pPr>
              <w:numPr>
                <w:ilvl w:val="0"/>
                <w:numId w:val="0"/>
              </w:numPr>
              <w:adjustRightInd w:val="0"/>
              <w:snapToGrid w:val="0"/>
              <w:spacing w:line="240" w:lineRule="auto"/>
              <w:ind w:left="0" w:leftChars="0" w:firstLine="0" w:firstLineChars="0"/>
              <w:rPr>
                <w:rFonts w:hint="eastAsia" w:ascii="Times New Roman" w:hAnsi="Times New Roman" w:eastAsia="宋体" w:cs="Times New Roman"/>
              </w:rPr>
            </w:pPr>
            <w:r>
              <w:rPr>
                <w:rFonts w:hint="eastAsia" w:eastAsia="宋体" w:cs="Times New Roman"/>
                <w:lang w:val="en-US" w:eastAsia="zh-CN"/>
              </w:rPr>
              <w:t>4.</w:t>
            </w:r>
            <w:r>
              <w:rPr>
                <w:rFonts w:hint="eastAsia" w:ascii="Times New Roman" w:hAnsi="Times New Roman" w:eastAsia="宋体" w:cs="Times New Roman"/>
              </w:rPr>
              <w:t>评宙委员会基于专业判断，认为供应商报价过低，有可能影响产品质量或者不能诚信履约的其他情形</w:t>
            </w:r>
          </w:p>
          <w:p w14:paraId="4AEDD560">
            <w:pPr>
              <w:numPr>
                <w:ilvl w:val="0"/>
                <w:numId w:val="0"/>
              </w:numPr>
              <w:adjustRightInd w:val="0"/>
              <w:snapToGrid w:val="0"/>
              <w:spacing w:line="240" w:lineRule="auto"/>
              <w:ind w:left="0" w:leftChars="0"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相关法律法规对供应商报价有规定的，从其规定。</w:t>
            </w:r>
          </w:p>
          <w:p w14:paraId="31A9146E">
            <w:pPr>
              <w:numPr>
                <w:ilvl w:val="0"/>
                <w:numId w:val="0"/>
              </w:numPr>
              <w:adjustRightInd w:val="0"/>
              <w:snapToGrid w:val="0"/>
              <w:spacing w:line="240" w:lineRule="auto"/>
              <w:ind w:left="0" w:leftChars="0"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018B9640">
            <w:pPr>
              <w:numPr>
                <w:ilvl w:val="0"/>
                <w:numId w:val="0"/>
              </w:numPr>
              <w:adjustRightInd w:val="0"/>
              <w:snapToGrid w:val="0"/>
              <w:spacing w:line="240" w:lineRule="auto"/>
              <w:ind w:left="0" w:leftChars="0" w:firstLine="0" w:firstLineChars="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tc>
      </w:tr>
      <w:tr w14:paraId="412A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614" w:type="dxa"/>
            <w:vMerge w:val="restart"/>
            <w:tcBorders>
              <w:left w:val="single" w:color="auto" w:sz="4" w:space="0"/>
              <w:right w:val="single" w:color="auto" w:sz="4" w:space="0"/>
            </w:tcBorders>
            <w:textDirection w:val="tbLrV"/>
            <w:vAlign w:val="center"/>
          </w:tcPr>
          <w:p w14:paraId="38B1B925">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技术部</w:t>
            </w:r>
            <w:r>
              <w:rPr>
                <w:rFonts w:hint="eastAsia" w:ascii="宋体" w:hAnsi="宋体" w:cs="宋体"/>
                <w:sz w:val="21"/>
                <w:szCs w:val="21"/>
                <w:lang w:val="en-US" w:eastAsia="zh-CN"/>
              </w:rPr>
              <w:t>分</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100</w:t>
            </w:r>
            <w:r>
              <w:rPr>
                <w:rFonts w:hint="eastAsia" w:ascii="宋体" w:hAnsi="宋体" w:eastAsia="宋体" w:cs="宋体"/>
                <w:sz w:val="21"/>
                <w:szCs w:val="21"/>
                <w:lang w:val="en-US" w:eastAsia="zh-CN"/>
              </w:rPr>
              <w:t>分）</w:t>
            </w:r>
          </w:p>
        </w:tc>
        <w:tc>
          <w:tcPr>
            <w:tcW w:w="1423" w:type="dxa"/>
            <w:tcBorders>
              <w:top w:val="single" w:color="auto" w:sz="4" w:space="0"/>
              <w:left w:val="single" w:color="auto" w:sz="4" w:space="0"/>
              <w:bottom w:val="single" w:color="auto" w:sz="4" w:space="0"/>
              <w:right w:val="single" w:color="auto" w:sz="4" w:space="0"/>
            </w:tcBorders>
            <w:vAlign w:val="center"/>
          </w:tcPr>
          <w:p w14:paraId="0CD9F3D6">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项目整体服务实施方案</w:t>
            </w:r>
          </w:p>
        </w:tc>
        <w:tc>
          <w:tcPr>
            <w:tcW w:w="721" w:type="dxa"/>
            <w:tcBorders>
              <w:top w:val="single" w:color="auto" w:sz="4" w:space="0"/>
              <w:left w:val="single" w:color="auto" w:sz="4" w:space="0"/>
              <w:bottom w:val="single" w:color="auto" w:sz="4" w:space="0"/>
              <w:right w:val="single" w:color="auto" w:sz="4" w:space="0"/>
            </w:tcBorders>
            <w:vAlign w:val="center"/>
          </w:tcPr>
          <w:p w14:paraId="6D22FD2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sz w:val="21"/>
                <w:szCs w:val="21"/>
                <w:lang w:val="en-US"/>
              </w:rPr>
            </w:pPr>
            <w:r>
              <w:rPr>
                <w:rFonts w:hint="eastAsia" w:ascii="宋体" w:hAnsi="宋体" w:cs="宋体"/>
                <w:sz w:val="21"/>
                <w:szCs w:val="21"/>
                <w:lang w:val="en-US" w:eastAsia="zh-CN"/>
              </w:rPr>
              <w:t>36</w:t>
            </w:r>
          </w:p>
        </w:tc>
        <w:tc>
          <w:tcPr>
            <w:tcW w:w="6688" w:type="dxa"/>
            <w:tcBorders>
              <w:top w:val="single" w:color="auto" w:sz="4" w:space="0"/>
              <w:left w:val="single" w:color="auto" w:sz="4" w:space="0"/>
              <w:bottom w:val="single" w:color="auto" w:sz="4" w:space="0"/>
              <w:right w:val="single" w:color="auto" w:sz="4" w:space="0"/>
            </w:tcBorders>
            <w:vAlign w:val="center"/>
          </w:tcPr>
          <w:p w14:paraId="33174C9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投标人需根据采购需求提供针对本项目的项目实施方案，方案应包括但不限于：（1）代建管理目标、范围和内容，表述符合招标文件要求。（2）投资控制，代建项目全过程投资控制内容完整、措施合理、符合项目实际情况。（3）质量控制，质量控制各个关键环节完整，措施科学合理，符合实际。（4）进度控制，三级进度计划设置合理科学，进度计划各环节控制措施合理。每项</w:t>
            </w:r>
            <w:r>
              <w:rPr>
                <w:rFonts w:hint="eastAsia" w:ascii="宋体" w:hAnsi="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z w:val="21"/>
                <w:szCs w:val="21"/>
                <w:lang w:val="en-US" w:eastAsia="zh-CN"/>
                <w14:textFill>
                  <w14:solidFill>
                    <w14:schemeClr w14:val="tx1"/>
                  </w14:solidFill>
                </w14:textFill>
              </w:rPr>
              <w:t>分，满分</w:t>
            </w:r>
            <w:r>
              <w:rPr>
                <w:rFonts w:hint="eastAsia" w:ascii="宋体" w:hAnsi="宋体" w:cs="宋体"/>
                <w:color w:val="000000" w:themeColor="text1"/>
                <w:sz w:val="21"/>
                <w:szCs w:val="21"/>
                <w:lang w:val="en-US" w:eastAsia="zh-CN"/>
                <w14:textFill>
                  <w14:solidFill>
                    <w14:schemeClr w14:val="tx1"/>
                  </w14:solidFill>
                </w14:textFill>
              </w:rPr>
              <w:t>36</w:t>
            </w:r>
            <w:r>
              <w:rPr>
                <w:rFonts w:hint="eastAsia" w:ascii="宋体" w:hAnsi="宋体" w:eastAsia="宋体" w:cs="宋体"/>
                <w:color w:val="000000" w:themeColor="text1"/>
                <w:sz w:val="21"/>
                <w:szCs w:val="21"/>
                <w:lang w:val="en-US" w:eastAsia="zh-CN"/>
                <w14:textFill>
                  <w14:solidFill>
                    <w14:schemeClr w14:val="tx1"/>
                  </w14:solidFill>
                </w14:textFill>
              </w:rPr>
              <w:t>分。 上述内容: 有不完善、不清晰、不合理、或者不满足采购需求的每处扣</w:t>
            </w:r>
            <w:r>
              <w:rPr>
                <w:rFonts w:hint="eastAsia" w:ascii="宋体" w:hAnsi="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lang w:val="en-US" w:eastAsia="zh-CN"/>
                <w14:textFill>
                  <w14:solidFill>
                    <w14:schemeClr w14:val="tx1"/>
                  </w14:solidFill>
                </w14:textFill>
              </w:rPr>
              <w:t>分，缺漏项的扣</w:t>
            </w:r>
            <w:r>
              <w:rPr>
                <w:rFonts w:hint="eastAsia" w:ascii="宋体" w:hAnsi="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z w:val="21"/>
                <w:szCs w:val="21"/>
                <w:lang w:val="en-US" w:eastAsia="zh-CN"/>
                <w14:textFill>
                  <w14:solidFill>
                    <w14:schemeClr w14:val="tx1"/>
                  </w14:solidFill>
                </w14:textFill>
              </w:rPr>
              <w:t>分；未提供的不计分。</w:t>
            </w:r>
          </w:p>
        </w:tc>
      </w:tr>
      <w:tr w14:paraId="70A6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614" w:type="dxa"/>
            <w:vMerge w:val="continue"/>
            <w:tcBorders>
              <w:left w:val="single" w:color="auto" w:sz="4" w:space="0"/>
              <w:right w:val="single" w:color="auto" w:sz="4" w:space="0"/>
            </w:tcBorders>
            <w:vAlign w:val="center"/>
          </w:tcPr>
          <w:p w14:paraId="54169AD0">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sz w:val="21"/>
                <w:szCs w:val="21"/>
                <w:lang w:val="en-US" w:eastAsia="zh-CN"/>
              </w:rPr>
            </w:pPr>
          </w:p>
        </w:tc>
        <w:tc>
          <w:tcPr>
            <w:tcW w:w="1423" w:type="dxa"/>
            <w:tcBorders>
              <w:top w:val="single" w:color="auto" w:sz="4" w:space="0"/>
              <w:left w:val="single" w:color="auto" w:sz="4" w:space="0"/>
              <w:bottom w:val="single" w:color="auto" w:sz="4" w:space="0"/>
              <w:right w:val="single" w:color="auto" w:sz="4" w:space="0"/>
            </w:tcBorders>
            <w:vAlign w:val="center"/>
          </w:tcPr>
          <w:p w14:paraId="340519E5">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000000"/>
                <w:kern w:val="0"/>
                <w:szCs w:val="21"/>
              </w:rPr>
            </w:pPr>
            <w:r>
              <w:rPr>
                <w:rFonts w:hint="eastAsia" w:ascii="宋体" w:hAnsi="宋体" w:eastAsia="宋体" w:cs="宋体"/>
                <w:color w:val="000000"/>
                <w:kern w:val="0"/>
                <w:szCs w:val="21"/>
              </w:rPr>
              <w:t>安全、环境保护</w:t>
            </w:r>
          </w:p>
          <w:p w14:paraId="0D560204">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000000"/>
                <w:kern w:val="0"/>
                <w:szCs w:val="21"/>
              </w:rPr>
            </w:pPr>
            <w:r>
              <w:rPr>
                <w:rFonts w:hint="eastAsia" w:ascii="宋体" w:hAnsi="宋体" w:eastAsia="宋体" w:cs="宋体"/>
                <w:color w:val="000000"/>
                <w:kern w:val="0"/>
                <w:szCs w:val="21"/>
              </w:rPr>
              <w:t>与职业健康管理方案</w:t>
            </w:r>
          </w:p>
        </w:tc>
        <w:tc>
          <w:tcPr>
            <w:tcW w:w="721" w:type="dxa"/>
            <w:tcBorders>
              <w:top w:val="single" w:color="auto" w:sz="4" w:space="0"/>
              <w:left w:val="single" w:color="auto" w:sz="4" w:space="0"/>
              <w:bottom w:val="single" w:color="auto" w:sz="4" w:space="0"/>
              <w:right w:val="single" w:color="auto" w:sz="4" w:space="0"/>
            </w:tcBorders>
            <w:vAlign w:val="center"/>
          </w:tcPr>
          <w:p w14:paraId="77EB98F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000000"/>
                <w:szCs w:val="21"/>
                <w:lang w:val="en-US" w:eastAsia="zh-CN"/>
              </w:rPr>
            </w:pPr>
            <w:r>
              <w:rPr>
                <w:rFonts w:hint="eastAsia" w:ascii="宋体" w:hAnsi="宋体" w:cs="宋体"/>
                <w:kern w:val="2"/>
                <w:sz w:val="21"/>
                <w:szCs w:val="21"/>
                <w:lang w:val="en-US" w:eastAsia="zh-CN" w:bidi="ar-SA"/>
              </w:rPr>
              <w:t>20</w:t>
            </w:r>
          </w:p>
        </w:tc>
        <w:tc>
          <w:tcPr>
            <w:tcW w:w="6688" w:type="dxa"/>
            <w:tcBorders>
              <w:top w:val="single" w:color="auto" w:sz="4" w:space="0"/>
              <w:left w:val="single" w:color="auto" w:sz="4" w:space="0"/>
              <w:bottom w:val="single" w:color="auto" w:sz="4" w:space="0"/>
              <w:right w:val="single" w:color="auto" w:sz="4" w:space="0"/>
            </w:tcBorders>
            <w:vAlign w:val="center"/>
          </w:tcPr>
          <w:p w14:paraId="6E73663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投标人需根据采购需求提供针对本项目的项目安全、环境保护与职业健康管理方案，方案应包括但不限于：（1）安全生产监督与管理措施合理科学（2）环境保护管理措施合理（3）职业健康监督管理措施合理（4）对环境保护管理与职业健康管理提出有针对性的措施。每项</w:t>
            </w:r>
            <w:r>
              <w:rPr>
                <w:rFonts w:hint="eastAsia" w:ascii="宋体" w:hAnsi="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lang w:val="en-US" w:eastAsia="zh-CN"/>
                <w14:textFill>
                  <w14:solidFill>
                    <w14:schemeClr w14:val="tx1"/>
                  </w14:solidFill>
                </w14:textFill>
              </w:rPr>
              <w:t>分，满分</w:t>
            </w:r>
            <w:r>
              <w:rPr>
                <w:rFonts w:hint="eastAsia" w:ascii="宋体" w:hAnsi="宋体" w:cs="宋体"/>
                <w:color w:val="000000" w:themeColor="text1"/>
                <w:sz w:val="21"/>
                <w:szCs w:val="21"/>
                <w:lang w:val="en-US" w:eastAsia="zh-CN"/>
                <w14:textFill>
                  <w14:solidFill>
                    <w14:schemeClr w14:val="tx1"/>
                  </w14:solidFill>
                </w14:textFill>
              </w:rPr>
              <w:t>20</w:t>
            </w:r>
            <w:r>
              <w:rPr>
                <w:rFonts w:hint="eastAsia" w:ascii="宋体" w:hAnsi="宋体" w:eastAsia="宋体" w:cs="宋体"/>
                <w:color w:val="000000" w:themeColor="text1"/>
                <w:sz w:val="21"/>
                <w:szCs w:val="21"/>
                <w:lang w:val="en-US" w:eastAsia="zh-CN"/>
                <w14:textFill>
                  <w14:solidFill>
                    <w14:schemeClr w14:val="tx1"/>
                  </w14:solidFill>
                </w14:textFill>
              </w:rPr>
              <w:t>分。 上述内容:有不完善、不清晰、不合理、或者不满足采购需求的每处扣</w:t>
            </w:r>
            <w:r>
              <w:rPr>
                <w:rFonts w:hint="eastAsia" w:ascii="宋体" w:hAnsi="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lang w:val="en-US" w:eastAsia="zh-CN"/>
                <w14:textFill>
                  <w14:solidFill>
                    <w14:schemeClr w14:val="tx1"/>
                  </w14:solidFill>
                </w14:textFill>
              </w:rPr>
              <w:t>分，缺漏项的扣</w:t>
            </w:r>
            <w:r>
              <w:rPr>
                <w:rFonts w:hint="eastAsia" w:ascii="宋体" w:hAnsi="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lang w:val="en-US" w:eastAsia="zh-CN"/>
                <w14:textFill>
                  <w14:solidFill>
                    <w14:schemeClr w14:val="tx1"/>
                  </w14:solidFill>
                </w14:textFill>
              </w:rPr>
              <w:t>分；未提供的不计分。</w:t>
            </w:r>
          </w:p>
        </w:tc>
      </w:tr>
      <w:tr w14:paraId="2860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614" w:type="dxa"/>
            <w:vMerge w:val="continue"/>
            <w:tcBorders>
              <w:left w:val="single" w:color="auto" w:sz="4" w:space="0"/>
              <w:right w:val="single" w:color="auto" w:sz="4" w:space="0"/>
            </w:tcBorders>
            <w:vAlign w:val="center"/>
          </w:tcPr>
          <w:p w14:paraId="38BC1EFD">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sz w:val="21"/>
                <w:szCs w:val="21"/>
                <w:lang w:val="en-US" w:eastAsia="zh-CN"/>
              </w:rPr>
            </w:pPr>
          </w:p>
        </w:tc>
        <w:tc>
          <w:tcPr>
            <w:tcW w:w="1423" w:type="dxa"/>
            <w:tcBorders>
              <w:top w:val="single" w:color="auto" w:sz="4" w:space="0"/>
              <w:left w:val="single" w:color="auto" w:sz="4" w:space="0"/>
              <w:bottom w:val="single" w:color="auto" w:sz="4" w:space="0"/>
              <w:right w:val="single" w:color="auto" w:sz="4" w:space="0"/>
            </w:tcBorders>
            <w:vAlign w:val="center"/>
          </w:tcPr>
          <w:p w14:paraId="0D9877F6">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项目管理方案</w:t>
            </w:r>
          </w:p>
        </w:tc>
        <w:tc>
          <w:tcPr>
            <w:tcW w:w="721" w:type="dxa"/>
            <w:tcBorders>
              <w:top w:val="single" w:color="auto" w:sz="4" w:space="0"/>
              <w:left w:val="single" w:color="auto" w:sz="4" w:space="0"/>
              <w:bottom w:val="single" w:color="auto" w:sz="4" w:space="0"/>
              <w:right w:val="single" w:color="auto" w:sz="4" w:space="0"/>
            </w:tcBorders>
            <w:vAlign w:val="center"/>
          </w:tcPr>
          <w:p w14:paraId="78430C4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sz w:val="21"/>
                <w:szCs w:val="21"/>
                <w:lang w:val="en-US"/>
              </w:rPr>
            </w:pPr>
            <w:r>
              <w:rPr>
                <w:rFonts w:hint="eastAsia" w:ascii="宋体" w:hAnsi="宋体" w:cs="宋体"/>
                <w:color w:val="auto"/>
                <w:sz w:val="21"/>
                <w:szCs w:val="21"/>
                <w:lang w:val="en-US" w:eastAsia="zh-CN"/>
              </w:rPr>
              <w:t>30</w:t>
            </w:r>
          </w:p>
        </w:tc>
        <w:tc>
          <w:tcPr>
            <w:tcW w:w="6688" w:type="dxa"/>
            <w:tcBorders>
              <w:top w:val="single" w:color="auto" w:sz="4" w:space="0"/>
              <w:left w:val="single" w:color="auto" w:sz="4" w:space="0"/>
              <w:bottom w:val="single" w:color="auto" w:sz="4" w:space="0"/>
              <w:right w:val="single" w:color="auto" w:sz="4" w:space="0"/>
            </w:tcBorders>
            <w:vAlign w:val="center"/>
          </w:tcPr>
          <w:p w14:paraId="3E15E11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投标人需根据采购需求提供针对本项目的项目管理方案，方案应包括但不限于：（1）项目前期管理，前期管理各阶段申报流程齐全、措施合理。（2）招标管理，招标事项、方式及标段设置合理，各标段招标方案基本内容完整，符合现行法律法规和政策规定。（3）合同管理，代建项目勘察、设计、施工、设备及材料采购等各阶段合同管理目标设置完整，签约、履约和变更的控制措施合理、符合实际。（4）风险管理，项目前期、勘察、设计、施工、设备及材料采购各阶段风险防范计划合理，应对措施设置明确，保证措施完善合理。（5）信息管理与沟通协调，方案合理、符合实际；各环节资料、信息管理措施合理科学。每项</w:t>
            </w:r>
            <w:r>
              <w:rPr>
                <w:rFonts w:hint="eastAsia" w:ascii="宋体" w:hAnsi="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lang w:val="en-US" w:eastAsia="zh-CN"/>
                <w14:textFill>
                  <w14:solidFill>
                    <w14:schemeClr w14:val="tx1"/>
                  </w14:solidFill>
                </w14:textFill>
              </w:rPr>
              <w:t>分，满分</w:t>
            </w:r>
            <w:r>
              <w:rPr>
                <w:rFonts w:hint="eastAsia" w:ascii="宋体" w:hAnsi="宋体" w:cs="宋体"/>
                <w:color w:val="000000" w:themeColor="text1"/>
                <w:sz w:val="21"/>
                <w:szCs w:val="21"/>
                <w:lang w:val="en-US" w:eastAsia="zh-CN"/>
                <w14:textFill>
                  <w14:solidFill>
                    <w14:schemeClr w14:val="tx1"/>
                  </w14:solidFill>
                </w14:textFill>
              </w:rPr>
              <w:t>30</w:t>
            </w:r>
            <w:r>
              <w:rPr>
                <w:rFonts w:hint="eastAsia" w:ascii="宋体" w:hAnsi="宋体" w:eastAsia="宋体" w:cs="宋体"/>
                <w:color w:val="000000" w:themeColor="text1"/>
                <w:sz w:val="21"/>
                <w:szCs w:val="21"/>
                <w:lang w:val="en-US" w:eastAsia="zh-CN"/>
                <w14:textFill>
                  <w14:solidFill>
                    <w14:schemeClr w14:val="tx1"/>
                  </w14:solidFill>
                </w14:textFill>
              </w:rPr>
              <w:t>分。 上述内容: 有不完善、不清晰、不合理、或者不满足采购需求的每处扣</w:t>
            </w:r>
            <w:r>
              <w:rPr>
                <w:rFonts w:hint="eastAsia" w:ascii="宋体" w:hAnsi="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lang w:val="en-US" w:eastAsia="zh-CN"/>
                <w14:textFill>
                  <w14:solidFill>
                    <w14:schemeClr w14:val="tx1"/>
                  </w14:solidFill>
                </w14:textFill>
              </w:rPr>
              <w:t>分，缺漏项的扣</w:t>
            </w:r>
            <w:r>
              <w:rPr>
                <w:rFonts w:hint="eastAsia" w:ascii="宋体" w:hAnsi="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lang w:val="en-US" w:eastAsia="zh-CN"/>
                <w14:textFill>
                  <w14:solidFill>
                    <w14:schemeClr w14:val="tx1"/>
                  </w14:solidFill>
                </w14:textFill>
              </w:rPr>
              <w:t>分；未提供的不计分。</w:t>
            </w:r>
          </w:p>
        </w:tc>
      </w:tr>
      <w:tr w14:paraId="78AD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14" w:type="dxa"/>
            <w:vMerge w:val="continue"/>
            <w:tcBorders>
              <w:left w:val="single" w:color="auto" w:sz="4" w:space="0"/>
              <w:right w:val="single" w:color="auto" w:sz="4" w:space="0"/>
            </w:tcBorders>
            <w:vAlign w:val="center"/>
          </w:tcPr>
          <w:p w14:paraId="10152541">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sz w:val="21"/>
                <w:szCs w:val="21"/>
                <w:lang w:val="en-US" w:eastAsia="zh-CN"/>
              </w:rPr>
            </w:pPr>
          </w:p>
        </w:tc>
        <w:tc>
          <w:tcPr>
            <w:tcW w:w="1423" w:type="dxa"/>
            <w:tcBorders>
              <w:top w:val="single" w:color="auto" w:sz="4" w:space="0"/>
              <w:left w:val="single" w:color="auto" w:sz="4" w:space="0"/>
              <w:bottom w:val="single" w:color="auto" w:sz="4" w:space="0"/>
              <w:right w:val="single" w:color="auto" w:sz="4" w:space="0"/>
            </w:tcBorders>
            <w:vAlign w:val="center"/>
          </w:tcPr>
          <w:p w14:paraId="7DD0B1F6">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项目管理团队及合理化建议</w:t>
            </w:r>
          </w:p>
        </w:tc>
        <w:tc>
          <w:tcPr>
            <w:tcW w:w="721" w:type="dxa"/>
            <w:tcBorders>
              <w:top w:val="single" w:color="auto" w:sz="4" w:space="0"/>
              <w:left w:val="single" w:color="auto" w:sz="4" w:space="0"/>
              <w:bottom w:val="single" w:color="auto" w:sz="4" w:space="0"/>
              <w:right w:val="single" w:color="auto" w:sz="4" w:space="0"/>
            </w:tcBorders>
            <w:vAlign w:val="center"/>
          </w:tcPr>
          <w:p w14:paraId="685ED1E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sz w:val="21"/>
                <w:szCs w:val="21"/>
                <w:lang w:val="en-US"/>
              </w:rPr>
            </w:pPr>
            <w:r>
              <w:rPr>
                <w:rFonts w:hint="eastAsia" w:ascii="宋体" w:hAnsi="宋体" w:cs="宋体"/>
                <w:color w:val="auto"/>
                <w:kern w:val="2"/>
                <w:sz w:val="21"/>
                <w:szCs w:val="21"/>
                <w:lang w:val="en-US" w:eastAsia="zh-CN" w:bidi="ar-SA"/>
              </w:rPr>
              <w:t>14</w:t>
            </w:r>
          </w:p>
        </w:tc>
        <w:tc>
          <w:tcPr>
            <w:tcW w:w="6688" w:type="dxa"/>
            <w:tcBorders>
              <w:top w:val="single" w:color="auto" w:sz="4" w:space="0"/>
              <w:left w:val="single" w:color="auto" w:sz="4" w:space="0"/>
              <w:bottom w:val="single" w:color="auto" w:sz="4" w:space="0"/>
              <w:right w:val="single" w:color="auto" w:sz="4" w:space="0"/>
            </w:tcBorders>
            <w:vAlign w:val="center"/>
          </w:tcPr>
          <w:p w14:paraId="375FC02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投标人需根据采购需求提供针对本项目的合理化建议，建议应包括但不限于：</w:t>
            </w:r>
            <w:r>
              <w:rPr>
                <w:rFonts w:hint="eastAsia" w:ascii="宋体" w:hAnsi="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项目管理团队组织分工,为项目管理团队人员编制了责任分配矩阵表、且有保证团队廉洁自律的内容和具体合理措施；团队各成员职责任务分配合理，人员配备科学高效。（2）合理化建议，根据对代建项目建设实施特点、重点、难点的总体理解与分析，提出了有价值、可操作、符合项目实际的合理化建议和措施，能够有效节约投资或节约工期或提高质量；提出了在项目管理上能够运用新技术、新模式、新方法。每项</w:t>
            </w:r>
            <w:r>
              <w:rPr>
                <w:rFonts w:hint="eastAsia" w:ascii="宋体" w:hAnsi="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lang w:val="en-US" w:eastAsia="zh-CN"/>
                <w14:textFill>
                  <w14:solidFill>
                    <w14:schemeClr w14:val="tx1"/>
                  </w14:solidFill>
                </w14:textFill>
              </w:rPr>
              <w:t>分，满分</w:t>
            </w:r>
            <w:r>
              <w:rPr>
                <w:rFonts w:hint="eastAsia" w:ascii="宋体" w:hAnsi="宋体" w:cs="宋体"/>
                <w:color w:val="000000" w:themeColor="text1"/>
                <w:sz w:val="21"/>
                <w:szCs w:val="21"/>
                <w:lang w:val="en-US" w:eastAsia="zh-CN"/>
                <w14:textFill>
                  <w14:solidFill>
                    <w14:schemeClr w14:val="tx1"/>
                  </w14:solidFill>
                </w14:textFill>
              </w:rPr>
              <w:t>14</w:t>
            </w:r>
            <w:r>
              <w:rPr>
                <w:rFonts w:hint="eastAsia" w:ascii="宋体" w:hAnsi="宋体" w:eastAsia="宋体" w:cs="宋体"/>
                <w:color w:val="000000" w:themeColor="text1"/>
                <w:sz w:val="21"/>
                <w:szCs w:val="21"/>
                <w:lang w:val="en-US" w:eastAsia="zh-CN"/>
                <w14:textFill>
                  <w14:solidFill>
                    <w14:schemeClr w14:val="tx1"/>
                  </w14:solidFill>
                </w14:textFill>
              </w:rPr>
              <w:t>分。 上述内容: 有不完善、不清晰、不合理、或者不满足采购需求的每处扣</w:t>
            </w: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lang w:val="en-US" w:eastAsia="zh-CN"/>
                <w14:textFill>
                  <w14:solidFill>
                    <w14:schemeClr w14:val="tx1"/>
                  </w14:solidFill>
                </w14:textFill>
              </w:rPr>
              <w:t>分，缺漏项的扣</w:t>
            </w:r>
            <w:r>
              <w:rPr>
                <w:rFonts w:hint="eastAsia" w:ascii="宋体" w:hAnsi="宋体" w:cs="宋体"/>
                <w:color w:val="000000" w:themeColor="text1"/>
                <w:sz w:val="21"/>
                <w:szCs w:val="21"/>
                <w:lang w:val="en-US" w:eastAsia="zh-CN"/>
                <w14:textFill>
                  <w14:solidFill>
                    <w14:schemeClr w14:val="tx1"/>
                  </w14:solidFill>
                </w14:textFill>
              </w:rPr>
              <w:t>7</w:t>
            </w:r>
            <w:r>
              <w:rPr>
                <w:rFonts w:hint="eastAsia" w:ascii="宋体" w:hAnsi="宋体" w:eastAsia="宋体" w:cs="宋体"/>
                <w:color w:val="000000" w:themeColor="text1"/>
                <w:sz w:val="21"/>
                <w:szCs w:val="21"/>
                <w:lang w:val="en-US" w:eastAsia="zh-CN"/>
                <w14:textFill>
                  <w14:solidFill>
                    <w14:schemeClr w14:val="tx1"/>
                  </w14:solidFill>
                </w14:textFill>
              </w:rPr>
              <w:t>分；未提供的不计分。</w:t>
            </w:r>
          </w:p>
        </w:tc>
      </w:tr>
      <w:tr w14:paraId="30D3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614" w:type="dxa"/>
            <w:vMerge w:val="restart"/>
            <w:tcBorders>
              <w:left w:val="single" w:color="auto" w:sz="4" w:space="0"/>
              <w:right w:val="single" w:color="auto" w:sz="4" w:space="0"/>
            </w:tcBorders>
            <w:textDirection w:val="tbLrV"/>
            <w:vAlign w:val="center"/>
          </w:tcPr>
          <w:p w14:paraId="516C395E">
            <w:pPr>
              <w:keepLines w:val="0"/>
              <w:pageBreakBefore w:val="0"/>
              <w:widowControl w:val="0"/>
              <w:kinsoku/>
              <w:wordWrap/>
              <w:overflowPunct/>
              <w:topLinePunct w:val="0"/>
              <w:autoSpaceDE/>
              <w:autoSpaceDN/>
              <w:bidi w:val="0"/>
              <w:adjustRightInd/>
              <w:snapToGrid/>
              <w:spacing w:line="240" w:lineRule="auto"/>
              <w:ind w:left="113" w:leftChars="0" w:right="113" w:right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商务部分（</w:t>
            </w:r>
            <w:r>
              <w:rPr>
                <w:rFonts w:hint="eastAsia" w:ascii="宋体" w:hAnsi="宋体" w:cs="宋体"/>
                <w:sz w:val="21"/>
                <w:szCs w:val="21"/>
                <w:lang w:val="en-US" w:eastAsia="zh-CN"/>
              </w:rPr>
              <w:t>100</w:t>
            </w:r>
            <w:r>
              <w:rPr>
                <w:rFonts w:hint="eastAsia" w:ascii="宋体" w:hAnsi="宋体" w:eastAsia="宋体" w:cs="宋体"/>
                <w:sz w:val="21"/>
                <w:szCs w:val="21"/>
                <w:lang w:val="en-US" w:eastAsia="zh-CN"/>
              </w:rPr>
              <w:t>分）</w:t>
            </w:r>
          </w:p>
        </w:tc>
        <w:tc>
          <w:tcPr>
            <w:tcW w:w="1423" w:type="dxa"/>
            <w:tcBorders>
              <w:top w:val="single" w:color="auto" w:sz="4" w:space="0"/>
              <w:left w:val="single" w:color="auto" w:sz="4" w:space="0"/>
              <w:bottom w:val="single" w:color="auto" w:sz="4" w:space="0"/>
              <w:right w:val="single" w:color="auto" w:sz="4" w:space="0"/>
            </w:tcBorders>
            <w:vAlign w:val="center"/>
          </w:tcPr>
          <w:p w14:paraId="35E35639">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0000FF"/>
                <w:kern w:val="2"/>
                <w:sz w:val="21"/>
                <w:szCs w:val="21"/>
                <w:lang w:val="en-US" w:eastAsia="zh-CN" w:bidi="ar-SA"/>
              </w:rPr>
            </w:pPr>
            <w:r>
              <w:rPr>
                <w:rFonts w:hint="eastAsia" w:ascii="宋体" w:hAnsi="宋体" w:eastAsia="宋体" w:cs="宋体"/>
                <w:color w:val="auto"/>
                <w:szCs w:val="21"/>
                <w:highlight w:val="none"/>
              </w:rPr>
              <w:t>类似业绩</w:t>
            </w:r>
          </w:p>
        </w:tc>
        <w:tc>
          <w:tcPr>
            <w:tcW w:w="721" w:type="dxa"/>
            <w:tcBorders>
              <w:top w:val="single" w:color="auto" w:sz="4" w:space="0"/>
              <w:left w:val="single" w:color="auto" w:sz="4" w:space="0"/>
              <w:right w:val="single" w:color="auto" w:sz="4" w:space="0"/>
            </w:tcBorders>
            <w:vAlign w:val="center"/>
          </w:tcPr>
          <w:p w14:paraId="72CBB118">
            <w:pPr>
              <w:keepLines w:val="0"/>
              <w:pageBreakBefore w:val="0"/>
              <w:widowControl w:val="0"/>
              <w:tabs>
                <w:tab w:val="left" w:pos="360"/>
                <w:tab w:val="left" w:pos="900"/>
              </w:tabs>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0000FF"/>
                <w:kern w:val="2"/>
                <w:sz w:val="21"/>
                <w:szCs w:val="21"/>
                <w:lang w:val="en-US" w:eastAsia="zh-CN" w:bidi="ar-SA"/>
              </w:rPr>
            </w:pPr>
            <w:r>
              <w:rPr>
                <w:rFonts w:hint="eastAsia" w:ascii="宋体" w:hAnsi="宋体" w:cs="宋体"/>
                <w:color w:val="auto"/>
                <w:sz w:val="21"/>
                <w:szCs w:val="21"/>
                <w:lang w:val="en-US" w:eastAsia="zh-CN"/>
              </w:rPr>
              <w:t>50</w:t>
            </w:r>
          </w:p>
        </w:tc>
        <w:tc>
          <w:tcPr>
            <w:tcW w:w="6688" w:type="dxa"/>
            <w:tcBorders>
              <w:top w:val="single" w:color="auto" w:sz="4" w:space="0"/>
              <w:left w:val="single" w:color="auto" w:sz="4" w:space="0"/>
              <w:right w:val="single" w:color="auto" w:sz="4" w:space="0"/>
            </w:tcBorders>
            <w:vAlign w:val="center"/>
          </w:tcPr>
          <w:p w14:paraId="76B874B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近三年内</w:t>
            </w:r>
            <w:r>
              <w:rPr>
                <w:rFonts w:hint="eastAsia" w:ascii="宋体" w:hAnsi="宋体" w:cs="宋体"/>
                <w:color w:val="FF0000"/>
                <w:sz w:val="21"/>
                <w:szCs w:val="21"/>
                <w:highlight w:val="none"/>
                <w:lang w:val="en-US" w:eastAsia="zh-CN"/>
              </w:rPr>
              <w:t>（截止投标时间前</w:t>
            </w:r>
            <w:r>
              <w:rPr>
                <w:rFonts w:hint="eastAsia" w:ascii="宋体" w:hAnsi="宋体" w:eastAsia="宋体" w:cs="宋体"/>
                <w:color w:val="FF0000"/>
                <w:sz w:val="21"/>
                <w:szCs w:val="21"/>
                <w:highlight w:val="none"/>
                <w:lang w:val="en-US" w:eastAsia="zh-CN"/>
              </w:rPr>
              <w:t xml:space="preserve"> 1095天内</w:t>
            </w:r>
            <w:r>
              <w:rPr>
                <w:rFonts w:hint="eastAsia" w:ascii="宋体" w:hAnsi="宋体" w:cs="宋体"/>
                <w:color w:val="FF0000"/>
                <w:sz w:val="21"/>
                <w:szCs w:val="21"/>
                <w:highlight w:val="none"/>
                <w:lang w:val="en-US" w:eastAsia="zh-CN"/>
              </w:rPr>
              <w:t>）</w:t>
            </w:r>
            <w:r>
              <w:rPr>
                <w:rFonts w:hint="eastAsia" w:ascii="宋体" w:hAnsi="宋体" w:eastAsia="宋体" w:cs="宋体"/>
                <w:color w:val="FF0000"/>
                <w:sz w:val="21"/>
                <w:szCs w:val="21"/>
                <w:highlight w:val="none"/>
                <w:lang w:val="en-US" w:eastAsia="zh-CN"/>
              </w:rPr>
              <w:t>已完成过同类工程代建管理</w:t>
            </w:r>
            <w:r>
              <w:rPr>
                <w:rFonts w:hint="eastAsia" w:ascii="宋体" w:hAnsi="宋体" w:cs="宋体"/>
                <w:color w:val="FF0000"/>
                <w:sz w:val="21"/>
                <w:szCs w:val="21"/>
                <w:highlight w:val="none"/>
                <w:lang w:val="en-US" w:eastAsia="zh-CN"/>
              </w:rPr>
              <w:t>或</w:t>
            </w:r>
            <w:r>
              <w:rPr>
                <w:rFonts w:ascii="汉仪书宋二KW" w:hAnsi="汉仪书宋二KW" w:eastAsia="汉仪书宋二KW" w:cs="汉仪书宋二KW"/>
                <w:b w:val="0"/>
                <w:bCs w:val="0"/>
                <w:color w:val="FF0000"/>
                <w:sz w:val="21"/>
                <w:szCs w:val="21"/>
                <w:highlight w:val="none"/>
              </w:rPr>
              <w:t>工程咨询项目或设计项目或监理项目或工程总承包（或施工总承包）项目</w:t>
            </w:r>
            <w:r>
              <w:rPr>
                <w:rFonts w:hint="eastAsia" w:ascii="宋体" w:hAnsi="宋体" w:eastAsia="宋体" w:cs="宋体"/>
                <w:color w:val="FF0000"/>
                <w:sz w:val="21"/>
                <w:szCs w:val="21"/>
                <w:highlight w:val="none"/>
                <w:lang w:val="en-US" w:eastAsia="zh-CN"/>
              </w:rPr>
              <w:t>业绩</w:t>
            </w:r>
            <w:r>
              <w:rPr>
                <w:rFonts w:hint="eastAsia" w:ascii="宋体" w:hAnsi="宋体" w:cs="宋体"/>
                <w:color w:val="FF0000"/>
                <w:sz w:val="21"/>
                <w:szCs w:val="21"/>
                <w:highlight w:val="none"/>
                <w:lang w:val="en-US" w:eastAsia="zh-CN"/>
              </w:rPr>
              <w:t>。每提供一个计25分</w:t>
            </w:r>
            <w:r>
              <w:rPr>
                <w:rFonts w:hint="eastAsia" w:ascii="宋体" w:hAnsi="宋体" w:eastAsia="宋体" w:cs="宋体"/>
                <w:color w:val="FF0000"/>
                <w:sz w:val="21"/>
                <w:szCs w:val="21"/>
                <w:highlight w:val="none"/>
                <w:lang w:val="en-US" w:eastAsia="zh-CN"/>
              </w:rPr>
              <w:t xml:space="preserve">，本项最高计 </w:t>
            </w:r>
            <w:r>
              <w:rPr>
                <w:rFonts w:hint="eastAsia" w:ascii="宋体" w:hAnsi="宋体" w:cs="宋体"/>
                <w:color w:val="FF0000"/>
                <w:sz w:val="21"/>
                <w:szCs w:val="21"/>
                <w:highlight w:val="none"/>
                <w:lang w:val="en-US" w:eastAsia="zh-CN"/>
              </w:rPr>
              <w:t>50</w:t>
            </w:r>
            <w:r>
              <w:rPr>
                <w:rFonts w:hint="eastAsia" w:ascii="宋体" w:hAnsi="宋体" w:eastAsia="宋体" w:cs="宋体"/>
                <w:color w:val="FF0000"/>
                <w:sz w:val="21"/>
                <w:szCs w:val="21"/>
                <w:highlight w:val="none"/>
                <w:lang w:val="en-US" w:eastAsia="zh-CN"/>
              </w:rPr>
              <w:t>分。</w:t>
            </w:r>
          </w:p>
          <w:p w14:paraId="13C8736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宋体" w:hAnsi="宋体" w:eastAsia="宋体" w:cs="宋体"/>
                <w:color w:val="0000FF"/>
                <w:highlight w:val="none"/>
                <w:lang w:val="en-US" w:eastAsia="zh-CN"/>
              </w:rPr>
            </w:pPr>
            <w:r>
              <w:rPr>
                <w:rFonts w:hint="eastAsia" w:ascii="宋体" w:hAnsi="宋体" w:eastAsia="宋体" w:cs="宋体"/>
                <w:color w:val="FF0000"/>
                <w:sz w:val="21"/>
                <w:szCs w:val="21"/>
                <w:highlight w:val="none"/>
                <w:lang w:val="en-US" w:eastAsia="zh-CN"/>
              </w:rPr>
              <w:t>注：</w:t>
            </w:r>
            <w:r>
              <w:rPr>
                <w:rFonts w:hint="eastAsia" w:ascii="宋体" w:hAnsi="宋体" w:cs="宋体"/>
                <w:color w:val="FF0000"/>
                <w:sz w:val="21"/>
                <w:szCs w:val="21"/>
                <w:highlight w:val="none"/>
                <w:lang w:val="en-US" w:eastAsia="zh-CN"/>
              </w:rPr>
              <w:t>业绩时间以代建合同签订日期为准，需提供</w:t>
            </w:r>
            <w:r>
              <w:rPr>
                <w:rFonts w:hint="eastAsia" w:ascii="宋体" w:hAnsi="宋体" w:eastAsia="宋体" w:cs="宋体"/>
                <w:color w:val="FF0000"/>
                <w:sz w:val="21"/>
                <w:szCs w:val="21"/>
                <w:highlight w:val="none"/>
                <w:lang w:val="en-US" w:eastAsia="zh-CN"/>
              </w:rPr>
              <w:t>中标通知书（或成交通知书）</w:t>
            </w:r>
            <w:r>
              <w:rPr>
                <w:rFonts w:hint="eastAsia" w:ascii="宋体" w:hAnsi="宋体" w:cs="宋体"/>
                <w:color w:val="FF0000"/>
                <w:sz w:val="21"/>
                <w:szCs w:val="21"/>
                <w:highlight w:val="none"/>
                <w:lang w:val="en-US" w:eastAsia="zh-CN"/>
              </w:rPr>
              <w:t>和</w:t>
            </w:r>
            <w:r>
              <w:rPr>
                <w:rFonts w:hint="eastAsia" w:ascii="宋体" w:hAnsi="宋体" w:eastAsia="宋体" w:cs="宋体"/>
                <w:color w:val="FF0000"/>
                <w:sz w:val="21"/>
                <w:szCs w:val="21"/>
                <w:highlight w:val="none"/>
                <w:lang w:val="en-US" w:eastAsia="zh-CN"/>
              </w:rPr>
              <w:t>合同原件的彩色复印件</w:t>
            </w:r>
            <w:r>
              <w:rPr>
                <w:rFonts w:hint="eastAsia" w:ascii="宋体" w:hAnsi="宋体" w:cs="宋体"/>
                <w:color w:val="FF0000"/>
                <w:sz w:val="21"/>
                <w:szCs w:val="21"/>
                <w:highlight w:val="none"/>
                <w:lang w:val="en-US" w:eastAsia="zh-CN"/>
              </w:rPr>
              <w:t>并加盖公章。未按要求提供的不计分。</w:t>
            </w:r>
          </w:p>
        </w:tc>
      </w:tr>
      <w:tr w14:paraId="7B3D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614" w:type="dxa"/>
            <w:vMerge w:val="continue"/>
            <w:tcBorders>
              <w:left w:val="single" w:color="auto" w:sz="4" w:space="0"/>
              <w:right w:val="single" w:color="auto" w:sz="4" w:space="0"/>
            </w:tcBorders>
            <w:textDirection w:val="tbLrV"/>
            <w:vAlign w:val="center"/>
          </w:tcPr>
          <w:p w14:paraId="54FA40EA">
            <w:pPr>
              <w:keepLines w:val="0"/>
              <w:pageBreakBefore w:val="0"/>
              <w:widowControl w:val="0"/>
              <w:kinsoku/>
              <w:wordWrap/>
              <w:overflowPunct/>
              <w:topLinePunct w:val="0"/>
              <w:autoSpaceDE/>
              <w:autoSpaceDN/>
              <w:bidi w:val="0"/>
              <w:adjustRightInd/>
              <w:snapToGrid/>
              <w:spacing w:line="240" w:lineRule="auto"/>
              <w:ind w:left="113" w:leftChars="0" w:right="113" w:rightChars="0"/>
              <w:jc w:val="center"/>
              <w:textAlignment w:val="auto"/>
              <w:outlineLvl w:val="9"/>
              <w:rPr>
                <w:rFonts w:hint="eastAsia" w:ascii="宋体" w:hAnsi="宋体" w:eastAsia="宋体" w:cs="宋体"/>
                <w:sz w:val="21"/>
                <w:szCs w:val="21"/>
                <w:lang w:val="en-US" w:eastAsia="zh-CN"/>
              </w:rPr>
            </w:pPr>
          </w:p>
        </w:tc>
        <w:tc>
          <w:tcPr>
            <w:tcW w:w="1423" w:type="dxa"/>
            <w:tcBorders>
              <w:top w:val="single" w:color="auto" w:sz="4" w:space="0"/>
              <w:left w:val="single" w:color="auto" w:sz="4" w:space="0"/>
              <w:bottom w:val="single" w:color="auto" w:sz="4" w:space="0"/>
              <w:right w:val="single" w:color="auto" w:sz="4" w:space="0"/>
            </w:tcBorders>
            <w:vAlign w:val="center"/>
          </w:tcPr>
          <w:p w14:paraId="03CA943C">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代建主管部门监管评价情况</w:t>
            </w:r>
          </w:p>
        </w:tc>
        <w:tc>
          <w:tcPr>
            <w:tcW w:w="721" w:type="dxa"/>
            <w:tcBorders>
              <w:top w:val="single" w:color="auto" w:sz="4" w:space="0"/>
              <w:left w:val="single" w:color="auto" w:sz="4" w:space="0"/>
              <w:right w:val="single" w:color="auto" w:sz="4" w:space="0"/>
            </w:tcBorders>
            <w:vAlign w:val="center"/>
          </w:tcPr>
          <w:p w14:paraId="4264154D">
            <w:pPr>
              <w:keepLines w:val="0"/>
              <w:pageBreakBefore w:val="0"/>
              <w:widowControl w:val="0"/>
              <w:tabs>
                <w:tab w:val="left" w:pos="360"/>
                <w:tab w:val="left" w:pos="900"/>
              </w:tabs>
              <w:kinsoku/>
              <w:wordWrap/>
              <w:overflowPunct/>
              <w:topLinePunct w:val="0"/>
              <w:autoSpaceDE/>
              <w:autoSpaceDN/>
              <w:bidi w:val="0"/>
              <w:adjustRightInd/>
              <w:snapToGrid/>
              <w:spacing w:line="240" w:lineRule="auto"/>
              <w:jc w:val="center"/>
              <w:textAlignment w:val="auto"/>
              <w:outlineLvl w:val="9"/>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50</w:t>
            </w:r>
          </w:p>
        </w:tc>
        <w:tc>
          <w:tcPr>
            <w:tcW w:w="6688" w:type="dxa"/>
            <w:tcBorders>
              <w:top w:val="single" w:color="auto" w:sz="4" w:space="0"/>
              <w:left w:val="single" w:color="auto" w:sz="4" w:space="0"/>
              <w:right w:val="single" w:color="auto" w:sz="4" w:space="0"/>
            </w:tcBorders>
            <w:vAlign w:val="center"/>
          </w:tcPr>
          <w:p w14:paraId="4B00D21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FF0000"/>
                <w:sz w:val="21"/>
                <w:szCs w:val="21"/>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在代建主管部门组织的监管评价中，</w:t>
            </w:r>
            <w:r>
              <w:rPr>
                <w:rFonts w:hint="eastAsia" w:ascii="宋体" w:hAnsi="宋体" w:eastAsia="宋体" w:cs="宋体"/>
                <w:color w:val="FF0000"/>
                <w:sz w:val="21"/>
                <w:szCs w:val="21"/>
                <w:lang w:val="en-US" w:eastAsia="zh-CN"/>
              </w:rPr>
              <w:t>被评为A级记50分，B级记40分，C级记30分，C级以下不得分。</w:t>
            </w:r>
            <w:bookmarkStart w:id="85" w:name="_GoBack"/>
            <w:bookmarkEnd w:id="85"/>
          </w:p>
          <w:p w14:paraId="3D91EA7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宋体" w:hAnsi="宋体" w:cs="宋体"/>
                <w:color w:val="auto"/>
                <w:szCs w:val="21"/>
                <w:highlight w:val="none"/>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注：提供代建主管部门（发改部门）发布的最新政府投资项目代建单位监管评价结果的相应截图并加盖单位公章</w:t>
            </w:r>
          </w:p>
        </w:tc>
      </w:tr>
      <w:tr w14:paraId="2CC9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9446" w:type="dxa"/>
            <w:gridSpan w:val="4"/>
            <w:tcBorders>
              <w:top w:val="single" w:color="auto" w:sz="4" w:space="0"/>
              <w:left w:val="single" w:color="auto" w:sz="4" w:space="0"/>
              <w:bottom w:val="single" w:color="auto" w:sz="4" w:space="0"/>
              <w:right w:val="single" w:color="auto" w:sz="4" w:space="0"/>
            </w:tcBorders>
            <w:vAlign w:val="center"/>
          </w:tcPr>
          <w:p w14:paraId="066AD3E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说明：</w:t>
            </w:r>
          </w:p>
          <w:p w14:paraId="107E659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1、评分标准涉及要求提供复印件的，响应文件中须附相关证书和证明文件的复印件并加盖单位公章，否则相应计分项不予计分。</w:t>
            </w:r>
          </w:p>
          <w:p w14:paraId="33512A6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szCs w:val="21"/>
              </w:rPr>
            </w:pPr>
            <w:r>
              <w:rPr>
                <w:rFonts w:hint="eastAsia" w:ascii="宋体" w:hAnsi="宋体" w:eastAsia="宋体" w:cs="宋体"/>
                <w:b/>
                <w:bCs/>
                <w:sz w:val="21"/>
                <w:szCs w:val="21"/>
              </w:rPr>
              <w:t>2、供应商参与政府采购应提供真实有效的证明材料，应当诚信守法、公平竞争。如有以提供虚假材料（包括但不限于虚假技术参数响应、虚假制造商产品彩页、虚假业绩、虚假证书等）、隐瞒失信信息等谋取中标的行为，将作无效投标处理，同时上报财政部门列入政府采购黑名单。</w:t>
            </w:r>
          </w:p>
        </w:tc>
      </w:tr>
    </w:tbl>
    <w:p w14:paraId="4956D375">
      <w:pPr>
        <w:adjustRightInd w:val="0"/>
        <w:snapToGrid w:val="0"/>
        <w:spacing w:line="360" w:lineRule="auto"/>
        <w:jc w:val="both"/>
        <w:rPr>
          <w:rFonts w:hint="eastAsia" w:ascii="宋体" w:hAnsi="宋体" w:eastAsia="宋体" w:cs="宋体"/>
          <w:b/>
          <w:bCs/>
          <w:color w:val="auto"/>
          <w:sz w:val="32"/>
          <w:szCs w:val="32"/>
        </w:rPr>
      </w:pPr>
    </w:p>
    <w:p w14:paraId="670DB6C5">
      <w:pPr>
        <w:adjustRightInd w:val="0"/>
        <w:snapToGrid w:val="0"/>
        <w:spacing w:line="360" w:lineRule="auto"/>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磋商须知正文</w:t>
      </w:r>
    </w:p>
    <w:p w14:paraId="59703FF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rPr>
      </w:pPr>
      <w:r>
        <w:rPr>
          <w:rFonts w:hint="eastAsia" w:ascii="宋体" w:hAnsi="宋体" w:eastAsia="宋体" w:cs="宋体"/>
          <w:color w:val="auto"/>
          <w:sz w:val="24"/>
        </w:rPr>
        <w:t>一、说明</w:t>
      </w:r>
    </w:p>
    <w:p w14:paraId="069066A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1.适用范围</w:t>
      </w:r>
    </w:p>
    <w:p w14:paraId="3ABB691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1.1 本磋商文件仅适用于磋商须知前附表(以下简称</w:t>
      </w:r>
      <w:r>
        <w:rPr>
          <w:rFonts w:hint="eastAsia" w:ascii="宋体" w:hAnsi="宋体" w:eastAsia="宋体" w:cs="宋体"/>
          <w:b/>
          <w:color w:val="auto"/>
          <w:szCs w:val="21"/>
        </w:rPr>
        <w:t>磋商须知前附表)</w:t>
      </w:r>
      <w:r>
        <w:rPr>
          <w:rFonts w:hint="eastAsia" w:ascii="宋体" w:hAnsi="宋体" w:eastAsia="宋体" w:cs="宋体"/>
          <w:color w:val="auto"/>
          <w:szCs w:val="21"/>
        </w:rPr>
        <w:t>中所叙述的采购项目。</w:t>
      </w:r>
    </w:p>
    <w:p w14:paraId="02F2A1C6">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2.定义</w:t>
      </w:r>
    </w:p>
    <w:p w14:paraId="323495B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rPr>
      </w:pPr>
      <w:r>
        <w:rPr>
          <w:rFonts w:hint="eastAsia" w:ascii="宋体" w:hAnsi="宋体" w:eastAsia="宋体" w:cs="宋体"/>
          <w:color w:val="auto"/>
          <w:szCs w:val="21"/>
        </w:rPr>
        <w:t>2.1 “采购人”是指依法进行政府采购的国家机关、事业单位、团体组织。本次政府采购的采购人名称、地址、电话、联系人见</w:t>
      </w:r>
      <w:r>
        <w:rPr>
          <w:rFonts w:hint="eastAsia" w:ascii="宋体" w:hAnsi="宋体" w:eastAsia="宋体" w:cs="宋体"/>
          <w:b/>
          <w:color w:val="auto"/>
          <w:szCs w:val="21"/>
        </w:rPr>
        <w:t>磋商须知前附表</w:t>
      </w:r>
      <w:r>
        <w:rPr>
          <w:rFonts w:hint="eastAsia" w:ascii="宋体" w:hAnsi="宋体" w:eastAsia="宋体" w:cs="宋体"/>
          <w:color w:val="auto"/>
          <w:szCs w:val="21"/>
        </w:rPr>
        <w:t>。</w:t>
      </w:r>
    </w:p>
    <w:p w14:paraId="05608EC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rPr>
      </w:pPr>
      <w:r>
        <w:rPr>
          <w:rFonts w:hint="eastAsia" w:ascii="宋体" w:hAnsi="宋体" w:eastAsia="宋体" w:cs="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Cs w:val="21"/>
        </w:rPr>
        <w:t>磋商须知前附表。</w:t>
      </w:r>
    </w:p>
    <w:p w14:paraId="645AA4B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kern w:val="36"/>
          <w:szCs w:val="21"/>
        </w:rPr>
      </w:pPr>
      <w:r>
        <w:rPr>
          <w:rFonts w:hint="eastAsia" w:ascii="宋体" w:hAnsi="宋体" w:eastAsia="宋体" w:cs="宋体"/>
          <w:color w:val="auto"/>
          <w:szCs w:val="21"/>
        </w:rPr>
        <w:t>2.3 “供应商”是指响应磋商文件要求、参加竞争性磋商采购的法人、其他组织或者自然人。本次政府采购项目</w:t>
      </w:r>
      <w:r>
        <w:rPr>
          <w:rFonts w:hint="eastAsia" w:ascii="宋体" w:hAnsi="宋体" w:eastAsia="宋体" w:cs="宋体"/>
          <w:color w:val="auto"/>
          <w:kern w:val="0"/>
          <w:szCs w:val="21"/>
        </w:rPr>
        <w:t>邀请</w:t>
      </w:r>
      <w:r>
        <w:rPr>
          <w:rFonts w:hint="eastAsia" w:ascii="宋体" w:hAnsi="宋体" w:eastAsia="宋体" w:cs="宋体"/>
          <w:color w:val="auto"/>
          <w:szCs w:val="21"/>
        </w:rPr>
        <w:t>的</w:t>
      </w:r>
      <w:r>
        <w:rPr>
          <w:rFonts w:hint="eastAsia" w:ascii="宋体" w:hAnsi="宋体" w:eastAsia="宋体" w:cs="宋体"/>
          <w:color w:val="auto"/>
          <w:kern w:val="0"/>
          <w:szCs w:val="21"/>
        </w:rPr>
        <w:t>供应商通过</w:t>
      </w:r>
      <w:r>
        <w:rPr>
          <w:rFonts w:hint="eastAsia" w:ascii="宋体" w:hAnsi="宋体" w:eastAsia="宋体" w:cs="宋体"/>
          <w:b/>
          <w:color w:val="auto"/>
          <w:szCs w:val="21"/>
        </w:rPr>
        <w:t>磋商须知前附表</w:t>
      </w:r>
      <w:r>
        <w:rPr>
          <w:rFonts w:hint="eastAsia" w:ascii="宋体" w:hAnsi="宋体" w:eastAsia="宋体" w:cs="宋体"/>
          <w:color w:val="auto"/>
          <w:szCs w:val="21"/>
        </w:rPr>
        <w:t>所述方式</w:t>
      </w:r>
      <w:r>
        <w:rPr>
          <w:rFonts w:hint="eastAsia" w:ascii="宋体" w:hAnsi="宋体" w:eastAsia="宋体" w:cs="宋体"/>
          <w:color w:val="auto"/>
          <w:kern w:val="0"/>
          <w:szCs w:val="21"/>
        </w:rPr>
        <w:t>，邀请符合资格条件的供应商提交响应文件（含资格证明资料），参与竞争性磋商采购活动。</w:t>
      </w:r>
    </w:p>
    <w:p w14:paraId="7C9DC1B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szCs w:val="21"/>
        </w:rPr>
        <w:t>2.4 “磋商小组”是指</w:t>
      </w:r>
      <w:r>
        <w:rPr>
          <w:rFonts w:hint="eastAsia" w:ascii="宋体" w:hAnsi="宋体" w:eastAsia="宋体" w:cs="宋体"/>
          <w:color w:val="auto"/>
          <w:kern w:val="0"/>
          <w:szCs w:val="21"/>
        </w:rPr>
        <w:t>依据财政部</w:t>
      </w:r>
      <w:r>
        <w:rPr>
          <w:rFonts w:hint="eastAsia" w:ascii="宋体" w:hAnsi="宋体" w:eastAsia="宋体" w:cs="宋体"/>
          <w:bCs/>
          <w:color w:val="auto"/>
          <w:kern w:val="36"/>
          <w:szCs w:val="21"/>
        </w:rPr>
        <w:t>《政府采购竞争性磋商采购方式管理暂行办法》有关规定组建，依法依规</w:t>
      </w:r>
      <w:r>
        <w:rPr>
          <w:rFonts w:hint="eastAsia" w:ascii="宋体" w:hAnsi="宋体" w:eastAsia="宋体" w:cs="宋体"/>
          <w:color w:val="auto"/>
          <w:kern w:val="0"/>
          <w:szCs w:val="21"/>
        </w:rPr>
        <w:t>履行其职责和义务的机构。</w:t>
      </w:r>
    </w:p>
    <w:p w14:paraId="4C00030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2.5 “货物”是指各种形态和种类的物品，包括原资料、燃料、设备、产品等，详见《政府采购品目分类目录》(</w:t>
      </w:r>
      <w:r>
        <w:rPr>
          <w:rStyle w:val="46"/>
          <w:rFonts w:hint="eastAsia" w:ascii="宋体" w:hAnsi="宋体" w:eastAsia="宋体" w:cs="宋体"/>
          <w:b w:val="0"/>
          <w:color w:val="auto"/>
        </w:rPr>
        <w:t>财库[2013]189号</w:t>
      </w:r>
      <w:r>
        <w:rPr>
          <w:rFonts w:hint="eastAsia" w:ascii="宋体" w:hAnsi="宋体" w:eastAsia="宋体" w:cs="宋体"/>
          <w:color w:val="auto"/>
          <w:szCs w:val="21"/>
        </w:rPr>
        <w:t>)。</w:t>
      </w:r>
    </w:p>
    <w:p w14:paraId="7CEAB0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2.6 “工程”是指建设工程，包括建筑物和构筑物的新建、改建、扩建、装修、拆除、修缮等，详见《政府采购品目分类目录》(</w:t>
      </w:r>
      <w:r>
        <w:rPr>
          <w:rStyle w:val="46"/>
          <w:rFonts w:hint="eastAsia" w:ascii="宋体" w:hAnsi="宋体" w:eastAsia="宋体" w:cs="宋体"/>
          <w:b w:val="0"/>
          <w:color w:val="auto"/>
        </w:rPr>
        <w:t>财库[2013]189号</w:t>
      </w:r>
      <w:r>
        <w:rPr>
          <w:rFonts w:hint="eastAsia" w:ascii="宋体" w:hAnsi="宋体" w:eastAsia="宋体" w:cs="宋体"/>
          <w:color w:val="auto"/>
          <w:szCs w:val="21"/>
        </w:rPr>
        <w:t>)。</w:t>
      </w:r>
    </w:p>
    <w:p w14:paraId="7898659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2.7 “服务”是指除货物和工程以外的其他政府采购对象，详见《政府采购品目分类目录》(</w:t>
      </w:r>
      <w:r>
        <w:rPr>
          <w:rStyle w:val="46"/>
          <w:rFonts w:hint="eastAsia" w:ascii="宋体" w:hAnsi="宋体" w:eastAsia="宋体" w:cs="宋体"/>
          <w:b w:val="0"/>
          <w:color w:val="auto"/>
        </w:rPr>
        <w:t>财库[2013]189号</w:t>
      </w:r>
      <w:r>
        <w:rPr>
          <w:rFonts w:hint="eastAsia" w:ascii="宋体" w:hAnsi="宋体" w:eastAsia="宋体" w:cs="宋体"/>
          <w:color w:val="auto"/>
          <w:szCs w:val="21"/>
        </w:rPr>
        <w:t>)。</w:t>
      </w:r>
    </w:p>
    <w:p w14:paraId="7885FDC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kern w:val="0"/>
          <w:szCs w:val="21"/>
        </w:rPr>
        <w:t>2.8</w:t>
      </w:r>
      <w:r>
        <w:rPr>
          <w:rFonts w:hint="eastAsia" w:ascii="宋体" w:hAnsi="宋体" w:eastAsia="宋体" w:cs="宋体"/>
          <w:color w:val="auto"/>
          <w:szCs w:val="21"/>
        </w:rPr>
        <w:t xml:space="preserve"> “节能产品”或者“环保产品”是指财政部发布的《节能产品政府采购清单》或者《环境标志产品政府采购清单》的产品。</w:t>
      </w:r>
    </w:p>
    <w:p w14:paraId="44D9FE9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szCs w:val="21"/>
        </w:rPr>
        <w:t>2.9</w:t>
      </w:r>
      <w:r>
        <w:rPr>
          <w:rFonts w:hint="eastAsia" w:ascii="宋体" w:hAnsi="宋体" w:eastAsia="宋体" w:cs="宋体"/>
          <w:color w:val="auto"/>
          <w:kern w:val="0"/>
          <w:szCs w:val="21"/>
        </w:rPr>
        <w:t xml:space="preserve"> “进口产品”是指通过中国海关报关验放进入中国境内且产自关境外的产品，详见《关于政府采购进口产品管理有关问题的通知》(财库[2007]119号)。</w:t>
      </w:r>
    </w:p>
    <w:p w14:paraId="3946173E">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3.供应商的资格要求</w:t>
      </w:r>
    </w:p>
    <w:p w14:paraId="0364A63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3.1 供应商应当符合</w:t>
      </w:r>
      <w:r>
        <w:rPr>
          <w:rFonts w:hint="eastAsia" w:ascii="宋体" w:hAnsi="宋体" w:eastAsia="宋体" w:cs="宋体"/>
          <w:b/>
          <w:color w:val="auto"/>
          <w:szCs w:val="21"/>
        </w:rPr>
        <w:t>磋商须知前附表</w:t>
      </w:r>
      <w:r>
        <w:rPr>
          <w:rFonts w:hint="eastAsia" w:ascii="宋体" w:hAnsi="宋体" w:eastAsia="宋体" w:cs="宋体"/>
          <w:color w:val="auto"/>
          <w:szCs w:val="21"/>
        </w:rPr>
        <w:t>中规定的资格条件要求。</w:t>
      </w:r>
    </w:p>
    <w:p w14:paraId="607C735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3.2供应商</w:t>
      </w:r>
      <w:r>
        <w:rPr>
          <w:rFonts w:hint="eastAsia" w:ascii="宋体" w:hAnsi="宋体" w:eastAsia="宋体" w:cs="宋体"/>
          <w:color w:val="auto"/>
        </w:rPr>
        <w:t>为联合体形式的</w:t>
      </w:r>
      <w:r>
        <w:rPr>
          <w:rFonts w:hint="eastAsia" w:ascii="宋体" w:hAnsi="宋体" w:eastAsia="宋体" w:cs="宋体"/>
          <w:color w:val="auto"/>
          <w:szCs w:val="21"/>
        </w:rPr>
        <w:t xml:space="preserve">，除应满足本章第3.1款资格条件要求及第3.3款规定外，还应遵守以下规定： </w:t>
      </w:r>
    </w:p>
    <w:p w14:paraId="29A7AE4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（1）联合体各方应按磋商文件提供的格式签订联合体协议书，明确联合体牵头人和各方权利义务(含承担工作及工作量比例)；</w:t>
      </w:r>
    </w:p>
    <w:p w14:paraId="430729C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（2）联合体中有同类资质的供应商按照联合体分工承担相同工作的，应当按照资质等级较低的供应商确定资质等级；</w:t>
      </w:r>
    </w:p>
    <w:p w14:paraId="736981F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（3）以联合体形式参加政府采购活动的，联合体各方不得再单独参加或者与其他供应商另外组成联合体参加同一合同项下的政府采购活动。</w:t>
      </w:r>
    </w:p>
    <w:p w14:paraId="0D5E6B2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3.3 供应商不得存在下列情形之一：</w:t>
      </w:r>
    </w:p>
    <w:p w14:paraId="2283013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（l）与采购人、采购代理机构存在</w:t>
      </w:r>
      <w:r>
        <w:rPr>
          <w:rFonts w:hint="eastAsia" w:ascii="宋体" w:hAnsi="宋体" w:eastAsia="宋体" w:cs="宋体"/>
          <w:bCs/>
          <w:color w:val="auto"/>
          <w:szCs w:val="21"/>
        </w:rPr>
        <w:t>隶属关系或者其他利害关系</w:t>
      </w:r>
      <w:r>
        <w:rPr>
          <w:rFonts w:hint="eastAsia" w:ascii="宋体" w:hAnsi="宋体" w:eastAsia="宋体" w:cs="宋体"/>
          <w:color w:val="auto"/>
          <w:szCs w:val="21"/>
        </w:rPr>
        <w:t>。</w:t>
      </w:r>
    </w:p>
    <w:p w14:paraId="2FEE5D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（2）与其他供应商的法定代表人（或者负责人）为同一人，或者与其他供应商存在直接控股、管理关系。</w:t>
      </w:r>
    </w:p>
    <w:p w14:paraId="5C085F4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eastAsia="宋体" w:cs="宋体"/>
          <w:color w:val="auto"/>
          <w:szCs w:val="21"/>
        </w:rPr>
        <w:t>财政部门认定的其他重大违法记录。</w:t>
      </w:r>
    </w:p>
    <w:p w14:paraId="63D3CFF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 xml:space="preserve">4.参与磋商的费用 </w:t>
      </w:r>
    </w:p>
    <w:p w14:paraId="69342EE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 无论磋商的结果如何，供应商应自行承担所有与竞争性磋商采购活动有关的全部费用。</w:t>
      </w:r>
    </w:p>
    <w:p w14:paraId="5318B15B">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rPr>
      </w:pPr>
      <w:r>
        <w:rPr>
          <w:rFonts w:hint="eastAsia" w:ascii="宋体" w:hAnsi="宋体" w:eastAsia="宋体" w:cs="宋体"/>
          <w:b/>
          <w:color w:val="auto"/>
        </w:rPr>
        <w:t>5．</w:t>
      </w:r>
      <w:r>
        <w:rPr>
          <w:rFonts w:hint="eastAsia" w:ascii="宋体" w:hAnsi="宋体" w:eastAsia="宋体" w:cs="宋体"/>
          <w:b/>
          <w:bCs/>
          <w:color w:val="auto"/>
        </w:rPr>
        <w:t>授权委托</w:t>
      </w:r>
    </w:p>
    <w:p w14:paraId="746063F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5.1供应商代表为供应商法定代表人的，应具备法定代表人身份证明。供应商代表不是供应商法定代表人的，应具备法定代表人授权书，并附法定代表人身份证明。</w:t>
      </w:r>
    </w:p>
    <w:p w14:paraId="51FE68E1">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rPr>
      </w:pPr>
      <w:r>
        <w:rPr>
          <w:rFonts w:hint="eastAsia" w:ascii="宋体" w:hAnsi="宋体" w:eastAsia="宋体" w:cs="宋体"/>
          <w:b/>
          <w:color w:val="auto"/>
        </w:rPr>
        <w:t>6．联合体形式</w:t>
      </w:r>
    </w:p>
    <w:p w14:paraId="51A0D9B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6.1除</w:t>
      </w:r>
      <w:r>
        <w:rPr>
          <w:rFonts w:hint="eastAsia" w:ascii="宋体" w:hAnsi="宋体" w:eastAsia="宋体" w:cs="宋体"/>
          <w:b/>
          <w:color w:val="auto"/>
        </w:rPr>
        <w:t>磋商须知前附表</w:t>
      </w:r>
      <w:r>
        <w:rPr>
          <w:rFonts w:hint="eastAsia" w:ascii="宋体" w:hAnsi="宋体" w:eastAsia="宋体" w:cs="宋体"/>
          <w:color w:val="auto"/>
        </w:rPr>
        <w:t>中另有规定，本次谈判采购不接受为联合体形式的供应商。</w:t>
      </w:r>
    </w:p>
    <w:p w14:paraId="660C195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6.2供应商</w:t>
      </w:r>
      <w:r>
        <w:rPr>
          <w:rFonts w:hint="eastAsia" w:ascii="宋体" w:hAnsi="宋体" w:eastAsia="宋体" w:cs="宋体"/>
          <w:color w:val="auto"/>
        </w:rPr>
        <w:t>为联合体形式的</w:t>
      </w:r>
      <w:r>
        <w:rPr>
          <w:rFonts w:hint="eastAsia" w:ascii="宋体" w:hAnsi="宋体" w:eastAsia="宋体" w:cs="宋体"/>
          <w:color w:val="auto"/>
          <w:szCs w:val="21"/>
        </w:rPr>
        <w:t>，除应符合本章第3条规定外，还应遵守以下规定：</w:t>
      </w:r>
    </w:p>
    <w:p w14:paraId="5F7B313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（l）联合体各方必须签订联合体协议书，明确联合体牵头人和各方的义务、工作、合同工作量比例；</w:t>
      </w:r>
    </w:p>
    <w:p w14:paraId="6BADA57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（2）联合体各方均应当符合本章第3.1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规定的供应商基本资格条件；</w:t>
      </w:r>
    </w:p>
    <w:p w14:paraId="6F37B2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rPr>
        <w:t>除</w:t>
      </w:r>
      <w:r>
        <w:rPr>
          <w:rFonts w:hint="eastAsia" w:ascii="宋体" w:hAnsi="宋体" w:eastAsia="宋体" w:cs="宋体"/>
          <w:b/>
          <w:color w:val="auto"/>
        </w:rPr>
        <w:t>磋商须知前附表</w:t>
      </w:r>
      <w:r>
        <w:rPr>
          <w:rFonts w:hint="eastAsia" w:ascii="宋体" w:hAnsi="宋体" w:eastAsia="宋体" w:cs="宋体"/>
          <w:color w:val="auto"/>
        </w:rPr>
        <w:t>中另有规定，</w:t>
      </w:r>
      <w:r>
        <w:rPr>
          <w:rFonts w:hint="eastAsia" w:ascii="宋体" w:hAnsi="宋体" w:eastAsia="宋体" w:cs="宋体"/>
          <w:color w:val="auto"/>
          <w:szCs w:val="21"/>
        </w:rPr>
        <w:t>联合体各方中至少有一方应当符合本章第3.1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规定的供应商特定资格条件；</w:t>
      </w:r>
    </w:p>
    <w:p w14:paraId="44C6C25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szCs w:val="21"/>
        </w:rPr>
        <w:t>（4）</w:t>
      </w:r>
      <w:r>
        <w:rPr>
          <w:rFonts w:hint="eastAsia" w:ascii="宋体" w:hAnsi="宋体" w:eastAsia="宋体" w:cs="宋体"/>
          <w:color w:val="auto"/>
          <w:kern w:val="0"/>
          <w:szCs w:val="21"/>
          <w:lang w:val="zh-CN"/>
        </w:rPr>
        <w:t>联合体各方不得再单独或与其他供应商组成新的联合体参加同一项目的采购活动。</w:t>
      </w:r>
    </w:p>
    <w:p w14:paraId="4E7B38E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rPr>
      </w:pPr>
      <w:r>
        <w:rPr>
          <w:rFonts w:hint="eastAsia" w:ascii="宋体" w:hAnsi="宋体" w:eastAsia="宋体" w:cs="宋体"/>
          <w:b/>
          <w:color w:val="auto"/>
          <w:szCs w:val="21"/>
        </w:rPr>
        <w:t>7.现场勘察</w:t>
      </w:r>
    </w:p>
    <w:p w14:paraId="694DBA6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7.1供应商应按</w:t>
      </w:r>
      <w:r>
        <w:rPr>
          <w:rFonts w:hint="eastAsia" w:ascii="宋体" w:hAnsi="宋体" w:eastAsia="宋体" w:cs="宋体"/>
          <w:b/>
          <w:color w:val="auto"/>
        </w:rPr>
        <w:t>磋商须知前附表</w:t>
      </w:r>
      <w:r>
        <w:rPr>
          <w:rFonts w:hint="eastAsia" w:ascii="宋体" w:hAnsi="宋体" w:eastAsia="宋体" w:cs="宋体"/>
          <w:color w:val="auto"/>
        </w:rPr>
        <w:t>中规定</w:t>
      </w:r>
      <w:r>
        <w:rPr>
          <w:rFonts w:hint="eastAsia" w:ascii="宋体" w:hAnsi="宋体" w:eastAsia="宋体" w:cs="宋体"/>
          <w:color w:val="auto"/>
          <w:szCs w:val="21"/>
        </w:rPr>
        <w:t>对采购项目现场和周围环境的现场考察。</w:t>
      </w:r>
    </w:p>
    <w:p w14:paraId="731A6D9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7.2勘察现场的费用由供应商自己承担，勘察期间所发生的人身伤害及财产损失由供应商自己负责。</w:t>
      </w:r>
    </w:p>
    <w:p w14:paraId="229A1BC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b/>
          <w:color w:val="auto"/>
          <w:szCs w:val="21"/>
        </w:rPr>
      </w:pPr>
      <w:r>
        <w:rPr>
          <w:rFonts w:hint="eastAsia" w:ascii="宋体" w:hAnsi="宋体" w:eastAsia="宋体" w:cs="宋体"/>
          <w:color w:val="auto"/>
          <w:szCs w:val="21"/>
        </w:rPr>
        <w:t>7.3采购人不对供应商据此而做出的推论、理解和结论负责。一旦成交，供应商不得以任何借口，提出额外补偿，或延长合同期限的要求。</w:t>
      </w:r>
    </w:p>
    <w:p w14:paraId="1C349BD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8.采购进口产品</w:t>
      </w:r>
    </w:p>
    <w:p w14:paraId="71D412F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szCs w:val="21"/>
        </w:rPr>
        <w:t>8.1除</w:t>
      </w:r>
      <w:r>
        <w:rPr>
          <w:rFonts w:hint="eastAsia" w:ascii="宋体" w:hAnsi="宋体" w:eastAsia="宋体" w:cs="宋体"/>
          <w:b/>
          <w:color w:val="auto"/>
          <w:szCs w:val="21"/>
        </w:rPr>
        <w:t>磋商文件前附表</w:t>
      </w:r>
      <w:r>
        <w:rPr>
          <w:rFonts w:hint="eastAsia" w:ascii="宋体" w:hAnsi="宋体" w:eastAsia="宋体" w:cs="宋体"/>
          <w:color w:val="auto"/>
          <w:szCs w:val="21"/>
        </w:rPr>
        <w:t>另有规定外，本项目</w:t>
      </w:r>
      <w:r>
        <w:rPr>
          <w:rFonts w:hint="eastAsia" w:ascii="宋体" w:hAnsi="宋体" w:eastAsia="宋体" w:cs="宋体"/>
          <w:color w:val="auto"/>
          <w:kern w:val="0"/>
          <w:szCs w:val="21"/>
        </w:rPr>
        <w:t>拒绝进口产品参加</w:t>
      </w:r>
      <w:r>
        <w:rPr>
          <w:rFonts w:hint="eastAsia" w:ascii="宋体" w:hAnsi="宋体" w:eastAsia="宋体" w:cs="宋体"/>
          <w:color w:val="auto"/>
          <w:szCs w:val="21"/>
        </w:rPr>
        <w:t>竞争性磋商采购活动</w:t>
      </w:r>
      <w:r>
        <w:rPr>
          <w:rFonts w:hint="eastAsia" w:ascii="宋体" w:hAnsi="宋体" w:eastAsia="宋体" w:cs="宋体"/>
          <w:color w:val="auto"/>
          <w:kern w:val="0"/>
          <w:szCs w:val="21"/>
        </w:rPr>
        <w:t>。</w:t>
      </w:r>
    </w:p>
    <w:p w14:paraId="72E56FC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8.2</w:t>
      </w:r>
      <w:r>
        <w:rPr>
          <w:rFonts w:hint="eastAsia" w:ascii="宋体" w:hAnsi="宋体" w:eastAsia="宋体" w:cs="宋体"/>
          <w:color w:val="auto"/>
          <w:szCs w:val="21"/>
        </w:rPr>
        <w:t>本章第7.1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同意购买进口产品的，</w:t>
      </w:r>
      <w:r>
        <w:rPr>
          <w:rFonts w:hint="eastAsia" w:ascii="宋体" w:hAnsi="宋体" w:eastAsia="宋体" w:cs="宋体"/>
          <w:color w:val="auto"/>
          <w:szCs w:val="21"/>
        </w:rPr>
        <w:t>本项目</w:t>
      </w:r>
      <w:r>
        <w:rPr>
          <w:rFonts w:hint="eastAsia" w:ascii="宋体" w:hAnsi="宋体" w:eastAsia="宋体" w:cs="宋体"/>
          <w:color w:val="auto"/>
          <w:kern w:val="0"/>
          <w:szCs w:val="21"/>
          <w:lang w:val="zh-CN"/>
        </w:rPr>
        <w:t>采购活动</w:t>
      </w:r>
      <w:r>
        <w:rPr>
          <w:rFonts w:hint="eastAsia" w:ascii="宋体" w:hAnsi="宋体" w:eastAsia="宋体" w:cs="宋体"/>
          <w:color w:val="auto"/>
          <w:kern w:val="0"/>
          <w:szCs w:val="21"/>
        </w:rPr>
        <w:t>不限制满足</w:t>
      </w:r>
      <w:r>
        <w:rPr>
          <w:rFonts w:hint="eastAsia" w:ascii="宋体" w:hAnsi="宋体" w:eastAsia="宋体" w:cs="宋体"/>
          <w:color w:val="auto"/>
          <w:szCs w:val="21"/>
        </w:rPr>
        <w:t>磋商文件要求</w:t>
      </w:r>
      <w:r>
        <w:rPr>
          <w:rFonts w:hint="eastAsia" w:ascii="宋体" w:hAnsi="宋体" w:eastAsia="宋体" w:cs="宋体"/>
          <w:color w:val="auto"/>
          <w:kern w:val="0"/>
          <w:szCs w:val="21"/>
        </w:rPr>
        <w:t>的国内产品参与</w:t>
      </w:r>
      <w:r>
        <w:rPr>
          <w:rFonts w:hint="eastAsia" w:ascii="宋体" w:hAnsi="宋体" w:eastAsia="宋体" w:cs="宋体"/>
          <w:color w:val="auto"/>
          <w:szCs w:val="21"/>
        </w:rPr>
        <w:t>竞争性磋商</w:t>
      </w:r>
      <w:r>
        <w:rPr>
          <w:rFonts w:hint="eastAsia" w:ascii="宋体" w:hAnsi="宋体" w:eastAsia="宋体" w:cs="宋体"/>
          <w:color w:val="auto"/>
          <w:kern w:val="0"/>
          <w:szCs w:val="21"/>
        </w:rPr>
        <w:t>。</w:t>
      </w:r>
    </w:p>
    <w:p w14:paraId="4322EA4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rPr>
      </w:pPr>
      <w:r>
        <w:rPr>
          <w:rFonts w:hint="eastAsia" w:ascii="宋体" w:hAnsi="宋体" w:eastAsia="宋体" w:cs="宋体"/>
          <w:b/>
          <w:bCs/>
          <w:color w:val="auto"/>
          <w:szCs w:val="21"/>
        </w:rPr>
        <w:t>9.</w:t>
      </w:r>
      <w:r>
        <w:rPr>
          <w:rFonts w:hint="eastAsia" w:ascii="宋体" w:hAnsi="宋体" w:eastAsia="宋体" w:cs="宋体"/>
          <w:b/>
          <w:color w:val="auto"/>
          <w:szCs w:val="21"/>
        </w:rPr>
        <w:t xml:space="preserve"> 政府采购政策支持</w:t>
      </w:r>
    </w:p>
    <w:p w14:paraId="44AD99B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rPr>
        <w:t>磋商文件前附表。</w:t>
      </w:r>
    </w:p>
    <w:p w14:paraId="1B1359F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0"/>
        </w:rPr>
        <w:t>磋商文件前附表。</w:t>
      </w:r>
    </w:p>
    <w:p w14:paraId="13A436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5079429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9.4同一项目中部分产品属于优先采购政策的，评审时只对该部分产品的报价实行价格扣除及加分。</w:t>
      </w:r>
    </w:p>
    <w:p w14:paraId="0CBE09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9.5符合本章第9.1</w:t>
      </w:r>
      <w:r>
        <w:rPr>
          <w:rFonts w:hint="eastAsia" w:ascii="宋体" w:hAnsi="宋体" w:eastAsia="宋体" w:cs="宋体"/>
          <w:color w:val="auto"/>
          <w:kern w:val="0"/>
          <w:szCs w:val="21"/>
          <w:lang w:val="zh-CN"/>
        </w:rPr>
        <w:t>款、</w:t>
      </w:r>
      <w:r>
        <w:rPr>
          <w:rFonts w:hint="eastAsia" w:ascii="宋体" w:hAnsi="宋体" w:eastAsia="宋体" w:cs="宋体"/>
          <w:color w:val="auto"/>
          <w:szCs w:val="21"/>
        </w:rPr>
        <w:t>第9.2</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规定的，应提供相关证明资料。</w:t>
      </w:r>
    </w:p>
    <w:p w14:paraId="2E88DC8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9.6供应商有融资、担保需求的，具体办理流程可向</w:t>
      </w:r>
      <w:r>
        <w:rPr>
          <w:rFonts w:hint="eastAsia" w:ascii="宋体" w:hAnsi="宋体" w:eastAsia="宋体" w:cs="宋体"/>
          <w:b/>
          <w:color w:val="auto"/>
          <w:szCs w:val="21"/>
        </w:rPr>
        <w:t>磋商须知前附表</w:t>
      </w:r>
      <w:r>
        <w:rPr>
          <w:rFonts w:hint="eastAsia" w:ascii="宋体" w:hAnsi="宋体" w:eastAsia="宋体" w:cs="宋体"/>
          <w:color w:val="auto"/>
          <w:szCs w:val="21"/>
        </w:rPr>
        <w:t>所列金融机构和担保机构询问。</w:t>
      </w:r>
    </w:p>
    <w:p w14:paraId="67794F23">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宋体" w:hAnsi="宋体" w:eastAsia="宋体" w:cs="宋体"/>
          <w:color w:val="auto"/>
          <w:sz w:val="24"/>
        </w:rPr>
      </w:pPr>
      <w:r>
        <w:rPr>
          <w:rFonts w:hint="eastAsia" w:ascii="宋体" w:hAnsi="宋体" w:eastAsia="宋体" w:cs="宋体"/>
          <w:color w:val="auto"/>
          <w:sz w:val="24"/>
        </w:rPr>
        <w:t>二、磋商文件</w:t>
      </w:r>
    </w:p>
    <w:p w14:paraId="6C48BB2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10．磋商文件的组成</w:t>
      </w:r>
    </w:p>
    <w:p w14:paraId="198C08D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10.1 磋商文件由下列文件组成：</w:t>
      </w:r>
    </w:p>
    <w:p w14:paraId="4344519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第一章 磋商邀请</w:t>
      </w:r>
    </w:p>
    <w:p w14:paraId="6BCA262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第二章 磋商须知</w:t>
      </w:r>
    </w:p>
    <w:p w14:paraId="4B68CDE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第三章 政府采购合同格式条款</w:t>
      </w:r>
    </w:p>
    <w:p w14:paraId="4415D2C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第四章 采购需求</w:t>
      </w:r>
    </w:p>
    <w:p w14:paraId="1ECD08C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第五章 响应文件组成</w:t>
      </w:r>
    </w:p>
    <w:p w14:paraId="19D59E3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rPr>
      </w:pPr>
      <w:r>
        <w:rPr>
          <w:rFonts w:hint="eastAsia" w:ascii="宋体" w:hAnsi="宋体" w:eastAsia="宋体" w:cs="宋体"/>
          <w:color w:val="auto"/>
        </w:rPr>
        <w:t>10.2</w:t>
      </w:r>
      <w:r>
        <w:rPr>
          <w:rFonts w:hint="eastAsia" w:ascii="宋体" w:hAnsi="宋体" w:eastAsia="宋体" w:cs="宋体"/>
          <w:color w:val="auto"/>
          <w:kern w:val="0"/>
        </w:rPr>
        <w:t>磋商小组根据与供应商磋商情况可能实质性变动的内容，包括采购需求中的技术、服务要求以及合同条款，</w:t>
      </w:r>
      <w:r>
        <w:rPr>
          <w:rFonts w:hint="eastAsia" w:ascii="宋体" w:hAnsi="宋体" w:eastAsia="宋体" w:cs="宋体"/>
          <w:color w:val="auto"/>
        </w:rPr>
        <w:t>在</w:t>
      </w:r>
      <w:r>
        <w:rPr>
          <w:rFonts w:hint="eastAsia" w:ascii="宋体" w:hAnsi="宋体" w:eastAsia="宋体" w:cs="宋体"/>
          <w:b/>
          <w:color w:val="auto"/>
        </w:rPr>
        <w:t>磋商须知前附表</w:t>
      </w:r>
      <w:r>
        <w:rPr>
          <w:rFonts w:hint="eastAsia" w:ascii="宋体" w:hAnsi="宋体" w:eastAsia="宋体" w:cs="宋体"/>
          <w:color w:val="auto"/>
        </w:rPr>
        <w:t>中明确。</w:t>
      </w:r>
    </w:p>
    <w:p w14:paraId="62D0AA8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rPr>
        <w:t>10.3</w:t>
      </w:r>
      <w:r>
        <w:rPr>
          <w:rFonts w:hint="eastAsia" w:ascii="宋体" w:hAnsi="宋体" w:eastAsia="宋体" w:cs="宋体"/>
          <w:color w:val="auto"/>
          <w:szCs w:val="21"/>
        </w:rPr>
        <w:t>供应商应仔细阅读</w:t>
      </w:r>
      <w:r>
        <w:rPr>
          <w:rFonts w:hint="eastAsia" w:ascii="宋体" w:hAnsi="宋体" w:eastAsia="宋体" w:cs="宋体"/>
          <w:bCs/>
          <w:color w:val="auto"/>
          <w:szCs w:val="21"/>
        </w:rPr>
        <w:t>磋商</w:t>
      </w:r>
      <w:r>
        <w:rPr>
          <w:rFonts w:hint="eastAsia" w:ascii="宋体" w:hAnsi="宋体" w:eastAsia="宋体" w:cs="宋体"/>
          <w:color w:val="auto"/>
          <w:szCs w:val="21"/>
        </w:rPr>
        <w:t>文件的全部内容，按照</w:t>
      </w:r>
      <w:r>
        <w:rPr>
          <w:rFonts w:hint="eastAsia" w:ascii="宋体" w:hAnsi="宋体" w:eastAsia="宋体" w:cs="宋体"/>
          <w:bCs/>
          <w:color w:val="auto"/>
          <w:szCs w:val="21"/>
        </w:rPr>
        <w:t>磋商</w:t>
      </w:r>
      <w:r>
        <w:rPr>
          <w:rFonts w:hint="eastAsia" w:ascii="宋体" w:hAnsi="宋体" w:eastAsia="宋体" w:cs="宋体"/>
          <w:color w:val="auto"/>
          <w:szCs w:val="21"/>
        </w:rPr>
        <w:t>文件要求编制响应文件。任何对</w:t>
      </w:r>
      <w:r>
        <w:rPr>
          <w:rFonts w:hint="eastAsia" w:ascii="宋体" w:hAnsi="宋体" w:eastAsia="宋体" w:cs="宋体"/>
          <w:bCs/>
          <w:color w:val="auto"/>
          <w:szCs w:val="21"/>
        </w:rPr>
        <w:t>磋商</w:t>
      </w:r>
      <w:r>
        <w:rPr>
          <w:rFonts w:hint="eastAsia" w:ascii="宋体" w:hAnsi="宋体" w:eastAsia="宋体" w:cs="宋体"/>
          <w:color w:val="auto"/>
          <w:szCs w:val="21"/>
        </w:rPr>
        <w:t>文件的忽略或误解不能作为响应文件存在缺陷或瑕疵的理由，其风险由供应商承担。</w:t>
      </w:r>
    </w:p>
    <w:p w14:paraId="6C03B72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rPr>
      </w:pPr>
      <w:r>
        <w:rPr>
          <w:rFonts w:hint="eastAsia" w:ascii="宋体" w:hAnsi="宋体" w:eastAsia="宋体" w:cs="宋体"/>
          <w:b/>
          <w:color w:val="auto"/>
          <w:szCs w:val="21"/>
        </w:rPr>
        <w:t>11.</w:t>
      </w:r>
      <w:r>
        <w:rPr>
          <w:rFonts w:hint="eastAsia" w:ascii="宋体" w:hAnsi="宋体" w:eastAsia="宋体" w:cs="宋体"/>
          <w:b/>
          <w:color w:val="auto"/>
        </w:rPr>
        <w:t xml:space="preserve"> </w:t>
      </w:r>
      <w:r>
        <w:rPr>
          <w:rFonts w:hint="eastAsia" w:ascii="宋体" w:hAnsi="宋体" w:eastAsia="宋体" w:cs="宋体"/>
          <w:b/>
          <w:color w:val="auto"/>
          <w:szCs w:val="21"/>
        </w:rPr>
        <w:t>磋商文件的提供期限</w:t>
      </w:r>
    </w:p>
    <w:p w14:paraId="5C201CA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11.1磋商文件的提供期限自开始发出之日起不得少于五个工作日。具体提供期限见</w:t>
      </w:r>
      <w:r>
        <w:rPr>
          <w:rFonts w:hint="eastAsia" w:ascii="宋体" w:hAnsi="宋体" w:eastAsia="宋体" w:cs="宋体"/>
          <w:b/>
          <w:color w:val="auto"/>
          <w:szCs w:val="21"/>
        </w:rPr>
        <w:t>磋商文件前附表</w:t>
      </w:r>
      <w:r>
        <w:rPr>
          <w:rFonts w:hint="eastAsia" w:ascii="宋体" w:hAnsi="宋体" w:eastAsia="宋体" w:cs="宋体"/>
          <w:color w:val="auto"/>
          <w:szCs w:val="21"/>
        </w:rPr>
        <w:t>。</w:t>
      </w:r>
    </w:p>
    <w:p w14:paraId="1F318EB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11.2供应商应持</w:t>
      </w:r>
      <w:r>
        <w:rPr>
          <w:rFonts w:hint="eastAsia" w:ascii="宋体" w:hAnsi="宋体" w:eastAsia="宋体" w:cs="宋体"/>
          <w:b/>
          <w:color w:val="auto"/>
          <w:szCs w:val="21"/>
        </w:rPr>
        <w:t>磋商文件前附表</w:t>
      </w:r>
      <w:r>
        <w:rPr>
          <w:rFonts w:hint="eastAsia" w:ascii="宋体" w:hAnsi="宋体" w:eastAsia="宋体" w:cs="宋体"/>
          <w:color w:val="auto"/>
          <w:szCs w:val="21"/>
        </w:rPr>
        <w:t>规定的资料领取或购买磋商文件。</w:t>
      </w:r>
    </w:p>
    <w:p w14:paraId="282C95FE">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rPr>
      </w:pPr>
      <w:r>
        <w:rPr>
          <w:rFonts w:hint="eastAsia" w:ascii="宋体" w:hAnsi="宋体" w:eastAsia="宋体" w:cs="宋体"/>
          <w:b/>
          <w:color w:val="auto"/>
        </w:rPr>
        <w:t>12.</w:t>
      </w:r>
      <w:r>
        <w:rPr>
          <w:rFonts w:hint="eastAsia" w:ascii="宋体" w:hAnsi="宋体" w:eastAsia="宋体" w:cs="宋体"/>
          <w:b/>
          <w:color w:val="auto"/>
          <w:kern w:val="0"/>
        </w:rPr>
        <w:t>提交首次响应文件</w:t>
      </w:r>
      <w:r>
        <w:rPr>
          <w:rFonts w:hint="eastAsia" w:ascii="宋体" w:hAnsi="宋体" w:eastAsia="宋体" w:cs="宋体"/>
          <w:b/>
          <w:color w:val="auto"/>
        </w:rPr>
        <w:t>的</w:t>
      </w:r>
      <w:r>
        <w:rPr>
          <w:rFonts w:hint="eastAsia" w:ascii="宋体" w:hAnsi="宋体" w:eastAsia="宋体" w:cs="宋体"/>
          <w:b/>
          <w:color w:val="auto"/>
          <w:kern w:val="0"/>
        </w:rPr>
        <w:t>截止</w:t>
      </w:r>
      <w:r>
        <w:rPr>
          <w:rFonts w:hint="eastAsia" w:ascii="宋体" w:hAnsi="宋体" w:eastAsia="宋体" w:cs="宋体"/>
          <w:b/>
          <w:color w:val="auto"/>
        </w:rPr>
        <w:t>时间</w:t>
      </w:r>
    </w:p>
    <w:p w14:paraId="78BEADC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12.1</w:t>
      </w:r>
      <w:r>
        <w:rPr>
          <w:rFonts w:hint="eastAsia" w:ascii="宋体" w:hAnsi="宋体" w:eastAsia="宋体" w:cs="宋体"/>
          <w:color w:val="auto"/>
          <w:kern w:val="0"/>
        </w:rPr>
        <w:t>供应商提交首次响应文件截止</w:t>
      </w:r>
      <w:r>
        <w:rPr>
          <w:rFonts w:hint="eastAsia" w:ascii="宋体" w:hAnsi="宋体" w:eastAsia="宋体" w:cs="宋体"/>
          <w:color w:val="auto"/>
        </w:rPr>
        <w:t>时间见</w:t>
      </w:r>
      <w:r>
        <w:rPr>
          <w:rFonts w:hint="eastAsia" w:ascii="宋体" w:hAnsi="宋体" w:eastAsia="宋体" w:cs="宋体"/>
          <w:b/>
          <w:color w:val="auto"/>
        </w:rPr>
        <w:t>磋商须知前附表</w:t>
      </w:r>
      <w:r>
        <w:rPr>
          <w:rFonts w:hint="eastAsia" w:ascii="宋体" w:hAnsi="宋体" w:eastAsia="宋体" w:cs="宋体"/>
          <w:color w:val="auto"/>
        </w:rPr>
        <w:t>。</w:t>
      </w:r>
    </w:p>
    <w:p w14:paraId="61C6694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13.磋商文件的澄清</w:t>
      </w:r>
      <w:r>
        <w:rPr>
          <w:rFonts w:hint="eastAsia" w:ascii="宋体" w:hAnsi="宋体" w:eastAsia="宋体" w:cs="宋体"/>
          <w:b/>
          <w:color w:val="auto"/>
          <w:kern w:val="0"/>
          <w:szCs w:val="21"/>
          <w:lang w:val="zh-CN"/>
        </w:rPr>
        <w:t>或者</w:t>
      </w:r>
      <w:r>
        <w:rPr>
          <w:rFonts w:hint="eastAsia" w:ascii="宋体" w:hAnsi="宋体" w:eastAsia="宋体" w:cs="宋体"/>
          <w:b/>
          <w:bCs/>
          <w:color w:val="auto"/>
          <w:szCs w:val="21"/>
        </w:rPr>
        <w:t>修改</w:t>
      </w:r>
    </w:p>
    <w:p w14:paraId="5C4E6D0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szCs w:val="21"/>
        </w:rPr>
        <w:t>13.1在</w:t>
      </w:r>
      <w:r>
        <w:rPr>
          <w:rFonts w:hint="eastAsia" w:ascii="宋体" w:hAnsi="宋体" w:eastAsia="宋体" w:cs="宋体"/>
          <w:color w:val="auto"/>
          <w:kern w:val="0"/>
          <w:szCs w:val="21"/>
        </w:rPr>
        <w:t xml:space="preserve">提交首次响应文件截止之日前，采购人、采购代理机构可以对已发出的磋商文件进行必要的澄清或者修改。 </w:t>
      </w:r>
    </w:p>
    <w:p w14:paraId="4646E9A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szCs w:val="21"/>
        </w:rPr>
        <w:t>13.2</w:t>
      </w:r>
      <w:r>
        <w:rPr>
          <w:rFonts w:hint="eastAsia" w:ascii="宋体" w:hAnsi="宋体" w:eastAsia="宋体" w:cs="宋体"/>
          <w:color w:val="auto"/>
          <w:kern w:val="0"/>
          <w:szCs w:val="21"/>
        </w:rPr>
        <w:t>澄清或者修改的内容可能影响响应文件编制的，采购人、采购代理机构应当在提交首次响应文件截止</w:t>
      </w:r>
      <w:r>
        <w:rPr>
          <w:rFonts w:hint="eastAsia" w:ascii="宋体" w:hAnsi="宋体" w:eastAsia="宋体" w:cs="宋体"/>
          <w:color w:val="auto"/>
          <w:kern w:val="0"/>
          <w:szCs w:val="21"/>
          <w:lang w:eastAsia="zh-CN"/>
        </w:rPr>
        <w:t>至少</w:t>
      </w:r>
      <w:r>
        <w:rPr>
          <w:rFonts w:hint="eastAsia" w:ascii="宋体" w:hAnsi="宋体" w:eastAsia="宋体" w:cs="宋体"/>
          <w:color w:val="auto"/>
          <w:kern w:val="0"/>
          <w:szCs w:val="21"/>
          <w:lang w:val="en-US" w:eastAsia="zh-CN"/>
        </w:rPr>
        <w:t>5日前</w:t>
      </w:r>
      <w:r>
        <w:rPr>
          <w:rFonts w:hint="eastAsia" w:ascii="宋体" w:hAnsi="宋体" w:eastAsia="宋体" w:cs="宋体"/>
          <w:color w:val="auto"/>
          <w:kern w:val="0"/>
          <w:szCs w:val="21"/>
        </w:rPr>
        <w:t>，以书面形式通知所有接收磋商文件的供应商，不足</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日的，顺延供应商提交首次响应文件截止时间。</w:t>
      </w:r>
    </w:p>
    <w:p w14:paraId="7FC1F16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13.2</w:t>
      </w:r>
      <w:r>
        <w:rPr>
          <w:rFonts w:hint="eastAsia" w:ascii="宋体" w:hAnsi="宋体" w:eastAsia="宋体" w:cs="宋体"/>
          <w:color w:val="auto"/>
          <w:kern w:val="0"/>
        </w:rPr>
        <w:t>提交首次响应文件截止时间前对磋商文件澄清或者修改内容，为磋商文件的组成部分。</w:t>
      </w:r>
    </w:p>
    <w:p w14:paraId="3000264C">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宋体" w:hAnsi="宋体" w:eastAsia="宋体" w:cs="宋体"/>
          <w:color w:val="auto"/>
          <w:sz w:val="24"/>
        </w:rPr>
      </w:pPr>
      <w:r>
        <w:rPr>
          <w:rFonts w:hint="eastAsia" w:ascii="宋体" w:hAnsi="宋体" w:eastAsia="宋体" w:cs="宋体"/>
          <w:color w:val="auto"/>
          <w:sz w:val="24"/>
        </w:rPr>
        <w:t>三、响应文件</w:t>
      </w:r>
    </w:p>
    <w:p w14:paraId="2662DC1E">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14.一般要求</w:t>
      </w:r>
    </w:p>
    <w:p w14:paraId="5C7B4F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szCs w:val="21"/>
        </w:rPr>
      </w:pPr>
      <w:r>
        <w:rPr>
          <w:rFonts w:hint="eastAsia" w:ascii="宋体" w:hAnsi="宋体" w:eastAsia="宋体" w:cs="宋体"/>
          <w:bCs/>
          <w:color w:val="auto"/>
          <w:szCs w:val="21"/>
        </w:rPr>
        <w:t>14.1 供应商应仔细阅读磋商文件的所有内容，按磋商文件的要求编制响应文件，并保证所提供的全部资料的真实性，以使其响应文件对磋商文件做出实质性的响应。</w:t>
      </w:r>
    </w:p>
    <w:p w14:paraId="5443890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szCs w:val="21"/>
        </w:rPr>
      </w:pPr>
      <w:r>
        <w:rPr>
          <w:rFonts w:hint="eastAsia" w:ascii="宋体" w:hAnsi="宋体" w:eastAsia="宋体" w:cs="宋体"/>
          <w:bCs/>
          <w:color w:val="auto"/>
          <w:szCs w:val="21"/>
        </w:rPr>
        <w:t xml:space="preserve">14.2 </w:t>
      </w:r>
      <w:r>
        <w:rPr>
          <w:rFonts w:hint="eastAsia" w:ascii="宋体" w:hAnsi="宋体" w:eastAsia="宋体" w:cs="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50985A6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bCs/>
          <w:color w:val="auto"/>
        </w:rPr>
        <w:t xml:space="preserve">14.3 </w:t>
      </w:r>
      <w:r>
        <w:rPr>
          <w:rFonts w:hint="eastAsia" w:ascii="宋体" w:hAnsi="宋体" w:eastAsia="宋体" w:cs="宋体"/>
          <w:color w:val="auto"/>
        </w:rPr>
        <w:t>计量单位应使用我国法定计量单位，未列明时应默认为我国法定计量单位。</w:t>
      </w:r>
    </w:p>
    <w:p w14:paraId="6A6828C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14.4 响应文件应采用书面形式，电报、传真、电子邮件形式的响应文件概不接受。</w:t>
      </w:r>
    </w:p>
    <w:p w14:paraId="1B0F2B0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14.5 供应商应按磋商文件中提供的响应文件格式填写。</w:t>
      </w:r>
    </w:p>
    <w:p w14:paraId="3E962C45">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15.</w:t>
      </w:r>
      <w:r>
        <w:rPr>
          <w:rFonts w:hint="eastAsia" w:ascii="宋体" w:hAnsi="宋体" w:eastAsia="宋体" w:cs="宋体"/>
          <w:b/>
          <w:color w:val="auto"/>
          <w:szCs w:val="21"/>
        </w:rPr>
        <w:t>响应文件</w:t>
      </w:r>
      <w:r>
        <w:rPr>
          <w:rFonts w:hint="eastAsia" w:ascii="宋体" w:hAnsi="宋体" w:eastAsia="宋体" w:cs="宋体"/>
          <w:b/>
          <w:bCs/>
          <w:color w:val="auto"/>
          <w:szCs w:val="21"/>
        </w:rPr>
        <w:t>的组成</w:t>
      </w:r>
    </w:p>
    <w:p w14:paraId="1BA2AE0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eastAsia="宋体" w:cs="宋体"/>
          <w:color w:val="auto"/>
          <w:szCs w:val="21"/>
        </w:rPr>
      </w:pPr>
      <w:r>
        <w:rPr>
          <w:rFonts w:hint="eastAsia" w:ascii="宋体" w:hAnsi="宋体" w:eastAsia="宋体" w:cs="宋体"/>
          <w:color w:val="auto"/>
        </w:rPr>
        <w:t>15.1 响应文件包括下列内容：</w:t>
      </w:r>
      <w:r>
        <w:rPr>
          <w:rFonts w:hint="eastAsia" w:ascii="宋体" w:hAnsi="宋体" w:eastAsia="宋体" w:cs="宋体"/>
          <w:color w:val="auto"/>
          <w:szCs w:val="21"/>
        </w:rPr>
        <w:t xml:space="preserve"> </w:t>
      </w:r>
    </w:p>
    <w:p w14:paraId="59E6842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一、磋商响应声明</w:t>
      </w:r>
    </w:p>
    <w:p w14:paraId="29536FD8">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二、保证金</w:t>
      </w:r>
    </w:p>
    <w:p w14:paraId="40D757B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三、供应商的资格证明材料</w:t>
      </w:r>
    </w:p>
    <w:p w14:paraId="230B507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lang w:val="en-US" w:eastAsia="zh-CN"/>
        </w:rPr>
      </w:pPr>
      <w:r>
        <w:rPr>
          <w:rFonts w:hint="eastAsia" w:ascii="宋体" w:hAnsi="宋体" w:eastAsia="宋体" w:cs="宋体"/>
          <w:b/>
          <w:bCs/>
          <w:color w:val="000000"/>
          <w:sz w:val="24"/>
          <w:highlight w:val="none"/>
        </w:rPr>
        <w:t>四、</w:t>
      </w:r>
      <w:r>
        <w:rPr>
          <w:rFonts w:hint="eastAsia" w:ascii="宋体" w:hAnsi="宋体" w:eastAsia="宋体" w:cs="宋体"/>
          <w:b/>
          <w:bCs/>
          <w:color w:val="000000"/>
          <w:sz w:val="24"/>
          <w:highlight w:val="none"/>
          <w:lang w:val="en-US" w:eastAsia="zh-CN"/>
        </w:rPr>
        <w:t>服务方案</w:t>
      </w:r>
    </w:p>
    <w:p w14:paraId="7C9CEE4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五、技术/商务响应与偏离表</w:t>
      </w:r>
    </w:p>
    <w:p w14:paraId="41297D58">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六、提供政府采购政策产品等证明材料</w:t>
      </w:r>
    </w:p>
    <w:p w14:paraId="5BD3F93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七、报价一览表及报价文件</w:t>
      </w:r>
    </w:p>
    <w:p w14:paraId="2693F19E">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八、供应商认为需提供的其它资料</w:t>
      </w:r>
    </w:p>
    <w:p w14:paraId="6E44F53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九、最后报价</w:t>
      </w:r>
    </w:p>
    <w:p w14:paraId="7FEDD4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15.2在磋商过程中，</w:t>
      </w:r>
      <w:r>
        <w:rPr>
          <w:rFonts w:hint="eastAsia" w:ascii="宋体" w:hAnsi="宋体" w:eastAsia="宋体" w:cs="宋体"/>
          <w:color w:val="auto"/>
          <w:szCs w:val="21"/>
        </w:rPr>
        <w:t>供应商</w:t>
      </w:r>
      <w:r>
        <w:rPr>
          <w:rFonts w:hint="eastAsia" w:ascii="宋体" w:hAnsi="宋体" w:eastAsia="宋体" w:cs="宋体"/>
          <w:color w:val="auto"/>
        </w:rPr>
        <w:t>根据</w:t>
      </w:r>
      <w:r>
        <w:rPr>
          <w:rFonts w:hint="eastAsia" w:ascii="宋体" w:hAnsi="宋体" w:eastAsia="宋体" w:cs="宋体"/>
          <w:color w:val="auto"/>
          <w:kern w:val="0"/>
          <w:szCs w:val="21"/>
        </w:rPr>
        <w:t>磋商小组</w:t>
      </w:r>
      <w:r>
        <w:rPr>
          <w:rFonts w:hint="eastAsia" w:ascii="宋体" w:hAnsi="宋体" w:eastAsia="宋体" w:cs="宋体"/>
          <w:bCs/>
          <w:color w:val="auto"/>
          <w:szCs w:val="21"/>
        </w:rPr>
        <w:t>书面形式要求</w:t>
      </w:r>
      <w:r>
        <w:rPr>
          <w:rFonts w:hint="eastAsia" w:ascii="宋体" w:hAnsi="宋体" w:eastAsia="宋体" w:cs="宋体"/>
          <w:color w:val="auto"/>
          <w:kern w:val="0"/>
          <w:szCs w:val="21"/>
        </w:rPr>
        <w:t>提交的</w:t>
      </w:r>
      <w:r>
        <w:rPr>
          <w:rFonts w:hint="eastAsia" w:ascii="宋体" w:hAnsi="宋体" w:eastAsia="宋体" w:cs="宋体"/>
          <w:color w:val="auto"/>
        </w:rPr>
        <w:t>最后报价(或者</w:t>
      </w:r>
      <w:r>
        <w:rPr>
          <w:rFonts w:hint="eastAsia" w:ascii="宋体" w:hAnsi="宋体" w:eastAsia="宋体" w:cs="宋体"/>
          <w:bCs/>
          <w:color w:val="auto"/>
          <w:szCs w:val="21"/>
        </w:rPr>
        <w:t>重</w:t>
      </w:r>
      <w:r>
        <w:rPr>
          <w:rFonts w:hint="eastAsia" w:ascii="宋体" w:hAnsi="宋体" w:eastAsia="宋体" w:cs="宋体"/>
          <w:color w:val="auto"/>
          <w:kern w:val="0"/>
          <w:szCs w:val="21"/>
        </w:rPr>
        <w:t>新提交的响应文件和</w:t>
      </w:r>
      <w:r>
        <w:rPr>
          <w:rFonts w:hint="eastAsia" w:ascii="宋体" w:hAnsi="宋体" w:eastAsia="宋体" w:cs="宋体"/>
          <w:color w:val="auto"/>
        </w:rPr>
        <w:t>最后报价)是</w:t>
      </w:r>
      <w:r>
        <w:rPr>
          <w:rFonts w:hint="eastAsia" w:ascii="宋体" w:hAnsi="宋体" w:eastAsia="宋体" w:cs="宋体"/>
          <w:color w:val="auto"/>
          <w:szCs w:val="21"/>
        </w:rPr>
        <w:t>响应文件</w:t>
      </w:r>
      <w:r>
        <w:rPr>
          <w:rFonts w:hint="eastAsia" w:ascii="宋体" w:hAnsi="宋体" w:eastAsia="宋体" w:cs="宋体"/>
          <w:color w:val="auto"/>
        </w:rPr>
        <w:t>的有效组成部分。</w:t>
      </w:r>
    </w:p>
    <w:p w14:paraId="674ED49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rPr>
      </w:pPr>
      <w:r>
        <w:rPr>
          <w:rFonts w:hint="eastAsia" w:ascii="宋体" w:hAnsi="宋体" w:eastAsia="宋体" w:cs="宋体"/>
          <w:color w:val="auto"/>
        </w:rPr>
        <w:t>15.3</w:t>
      </w:r>
      <w:r>
        <w:rPr>
          <w:rFonts w:hint="eastAsia" w:ascii="宋体" w:hAnsi="宋体" w:eastAsia="宋体" w:cs="宋体"/>
          <w:color w:val="auto"/>
          <w:kern w:val="0"/>
          <w:szCs w:val="21"/>
        </w:rPr>
        <w:t>磋商文件规定可能发生实质性变动的，供应商应当在</w:t>
      </w:r>
      <w:r>
        <w:rPr>
          <w:rFonts w:hint="eastAsia" w:ascii="宋体" w:hAnsi="宋体" w:eastAsia="宋体" w:cs="宋体"/>
          <w:color w:val="auto"/>
        </w:rPr>
        <w:t>《技术/商务响应与偏离表》中对应内容注明。</w:t>
      </w:r>
    </w:p>
    <w:p w14:paraId="31C05CB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rPr>
        <w:t>15.4</w:t>
      </w:r>
      <w:r>
        <w:rPr>
          <w:rFonts w:hint="eastAsia" w:ascii="宋体" w:hAnsi="宋体" w:eastAsia="宋体" w:cs="宋体"/>
          <w:color w:val="auto"/>
          <w:szCs w:val="21"/>
        </w:rPr>
        <w:t>根据《政府采购法》第四十二条的规定，供应商无论成交与否，其响应文件不予退还。</w:t>
      </w:r>
    </w:p>
    <w:p w14:paraId="08614923">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16.报价</w:t>
      </w:r>
    </w:p>
    <w:p w14:paraId="4FBC531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16.1供应商应当根据磋商文件要求和范围，以</w:t>
      </w:r>
      <w:r>
        <w:rPr>
          <w:rFonts w:hint="eastAsia" w:ascii="宋体" w:hAnsi="宋体" w:eastAsia="宋体" w:cs="宋体"/>
          <w:bCs/>
          <w:color w:val="auto"/>
          <w:szCs w:val="21"/>
        </w:rPr>
        <w:t>人民币</w:t>
      </w:r>
      <w:r>
        <w:rPr>
          <w:rFonts w:hint="eastAsia" w:ascii="宋体" w:hAnsi="宋体" w:eastAsia="宋体" w:cs="宋体"/>
          <w:color w:val="auto"/>
          <w:szCs w:val="21"/>
        </w:rPr>
        <w:t>报价，以元为单位，保留小数点后两位。</w:t>
      </w:r>
    </w:p>
    <w:p w14:paraId="78DFD97A">
      <w:pPr>
        <w:pStyle w:val="101"/>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16.2供应商应按第五章 响应文件组成格式填写。</w:t>
      </w:r>
    </w:p>
    <w:p w14:paraId="03A46C0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16.3响应文件中标明的价格在合同执行过程中是固定不变的，不得以任何理由予以变更。以可变动价格提交的报价将被认为是非实质响应而被拒绝。</w:t>
      </w:r>
    </w:p>
    <w:p w14:paraId="7049CED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16.4</w:t>
      </w:r>
      <w:r>
        <w:rPr>
          <w:rFonts w:hint="eastAsia" w:ascii="宋体" w:hAnsi="宋体" w:eastAsia="宋体" w:cs="宋体"/>
          <w:color w:val="auto"/>
          <w:kern w:val="0"/>
          <w:lang w:val="zh-CN"/>
        </w:rPr>
        <w:t>供应商</w:t>
      </w:r>
      <w:r>
        <w:rPr>
          <w:rFonts w:hint="eastAsia" w:ascii="宋体" w:hAnsi="宋体" w:eastAsia="宋体" w:cs="宋体"/>
          <w:color w:val="auto"/>
        </w:rPr>
        <w:t>的报价不得超过采购项目预算，采购项目预算或其计算方法见</w:t>
      </w:r>
      <w:r>
        <w:rPr>
          <w:rFonts w:hint="eastAsia" w:ascii="宋体" w:hAnsi="宋体" w:eastAsia="宋体" w:cs="宋体"/>
          <w:b/>
          <w:color w:val="auto"/>
        </w:rPr>
        <w:t>磋商须知前附表</w:t>
      </w:r>
      <w:r>
        <w:rPr>
          <w:rFonts w:hint="eastAsia" w:ascii="宋体" w:hAnsi="宋体" w:eastAsia="宋体" w:cs="宋体"/>
          <w:color w:val="auto"/>
        </w:rPr>
        <w:t>。</w:t>
      </w:r>
    </w:p>
    <w:p w14:paraId="75F70746">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rPr>
      </w:pPr>
      <w:r>
        <w:rPr>
          <w:rFonts w:hint="eastAsia" w:ascii="宋体" w:hAnsi="宋体" w:eastAsia="宋体" w:cs="宋体"/>
          <w:b/>
          <w:color w:val="auto"/>
        </w:rPr>
        <w:t>17.供应商符合磋商文件规定的证明文件</w:t>
      </w:r>
    </w:p>
    <w:p w14:paraId="23AF1FE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17.1供应商应提交满足本章第3.1款规定的资格条件要求的证明文件,该证明文件作为响应文件的一部分。</w:t>
      </w:r>
    </w:p>
    <w:p w14:paraId="7788649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17.2如果供应商为联合体，则应提交联合体各方资格证明文件、联合体协议。否则，在评审时将其视为无效响应。</w:t>
      </w:r>
    </w:p>
    <w:p w14:paraId="122AAD9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17.3 除</w:t>
      </w:r>
      <w:r>
        <w:rPr>
          <w:rFonts w:hint="eastAsia" w:ascii="宋体" w:hAnsi="宋体" w:eastAsia="宋体" w:cs="宋体"/>
          <w:b/>
          <w:color w:val="auto"/>
          <w:szCs w:val="21"/>
        </w:rPr>
        <w:t>磋商须知前附表</w:t>
      </w:r>
      <w:r>
        <w:rPr>
          <w:rFonts w:hint="eastAsia" w:ascii="宋体" w:hAnsi="宋体" w:eastAsia="宋体" w:cs="宋体"/>
          <w:color w:val="auto"/>
          <w:szCs w:val="21"/>
        </w:rPr>
        <w:t>另有规定外，供应商提供的货物及服务不是供应商制造或拥有的，则必须提供经销、或代理采购货物、或采购货物提供售后服务的证明文件。</w:t>
      </w:r>
    </w:p>
    <w:p w14:paraId="424C7D0E">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18．样品提供</w:t>
      </w:r>
    </w:p>
    <w:p w14:paraId="44C962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 xml:space="preserve">18.1 </w:t>
      </w:r>
      <w:r>
        <w:rPr>
          <w:rFonts w:hint="eastAsia" w:ascii="宋体" w:hAnsi="宋体" w:eastAsia="宋体" w:cs="宋体"/>
          <w:b/>
          <w:color w:val="auto"/>
        </w:rPr>
        <w:t>磋商须知前附表</w:t>
      </w:r>
      <w:r>
        <w:rPr>
          <w:rFonts w:hint="eastAsia" w:ascii="宋体" w:hAnsi="宋体" w:eastAsia="宋体" w:cs="宋体"/>
          <w:color w:val="auto"/>
          <w:szCs w:val="21"/>
        </w:rPr>
        <w:t>规定</w:t>
      </w:r>
      <w:r>
        <w:rPr>
          <w:rFonts w:hint="eastAsia" w:ascii="宋体" w:hAnsi="宋体" w:eastAsia="宋体" w:cs="宋体"/>
          <w:bCs/>
          <w:color w:val="auto"/>
        </w:rPr>
        <w:t>供应商</w:t>
      </w:r>
      <w:r>
        <w:rPr>
          <w:rFonts w:hint="eastAsia" w:ascii="宋体" w:hAnsi="宋体" w:eastAsia="宋体" w:cs="宋体"/>
          <w:color w:val="auto"/>
          <w:szCs w:val="21"/>
        </w:rPr>
        <w:t>在</w:t>
      </w:r>
      <w:r>
        <w:rPr>
          <w:rFonts w:hint="eastAsia" w:ascii="宋体" w:hAnsi="宋体" w:eastAsia="宋体" w:cs="宋体"/>
          <w:color w:val="auto"/>
        </w:rPr>
        <w:t>磋商</w:t>
      </w:r>
      <w:r>
        <w:rPr>
          <w:rFonts w:hint="eastAsia" w:ascii="宋体" w:hAnsi="宋体" w:eastAsia="宋体" w:cs="宋体"/>
          <w:color w:val="auto"/>
          <w:szCs w:val="21"/>
        </w:rPr>
        <w:t>时提供样品的，</w:t>
      </w:r>
      <w:r>
        <w:rPr>
          <w:rFonts w:hint="eastAsia" w:ascii="宋体" w:hAnsi="宋体" w:eastAsia="宋体" w:cs="宋体"/>
          <w:bCs/>
          <w:color w:val="auto"/>
        </w:rPr>
        <w:t>供应商</w:t>
      </w:r>
      <w:r>
        <w:rPr>
          <w:rFonts w:hint="eastAsia" w:ascii="宋体" w:hAnsi="宋体" w:eastAsia="宋体" w:cs="宋体"/>
          <w:color w:val="auto"/>
          <w:szCs w:val="21"/>
        </w:rPr>
        <w:t>有以下情形之一的，在评审时将其视为无效响应。</w:t>
      </w:r>
    </w:p>
    <w:p w14:paraId="53ABC23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（1）未在</w:t>
      </w:r>
      <w:r>
        <w:rPr>
          <w:rFonts w:hint="eastAsia" w:ascii="宋体" w:hAnsi="宋体" w:eastAsia="宋体" w:cs="宋体"/>
          <w:b/>
          <w:color w:val="auto"/>
        </w:rPr>
        <w:t>磋商须知前附表</w:t>
      </w:r>
      <w:r>
        <w:rPr>
          <w:rFonts w:hint="eastAsia" w:ascii="宋体" w:hAnsi="宋体" w:eastAsia="宋体" w:cs="宋体"/>
          <w:color w:val="auto"/>
          <w:szCs w:val="21"/>
        </w:rPr>
        <w:t>规定的提交时间、地点提交的；</w:t>
      </w:r>
    </w:p>
    <w:p w14:paraId="5BE073D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bCs/>
          <w:color w:val="auto"/>
        </w:rPr>
        <w:t>供应商</w:t>
      </w:r>
      <w:r>
        <w:rPr>
          <w:rFonts w:hint="eastAsia" w:ascii="宋体" w:hAnsi="宋体" w:eastAsia="宋体" w:cs="宋体"/>
          <w:color w:val="auto"/>
          <w:szCs w:val="21"/>
        </w:rPr>
        <w:t>提供的样品与响应文件中提供样品的型号、规格不一致的。</w:t>
      </w:r>
    </w:p>
    <w:p w14:paraId="00B14C6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19.</w:t>
      </w:r>
      <w:r>
        <w:rPr>
          <w:rFonts w:hint="eastAsia" w:ascii="宋体" w:hAnsi="宋体" w:eastAsia="宋体" w:cs="宋体"/>
          <w:color w:val="auto"/>
        </w:rPr>
        <w:t xml:space="preserve"> </w:t>
      </w:r>
      <w:r>
        <w:rPr>
          <w:rFonts w:hint="eastAsia" w:ascii="宋体" w:hAnsi="宋体" w:eastAsia="宋体" w:cs="宋体"/>
          <w:b/>
          <w:bCs/>
          <w:color w:val="auto"/>
          <w:szCs w:val="21"/>
        </w:rPr>
        <w:t>磋商保证金</w:t>
      </w:r>
    </w:p>
    <w:p w14:paraId="195781D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rPr>
      </w:pPr>
      <w:r>
        <w:rPr>
          <w:rFonts w:hint="eastAsia" w:ascii="宋体" w:hAnsi="宋体" w:eastAsia="宋体" w:cs="宋体"/>
          <w:color w:val="auto"/>
        </w:rPr>
        <w:t>19.1</w:t>
      </w:r>
      <w:r>
        <w:rPr>
          <w:rFonts w:hint="eastAsia" w:ascii="宋体" w:hAnsi="宋体" w:eastAsia="宋体" w:cs="宋体"/>
          <w:b/>
          <w:color w:val="auto"/>
        </w:rPr>
        <w:t>磋商须知前附表</w:t>
      </w:r>
      <w:r>
        <w:rPr>
          <w:rFonts w:hint="eastAsia" w:ascii="宋体" w:hAnsi="宋体" w:eastAsia="宋体" w:cs="宋体"/>
          <w:color w:val="auto"/>
        </w:rPr>
        <w:t>规定交纳磋商</w:t>
      </w:r>
      <w:r>
        <w:rPr>
          <w:rFonts w:hint="eastAsia" w:ascii="宋体" w:hAnsi="宋体" w:eastAsia="宋体" w:cs="宋体"/>
          <w:bCs/>
          <w:color w:val="auto"/>
        </w:rPr>
        <w:t>保证金的</w:t>
      </w:r>
      <w:r>
        <w:rPr>
          <w:rFonts w:hint="eastAsia" w:ascii="宋体" w:hAnsi="宋体" w:eastAsia="宋体" w:cs="宋体"/>
          <w:color w:val="auto"/>
        </w:rPr>
        <w:t>，应按</w:t>
      </w:r>
      <w:r>
        <w:rPr>
          <w:rFonts w:hint="eastAsia" w:ascii="宋体" w:hAnsi="宋体" w:eastAsia="宋体" w:cs="宋体"/>
          <w:b/>
          <w:color w:val="auto"/>
        </w:rPr>
        <w:t>磋商须知前附表</w:t>
      </w:r>
      <w:r>
        <w:rPr>
          <w:rFonts w:hint="eastAsia" w:ascii="宋体" w:hAnsi="宋体" w:eastAsia="宋体" w:cs="宋体"/>
          <w:color w:val="auto"/>
        </w:rPr>
        <w:t>规定的磋商</w:t>
      </w:r>
      <w:r>
        <w:rPr>
          <w:rFonts w:hint="eastAsia" w:ascii="宋体" w:hAnsi="宋体" w:eastAsia="宋体" w:cs="宋体"/>
          <w:bCs/>
          <w:color w:val="auto"/>
        </w:rPr>
        <w:t>保证金形式交纳，不得以现金方式交纳</w:t>
      </w:r>
      <w:r>
        <w:rPr>
          <w:rFonts w:hint="eastAsia" w:ascii="宋体" w:hAnsi="宋体" w:eastAsia="宋体" w:cs="宋体"/>
          <w:color w:val="auto"/>
        </w:rPr>
        <w:t>，在</w:t>
      </w:r>
      <w:r>
        <w:rPr>
          <w:rFonts w:hint="eastAsia" w:ascii="宋体" w:hAnsi="宋体" w:eastAsia="宋体" w:cs="宋体"/>
          <w:color w:val="auto"/>
          <w:kern w:val="0"/>
        </w:rPr>
        <w:t>提交首次响应文件截止时间</w:t>
      </w:r>
      <w:r>
        <w:rPr>
          <w:rFonts w:hint="eastAsia" w:ascii="宋体" w:hAnsi="宋体" w:eastAsia="宋体" w:cs="宋体"/>
          <w:color w:val="auto"/>
        </w:rPr>
        <w:t>前，</w:t>
      </w:r>
      <w:r>
        <w:rPr>
          <w:rFonts w:hint="eastAsia" w:ascii="宋体" w:hAnsi="宋体" w:eastAsia="宋体" w:cs="宋体"/>
          <w:bCs/>
          <w:color w:val="auto"/>
        </w:rPr>
        <w:t>向采购代理机构交纳不超过</w:t>
      </w:r>
      <w:r>
        <w:rPr>
          <w:rFonts w:hint="eastAsia" w:ascii="宋体" w:hAnsi="宋体" w:eastAsia="宋体" w:cs="宋体"/>
          <w:color w:val="auto"/>
          <w:kern w:val="0"/>
          <w:lang w:val="zh-CN"/>
        </w:rPr>
        <w:t>采购项目预算2﹪</w:t>
      </w:r>
      <w:r>
        <w:rPr>
          <w:rFonts w:hint="eastAsia" w:ascii="宋体" w:hAnsi="宋体" w:eastAsia="宋体" w:cs="宋体"/>
          <w:bCs/>
          <w:color w:val="auto"/>
        </w:rPr>
        <w:t>的磋商保证金(数额采用四舍五入，计算至元)</w:t>
      </w:r>
      <w:r>
        <w:rPr>
          <w:rFonts w:hint="eastAsia" w:ascii="宋体" w:hAnsi="宋体" w:eastAsia="宋体" w:cs="宋体"/>
          <w:color w:val="auto"/>
        </w:rPr>
        <w:t>。磋商</w:t>
      </w:r>
      <w:r>
        <w:rPr>
          <w:rFonts w:hint="eastAsia" w:ascii="宋体" w:hAnsi="宋体" w:eastAsia="宋体" w:cs="宋体"/>
          <w:bCs/>
          <w:color w:val="auto"/>
        </w:rPr>
        <w:t>保证金有效期应当与</w:t>
      </w:r>
      <w:r>
        <w:rPr>
          <w:rFonts w:hint="eastAsia" w:ascii="宋体" w:hAnsi="宋体" w:eastAsia="宋体" w:cs="宋体"/>
          <w:color w:val="auto"/>
        </w:rPr>
        <w:t>本章第20.1</w:t>
      </w:r>
      <w:r>
        <w:rPr>
          <w:rFonts w:hint="eastAsia" w:ascii="宋体" w:hAnsi="宋体" w:eastAsia="宋体" w:cs="宋体"/>
          <w:color w:val="auto"/>
          <w:kern w:val="0"/>
          <w:lang w:val="zh-CN"/>
        </w:rPr>
        <w:t>款</w:t>
      </w:r>
      <w:r>
        <w:rPr>
          <w:rFonts w:hint="eastAsia" w:ascii="宋体" w:hAnsi="宋体" w:eastAsia="宋体" w:cs="宋体"/>
          <w:color w:val="auto"/>
        </w:rPr>
        <w:t>规定的</w:t>
      </w:r>
      <w:r>
        <w:rPr>
          <w:rFonts w:hint="eastAsia" w:ascii="宋体" w:hAnsi="宋体" w:eastAsia="宋体" w:cs="宋体"/>
          <w:bCs/>
          <w:color w:val="auto"/>
        </w:rPr>
        <w:t>响应文件有效期一致。</w:t>
      </w:r>
    </w:p>
    <w:p w14:paraId="1DE91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rPr>
      </w:pPr>
      <w:r>
        <w:rPr>
          <w:rFonts w:hint="eastAsia" w:ascii="宋体" w:hAnsi="宋体" w:eastAsia="宋体" w:cs="宋体"/>
          <w:color w:val="auto"/>
          <w:szCs w:val="21"/>
        </w:rPr>
        <w:t>19.2</w:t>
      </w:r>
      <w:r>
        <w:rPr>
          <w:rFonts w:hint="eastAsia" w:ascii="宋体" w:hAnsi="宋体" w:eastAsia="宋体" w:cs="宋体"/>
          <w:color w:val="auto"/>
          <w:kern w:val="0"/>
          <w:szCs w:val="21"/>
          <w:lang w:val="zh-CN"/>
        </w:rPr>
        <w:t>供应商为联合体的，可以由联合体中的一方或者共同交纳磋商保证金，其交纳的磋商保证金，对联合体各方均具有约束力。</w:t>
      </w:r>
    </w:p>
    <w:p w14:paraId="0589236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19.3供应商未按照磋商文件要求提交磋商保证金的，响应无效。</w:t>
      </w:r>
    </w:p>
    <w:p w14:paraId="3787EC90">
      <w:pPr>
        <w:pStyle w:val="24"/>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D9F5BA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rPr>
      </w:pPr>
      <w:r>
        <w:rPr>
          <w:rFonts w:hint="eastAsia" w:ascii="宋体" w:hAnsi="宋体" w:eastAsia="宋体" w:cs="宋体"/>
          <w:color w:val="auto"/>
        </w:rPr>
        <w:t xml:space="preserve">19.5 </w:t>
      </w:r>
      <w:r>
        <w:rPr>
          <w:rFonts w:hint="eastAsia" w:ascii="宋体" w:hAnsi="宋体" w:eastAsia="宋体" w:cs="宋体"/>
          <w:color w:val="auto"/>
          <w:kern w:val="0"/>
        </w:rPr>
        <w:t>有下列情形之一的，磋商保证金不予退还，并上缴本级财政国库：</w:t>
      </w:r>
    </w:p>
    <w:p w14:paraId="7B3D31C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（1）供应商在提交首次响应文件截止时间后撤回响应文件的；</w:t>
      </w:r>
    </w:p>
    <w:p w14:paraId="0FF451F9">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rPr>
      </w:pPr>
      <w:r>
        <w:rPr>
          <w:rFonts w:hint="eastAsia" w:ascii="宋体" w:hAnsi="宋体" w:eastAsia="宋体" w:cs="宋体"/>
          <w:color w:val="auto"/>
          <w:kern w:val="0"/>
        </w:rPr>
        <w:t>（2）供应商在响应文件中提供虚假资料的；</w:t>
      </w:r>
    </w:p>
    <w:p w14:paraId="7EAE2D49">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rPr>
        <w:t>（3）</w:t>
      </w:r>
      <w:r>
        <w:rPr>
          <w:rFonts w:hint="eastAsia" w:ascii="宋体" w:hAnsi="宋体" w:eastAsia="宋体" w:cs="宋体"/>
          <w:color w:val="auto"/>
        </w:rPr>
        <w:t>确定成交结果后，无正当理由放弃成交资格的；</w:t>
      </w:r>
    </w:p>
    <w:p w14:paraId="6E1A086E">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(4) 除因不可抗力或磋商文件认可的情形以外，成交供应商不与采购人签订合同的；</w:t>
      </w:r>
    </w:p>
    <w:p w14:paraId="3AA659C9">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（5）供应商与采购人、其他供应商或者采购代理机构恶意串通的；</w:t>
      </w:r>
    </w:p>
    <w:p w14:paraId="4D2FEEC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（6）磋商文件规定的其他情形。</w:t>
      </w:r>
    </w:p>
    <w:p w14:paraId="336187B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20.</w:t>
      </w:r>
      <w:r>
        <w:rPr>
          <w:rFonts w:hint="eastAsia" w:ascii="宋体" w:hAnsi="宋体" w:eastAsia="宋体" w:cs="宋体"/>
          <w:color w:val="auto"/>
          <w:szCs w:val="21"/>
        </w:rPr>
        <w:t xml:space="preserve"> </w:t>
      </w:r>
      <w:r>
        <w:rPr>
          <w:rFonts w:hint="eastAsia" w:ascii="宋体" w:hAnsi="宋体" w:eastAsia="宋体" w:cs="宋体"/>
          <w:b/>
          <w:color w:val="auto"/>
        </w:rPr>
        <w:t>响应文件</w:t>
      </w:r>
      <w:r>
        <w:rPr>
          <w:rFonts w:hint="eastAsia" w:ascii="宋体" w:hAnsi="宋体" w:eastAsia="宋体" w:cs="宋体"/>
          <w:b/>
          <w:color w:val="auto"/>
          <w:szCs w:val="21"/>
        </w:rPr>
        <w:t>有效期</w:t>
      </w:r>
    </w:p>
    <w:p w14:paraId="54CFE6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20.1响应文件</w:t>
      </w:r>
      <w:r>
        <w:rPr>
          <w:rFonts w:hint="eastAsia" w:ascii="宋体" w:hAnsi="宋体" w:eastAsia="宋体" w:cs="宋体"/>
          <w:color w:val="auto"/>
          <w:szCs w:val="21"/>
        </w:rPr>
        <w:t>有效期见</w:t>
      </w:r>
      <w:r>
        <w:rPr>
          <w:rFonts w:hint="eastAsia" w:ascii="宋体" w:hAnsi="宋体" w:eastAsia="宋体" w:cs="宋体"/>
          <w:b/>
          <w:color w:val="auto"/>
        </w:rPr>
        <w:t>磋商须知前附表</w:t>
      </w:r>
      <w:r>
        <w:rPr>
          <w:rFonts w:hint="eastAsia" w:ascii="宋体" w:hAnsi="宋体" w:eastAsia="宋体" w:cs="宋体"/>
          <w:color w:val="auto"/>
          <w:szCs w:val="21"/>
        </w:rPr>
        <w:t>，在此期间</w:t>
      </w:r>
      <w:r>
        <w:rPr>
          <w:rFonts w:hint="eastAsia" w:ascii="宋体" w:hAnsi="宋体" w:eastAsia="宋体" w:cs="宋体"/>
          <w:color w:val="auto"/>
        </w:rPr>
        <w:t>响应</w:t>
      </w:r>
      <w:r>
        <w:rPr>
          <w:rFonts w:hint="eastAsia" w:ascii="宋体" w:hAnsi="宋体" w:eastAsia="宋体" w:cs="宋体"/>
          <w:color w:val="auto"/>
          <w:szCs w:val="21"/>
        </w:rPr>
        <w:t>文件对供应商具有法律约束力，</w:t>
      </w:r>
      <w:r>
        <w:rPr>
          <w:rFonts w:hint="eastAsia" w:ascii="宋体" w:hAnsi="宋体" w:eastAsia="宋体" w:cs="宋体"/>
          <w:color w:val="auto"/>
        </w:rPr>
        <w:t>从</w:t>
      </w:r>
      <w:r>
        <w:rPr>
          <w:rFonts w:hint="eastAsia" w:ascii="宋体" w:hAnsi="宋体" w:eastAsia="宋体" w:cs="宋体"/>
          <w:color w:val="auto"/>
          <w:kern w:val="0"/>
          <w:szCs w:val="21"/>
        </w:rPr>
        <w:t>提交首次响应文件截止时间</w:t>
      </w:r>
      <w:r>
        <w:rPr>
          <w:rFonts w:hint="eastAsia" w:ascii="宋体" w:hAnsi="宋体" w:eastAsia="宋体" w:cs="宋体"/>
          <w:color w:val="auto"/>
        </w:rPr>
        <w:t>之日起计算。响应文件有效期不足的将被视为无效响应。</w:t>
      </w:r>
    </w:p>
    <w:p w14:paraId="53EAC11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21.响应文件的签署及规定</w:t>
      </w:r>
    </w:p>
    <w:p w14:paraId="5C8B67B9">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21.1响应文件的正本和副本应装订成册（胶装），正本一份，副本份数见</w:t>
      </w:r>
      <w:r>
        <w:rPr>
          <w:rFonts w:hint="eastAsia" w:ascii="宋体" w:hAnsi="宋体" w:eastAsia="宋体" w:cs="宋体"/>
          <w:b/>
          <w:color w:val="auto"/>
        </w:rPr>
        <w:t>磋商须知前附表</w:t>
      </w:r>
      <w:r>
        <w:rPr>
          <w:rFonts w:hint="eastAsia" w:ascii="宋体" w:hAnsi="宋体" w:eastAsia="宋体" w:cs="宋体"/>
          <w:color w:val="auto"/>
        </w:rPr>
        <w:t>。正本和副本的封面上应标记“正本”或“副本”的字样，当正本和副本有差异时，以正本为准。</w:t>
      </w:r>
    </w:p>
    <w:p w14:paraId="28455E9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5A6F5F2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21.3 在磋商过程中，供应商按磋商文件规定和磋商小组要求</w:t>
      </w:r>
      <w:r>
        <w:rPr>
          <w:rFonts w:hint="eastAsia" w:ascii="宋体" w:hAnsi="宋体" w:eastAsia="宋体" w:cs="宋体"/>
          <w:color w:val="auto"/>
          <w:kern w:val="0"/>
        </w:rPr>
        <w:t>提交的</w:t>
      </w:r>
      <w:r>
        <w:rPr>
          <w:rFonts w:hint="eastAsia" w:ascii="宋体" w:hAnsi="宋体" w:eastAsia="宋体" w:cs="宋体"/>
          <w:color w:val="auto"/>
        </w:rPr>
        <w:t>最后报价(或者</w:t>
      </w:r>
      <w:r>
        <w:rPr>
          <w:rFonts w:hint="eastAsia" w:ascii="宋体" w:hAnsi="宋体" w:eastAsia="宋体" w:cs="宋体"/>
          <w:bCs/>
          <w:color w:val="auto"/>
        </w:rPr>
        <w:t>重</w:t>
      </w:r>
      <w:r>
        <w:rPr>
          <w:rFonts w:hint="eastAsia" w:ascii="宋体" w:hAnsi="宋体" w:eastAsia="宋体" w:cs="宋体"/>
          <w:color w:val="auto"/>
          <w:kern w:val="0"/>
        </w:rPr>
        <w:t>新提交的响应文件和</w:t>
      </w:r>
      <w:r>
        <w:rPr>
          <w:rFonts w:hint="eastAsia" w:ascii="宋体" w:hAnsi="宋体" w:eastAsia="宋体" w:cs="宋体"/>
          <w:color w:val="auto"/>
        </w:rPr>
        <w:t>最后报价)，可打印或用不退色墨水书写，但需经法定代表人或其委托代理人签字，</w:t>
      </w:r>
      <w:r>
        <w:rPr>
          <w:rFonts w:hint="eastAsia" w:ascii="宋体" w:hAnsi="宋体" w:eastAsia="宋体" w:cs="宋体"/>
          <w:color w:val="auto"/>
          <w:kern w:val="0"/>
        </w:rPr>
        <w:t>或者加盖供应商单位章</w:t>
      </w:r>
      <w:r>
        <w:rPr>
          <w:rFonts w:hint="eastAsia" w:ascii="宋体" w:hAnsi="宋体" w:eastAsia="宋体" w:cs="宋体"/>
          <w:color w:val="auto"/>
        </w:rPr>
        <w:t>。否则，将导致响应文件无效。</w:t>
      </w:r>
    </w:p>
    <w:p w14:paraId="5E31E286">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rPr>
      </w:pPr>
      <w:r>
        <w:rPr>
          <w:rFonts w:hint="eastAsia" w:ascii="宋体" w:hAnsi="宋体" w:eastAsia="宋体" w:cs="宋体"/>
          <w:color w:val="auto"/>
          <w:sz w:val="24"/>
        </w:rPr>
        <w:t>四、响应文件的递交</w:t>
      </w:r>
    </w:p>
    <w:p w14:paraId="7BDFEF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22.</w:t>
      </w:r>
      <w:r>
        <w:rPr>
          <w:rFonts w:hint="eastAsia" w:ascii="宋体" w:hAnsi="宋体" w:eastAsia="宋体" w:cs="宋体"/>
          <w:b/>
          <w:color w:val="auto"/>
          <w:szCs w:val="21"/>
        </w:rPr>
        <w:t>响应文件</w:t>
      </w:r>
      <w:r>
        <w:rPr>
          <w:rFonts w:hint="eastAsia" w:ascii="宋体" w:hAnsi="宋体" w:eastAsia="宋体" w:cs="宋体"/>
          <w:b/>
          <w:bCs/>
          <w:color w:val="auto"/>
          <w:szCs w:val="21"/>
        </w:rPr>
        <w:t>的密封和标记</w:t>
      </w:r>
    </w:p>
    <w:p w14:paraId="0B96B5C0">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22.1响应文件应密封包装，加贴封条，并在封套的封口处盖供应商单位章或者由法定代表人或其委托代理人签字。</w:t>
      </w:r>
    </w:p>
    <w:p w14:paraId="1F135A6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22.2响应文件封套上应写明的内容见</w:t>
      </w:r>
      <w:r>
        <w:rPr>
          <w:rFonts w:hint="eastAsia" w:ascii="宋体" w:hAnsi="宋体" w:eastAsia="宋体" w:cs="宋体"/>
          <w:b/>
          <w:color w:val="auto"/>
          <w:szCs w:val="21"/>
        </w:rPr>
        <w:t>磋商须知前附表。</w:t>
      </w:r>
    </w:p>
    <w:p w14:paraId="6BC73B8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22.3响应文件如果未按上述规定密封和加写标记，采购人或采购代理机构将拒绝接收。</w:t>
      </w:r>
    </w:p>
    <w:p w14:paraId="1B94014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23.响应文件的</w:t>
      </w:r>
      <w:r>
        <w:rPr>
          <w:rFonts w:hint="eastAsia" w:ascii="宋体" w:hAnsi="宋体" w:eastAsia="宋体" w:cs="宋体"/>
          <w:b/>
          <w:color w:val="auto"/>
          <w:kern w:val="0"/>
          <w:szCs w:val="21"/>
          <w:lang w:val="zh-CN"/>
        </w:rPr>
        <w:t>补充、修改或者撤回</w:t>
      </w:r>
    </w:p>
    <w:p w14:paraId="635EA54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23.1</w:t>
      </w:r>
      <w:r>
        <w:rPr>
          <w:rFonts w:hint="eastAsia" w:ascii="宋体" w:hAnsi="宋体" w:eastAsia="宋体" w:cs="宋体"/>
          <w:color w:val="auto"/>
          <w:kern w:val="0"/>
        </w:rPr>
        <w:t>供应商在提交首次响应文件截止时间前，可以对所提交的首次响应文件进行补充、修改或者撤回，并书面通知采购人、采购代理机构。</w:t>
      </w:r>
      <w:r>
        <w:rPr>
          <w:rFonts w:hint="eastAsia" w:ascii="宋体" w:hAnsi="宋体" w:eastAsia="宋体" w:cs="宋体"/>
          <w:color w:val="auto"/>
        </w:rPr>
        <w:t>该通知应有供应商法定代表人或其委托代理人签字。</w:t>
      </w:r>
    </w:p>
    <w:p w14:paraId="1DA9F16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23.2</w:t>
      </w:r>
      <w:r>
        <w:rPr>
          <w:rFonts w:hint="eastAsia" w:ascii="宋体" w:hAnsi="宋体" w:eastAsia="宋体" w:cs="宋体"/>
          <w:color w:val="auto"/>
          <w:kern w:val="0"/>
          <w:lang w:val="zh-CN"/>
        </w:rPr>
        <w:t>补充、修改的内容与响应文件不一致时，以补充、修改的内容为准。</w:t>
      </w:r>
    </w:p>
    <w:p w14:paraId="3CB82C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24.响应文件的递交与接收</w:t>
      </w:r>
    </w:p>
    <w:p w14:paraId="6F0538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24.1 供应商应在</w:t>
      </w:r>
      <w:r>
        <w:rPr>
          <w:rFonts w:hint="eastAsia" w:ascii="宋体" w:hAnsi="宋体" w:eastAsia="宋体" w:cs="宋体"/>
          <w:color w:val="auto"/>
          <w:kern w:val="0"/>
          <w:szCs w:val="21"/>
        </w:rPr>
        <w:t>提交首次响应文件截止时间</w:t>
      </w:r>
      <w:r>
        <w:rPr>
          <w:rFonts w:hint="eastAsia" w:ascii="宋体" w:hAnsi="宋体" w:eastAsia="宋体" w:cs="宋体"/>
          <w:color w:val="auto"/>
          <w:szCs w:val="21"/>
        </w:rPr>
        <w:t>前，将响应文件送达</w:t>
      </w:r>
      <w:r>
        <w:rPr>
          <w:rFonts w:hint="eastAsia" w:ascii="宋体" w:hAnsi="宋体" w:eastAsia="宋体" w:cs="宋体"/>
          <w:b/>
          <w:color w:val="auto"/>
          <w:szCs w:val="21"/>
        </w:rPr>
        <w:t>磋商须知前附表</w:t>
      </w:r>
      <w:r>
        <w:rPr>
          <w:rFonts w:hint="eastAsia" w:ascii="宋体" w:hAnsi="宋体" w:eastAsia="宋体" w:cs="宋体"/>
          <w:color w:val="auto"/>
          <w:szCs w:val="21"/>
        </w:rPr>
        <w:t>中指定的地点。</w:t>
      </w:r>
      <w:r>
        <w:rPr>
          <w:rFonts w:hint="eastAsia" w:ascii="宋体" w:hAnsi="宋体" w:eastAsia="宋体" w:cs="宋体"/>
          <w:color w:val="auto"/>
          <w:kern w:val="0"/>
        </w:rPr>
        <w:t>在截止时间后送达的响应文件，采购人、采购代理机构或者磋商小组应当拒收。</w:t>
      </w:r>
    </w:p>
    <w:p w14:paraId="1204986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24.2</w:t>
      </w:r>
      <w:r>
        <w:rPr>
          <w:rFonts w:hint="eastAsia" w:ascii="宋体" w:hAnsi="宋体" w:eastAsia="宋体" w:cs="宋体"/>
          <w:color w:val="auto"/>
          <w:kern w:val="0"/>
        </w:rPr>
        <w:t>在提交首次响应文件截止时间后，</w:t>
      </w:r>
      <w:r>
        <w:rPr>
          <w:rFonts w:hint="eastAsia" w:ascii="宋体" w:hAnsi="宋体" w:eastAsia="宋体" w:cs="宋体"/>
          <w:color w:val="auto"/>
        </w:rPr>
        <w:t>由</w:t>
      </w:r>
      <w:r>
        <w:rPr>
          <w:rFonts w:hint="eastAsia" w:ascii="宋体" w:hAnsi="宋体" w:eastAsia="宋体" w:cs="宋体"/>
          <w:bCs/>
          <w:color w:val="auto"/>
        </w:rPr>
        <w:t>供应商代表</w:t>
      </w:r>
      <w:r>
        <w:rPr>
          <w:rFonts w:hint="eastAsia" w:ascii="宋体" w:hAnsi="宋体" w:eastAsia="宋体" w:cs="宋体"/>
          <w:color w:val="auto"/>
        </w:rPr>
        <w:t>当场查验</w:t>
      </w:r>
      <w:r>
        <w:rPr>
          <w:rFonts w:hint="eastAsia" w:ascii="宋体" w:hAnsi="宋体" w:eastAsia="宋体" w:cs="宋体"/>
          <w:bCs/>
          <w:color w:val="auto"/>
        </w:rPr>
        <w:t>响应文件</w:t>
      </w:r>
      <w:r>
        <w:rPr>
          <w:rFonts w:hint="eastAsia" w:ascii="宋体" w:hAnsi="宋体" w:eastAsia="宋体" w:cs="宋体"/>
          <w:color w:val="auto"/>
        </w:rPr>
        <w:t>的密封状况，采购人或</w:t>
      </w:r>
      <w:r>
        <w:rPr>
          <w:rFonts w:hint="eastAsia" w:ascii="宋体" w:hAnsi="宋体" w:eastAsia="宋体" w:cs="宋体"/>
          <w:bCs/>
          <w:color w:val="auto"/>
        </w:rPr>
        <w:t>采购代理机构</w:t>
      </w:r>
      <w:r>
        <w:rPr>
          <w:rFonts w:hint="eastAsia" w:ascii="宋体" w:hAnsi="宋体" w:eastAsia="宋体" w:cs="宋体"/>
          <w:color w:val="auto"/>
        </w:rPr>
        <w:t>不当场拆封</w:t>
      </w:r>
      <w:r>
        <w:rPr>
          <w:rFonts w:hint="eastAsia" w:ascii="宋体" w:hAnsi="宋体" w:eastAsia="宋体" w:cs="宋体"/>
          <w:bCs/>
          <w:color w:val="auto"/>
        </w:rPr>
        <w:t>响应文件</w:t>
      </w:r>
      <w:r>
        <w:rPr>
          <w:rFonts w:hint="eastAsia" w:ascii="宋体" w:hAnsi="宋体" w:eastAsia="宋体" w:cs="宋体"/>
          <w:color w:val="auto"/>
        </w:rPr>
        <w:t>。</w:t>
      </w:r>
    </w:p>
    <w:p w14:paraId="199287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rPr>
      </w:pPr>
      <w:r>
        <w:rPr>
          <w:rFonts w:hint="eastAsia" w:ascii="宋体" w:hAnsi="宋体" w:eastAsia="宋体" w:cs="宋体"/>
          <w:color w:val="auto"/>
          <w:sz w:val="24"/>
        </w:rPr>
        <w:t>五、响应文件的磋商与评审</w:t>
      </w:r>
    </w:p>
    <w:p w14:paraId="1DC13C63">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25.磋商程序</w:t>
      </w:r>
    </w:p>
    <w:p w14:paraId="34D4BA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rPr>
      </w:pPr>
      <w:r>
        <w:rPr>
          <w:rFonts w:hint="eastAsia" w:ascii="宋体" w:hAnsi="宋体" w:eastAsia="宋体" w:cs="宋体"/>
          <w:color w:val="auto"/>
          <w:kern w:val="0"/>
          <w:szCs w:val="21"/>
        </w:rPr>
        <w:t>25.1磋商程序：响应文件审查、磋商（包括澄清）、响应文件评审、</w:t>
      </w:r>
      <w:r>
        <w:rPr>
          <w:rFonts w:hint="eastAsia" w:ascii="宋体" w:hAnsi="宋体" w:eastAsia="宋体" w:cs="宋体"/>
          <w:bCs/>
          <w:color w:val="auto"/>
          <w:szCs w:val="21"/>
        </w:rPr>
        <w:t>提出成交供应商。其中，</w:t>
      </w:r>
      <w:r>
        <w:rPr>
          <w:rFonts w:hint="eastAsia" w:ascii="宋体" w:hAnsi="宋体" w:eastAsia="宋体" w:cs="宋体"/>
          <w:color w:val="auto"/>
          <w:kern w:val="0"/>
          <w:szCs w:val="21"/>
        </w:rPr>
        <w:t>磋商按</w:t>
      </w:r>
      <w:r>
        <w:rPr>
          <w:rFonts w:hint="eastAsia" w:ascii="宋体" w:hAnsi="宋体" w:eastAsia="宋体" w:cs="宋体"/>
          <w:color w:val="auto"/>
          <w:szCs w:val="21"/>
        </w:rPr>
        <w:t>本章</w:t>
      </w:r>
      <w:r>
        <w:rPr>
          <w:rFonts w:hint="eastAsia" w:ascii="宋体" w:hAnsi="宋体" w:eastAsia="宋体" w:cs="宋体"/>
          <w:color w:val="auto"/>
        </w:rPr>
        <w:t>第30.1</w:t>
      </w:r>
      <w:r>
        <w:rPr>
          <w:rFonts w:hint="eastAsia" w:ascii="宋体" w:hAnsi="宋体" w:eastAsia="宋体" w:cs="宋体"/>
          <w:color w:val="auto"/>
          <w:kern w:val="0"/>
          <w:szCs w:val="21"/>
          <w:lang w:val="zh-CN"/>
        </w:rPr>
        <w:t>款或者</w:t>
      </w:r>
      <w:r>
        <w:rPr>
          <w:rFonts w:hint="eastAsia" w:ascii="宋体" w:hAnsi="宋体" w:eastAsia="宋体" w:cs="宋体"/>
          <w:color w:val="auto"/>
        </w:rPr>
        <w:t>第30.2</w:t>
      </w:r>
      <w:r>
        <w:rPr>
          <w:rFonts w:hint="eastAsia" w:ascii="宋体" w:hAnsi="宋体" w:eastAsia="宋体" w:cs="宋体"/>
          <w:color w:val="auto"/>
          <w:kern w:val="0"/>
          <w:szCs w:val="21"/>
          <w:lang w:val="zh-CN"/>
        </w:rPr>
        <w:t>款</w:t>
      </w:r>
      <w:r>
        <w:rPr>
          <w:rFonts w:hint="eastAsia" w:ascii="宋体" w:hAnsi="宋体" w:eastAsia="宋体" w:cs="宋体"/>
          <w:color w:val="auto"/>
        </w:rPr>
        <w:t>情形</w:t>
      </w:r>
      <w:r>
        <w:rPr>
          <w:rFonts w:hint="eastAsia" w:ascii="宋体" w:hAnsi="宋体" w:eastAsia="宋体" w:cs="宋体"/>
          <w:bCs/>
          <w:color w:val="auto"/>
          <w:szCs w:val="21"/>
        </w:rPr>
        <w:t>进行。</w:t>
      </w:r>
    </w:p>
    <w:p w14:paraId="5B0C7F3A">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rPr>
      </w:pPr>
      <w:r>
        <w:rPr>
          <w:rFonts w:hint="eastAsia" w:ascii="宋体" w:hAnsi="宋体" w:eastAsia="宋体" w:cs="宋体"/>
          <w:b/>
          <w:color w:val="auto"/>
          <w:kern w:val="0"/>
          <w:szCs w:val="21"/>
        </w:rPr>
        <w:t>26.</w:t>
      </w:r>
      <w:r>
        <w:rPr>
          <w:rFonts w:hint="eastAsia" w:ascii="宋体" w:hAnsi="宋体" w:eastAsia="宋体" w:cs="宋体"/>
          <w:color w:val="auto"/>
        </w:rPr>
        <w:t xml:space="preserve"> </w:t>
      </w:r>
      <w:r>
        <w:rPr>
          <w:rFonts w:hint="eastAsia" w:ascii="宋体" w:hAnsi="宋体" w:eastAsia="宋体" w:cs="宋体"/>
          <w:b/>
          <w:color w:val="auto"/>
          <w:kern w:val="0"/>
          <w:szCs w:val="21"/>
        </w:rPr>
        <w:t>响应文件审查</w:t>
      </w:r>
      <w:r>
        <w:rPr>
          <w:rFonts w:hint="eastAsia" w:ascii="宋体" w:hAnsi="宋体" w:eastAsia="宋体" w:cs="宋体"/>
          <w:b/>
          <w:color w:val="auto"/>
          <w:szCs w:val="21"/>
        </w:rPr>
        <w:t xml:space="preserve"> </w:t>
      </w:r>
    </w:p>
    <w:p w14:paraId="1A21E9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26.1 资格性审查：根据本章第3.1项规定的供应商资格条件要求，对</w:t>
      </w:r>
      <w:r>
        <w:rPr>
          <w:rFonts w:hint="eastAsia" w:ascii="宋体" w:hAnsi="宋体" w:eastAsia="宋体" w:cs="宋体"/>
          <w:color w:val="auto"/>
        </w:rPr>
        <w:t>响应</w:t>
      </w:r>
      <w:r>
        <w:rPr>
          <w:rFonts w:hint="eastAsia" w:ascii="宋体" w:hAnsi="宋体" w:eastAsia="宋体" w:cs="宋体"/>
          <w:color w:val="auto"/>
          <w:szCs w:val="21"/>
        </w:rPr>
        <w:t>文件的资格证明等进行审查，以确定供应商是否具备磋商资格条件。</w:t>
      </w:r>
    </w:p>
    <w:p w14:paraId="38AC46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26.2符合性审查: 对响应文件(包括首次提交的响应文件、重新提交的响应文件)的有效性、完整性和响应程度进行审查，以确定是否对磋商文件的实质性要求作出响应。</w:t>
      </w:r>
    </w:p>
    <w:p w14:paraId="3867FD9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15BC7C07">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kern w:val="0"/>
        </w:rPr>
      </w:pPr>
      <w:r>
        <w:rPr>
          <w:rFonts w:hint="eastAsia" w:ascii="宋体" w:hAnsi="宋体" w:eastAsia="宋体" w:cs="宋体"/>
          <w:b/>
          <w:color w:val="auto"/>
          <w:kern w:val="0"/>
        </w:rPr>
        <w:t>27.实质性响应</w:t>
      </w:r>
    </w:p>
    <w:p w14:paraId="2456C290">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u w:val="single"/>
        </w:rPr>
      </w:pPr>
      <w:r>
        <w:rPr>
          <w:rFonts w:hint="eastAsia" w:ascii="宋体" w:hAnsi="宋体" w:eastAsia="宋体" w:cs="宋体"/>
          <w:color w:val="auto"/>
          <w:kern w:val="0"/>
        </w:rPr>
        <w:t>27.1</w:t>
      </w:r>
      <w:r>
        <w:rPr>
          <w:rFonts w:hint="eastAsia" w:ascii="宋体" w:hAnsi="宋体" w:eastAsia="宋体" w:cs="宋体"/>
          <w:color w:val="auto"/>
        </w:rPr>
        <w:t>实质性响应是指响应文件(包括首次响应文件、重新提交的响应文件)与磋商文件要求的所有条款、条件和规格相符，没有偏离。偏离指不满足、或不响应磋商文件的要求。</w:t>
      </w:r>
    </w:p>
    <w:p w14:paraId="1DA5474D">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27.2</w:t>
      </w:r>
      <w:r>
        <w:rPr>
          <w:rFonts w:hint="eastAsia" w:ascii="宋体" w:hAnsi="宋体" w:eastAsia="宋体" w:cs="宋体"/>
          <w:color w:val="auto"/>
        </w:rPr>
        <w:t>响应文件是否实质性响应磋商文件要求由磋商小组依据磋商文件规定认定。</w:t>
      </w:r>
      <w:r>
        <w:rPr>
          <w:rFonts w:hint="eastAsia" w:ascii="宋体" w:hAnsi="宋体" w:eastAsia="宋体" w:cs="宋体"/>
          <w:color w:val="auto"/>
          <w:kern w:val="0"/>
          <w:szCs w:val="21"/>
        </w:rPr>
        <w:t>磋商小组</w:t>
      </w:r>
      <w:r>
        <w:rPr>
          <w:rFonts w:hint="eastAsia" w:ascii="宋体" w:hAnsi="宋体" w:eastAsia="宋体" w:cs="宋体"/>
          <w:color w:val="auto"/>
          <w:szCs w:val="21"/>
        </w:rPr>
        <w:t>决定</w:t>
      </w:r>
      <w:r>
        <w:rPr>
          <w:rFonts w:hint="eastAsia" w:ascii="宋体" w:hAnsi="宋体" w:eastAsia="宋体" w:cs="宋体"/>
          <w:color w:val="auto"/>
        </w:rPr>
        <w:t>响应文件</w:t>
      </w:r>
      <w:r>
        <w:rPr>
          <w:rFonts w:hint="eastAsia" w:ascii="宋体" w:hAnsi="宋体" w:eastAsia="宋体" w:cs="宋体"/>
          <w:color w:val="auto"/>
          <w:szCs w:val="21"/>
        </w:rPr>
        <w:t>的响应性只根据</w:t>
      </w:r>
      <w:r>
        <w:rPr>
          <w:rFonts w:hint="eastAsia" w:ascii="宋体" w:hAnsi="宋体" w:eastAsia="宋体" w:cs="宋体"/>
          <w:color w:val="auto"/>
        </w:rPr>
        <w:t>响应文件</w:t>
      </w:r>
      <w:r>
        <w:rPr>
          <w:rFonts w:hint="eastAsia" w:ascii="宋体" w:hAnsi="宋体" w:eastAsia="宋体" w:cs="宋体"/>
          <w:color w:val="auto"/>
          <w:szCs w:val="21"/>
        </w:rPr>
        <w:t>本身的真实无误的内容，而不依据外部的证据。</w:t>
      </w:r>
    </w:p>
    <w:p w14:paraId="0E3C5C4B">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kern w:val="0"/>
        </w:rPr>
      </w:pPr>
      <w:r>
        <w:rPr>
          <w:rFonts w:hint="eastAsia" w:ascii="宋体" w:hAnsi="宋体" w:eastAsia="宋体" w:cs="宋体"/>
          <w:b/>
          <w:color w:val="auto"/>
          <w:kern w:val="0"/>
        </w:rPr>
        <w:t xml:space="preserve">28.无效响应 </w:t>
      </w:r>
    </w:p>
    <w:p w14:paraId="0F2C0D54">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hAnsi="宋体" w:eastAsia="宋体" w:cs="宋体"/>
          <w:b/>
          <w:color w:val="auto"/>
          <w:kern w:val="0"/>
        </w:rPr>
      </w:pPr>
      <w:r>
        <w:rPr>
          <w:rFonts w:hint="eastAsia" w:ascii="宋体" w:hAnsi="宋体" w:eastAsia="宋体" w:cs="宋体"/>
          <w:color w:val="auto"/>
          <w:kern w:val="0"/>
        </w:rPr>
        <w:t>28.1</w:t>
      </w:r>
      <w:r>
        <w:rPr>
          <w:rFonts w:hint="eastAsia" w:ascii="宋体" w:hAnsi="宋体" w:eastAsia="宋体" w:cs="宋体"/>
          <w:color w:val="auto"/>
        </w:rPr>
        <w:t>磋商小组在对资格性和符合性进行审查时，有下列情况之一的，属无效响应，</w:t>
      </w:r>
      <w:r>
        <w:rPr>
          <w:rFonts w:hint="eastAsia" w:ascii="宋体" w:hAnsi="宋体" w:eastAsia="宋体" w:cs="宋体"/>
          <w:color w:val="auto"/>
          <w:kern w:val="0"/>
        </w:rPr>
        <w:t>磋商小组应当告知有关供应商</w:t>
      </w:r>
      <w:r>
        <w:rPr>
          <w:rFonts w:hint="eastAsia" w:ascii="宋体" w:hAnsi="宋体" w:eastAsia="宋体" w:cs="宋体"/>
          <w:color w:val="auto"/>
        </w:rPr>
        <w:t>：</w:t>
      </w:r>
    </w:p>
    <w:p w14:paraId="45452F8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（1）供应商不具备本章第3.1款规定的供应商资格条件要求，或存在本章第3.3款情形的；</w:t>
      </w:r>
    </w:p>
    <w:p w14:paraId="39DEBE8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（2）联合体不符合本章第3.2款规定的；</w:t>
      </w:r>
    </w:p>
    <w:p w14:paraId="10F171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（3）应交未交磋商保证金或金额不足、磋商保证金缴纳形式不符合磋商文件要求的；</w:t>
      </w:r>
    </w:p>
    <w:p w14:paraId="47A54BA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（4）响应文件未按照磋商文件要求签署、盖章的；</w:t>
      </w:r>
    </w:p>
    <w:p w14:paraId="09535A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（4）响应文件不满足本章第27.1款规定的实质性要求的；</w:t>
      </w:r>
    </w:p>
    <w:p w14:paraId="45F45A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（5）报价超过采购项目预算的；</w:t>
      </w:r>
    </w:p>
    <w:p w14:paraId="7577494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（6）响应文件有效期不足的；</w:t>
      </w:r>
    </w:p>
    <w:p w14:paraId="6381E6D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（7）响应文件不符合法律、规章、规范性文件和磋商文件规定及要求的。</w:t>
      </w:r>
    </w:p>
    <w:p w14:paraId="36E015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28.2 采购人应当在采购文件中明确，政府采购评审中出现下列情形之一的，评审委员会应当启动异常低价投标（响应）审查程序： </w:t>
      </w:r>
    </w:p>
    <w:p w14:paraId="715E94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（1）投标（响应）报价低于全部通过符合性审查供应商投标（响应）报价平均值65%的，即投标（响应）报价&lt;全部通过符合性审查供应商投标（响应）报价平均值×65%； </w:t>
      </w:r>
    </w:p>
    <w:p w14:paraId="79E8800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（2）投标（响应）报价低于通过符合性审查的次低报价供应商投标（响应）报价65%的，即投标（响应）报价&lt;通过符合性审查的次低报价供应商投标（响应）报价×65%； </w:t>
      </w:r>
    </w:p>
    <w:p w14:paraId="26F865E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（3）投标（响应）报价低于采购项目最高限价65%的，即投标（响应）报价&lt;采购项目最高限价×65%； </w:t>
      </w:r>
    </w:p>
    <w:p w14:paraId="57C881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（4）评审委员会基于专业判断，认为供应商报价过低，有可能影响产品质量或者不能诚信履约的其他情形。 </w:t>
      </w:r>
    </w:p>
    <w:p w14:paraId="2CE348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采购人可以结合具体项目实际情况，提高上述第1项至第3项中启动异常低价投标（响应）审查的数值标准，但是最高不得超过65%。 </w:t>
      </w:r>
    </w:p>
    <w:p w14:paraId="4159D50B">
      <w:pPr>
        <w:keepNext w:val="0"/>
        <w:keepLines w:val="0"/>
        <w:pageBreakBefore w:val="0"/>
        <w:kinsoku/>
        <w:wordWrap/>
        <w:overflowPunct/>
        <w:topLinePunct w:val="0"/>
        <w:autoSpaceDE/>
        <w:bidi w:val="0"/>
        <w:adjustRightInd w:val="0"/>
        <w:snapToGrid w:val="0"/>
        <w:spacing w:line="400" w:lineRule="exact"/>
        <w:ind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相关法律法规对供应商报价有规定的，从其规定。</w:t>
      </w:r>
    </w:p>
    <w:p w14:paraId="6D33FE7A">
      <w:pPr>
        <w:keepNext w:val="0"/>
        <w:keepLines w:val="0"/>
        <w:pageBreakBefore w:val="0"/>
        <w:kinsoku/>
        <w:wordWrap/>
        <w:overflowPunct/>
        <w:topLinePunct w:val="0"/>
        <w:autoSpaceDE/>
        <w:bidi w:val="0"/>
        <w:adjustRightInd w:val="0"/>
        <w:snapToGrid w:val="0"/>
        <w:spacing w:line="400" w:lineRule="exact"/>
        <w:ind w:right="0" w:rightChars="0" w:firstLine="420" w:firstLineChars="20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B1843F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B2E625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6757A31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46C8FAE3">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29.澄清</w:t>
      </w:r>
    </w:p>
    <w:p w14:paraId="5C886DB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FEFE73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69B0416">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30.磋商</w:t>
      </w:r>
    </w:p>
    <w:p w14:paraId="65C47354">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kern w:val="0"/>
          <w:szCs w:val="21"/>
        </w:rPr>
        <w:t>30.1</w:t>
      </w:r>
      <w:r>
        <w:rPr>
          <w:rFonts w:hint="eastAsia" w:ascii="宋体" w:hAnsi="宋体" w:eastAsia="宋体" w:cs="宋体"/>
          <w:color w:val="auto"/>
        </w:rPr>
        <w:t>本章第10.2项</w:t>
      </w:r>
      <w:r>
        <w:rPr>
          <w:rFonts w:hint="eastAsia" w:ascii="宋体" w:hAnsi="宋体" w:eastAsia="宋体" w:cs="宋体"/>
          <w:color w:val="auto"/>
          <w:kern w:val="0"/>
          <w:szCs w:val="21"/>
        </w:rPr>
        <w:t>未明确磋商文件实质性变动内容的，或者磋商文件明确了可能发生实质性变动内容，但在磋商过程中，</w:t>
      </w:r>
      <w:r>
        <w:rPr>
          <w:rFonts w:hint="eastAsia" w:ascii="宋体" w:hAnsi="宋体" w:eastAsia="宋体" w:cs="宋体"/>
          <w:bCs/>
          <w:color w:val="auto"/>
          <w:szCs w:val="21"/>
        </w:rPr>
        <w:t>磋商小组</w:t>
      </w:r>
      <w:r>
        <w:rPr>
          <w:rFonts w:hint="eastAsia" w:ascii="宋体" w:hAnsi="宋体" w:eastAsia="宋体" w:cs="宋体"/>
          <w:color w:val="auto"/>
          <w:kern w:val="0"/>
          <w:szCs w:val="21"/>
        </w:rPr>
        <w:t>根据磋商情况</w:t>
      </w:r>
      <w:r>
        <w:rPr>
          <w:rFonts w:hint="eastAsia" w:ascii="宋体" w:hAnsi="宋体" w:eastAsia="宋体" w:cs="宋体"/>
          <w:bCs/>
          <w:color w:val="auto"/>
          <w:szCs w:val="21"/>
        </w:rPr>
        <w:t>认为</w:t>
      </w:r>
      <w:r>
        <w:rPr>
          <w:rFonts w:hint="eastAsia" w:ascii="宋体" w:hAnsi="宋体" w:eastAsia="宋体" w:cs="宋体"/>
          <w:color w:val="auto"/>
          <w:kern w:val="0"/>
          <w:szCs w:val="21"/>
        </w:rPr>
        <w:t>磋商文件无需发生实质性变动的，磋商小组应当直接与响应文件审查合格的供应商就价格组织多轮磋商。</w:t>
      </w:r>
    </w:p>
    <w:p w14:paraId="28441A10">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（1）磋商结束后，磋商小组应当要求所有继续参加磋商的供应商在磋商小组规定时间内提交最后报价。</w:t>
      </w:r>
    </w:p>
    <w:p w14:paraId="5B08F79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（2）磋商文件明确可能发生实质性变动，但在磋商过程中</w:t>
      </w:r>
      <w:r>
        <w:rPr>
          <w:rFonts w:hint="eastAsia" w:ascii="宋体" w:hAnsi="宋体" w:eastAsia="宋体" w:cs="宋体"/>
          <w:bCs/>
          <w:color w:val="auto"/>
          <w:szCs w:val="21"/>
        </w:rPr>
        <w:t>磋商小组</w:t>
      </w:r>
      <w:r>
        <w:rPr>
          <w:rFonts w:hint="eastAsia" w:ascii="宋体" w:hAnsi="宋体" w:eastAsia="宋体" w:cs="宋体"/>
          <w:color w:val="auto"/>
          <w:kern w:val="0"/>
          <w:szCs w:val="21"/>
        </w:rPr>
        <w:t>根据磋商情况</w:t>
      </w:r>
      <w:r>
        <w:rPr>
          <w:rFonts w:hint="eastAsia" w:ascii="宋体" w:hAnsi="宋体" w:eastAsia="宋体" w:cs="宋体"/>
          <w:bCs/>
          <w:color w:val="auto"/>
          <w:szCs w:val="21"/>
        </w:rPr>
        <w:t>认为</w:t>
      </w:r>
      <w:r>
        <w:rPr>
          <w:rFonts w:hint="eastAsia" w:ascii="宋体" w:hAnsi="宋体" w:eastAsia="宋体" w:cs="宋体"/>
          <w:color w:val="auto"/>
          <w:kern w:val="0"/>
          <w:szCs w:val="21"/>
        </w:rPr>
        <w:t>磋商文件无需发生实质性变动的，磋商小组不另行通知。</w:t>
      </w:r>
    </w:p>
    <w:p w14:paraId="3421717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30.2</w:t>
      </w:r>
      <w:r>
        <w:rPr>
          <w:rFonts w:hint="eastAsia" w:ascii="宋体" w:hAnsi="宋体" w:eastAsia="宋体" w:cs="宋体"/>
          <w:color w:val="auto"/>
        </w:rPr>
        <w:t>本章第10.2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明确磋商文件实质性变动内容的，</w:t>
      </w:r>
      <w:r>
        <w:rPr>
          <w:rFonts w:hint="eastAsia" w:ascii="宋体" w:hAnsi="宋体" w:eastAsia="宋体" w:cs="宋体"/>
          <w:bCs/>
          <w:color w:val="auto"/>
          <w:szCs w:val="21"/>
        </w:rPr>
        <w:t>磋商小组</w:t>
      </w:r>
      <w:r>
        <w:rPr>
          <w:rFonts w:hint="eastAsia" w:ascii="宋体" w:hAnsi="宋体" w:eastAsia="宋体" w:cs="宋体"/>
          <w:color w:val="auto"/>
          <w:kern w:val="0"/>
          <w:szCs w:val="21"/>
        </w:rPr>
        <w:t>可以组织多轮磋商。</w:t>
      </w:r>
      <w:r>
        <w:rPr>
          <w:rFonts w:hint="eastAsia" w:ascii="宋体" w:hAnsi="宋体" w:eastAsia="宋体" w:cs="宋体"/>
          <w:bCs/>
          <w:color w:val="auto"/>
          <w:szCs w:val="21"/>
        </w:rPr>
        <w:t>在每一轮磋商中，磋商小组</w:t>
      </w:r>
      <w:r>
        <w:rPr>
          <w:rFonts w:hint="eastAsia" w:ascii="宋体" w:hAnsi="宋体" w:eastAsia="宋体" w:cs="宋体"/>
          <w:color w:val="auto"/>
          <w:kern w:val="0"/>
          <w:szCs w:val="21"/>
        </w:rPr>
        <w:t>可以根据磋商文件规定和磋商情况，</w:t>
      </w:r>
      <w:r>
        <w:rPr>
          <w:rFonts w:hint="eastAsia" w:ascii="宋体" w:hAnsi="宋体" w:eastAsia="宋体" w:cs="宋体"/>
          <w:bCs/>
          <w:color w:val="auto"/>
          <w:szCs w:val="21"/>
        </w:rPr>
        <w:t>对磋商文件的</w:t>
      </w:r>
      <w:r>
        <w:rPr>
          <w:rFonts w:hint="eastAsia" w:ascii="宋体" w:hAnsi="宋体" w:eastAsia="宋体" w:cs="宋体"/>
          <w:color w:val="auto"/>
          <w:kern w:val="0"/>
          <w:szCs w:val="21"/>
        </w:rPr>
        <w:t>采购需求中的技术、服务要求以及合同草案条款</w:t>
      </w:r>
      <w:r>
        <w:rPr>
          <w:rFonts w:hint="eastAsia" w:ascii="宋体" w:hAnsi="宋体" w:eastAsia="宋体" w:cs="宋体"/>
          <w:bCs/>
          <w:color w:val="auto"/>
          <w:szCs w:val="21"/>
        </w:rPr>
        <w:t>作实质性变动(磋商文件的实质性变动内容为磋商文件的组成部分)，并以书面形式要求</w:t>
      </w:r>
      <w:r>
        <w:rPr>
          <w:rFonts w:hint="eastAsia" w:ascii="宋体" w:hAnsi="宋体" w:eastAsia="宋体" w:cs="宋体"/>
          <w:color w:val="auto"/>
          <w:kern w:val="0"/>
          <w:szCs w:val="21"/>
        </w:rPr>
        <w:t>响应文件审查合格</w:t>
      </w:r>
      <w:r>
        <w:rPr>
          <w:rFonts w:hint="eastAsia" w:ascii="宋体" w:hAnsi="宋体" w:eastAsia="宋体" w:cs="宋体"/>
          <w:bCs/>
          <w:color w:val="auto"/>
          <w:szCs w:val="21"/>
        </w:rPr>
        <w:t>的供应商，在规定的</w:t>
      </w:r>
      <w:r>
        <w:rPr>
          <w:rFonts w:hint="eastAsia" w:ascii="宋体" w:hAnsi="宋体" w:eastAsia="宋体" w:cs="宋体"/>
          <w:color w:val="auto"/>
          <w:kern w:val="0"/>
          <w:szCs w:val="21"/>
        </w:rPr>
        <w:t>截止时间前</w:t>
      </w:r>
      <w:r>
        <w:rPr>
          <w:rFonts w:hint="eastAsia" w:ascii="宋体" w:hAnsi="宋体" w:eastAsia="宋体" w:cs="宋体"/>
          <w:bCs/>
          <w:color w:val="auto"/>
          <w:szCs w:val="21"/>
        </w:rPr>
        <w:t>重</w:t>
      </w:r>
      <w:r>
        <w:rPr>
          <w:rFonts w:hint="eastAsia" w:ascii="宋体" w:hAnsi="宋体" w:eastAsia="宋体" w:cs="宋体"/>
          <w:color w:val="auto"/>
          <w:kern w:val="0"/>
          <w:szCs w:val="21"/>
        </w:rPr>
        <w:t>新提交响应文件</w:t>
      </w:r>
      <w:r>
        <w:rPr>
          <w:rFonts w:hint="eastAsia" w:ascii="宋体" w:hAnsi="宋体" w:eastAsia="宋体" w:cs="宋体"/>
          <w:bCs/>
          <w:color w:val="auto"/>
          <w:szCs w:val="21"/>
        </w:rPr>
        <w:t>。</w:t>
      </w:r>
      <w:r>
        <w:rPr>
          <w:rFonts w:hint="eastAsia" w:ascii="宋体" w:hAnsi="宋体" w:eastAsia="宋体" w:cs="宋体"/>
          <w:color w:val="auto"/>
          <w:kern w:val="0"/>
          <w:szCs w:val="21"/>
        </w:rPr>
        <w:t>磋商小组应当</w:t>
      </w:r>
      <w:r>
        <w:rPr>
          <w:rFonts w:hint="eastAsia" w:ascii="宋体" w:hAnsi="宋体" w:eastAsia="宋体" w:cs="宋体"/>
          <w:color w:val="auto"/>
          <w:szCs w:val="21"/>
        </w:rPr>
        <w:t>根据本章第26.2</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对供应商重新提交的响应文件进行审查。供应商重新提交的响应文件审查不合格的，不得进入下一轮磋商，也不得要求提交最后报价。</w:t>
      </w:r>
    </w:p>
    <w:p w14:paraId="03AA7C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（1）磋商文件能够详细列明采购需求的技术、服务要求的，磋商结束后，磋商小组应当要求所有继续参加磋商的供应商在规定时间内提交最后报价。</w:t>
      </w:r>
    </w:p>
    <w:p w14:paraId="19B0620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A22E4D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30.3</w:t>
      </w:r>
      <w:r>
        <w:rPr>
          <w:rFonts w:hint="eastAsia" w:ascii="宋体" w:hAnsi="宋体" w:eastAsia="宋体" w:cs="宋体"/>
          <w:color w:val="auto"/>
        </w:rPr>
        <w:t xml:space="preserve"> </w:t>
      </w:r>
      <w:r>
        <w:rPr>
          <w:rFonts w:hint="eastAsia" w:ascii="宋体" w:hAnsi="宋体" w:eastAsia="宋体" w:cs="宋体"/>
          <w:bCs/>
          <w:color w:val="auto"/>
        </w:rPr>
        <w:t>重</w:t>
      </w:r>
      <w:r>
        <w:rPr>
          <w:rFonts w:hint="eastAsia" w:ascii="宋体" w:hAnsi="宋体" w:eastAsia="宋体" w:cs="宋体"/>
          <w:color w:val="auto"/>
          <w:kern w:val="0"/>
        </w:rPr>
        <w:t>新提交的响应文件</w:t>
      </w:r>
      <w:r>
        <w:rPr>
          <w:rFonts w:hint="eastAsia" w:ascii="宋体" w:hAnsi="宋体" w:eastAsia="宋体" w:cs="宋体"/>
          <w:color w:val="auto"/>
        </w:rPr>
        <w:t>或者最后报价应按</w:t>
      </w:r>
      <w:r>
        <w:rPr>
          <w:rFonts w:hint="eastAsia" w:ascii="宋体" w:hAnsi="宋体" w:eastAsia="宋体" w:cs="宋体"/>
          <w:color w:val="auto"/>
          <w:kern w:val="0"/>
          <w:szCs w:val="21"/>
        </w:rPr>
        <w:t>本章第</w:t>
      </w:r>
      <w:r>
        <w:rPr>
          <w:rFonts w:hint="eastAsia" w:ascii="宋体" w:hAnsi="宋体" w:eastAsia="宋体" w:cs="宋体"/>
          <w:color w:val="auto"/>
        </w:rPr>
        <w:t>21.3</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由其法定代表人或其委托代理人签字或者加盖</w:t>
      </w:r>
      <w:r>
        <w:rPr>
          <w:rFonts w:hint="eastAsia" w:ascii="宋体" w:hAnsi="宋体" w:eastAsia="宋体" w:cs="宋体"/>
          <w:color w:val="auto"/>
          <w:kern w:val="0"/>
        </w:rPr>
        <w:t>供应商单位</w:t>
      </w:r>
      <w:r>
        <w:rPr>
          <w:rFonts w:hint="eastAsia" w:ascii="宋体" w:hAnsi="宋体" w:eastAsia="宋体" w:cs="宋体"/>
          <w:color w:val="auto"/>
          <w:kern w:val="0"/>
          <w:szCs w:val="21"/>
        </w:rPr>
        <w:t>章，在规定时间内密封递交给磋商小组</w:t>
      </w:r>
      <w:r>
        <w:rPr>
          <w:rFonts w:hint="eastAsia" w:ascii="宋体" w:hAnsi="宋体" w:eastAsia="宋体" w:cs="宋体"/>
          <w:bCs/>
          <w:color w:val="auto"/>
          <w:szCs w:val="21"/>
        </w:rPr>
        <w:t>。</w:t>
      </w:r>
    </w:p>
    <w:p w14:paraId="4A01568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30.4</w:t>
      </w:r>
      <w:r>
        <w:rPr>
          <w:rFonts w:hint="eastAsia" w:ascii="宋体" w:hAnsi="宋体" w:eastAsia="宋体" w:cs="宋体"/>
          <w:color w:val="auto"/>
          <w:kern w:val="0"/>
          <w:szCs w:val="21"/>
          <w:lang w:val="zh-CN"/>
        </w:rPr>
        <w:t>供应商的</w:t>
      </w:r>
      <w:r>
        <w:rPr>
          <w:rFonts w:hint="eastAsia" w:ascii="宋体" w:hAnsi="宋体" w:eastAsia="宋体" w:cs="宋体"/>
          <w:bCs/>
          <w:color w:val="auto"/>
          <w:szCs w:val="21"/>
        </w:rPr>
        <w:t>最</w:t>
      </w:r>
      <w:r>
        <w:rPr>
          <w:rFonts w:hint="eastAsia" w:ascii="宋体" w:hAnsi="宋体" w:eastAsia="宋体" w:cs="宋体"/>
          <w:color w:val="auto"/>
          <w:kern w:val="0"/>
          <w:szCs w:val="21"/>
          <w:lang w:val="zh-CN"/>
        </w:rPr>
        <w:t>后</w:t>
      </w:r>
      <w:r>
        <w:rPr>
          <w:rFonts w:hint="eastAsia" w:ascii="宋体" w:hAnsi="宋体" w:eastAsia="宋体" w:cs="宋体"/>
          <w:bCs/>
          <w:color w:val="auto"/>
          <w:szCs w:val="21"/>
        </w:rPr>
        <w:t>报价及</w:t>
      </w:r>
      <w:r>
        <w:rPr>
          <w:rFonts w:hint="eastAsia" w:ascii="宋体" w:hAnsi="宋体" w:eastAsia="宋体" w:cs="宋体"/>
          <w:color w:val="auto"/>
          <w:kern w:val="0"/>
          <w:szCs w:val="21"/>
        </w:rPr>
        <w:t>政府采购政策规定的价格扣除情况，磋商小组应召集所有参加最后报价的供应商当场开封</w:t>
      </w:r>
      <w:r>
        <w:rPr>
          <w:rFonts w:hint="eastAsia" w:ascii="宋体" w:hAnsi="宋体" w:eastAsia="宋体" w:cs="宋体"/>
          <w:bCs/>
          <w:color w:val="auto"/>
          <w:szCs w:val="21"/>
        </w:rPr>
        <w:t>公布，并由供应商代表签字确认。</w:t>
      </w:r>
    </w:p>
    <w:p w14:paraId="5D34A32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30.5提交首次响应文件的供应商，在提交最后报价之前，可以根据磋商情况退出磋商，</w:t>
      </w:r>
      <w:r>
        <w:rPr>
          <w:rFonts w:hint="eastAsia" w:ascii="宋体" w:hAnsi="宋体" w:eastAsia="宋体" w:cs="宋体"/>
          <w:color w:val="auto"/>
          <w:kern w:val="0"/>
        </w:rPr>
        <w:t>并书面通知采购代理机构或者磋商小组。</w:t>
      </w:r>
      <w:r>
        <w:rPr>
          <w:rFonts w:hint="eastAsia" w:ascii="宋体" w:hAnsi="宋体" w:eastAsia="宋体" w:cs="宋体"/>
          <w:color w:val="auto"/>
        </w:rPr>
        <w:t>该通知由供应商法定代表人或其委托代理人签字。</w:t>
      </w:r>
      <w:r>
        <w:rPr>
          <w:rFonts w:hint="eastAsia" w:ascii="宋体" w:hAnsi="宋体" w:eastAsia="宋体" w:cs="宋体"/>
          <w:color w:val="auto"/>
          <w:kern w:val="0"/>
          <w:szCs w:val="21"/>
        </w:rPr>
        <w:t>采购代理机构</w:t>
      </w:r>
      <w:r>
        <w:rPr>
          <w:rFonts w:hint="eastAsia" w:ascii="宋体" w:hAnsi="宋体" w:eastAsia="宋体" w:cs="宋体"/>
          <w:color w:val="auto"/>
          <w:kern w:val="0"/>
        </w:rPr>
        <w:t>按</w:t>
      </w:r>
      <w:r>
        <w:rPr>
          <w:rFonts w:hint="eastAsia" w:ascii="宋体" w:hAnsi="宋体" w:eastAsia="宋体" w:cs="宋体"/>
          <w:color w:val="auto"/>
          <w:kern w:val="0"/>
          <w:szCs w:val="21"/>
        </w:rPr>
        <w:t>本章第</w:t>
      </w:r>
      <w:r>
        <w:rPr>
          <w:rFonts w:hint="eastAsia" w:ascii="宋体" w:hAnsi="宋体" w:eastAsia="宋体" w:cs="宋体"/>
          <w:color w:val="auto"/>
        </w:rPr>
        <w:t>19.4</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退还退出磋商的供应商的磋商保证金。</w:t>
      </w:r>
    </w:p>
    <w:p w14:paraId="277BECE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rPr>
      </w:pPr>
      <w:r>
        <w:rPr>
          <w:rFonts w:hint="eastAsia" w:ascii="宋体" w:hAnsi="宋体" w:eastAsia="宋体" w:cs="宋体"/>
          <w:bCs/>
          <w:color w:val="auto"/>
          <w:szCs w:val="21"/>
        </w:rPr>
        <w:t>30.6</w:t>
      </w:r>
      <w:r>
        <w:rPr>
          <w:rFonts w:hint="eastAsia" w:ascii="宋体" w:hAnsi="宋体" w:eastAsia="宋体" w:cs="宋体"/>
          <w:color w:val="auto"/>
          <w:kern w:val="0"/>
          <w:szCs w:val="21"/>
        </w:rPr>
        <w:t>提交首次响应文件的供应商，未按磋商文件规定及磋商小组要求提交最后报价(或者</w:t>
      </w:r>
      <w:r>
        <w:rPr>
          <w:rFonts w:hint="eastAsia" w:ascii="宋体" w:hAnsi="宋体" w:eastAsia="宋体" w:cs="宋体"/>
          <w:bCs/>
          <w:color w:val="auto"/>
          <w:szCs w:val="21"/>
        </w:rPr>
        <w:t>重</w:t>
      </w:r>
      <w:r>
        <w:rPr>
          <w:rFonts w:hint="eastAsia" w:ascii="宋体" w:hAnsi="宋体" w:eastAsia="宋体" w:cs="宋体"/>
          <w:color w:val="auto"/>
          <w:kern w:val="0"/>
          <w:szCs w:val="21"/>
        </w:rPr>
        <w:t>新提交的响应文件和最后报价)，且又</w:t>
      </w:r>
      <w:r>
        <w:rPr>
          <w:rFonts w:hint="eastAsia" w:ascii="宋体" w:hAnsi="宋体" w:eastAsia="宋体" w:cs="宋体"/>
          <w:color w:val="auto"/>
          <w:kern w:val="0"/>
        </w:rPr>
        <w:t>未按</w:t>
      </w:r>
      <w:r>
        <w:rPr>
          <w:rFonts w:hint="eastAsia" w:ascii="宋体" w:hAnsi="宋体" w:eastAsia="宋体" w:cs="宋体"/>
          <w:color w:val="auto"/>
          <w:kern w:val="0"/>
          <w:szCs w:val="21"/>
        </w:rPr>
        <w:t>本章第</w:t>
      </w:r>
      <w:r>
        <w:rPr>
          <w:rFonts w:hint="eastAsia" w:ascii="宋体" w:hAnsi="宋体" w:eastAsia="宋体" w:cs="宋体"/>
          <w:color w:val="auto"/>
        </w:rPr>
        <w:t>30.5</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退出磋商的，供应商的磋商保证金不予退还。</w:t>
      </w:r>
    </w:p>
    <w:p w14:paraId="32EB791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bCs/>
          <w:color w:val="auto"/>
          <w:szCs w:val="21"/>
        </w:rPr>
      </w:pPr>
      <w:r>
        <w:rPr>
          <w:rFonts w:hint="eastAsia" w:ascii="宋体" w:hAnsi="宋体" w:eastAsia="宋体" w:cs="宋体"/>
          <w:b/>
          <w:color w:val="auto"/>
          <w:kern w:val="0"/>
          <w:szCs w:val="21"/>
        </w:rPr>
        <w:t>31.响应文件评审</w:t>
      </w:r>
    </w:p>
    <w:p w14:paraId="4855E60C">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31.1经磋商确定最终采购需求和提交最后报价的供应商后，由磋商小组采用综合评分法对提交最后报价的供应商的响应文件和最后报价进行综合评价。</w:t>
      </w:r>
    </w:p>
    <w:p w14:paraId="6486B63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31.2综合评分法，是指响应文件满足磋商文件全部实质性要求且按评审因素的量化指标评审得分最高的供应商为成交候选供应商的评审方法。本采购项目的评审因素和标准见磋商须知前附表。</w:t>
      </w:r>
    </w:p>
    <w:p w14:paraId="3C8B3379">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038EA0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31.4综合评分法中的价格分采用低价优先法计算，即满足磋商文件要求且经调整后的最后报价最低的供应商的价格为磋商基准价，其价格分为满分。其他供应商的价格分按照下列公式计算：</w:t>
      </w:r>
    </w:p>
    <w:p w14:paraId="03A8292C">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磋商报价得分=（磋商基准价/最后磋商报价）×</w:t>
      </w:r>
      <w:r>
        <w:rPr>
          <w:rFonts w:hint="eastAsia" w:ascii="宋体" w:hAnsi="宋体" w:eastAsia="宋体" w:cs="宋体"/>
          <w:color w:val="auto"/>
          <w:kern w:val="0"/>
          <w:lang w:val="en-US" w:eastAsia="zh-CN"/>
        </w:rPr>
        <w:t>价格权值</w:t>
      </w:r>
    </w:p>
    <w:p w14:paraId="54FE3984">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项目评审过程中，不得去掉最后报价中的最高报价和最低报价。</w:t>
      </w:r>
    </w:p>
    <w:p w14:paraId="438B938C">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31.5涉及政府采购政策优惠对供应商分值进行调整的，按磋商须知前附表规定调整供应商的技术、商务、价格得分或总得分。</w:t>
      </w:r>
    </w:p>
    <w:p w14:paraId="2A8A1F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31.6涉及多处或部分获得政府采购政策优惠的，其多处或部分享受政府采购优惠政策的计算方法见磋商须知前附表相关规定。</w:t>
      </w:r>
    </w:p>
    <w:p w14:paraId="52D378D4">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31.7评审时，磋商小组各成员应当独立对每个供应商的响应文件进行评价、评分，并按照政府采购优惠政策对最后报价进行价格扣除和技术、商务、价格加分后，汇总各供应商的总得分。</w:t>
      </w:r>
    </w:p>
    <w:p w14:paraId="32A38884">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32</w:t>
      </w:r>
      <w:r>
        <w:rPr>
          <w:rFonts w:hint="eastAsia" w:ascii="宋体" w:hAnsi="宋体" w:eastAsia="宋体" w:cs="宋体"/>
          <w:b/>
          <w:color w:val="auto"/>
          <w:kern w:val="0"/>
          <w:szCs w:val="21"/>
        </w:rPr>
        <w:t>.</w:t>
      </w:r>
      <w:r>
        <w:rPr>
          <w:rFonts w:hint="eastAsia" w:ascii="宋体" w:hAnsi="宋体" w:eastAsia="宋体" w:cs="宋体"/>
          <w:b/>
          <w:bCs/>
          <w:color w:val="auto"/>
          <w:szCs w:val="21"/>
        </w:rPr>
        <w:t>提出成交供应商</w:t>
      </w:r>
    </w:p>
    <w:p w14:paraId="064E8360">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rPr>
      </w:pPr>
      <w:r>
        <w:rPr>
          <w:rFonts w:hint="eastAsia" w:ascii="宋体" w:hAnsi="宋体" w:eastAsia="宋体" w:cs="宋体"/>
          <w:color w:val="auto"/>
          <w:kern w:val="0"/>
          <w:szCs w:val="21"/>
        </w:rPr>
        <w:t xml:space="preserve">    </w:t>
      </w:r>
      <w:r>
        <w:rPr>
          <w:rFonts w:hint="eastAsia" w:ascii="宋体" w:hAnsi="宋体" w:eastAsia="宋体" w:cs="宋体"/>
          <w:color w:val="auto"/>
          <w:kern w:val="0"/>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6A29745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33.确定成交供应商</w:t>
      </w:r>
    </w:p>
    <w:p w14:paraId="291069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33.1采购代理机构应当在评审结束后2个工作日内将评审报告送采购人确认。</w:t>
      </w:r>
    </w:p>
    <w:p w14:paraId="4DCC20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1E0CACEE">
      <w:pPr>
        <w:pStyle w:val="24"/>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ascii="宋体" w:hAnsi="宋体" w:eastAsia="宋体" w:cs="宋体"/>
          <w:b/>
          <w:color w:val="auto"/>
        </w:rPr>
      </w:pPr>
      <w:r>
        <w:rPr>
          <w:rFonts w:hint="eastAsia" w:ascii="宋体" w:hAnsi="宋体" w:eastAsia="宋体" w:cs="宋体"/>
          <w:b/>
          <w:color w:val="auto"/>
        </w:rPr>
        <w:t>34.磋商终止</w:t>
      </w:r>
    </w:p>
    <w:p w14:paraId="16F2F43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bCs/>
          <w:color w:val="auto"/>
          <w:szCs w:val="21"/>
        </w:rPr>
        <w:t>34.1</w:t>
      </w:r>
      <w:r>
        <w:rPr>
          <w:rFonts w:hint="eastAsia" w:ascii="宋体" w:hAnsi="宋体" w:eastAsia="宋体" w:cs="宋体"/>
          <w:color w:val="auto"/>
          <w:kern w:val="0"/>
          <w:szCs w:val="21"/>
        </w:rPr>
        <w:t>出现下列情形之一的，采购人或者采购代理机构应当终止竞争性磋商采购活动，</w:t>
      </w:r>
      <w:r>
        <w:rPr>
          <w:rFonts w:hint="eastAsia" w:ascii="宋体" w:hAnsi="宋体" w:eastAsia="宋体" w:cs="宋体"/>
          <w:color w:val="auto"/>
        </w:rPr>
        <w:t>在本章第37.1款指定的媒体上</w:t>
      </w:r>
      <w:r>
        <w:rPr>
          <w:rFonts w:hint="eastAsia" w:ascii="宋体" w:hAnsi="宋体" w:eastAsia="宋体" w:cs="宋体"/>
          <w:color w:val="auto"/>
          <w:kern w:val="0"/>
          <w:szCs w:val="21"/>
        </w:rPr>
        <w:t xml:space="preserve">发布项目终止公告并说明原因，重新开展采购活动： </w:t>
      </w:r>
    </w:p>
    <w:p w14:paraId="2341BEE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（1）因情况变化，不再符合规定的竞争性磋商采购方式适用情形的；</w:t>
      </w:r>
    </w:p>
    <w:p w14:paraId="407D323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（2）出现影响采购公正的违法、违规行为的；</w:t>
      </w:r>
    </w:p>
    <w:p w14:paraId="5B47C4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rPr>
      </w:pPr>
      <w:r>
        <w:rPr>
          <w:rFonts w:hint="eastAsia" w:ascii="宋体" w:hAnsi="宋体" w:eastAsia="宋体" w:cs="宋体"/>
          <w:color w:val="auto"/>
          <w:kern w:val="0"/>
          <w:szCs w:val="21"/>
        </w:rPr>
        <w:t>（3）</w:t>
      </w:r>
      <w:r>
        <w:rPr>
          <w:rFonts w:hint="eastAsia" w:ascii="宋体" w:hAnsi="宋体" w:eastAsia="宋体" w:cs="宋体"/>
          <w:bCs/>
          <w:color w:val="auto"/>
          <w:szCs w:val="21"/>
        </w:rPr>
        <w:t>除《政府采购竞争性磋商采购方式管理暂行办法》(财库〔2014〕214号)</w:t>
      </w:r>
      <w:r>
        <w:rPr>
          <w:rFonts w:hint="eastAsia" w:ascii="宋体" w:hAnsi="宋体" w:eastAsia="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rPr>
        <w:t>情形外，在采购过程中符合要求的供应商或者报价未超过采购预算的供应商不足3家的；</w:t>
      </w:r>
    </w:p>
    <w:p w14:paraId="58B8EB0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rPr>
      </w:pPr>
      <w:r>
        <w:rPr>
          <w:rFonts w:hint="eastAsia" w:ascii="宋体" w:hAnsi="宋体" w:eastAsia="宋体" w:cs="宋体"/>
          <w:color w:val="auto"/>
          <w:kern w:val="0"/>
          <w:szCs w:val="21"/>
        </w:rPr>
        <w:t>（4）因重大变故，采购任务取消的。</w:t>
      </w:r>
    </w:p>
    <w:p w14:paraId="200F2D68">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35．重新评审</w:t>
      </w:r>
    </w:p>
    <w:p w14:paraId="1B70B51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D6B4A2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36.保密及串通行为</w:t>
      </w:r>
    </w:p>
    <w:p w14:paraId="2CE793C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36.1磋商小组成员以及与评审工作有关的人员不得泄露评审情况以及评审过程中获悉的国家秘密、商业秘密。</w:t>
      </w:r>
    </w:p>
    <w:p w14:paraId="7CD18B2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36.2</w:t>
      </w:r>
      <w:r>
        <w:rPr>
          <w:rFonts w:hint="eastAsia" w:ascii="宋体" w:hAnsi="宋体" w:eastAsia="宋体" w:cs="宋体"/>
          <w:color w:val="auto"/>
          <w:kern w:val="0"/>
          <w:szCs w:val="21"/>
        </w:rPr>
        <w:t>供应商</w:t>
      </w:r>
      <w:r>
        <w:rPr>
          <w:rFonts w:hint="eastAsia" w:ascii="宋体" w:hAnsi="宋体" w:eastAsia="宋体" w:cs="宋体"/>
          <w:color w:val="auto"/>
          <w:szCs w:val="21"/>
        </w:rPr>
        <w:t>不得与</w:t>
      </w:r>
      <w:r>
        <w:rPr>
          <w:rFonts w:hint="eastAsia" w:ascii="宋体" w:hAnsi="宋体" w:eastAsia="宋体" w:cs="宋体"/>
          <w:color w:val="auto"/>
          <w:kern w:val="0"/>
          <w:szCs w:val="21"/>
        </w:rPr>
        <w:t>采购人、采购代理机构、其他供应商恶意</w:t>
      </w:r>
      <w:r>
        <w:rPr>
          <w:rFonts w:hint="eastAsia" w:ascii="宋体" w:hAnsi="宋体" w:eastAsia="宋体" w:cs="宋体"/>
          <w:color w:val="auto"/>
          <w:szCs w:val="21"/>
        </w:rPr>
        <w:t>串通；不得向</w:t>
      </w:r>
      <w:r>
        <w:rPr>
          <w:rFonts w:hint="eastAsia" w:ascii="宋体" w:hAnsi="宋体" w:eastAsia="宋体" w:cs="宋体"/>
          <w:color w:val="auto"/>
          <w:kern w:val="0"/>
          <w:szCs w:val="21"/>
        </w:rPr>
        <w:t>采购人、采购代理机构</w:t>
      </w:r>
      <w:r>
        <w:rPr>
          <w:rFonts w:hint="eastAsia" w:ascii="宋体" w:hAnsi="宋体" w:eastAsia="宋体" w:cs="宋体"/>
          <w:color w:val="auto"/>
          <w:szCs w:val="21"/>
        </w:rPr>
        <w:t>或者磋商小组成员行贿或者提供其他不正当利益；不得提供虚假资料谋取成交；不得以任何方式干扰、影响采购工作。</w:t>
      </w:r>
      <w:r>
        <w:rPr>
          <w:rFonts w:hint="eastAsia" w:ascii="宋体" w:hAnsi="宋体" w:eastAsia="宋体" w:cs="宋体"/>
          <w:color w:val="auto"/>
          <w:szCs w:val="21"/>
          <w:lang w:val="en-US" w:eastAsia="zh-CN"/>
        </w:rPr>
        <w:t xml:space="preserve"> </w:t>
      </w:r>
    </w:p>
    <w:p w14:paraId="331DA058">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36.3</w:t>
      </w:r>
      <w:r>
        <w:rPr>
          <w:rFonts w:hint="eastAsia" w:ascii="宋体" w:hAnsi="宋体" w:eastAsia="宋体" w:cs="宋体"/>
          <w:color w:val="auto"/>
          <w:sz w:val="21"/>
          <w:szCs w:val="21"/>
          <w:lang w:val="zh-CN"/>
        </w:rPr>
        <w:t>有下列情形之一的，属于恶意串通，对供应商依照政府采购法第七十七条第一款的规定追究法律责任：</w:t>
      </w:r>
    </w:p>
    <w:p w14:paraId="150979A9">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（一）供应商直接或者间接从采购人或者采购代理机构处获得其他供应商的相关情况并修改其响应文件或者响应文件；</w:t>
      </w:r>
    </w:p>
    <w:p w14:paraId="0698DBC7">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（二）供应商按照采购人或者采购代理机构的授意撤换、修改响应文件或者响应文件；</w:t>
      </w:r>
    </w:p>
    <w:p w14:paraId="47356BD6">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（三）供应商之间协商报价、技术方案等响应文件或者响应文件的实质性内容；</w:t>
      </w:r>
    </w:p>
    <w:p w14:paraId="4392F3A1">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（四）属于同一集团、协会、商会等组织成员的供应商按照该组织要求协同参加政府采购活动；</w:t>
      </w:r>
    </w:p>
    <w:p w14:paraId="5D88DB30">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（五）供应商之间事先约定由某一特定供应商中标、成交；</w:t>
      </w:r>
    </w:p>
    <w:p w14:paraId="1EB9285C">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（六）供应商之间商定部分供应商放弃参加政府采购活动或者放弃中标、成交；</w:t>
      </w:r>
    </w:p>
    <w:p w14:paraId="7B8B4575">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（七）供应商与采购人或者采购代理机构之间、供应商相互之间，为谋求特定供应商中标、成交或者排斥其他供应商的其他串通行为。</w:t>
      </w:r>
    </w:p>
    <w:p w14:paraId="0BB18AD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rPr>
      </w:pPr>
      <w:r>
        <w:rPr>
          <w:rFonts w:hint="eastAsia" w:ascii="宋体" w:hAnsi="宋体" w:eastAsia="宋体" w:cs="宋体"/>
          <w:color w:val="auto"/>
          <w:sz w:val="24"/>
        </w:rPr>
        <w:t>六、成交结果信息公布与授予合同</w:t>
      </w:r>
    </w:p>
    <w:p w14:paraId="38AAFAF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37.成交信息的公布</w:t>
      </w:r>
    </w:p>
    <w:p w14:paraId="04307AE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37.1成交供应商确定后2个工作日内，成交结果信息将在</w:t>
      </w:r>
      <w:r>
        <w:rPr>
          <w:rFonts w:hint="eastAsia" w:ascii="宋体" w:hAnsi="宋体" w:eastAsia="宋体" w:cs="宋体"/>
          <w:b/>
          <w:color w:val="auto"/>
        </w:rPr>
        <w:t>磋商须知前附表</w:t>
      </w:r>
      <w:r>
        <w:rPr>
          <w:rFonts w:hint="eastAsia" w:ascii="宋体" w:hAnsi="宋体" w:eastAsia="宋体" w:cs="宋体"/>
          <w:color w:val="auto"/>
        </w:rPr>
        <w:t>指定的媒体上公布。</w:t>
      </w:r>
    </w:p>
    <w:p w14:paraId="0B2D5B9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38.询问及质疑</w:t>
      </w:r>
    </w:p>
    <w:p w14:paraId="52AD387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rPr>
      </w:pPr>
      <w:r>
        <w:rPr>
          <w:rFonts w:hint="eastAsia" w:ascii="宋体" w:hAnsi="宋体" w:eastAsia="宋体" w:cs="宋体"/>
          <w:color w:val="auto"/>
          <w:szCs w:val="21"/>
        </w:rPr>
        <w:t>38.1供应商对政府采购活动事项有疑问的，可以向采购人或采购代理机构提出询问。</w:t>
      </w:r>
    </w:p>
    <w:p w14:paraId="318733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38.2供应商若认为磋商文件、采购过程和成交结果使自己的权益受到损害，可以按法律、行政法规及湖南省财政厅规范性文件规定向采购人或采购代理机构提出质疑。</w:t>
      </w:r>
    </w:p>
    <w:p w14:paraId="5D203DB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39.成交通知</w:t>
      </w:r>
    </w:p>
    <w:p w14:paraId="6560275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39.1成交供应商确定后，采购人或采购代理机构将以书面形式向成交供应商发出成交通知书。成交通知书对采购人和成交供应商具有同等法律效力。</w:t>
      </w:r>
    </w:p>
    <w:p w14:paraId="43EFF29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39.2 成交通知书是合同文件的组成部分。</w:t>
      </w:r>
    </w:p>
    <w:p w14:paraId="57EAB724">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kern w:val="0"/>
          <w:szCs w:val="21"/>
        </w:rPr>
        <w:t xml:space="preserve">39.3 </w:t>
      </w:r>
      <w:r>
        <w:rPr>
          <w:rFonts w:hint="eastAsia" w:ascii="宋体" w:hAnsi="宋体" w:eastAsia="宋体" w:cs="宋体"/>
          <w:color w:val="auto"/>
          <w:szCs w:val="21"/>
        </w:rPr>
        <w:t>成交供应商在收到采购代理机构的成交通知书后10日内，应按照</w:t>
      </w:r>
      <w:r>
        <w:rPr>
          <w:rFonts w:hint="eastAsia" w:ascii="宋体" w:hAnsi="宋体" w:eastAsia="宋体" w:cs="宋体"/>
          <w:b/>
          <w:color w:val="auto"/>
          <w:szCs w:val="21"/>
        </w:rPr>
        <w:t>磋商须知前附表</w:t>
      </w:r>
      <w:r>
        <w:rPr>
          <w:rFonts w:hint="eastAsia" w:ascii="宋体" w:hAnsi="宋体" w:eastAsia="宋体" w:cs="宋体"/>
          <w:color w:val="auto"/>
          <w:szCs w:val="21"/>
        </w:rPr>
        <w:t>的规定，向采购人提交履约担保。联合体成交的，履约担保由联合体各方或联合体中牵头人的名义提交。</w:t>
      </w:r>
    </w:p>
    <w:p w14:paraId="3E1A1389">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39.4 成交供应商</w:t>
      </w:r>
      <w:r>
        <w:rPr>
          <w:rFonts w:hint="eastAsia" w:ascii="宋体" w:hAnsi="宋体" w:eastAsia="宋体" w:cs="宋体"/>
          <w:color w:val="auto"/>
          <w:spacing w:val="4"/>
        </w:rPr>
        <w:t>没有按照本章第39.3</w:t>
      </w:r>
      <w:r>
        <w:rPr>
          <w:rFonts w:hint="eastAsia" w:ascii="宋体" w:hAnsi="宋体" w:eastAsia="宋体" w:cs="宋体"/>
          <w:color w:val="auto"/>
          <w:kern w:val="0"/>
          <w:lang w:val="zh-CN"/>
        </w:rPr>
        <w:t>款</w:t>
      </w:r>
      <w:r>
        <w:rPr>
          <w:rFonts w:hint="eastAsia" w:ascii="宋体" w:hAnsi="宋体" w:eastAsia="宋体" w:cs="宋体"/>
          <w:color w:val="auto"/>
          <w:spacing w:val="4"/>
        </w:rPr>
        <w:t>规定</w:t>
      </w:r>
      <w:r>
        <w:rPr>
          <w:rFonts w:hint="eastAsia" w:ascii="宋体" w:hAnsi="宋体" w:eastAsia="宋体" w:cs="宋体"/>
          <w:color w:val="auto"/>
        </w:rPr>
        <w:t>提交履约担保的</w:t>
      </w:r>
      <w:r>
        <w:rPr>
          <w:rFonts w:hint="eastAsia" w:ascii="宋体" w:hAnsi="宋体" w:eastAsia="宋体" w:cs="宋体"/>
          <w:color w:val="auto"/>
          <w:spacing w:val="4"/>
        </w:rPr>
        <w:t>，视为放弃</w:t>
      </w:r>
      <w:r>
        <w:rPr>
          <w:rFonts w:hint="eastAsia" w:ascii="宋体" w:hAnsi="宋体" w:eastAsia="宋体" w:cs="宋体"/>
          <w:color w:val="auto"/>
        </w:rPr>
        <w:t>成交资格</w:t>
      </w:r>
      <w:r>
        <w:rPr>
          <w:rFonts w:hint="eastAsia" w:ascii="宋体" w:hAnsi="宋体" w:eastAsia="宋体" w:cs="宋体"/>
          <w:color w:val="auto"/>
          <w:spacing w:val="4"/>
        </w:rPr>
        <w:t>，</w:t>
      </w:r>
      <w:r>
        <w:rPr>
          <w:rFonts w:hint="eastAsia" w:ascii="宋体" w:hAnsi="宋体" w:eastAsia="宋体" w:cs="宋体"/>
          <w:color w:val="auto"/>
          <w:spacing w:val="2"/>
        </w:rPr>
        <w:t>其保证金不予退还。</w:t>
      </w:r>
    </w:p>
    <w:p w14:paraId="7213D46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rPr>
      </w:pPr>
      <w:r>
        <w:rPr>
          <w:rFonts w:hint="eastAsia" w:ascii="宋体" w:hAnsi="宋体" w:eastAsia="宋体" w:cs="宋体"/>
          <w:b/>
          <w:bCs/>
          <w:color w:val="auto"/>
          <w:szCs w:val="21"/>
        </w:rPr>
        <w:t>40.签订合同</w:t>
      </w:r>
    </w:p>
    <w:p w14:paraId="64C0F55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40.1成交供应商应当在成交通知书发出之日起30日内与采购人签订政府采购合同。</w:t>
      </w:r>
    </w:p>
    <w:p w14:paraId="7E92BFA8">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40.2磋商文件、成交供应商的响应文件等均为签订政府采购合同的依据。</w:t>
      </w:r>
    </w:p>
    <w:p w14:paraId="4BBCB29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40.3 成交供应商应当按照合同约定履行义务。成交供应商不得向他人转让成交项目，也不得将成交项目分包后分别向他人转让。</w:t>
      </w:r>
    </w:p>
    <w:p w14:paraId="3B49E04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40.4 成交供应商有下列情形之一的，责令限期改正，情节严重的，列入不良行为记录名单，在1至3年内禁止参加政府采购活动，并予以通报：</w:t>
      </w:r>
    </w:p>
    <w:p w14:paraId="6E3343D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（一）成交后无正当理由不与采购人签订合同的；</w:t>
      </w:r>
    </w:p>
    <w:p w14:paraId="09578AA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（二）未按照采购文件确定的事项签订政府采购合同，或者与采购人另行订立背离合同实质性内容的协议的；</w:t>
      </w:r>
    </w:p>
    <w:p w14:paraId="1BBF3F1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rPr>
      </w:pPr>
      <w:r>
        <w:rPr>
          <w:rFonts w:hint="eastAsia" w:ascii="宋体" w:hAnsi="宋体" w:eastAsia="宋体" w:cs="宋体"/>
          <w:color w:val="auto"/>
        </w:rPr>
        <w:t>（三）拒绝履行合同义务的；</w:t>
      </w:r>
    </w:p>
    <w:p w14:paraId="2CF39B3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rPr>
      </w:pPr>
      <w:r>
        <w:rPr>
          <w:rFonts w:hint="eastAsia" w:ascii="宋体" w:hAnsi="宋体" w:eastAsia="宋体" w:cs="宋体"/>
          <w:color w:val="auto"/>
        </w:rPr>
        <w:t>（四）</w:t>
      </w:r>
      <w:r>
        <w:rPr>
          <w:rFonts w:hint="eastAsia" w:ascii="宋体" w:hAnsi="宋体" w:eastAsia="宋体" w:cs="宋体"/>
          <w:color w:val="auto"/>
          <w:kern w:val="0"/>
        </w:rPr>
        <w:t>违反法律、规章、规范性文件规定的。</w:t>
      </w:r>
    </w:p>
    <w:p w14:paraId="4381554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rPr>
      </w:pPr>
      <w:r>
        <w:rPr>
          <w:rFonts w:hint="eastAsia" w:ascii="宋体" w:hAnsi="宋体" w:eastAsia="宋体" w:cs="宋体"/>
          <w:color w:val="auto"/>
          <w:sz w:val="24"/>
        </w:rPr>
        <w:t>七、其他规定</w:t>
      </w:r>
    </w:p>
    <w:p w14:paraId="0F8629D4">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41.1采购代理服务费</w:t>
      </w:r>
    </w:p>
    <w:p w14:paraId="7815E931">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41.1采购代理机构应按</w:t>
      </w:r>
      <w:r>
        <w:rPr>
          <w:rFonts w:hint="eastAsia" w:ascii="宋体" w:hAnsi="宋体" w:eastAsia="宋体" w:cs="宋体"/>
          <w:b/>
          <w:color w:val="auto"/>
          <w:szCs w:val="21"/>
        </w:rPr>
        <w:t>磋商须知前附表</w:t>
      </w:r>
      <w:r>
        <w:rPr>
          <w:rFonts w:hint="eastAsia" w:ascii="宋体" w:hAnsi="宋体" w:eastAsia="宋体" w:cs="宋体"/>
          <w:color w:val="auto"/>
          <w:szCs w:val="21"/>
        </w:rPr>
        <w:t>规定收取采购代理服务费。</w:t>
      </w:r>
    </w:p>
    <w:p w14:paraId="3386648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41.2集中采购机构不得收取采购代理服务费。</w:t>
      </w:r>
    </w:p>
    <w:p w14:paraId="32F73B02">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rPr>
      </w:pPr>
      <w:r>
        <w:rPr>
          <w:rFonts w:hint="eastAsia" w:ascii="宋体" w:hAnsi="宋体" w:eastAsia="宋体" w:cs="宋体"/>
          <w:b/>
          <w:color w:val="auto"/>
          <w:szCs w:val="21"/>
        </w:rPr>
        <w:t>42.</w:t>
      </w:r>
      <w:r>
        <w:rPr>
          <w:rFonts w:hint="eastAsia" w:ascii="宋体" w:hAnsi="宋体" w:eastAsia="宋体" w:cs="宋体"/>
          <w:b/>
          <w:color w:val="auto"/>
        </w:rPr>
        <w:t xml:space="preserve"> 其他规定</w:t>
      </w:r>
    </w:p>
    <w:p w14:paraId="1BF42F4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rPr>
        <w:t>42.1</w:t>
      </w:r>
      <w:r>
        <w:rPr>
          <w:rFonts w:hint="eastAsia" w:ascii="宋体" w:hAnsi="宋体" w:eastAsia="宋体" w:cs="宋体"/>
          <w:color w:val="auto"/>
          <w:szCs w:val="21"/>
        </w:rPr>
        <w:t>磋商文件</w:t>
      </w:r>
      <w:r>
        <w:rPr>
          <w:rFonts w:hint="eastAsia" w:ascii="宋体" w:hAnsi="宋体" w:eastAsia="宋体" w:cs="宋体"/>
          <w:color w:val="auto"/>
        </w:rPr>
        <w:t>的其他规定</w:t>
      </w:r>
      <w:r>
        <w:rPr>
          <w:rFonts w:hint="eastAsia" w:ascii="宋体" w:hAnsi="宋体" w:eastAsia="宋体" w:cs="宋体"/>
          <w:color w:val="auto"/>
          <w:szCs w:val="21"/>
        </w:rPr>
        <w:t>见</w:t>
      </w:r>
      <w:r>
        <w:rPr>
          <w:rFonts w:hint="eastAsia" w:ascii="宋体" w:hAnsi="宋体" w:eastAsia="宋体" w:cs="宋体"/>
          <w:b/>
          <w:color w:val="auto"/>
          <w:szCs w:val="21"/>
        </w:rPr>
        <w:t>磋商须知前附表</w:t>
      </w:r>
      <w:r>
        <w:rPr>
          <w:rFonts w:hint="eastAsia" w:ascii="宋体" w:hAnsi="宋体" w:eastAsia="宋体" w:cs="宋体"/>
          <w:color w:val="auto"/>
          <w:szCs w:val="21"/>
        </w:rPr>
        <w:t>。</w:t>
      </w:r>
    </w:p>
    <w:p w14:paraId="7C7DEB81">
      <w:pPr>
        <w:pStyle w:val="24"/>
        <w:pageBreakBefore w:val="0"/>
        <w:widowControl w:val="0"/>
        <w:kinsoku/>
        <w:topLinePunct w:val="0"/>
        <w:autoSpaceDE/>
        <w:autoSpaceDN/>
        <w:bidi w:val="0"/>
        <w:spacing w:line="400" w:lineRule="exact"/>
        <w:ind w:left="0" w:right="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color w:val="auto"/>
          <w:sz w:val="32"/>
          <w:szCs w:val="32"/>
        </w:rPr>
        <w:br w:type="page"/>
      </w:r>
      <w:bookmarkStart w:id="7" w:name="_Toc20651236"/>
      <w:r>
        <w:rPr>
          <w:rFonts w:hint="eastAsia" w:ascii="宋体" w:hAnsi="宋体" w:eastAsia="宋体" w:cs="宋体"/>
          <w:b/>
          <w:bCs w:val="0"/>
          <w:sz w:val="32"/>
          <w:szCs w:val="32"/>
        </w:rPr>
        <w:t>第</w:t>
      </w:r>
      <w:r>
        <w:rPr>
          <w:rFonts w:hint="eastAsia" w:ascii="宋体" w:hAnsi="宋体" w:eastAsia="宋体" w:cs="宋体"/>
          <w:b/>
          <w:bCs w:val="0"/>
          <w:sz w:val="32"/>
          <w:szCs w:val="32"/>
          <w:lang w:eastAsia="zh-CN"/>
        </w:rPr>
        <w:t>三</w:t>
      </w:r>
      <w:r>
        <w:rPr>
          <w:rFonts w:hint="eastAsia" w:ascii="宋体" w:hAnsi="宋体" w:eastAsia="宋体" w:cs="宋体"/>
          <w:b/>
          <w:bCs w:val="0"/>
          <w:sz w:val="32"/>
          <w:szCs w:val="32"/>
        </w:rPr>
        <w:t xml:space="preserve">章 </w:t>
      </w:r>
      <w:bookmarkEnd w:id="7"/>
      <w:r>
        <w:rPr>
          <w:rFonts w:hint="eastAsia" w:ascii="宋体" w:hAnsi="宋体" w:eastAsia="宋体" w:cs="宋体"/>
          <w:b/>
          <w:bCs w:val="0"/>
          <w:sz w:val="32"/>
          <w:szCs w:val="32"/>
        </w:rPr>
        <w:t>湖南省政府投资项目代建合同</w:t>
      </w:r>
      <w:bookmarkStart w:id="8" w:name="_Toc247514200"/>
      <w:bookmarkStart w:id="9" w:name="_Toc144974831"/>
      <w:bookmarkStart w:id="10" w:name="_Toc300835202"/>
      <w:bookmarkStart w:id="11" w:name="_Toc432755183"/>
      <w:bookmarkStart w:id="12" w:name="_Toc20693"/>
      <w:bookmarkStart w:id="13" w:name="_Toc152042551"/>
      <w:bookmarkStart w:id="14" w:name="_Toc6185"/>
      <w:bookmarkStart w:id="15" w:name="_Toc247527801"/>
      <w:bookmarkStart w:id="16" w:name="_Toc66818576"/>
      <w:bookmarkStart w:id="17" w:name="_Toc152045769"/>
    </w:p>
    <w:p w14:paraId="17E4A349">
      <w:pPr>
        <w:kinsoku/>
        <w:wordWrap w:val="0"/>
        <w:spacing w:line="576" w:lineRule="exact"/>
        <w:jc w:val="center"/>
        <w:outlineLvl w:val="1"/>
        <w:rPr>
          <w:rFonts w:hint="eastAsia" w:ascii="宋体" w:hAnsi="宋体" w:eastAsia="宋体" w:cs="宋体"/>
          <w:color w:val="auto"/>
          <w:sz w:val="21"/>
          <w:szCs w:val="21"/>
          <w:highlight w:val="none"/>
          <w:lang w:eastAsia="zh-CN"/>
        </w:rPr>
      </w:pPr>
      <w:bookmarkStart w:id="18" w:name="bookmark101"/>
      <w:bookmarkEnd w:id="18"/>
      <w:bookmarkStart w:id="19" w:name="_Toc205824407"/>
      <w:r>
        <w:rPr>
          <w:rFonts w:hint="eastAsia" w:ascii="宋体" w:hAnsi="宋体" w:eastAsia="宋体" w:cs="宋体"/>
          <w:color w:val="auto"/>
          <w:sz w:val="21"/>
          <w:szCs w:val="21"/>
          <w:highlight w:val="none"/>
          <w:lang w:eastAsia="zh-CN"/>
        </w:rPr>
        <w:t>第一部分  合同协议书</w:t>
      </w:r>
      <w:bookmarkEnd w:id="19"/>
    </w:p>
    <w:p w14:paraId="1619B9E7">
      <w:pPr>
        <w:widowControl w:val="0"/>
        <w:kinsoku/>
        <w:wordWrap w:val="0"/>
        <w:spacing w:line="576" w:lineRule="exact"/>
        <w:ind w:left="5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 xml:space="preserve">，全称）： </w:t>
      </w:r>
      <w:r>
        <w:rPr>
          <w:rFonts w:hint="eastAsia" w:ascii="宋体" w:hAnsi="宋体" w:eastAsia="宋体" w:cs="宋体"/>
          <w:color w:val="auto"/>
          <w:sz w:val="21"/>
          <w:szCs w:val="21"/>
          <w:highlight w:val="none"/>
          <w:u w:val="single"/>
          <w:lang w:eastAsia="zh-CN"/>
        </w:rPr>
        <w:t xml:space="preserve">                               </w:t>
      </w:r>
    </w:p>
    <w:p w14:paraId="1857381D">
      <w:pPr>
        <w:widowControl w:val="0"/>
        <w:kinsoku/>
        <w:wordWrap w:val="0"/>
        <w:spacing w:line="576" w:lineRule="exact"/>
        <w:ind w:left="56"/>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乙方（代建单位，全称）： </w:t>
      </w:r>
      <w:r>
        <w:rPr>
          <w:rFonts w:hint="eastAsia" w:ascii="宋体" w:hAnsi="宋体" w:eastAsia="宋体" w:cs="宋体"/>
          <w:color w:val="auto"/>
          <w:sz w:val="21"/>
          <w:szCs w:val="21"/>
          <w:highlight w:val="none"/>
          <w:u w:val="single"/>
          <w:lang w:eastAsia="zh-CN"/>
        </w:rPr>
        <w:t xml:space="preserve">                               </w:t>
      </w:r>
    </w:p>
    <w:p w14:paraId="6E5962D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根据《中华人民共和国民法典》及相关法律、行政法规，遵循平等、自愿、公平和诚信原则，为保证政府投资项目的顺利实施，充分发挥政府投资效益，经甲乙双方协商同意，就</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项目由乙方代建事宜协商一致，依法达成如下协议。</w:t>
      </w:r>
    </w:p>
    <w:p w14:paraId="49945C2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1、代建项目概况</w:t>
      </w:r>
    </w:p>
    <w:p w14:paraId="50EFEA5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项目名称： </w:t>
      </w:r>
      <w:r>
        <w:rPr>
          <w:rFonts w:hint="eastAsia" w:ascii="宋体" w:hAnsi="宋体" w:eastAsia="宋体" w:cs="宋体"/>
          <w:color w:val="auto"/>
          <w:sz w:val="21"/>
          <w:szCs w:val="21"/>
          <w:highlight w:val="none"/>
          <w:u w:val="single"/>
          <w:lang w:eastAsia="zh-CN"/>
        </w:rPr>
        <w:t xml:space="preserve">                             </w:t>
      </w:r>
    </w:p>
    <w:p w14:paraId="0332D65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项目总投资：</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万元（以批准的投资估算为准）</w:t>
      </w:r>
    </w:p>
    <w:p w14:paraId="6085413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建设地点：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w:t>
      </w:r>
    </w:p>
    <w:p w14:paraId="7BBB71D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建设内容： </w:t>
      </w:r>
      <w:r>
        <w:rPr>
          <w:rFonts w:hint="eastAsia" w:ascii="宋体" w:hAnsi="宋体" w:eastAsia="宋体" w:cs="宋体"/>
          <w:color w:val="auto"/>
          <w:sz w:val="21"/>
          <w:szCs w:val="21"/>
          <w:highlight w:val="none"/>
          <w:u w:val="single"/>
          <w:lang w:eastAsia="zh-CN"/>
        </w:rPr>
        <w:t xml:space="preserve">                             </w:t>
      </w:r>
    </w:p>
    <w:p w14:paraId="3E4B008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2、乙方代建管理范围和内容</w:t>
      </w:r>
    </w:p>
    <w:p w14:paraId="3B244C76">
      <w:pPr>
        <w:widowControl w:val="0"/>
        <w:kinsoku/>
        <w:wordWrap w:val="0"/>
        <w:spacing w:line="576" w:lineRule="exact"/>
        <w:ind w:firstLine="420" w:firstLineChars="200"/>
        <w:jc w:val="both"/>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z w:val="21"/>
          <w:szCs w:val="21"/>
          <w:highlight w:val="none"/>
          <w:lang w:eastAsia="zh-CN"/>
        </w:rPr>
        <w:t>2.1 代建管理主要范围：从项目可研批复后、代建合同生效开始至工程实体移交为止，对项目的</w:t>
      </w:r>
      <w:r>
        <w:rPr>
          <w:rFonts w:hint="eastAsia" w:ascii="宋体" w:hAnsi="宋体" w:eastAsia="宋体" w:cs="宋体"/>
          <w:color w:val="auto"/>
          <w:sz w:val="21"/>
          <w:szCs w:val="21"/>
          <w:highlight w:val="none"/>
          <w:u w:val="single"/>
          <w:lang w:eastAsia="zh-CN"/>
        </w:rPr>
        <w:t>前期工作、建安工程、材料设备采购、室外工程及相关事项等</w:t>
      </w:r>
      <w:r>
        <w:rPr>
          <w:rFonts w:hint="eastAsia" w:ascii="宋体" w:hAnsi="宋体" w:eastAsia="宋体" w:cs="宋体"/>
          <w:color w:val="auto"/>
          <w:sz w:val="21"/>
          <w:szCs w:val="21"/>
          <w:highlight w:val="none"/>
          <w:lang w:eastAsia="zh-CN"/>
        </w:rPr>
        <w:t>进行全过程管理（可根据项目实际调</w:t>
      </w:r>
      <w:r>
        <w:rPr>
          <w:rFonts w:hint="eastAsia" w:ascii="宋体" w:hAnsi="宋体" w:eastAsia="宋体" w:cs="宋体"/>
          <w:color w:val="auto"/>
          <w:spacing w:val="-4"/>
          <w:sz w:val="21"/>
          <w:szCs w:val="21"/>
          <w:highlight w:val="none"/>
          <w:lang w:eastAsia="zh-CN"/>
        </w:rPr>
        <w:t>整表述）。</w:t>
      </w:r>
    </w:p>
    <w:p w14:paraId="2C25759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 代建管理服务主要内容：</w:t>
      </w:r>
    </w:p>
    <w:p w14:paraId="6126B3CF">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代建单位在代建期限内行使</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相关权利、代行招标人相关职责，负责项目实施的组织、协调、管理等工作，具体负责下列事项：</w:t>
      </w:r>
    </w:p>
    <w:p w14:paraId="36E6773B">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（1）依据批准的可行性研究报告组织编报初步设计及概算、施工图设计及预算；</w:t>
      </w:r>
    </w:p>
    <w:p w14:paraId="22D59322">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（2）组织开展项目勘察、设计、监理、造价咨询等相关工程服务和施工以及设备材料等的采购招标，负责工程合同的洽谈；</w:t>
      </w:r>
    </w:p>
    <w:p w14:paraId="3FC89709">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（3）办理规划、节能、环保、消防、人防、园林、施工、市政、设计变更、概算调整等有关事项报批手续；</w:t>
      </w:r>
    </w:p>
    <w:p w14:paraId="39E2CD0F">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（4）督促项目各参建单位加强项目质量和安全生产管理；</w:t>
      </w:r>
    </w:p>
    <w:p w14:paraId="20769082">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（5）配合</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按照项目进度申报财政资金，并按月向发展改革、财政部门报送工程进度及资金使用情况；</w:t>
      </w:r>
    </w:p>
    <w:p w14:paraId="540DEA85">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（6）组织工程验收，办理竣工验收备案，向</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办理项目实体移交手续；</w:t>
      </w:r>
    </w:p>
    <w:p w14:paraId="5FA5E849">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（7）办理工程结算、协助</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办理竣工财务决算；</w:t>
      </w:r>
    </w:p>
    <w:p w14:paraId="720DA450">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（8）整理汇编并移交有关项目资料；</w:t>
      </w:r>
    </w:p>
    <w:p w14:paraId="7C6C64D6">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（9）做好缺陷责任期和保修期的服务工作；</w:t>
      </w:r>
    </w:p>
    <w:p w14:paraId="40493D07">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（10）依据代建合同约定应当承担的其他工作。</w:t>
      </w:r>
    </w:p>
    <w:p w14:paraId="50B5159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3、代建项目管理目标</w:t>
      </w:r>
    </w:p>
    <w:p w14:paraId="06E54E3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代建范围内投资控制金额：暂按可行性研究报告批复的投资估算</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万元为投资控制金额，以代建范围内最终批准的概算投资额为准。</w:t>
      </w:r>
    </w:p>
    <w:p w14:paraId="4BCA6FF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代建周期：合同生效之日起到实体移交手续完成止。其中合同生效之日起至工程竣工验收合格之日止为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日；竣工验收合格后90日内申请办理工程结算事宜，并按合同约定向</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办理实体移交手续。</w:t>
      </w:r>
    </w:p>
    <w:p w14:paraId="11B5124B">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甲方签订合同前已完成工作为：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none"/>
          <w:lang w:eastAsia="zh-CN"/>
        </w:rPr>
        <w:t>。</w:t>
      </w:r>
    </w:p>
    <w:p w14:paraId="21CAACE0">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代建项目工程质量标准：依照国家《</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》（相应法定质量标准）达到合格。</w:t>
      </w:r>
    </w:p>
    <w:p w14:paraId="68AA0209">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代建项目安全管理目标：代建单位无安全责任事故。</w:t>
      </w:r>
    </w:p>
    <w:p w14:paraId="12B4FB23">
      <w:pPr>
        <w:widowControl w:val="0"/>
        <w:kinsoku/>
        <w:wordWrap w:val="0"/>
        <w:adjustRightInd/>
        <w:snapToGrid/>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廉洁守法目标：严格遵守法律、法规、政策要求和廉洁规定，无违法违纪行为。</w:t>
      </w:r>
    </w:p>
    <w:p w14:paraId="1263549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4、代建服务费</w:t>
      </w:r>
    </w:p>
    <w:p w14:paraId="0FEC1989">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甲方应向乙方支付代建服务费，代建服务费：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万元（大写：</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）（多个项目打捆招标的代建服务费应每个项目分别计取后再汇总取和）。</w:t>
      </w:r>
    </w:p>
    <w:p w14:paraId="4062B2A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本合同为固定总价合同，合同签订后除因项目额外工作外，合同价格不再进行调整。</w:t>
      </w:r>
    </w:p>
    <w:p w14:paraId="4EBA7731">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代建服务费支付详见本合同专用条款约定。</w:t>
      </w:r>
    </w:p>
    <w:p w14:paraId="791851E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5、合同文件</w:t>
      </w:r>
    </w:p>
    <w:p w14:paraId="1FAB879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组成合同的各项文件应互为解释说明。合同专用条款是对通用条款的补充和细化，但不得违反法律、行政法规的强制性规定，以及平等、自愿、公平和诚实信用原则。除通用条款明确规定可以作出不同约定外，专用条款补充和细化的内容不得与通用条款相抵触，否则相关内容无效。除合同专用条款另有约定外，合同文件的组成及优先顺序如下：</w:t>
      </w:r>
    </w:p>
    <w:p w14:paraId="33DD307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（1）合同协议书；</w:t>
      </w:r>
    </w:p>
    <w:p w14:paraId="09549378">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（2）中标通知书；</w:t>
      </w:r>
    </w:p>
    <w:p w14:paraId="0B22893E">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（3）投标函及投标函附录；</w:t>
      </w:r>
    </w:p>
    <w:p w14:paraId="6AF7333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（4）合同专用条款；</w:t>
      </w:r>
    </w:p>
    <w:p w14:paraId="3EA0FF6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（5）合同通用条款；</w:t>
      </w:r>
    </w:p>
    <w:p w14:paraId="3077F8E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（6）招标文件中的标准、规范及有关技术文件；</w:t>
      </w:r>
    </w:p>
    <w:p w14:paraId="4E8DE20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（7）乙方投标文件中的项目管理方案、团队人员配置和其它投标承诺；</w:t>
      </w:r>
    </w:p>
    <w:p w14:paraId="7B165E28">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（8）其他合同文件。</w:t>
      </w:r>
    </w:p>
    <w:p w14:paraId="1BB0D9F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w:t>
      </w:r>
      <w:r>
        <w:rPr>
          <w:rFonts w:hint="eastAsia" w:ascii="宋体" w:hAnsi="宋体" w:eastAsia="宋体" w:cs="宋体"/>
          <w:color w:val="auto"/>
          <w:sz w:val="21"/>
          <w:szCs w:val="21"/>
          <w:highlight w:val="none"/>
          <w:lang w:eastAsia="zh-CN"/>
        </w:rPr>
        <w:t>甲方承诺，遵守本合同中的各项约定，按合同约定的条件、时间和方式向乙方支付合同价款。</w:t>
      </w:r>
    </w:p>
    <w:p w14:paraId="765F792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w:t>
      </w:r>
      <w:r>
        <w:rPr>
          <w:rFonts w:hint="eastAsia" w:ascii="宋体" w:hAnsi="宋体" w:eastAsia="宋体" w:cs="宋体"/>
          <w:color w:val="auto"/>
          <w:sz w:val="21"/>
          <w:szCs w:val="21"/>
          <w:highlight w:val="none"/>
          <w:lang w:eastAsia="zh-CN"/>
        </w:rPr>
        <w:t>乙方承诺，遵守本合同中的各项约定，按照代建工作范围和内容，承担和完成代建任务。</w:t>
      </w:r>
    </w:p>
    <w:p w14:paraId="4576C451">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w:t>
      </w:r>
      <w:r>
        <w:rPr>
          <w:rFonts w:hint="eastAsia" w:ascii="宋体" w:hAnsi="宋体" w:eastAsia="宋体" w:cs="宋体"/>
          <w:color w:val="auto"/>
          <w:sz w:val="21"/>
          <w:szCs w:val="21"/>
          <w:highlight w:val="none"/>
          <w:lang w:eastAsia="zh-CN"/>
        </w:rPr>
        <w:t>本合同协议书一式</w:t>
      </w:r>
      <w:r>
        <w:rPr>
          <w:rFonts w:hint="eastAsia" w:ascii="宋体" w:hAnsi="宋体" w:eastAsia="宋体" w:cs="宋体"/>
          <w:color w:val="auto"/>
          <w:sz w:val="21"/>
          <w:szCs w:val="21"/>
          <w:highlight w:val="none"/>
          <w:u w:val="single"/>
          <w:lang w:eastAsia="zh-CN"/>
        </w:rPr>
        <w:t>拾</w:t>
      </w:r>
      <w:r>
        <w:rPr>
          <w:rFonts w:hint="eastAsia" w:ascii="宋体" w:hAnsi="宋体" w:eastAsia="宋体" w:cs="宋体"/>
          <w:color w:val="auto"/>
          <w:sz w:val="21"/>
          <w:szCs w:val="21"/>
          <w:highlight w:val="none"/>
          <w:lang w:eastAsia="zh-CN"/>
        </w:rPr>
        <w:t>份，其中正本</w:t>
      </w:r>
      <w:r>
        <w:rPr>
          <w:rFonts w:hint="eastAsia" w:ascii="宋体" w:hAnsi="宋体" w:eastAsia="宋体" w:cs="宋体"/>
          <w:b/>
          <w:bCs/>
          <w:color w:val="auto"/>
          <w:sz w:val="21"/>
          <w:szCs w:val="21"/>
          <w:highlight w:val="none"/>
          <w:u w:val="single"/>
          <w:lang w:eastAsia="zh-CN"/>
        </w:rPr>
        <w:t>贰</w:t>
      </w:r>
      <w:r>
        <w:rPr>
          <w:rFonts w:hint="eastAsia" w:ascii="宋体" w:hAnsi="宋体" w:eastAsia="宋体" w:cs="宋体"/>
          <w:color w:val="auto"/>
          <w:sz w:val="21"/>
          <w:szCs w:val="21"/>
          <w:highlight w:val="none"/>
          <w:lang w:eastAsia="zh-CN"/>
        </w:rPr>
        <w:t>份，甲方、乙方各执</w:t>
      </w:r>
      <w:r>
        <w:rPr>
          <w:rFonts w:hint="eastAsia" w:ascii="宋体" w:hAnsi="宋体" w:eastAsia="宋体" w:cs="宋体"/>
          <w:color w:val="auto"/>
          <w:sz w:val="21"/>
          <w:szCs w:val="21"/>
          <w:highlight w:val="none"/>
          <w:u w:val="single"/>
          <w:lang w:eastAsia="zh-CN"/>
        </w:rPr>
        <w:t>壹</w:t>
      </w:r>
      <w:r>
        <w:rPr>
          <w:rFonts w:hint="eastAsia" w:ascii="宋体" w:hAnsi="宋体" w:eastAsia="宋体" w:cs="宋体"/>
          <w:color w:val="auto"/>
          <w:sz w:val="21"/>
          <w:szCs w:val="21"/>
          <w:highlight w:val="none"/>
          <w:lang w:eastAsia="zh-CN"/>
        </w:rPr>
        <w:t>份，副本</w:t>
      </w:r>
      <w:r>
        <w:rPr>
          <w:rFonts w:hint="eastAsia" w:ascii="宋体" w:hAnsi="宋体" w:eastAsia="宋体" w:cs="宋体"/>
          <w:color w:val="auto"/>
          <w:sz w:val="21"/>
          <w:szCs w:val="21"/>
          <w:highlight w:val="none"/>
          <w:u w:val="single"/>
          <w:lang w:eastAsia="zh-CN"/>
        </w:rPr>
        <w:t>捌</w:t>
      </w:r>
      <w:r>
        <w:rPr>
          <w:rFonts w:hint="eastAsia" w:ascii="宋体" w:hAnsi="宋体" w:eastAsia="宋体" w:cs="宋体"/>
          <w:color w:val="auto"/>
          <w:sz w:val="21"/>
          <w:szCs w:val="21"/>
          <w:highlight w:val="none"/>
          <w:lang w:eastAsia="zh-CN"/>
        </w:rPr>
        <w:t>份，甲方、乙方各执</w:t>
      </w:r>
      <w:r>
        <w:rPr>
          <w:rFonts w:hint="eastAsia" w:ascii="宋体" w:hAnsi="宋体" w:eastAsia="宋体" w:cs="宋体"/>
          <w:color w:val="auto"/>
          <w:sz w:val="21"/>
          <w:szCs w:val="21"/>
          <w:highlight w:val="none"/>
          <w:u w:val="single"/>
          <w:lang w:eastAsia="zh-CN"/>
        </w:rPr>
        <w:t>壹</w:t>
      </w:r>
      <w:r>
        <w:rPr>
          <w:rFonts w:hint="eastAsia" w:ascii="宋体" w:hAnsi="宋体" w:eastAsia="宋体" w:cs="宋体"/>
          <w:color w:val="auto"/>
          <w:sz w:val="21"/>
          <w:szCs w:val="21"/>
          <w:highlight w:val="none"/>
          <w:lang w:eastAsia="zh-CN"/>
        </w:rPr>
        <w:t>份，其余副本由甲方分送有关单位。</w:t>
      </w:r>
    </w:p>
    <w:p w14:paraId="0A56B04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9</w:t>
      </w:r>
      <w:r>
        <w:rPr>
          <w:rFonts w:hint="eastAsia" w:ascii="宋体" w:hAnsi="宋体" w:eastAsia="宋体" w:cs="宋体"/>
          <w:color w:val="auto"/>
          <w:sz w:val="21"/>
          <w:szCs w:val="21"/>
          <w:highlight w:val="none"/>
          <w:lang w:eastAsia="zh-CN"/>
        </w:rPr>
        <w:t>、本协议未尽事宜，双方可另行签订补充协议。补充协议是合同的组成部分，与本协议具有同等法律效力。</w:t>
      </w:r>
    </w:p>
    <w:p w14:paraId="7A1EEC4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10、</w:t>
      </w:r>
      <w:r>
        <w:rPr>
          <w:rFonts w:hint="eastAsia" w:ascii="宋体" w:hAnsi="宋体" w:eastAsia="宋体" w:cs="宋体"/>
          <w:color w:val="auto"/>
          <w:sz w:val="21"/>
          <w:szCs w:val="21"/>
          <w:highlight w:val="none"/>
          <w:lang w:eastAsia="zh-CN"/>
        </w:rPr>
        <w:t>本合同自代建主管部门颁发代建合同备案通知之日起生效，至双方按照代建合同的约定履行完各自的义务和责任后自然失效。</w:t>
      </w:r>
    </w:p>
    <w:p w14:paraId="63907221">
      <w:pPr>
        <w:widowControl w:val="0"/>
        <w:kinsoku/>
        <w:wordWrap w:val="0"/>
        <w:spacing w:line="576" w:lineRule="exact"/>
        <w:ind w:left="635" w:hanging="164"/>
        <w:rPr>
          <w:rFonts w:hint="eastAsia" w:ascii="宋体" w:hAnsi="宋体" w:eastAsia="宋体" w:cs="宋体"/>
          <w:color w:val="auto"/>
          <w:sz w:val="21"/>
          <w:szCs w:val="21"/>
          <w:highlight w:val="none"/>
          <w:lang w:eastAsia="zh-CN"/>
        </w:rPr>
      </w:pPr>
    </w:p>
    <w:p w14:paraId="08B080B3">
      <w:pPr>
        <w:widowControl w:val="0"/>
        <w:kinsoku/>
        <w:wordWrap w:val="0"/>
        <w:spacing w:line="576" w:lineRule="exact"/>
        <w:ind w:left="635" w:hanging="164"/>
        <w:rPr>
          <w:rFonts w:hint="eastAsia" w:ascii="宋体" w:hAnsi="宋体" w:eastAsia="宋体" w:cs="宋体"/>
          <w:color w:val="auto"/>
          <w:sz w:val="21"/>
          <w:szCs w:val="21"/>
          <w:highlight w:val="none"/>
          <w:lang w:eastAsia="zh-CN"/>
        </w:rPr>
      </w:pPr>
    </w:p>
    <w:p w14:paraId="7FAA5559">
      <w:pPr>
        <w:widowControl w:val="0"/>
        <w:kinsoku/>
        <w:wordWrap w:val="0"/>
        <w:spacing w:line="576" w:lineRule="exact"/>
        <w:ind w:left="635" w:hanging="164"/>
        <w:rPr>
          <w:rFonts w:hint="eastAsia" w:ascii="宋体" w:hAnsi="宋体" w:eastAsia="宋体" w:cs="宋体"/>
          <w:color w:val="auto"/>
          <w:sz w:val="21"/>
          <w:szCs w:val="21"/>
          <w:highlight w:val="none"/>
          <w:lang w:eastAsia="zh-CN"/>
        </w:rPr>
      </w:pPr>
    </w:p>
    <w:p w14:paraId="5BE3B0B6">
      <w:pPr>
        <w:widowControl w:val="0"/>
        <w:kinsoku/>
        <w:wordWrap w:val="0"/>
        <w:spacing w:line="576" w:lineRule="exact"/>
        <w:ind w:left="635" w:hanging="164"/>
        <w:rPr>
          <w:rFonts w:hint="eastAsia" w:ascii="宋体" w:hAnsi="宋体" w:eastAsia="宋体" w:cs="宋体"/>
          <w:color w:val="auto"/>
          <w:sz w:val="21"/>
          <w:szCs w:val="21"/>
          <w:highlight w:val="none"/>
          <w:lang w:eastAsia="zh-CN"/>
        </w:rPr>
      </w:pPr>
    </w:p>
    <w:p w14:paraId="0934F1A5">
      <w:pPr>
        <w:widowControl w:val="0"/>
        <w:kinsoku/>
        <w:wordWrap w:val="0"/>
        <w:spacing w:line="576" w:lineRule="exact"/>
        <w:ind w:left="635" w:hanging="164"/>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乙方：</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（盖单位章）                  （盖单位章）</w:t>
      </w:r>
    </w:p>
    <w:p w14:paraId="12A4C3FE">
      <w:pPr>
        <w:widowControl w:val="0"/>
        <w:kinsoku/>
        <w:wordWrap w:val="0"/>
        <w:spacing w:line="576" w:lineRule="exact"/>
        <w:ind w:left="635" w:hanging="199"/>
        <w:rPr>
          <w:rFonts w:hint="eastAsia" w:ascii="宋体" w:hAnsi="宋体" w:eastAsia="宋体" w:cs="宋体"/>
          <w:color w:val="auto"/>
          <w:sz w:val="21"/>
          <w:szCs w:val="21"/>
          <w:highlight w:val="none"/>
          <w:lang w:eastAsia="zh-CN"/>
        </w:rPr>
      </w:pPr>
    </w:p>
    <w:p w14:paraId="245F05CD">
      <w:pPr>
        <w:widowControl w:val="0"/>
        <w:kinsoku/>
        <w:wordWrap w:val="0"/>
        <w:spacing w:line="576" w:lineRule="exact"/>
        <w:ind w:left="635" w:hanging="19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法定代表人：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法定代表人：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w:t>
      </w:r>
    </w:p>
    <w:p w14:paraId="052930AF">
      <w:pPr>
        <w:widowControl w:val="0"/>
        <w:kinsoku/>
        <w:wordWrap w:val="0"/>
        <w:spacing w:line="576" w:lineRule="exact"/>
        <w:ind w:left="635" w:hanging="19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（签字）                     （签字）</w:t>
      </w:r>
    </w:p>
    <w:p w14:paraId="6BD934B1">
      <w:pPr>
        <w:widowControl w:val="0"/>
        <w:kinsoku/>
        <w:wordWrap w:val="0"/>
        <w:spacing w:line="576" w:lineRule="exact"/>
        <w:ind w:left="422"/>
        <w:rPr>
          <w:rFonts w:hint="eastAsia" w:ascii="宋体" w:hAnsi="宋体" w:eastAsia="宋体" w:cs="宋体"/>
          <w:color w:val="auto"/>
          <w:sz w:val="21"/>
          <w:szCs w:val="21"/>
          <w:highlight w:val="none"/>
          <w:lang w:eastAsia="zh-CN"/>
        </w:rPr>
      </w:pPr>
    </w:p>
    <w:p w14:paraId="1F764159">
      <w:pPr>
        <w:widowControl w:val="0"/>
        <w:kinsoku/>
        <w:wordWrap w:val="0"/>
        <w:spacing w:line="576" w:lineRule="exact"/>
        <w:ind w:left="42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授权代理人：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授权代理人：</w:t>
      </w:r>
      <w:r>
        <w:rPr>
          <w:rFonts w:hint="eastAsia" w:ascii="宋体" w:hAnsi="宋体" w:eastAsia="宋体" w:cs="宋体"/>
          <w:color w:val="auto"/>
          <w:sz w:val="21"/>
          <w:szCs w:val="21"/>
          <w:highlight w:val="none"/>
          <w:u w:val="single"/>
          <w:lang w:eastAsia="zh-CN"/>
        </w:rPr>
        <w:t xml:space="preserve">               </w:t>
      </w:r>
    </w:p>
    <w:p w14:paraId="4347F237">
      <w:pPr>
        <w:widowControl w:val="0"/>
        <w:kinsoku/>
        <w:wordWrap w:val="0"/>
        <w:spacing w:line="576" w:lineRule="exact"/>
        <w:ind w:left="6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（签字）                      （签字）</w:t>
      </w:r>
    </w:p>
    <w:p w14:paraId="0651E8CC">
      <w:pPr>
        <w:widowControl w:val="0"/>
        <w:kinsoku/>
        <w:wordWrap w:val="0"/>
        <w:spacing w:line="576" w:lineRule="exact"/>
        <w:ind w:left="422"/>
        <w:rPr>
          <w:rFonts w:hint="eastAsia" w:ascii="宋体" w:hAnsi="宋体" w:eastAsia="宋体" w:cs="宋体"/>
          <w:color w:val="auto"/>
          <w:sz w:val="21"/>
          <w:szCs w:val="21"/>
          <w:highlight w:val="none"/>
          <w:lang w:eastAsia="zh-CN"/>
        </w:rPr>
      </w:pPr>
    </w:p>
    <w:p w14:paraId="3733C560">
      <w:pPr>
        <w:widowControl w:val="0"/>
        <w:kinsoku/>
        <w:wordWrap w:val="0"/>
        <w:spacing w:line="576" w:lineRule="exact"/>
        <w:ind w:left="42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地址：</w:t>
      </w:r>
      <w:r>
        <w:rPr>
          <w:rFonts w:hint="eastAsia" w:ascii="宋体" w:hAnsi="宋体" w:eastAsia="宋体" w:cs="宋体"/>
          <w:color w:val="auto"/>
          <w:sz w:val="21"/>
          <w:szCs w:val="21"/>
          <w:highlight w:val="none"/>
          <w:u w:val="single"/>
          <w:lang w:eastAsia="zh-CN"/>
        </w:rPr>
        <w:t xml:space="preserve">                     </w:t>
      </w:r>
    </w:p>
    <w:p w14:paraId="790BFE49">
      <w:pPr>
        <w:widowControl w:val="0"/>
        <w:kinsoku/>
        <w:wordWrap w:val="0"/>
        <w:spacing w:line="576" w:lineRule="exact"/>
        <w:ind w:left="438"/>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邮编：</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邮编：</w:t>
      </w:r>
      <w:r>
        <w:rPr>
          <w:rFonts w:hint="eastAsia" w:ascii="宋体" w:hAnsi="宋体" w:eastAsia="宋体" w:cs="宋体"/>
          <w:color w:val="auto"/>
          <w:sz w:val="21"/>
          <w:szCs w:val="21"/>
          <w:highlight w:val="none"/>
          <w:u w:val="single"/>
          <w:lang w:eastAsia="zh-CN"/>
        </w:rPr>
        <w:t xml:space="preserve">                     </w:t>
      </w:r>
    </w:p>
    <w:p w14:paraId="28224640">
      <w:pPr>
        <w:widowControl w:val="0"/>
        <w:kinsoku/>
        <w:wordWrap w:val="0"/>
        <w:spacing w:line="576" w:lineRule="exact"/>
        <w:ind w:left="46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电话：</w:t>
      </w:r>
      <w:r>
        <w:rPr>
          <w:rFonts w:hint="eastAsia" w:ascii="宋体" w:hAnsi="宋体" w:eastAsia="宋体" w:cs="宋体"/>
          <w:color w:val="auto"/>
          <w:sz w:val="21"/>
          <w:szCs w:val="21"/>
          <w:highlight w:val="none"/>
          <w:u w:val="single"/>
          <w:lang w:eastAsia="zh-CN"/>
        </w:rPr>
        <w:t xml:space="preserve">                     </w:t>
      </w:r>
    </w:p>
    <w:p w14:paraId="3A6B2D21">
      <w:pPr>
        <w:widowControl w:val="0"/>
        <w:kinsoku/>
        <w:wordWrap w:val="0"/>
        <w:spacing w:line="576" w:lineRule="exact"/>
        <w:ind w:left="3628"/>
        <w:rPr>
          <w:rFonts w:hint="eastAsia" w:ascii="宋体" w:hAnsi="宋体" w:eastAsia="宋体" w:cs="宋体"/>
          <w:color w:val="auto"/>
          <w:sz w:val="21"/>
          <w:szCs w:val="21"/>
          <w:highlight w:val="none"/>
          <w:lang w:eastAsia="zh-CN"/>
        </w:rPr>
      </w:pPr>
    </w:p>
    <w:p w14:paraId="15CA873C">
      <w:pPr>
        <w:widowControl w:val="0"/>
        <w:kinsoku/>
        <w:wordWrap w:val="0"/>
        <w:spacing w:line="576" w:lineRule="exact"/>
        <w:ind w:left="3628"/>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合同订立时间：</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年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月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w:t>
      </w:r>
    </w:p>
    <w:p w14:paraId="4DA05EFC">
      <w:pPr>
        <w:widowControl w:val="0"/>
        <w:kinsoku/>
        <w:wordWrap w:val="0"/>
        <w:spacing w:line="576" w:lineRule="exact"/>
        <w:ind w:left="3628"/>
        <w:outlineLvl w:val="1"/>
        <w:rPr>
          <w:rFonts w:hint="eastAsia" w:ascii="宋体" w:hAnsi="宋体" w:eastAsia="宋体" w:cs="宋体"/>
          <w:color w:val="auto"/>
          <w:sz w:val="21"/>
          <w:szCs w:val="21"/>
          <w:highlight w:val="none"/>
          <w:lang w:eastAsia="zh-CN"/>
        </w:rPr>
        <w:sectPr>
          <w:footerReference r:id="rId9" w:type="default"/>
          <w:pgSz w:w="11906" w:h="16839"/>
          <w:pgMar w:top="1871" w:right="1531" w:bottom="1531" w:left="1588" w:header="851" w:footer="1304" w:gutter="0"/>
          <w:cols w:space="720" w:num="1"/>
          <w:docGrid w:linePitch="286" w:charSpace="0"/>
        </w:sectPr>
      </w:pPr>
      <w:bookmarkStart w:id="20" w:name="_Toc205824408"/>
      <w:r>
        <w:rPr>
          <w:rFonts w:hint="eastAsia" w:ascii="宋体" w:hAnsi="宋体" w:eastAsia="宋体" w:cs="宋体"/>
          <w:color w:val="auto"/>
          <w:sz w:val="21"/>
          <w:szCs w:val="21"/>
          <w:highlight w:val="none"/>
          <w:lang w:eastAsia="zh-CN"/>
        </w:rPr>
        <w:t>合同订立地点：</w:t>
      </w:r>
      <w:bookmarkEnd w:id="20"/>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u w:val="single"/>
          <w:lang w:eastAsia="zh-CN"/>
        </w:rPr>
        <w:t xml:space="preserve">                 </w:t>
      </w:r>
    </w:p>
    <w:p w14:paraId="34592065">
      <w:pPr>
        <w:kinsoku/>
        <w:wordWrap w:val="0"/>
        <w:spacing w:before="101" w:line="360" w:lineRule="auto"/>
        <w:ind w:left="2634"/>
        <w:outlineLvl w:val="1"/>
        <w:rPr>
          <w:rFonts w:hint="eastAsia" w:ascii="宋体" w:hAnsi="宋体" w:eastAsia="宋体" w:cs="宋体"/>
          <w:color w:val="auto"/>
          <w:sz w:val="21"/>
          <w:szCs w:val="21"/>
          <w:highlight w:val="none"/>
          <w:lang w:eastAsia="zh-CN"/>
        </w:rPr>
        <w:sectPr>
          <w:footerReference r:id="rId10" w:type="default"/>
          <w:type w:val="continuous"/>
          <w:pgSz w:w="11906" w:h="16839"/>
          <w:pgMar w:top="1871" w:right="1531" w:bottom="1531" w:left="1588" w:header="851" w:footer="1304" w:gutter="0"/>
          <w:cols w:space="720" w:num="1"/>
          <w:docGrid w:linePitch="286" w:charSpace="0"/>
        </w:sectPr>
      </w:pPr>
      <w:bookmarkStart w:id="21" w:name="bookmark103"/>
      <w:bookmarkEnd w:id="21"/>
    </w:p>
    <w:p w14:paraId="3F44E02B">
      <w:pPr>
        <w:kinsoku/>
        <w:wordWrap w:val="0"/>
        <w:spacing w:line="576" w:lineRule="exact"/>
        <w:jc w:val="center"/>
        <w:outlineLvl w:val="1"/>
        <w:rPr>
          <w:rFonts w:hint="eastAsia" w:ascii="宋体" w:hAnsi="宋体" w:eastAsia="宋体" w:cs="宋体"/>
          <w:color w:val="auto"/>
          <w:sz w:val="21"/>
          <w:szCs w:val="21"/>
          <w:highlight w:val="none"/>
          <w:lang w:eastAsia="zh-CN"/>
        </w:rPr>
      </w:pPr>
      <w:bookmarkStart w:id="22" w:name="_Toc205824409"/>
      <w:r>
        <w:rPr>
          <w:rFonts w:hint="eastAsia" w:ascii="宋体" w:hAnsi="宋体" w:eastAsia="宋体" w:cs="宋体"/>
          <w:color w:val="auto"/>
          <w:sz w:val="21"/>
          <w:szCs w:val="21"/>
          <w:highlight w:val="none"/>
          <w:lang w:eastAsia="zh-CN"/>
        </w:rPr>
        <w:t>第二部分  合同通用条款</w:t>
      </w:r>
      <w:bookmarkEnd w:id="22"/>
    </w:p>
    <w:p w14:paraId="428D2B73">
      <w:pPr>
        <w:pStyle w:val="18"/>
        <w:kinsoku/>
        <w:wordWrap w:val="0"/>
        <w:spacing w:line="576" w:lineRule="exact"/>
        <w:rPr>
          <w:rFonts w:hint="eastAsia" w:ascii="宋体" w:hAnsi="宋体" w:eastAsia="宋体" w:cs="宋体"/>
          <w:color w:val="auto"/>
          <w:sz w:val="21"/>
          <w:szCs w:val="21"/>
          <w:highlight w:val="none"/>
          <w:lang w:eastAsia="zh-CN"/>
        </w:rPr>
      </w:pPr>
    </w:p>
    <w:p w14:paraId="5053F9C5">
      <w:pPr>
        <w:widowControl w:val="0"/>
        <w:kinsoku/>
        <w:wordWrap w:val="0"/>
        <w:spacing w:line="576" w:lineRule="exact"/>
        <w:ind w:firstLine="1476" w:firstLineChars="700"/>
        <w:jc w:val="both"/>
        <w:outlineLvl w:val="2"/>
        <w:rPr>
          <w:rFonts w:hint="eastAsia" w:ascii="宋体" w:hAnsi="宋体" w:eastAsia="宋体" w:cs="宋体"/>
          <w:color w:val="auto"/>
          <w:sz w:val="21"/>
          <w:szCs w:val="21"/>
          <w:highlight w:val="none"/>
          <w:lang w:eastAsia="zh-CN"/>
        </w:rPr>
      </w:pPr>
      <w:bookmarkStart w:id="23" w:name="bookmark104"/>
      <w:bookmarkEnd w:id="23"/>
      <w:r>
        <w:rPr>
          <w:rFonts w:hint="eastAsia" w:ascii="宋体" w:hAnsi="宋体" w:eastAsia="宋体" w:cs="宋体"/>
          <w:b/>
          <w:bCs/>
          <w:color w:val="auto"/>
          <w:sz w:val="21"/>
          <w:szCs w:val="21"/>
          <w:highlight w:val="none"/>
          <w:lang w:eastAsia="zh-CN"/>
        </w:rPr>
        <w:t>第一节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定义、解释和一般约定</w:t>
      </w:r>
    </w:p>
    <w:p w14:paraId="5B23ED68">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第一条  词语定义</w:t>
      </w:r>
    </w:p>
    <w:p w14:paraId="716A5DF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合同通用条款、合同专用条款中的下列词语应具有本款所赋予的含义。</w:t>
      </w:r>
    </w:p>
    <w:p w14:paraId="138DE68E">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1.1 合同</w:t>
      </w:r>
    </w:p>
    <w:p w14:paraId="1F4709E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1.1.1 </w:t>
      </w:r>
      <w:r>
        <w:rPr>
          <w:rFonts w:hint="eastAsia" w:ascii="宋体" w:hAnsi="宋体" w:eastAsia="宋体" w:cs="宋体"/>
          <w:color w:val="auto"/>
          <w:sz w:val="21"/>
          <w:szCs w:val="21"/>
          <w:highlight w:val="none"/>
          <w:lang w:eastAsia="zh-CN"/>
        </w:rPr>
        <w:t>合同协议书：指乙方按中标通知书规定的时间与甲方签订的合同协议书。</w:t>
      </w:r>
    </w:p>
    <w:p w14:paraId="02BDD63B">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1.1.2 </w:t>
      </w:r>
      <w:r>
        <w:rPr>
          <w:rFonts w:hint="eastAsia" w:ascii="宋体" w:hAnsi="宋体" w:eastAsia="宋体" w:cs="宋体"/>
          <w:color w:val="auto"/>
          <w:sz w:val="21"/>
          <w:szCs w:val="21"/>
          <w:highlight w:val="none"/>
          <w:lang w:eastAsia="zh-CN"/>
        </w:rPr>
        <w:t>中标通知书：指甲方通知乙方中标的函件。中标通知书随附的澄清、说明、补正事项纪要等，是中标通知书的组成部分。</w:t>
      </w:r>
    </w:p>
    <w:p w14:paraId="27DFBA1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1.1.3 </w:t>
      </w:r>
      <w:r>
        <w:rPr>
          <w:rFonts w:hint="eastAsia" w:ascii="宋体" w:hAnsi="宋体" w:eastAsia="宋体" w:cs="宋体"/>
          <w:color w:val="auto"/>
          <w:sz w:val="21"/>
          <w:szCs w:val="21"/>
          <w:highlight w:val="none"/>
          <w:lang w:eastAsia="zh-CN"/>
        </w:rPr>
        <w:t>投标函：指构成合同文件组成部分的由乙方填写并签署的投标函。</w:t>
      </w:r>
    </w:p>
    <w:p w14:paraId="6BB7DE2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1.1.4 </w:t>
      </w:r>
      <w:r>
        <w:rPr>
          <w:rFonts w:hint="eastAsia" w:ascii="宋体" w:hAnsi="宋体" w:eastAsia="宋体" w:cs="宋体"/>
          <w:color w:val="auto"/>
          <w:sz w:val="21"/>
          <w:szCs w:val="21"/>
          <w:highlight w:val="none"/>
          <w:lang w:eastAsia="zh-CN"/>
        </w:rPr>
        <w:t>投标函附录：指附在投标函后构成合同文件的投标函附录。</w:t>
      </w:r>
    </w:p>
    <w:p w14:paraId="2F156B3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1.1.5 </w:t>
      </w:r>
      <w:r>
        <w:rPr>
          <w:rFonts w:hint="eastAsia" w:ascii="宋体" w:hAnsi="宋体" w:eastAsia="宋体" w:cs="宋体"/>
          <w:color w:val="auto"/>
          <w:sz w:val="21"/>
          <w:szCs w:val="21"/>
          <w:highlight w:val="none"/>
          <w:lang w:eastAsia="zh-CN"/>
        </w:rPr>
        <w:t>其他合同文件：指项目实施过程中合同双方共同认可的有关合同内容变更、洽商等书面文件或协议修正文件。包括项目相关批复文件，标准、规范及有关技术文件等，具体内容在专用条款中约定。</w:t>
      </w:r>
    </w:p>
    <w:p w14:paraId="4CDD03D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1.1.6 </w:t>
      </w:r>
      <w:r>
        <w:rPr>
          <w:rFonts w:hint="eastAsia" w:ascii="宋体" w:hAnsi="宋体" w:eastAsia="宋体" w:cs="宋体"/>
          <w:color w:val="auto"/>
          <w:sz w:val="21"/>
          <w:szCs w:val="21"/>
          <w:highlight w:val="none"/>
          <w:lang w:eastAsia="zh-CN"/>
        </w:rPr>
        <w:t>额外工作：指甲方与乙方在合同中约定的项目代建管理范围和内容之外，乙方协助甲方参与管理，通过双方协商同意另外增加，且不违反国家和省有关招投标和投资管理等法律法规和政策规定的工作内容。签订合同时增加的额外工作在专用条款中明确，项目实施过程中增加的额外工作签订补充协议明确。</w:t>
      </w:r>
    </w:p>
    <w:p w14:paraId="776DDFD0">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 合同当事人和人员</w:t>
      </w:r>
    </w:p>
    <w:p w14:paraId="5FE2F2A8">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1.2.1 </w:t>
      </w:r>
      <w:r>
        <w:rPr>
          <w:rFonts w:hint="eastAsia" w:ascii="宋体" w:hAnsi="宋体" w:eastAsia="宋体" w:cs="宋体"/>
          <w:color w:val="auto"/>
          <w:sz w:val="21"/>
          <w:szCs w:val="21"/>
          <w:highlight w:val="none"/>
          <w:lang w:eastAsia="zh-CN"/>
        </w:rPr>
        <w:t>甲方：指与乙方订立合同协议书的当事人及取得该当事人资格的合法继受人。</w:t>
      </w:r>
    </w:p>
    <w:p w14:paraId="1CD1C7B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1.2.2 </w:t>
      </w:r>
      <w:r>
        <w:rPr>
          <w:rFonts w:hint="eastAsia" w:ascii="宋体" w:hAnsi="宋体" w:eastAsia="宋体" w:cs="宋体"/>
          <w:color w:val="auto"/>
          <w:sz w:val="21"/>
          <w:szCs w:val="21"/>
          <w:highlight w:val="none"/>
          <w:lang w:eastAsia="zh-CN"/>
        </w:rPr>
        <w:t>乙方：指与甲方订立合同协议书的当事人及取得该当事人资格的合法继受人。</w:t>
      </w:r>
    </w:p>
    <w:p w14:paraId="0F113687">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1.2.3 </w:t>
      </w:r>
      <w:r>
        <w:rPr>
          <w:rFonts w:hint="eastAsia" w:ascii="宋体" w:hAnsi="宋体" w:eastAsia="宋体" w:cs="宋体"/>
          <w:color w:val="auto"/>
          <w:sz w:val="21"/>
          <w:szCs w:val="21"/>
          <w:highlight w:val="none"/>
          <w:lang w:eastAsia="zh-CN"/>
        </w:rPr>
        <w:t>代建管理团队：指乙方履行投标承诺，组建的并代表乙方实施和承担项目代建具体工作任务的团队。</w:t>
      </w:r>
    </w:p>
    <w:p w14:paraId="5930B8E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1.2.4 </w:t>
      </w:r>
      <w:r>
        <w:rPr>
          <w:rFonts w:hint="eastAsia" w:ascii="宋体" w:hAnsi="宋体" w:eastAsia="宋体" w:cs="宋体"/>
          <w:color w:val="auto"/>
          <w:sz w:val="21"/>
          <w:szCs w:val="21"/>
          <w:highlight w:val="none"/>
          <w:lang w:eastAsia="zh-CN"/>
        </w:rPr>
        <w:t>代建项目经理：指乙方投标时指派的代表乙方牵头负责项目代建管理工作、履行管理义务的全权负责人。</w:t>
      </w:r>
    </w:p>
    <w:p w14:paraId="1EB4A3A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1.2.5 </w:t>
      </w:r>
      <w:r>
        <w:rPr>
          <w:rFonts w:hint="eastAsia" w:ascii="宋体" w:hAnsi="宋体" w:eastAsia="宋体" w:cs="宋体"/>
          <w:color w:val="auto"/>
          <w:sz w:val="21"/>
          <w:szCs w:val="21"/>
          <w:highlight w:val="none"/>
          <w:lang w:eastAsia="zh-CN"/>
        </w:rPr>
        <w:t>专业工作单位：是指由乙方依法依规选择的承担代建项目的勘察设计、监理、施工、检测、材料和设备供应安装、造价咨询、水土保持、环评等工作的单位。</w:t>
      </w:r>
    </w:p>
    <w:p w14:paraId="7C0E9F76">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1.3 项目</w:t>
      </w:r>
    </w:p>
    <w:p w14:paraId="259F5A4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1.3.1 </w:t>
      </w:r>
      <w:r>
        <w:rPr>
          <w:rFonts w:hint="eastAsia" w:ascii="宋体" w:hAnsi="宋体" w:eastAsia="宋体" w:cs="宋体"/>
          <w:color w:val="auto"/>
          <w:sz w:val="21"/>
          <w:szCs w:val="21"/>
          <w:highlight w:val="none"/>
          <w:lang w:eastAsia="zh-CN"/>
        </w:rPr>
        <w:t>项目：是指由乙方实施代建最终移交甲方使用的项目。</w:t>
      </w:r>
    </w:p>
    <w:p w14:paraId="37D59362">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 日期</w:t>
      </w:r>
    </w:p>
    <w:p w14:paraId="28CD9F9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1.4.1 </w:t>
      </w:r>
      <w:r>
        <w:rPr>
          <w:rFonts w:hint="eastAsia" w:ascii="宋体" w:hAnsi="宋体" w:eastAsia="宋体" w:cs="宋体"/>
          <w:color w:val="auto"/>
          <w:sz w:val="21"/>
          <w:szCs w:val="21"/>
          <w:highlight w:val="none"/>
          <w:lang w:eastAsia="zh-CN"/>
        </w:rPr>
        <w:t>代建周期：自合同生效之日起至代建项目实体移交手续完成之日止的时间。</w:t>
      </w:r>
    </w:p>
    <w:p w14:paraId="3F382F5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1.4.2 </w:t>
      </w:r>
      <w:r>
        <w:rPr>
          <w:rFonts w:hint="eastAsia" w:ascii="宋体" w:hAnsi="宋体" w:eastAsia="宋体" w:cs="宋体"/>
          <w:color w:val="auto"/>
          <w:sz w:val="21"/>
          <w:szCs w:val="21"/>
          <w:highlight w:val="none"/>
          <w:lang w:eastAsia="zh-CN"/>
        </w:rPr>
        <w:t>日（天）：除特别指明外，指日历日（天）。合同中按日（天）计算时间的，开始当日（天）不计入，从次日开始计算。期限最后一天的截止时间为当日（天）24：00。</w:t>
      </w:r>
    </w:p>
    <w:p w14:paraId="060D8B9A">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1.5 其他</w:t>
      </w:r>
    </w:p>
    <w:p w14:paraId="79E4209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1.5.1 </w:t>
      </w:r>
      <w:r>
        <w:rPr>
          <w:rFonts w:hint="eastAsia" w:ascii="宋体" w:hAnsi="宋体" w:eastAsia="宋体" w:cs="宋体"/>
          <w:color w:val="auto"/>
          <w:sz w:val="21"/>
          <w:szCs w:val="21"/>
          <w:highlight w:val="none"/>
          <w:lang w:eastAsia="zh-CN"/>
        </w:rPr>
        <w:t>书面形式：指合同书、纸质文件、信函、电报、传真、会议纪要等可以有形地表现所载内容的形式。</w:t>
      </w:r>
    </w:p>
    <w:p w14:paraId="3A3E0E67">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1.5.2 </w:t>
      </w:r>
      <w:r>
        <w:rPr>
          <w:rFonts w:hint="eastAsia" w:ascii="宋体" w:hAnsi="宋体" w:eastAsia="宋体" w:cs="宋体"/>
          <w:color w:val="auto"/>
          <w:sz w:val="21"/>
          <w:szCs w:val="21"/>
          <w:highlight w:val="none"/>
          <w:lang w:eastAsia="zh-CN"/>
        </w:rPr>
        <w:t>实体移交证书：指项目竣工验收后，甲方经移交验收同意接收项目实体，签署并发给乙方的项目实体移交证明文件。</w:t>
      </w:r>
    </w:p>
    <w:p w14:paraId="7152FBD0">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第二条  解释</w:t>
      </w:r>
    </w:p>
    <w:p w14:paraId="37F8F23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2.1 语言文字</w:t>
      </w:r>
    </w:p>
    <w:p w14:paraId="55DFF380">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合同使用的语言文字以中文为准。专用术语使用外文的，应附有中文注释。</w:t>
      </w:r>
    </w:p>
    <w:p w14:paraId="60668B00">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2.2 法律</w:t>
      </w:r>
    </w:p>
    <w:p w14:paraId="15C97521">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适用于合同的法律包括中华人民共和国法律、行政法规、部门规章，以及项目所在地的地方法规、自治条例和地方政府规章。</w:t>
      </w:r>
    </w:p>
    <w:p w14:paraId="259950BC">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第三条  一般约定</w:t>
      </w:r>
    </w:p>
    <w:p w14:paraId="6375372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3.1 联络</w:t>
      </w:r>
    </w:p>
    <w:p w14:paraId="4F79E81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3.1.1 </w:t>
      </w:r>
      <w:r>
        <w:rPr>
          <w:rFonts w:hint="eastAsia" w:ascii="宋体" w:hAnsi="宋体" w:eastAsia="宋体" w:cs="宋体"/>
          <w:color w:val="auto"/>
          <w:sz w:val="21"/>
          <w:szCs w:val="21"/>
          <w:highlight w:val="none"/>
          <w:lang w:eastAsia="zh-CN"/>
        </w:rPr>
        <w:t>与合同有关的通知、批准、证明、证书、指示、要求、请求、同意、意见、确定和决定等，均应采用书面形式。</w:t>
      </w:r>
    </w:p>
    <w:p w14:paraId="03DC57C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3.1.2 </w:t>
      </w:r>
      <w:r>
        <w:rPr>
          <w:rFonts w:hint="eastAsia" w:ascii="宋体" w:hAnsi="宋体" w:eastAsia="宋体" w:cs="宋体"/>
          <w:color w:val="auto"/>
          <w:sz w:val="21"/>
          <w:szCs w:val="21"/>
          <w:highlight w:val="none"/>
          <w:lang w:eastAsia="zh-CN"/>
        </w:rPr>
        <w:t>第3.1.1项中的通知、批准、证明、证书、指示、要求、请求、同意、意见、确定和决定等来往函件，均应在合同约定的期限内送达指定的地点和指定的接收人，并办理签收手续。</w:t>
      </w:r>
    </w:p>
    <w:p w14:paraId="5CCCDE9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3.1.3 </w:t>
      </w:r>
      <w:r>
        <w:rPr>
          <w:rFonts w:hint="eastAsia" w:ascii="宋体" w:hAnsi="宋体" w:eastAsia="宋体" w:cs="宋体"/>
          <w:color w:val="auto"/>
          <w:sz w:val="21"/>
          <w:szCs w:val="21"/>
          <w:highlight w:val="none"/>
          <w:lang w:eastAsia="zh-CN"/>
        </w:rPr>
        <w:t>甲方的通知</w:t>
      </w:r>
    </w:p>
    <w:p w14:paraId="0F6849F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甲方的通知应采用书面形式，盖有甲方印章，并由约定授权的人员签字。</w:t>
      </w:r>
    </w:p>
    <w:p w14:paraId="7AB1E4D6">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3.2 转让</w:t>
      </w:r>
    </w:p>
    <w:p w14:paraId="3A0C304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除法律法规、政策变更等特殊原因外，甲乙双方均不得将权利义务转让。</w:t>
      </w:r>
    </w:p>
    <w:p w14:paraId="0F7F8E7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3.3 严禁贿赂</w:t>
      </w:r>
    </w:p>
    <w:p w14:paraId="5760345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合同双方当事人不得以贿赂或变相贿赂的方式，谋取不当利益或损害对方权益。因贿赂造成对方损失的，行为人应赔偿损失，并承担相应的法律责任。</w:t>
      </w:r>
    </w:p>
    <w:p w14:paraId="4B7EC214">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3.4 知识产权</w:t>
      </w:r>
    </w:p>
    <w:p w14:paraId="516DA091">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3.4.1 </w:t>
      </w:r>
      <w:r>
        <w:rPr>
          <w:rFonts w:hint="eastAsia" w:ascii="宋体" w:hAnsi="宋体" w:eastAsia="宋体" w:cs="宋体"/>
          <w:color w:val="auto"/>
          <w:sz w:val="21"/>
          <w:szCs w:val="21"/>
          <w:highlight w:val="none"/>
          <w:lang w:eastAsia="zh-CN"/>
        </w:rPr>
        <w:t>除合同专用条款另有约定外，乙方完成的工作成果，除署名权以外的著作权等其他知识产权均归甲方享有。</w:t>
      </w:r>
    </w:p>
    <w:p w14:paraId="5347D6E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3.4.2 </w:t>
      </w:r>
      <w:r>
        <w:rPr>
          <w:rFonts w:hint="eastAsia" w:ascii="宋体" w:hAnsi="宋体" w:eastAsia="宋体" w:cs="宋体"/>
          <w:color w:val="auto"/>
          <w:sz w:val="21"/>
          <w:szCs w:val="21"/>
          <w:highlight w:val="none"/>
          <w:lang w:eastAsia="zh-CN"/>
        </w:rPr>
        <w:t>乙方在进行项目代建管理时，因侵犯专利权或其他知识产权所引起的责任，由乙方承担。</w:t>
      </w:r>
    </w:p>
    <w:p w14:paraId="2A07F14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3.4.3 </w:t>
      </w:r>
      <w:r>
        <w:rPr>
          <w:rFonts w:hint="eastAsia" w:ascii="宋体" w:hAnsi="宋体" w:eastAsia="宋体" w:cs="宋体"/>
          <w:color w:val="auto"/>
          <w:sz w:val="21"/>
          <w:szCs w:val="21"/>
          <w:highlight w:val="none"/>
          <w:lang w:eastAsia="zh-CN"/>
        </w:rPr>
        <w:t>乙方在投标文件中采用专利技术的，专利技术的使用费包含在投标报价内。</w:t>
      </w:r>
    </w:p>
    <w:p w14:paraId="450E87D5">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3.5 文件及信息的保密</w:t>
      </w:r>
    </w:p>
    <w:p w14:paraId="4F9CD64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未经对方同意，任何一方当事人不得将有关文件、技术秘密、需要保密的资料和信息泄露给他人或公开发表与引用。</w:t>
      </w:r>
    </w:p>
    <w:p w14:paraId="6C404F6E">
      <w:pPr>
        <w:widowControl w:val="0"/>
        <w:kinsoku/>
        <w:wordWrap w:val="0"/>
        <w:spacing w:line="576" w:lineRule="exact"/>
        <w:ind w:left="2649"/>
        <w:outlineLvl w:val="2"/>
        <w:rPr>
          <w:rFonts w:hint="eastAsia" w:ascii="宋体" w:hAnsi="宋体" w:eastAsia="宋体" w:cs="宋体"/>
          <w:b/>
          <w:bCs/>
          <w:color w:val="auto"/>
          <w:sz w:val="21"/>
          <w:szCs w:val="21"/>
          <w:highlight w:val="none"/>
          <w:lang w:eastAsia="zh-CN"/>
        </w:rPr>
      </w:pPr>
    </w:p>
    <w:p w14:paraId="577A21CD">
      <w:pPr>
        <w:widowControl w:val="0"/>
        <w:kinsoku/>
        <w:wordWrap w:val="0"/>
        <w:spacing w:line="576" w:lineRule="exact"/>
        <w:ind w:left="2649"/>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第二节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合同双方的权利</w:t>
      </w:r>
    </w:p>
    <w:p w14:paraId="7CD2F4A1">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第四条  甲方权利</w:t>
      </w:r>
    </w:p>
    <w:p w14:paraId="1FF90B5B">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4.1 </w:t>
      </w:r>
      <w:r>
        <w:rPr>
          <w:rFonts w:hint="eastAsia" w:ascii="宋体" w:hAnsi="宋体" w:eastAsia="宋体" w:cs="宋体"/>
          <w:color w:val="auto"/>
          <w:sz w:val="21"/>
          <w:szCs w:val="21"/>
          <w:highlight w:val="none"/>
          <w:lang w:eastAsia="zh-CN"/>
        </w:rPr>
        <w:t>书面提出代建项目的主要设计和功能要求及材料设备选型建议，参与初步设计、施工图设计及其调整优化的编报审查，参与设备选型和材料的选择。</w:t>
      </w:r>
    </w:p>
    <w:p w14:paraId="2D68045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4.2 </w:t>
      </w:r>
      <w:r>
        <w:rPr>
          <w:rFonts w:hint="eastAsia" w:ascii="宋体" w:hAnsi="宋体" w:eastAsia="宋体" w:cs="宋体"/>
          <w:color w:val="auto"/>
          <w:sz w:val="21"/>
          <w:szCs w:val="21"/>
          <w:highlight w:val="none"/>
          <w:lang w:eastAsia="zh-CN"/>
        </w:rPr>
        <w:t>依法依规监督代建过程中的工程勘察、设计、施工、监理和设备、材料采购招标与政府采购及合同签订工作。</w:t>
      </w:r>
    </w:p>
    <w:p w14:paraId="64E0292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4.3 </w:t>
      </w:r>
      <w:r>
        <w:rPr>
          <w:rFonts w:hint="eastAsia" w:ascii="宋体" w:hAnsi="宋体" w:eastAsia="宋体" w:cs="宋体"/>
          <w:color w:val="auto"/>
          <w:sz w:val="21"/>
          <w:szCs w:val="21"/>
          <w:highlight w:val="none"/>
          <w:lang w:eastAsia="zh-CN"/>
        </w:rPr>
        <w:t>监督工程质量、施工进度和资金使用，按有关规定参与工程验收。</w:t>
      </w:r>
    </w:p>
    <w:p w14:paraId="5BC7432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4.4 </w:t>
      </w:r>
      <w:r>
        <w:rPr>
          <w:rFonts w:hint="eastAsia" w:ascii="宋体" w:hAnsi="宋体" w:eastAsia="宋体" w:cs="宋体"/>
          <w:color w:val="auto"/>
          <w:sz w:val="21"/>
          <w:szCs w:val="21"/>
          <w:highlight w:val="none"/>
          <w:lang w:eastAsia="zh-CN"/>
        </w:rPr>
        <w:t>对乙方违规违约行为以及不利于满足项目功能要求的问题要求乙方予以纠正，追究乙方违约责任，向代建主管部门反映乙方不良行为和对乙方的意见要求。</w:t>
      </w:r>
    </w:p>
    <w:p w14:paraId="390CAFBB">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4.5 </w:t>
      </w:r>
      <w:r>
        <w:rPr>
          <w:rFonts w:hint="eastAsia" w:ascii="宋体" w:hAnsi="宋体" w:eastAsia="宋体" w:cs="宋体"/>
          <w:color w:val="auto"/>
          <w:sz w:val="21"/>
          <w:szCs w:val="21"/>
          <w:highlight w:val="none"/>
          <w:lang w:eastAsia="zh-CN"/>
        </w:rPr>
        <w:t>项目竣工验收后，要求乙方按合同约定尽快办理实体和资料的移交，对合同约定期限内出现的质量问题要求乙方提供服务。</w:t>
      </w:r>
    </w:p>
    <w:p w14:paraId="2CE75DA3">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4.6 </w:t>
      </w:r>
      <w:r>
        <w:rPr>
          <w:rFonts w:hint="eastAsia" w:ascii="宋体" w:hAnsi="宋体" w:eastAsia="宋体" w:cs="宋体"/>
          <w:color w:val="auto"/>
          <w:sz w:val="21"/>
          <w:szCs w:val="21"/>
          <w:highlight w:val="none"/>
          <w:lang w:eastAsia="zh-CN"/>
        </w:rPr>
        <w:t>对代建过程中，因乙方原因造成的甲方直接经济损失享有索赔的权利。</w:t>
      </w:r>
    </w:p>
    <w:p w14:paraId="5E702A22">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第五条  乙方权利</w:t>
      </w:r>
    </w:p>
    <w:p w14:paraId="169DDE9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 </w:t>
      </w:r>
      <w:r>
        <w:rPr>
          <w:rFonts w:hint="eastAsia" w:ascii="宋体" w:hAnsi="宋体" w:eastAsia="宋体" w:cs="宋体"/>
          <w:color w:val="auto"/>
          <w:sz w:val="21"/>
          <w:szCs w:val="21"/>
          <w:highlight w:val="none"/>
          <w:lang w:eastAsia="zh-CN"/>
        </w:rPr>
        <w:t>乙方在代建周期内作为项目建设单位并享有相应的项目组织、管理及协调权。</w:t>
      </w:r>
    </w:p>
    <w:p w14:paraId="0A65F39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5.1.1 </w:t>
      </w:r>
      <w:r>
        <w:rPr>
          <w:rFonts w:hint="eastAsia" w:ascii="宋体" w:hAnsi="宋体" w:eastAsia="宋体" w:cs="宋体"/>
          <w:color w:val="auto"/>
          <w:sz w:val="21"/>
          <w:szCs w:val="21"/>
          <w:highlight w:val="none"/>
          <w:lang w:eastAsia="zh-CN"/>
        </w:rPr>
        <w:t>组织初步设计、施工图设计和优化调整方案及其概预算编报送审。</w:t>
      </w:r>
    </w:p>
    <w:p w14:paraId="7661A41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5.1.2 </w:t>
      </w:r>
      <w:r>
        <w:rPr>
          <w:rFonts w:hint="eastAsia" w:ascii="宋体" w:hAnsi="宋体" w:eastAsia="宋体" w:cs="宋体"/>
          <w:color w:val="auto"/>
          <w:sz w:val="21"/>
          <w:szCs w:val="21"/>
          <w:highlight w:val="none"/>
          <w:lang w:eastAsia="zh-CN"/>
        </w:rPr>
        <w:t>代建过程中作为招标人依法依规组织工程招标和采购活动，选择专业工作单位，与各专业工作单位签订合同并依法依约进行管理。</w:t>
      </w:r>
    </w:p>
    <w:p w14:paraId="32057A6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5.1.3 </w:t>
      </w:r>
      <w:r>
        <w:rPr>
          <w:rFonts w:hint="eastAsia" w:ascii="宋体" w:hAnsi="宋体" w:eastAsia="宋体" w:cs="宋体"/>
          <w:color w:val="auto"/>
          <w:sz w:val="21"/>
          <w:szCs w:val="21"/>
          <w:highlight w:val="none"/>
          <w:lang w:eastAsia="zh-CN"/>
        </w:rPr>
        <w:t>授权监理人发布开工令、停工令、复工令。</w:t>
      </w:r>
    </w:p>
    <w:p w14:paraId="4DA3ED2B">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5.1.4 </w:t>
      </w:r>
      <w:r>
        <w:rPr>
          <w:rFonts w:hint="eastAsia" w:ascii="宋体" w:hAnsi="宋体" w:eastAsia="宋体" w:cs="宋体"/>
          <w:color w:val="auto"/>
          <w:sz w:val="21"/>
          <w:szCs w:val="21"/>
          <w:highlight w:val="none"/>
          <w:lang w:eastAsia="zh-CN"/>
        </w:rPr>
        <w:t>管理各类合同、文件、图纸和工程档案资料。</w:t>
      </w:r>
    </w:p>
    <w:p w14:paraId="699DC38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5.1.5 </w:t>
      </w:r>
      <w:r>
        <w:rPr>
          <w:rFonts w:hint="eastAsia" w:ascii="宋体" w:hAnsi="宋体" w:eastAsia="宋体" w:cs="宋体"/>
          <w:color w:val="auto"/>
          <w:sz w:val="21"/>
          <w:szCs w:val="21"/>
          <w:highlight w:val="none"/>
          <w:lang w:eastAsia="zh-CN"/>
        </w:rPr>
        <w:t>在与专业工作单位合同约定的价格范围内，有价款支付的审核权和签认权。</w:t>
      </w:r>
    </w:p>
    <w:p w14:paraId="22BA1C51">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5.1.6 </w:t>
      </w:r>
      <w:r>
        <w:rPr>
          <w:rFonts w:hint="eastAsia" w:ascii="宋体" w:hAnsi="宋体" w:eastAsia="宋体" w:cs="宋体"/>
          <w:color w:val="auto"/>
          <w:sz w:val="21"/>
          <w:szCs w:val="21"/>
          <w:highlight w:val="none"/>
          <w:lang w:eastAsia="zh-CN"/>
        </w:rPr>
        <w:t>组织开展项目各参与方的协调工作。</w:t>
      </w:r>
    </w:p>
    <w:p w14:paraId="79F205D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5.2 </w:t>
      </w:r>
      <w:r>
        <w:rPr>
          <w:rFonts w:hint="eastAsia" w:ascii="宋体" w:hAnsi="宋体" w:eastAsia="宋体" w:cs="宋体"/>
          <w:color w:val="auto"/>
          <w:sz w:val="21"/>
          <w:szCs w:val="21"/>
          <w:highlight w:val="none"/>
          <w:lang w:eastAsia="zh-CN"/>
        </w:rPr>
        <w:t>对代建实施过程中可能突破政府投资主管部门批复的投资规模的方案、行为要求改正或优化，拒绝并要求有关方面停止实施未经政府投资主管部门批复同意的工程建设内容，拒绝并要求有关方面停止实施未经批准的可能引起投资超过概算的行为。</w:t>
      </w:r>
    </w:p>
    <w:p w14:paraId="469A510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5.3 </w:t>
      </w:r>
      <w:r>
        <w:rPr>
          <w:rFonts w:hint="eastAsia" w:ascii="宋体" w:hAnsi="宋体" w:eastAsia="宋体" w:cs="宋体"/>
          <w:color w:val="auto"/>
          <w:sz w:val="21"/>
          <w:szCs w:val="21"/>
          <w:highlight w:val="none"/>
          <w:lang w:eastAsia="zh-CN"/>
        </w:rPr>
        <w:t>按合同约定取得代建服务费，并按合同专用条款约定从项目投资节余中获得适当奖励。乙方对甲方提出的额外工作，有权要求支付额外工作费用。对因甲方原因造成的项目建设周期延长，乙方有权要求延长代建周期，并获得补偿。对代建过程中，因甲方原因造成的乙方直接经济损失享有索赔的权利。</w:t>
      </w:r>
    </w:p>
    <w:p w14:paraId="46FEACF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5.4 </w:t>
      </w:r>
      <w:r>
        <w:rPr>
          <w:rFonts w:hint="eastAsia" w:ascii="宋体" w:hAnsi="宋体" w:eastAsia="宋体" w:cs="宋体"/>
          <w:color w:val="auto"/>
          <w:sz w:val="21"/>
          <w:szCs w:val="21"/>
          <w:highlight w:val="none"/>
          <w:lang w:eastAsia="zh-CN"/>
        </w:rPr>
        <w:t>乙方有权拒绝甲方提出的代建合同约定之外的要求。</w:t>
      </w:r>
    </w:p>
    <w:p w14:paraId="1FA1CC51">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5.5 </w:t>
      </w:r>
      <w:r>
        <w:rPr>
          <w:rFonts w:hint="eastAsia" w:ascii="宋体" w:hAnsi="宋体" w:eastAsia="宋体" w:cs="宋体"/>
          <w:color w:val="auto"/>
          <w:sz w:val="21"/>
          <w:szCs w:val="21"/>
          <w:highlight w:val="none"/>
          <w:lang w:eastAsia="zh-CN"/>
        </w:rPr>
        <w:t>乙方有权就合同争议事项和代建项目重大变更等向代建主管部门请求协调。</w:t>
      </w:r>
    </w:p>
    <w:p w14:paraId="1D4822B8">
      <w:pPr>
        <w:widowControl w:val="0"/>
        <w:kinsoku/>
        <w:wordWrap w:val="0"/>
        <w:spacing w:line="576" w:lineRule="exact"/>
        <w:ind w:left="2645"/>
        <w:outlineLvl w:val="2"/>
        <w:rPr>
          <w:rFonts w:hint="eastAsia" w:ascii="宋体" w:hAnsi="宋体" w:eastAsia="宋体" w:cs="宋体"/>
          <w:b/>
          <w:bCs/>
          <w:color w:val="auto"/>
          <w:sz w:val="21"/>
          <w:szCs w:val="21"/>
          <w:highlight w:val="none"/>
          <w:lang w:eastAsia="zh-CN"/>
        </w:rPr>
      </w:pPr>
    </w:p>
    <w:p w14:paraId="7157A6BA">
      <w:pPr>
        <w:widowControl w:val="0"/>
        <w:kinsoku/>
        <w:wordWrap w:val="0"/>
        <w:spacing w:line="576" w:lineRule="exact"/>
        <w:ind w:left="2645"/>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第三节  合同双方的义务</w:t>
      </w:r>
    </w:p>
    <w:p w14:paraId="12471A04">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第六条  甲方义务</w:t>
      </w:r>
    </w:p>
    <w:p w14:paraId="0E06C358">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6.1 遵守法律</w:t>
      </w:r>
    </w:p>
    <w:p w14:paraId="549DB5C3">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甲方在履行合同过程中应遵守法律，并保证乙方免于承担因甲方违反法律而引起的任何责任。</w:t>
      </w:r>
    </w:p>
    <w:p w14:paraId="4B1B33E3">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6.2 完成项目前期准备</w:t>
      </w:r>
    </w:p>
    <w:p w14:paraId="63FA30E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6.2.1 </w:t>
      </w:r>
      <w:r>
        <w:rPr>
          <w:rFonts w:hint="eastAsia" w:ascii="宋体" w:hAnsi="宋体" w:eastAsia="宋体" w:cs="宋体"/>
          <w:color w:val="auto"/>
          <w:sz w:val="21"/>
          <w:szCs w:val="21"/>
          <w:highlight w:val="none"/>
          <w:lang w:eastAsia="zh-CN"/>
        </w:rPr>
        <w:t>负责项目前期的土地房屋征收，提供项目场地，落实乙方进场条件。</w:t>
      </w:r>
    </w:p>
    <w:p w14:paraId="34F666B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6.2.2 </w:t>
      </w:r>
      <w:r>
        <w:rPr>
          <w:rFonts w:hint="eastAsia" w:ascii="宋体" w:hAnsi="宋体" w:eastAsia="宋体" w:cs="宋体"/>
          <w:color w:val="auto"/>
          <w:sz w:val="21"/>
          <w:szCs w:val="21"/>
          <w:highlight w:val="none"/>
          <w:lang w:eastAsia="zh-CN"/>
        </w:rPr>
        <w:t>负责提供项目施工场界、土地权属等相关图纸及资料，为乙方项目前期实施提供便利。</w:t>
      </w:r>
    </w:p>
    <w:p w14:paraId="61D7050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6.2.3 </w:t>
      </w:r>
      <w:r>
        <w:rPr>
          <w:rFonts w:hint="eastAsia" w:ascii="宋体" w:hAnsi="宋体" w:eastAsia="宋体" w:cs="宋体"/>
          <w:color w:val="auto"/>
          <w:sz w:val="21"/>
          <w:szCs w:val="21"/>
          <w:highlight w:val="none"/>
          <w:lang w:eastAsia="zh-CN"/>
        </w:rPr>
        <w:t>负责项目资金计划和预算的申报，及时落实各级财政性资金，筹措自筹资金。</w:t>
      </w:r>
    </w:p>
    <w:p w14:paraId="216DA66D">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6.3 办理有关手续</w:t>
      </w:r>
    </w:p>
    <w:p w14:paraId="23083A5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6.3.1 </w:t>
      </w:r>
      <w:r>
        <w:rPr>
          <w:rFonts w:hint="eastAsia" w:ascii="宋体" w:hAnsi="宋体" w:eastAsia="宋体" w:cs="宋体"/>
          <w:color w:val="auto"/>
          <w:sz w:val="21"/>
          <w:szCs w:val="21"/>
          <w:highlight w:val="none"/>
          <w:lang w:eastAsia="zh-CN"/>
        </w:rPr>
        <w:t>现行工程建设管理规定要求必须由甲方负责办理的各项报批手续（如可能需要的道路开口、供水、供电、燃气供应等），甲方应按时办理。甲方负责办理的手续在合同专用条款中明确。</w:t>
      </w:r>
    </w:p>
    <w:p w14:paraId="5315DDD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6.3.2 </w:t>
      </w:r>
      <w:r>
        <w:rPr>
          <w:rFonts w:hint="eastAsia" w:ascii="宋体" w:hAnsi="宋体" w:eastAsia="宋体" w:cs="宋体"/>
          <w:color w:val="auto"/>
          <w:sz w:val="21"/>
          <w:szCs w:val="21"/>
          <w:highlight w:val="none"/>
          <w:lang w:eastAsia="zh-CN"/>
        </w:rPr>
        <w:t>负责因甲方原因导致的设计及概算调整的报批。</w:t>
      </w:r>
    </w:p>
    <w:p w14:paraId="438B3F62">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6.4 资金支付</w:t>
      </w:r>
    </w:p>
    <w:p w14:paraId="0795C82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6.4.1 </w:t>
      </w:r>
      <w:r>
        <w:rPr>
          <w:rFonts w:hint="eastAsia" w:ascii="宋体" w:hAnsi="宋体" w:eastAsia="宋体" w:cs="宋体"/>
          <w:color w:val="auto"/>
          <w:sz w:val="21"/>
          <w:szCs w:val="21"/>
          <w:highlight w:val="none"/>
          <w:lang w:eastAsia="zh-CN"/>
        </w:rPr>
        <w:t>按照合同约定向乙方及时支付代建服务费。</w:t>
      </w:r>
    </w:p>
    <w:p w14:paraId="20FC9D0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6.4.2 </w:t>
      </w:r>
      <w:r>
        <w:rPr>
          <w:rFonts w:hint="eastAsia" w:ascii="宋体" w:hAnsi="宋体" w:eastAsia="宋体" w:cs="宋体"/>
          <w:color w:val="auto"/>
          <w:sz w:val="21"/>
          <w:szCs w:val="21"/>
          <w:highlight w:val="none"/>
          <w:lang w:eastAsia="zh-CN"/>
        </w:rPr>
        <w:t>按照乙方签核的价款在合同约定的期限内及时向财政部门申报支付，确保项目建设价款及时拨付到位。</w:t>
      </w:r>
    </w:p>
    <w:p w14:paraId="58062AE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6.4.3 </w:t>
      </w:r>
      <w:r>
        <w:rPr>
          <w:rFonts w:hint="eastAsia" w:ascii="宋体" w:hAnsi="宋体" w:eastAsia="宋体" w:cs="宋体"/>
          <w:color w:val="auto"/>
          <w:sz w:val="21"/>
          <w:szCs w:val="21"/>
          <w:highlight w:val="none"/>
          <w:lang w:eastAsia="zh-CN"/>
        </w:rPr>
        <w:t>做好自筹资金的管理，按照乙方签核的价款及时支付。</w:t>
      </w:r>
    </w:p>
    <w:p w14:paraId="4EFA6BA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6.5 支持协助乙方工作</w:t>
      </w:r>
    </w:p>
    <w:p w14:paraId="3EACFD13">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6.5.1 </w:t>
      </w:r>
      <w:r>
        <w:rPr>
          <w:rFonts w:hint="eastAsia" w:ascii="宋体" w:hAnsi="宋体" w:eastAsia="宋体" w:cs="宋体"/>
          <w:color w:val="auto"/>
          <w:sz w:val="21"/>
          <w:szCs w:val="21"/>
          <w:highlight w:val="none"/>
          <w:lang w:eastAsia="zh-CN"/>
        </w:rPr>
        <w:t>根据项目建设的需要，提供甲方掌握的文件资料，积极做好有关协调工作，为乙方办理规划、施工、节能、环保、消防、市政等报批报建工作提供必要的协助和便利，及时提供政府有关部门依法要求的甲方文件。</w:t>
      </w:r>
    </w:p>
    <w:p w14:paraId="4955EEB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6.5.2 </w:t>
      </w:r>
      <w:r>
        <w:rPr>
          <w:rFonts w:hint="eastAsia" w:ascii="宋体" w:hAnsi="宋体" w:eastAsia="宋体" w:cs="宋体"/>
          <w:color w:val="auto"/>
          <w:sz w:val="21"/>
          <w:szCs w:val="21"/>
          <w:highlight w:val="none"/>
          <w:lang w:eastAsia="zh-CN"/>
        </w:rPr>
        <w:t>尊重乙方代建周期内的管理权责，不单独作为招标人组织招标和采购活动，不直接作为甲方与专业工作单位签订合同，不直接干预专业单位工作。</w:t>
      </w:r>
    </w:p>
    <w:p w14:paraId="6BFFE96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6.5.3 </w:t>
      </w:r>
      <w:r>
        <w:rPr>
          <w:rFonts w:hint="eastAsia" w:ascii="宋体" w:hAnsi="宋体" w:eastAsia="宋体" w:cs="宋体"/>
          <w:color w:val="auto"/>
          <w:sz w:val="21"/>
          <w:szCs w:val="21"/>
          <w:highlight w:val="none"/>
          <w:lang w:eastAsia="zh-CN"/>
        </w:rPr>
        <w:t>书面指派专人负责项目的联络工作，对乙方提交并要求作出决定的事宜在专用条款约定的时间内及时予以书面答复。</w:t>
      </w:r>
    </w:p>
    <w:p w14:paraId="48D37E27">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6.5.4 </w:t>
      </w:r>
      <w:r>
        <w:rPr>
          <w:rFonts w:hint="eastAsia" w:ascii="宋体" w:hAnsi="宋体" w:eastAsia="宋体" w:cs="宋体"/>
          <w:color w:val="auto"/>
          <w:sz w:val="21"/>
          <w:szCs w:val="21"/>
          <w:highlight w:val="none"/>
          <w:lang w:eastAsia="zh-CN"/>
        </w:rPr>
        <w:t>及时书面告知乙方与工程建设相关的行业法规、政策变化情况和其他甲方知晓的影响工程建设的有关情况。</w:t>
      </w:r>
    </w:p>
    <w:p w14:paraId="753B7F7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6.5.5 </w:t>
      </w:r>
      <w:r>
        <w:rPr>
          <w:rFonts w:hint="eastAsia" w:ascii="宋体" w:hAnsi="宋体" w:eastAsia="宋体" w:cs="宋体"/>
          <w:color w:val="auto"/>
          <w:sz w:val="21"/>
          <w:szCs w:val="21"/>
          <w:highlight w:val="none"/>
          <w:lang w:eastAsia="zh-CN"/>
        </w:rPr>
        <w:t>及时协助开展竣工验收工作，按合同约定及时办理工程实体移交手续，出具实体移交证书。</w:t>
      </w:r>
    </w:p>
    <w:p w14:paraId="2D5FCE98">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6.5.6 </w:t>
      </w:r>
      <w:r>
        <w:rPr>
          <w:rFonts w:hint="eastAsia" w:ascii="宋体" w:hAnsi="宋体" w:eastAsia="宋体" w:cs="宋体"/>
          <w:color w:val="auto"/>
          <w:sz w:val="21"/>
          <w:szCs w:val="21"/>
          <w:highlight w:val="none"/>
          <w:lang w:eastAsia="zh-CN"/>
        </w:rPr>
        <w:t>协助乙方组织编制工程结算，负责组织编制项目决算，并报有关部门审查。</w:t>
      </w:r>
    </w:p>
    <w:p w14:paraId="3BCDEFE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6.6 </w:t>
      </w:r>
      <w:r>
        <w:rPr>
          <w:rFonts w:hint="eastAsia" w:ascii="宋体" w:hAnsi="宋体" w:eastAsia="宋体" w:cs="宋体"/>
          <w:color w:val="auto"/>
          <w:sz w:val="21"/>
          <w:szCs w:val="21"/>
          <w:highlight w:val="none"/>
          <w:lang w:eastAsia="zh-CN"/>
        </w:rPr>
        <w:t>在项目建设工作中接受代建主管部门及其他行业主管部门的指导、协调和监督，配合对代建单位和代建项目的监督评价工作。</w:t>
      </w:r>
    </w:p>
    <w:p w14:paraId="7669221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6.7 其他义务</w:t>
      </w:r>
    </w:p>
    <w:p w14:paraId="6717A1AE">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履行合同约定的其他义务。</w:t>
      </w:r>
    </w:p>
    <w:p w14:paraId="125CB67A">
      <w:pPr>
        <w:widowControl w:val="0"/>
        <w:kinsoku/>
        <w:wordWrap w:val="0"/>
        <w:spacing w:line="576" w:lineRule="exact"/>
        <w:ind w:firstLine="422" w:firstLineChars="200"/>
        <w:jc w:val="both"/>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第七条  乙方义务</w:t>
      </w:r>
    </w:p>
    <w:p w14:paraId="53ED679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7.1 一般义务</w:t>
      </w:r>
    </w:p>
    <w:p w14:paraId="42634DD3">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7.1.1 </w:t>
      </w:r>
      <w:r>
        <w:rPr>
          <w:rFonts w:hint="eastAsia" w:ascii="宋体" w:hAnsi="宋体" w:eastAsia="宋体" w:cs="宋体"/>
          <w:color w:val="auto"/>
          <w:sz w:val="21"/>
          <w:szCs w:val="21"/>
          <w:highlight w:val="none"/>
          <w:lang w:eastAsia="zh-CN"/>
        </w:rPr>
        <w:t>遵守法律</w:t>
      </w:r>
    </w:p>
    <w:p w14:paraId="6EB47CC9">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乙方在履行合同过程中应遵守法律，并保证甲方免于承担因乙方违反法律而引起的任何责任。</w:t>
      </w:r>
    </w:p>
    <w:p w14:paraId="34E891E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7.1.2 </w:t>
      </w:r>
      <w:r>
        <w:rPr>
          <w:rFonts w:hint="eastAsia" w:ascii="宋体" w:hAnsi="宋体" w:eastAsia="宋体" w:cs="宋体"/>
          <w:color w:val="auto"/>
          <w:sz w:val="21"/>
          <w:szCs w:val="21"/>
          <w:highlight w:val="none"/>
          <w:lang w:eastAsia="zh-CN"/>
        </w:rPr>
        <w:t>依法纳税</w:t>
      </w:r>
    </w:p>
    <w:p w14:paraId="28F2150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乙方应按有关法律规定纳税，承担本项目代建服务应缴纳的税金包含在代建合同价款内。</w:t>
      </w:r>
    </w:p>
    <w:p w14:paraId="67C22A2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7.1.3 </w:t>
      </w:r>
      <w:r>
        <w:rPr>
          <w:rFonts w:hint="eastAsia" w:ascii="宋体" w:hAnsi="宋体" w:eastAsia="宋体" w:cs="宋体"/>
          <w:color w:val="auto"/>
          <w:sz w:val="21"/>
          <w:szCs w:val="21"/>
          <w:highlight w:val="none"/>
          <w:lang w:eastAsia="zh-CN"/>
        </w:rPr>
        <w:t>保证项目和人员的安全按法律法规及行业现行规定，承担建设单位的安全管理和监督责任。</w:t>
      </w:r>
    </w:p>
    <w:p w14:paraId="2E04A337">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7.1.4 </w:t>
      </w:r>
      <w:r>
        <w:rPr>
          <w:rFonts w:hint="eastAsia" w:ascii="宋体" w:hAnsi="宋体" w:eastAsia="宋体" w:cs="宋体"/>
          <w:color w:val="auto"/>
          <w:sz w:val="21"/>
          <w:szCs w:val="21"/>
          <w:highlight w:val="none"/>
          <w:lang w:eastAsia="zh-CN"/>
        </w:rPr>
        <w:t>避免项目对公众与他人的利益造成损害</w:t>
      </w:r>
    </w:p>
    <w:p w14:paraId="2662B0F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（1）组织协调文明施工，避免对周围环境造成不利影响，对非文明施工行为承担项目建设单位的责任。</w:t>
      </w:r>
    </w:p>
    <w:p w14:paraId="33C30E8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（2）在工程建设实施过程中，应约束参建各方不得侵害他人使用公用道路、水源、管网等公共设施的权利，避免对邻近的公共设施产生干扰。</w:t>
      </w:r>
    </w:p>
    <w:p w14:paraId="7242CF8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（3）采取有效措施督促各专业工作单位向其员工及时、足额发放工资及福利。</w:t>
      </w:r>
    </w:p>
    <w:p w14:paraId="3F73ADD9">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7.1.5 </w:t>
      </w:r>
      <w:r>
        <w:rPr>
          <w:rFonts w:hint="eastAsia" w:ascii="宋体" w:hAnsi="宋体" w:eastAsia="宋体" w:cs="宋体"/>
          <w:color w:val="auto"/>
          <w:sz w:val="21"/>
          <w:szCs w:val="21"/>
          <w:highlight w:val="none"/>
          <w:lang w:eastAsia="zh-CN"/>
        </w:rPr>
        <w:t>保障乙方人员的合法权益</w:t>
      </w:r>
    </w:p>
    <w:p w14:paraId="42F103E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乙方应按有关法律规定保障代建项目管理团队人员合法权益，办理保险，并按时发放工资。</w:t>
      </w:r>
    </w:p>
    <w:p w14:paraId="7C2C4D59">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7.2 在代建周期内承担建设单位的义务和责任</w:t>
      </w:r>
    </w:p>
    <w:p w14:paraId="04861902">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7.2.1 </w:t>
      </w:r>
      <w:r>
        <w:rPr>
          <w:rFonts w:hint="eastAsia" w:ascii="宋体" w:hAnsi="宋体" w:eastAsia="宋体" w:cs="宋体"/>
          <w:color w:val="auto"/>
          <w:sz w:val="21"/>
          <w:szCs w:val="21"/>
          <w:highlight w:val="none"/>
          <w:lang w:eastAsia="zh-CN"/>
        </w:rPr>
        <w:t>切实履行代建职责，根据合同和投标提交的代建管理方案，在约定的代建工作范围内，保质保量保廉如期完成代建工作内容，实现项目功能要求，确保代建范围内项目总投资决算不超过批准的概算投资。</w:t>
      </w:r>
    </w:p>
    <w:p w14:paraId="03A277A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7.2.2 </w:t>
      </w:r>
      <w:r>
        <w:rPr>
          <w:rFonts w:hint="eastAsia" w:ascii="宋体" w:hAnsi="宋体" w:eastAsia="宋体" w:cs="宋体"/>
          <w:color w:val="auto"/>
          <w:sz w:val="21"/>
          <w:szCs w:val="21"/>
          <w:highlight w:val="none"/>
          <w:lang w:eastAsia="zh-CN"/>
        </w:rPr>
        <w:t>根据法律法规、政策要求和投标提交的代建管理方案，科学制定并执行书面的代建管理工作制度，建立管理例会、管理工作日志和月报、人员管理、现场管理、进度管理、质量安全、环境保护和职业健康管理、资金财务管理、档案管理、廉政管理、办公场地管理等具体工作制度和工作流程，管理团队应每日如实记录代建管理发生、处理的事项，管理例会应有书面会议纪要，各项文件资料档案管理应按项目进度完整齐全、规范有序。</w:t>
      </w:r>
    </w:p>
    <w:p w14:paraId="112EB9C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7.2.3 </w:t>
      </w:r>
      <w:r>
        <w:rPr>
          <w:rFonts w:hint="eastAsia" w:ascii="宋体" w:hAnsi="宋体" w:eastAsia="宋体" w:cs="宋体"/>
          <w:color w:val="auto"/>
          <w:sz w:val="21"/>
          <w:szCs w:val="21"/>
          <w:highlight w:val="none"/>
          <w:lang w:eastAsia="zh-CN"/>
        </w:rPr>
        <w:t>严格按国家和省招投标、政府采购的规定组织招标和采购活动。代建过程中的招标和采购原则上采取全社会专家评委评标方式，即招标人代表委托随机抽取的专家担任，确有需要时由</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派人作为招标人代表参与评标，乙方负责组织招标和采购工作但不得派人作为评标委员会成员直接评标。依法依规与各专业工作单位洽谈、签订合同，并负责合同的组织实施，切实依法履约。</w:t>
      </w:r>
    </w:p>
    <w:p w14:paraId="14564F9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7.2.4 </w:t>
      </w:r>
      <w:r>
        <w:rPr>
          <w:rFonts w:hint="eastAsia" w:ascii="宋体" w:hAnsi="宋体" w:eastAsia="宋体" w:cs="宋体"/>
          <w:color w:val="auto"/>
          <w:sz w:val="21"/>
          <w:szCs w:val="21"/>
          <w:highlight w:val="none"/>
          <w:lang w:eastAsia="zh-CN"/>
        </w:rPr>
        <w:t>严格执行国家和省的基建财务会计等制度，对代建项目单独建账、核算，完整反映费用开支和物资购置情况。严格按政府财政支付管理和基建财务管理的规定办理项目建设应付款项的申报支付，根据有关规定和合同约定与甲方共同协商，编制详细的资金支付制度，明确支付审核流程、支付凭证要求、支付申请格式等，甲乙双方一致认可的资金支付制度可作为合同的组成部分。及时审核申报应付款项。按要求组织完成工程结算，配合甲方做好工程决算及报批。</w:t>
      </w:r>
    </w:p>
    <w:p w14:paraId="009B8C5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7.2.5 </w:t>
      </w:r>
      <w:r>
        <w:rPr>
          <w:rFonts w:hint="eastAsia" w:ascii="宋体" w:hAnsi="宋体" w:eastAsia="宋体" w:cs="宋体"/>
          <w:color w:val="auto"/>
          <w:sz w:val="21"/>
          <w:szCs w:val="21"/>
          <w:highlight w:val="none"/>
          <w:lang w:eastAsia="zh-CN"/>
        </w:rPr>
        <w:t>按照国家法律与省相关规定对工程质量承担建设单位的责任，代建项目经理承担相应的质量终身责任，采取措施有效控制项目质量、功能，对发生的质量缺陷、质量隐患、质量事故及时调查、处理或督促第三方按规定报告有关部门。</w:t>
      </w:r>
    </w:p>
    <w:p w14:paraId="657904F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7.2.6 </w:t>
      </w:r>
      <w:r>
        <w:rPr>
          <w:rFonts w:hint="eastAsia" w:ascii="宋体" w:hAnsi="宋体" w:eastAsia="宋体" w:cs="宋体"/>
          <w:color w:val="auto"/>
          <w:sz w:val="21"/>
          <w:szCs w:val="21"/>
          <w:highlight w:val="none"/>
          <w:lang w:eastAsia="zh-CN"/>
        </w:rPr>
        <w:t>乙方应按合同约定的内容和期限，编制详细的进度计划，包括专业工作单位工作的各个阶段的预期时间，做好工期控制，确保项目如期实施并交付。现场管理办公室应有显著的进度计划图示，并根据实际情况及时优化调整。</w:t>
      </w:r>
    </w:p>
    <w:p w14:paraId="3C430DD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7.2.7 </w:t>
      </w:r>
      <w:r>
        <w:rPr>
          <w:rFonts w:hint="eastAsia" w:ascii="宋体" w:hAnsi="宋体" w:eastAsia="宋体" w:cs="宋体"/>
          <w:color w:val="auto"/>
          <w:sz w:val="21"/>
          <w:szCs w:val="21"/>
          <w:highlight w:val="none"/>
          <w:lang w:eastAsia="zh-CN"/>
        </w:rPr>
        <w:t>承担建设单位的安全责任，按照有关规定和合同约定及时申请并督促</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向施工单位拨付建设工程现场安全文明施工措施费，负责牵头组织签订建设工程项目施工安全责任保证书及两个以上施工单位在同一作业区域进行施工作业时双方之间的安全生产管理协议。对各专业单位的安全管理、环境保护、职业健康工作进行指导、检查和监督，责成各专业工作单位做好项目现场的社会治安、环境保护、职业健康工作。</w:t>
      </w:r>
    </w:p>
    <w:p w14:paraId="4682499B">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7.2.8 </w:t>
      </w:r>
      <w:r>
        <w:rPr>
          <w:rFonts w:hint="eastAsia" w:ascii="宋体" w:hAnsi="宋体" w:eastAsia="宋体" w:cs="宋体"/>
          <w:color w:val="auto"/>
          <w:sz w:val="21"/>
          <w:szCs w:val="21"/>
          <w:highlight w:val="none"/>
          <w:lang w:eastAsia="zh-CN"/>
        </w:rPr>
        <w:t>做好项目廉政管理，建立和落实代建周期内相关人员、专业单位廉政责任制，编写廉政管理台账，代建单位和管理团队人员不因代建工作事项发生不廉政行为。</w:t>
      </w:r>
    </w:p>
    <w:p w14:paraId="6EE95767">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7.2.9 </w:t>
      </w:r>
      <w:r>
        <w:rPr>
          <w:rFonts w:hint="eastAsia" w:ascii="宋体" w:hAnsi="宋体" w:eastAsia="宋体" w:cs="宋体"/>
          <w:color w:val="auto"/>
          <w:sz w:val="21"/>
          <w:szCs w:val="21"/>
          <w:highlight w:val="none"/>
          <w:lang w:eastAsia="zh-CN"/>
        </w:rPr>
        <w:t>按照专用条款约定，积极推进项目采用集成装配、绿色建筑、节能环保等新技术。</w:t>
      </w:r>
    </w:p>
    <w:p w14:paraId="2AFAE58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7.2.10 </w:t>
      </w:r>
      <w:r>
        <w:rPr>
          <w:rFonts w:hint="eastAsia" w:ascii="宋体" w:hAnsi="宋体" w:eastAsia="宋体" w:cs="宋体"/>
          <w:color w:val="auto"/>
          <w:sz w:val="21"/>
          <w:szCs w:val="21"/>
          <w:highlight w:val="none"/>
          <w:lang w:eastAsia="zh-CN"/>
        </w:rPr>
        <w:t>工程的维护和照管</w:t>
      </w:r>
    </w:p>
    <w:p w14:paraId="0D38745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各单位工程接收证书签发后、项目实体移交证书颁发前，乙方均应负责做好各单位工程的照管和维护。实体移交证书颁发后，由甲方负责项目的日常照管和维护，乙方不再承担项目的日常照管和维护，但乙方仍应做好合同专用条款约定的服务配合工作。</w:t>
      </w:r>
    </w:p>
    <w:p w14:paraId="287833F7">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7.2.11 </w:t>
      </w:r>
      <w:r>
        <w:rPr>
          <w:rFonts w:hint="eastAsia" w:ascii="宋体" w:hAnsi="宋体" w:eastAsia="宋体" w:cs="宋体"/>
          <w:color w:val="auto"/>
          <w:sz w:val="21"/>
          <w:szCs w:val="21"/>
          <w:highlight w:val="none"/>
          <w:lang w:eastAsia="zh-CN"/>
        </w:rPr>
        <w:t>做好缺陷责任期和保修期管理与服务。在与施工、设备安装和装修等专业单位签订合同时，应按专用条款约定设定缺陷责任期与保修期。在实体移交证书颁发前、各单位工程缺陷责任期和保修期内，乙方负责各工程日常维护，采取措施及时做好缺陷修复。实体移交证书颁发后，甲方负责工程的日常维护，各单位工程尚在缺陷责任期内的，工程出现新的缺陷或已修复缺陷又遭损坏的，乙方须应甲方要求组织做好修复工作。缺陷期后，工程尚在保修期内的，由甲方为主做好质量保修工作，乙方提供必要的质量责任认定等配合服务。</w:t>
      </w:r>
    </w:p>
    <w:p w14:paraId="59FFFEA9">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7.3 乙方人员管理</w:t>
      </w:r>
    </w:p>
    <w:p w14:paraId="73F9505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7.3.1 </w:t>
      </w:r>
      <w:r>
        <w:rPr>
          <w:rFonts w:hint="eastAsia" w:ascii="宋体" w:hAnsi="宋体" w:eastAsia="宋体" w:cs="宋体"/>
          <w:color w:val="auto"/>
          <w:sz w:val="21"/>
          <w:szCs w:val="21"/>
          <w:highlight w:val="none"/>
          <w:lang w:eastAsia="zh-CN"/>
        </w:rPr>
        <w:t>代建管理团队</w:t>
      </w:r>
    </w:p>
    <w:p w14:paraId="695C608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（1）乙方应按投标文件中的承诺和方案组建代建管理团队，指派代建项目经理，配备相应岗位人员，并在合同生效后3天内到职，项目代建管理团队应能够满足和胜任项目代建管理服务需要。</w:t>
      </w:r>
    </w:p>
    <w:p w14:paraId="15B72091">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（2）乙方代建项目经理承担建设单位项目负责人的有关工作和责任。</w:t>
      </w:r>
    </w:p>
    <w:p w14:paraId="53A4862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（3）乙方代建项目经理应按合同约定，负责组织合同工作的实施。乙方为履行合同发出的一切函件均应盖有乙方单位章或由乙方代建项目经理签字。乙方应出具书面文件明确其盖章和签字的具体权限划分。</w:t>
      </w:r>
    </w:p>
    <w:p w14:paraId="380D95D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（4）乙方代建项目经理可以授权其下属人员履行其某项职责，但事先应将这些人员的姓名和授权范围书面通知甲方。</w:t>
      </w:r>
    </w:p>
    <w:p w14:paraId="6DFCC16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（5）项目管理团队其他人员按投标文件承诺与合同约定履行各自职责，代表乙方开展相应工作。</w:t>
      </w:r>
    </w:p>
    <w:p w14:paraId="332E265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乙方代建项目经理、承诺常驻人员应常驻代建项目现场，不得擅离，因特殊原因确需离开项目现场的，应履行书面请假程序，经甲方同意后方可离开。每次请假期限不得超过3个工作日，每年度请假累计不得超过20日。单次请假超过3个工作日或年度请假累积超过20日的，应征得甲方同意并报代建主管部门。未履行上述手续擅自离岗的，视同违规变更、撤换项目人员。</w:t>
      </w:r>
    </w:p>
    <w:p w14:paraId="3654EE0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7.3.2 </w:t>
      </w:r>
      <w:r>
        <w:rPr>
          <w:rFonts w:hint="eastAsia" w:ascii="宋体" w:hAnsi="宋体" w:eastAsia="宋体" w:cs="宋体"/>
          <w:color w:val="auto"/>
          <w:sz w:val="21"/>
          <w:szCs w:val="21"/>
          <w:highlight w:val="none"/>
          <w:lang w:eastAsia="zh-CN"/>
        </w:rPr>
        <w:t>人员撤换</w:t>
      </w:r>
    </w:p>
    <w:p w14:paraId="0C6E383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除因不可抗力、个人健康原因、国家法律法规规定其他情形等原因，或因履职水平过低而被甲方及有权的政府机构要求撤换的情况外，投标时明确的乙方代建项目经理、现场管理人员和其他不允许变更或承诺不变更的人员不得更换；因上述原因确需更换的，应征得甲方同意并报代建主管部门后，选派不低于原人员技术实力及经验者接替其工作。乙方代建项目经理连续3天以上不能履行职责的，应事先征得甲方同意，并委派代表临时代行其职责。</w:t>
      </w:r>
    </w:p>
    <w:p w14:paraId="64FF47C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（2）乙方应对其他人员进行有效管理。对投标时允许变更的人员进行更换时，替换人员的资格条件和要求应不低于原投标文件中拟任人员的资格条件和要求，并须书面告知甲方和代建主管部门。</w:t>
      </w:r>
    </w:p>
    <w:p w14:paraId="173FD3F8">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7.4 分包和转包</w:t>
      </w:r>
    </w:p>
    <w:p w14:paraId="3DF2935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乙方不得将其代建工作的全部或部分分包或转包给第三人。</w:t>
      </w:r>
    </w:p>
    <w:p w14:paraId="31BA3F1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7.5 报告制度和接受监督</w:t>
      </w:r>
    </w:p>
    <w:p w14:paraId="02C5278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代建主管部门的要求，每月按时报送项目实施情况，并将招投标、政府采购情况、合同签订情况按有关规定及时报告发展改革、财政以及相关行业管理部门，遇到合同专用条款约定的重大事项应按规定的时间提前报告。在代建周期内接受代建主管部门的监管评价。</w:t>
      </w:r>
    </w:p>
    <w:p w14:paraId="48ECCA3F">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7.6 其他义务</w:t>
      </w:r>
    </w:p>
    <w:p w14:paraId="1BD7CD2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履行合同其他条款约定的义务。</w:t>
      </w:r>
    </w:p>
    <w:p w14:paraId="517D6FEC">
      <w:pPr>
        <w:pStyle w:val="18"/>
        <w:widowControl w:val="0"/>
        <w:kinsoku/>
        <w:wordWrap w:val="0"/>
        <w:spacing w:line="576" w:lineRule="exact"/>
        <w:rPr>
          <w:rFonts w:hint="eastAsia" w:ascii="宋体" w:hAnsi="宋体" w:eastAsia="宋体" w:cs="宋体"/>
          <w:color w:val="auto"/>
          <w:sz w:val="21"/>
          <w:szCs w:val="21"/>
          <w:highlight w:val="none"/>
          <w:lang w:eastAsia="zh-CN"/>
        </w:rPr>
      </w:pPr>
    </w:p>
    <w:p w14:paraId="69AB37C9">
      <w:pPr>
        <w:widowControl w:val="0"/>
        <w:kinsoku/>
        <w:wordWrap w:val="0"/>
        <w:spacing w:line="576" w:lineRule="exact"/>
        <w:ind w:left="2808"/>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第四节  代建过程管理</w:t>
      </w:r>
    </w:p>
    <w:p w14:paraId="3E76A83F">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第八条  开始工作和代建周期</w:t>
      </w:r>
    </w:p>
    <w:p w14:paraId="209F14E6">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8.1 开始工作</w:t>
      </w:r>
    </w:p>
    <w:p w14:paraId="6E339DB0">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代建合同生效之日即是代建工作开始之时。</w:t>
      </w:r>
    </w:p>
    <w:p w14:paraId="4991B460">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8.2 代建周期的完成</w:t>
      </w:r>
    </w:p>
    <w:p w14:paraId="3058B83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颁发实体移交证书之日起即代表代建周期结束，乙方应向代建主管部门申请实体移交登记和更新湖南省政府投资代建项目综合管理平台中有关内容，此外乙方须做好应配合甲方的后续服务，按合同约定在工程缺陷责任期、保修期内提供必要服务。</w:t>
      </w:r>
    </w:p>
    <w:p w14:paraId="5FBAD3D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8.3 甲方引起的工期延误</w:t>
      </w:r>
    </w:p>
    <w:p w14:paraId="4004E32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在履行合同过程中，由于甲方原因造成工期延误，经甲乙双方共同确认，相应调整补充代建周期约定，报代建主管部门，甲方按合同约定办法向乙方支付补偿费用。</w:t>
      </w:r>
    </w:p>
    <w:p w14:paraId="1B0D3781">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8.4 不可抗力引起的工期延误</w:t>
      </w:r>
    </w:p>
    <w:p w14:paraId="55E496D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因不可抗力导致工期延误的，甲乙双方协商调整代建周期，报代建主管部门，代建服务费不变。</w:t>
      </w:r>
    </w:p>
    <w:p w14:paraId="3EFEACF7">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8.5 乙方引起的工期延误</w:t>
      </w:r>
    </w:p>
    <w:p w14:paraId="283D04E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由于乙方原因造成工期延误的，乙方承担违约责任，并支付违约金。</w:t>
      </w:r>
    </w:p>
    <w:p w14:paraId="6117D313">
      <w:pPr>
        <w:widowControl w:val="0"/>
        <w:kinsoku/>
        <w:wordWrap w:val="0"/>
        <w:spacing w:line="576" w:lineRule="exact"/>
        <w:ind w:firstLine="422" w:firstLineChars="200"/>
        <w:jc w:val="both"/>
        <w:outlineLvl w:val="4"/>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8.6 工期提前</w:t>
      </w:r>
    </w:p>
    <w:p w14:paraId="1C471CB5">
      <w:pPr>
        <w:widowControl w:val="0"/>
        <w:kinsoku/>
        <w:wordWrap w:val="0"/>
        <w:spacing w:line="576" w:lineRule="exact"/>
        <w:ind w:firstLine="420"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乙方采取有效措施，在满足合同约定的质量要求、投资要求的前提下，提前完成代建工作的，甲方按合同约定办法给予奖励。</w:t>
      </w:r>
    </w:p>
    <w:p w14:paraId="5C72D4B2">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第九条  工程变更</w:t>
      </w:r>
    </w:p>
    <w:p w14:paraId="5088FFB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9.1 </w:t>
      </w:r>
      <w:r>
        <w:rPr>
          <w:rFonts w:hint="eastAsia" w:ascii="宋体" w:hAnsi="宋体" w:eastAsia="宋体" w:cs="宋体"/>
          <w:color w:val="auto"/>
          <w:sz w:val="21"/>
          <w:szCs w:val="21"/>
          <w:highlight w:val="none"/>
          <w:lang w:eastAsia="zh-CN"/>
        </w:rPr>
        <w:t>应甲方或乙方的请求，在不改变项目的主要功能、技术标准、建设规模和使用安全且不超出总概算的前提下，可对项目进行适度的优化变更，另一方应积极配合。经设计、监理及甲乙双方共同签认并按规定报相关部门审核同意后方可实施。</w:t>
      </w:r>
    </w:p>
    <w:p w14:paraId="46A0DAB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9.2 </w:t>
      </w:r>
      <w:r>
        <w:rPr>
          <w:rFonts w:hint="eastAsia" w:ascii="宋体" w:hAnsi="宋体" w:eastAsia="宋体" w:cs="宋体"/>
          <w:color w:val="auto"/>
          <w:sz w:val="21"/>
          <w:szCs w:val="21"/>
          <w:highlight w:val="none"/>
          <w:lang w:eastAsia="zh-CN"/>
        </w:rPr>
        <w:t>因水文地质等自然条件制约造成重大技术调整，涉及项目技术标准、使用功能、建设规模和投资规模的重大变更，以及概算中计列的大宗设备、材料、分项工程单价比市场价明显偏低等，导致相应的招标不能正常进行、相应合同无法履行时，乙方应及时书面通报甲方。双方协商一致后，经代建主管部门核实并提出意见，报原审批部门复核批准后方可实施。对合理要求不能及时核批而导致工期延误时，甲方应支持乙方合理调整延长代建周期并报代建主管部门同意。</w:t>
      </w:r>
    </w:p>
    <w:p w14:paraId="591091E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9.3 </w:t>
      </w:r>
      <w:r>
        <w:rPr>
          <w:rFonts w:hint="eastAsia" w:ascii="宋体" w:hAnsi="宋体" w:eastAsia="宋体" w:cs="宋体"/>
          <w:color w:val="auto"/>
          <w:sz w:val="21"/>
          <w:szCs w:val="21"/>
          <w:highlight w:val="none"/>
          <w:lang w:eastAsia="zh-CN"/>
        </w:rPr>
        <w:t>在项目建设过程中，因下列原因导致投资增加时，先知情方应及时书面告知另一方，经双方协商一致后报代建主管部门，由代建主管部门组织协调并报原审批部门批准后方可实施：</w:t>
      </w:r>
    </w:p>
    <w:p w14:paraId="7A5A195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（1）不可抗力；</w:t>
      </w:r>
    </w:p>
    <w:p w14:paraId="0FBA9B6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（2）国家法律法规和省相关政策及行业标准调整；</w:t>
      </w:r>
    </w:p>
    <w:p w14:paraId="351D9C3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（3）因受水文地质等自然条件制约造成重大技术调整；</w:t>
      </w:r>
    </w:p>
    <w:p w14:paraId="3BFDBDC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（4）确因勘察设计存在严重缺陷、概算漏项、功能性设计错误，导致项目建设内容、标准等设计、施工有重大变更；</w:t>
      </w:r>
    </w:p>
    <w:p w14:paraId="55564C3A">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（5）其他不可预见的重大原因导致投资发生重大变化的。</w:t>
      </w:r>
    </w:p>
    <w:p w14:paraId="7E9CFA24">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第十条  事故处理</w:t>
      </w:r>
    </w:p>
    <w:p w14:paraId="7EE153D7">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10.1 事故现场处理</w:t>
      </w:r>
    </w:p>
    <w:p w14:paraId="4488B564">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履行过程中发生事故的，先知情方应立即通知另一方，乙方立即组织人员和设备进行紧急抢救和抢修，减少人员伤亡和财产损失，防止事故扩大，并保护事故现场。需要移动现场物品时，应作出标记和书面记录，妥善保管有关证据。</w:t>
      </w:r>
    </w:p>
    <w:p w14:paraId="74DF0EF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10.2 事故的报告</w:t>
      </w:r>
    </w:p>
    <w:p w14:paraId="6BEAC9F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和乙方均有责任按国家有关规定，及时如实地向职能主管部门和代建主管部门报告事故发生的情况，以及正在采取的紧急措施等，积极配合有关主管部门查明事故原因。严禁瞒报、迟报事故有关情况，或隐匿、篡改、销毁有关证据，否则承担有关法律责任。</w:t>
      </w:r>
    </w:p>
    <w:p w14:paraId="13957B9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10.3 事故的善后</w:t>
      </w:r>
    </w:p>
    <w:p w14:paraId="5BB3456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由乙方为主组织事故的善后事宜，并积极组织有关专业工作单位进行整改，甲方予以配合。根据有关主管部门对事故责任的认定和法律法规规定，各自承担应负的责任。</w:t>
      </w:r>
    </w:p>
    <w:p w14:paraId="012C74FB">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第十一条  暂停工作</w:t>
      </w:r>
    </w:p>
    <w:p w14:paraId="0ED3768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11.1 由甲方暂停工作</w:t>
      </w:r>
    </w:p>
    <w:p w14:paraId="42BA1258">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11.1.1 </w:t>
      </w:r>
      <w:r>
        <w:rPr>
          <w:rFonts w:hint="eastAsia" w:ascii="宋体" w:hAnsi="宋体" w:eastAsia="宋体" w:cs="宋体"/>
          <w:color w:val="auto"/>
          <w:sz w:val="21"/>
          <w:szCs w:val="21"/>
          <w:highlight w:val="none"/>
          <w:lang w:eastAsia="zh-CN"/>
        </w:rPr>
        <w:t>因下列原因，甲方可向乙方书面发出暂停工作的通知，乙方应按通知要求暂停自身及相关专业单位工作，同时甲乙双方报告代建主管部门。由此造成工作延误的甲方应相应延长乙方代建周期并按合同约定给予费用赔偿。</w:t>
      </w:r>
    </w:p>
    <w:p w14:paraId="0A663FB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（1）因与甲方相关的法律法规或政策变化，代建项目不能按原有方案实施的；</w:t>
      </w:r>
    </w:p>
    <w:p w14:paraId="4059C14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（2）甲方对代建项目的使用功能作重大调整需重新申请项目批准文件或重新报建的。</w:t>
      </w:r>
    </w:p>
    <w:p w14:paraId="3513798D">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11.2 由乙方暂停工作</w:t>
      </w:r>
    </w:p>
    <w:p w14:paraId="605F998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11.2.1 </w:t>
      </w:r>
      <w:r>
        <w:rPr>
          <w:rFonts w:hint="eastAsia" w:ascii="宋体" w:hAnsi="宋体" w:eastAsia="宋体" w:cs="宋体"/>
          <w:color w:val="auto"/>
          <w:sz w:val="21"/>
          <w:szCs w:val="21"/>
          <w:highlight w:val="none"/>
          <w:lang w:eastAsia="zh-CN"/>
        </w:rPr>
        <w:t>因甲方原因致使乙方代建工作无法继续推进并可能影响乙方代建周期的，乙方应向代建主管部门书面报告要求暂停工作并协调处理，经确定为甲方原因造成暂停工作的，相应调整延长合同代建周期，甲方按合同规定赔偿乙方直接经济损失和延期补偿费用。</w:t>
      </w:r>
    </w:p>
    <w:p w14:paraId="485CB74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乙方未履行合同约定程序，擅自暂停工作产生的所有责任由乙方自行承担。</w:t>
      </w:r>
    </w:p>
    <w:p w14:paraId="5C5EE77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11.3 暂停工作后的照管</w:t>
      </w:r>
    </w:p>
    <w:p w14:paraId="55B4528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不论由于何种原因引起暂停工作的，暂停工作期间，乙方应负责组织相关专业工作单位妥善保护项目并提供安全保障，由此增加的费用由引起暂停的责任方承担。</w:t>
      </w:r>
    </w:p>
    <w:p w14:paraId="11B5CAD8">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第十二条  代建服务费支付与调整</w:t>
      </w:r>
    </w:p>
    <w:p w14:paraId="4FD09184">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12.1 代建服务费</w:t>
      </w:r>
    </w:p>
    <w:p w14:paraId="25D461E3">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12.1.1 </w:t>
      </w:r>
      <w:r>
        <w:rPr>
          <w:rFonts w:hint="eastAsia" w:ascii="宋体" w:hAnsi="宋体" w:eastAsia="宋体" w:cs="宋体"/>
          <w:color w:val="auto"/>
          <w:sz w:val="21"/>
          <w:szCs w:val="21"/>
          <w:highlight w:val="none"/>
          <w:lang w:eastAsia="zh-CN"/>
        </w:rPr>
        <w:t>代建服务费包括乙方在项目前期、实施、验收及后期结算、审计等阶段的管理成本、人员工资及福利、应缴税费和合理利润。不包括后续招标代理、勘察、设计、监理等中介服务费用。</w:t>
      </w:r>
    </w:p>
    <w:p w14:paraId="26AFCB24">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建服务费可用于：代建工作人员的基本工资、工资性津贴、社会保险费用（基本养老、基本医疗、失业、工伤保险）、住房公积金、职工福利费等人工费用，代建服务所必需的办公费、差旅费、固定资产使用费等工作费用，为推动项目建设所直接发生的各项管</w:t>
      </w:r>
      <w:r>
        <w:rPr>
          <w:rFonts w:hint="eastAsia" w:ascii="宋体" w:hAnsi="宋体" w:eastAsia="宋体" w:cs="宋体"/>
          <w:color w:val="auto"/>
          <w:spacing w:val="-4"/>
          <w:sz w:val="21"/>
          <w:szCs w:val="21"/>
          <w:highlight w:val="none"/>
          <w:lang w:eastAsia="zh-CN"/>
        </w:rPr>
        <w:t>理性质的开支（不超过按同等投资额度计算的建设单位管理费范围），以</w:t>
      </w:r>
      <w:r>
        <w:rPr>
          <w:rFonts w:hint="eastAsia" w:ascii="宋体" w:hAnsi="宋体" w:eastAsia="宋体" w:cs="宋体"/>
          <w:color w:val="auto"/>
          <w:sz w:val="21"/>
          <w:szCs w:val="21"/>
          <w:highlight w:val="none"/>
          <w:lang w:eastAsia="zh-CN"/>
        </w:rPr>
        <w:t>及应缴的各种税费。其中业务招待费的额度和支出应按国家有关规定执行。</w:t>
      </w:r>
    </w:p>
    <w:p w14:paraId="5C20EAE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12.1.2 </w:t>
      </w:r>
      <w:r>
        <w:rPr>
          <w:rFonts w:hint="eastAsia" w:ascii="宋体" w:hAnsi="宋体" w:eastAsia="宋体" w:cs="宋体"/>
          <w:color w:val="auto"/>
          <w:sz w:val="21"/>
          <w:szCs w:val="21"/>
          <w:highlight w:val="none"/>
          <w:lang w:eastAsia="zh-CN"/>
        </w:rPr>
        <w:t>乙方投标时承诺的代建服务费在合同执行过程中是固定不变的，不得以任何理由予以变更。</w:t>
      </w:r>
    </w:p>
    <w:p w14:paraId="4378A475">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12.2 预付款</w:t>
      </w:r>
    </w:p>
    <w:p w14:paraId="1210058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预付款用于乙方为完成合同实施的前期准备、工作成本支出等。预付款的额度和支付在合同专用条款中约定。预付款必须专用于代建工作。</w:t>
      </w:r>
    </w:p>
    <w:p w14:paraId="64B26E97">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12.3 进度付款</w:t>
      </w:r>
    </w:p>
    <w:p w14:paraId="48CED01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除合同专用条款另有约定外，进度付款按形象进度支付。具体见专用条款约定。</w:t>
      </w:r>
    </w:p>
    <w:p w14:paraId="0E5C95D1">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12.4 物价波动引起的调整</w:t>
      </w:r>
    </w:p>
    <w:p w14:paraId="356A0C4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除法律规定或合同专用条款另有约定外，代建服务费不因物价波动进行调整。</w:t>
      </w:r>
    </w:p>
    <w:p w14:paraId="620725FD">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12.5 法律变化引起的调整</w:t>
      </w:r>
    </w:p>
    <w:p w14:paraId="7BBA249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因法律变化导致乙方代建服务费发生增减时，甲乙双方应根据法律、法规和政策性文件的规定，协商调整代建服务费，并报代建主管部门和财政部门同意。</w:t>
      </w:r>
    </w:p>
    <w:p w14:paraId="5B7C42FB">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第十三条  竣工验收与项目实体移交</w:t>
      </w:r>
    </w:p>
    <w:p w14:paraId="3BAF74D4">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13.1 </w:t>
      </w:r>
      <w:r>
        <w:rPr>
          <w:rFonts w:hint="eastAsia" w:ascii="宋体" w:hAnsi="宋体" w:eastAsia="宋体" w:cs="宋体"/>
          <w:color w:val="auto"/>
          <w:sz w:val="21"/>
          <w:szCs w:val="21"/>
          <w:highlight w:val="none"/>
          <w:lang w:eastAsia="zh-CN"/>
        </w:rPr>
        <w:t>乙方收到监理人提交的竣工验收申请报告后28天内组织竣工验收，对竣工验收中发现的质量和功能缺陷在48小时内提出整改方案，依方案组织相关专业工作单位进行整改并重新组织竣工验收，直至竣工验收通过。</w:t>
      </w:r>
    </w:p>
    <w:p w14:paraId="1DAF2DB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13.2 </w:t>
      </w:r>
      <w:r>
        <w:rPr>
          <w:rFonts w:hint="eastAsia" w:ascii="宋体" w:hAnsi="宋体" w:eastAsia="宋体" w:cs="宋体"/>
          <w:color w:val="auto"/>
          <w:sz w:val="21"/>
          <w:szCs w:val="21"/>
          <w:highlight w:val="none"/>
          <w:lang w:eastAsia="zh-CN"/>
        </w:rPr>
        <w:t>项目整体竣工验收和项目实体移交应报请代建主管部门参加。</w:t>
      </w:r>
    </w:p>
    <w:p w14:paraId="798EAA7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13.3 </w:t>
      </w:r>
      <w:r>
        <w:rPr>
          <w:rFonts w:hint="eastAsia" w:ascii="宋体" w:hAnsi="宋体" w:eastAsia="宋体" w:cs="宋体"/>
          <w:color w:val="auto"/>
          <w:sz w:val="21"/>
          <w:szCs w:val="21"/>
          <w:highlight w:val="none"/>
          <w:lang w:eastAsia="zh-CN"/>
        </w:rPr>
        <w:t>竣工验收合格后，乙方应在30天内向甲方递交项目实体移交申请报告。甲方应在收到乙方项目实体移交申请报告后30天内，依据经批准的项目功能要求和合同约定办理实体移交验收，验收中如发现功能或质量缺陷，可提出整改和完善要求，乙方应组织整改以满足要求。实体移交验收合格后，甲方向乙方出具实体移交证书，工程实体移交甲方负责管理和维护。在具备合同约定的实体移交验收条件，乙方向甲方递交工程实体移交申请报告后30天内，甲方拒不组织移交验收的，乙方可要求按照16.3.1（3）条处理，或要求从乙方递交报告后的第31天起视为甲方已出具实体移交证书，工程管理和维护义务由甲方承担。工程未经实体移交，甲方擅自使用的，应在转移占用工程后14天内向乙方颁发实体移交证书，甲方无正当理由逾期不颁发实体移交证书的，自转移占用后第15天起视为已颁发实体移交证书。</w:t>
      </w:r>
    </w:p>
    <w:p w14:paraId="5976955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13.4 </w:t>
      </w:r>
      <w:r>
        <w:rPr>
          <w:rFonts w:hint="eastAsia" w:ascii="宋体" w:hAnsi="宋体" w:eastAsia="宋体" w:cs="宋体"/>
          <w:color w:val="auto"/>
          <w:sz w:val="21"/>
          <w:szCs w:val="21"/>
          <w:highlight w:val="none"/>
          <w:lang w:eastAsia="zh-CN"/>
        </w:rPr>
        <w:t>项目整体未经验收或验收不合格，甲方擅自使用的，应在转移占有后14天内向乙方颁发实体移交证书，甲方无正当理由逾期不颁发实体移交证书的，自转移占用后第15天起视为已颁发实体移交证书。</w:t>
      </w:r>
    </w:p>
    <w:p w14:paraId="3CD47175">
      <w:pPr>
        <w:widowControl w:val="0"/>
        <w:kinsoku/>
        <w:wordWrap w:val="0"/>
        <w:spacing w:line="576" w:lineRule="exact"/>
        <w:ind w:left="3126"/>
        <w:outlineLvl w:val="2"/>
        <w:rPr>
          <w:rFonts w:hint="eastAsia" w:ascii="宋体" w:hAnsi="宋体" w:eastAsia="宋体" w:cs="宋体"/>
          <w:b/>
          <w:bCs/>
          <w:color w:val="auto"/>
          <w:sz w:val="21"/>
          <w:szCs w:val="21"/>
          <w:highlight w:val="none"/>
          <w:lang w:eastAsia="zh-CN"/>
        </w:rPr>
      </w:pPr>
    </w:p>
    <w:p w14:paraId="22EC568D">
      <w:pPr>
        <w:widowControl w:val="0"/>
        <w:kinsoku/>
        <w:wordWrap w:val="0"/>
        <w:spacing w:line="576" w:lineRule="exact"/>
        <w:ind w:left="3126"/>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第五节  不可抗力</w:t>
      </w:r>
    </w:p>
    <w:p w14:paraId="6144ECA8">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第十四条  不可抗力</w:t>
      </w:r>
    </w:p>
    <w:p w14:paraId="25BB92A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14.1 不可抗力的确认</w:t>
      </w:r>
    </w:p>
    <w:p w14:paraId="5D34401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14.1.1 </w:t>
      </w:r>
      <w:r>
        <w:rPr>
          <w:rFonts w:hint="eastAsia" w:ascii="宋体" w:hAnsi="宋体" w:eastAsia="宋体" w:cs="宋体"/>
          <w:color w:val="auto"/>
          <w:sz w:val="21"/>
          <w:szCs w:val="21"/>
          <w:highlight w:val="none"/>
          <w:lang w:eastAsia="zh-CN"/>
        </w:rPr>
        <w:t>不可抗力是指乙方和甲方在订立合同时不可预见，在履行合同过程中不可避免发生并不能克服的自然灾害和社会性突发事件，如地震、海啸、瘟疫、水灾、骚乱、暴动、战争和合同专用条款约定的其他情形。</w:t>
      </w:r>
    </w:p>
    <w:p w14:paraId="5F38889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14.1.2 </w:t>
      </w:r>
      <w:r>
        <w:rPr>
          <w:rFonts w:hint="eastAsia" w:ascii="宋体" w:hAnsi="宋体" w:eastAsia="宋体" w:cs="宋体"/>
          <w:color w:val="auto"/>
          <w:sz w:val="21"/>
          <w:szCs w:val="21"/>
          <w:highlight w:val="none"/>
          <w:lang w:eastAsia="zh-CN"/>
        </w:rPr>
        <w:t>不可抗力发生后，乙方和甲方应及时认真统计所造成的损失，收集不可抗力造成损失的证据。</w:t>
      </w:r>
    </w:p>
    <w:p w14:paraId="35BFA6D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14.2 不可抗力的通知</w:t>
      </w:r>
    </w:p>
    <w:p w14:paraId="2A7A3FC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14.2.1 </w:t>
      </w:r>
      <w:r>
        <w:rPr>
          <w:rFonts w:hint="eastAsia" w:ascii="宋体" w:hAnsi="宋体" w:eastAsia="宋体" w:cs="宋体"/>
          <w:color w:val="auto"/>
          <w:sz w:val="21"/>
          <w:szCs w:val="21"/>
          <w:highlight w:val="none"/>
          <w:lang w:eastAsia="zh-CN"/>
        </w:rPr>
        <w:t>合同一方当事人遇到不可抗力事件，使其履行合同义务受到阻碍时，应立即通知合同另一方当事人和代建主管部门，书面说明不可抗力和受阻碍的详细情况，并提供必要的证明。</w:t>
      </w:r>
    </w:p>
    <w:p w14:paraId="043718F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14.2.2 </w:t>
      </w:r>
      <w:r>
        <w:rPr>
          <w:rFonts w:hint="eastAsia" w:ascii="宋体" w:hAnsi="宋体" w:eastAsia="宋体" w:cs="宋体"/>
          <w:color w:val="auto"/>
          <w:sz w:val="21"/>
          <w:szCs w:val="21"/>
          <w:highlight w:val="none"/>
          <w:lang w:eastAsia="zh-CN"/>
        </w:rPr>
        <w:t>如不可抗力持续发生，合同一方当事人应及时向合同另一方当事人和代建主管部门提交中间报告，说明不可抗力和履行合同受阻的情况，并于不可抗力事件结束后28天内提交最终报告及有关资料。</w:t>
      </w:r>
    </w:p>
    <w:p w14:paraId="43A1D01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14.3 不可抗力后果及其处理</w:t>
      </w:r>
    </w:p>
    <w:p w14:paraId="7CBB637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除合同专用条款另有约定外，不可抗力导致的人员伤亡、财产损失、费用增加和代建周期延误等后果，由合同双方按以下原则承担：</w:t>
      </w:r>
    </w:p>
    <w:p w14:paraId="16F08CD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（1）工程的损害，以及因工程损害造成的第三者人员伤亡和财产损失，由甲乙方协商确认后上报有关主管部门，再确定处理意见；</w:t>
      </w:r>
    </w:p>
    <w:p w14:paraId="7192999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（2）甲方和乙方各自承担其人员伤亡和其他财产损失及其相关费用；</w:t>
      </w:r>
    </w:p>
    <w:p w14:paraId="118BBA1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（3）不能在代建周期完成代建工作的，甲乙双方应报请代建主管部门同意合理延长工期，不需支付违约金；</w:t>
      </w:r>
    </w:p>
    <w:p w14:paraId="4BB40B5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合同一方当事人因不可抗力不能履行合同的，应当及时通知对方解除合同并报告代建主管部门。解除合同产生的损害、损失或延误，双方各负其责。合同解除后28天内，乙方应根据在合同解除前实际完成的工作向甲方提交要求支付尚未支付的代建服务费的有关资料和凭证，甲方应予支付；合同解除前甲方已支付的代建服务费超过应付金额的，超出部分乙方应予退还。同时甲方应及时向乙方返还剩余的履约担保。</w:t>
      </w:r>
    </w:p>
    <w:p w14:paraId="2658B965">
      <w:pPr>
        <w:widowControl w:val="0"/>
        <w:kinsoku/>
        <w:wordWrap w:val="0"/>
        <w:spacing w:line="576" w:lineRule="exact"/>
        <w:jc w:val="center"/>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第六节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履约担保、违约及赔偿责任与争议解决</w:t>
      </w:r>
    </w:p>
    <w:p w14:paraId="14CC2F07">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第十五条  履约担保</w:t>
      </w:r>
    </w:p>
    <w:p w14:paraId="7E264DC4">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15.1 履约担保</w:t>
      </w:r>
    </w:p>
    <w:p w14:paraId="35DDB4A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15.1.1 </w:t>
      </w:r>
      <w:r>
        <w:rPr>
          <w:rFonts w:hint="eastAsia" w:ascii="宋体" w:hAnsi="宋体" w:eastAsia="宋体" w:cs="宋体"/>
          <w:color w:val="auto"/>
          <w:sz w:val="21"/>
          <w:szCs w:val="21"/>
          <w:highlight w:val="none"/>
          <w:lang w:eastAsia="zh-CN"/>
        </w:rPr>
        <w:t>乙方应按照投标时承诺的数额和方式及时提交履约担保，并保证其履约担保在代建范围内工程决算完成前一直有效。如乙方因自身工作原因全部或部分不能履行本合同时，甲方有权根据具体情况没收全部或部分履约担保。乙方未提交履约担保或中途撤回履约担保的，本合同失效，造成的有关损失由乙方承担。</w:t>
      </w:r>
    </w:p>
    <w:p w14:paraId="0958F643">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15.1.2 </w:t>
      </w:r>
      <w:r>
        <w:rPr>
          <w:rFonts w:hint="eastAsia" w:ascii="宋体" w:hAnsi="宋体" w:eastAsia="宋体" w:cs="宋体"/>
          <w:color w:val="auto"/>
          <w:sz w:val="21"/>
          <w:szCs w:val="21"/>
          <w:highlight w:val="none"/>
          <w:lang w:eastAsia="zh-CN"/>
        </w:rPr>
        <w:t>如合同发生代建周期延期调整，其中由于甲方原因导致延期的，履约担保相应延期所需增加的费用由甲方承担；由于乙方原因导致延期的，履约担保所需费用均由乙方承担。</w:t>
      </w:r>
    </w:p>
    <w:p w14:paraId="08C156FA">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15.1.3 </w:t>
      </w:r>
      <w:r>
        <w:rPr>
          <w:rFonts w:hint="eastAsia" w:ascii="宋体" w:hAnsi="宋体" w:eastAsia="宋体" w:cs="宋体"/>
          <w:color w:val="auto"/>
          <w:sz w:val="21"/>
          <w:szCs w:val="21"/>
          <w:highlight w:val="none"/>
          <w:lang w:eastAsia="zh-CN"/>
        </w:rPr>
        <w:t>代建范围内工程决算完成后，如仍有工程在缺陷责任期内的，乙方应按甲方格式要求，以履约担保金额的10%为额度向甲方提交缺陷责任期保函。甲方应在收到缺陷责任期保函7天内将剩余履约担保退还乙方。所有工程缺陷责任期满后14日内，甲方向乙方返还缺陷责任期保函。</w:t>
      </w:r>
    </w:p>
    <w:p w14:paraId="0A1091D0">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第十六条  违约及赔偿责任</w:t>
      </w:r>
    </w:p>
    <w:p w14:paraId="5493677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16.1 甲方违约</w:t>
      </w:r>
    </w:p>
    <w:p w14:paraId="3C3A1FF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16.1.1 </w:t>
      </w:r>
      <w:r>
        <w:rPr>
          <w:rFonts w:hint="eastAsia" w:ascii="宋体" w:hAnsi="宋体" w:eastAsia="宋体" w:cs="宋体"/>
          <w:color w:val="auto"/>
          <w:sz w:val="21"/>
          <w:szCs w:val="21"/>
          <w:highlight w:val="none"/>
          <w:lang w:eastAsia="zh-CN"/>
        </w:rPr>
        <w:t>甲方违约的情形</w:t>
      </w:r>
    </w:p>
    <w:p w14:paraId="7DDA3A5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在履行合同过程中发生下列情形之一的，属甲方违约：</w:t>
      </w:r>
    </w:p>
    <w:p w14:paraId="53D6E4C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（1）甲方建设资金无法落实又未按程序及时调减建设规模或标准并获得批准的；</w:t>
      </w:r>
    </w:p>
    <w:p w14:paraId="5CA328F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（2）甲方未能及时申报资金计划，或未能按专用条款约定向财政申请合同价款支付，或拖延、拒绝按合同约定批准付款申请和支付凭证，导致向乙方或专业单位付款延误的；</w:t>
      </w:r>
    </w:p>
    <w:p w14:paraId="5501719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（3）甲方未经乙方同意，自行开展或直接要求专业工作单位开展工程建设、自行调整工程建设内容、建设标准的；</w:t>
      </w:r>
    </w:p>
    <w:p w14:paraId="272E4C2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（4）</w:t>
      </w:r>
      <w:r>
        <w:rPr>
          <w:rFonts w:hint="eastAsia" w:ascii="宋体" w:hAnsi="宋体" w:eastAsia="宋体" w:cs="宋体"/>
          <w:color w:val="auto"/>
          <w:sz w:val="21"/>
          <w:szCs w:val="21"/>
          <w:highlight w:val="none"/>
          <w:lang w:eastAsia="zh-CN"/>
        </w:rPr>
        <w:t>甲方在设备选型、材料选择时，超过专用条款约定的时限的；</w:t>
      </w:r>
    </w:p>
    <w:p w14:paraId="2B6EBDF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（5）甲方未在专用条款约定的时限内对乙方提交并要求作出决定的事宜予以书面答复或未按甲方义务及时支持协助乙方办理有关手续导致代建周期延误的；</w:t>
      </w:r>
    </w:p>
    <w:p w14:paraId="1B0E8E1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（6）甲方未经代建主管部门同意，明确表示不履行或实质上已停止履行合同的；</w:t>
      </w:r>
    </w:p>
    <w:p w14:paraId="0DE90850">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（7）具备条件后不按合同约定及时办理项目实体验收并出具实体移交证书的；</w:t>
      </w:r>
    </w:p>
    <w:p w14:paraId="24129BC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（8）甲方不履行合同其他约定义务的。</w:t>
      </w:r>
    </w:p>
    <w:p w14:paraId="69514B1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16.2 </w:t>
      </w:r>
      <w:r>
        <w:rPr>
          <w:rFonts w:hint="eastAsia" w:ascii="宋体" w:hAnsi="宋体" w:eastAsia="宋体" w:cs="宋体"/>
          <w:color w:val="auto"/>
          <w:sz w:val="21"/>
          <w:szCs w:val="21"/>
          <w:highlight w:val="none"/>
          <w:lang w:eastAsia="zh-CN"/>
        </w:rPr>
        <w:t>乙方违约</w:t>
      </w:r>
    </w:p>
    <w:p w14:paraId="44AE584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16.2.1 </w:t>
      </w:r>
      <w:r>
        <w:rPr>
          <w:rFonts w:hint="eastAsia" w:ascii="宋体" w:hAnsi="宋体" w:eastAsia="宋体" w:cs="宋体"/>
          <w:color w:val="auto"/>
          <w:sz w:val="21"/>
          <w:szCs w:val="21"/>
          <w:highlight w:val="none"/>
          <w:lang w:eastAsia="zh-CN"/>
        </w:rPr>
        <w:t>乙方违约的情形</w:t>
      </w:r>
    </w:p>
    <w:p w14:paraId="15F0EDB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在履行合同过程中发生的下列情况之一的，属乙方违约：</w:t>
      </w:r>
    </w:p>
    <w:p w14:paraId="7D3D0F8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（1）乙方将代建管理服务的任何部分转让或分包；</w:t>
      </w:r>
    </w:p>
    <w:p w14:paraId="539E940C">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（2）乙方未按承诺及时配备代建项目管理团队人员，或未按约定程序擅自更换项目管理团队人员，或因乙方人员履职水平过低而只能撤换的；</w:t>
      </w:r>
    </w:p>
    <w:p w14:paraId="78E61CA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（3）乙方指令不按政府有效文件确定的建设内容、规模、标准开展项目设计和建设的；</w:t>
      </w:r>
    </w:p>
    <w:p w14:paraId="5F54994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（4）乙方未经代建主管部门同意，明确表示不履行或实质上已停止履行合同的；</w:t>
      </w:r>
    </w:p>
    <w:p w14:paraId="16FFF43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乙方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4DD40FE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（6）因乙方工作失职，未能保质保量及时完成合同约定的工作，造成代建周期延误或出现安全责任事故或工程质量不合格的；</w:t>
      </w:r>
    </w:p>
    <w:p w14:paraId="41A21F0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（7）乙方在实体移交证书颁发前、各单位工程缺陷责任期和保修期内，未采取措施及时做好缺陷修复的；或在实体移交证书颁发后、单位工程缺陷责任期内，乙方未应甲方要求组织做好缺陷修复工作的；</w:t>
      </w:r>
    </w:p>
    <w:p w14:paraId="3FB9C4B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（8）代建范围内的项目决算投资突破经批准的概算的；</w:t>
      </w:r>
    </w:p>
    <w:p w14:paraId="0793EEB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（9）乙方不履行合同其他约定义务的情况。</w:t>
      </w:r>
    </w:p>
    <w:p w14:paraId="577C694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 违约处理与赔偿责任</w:t>
      </w:r>
    </w:p>
    <w:p w14:paraId="26EF27DD">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16.3.1 甲方的违约处理与赔偿责任</w:t>
      </w:r>
    </w:p>
    <w:p w14:paraId="6937FCF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（1）因甲方违约而导致乙方代建周期延误的，每超过一天，甲方应支付违约补偿金，金额按合同专用条款约定的数额向乙方支付工期延误赔偿。</w:t>
      </w:r>
    </w:p>
    <w:p w14:paraId="0020E52D">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出现16.1.1（6）项情形时，乙方有权向代建主管部门书面申请解除合同。出现其他情形，乙方可书面要求甲方纠正或报请代建主管部门协调。经代建主管部门协调后28天内不予纠正或无法纠正，乙方可向甲方发出解除合同通知。本项中乙方解除合同后28天内，乙方根据在合同解除前实际完成的工作向甲方提交要求支付尚未支付的代建服务费的有关资料和凭证，甲方应予支付，甲方还应同时向乙方返还剩余的履约担保；合同解除前甲方已支付的代建服务费超过应付金额的，超出部分乙方应予退还。</w:t>
      </w:r>
    </w:p>
    <w:p w14:paraId="58C77F91">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在具备合同约定的实体移交验收条件，乙方向甲方递交工程实体移交申请报告后30天内，甲方拒不组织移交验收的，需从乙方递交报告后的第31天起至甲方开始组织实体移交验收止，按天补偿乙方延期维护和照管投入人员的人工工资费用。</w:t>
      </w:r>
    </w:p>
    <w:p w14:paraId="499E6A6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（4）因甲方违约导致乙方和第三方经济损失的，甲方在支付上述补偿费用时，还应同时赔偿乙方和第三方相应的直接经济损失。</w:t>
      </w:r>
    </w:p>
    <w:p w14:paraId="6F171B50">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16.3.2 乙方的违约处理与赔偿责任</w:t>
      </w:r>
    </w:p>
    <w:p w14:paraId="3FF4C1D1">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出现16.2.1（1）、（3）违约情形的，甲方可根据实际情况报请代建主管部门核实后解除代建合同并没收剩余履约担保，或者书面要求乙方3日内改正到位并报请代建主管部门督促乙方整改，如按期改正到位，按专用条款罚收乙方违约金，整改不力的，解除代建合同并没收剩余履约担保。出现16.2.1（2）违约情形的，甲方可书面要求乙方3日内改正到位并报请代建主管部门督促乙方整改，整改不力的，解除代建合同并没收剩余履约担保。</w:t>
      </w:r>
    </w:p>
    <w:p w14:paraId="2A5205C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出现16.2.1（4）情形或乙方在代建管理中严重违法违纪被追究刑事责任、被责令停业、被吊销许可证或执照的或乙方在代建周期内相关招标采购活动中派人担任评委的，甲方报告代建主管部门后解除代建合同并没收乙方剩余履约担保。</w:t>
      </w:r>
    </w:p>
    <w:p w14:paraId="1EECF221">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（3）乙方与第三方串通在代建过程中牟取不当利益或损害甲方利益、国家利益的，甲方应报告代建主管部门核实后解除代建合同、乙方剩余的履约担保不予退还。情节严重的，依法追究法律责任。</w:t>
      </w:r>
    </w:p>
    <w:p w14:paraId="21F4BF0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乙方违约致使项目投资增加或甲方经济损失的，所增加的项目投资额和造成的甲方直接经济损失从代建单位的履约担保中赔偿；履约担保不足的，相应扣减代建服务费；代建服务费仍不足的，代建单位从自有资金中赔偿。</w:t>
      </w:r>
    </w:p>
    <w:p w14:paraId="6F19C62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（5）乙方违约导致代建周期延长，项目未能按合同约定的代建项目建设工期竣工时，乙方按合同专用条款约定的数额向甲方支付工期延误赔偿。</w:t>
      </w:r>
    </w:p>
    <w:p w14:paraId="01F238F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（6）代建项目建设发生质量、安全事故乙方被认定承担责任时，乙方应按合同专用条款约定的数额向甲方支付赔偿金。因乙方责任发生较大以上安全责任事故的，甲方还可报告代建主管部门后解除代建合同。</w:t>
      </w:r>
    </w:p>
    <w:p w14:paraId="65274FBE">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（7）缺陷责任期内，乙方拒不履行缺陷修复有关义务的，按专用条款约定缴纳违约金。</w:t>
      </w:r>
    </w:p>
    <w:p w14:paraId="48879A12">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（8）乙方违约金累计超过履约担保金额时，甲方可向代建主管部门报告后解除合同并要求乙方赔偿由此引起的损失。</w:t>
      </w:r>
    </w:p>
    <w:p w14:paraId="737AB6B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16.3.3 第三人造成的违约</w:t>
      </w:r>
    </w:p>
    <w:p w14:paraId="3A6089F4">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在履行合同过程中，一方当事人因第三人的原因造成违约的，应当向对方当事人承担违约责任。一方当事人和第三人之间的纠纷，依照法律规定或者按照约定解决。</w:t>
      </w:r>
    </w:p>
    <w:p w14:paraId="7535F6D0">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第十七条  争议的解决</w:t>
      </w:r>
    </w:p>
    <w:p w14:paraId="2623763E">
      <w:pPr>
        <w:widowControl w:val="0"/>
        <w:kinsoku/>
        <w:wordWrap w:val="0"/>
        <w:spacing w:line="59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17.1 争议的解决</w:t>
      </w:r>
    </w:p>
    <w:p w14:paraId="3B716801">
      <w:pPr>
        <w:widowControl w:val="0"/>
        <w:kinsoku/>
        <w:wordWrap w:val="0"/>
        <w:spacing w:line="59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甲方和乙方在履行合同中发生争议的，应优先友好协商解决。不能协商一致的，提请代建主管部门协调解决。不接受代建主管部门协调决定的，可向项目所在地的人民法院提起诉讼。</w:t>
      </w:r>
    </w:p>
    <w:p w14:paraId="5B778F3C">
      <w:pPr>
        <w:widowControl w:val="0"/>
        <w:kinsoku/>
        <w:wordWrap w:val="0"/>
        <w:spacing w:line="596" w:lineRule="exact"/>
        <w:ind w:left="3449"/>
        <w:outlineLvl w:val="2"/>
        <w:rPr>
          <w:rFonts w:hint="eastAsia" w:ascii="宋体" w:hAnsi="宋体" w:eastAsia="宋体" w:cs="宋体"/>
          <w:b/>
          <w:bCs/>
          <w:color w:val="auto"/>
          <w:sz w:val="21"/>
          <w:szCs w:val="21"/>
          <w:highlight w:val="none"/>
          <w:lang w:eastAsia="zh-CN"/>
        </w:rPr>
      </w:pPr>
    </w:p>
    <w:p w14:paraId="7D923471">
      <w:pPr>
        <w:widowControl w:val="0"/>
        <w:kinsoku/>
        <w:wordWrap w:val="0"/>
        <w:spacing w:line="596" w:lineRule="exact"/>
        <w:ind w:left="3449"/>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第七节  奖励</w:t>
      </w:r>
    </w:p>
    <w:p w14:paraId="085A552B">
      <w:pPr>
        <w:widowControl w:val="0"/>
        <w:kinsoku/>
        <w:wordWrap w:val="0"/>
        <w:spacing w:line="59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第十八条  奖励</w:t>
      </w:r>
    </w:p>
    <w:p w14:paraId="0112060E">
      <w:pPr>
        <w:widowControl w:val="0"/>
        <w:kinsoku/>
        <w:wordWrap w:val="0"/>
        <w:spacing w:line="59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18.1 </w:t>
      </w:r>
      <w:r>
        <w:rPr>
          <w:rFonts w:hint="eastAsia" w:ascii="宋体" w:hAnsi="宋体" w:eastAsia="宋体" w:cs="宋体"/>
          <w:color w:val="auto"/>
          <w:sz w:val="21"/>
          <w:szCs w:val="21"/>
          <w:highlight w:val="none"/>
          <w:lang w:eastAsia="zh-CN"/>
        </w:rPr>
        <w:t>乙方全面、切实履行合同义务，在满足项目功能要求、规模标准及结构安全的前提下，充分运用专业管理经验，在项目竣工财务决算审核批准后，其合同约定的代建范围内决算总投资比批准的对应投资概算有节余的，报代建主管部门及财政部门核定后按照合同专用条款对乙方进行奖励。</w:t>
      </w:r>
    </w:p>
    <w:p w14:paraId="419A5AD4">
      <w:pPr>
        <w:widowControl w:val="0"/>
        <w:kinsoku/>
        <w:wordWrap w:val="0"/>
        <w:spacing w:line="59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18.2 </w:t>
      </w:r>
      <w:r>
        <w:rPr>
          <w:rFonts w:hint="eastAsia" w:ascii="宋体" w:hAnsi="宋体" w:eastAsia="宋体" w:cs="宋体"/>
          <w:color w:val="auto"/>
          <w:sz w:val="21"/>
          <w:szCs w:val="21"/>
          <w:highlight w:val="none"/>
          <w:lang w:eastAsia="zh-CN"/>
        </w:rPr>
        <w:t>若本项目获得国家级或省级工程质量奖项的，由甲方按照合同专用条款对乙方进行奖励。获得多个奖项时只给予奖金最高的一项奖励。</w:t>
      </w:r>
    </w:p>
    <w:p w14:paraId="027017B7">
      <w:pPr>
        <w:widowControl w:val="0"/>
        <w:kinsoku/>
        <w:wordWrap w:val="0"/>
        <w:spacing w:line="59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18.3 </w:t>
      </w:r>
      <w:r>
        <w:rPr>
          <w:rFonts w:hint="eastAsia" w:ascii="宋体" w:hAnsi="宋体" w:eastAsia="宋体" w:cs="宋体"/>
          <w:color w:val="auto"/>
          <w:sz w:val="21"/>
          <w:szCs w:val="21"/>
          <w:highlight w:val="none"/>
          <w:lang w:eastAsia="zh-CN"/>
        </w:rPr>
        <w:t>因乙方科学管理使得代建项目施工工期提前的，甲方可以给予乙方奖励。具体奖励金额以合同专用条款的约定为准。因工程延期签订了工期延期合同，已获得工期补偿的，不再计取工期提前奖励。</w:t>
      </w:r>
    </w:p>
    <w:p w14:paraId="088EB359">
      <w:pPr>
        <w:pStyle w:val="18"/>
        <w:widowControl w:val="0"/>
        <w:kinsoku/>
        <w:wordWrap w:val="0"/>
        <w:spacing w:line="59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18.4 </w:t>
      </w:r>
      <w:r>
        <w:rPr>
          <w:rFonts w:hint="eastAsia" w:ascii="宋体" w:hAnsi="宋体" w:eastAsia="宋体" w:cs="宋体"/>
          <w:color w:val="auto"/>
          <w:sz w:val="21"/>
          <w:szCs w:val="21"/>
          <w:highlight w:val="none"/>
          <w:lang w:eastAsia="zh-CN"/>
        </w:rPr>
        <w:t>按18.1、18.2、18.3给予乙方的奖励合计不超过代建服务费的10%。</w:t>
      </w:r>
    </w:p>
    <w:p w14:paraId="5E3137A8">
      <w:pPr>
        <w:pStyle w:val="18"/>
        <w:widowControl w:val="0"/>
        <w:kinsoku/>
        <w:wordWrap w:val="0"/>
        <w:spacing w:line="596" w:lineRule="exact"/>
        <w:rPr>
          <w:rFonts w:hint="eastAsia" w:ascii="宋体" w:hAnsi="宋体" w:eastAsia="宋体" w:cs="宋体"/>
          <w:color w:val="auto"/>
          <w:sz w:val="21"/>
          <w:szCs w:val="21"/>
          <w:highlight w:val="none"/>
          <w:lang w:eastAsia="zh-CN"/>
        </w:rPr>
      </w:pPr>
    </w:p>
    <w:p w14:paraId="78C1AF6A">
      <w:pPr>
        <w:widowControl w:val="0"/>
        <w:kinsoku/>
        <w:wordWrap w:val="0"/>
        <w:spacing w:line="596" w:lineRule="exact"/>
        <w:jc w:val="center"/>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第八节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合同的生效与失效、变更、</w:t>
      </w:r>
    </w:p>
    <w:p w14:paraId="0D16485D">
      <w:pPr>
        <w:widowControl w:val="0"/>
        <w:kinsoku/>
        <w:wordWrap w:val="0"/>
        <w:spacing w:line="596" w:lineRule="exact"/>
        <w:jc w:val="center"/>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中止与恢复、合同终止、补充</w:t>
      </w:r>
    </w:p>
    <w:p w14:paraId="3F58C920">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第十九条  合同的生效与失效、变更、中止与恢复、合同终止、补充</w:t>
      </w:r>
    </w:p>
    <w:p w14:paraId="651823C8">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19.1 合同的生效与失效</w:t>
      </w:r>
    </w:p>
    <w:p w14:paraId="62098B43">
      <w:pPr>
        <w:widowControl w:val="0"/>
        <w:kinsoku/>
        <w:wordWrap w:val="0"/>
        <w:spacing w:line="576" w:lineRule="exact"/>
        <w:ind w:firstLine="420" w:firstLineChars="200"/>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合同从代建主管部门颁发代建合同备案通知之日起生效，至双方按照合同约定履行完各自的义务和责任后自然失效。</w:t>
      </w:r>
    </w:p>
    <w:p w14:paraId="13F901EA">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19.2 合同的变更</w:t>
      </w:r>
    </w:p>
    <w:p w14:paraId="1B1F7871">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出现超出本合同协议书规定的情况或不可抗力出现或合同约定可调整的情况或未约定而又必须新增的代建管理工作，任何一方提出、双方书面同意并报代建主管部门备案后，可以补充协议的方式对本合同进行变更。</w:t>
      </w:r>
    </w:p>
    <w:p w14:paraId="06CE339C">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19.3 合同的中止与恢复</w:t>
      </w:r>
    </w:p>
    <w:p w14:paraId="3EA39A6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合同履行之前或履行的过程中，因不可抗力或其他因素使得确实不能履行合同义务而只能暂时中止合同时，任何一方提出、双方书面同意并报代建主管部门后，可以中止合同。合同中止期间，乙方应负责组织相关专业工作单位妥善保护项目并提供安全保障，由此增加的费用由引起暂停的责任方承担。合同中止6个月及以上，可撤出团队人员；中止12个月及以上，可撤出项目经理。</w:t>
      </w:r>
    </w:p>
    <w:p w14:paraId="5D3017E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合同恢复履行条件时，由任何一方提出、双方书面同意并报代建主管部门后，可以继续履行合同。合同恢复后，撤出人员应返回或由不低于原团队人员经验、业绩、资质等要求的人员替代。</w:t>
      </w:r>
    </w:p>
    <w:p w14:paraId="7343E3A8">
      <w:pPr>
        <w:widowControl w:val="0"/>
        <w:kinsoku/>
        <w:wordWrap w:val="0"/>
        <w:spacing w:line="576" w:lineRule="exact"/>
        <w:ind w:firstLine="422" w:firstLineChars="200"/>
        <w:jc w:val="both"/>
        <w:outlineLvl w:val="1"/>
        <w:rPr>
          <w:rFonts w:hint="eastAsia" w:ascii="宋体" w:hAnsi="宋体" w:eastAsia="宋体" w:cs="宋体"/>
          <w:color w:val="auto"/>
          <w:sz w:val="21"/>
          <w:szCs w:val="21"/>
          <w:highlight w:val="none"/>
          <w:lang w:eastAsia="zh-CN"/>
        </w:rPr>
      </w:pPr>
      <w:bookmarkStart w:id="24" w:name="_Toc205824411"/>
      <w:r>
        <w:rPr>
          <w:rFonts w:hint="eastAsia" w:ascii="宋体" w:hAnsi="宋体" w:eastAsia="宋体" w:cs="宋体"/>
          <w:b/>
          <w:bCs/>
          <w:color w:val="auto"/>
          <w:sz w:val="21"/>
          <w:szCs w:val="21"/>
          <w:highlight w:val="none"/>
          <w:lang w:eastAsia="zh-CN"/>
        </w:rPr>
        <w:t>19.4 合同的终止</w:t>
      </w:r>
      <w:bookmarkEnd w:id="24"/>
    </w:p>
    <w:p w14:paraId="23EEDA2E">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在合同履行之前或履行的过程中，因甲方不能按合同履约，导致工程施工全部或部分暂停、代建服务中止12个月及以上的，乙方有权终止合同并追究甲方违约责任，并应将有关情况报送代建主管部门。</w:t>
      </w:r>
    </w:p>
    <w:p w14:paraId="673E420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乙方不能按合同履约，甲方有权责令承包人限期改正，并暂停支付进度款。若乙方在期限内未进行改正的，甲方有权终止合同并追究乙方违约责任，并应将有关情况报送代建主管部门。</w:t>
      </w:r>
    </w:p>
    <w:p w14:paraId="69B2A6EA">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因不可抗力致使项目无法实施、确需终止的，任何一方提出、双方书面同意并报代建主管部门后，可以终止合同。</w:t>
      </w:r>
    </w:p>
    <w:p w14:paraId="4DCA5A2B">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本合同解除后，本合同约定的有关结算、清理、争议解决方式的条件仍然有效。</w:t>
      </w:r>
    </w:p>
    <w:p w14:paraId="7D834FF6">
      <w:pPr>
        <w:widowControl w:val="0"/>
        <w:kinsoku/>
        <w:wordWrap w:val="0"/>
        <w:spacing w:line="576" w:lineRule="exact"/>
        <w:ind w:firstLine="422" w:firstLineChars="200"/>
        <w:jc w:val="both"/>
        <w:outlineLvl w:val="1"/>
        <w:rPr>
          <w:rFonts w:hint="eastAsia" w:ascii="宋体" w:hAnsi="宋体" w:eastAsia="宋体" w:cs="宋体"/>
          <w:color w:val="auto"/>
          <w:sz w:val="21"/>
          <w:szCs w:val="21"/>
          <w:highlight w:val="none"/>
          <w:lang w:eastAsia="zh-CN"/>
        </w:rPr>
      </w:pPr>
      <w:bookmarkStart w:id="25" w:name="bookmark105"/>
      <w:bookmarkEnd w:id="25"/>
      <w:bookmarkStart w:id="26" w:name="_Toc205824412"/>
      <w:r>
        <w:rPr>
          <w:rFonts w:hint="eastAsia" w:ascii="宋体" w:hAnsi="宋体" w:eastAsia="宋体" w:cs="宋体"/>
          <w:b/>
          <w:bCs/>
          <w:color w:val="auto"/>
          <w:sz w:val="21"/>
          <w:szCs w:val="21"/>
          <w:highlight w:val="none"/>
          <w:lang w:eastAsia="zh-CN"/>
        </w:rPr>
        <w:t>19.5 补充条款</w:t>
      </w:r>
      <w:bookmarkEnd w:id="26"/>
    </w:p>
    <w:p w14:paraId="75BD0C2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在专用条款中补充约定。</w:t>
      </w:r>
    </w:p>
    <w:p w14:paraId="56C780F9">
      <w:pPr>
        <w:kinsoku/>
        <w:wordWrap w:val="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br w:type="page"/>
      </w:r>
    </w:p>
    <w:p w14:paraId="76D26BF8">
      <w:pPr>
        <w:kinsoku/>
        <w:wordWrap w:val="0"/>
        <w:spacing w:before="101" w:line="360" w:lineRule="auto"/>
        <w:ind w:left="2634"/>
        <w:outlineLvl w:val="1"/>
        <w:rPr>
          <w:rFonts w:hint="eastAsia" w:ascii="宋体" w:hAnsi="宋体" w:eastAsia="宋体" w:cs="宋体"/>
          <w:color w:val="auto"/>
          <w:sz w:val="21"/>
          <w:szCs w:val="21"/>
          <w:highlight w:val="none"/>
          <w:lang w:eastAsia="zh-CN"/>
        </w:rPr>
      </w:pPr>
      <w:bookmarkStart w:id="27" w:name="_Toc205824413"/>
      <w:r>
        <w:rPr>
          <w:rFonts w:hint="eastAsia" w:ascii="宋体" w:hAnsi="宋体" w:eastAsia="宋体" w:cs="宋体"/>
          <w:color w:val="auto"/>
          <w:sz w:val="21"/>
          <w:szCs w:val="21"/>
          <w:highlight w:val="none"/>
          <w:lang w:eastAsia="zh-CN"/>
        </w:rPr>
        <w:t>第三部分 合同专用条款</w:t>
      </w:r>
      <w:bookmarkEnd w:id="27"/>
    </w:p>
    <w:p w14:paraId="3A771B35">
      <w:pPr>
        <w:widowControl w:val="0"/>
        <w:kinsoku/>
        <w:wordWrap w:val="0"/>
        <w:spacing w:line="576" w:lineRule="exact"/>
        <w:jc w:val="center"/>
        <w:outlineLvl w:val="2"/>
        <w:rPr>
          <w:rFonts w:hint="eastAsia" w:ascii="宋体" w:hAnsi="宋体" w:eastAsia="宋体" w:cs="宋体"/>
          <w:color w:val="auto"/>
          <w:sz w:val="21"/>
          <w:szCs w:val="21"/>
          <w:highlight w:val="none"/>
          <w:lang w:eastAsia="zh-CN"/>
        </w:rPr>
      </w:pPr>
      <w:bookmarkStart w:id="28" w:name="bookmark106"/>
      <w:bookmarkEnd w:id="28"/>
      <w:r>
        <w:rPr>
          <w:rFonts w:hint="eastAsia" w:ascii="宋体" w:hAnsi="宋体" w:eastAsia="宋体" w:cs="宋体"/>
          <w:b/>
          <w:bCs/>
          <w:color w:val="auto"/>
          <w:sz w:val="21"/>
          <w:szCs w:val="21"/>
          <w:highlight w:val="none"/>
          <w:lang w:eastAsia="zh-CN"/>
        </w:rPr>
        <w:t>第一节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定义、解释和一般约定</w:t>
      </w:r>
    </w:p>
    <w:p w14:paraId="5CABA17C">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第一条  词语定义</w:t>
      </w:r>
    </w:p>
    <w:p w14:paraId="69D3316A">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1.1 合同</w:t>
      </w:r>
    </w:p>
    <w:p w14:paraId="565771A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1.1.5 其他合同文件，包括： </w:t>
      </w:r>
      <w:r>
        <w:rPr>
          <w:rFonts w:hint="eastAsia" w:ascii="宋体" w:hAnsi="宋体" w:eastAsia="宋体" w:cs="宋体"/>
          <w:color w:val="auto"/>
          <w:sz w:val="21"/>
          <w:szCs w:val="21"/>
          <w:highlight w:val="none"/>
          <w:u w:val="single"/>
          <w:lang w:eastAsia="zh-CN"/>
        </w:rPr>
        <w:t xml:space="preserve">       </w:t>
      </w:r>
    </w:p>
    <w:p w14:paraId="1846B4A7">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1.1.6 经双方协商增加的额外工作包括： </w:t>
      </w:r>
      <w:r>
        <w:rPr>
          <w:rFonts w:hint="eastAsia" w:ascii="宋体" w:hAnsi="宋体" w:eastAsia="宋体" w:cs="宋体"/>
          <w:color w:val="auto"/>
          <w:sz w:val="21"/>
          <w:szCs w:val="21"/>
          <w:highlight w:val="none"/>
          <w:u w:val="single"/>
          <w:lang w:eastAsia="zh-CN"/>
        </w:rPr>
        <w:t xml:space="preserve">                </w:t>
      </w:r>
    </w:p>
    <w:p w14:paraId="6A940DBF">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第二条  解释</w:t>
      </w:r>
    </w:p>
    <w:p w14:paraId="772B3722">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2.1 语言文字</w:t>
      </w:r>
    </w:p>
    <w:p w14:paraId="7C4D88B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本合同除使用汉语外，还使用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语言。</w:t>
      </w:r>
    </w:p>
    <w:p w14:paraId="1604EEB0">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2.2 法律</w:t>
      </w:r>
    </w:p>
    <w:p w14:paraId="33478DA5">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合同双方需要明示的法律、行政法规、地方性法规： </w:t>
      </w:r>
      <w:r>
        <w:rPr>
          <w:rFonts w:hint="eastAsia" w:ascii="宋体" w:hAnsi="宋体" w:eastAsia="宋体" w:cs="宋体"/>
          <w:color w:val="auto"/>
          <w:sz w:val="21"/>
          <w:szCs w:val="21"/>
          <w:highlight w:val="none"/>
          <w:u w:val="single"/>
          <w:lang w:eastAsia="zh-CN"/>
        </w:rPr>
        <w:t xml:space="preserve">      </w:t>
      </w:r>
    </w:p>
    <w:p w14:paraId="0A1A0B41">
      <w:pPr>
        <w:pStyle w:val="18"/>
        <w:widowControl w:val="0"/>
        <w:kinsoku/>
        <w:wordWrap w:val="0"/>
        <w:spacing w:line="576" w:lineRule="exact"/>
        <w:rPr>
          <w:rFonts w:hint="eastAsia" w:ascii="宋体" w:hAnsi="宋体" w:eastAsia="宋体" w:cs="宋体"/>
          <w:color w:val="auto"/>
          <w:sz w:val="21"/>
          <w:szCs w:val="21"/>
          <w:highlight w:val="none"/>
          <w:lang w:eastAsia="zh-CN"/>
        </w:rPr>
      </w:pPr>
    </w:p>
    <w:p w14:paraId="5357BD40">
      <w:pPr>
        <w:widowControl w:val="0"/>
        <w:kinsoku/>
        <w:wordWrap w:val="0"/>
        <w:spacing w:line="576" w:lineRule="exact"/>
        <w:ind w:left="2649"/>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第三节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合同双方的义务</w:t>
      </w:r>
    </w:p>
    <w:p w14:paraId="1A4616BE">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第六条  甲方义务</w:t>
      </w:r>
    </w:p>
    <w:p w14:paraId="341121E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6.3 办理有关手续</w:t>
      </w:r>
    </w:p>
    <w:p w14:paraId="2358D52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6.3.1 </w:t>
      </w:r>
      <w:r>
        <w:rPr>
          <w:rFonts w:hint="eastAsia" w:ascii="宋体" w:hAnsi="宋体" w:eastAsia="宋体" w:cs="宋体"/>
          <w:color w:val="auto"/>
          <w:sz w:val="21"/>
          <w:szCs w:val="21"/>
          <w:highlight w:val="none"/>
          <w:lang w:eastAsia="zh-CN"/>
        </w:rPr>
        <w:t xml:space="preserve">由甲方负责办理的有关手续是： </w:t>
      </w:r>
      <w:r>
        <w:rPr>
          <w:rFonts w:hint="eastAsia" w:ascii="宋体" w:hAnsi="宋体" w:eastAsia="宋体" w:cs="宋体"/>
          <w:color w:val="auto"/>
          <w:sz w:val="21"/>
          <w:szCs w:val="21"/>
          <w:highlight w:val="none"/>
          <w:u w:val="single"/>
          <w:lang w:eastAsia="zh-CN"/>
        </w:rPr>
        <w:t xml:space="preserve">                 </w:t>
      </w:r>
    </w:p>
    <w:p w14:paraId="3DD11684">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6.5.3  </w:t>
      </w:r>
      <w:r>
        <w:rPr>
          <w:rFonts w:hint="eastAsia" w:ascii="宋体" w:hAnsi="宋体" w:eastAsia="宋体" w:cs="宋体"/>
          <w:color w:val="auto"/>
          <w:sz w:val="21"/>
          <w:szCs w:val="21"/>
          <w:highlight w:val="none"/>
          <w:lang w:eastAsia="zh-CN"/>
        </w:rPr>
        <w:t xml:space="preserve">甲方指派负责人为：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，公民身份号码：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，联系电话：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，联系邮箱（接收往来函件）： </w:t>
      </w:r>
      <w:r>
        <w:rPr>
          <w:rFonts w:hint="eastAsia" w:ascii="宋体" w:hAnsi="宋体" w:eastAsia="宋体" w:cs="宋体"/>
          <w:color w:val="auto"/>
          <w:sz w:val="21"/>
          <w:szCs w:val="21"/>
          <w:highlight w:val="none"/>
          <w:u w:val="single"/>
          <w:lang w:eastAsia="zh-CN"/>
        </w:rPr>
        <w:t xml:space="preserve">            </w:t>
      </w:r>
    </w:p>
    <w:p w14:paraId="4B900E3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6.7 其他义务</w:t>
      </w:r>
    </w:p>
    <w:p w14:paraId="302EF9D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甲方应履行合同约定的其他义务： </w:t>
      </w:r>
      <w:r>
        <w:rPr>
          <w:rFonts w:hint="eastAsia" w:ascii="宋体" w:hAnsi="宋体" w:eastAsia="宋体" w:cs="宋体"/>
          <w:color w:val="auto"/>
          <w:sz w:val="21"/>
          <w:szCs w:val="21"/>
          <w:highlight w:val="none"/>
          <w:u w:val="single"/>
          <w:lang w:eastAsia="zh-CN"/>
        </w:rPr>
        <w:t xml:space="preserve">                     </w:t>
      </w:r>
    </w:p>
    <w:p w14:paraId="7C249224">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第七条  乙方义务</w:t>
      </w:r>
    </w:p>
    <w:p w14:paraId="68BC3EEC">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7.2 在代建周期内承担建设单位的义务和责任</w:t>
      </w:r>
    </w:p>
    <w:p w14:paraId="0012E6D0">
      <w:pPr>
        <w:pStyle w:val="18"/>
        <w:widowControl w:val="0"/>
        <w:kinsoku/>
        <w:wordWrap w:val="0"/>
        <w:spacing w:line="576" w:lineRule="exact"/>
        <w:ind w:firstLine="422"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b/>
          <w:bCs/>
          <w:color w:val="auto"/>
          <w:sz w:val="21"/>
          <w:szCs w:val="21"/>
          <w:highlight w:val="none"/>
          <w:lang w:eastAsia="zh-CN"/>
        </w:rPr>
        <w:t xml:space="preserve">7.2.9 </w:t>
      </w:r>
      <w:r>
        <w:rPr>
          <w:rFonts w:hint="eastAsia" w:ascii="宋体" w:hAnsi="宋体" w:eastAsia="宋体" w:cs="宋体"/>
          <w:color w:val="auto"/>
          <w:sz w:val="21"/>
          <w:szCs w:val="21"/>
          <w:highlight w:val="none"/>
          <w:lang w:eastAsia="zh-CN"/>
        </w:rPr>
        <w:t>在项目实施过程中落实技术创新包括：</w:t>
      </w:r>
      <w:r>
        <w:rPr>
          <w:rFonts w:hint="eastAsia" w:ascii="宋体" w:hAnsi="宋体" w:eastAsia="宋体" w:cs="宋体"/>
          <w:color w:val="auto"/>
          <w:sz w:val="21"/>
          <w:szCs w:val="21"/>
          <w:highlight w:val="none"/>
          <w:u w:val="single"/>
          <w:lang w:eastAsia="zh-CN"/>
        </w:rPr>
        <w:t xml:space="preserve">                    </w:t>
      </w:r>
    </w:p>
    <w:p w14:paraId="666CAD92">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7.2.10  </w:t>
      </w:r>
      <w:r>
        <w:rPr>
          <w:rFonts w:hint="eastAsia" w:ascii="宋体" w:hAnsi="宋体" w:eastAsia="宋体" w:cs="宋体"/>
          <w:color w:val="auto"/>
          <w:sz w:val="21"/>
          <w:szCs w:val="21"/>
          <w:highlight w:val="none"/>
          <w:lang w:eastAsia="zh-CN"/>
        </w:rPr>
        <w:t>实体移交证书颁发后，乙方仍应配合甲方做好有关工作，包括</w:t>
      </w:r>
      <w:r>
        <w:rPr>
          <w:rFonts w:hint="eastAsia" w:ascii="宋体" w:hAnsi="宋体" w:eastAsia="宋体" w:cs="宋体"/>
          <w:color w:val="auto"/>
          <w:sz w:val="21"/>
          <w:szCs w:val="21"/>
          <w:highlight w:val="none"/>
          <w:u w:val="single"/>
          <w:lang w:eastAsia="zh-CN"/>
        </w:rPr>
        <w:t xml:space="preserve">                                  </w:t>
      </w:r>
    </w:p>
    <w:p w14:paraId="69D1EBA1">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7.2.11 </w:t>
      </w:r>
      <w:r>
        <w:rPr>
          <w:rFonts w:hint="eastAsia" w:ascii="宋体" w:hAnsi="宋体" w:eastAsia="宋体" w:cs="宋体"/>
          <w:color w:val="auto"/>
          <w:sz w:val="21"/>
          <w:szCs w:val="21"/>
          <w:highlight w:val="none"/>
          <w:lang w:eastAsia="zh-CN"/>
        </w:rPr>
        <w:t xml:space="preserve">缺陷责任期设定时间应为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年（一般不超过2年），保修期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（分部分项工程）</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年，（分部分项工程）</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年。</w:t>
      </w:r>
    </w:p>
    <w:p w14:paraId="3057321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同时在与有关专业单位签订的合同中应明确：实体移交证书颁发后，发包人权力转由项目</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行使，剩余的质量保证金或质量保函同时转交项目</w:t>
      </w:r>
      <w:r>
        <w:rPr>
          <w:rFonts w:hint="eastAsia" w:ascii="宋体" w:hAnsi="宋体" w:eastAsia="宋体" w:cs="宋体"/>
          <w:color w:val="auto"/>
          <w:sz w:val="21"/>
          <w:szCs w:val="21"/>
          <w:highlight w:val="none"/>
          <w:lang w:val="en" w:eastAsia="zh-CN"/>
        </w:rPr>
        <w:t>建设单位</w:t>
      </w:r>
      <w:r>
        <w:rPr>
          <w:rFonts w:hint="eastAsia" w:ascii="宋体" w:hAnsi="宋体" w:eastAsia="宋体" w:cs="宋体"/>
          <w:color w:val="auto"/>
          <w:sz w:val="21"/>
          <w:szCs w:val="21"/>
          <w:highlight w:val="none"/>
          <w:lang w:eastAsia="zh-CN"/>
        </w:rPr>
        <w:t>。</w:t>
      </w:r>
    </w:p>
    <w:p w14:paraId="1321B1E5">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7.3 乙方人员的管理</w:t>
      </w:r>
    </w:p>
    <w:p w14:paraId="3381AFC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7.3.1 </w:t>
      </w:r>
      <w:r>
        <w:rPr>
          <w:rFonts w:hint="eastAsia" w:ascii="宋体" w:hAnsi="宋体" w:eastAsia="宋体" w:cs="宋体"/>
          <w:color w:val="auto"/>
          <w:sz w:val="21"/>
          <w:szCs w:val="21"/>
          <w:highlight w:val="none"/>
          <w:lang w:eastAsia="zh-CN"/>
        </w:rPr>
        <w:t>乙方代建管理团队人员（与招标文件、投标文件一致）：</w:t>
      </w:r>
    </w:p>
    <w:p w14:paraId="4E873A10">
      <w:pPr>
        <w:widowControl w:val="0"/>
        <w:kinsoku/>
        <w:wordWrap w:val="0"/>
        <w:spacing w:line="576" w:lineRule="exact"/>
        <w:rPr>
          <w:rFonts w:hint="eastAsia" w:ascii="宋体" w:hAnsi="宋体" w:eastAsia="宋体" w:cs="宋体"/>
          <w:color w:val="auto"/>
          <w:sz w:val="21"/>
          <w:szCs w:val="21"/>
          <w:highlight w:val="none"/>
          <w:lang w:eastAsia="zh-CN"/>
        </w:rPr>
      </w:pPr>
    </w:p>
    <w:tbl>
      <w:tblPr>
        <w:tblStyle w:val="304"/>
        <w:tblW w:w="90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3"/>
        <w:gridCol w:w="1281"/>
        <w:gridCol w:w="984"/>
        <w:gridCol w:w="1165"/>
        <w:gridCol w:w="2211"/>
        <w:gridCol w:w="1417"/>
        <w:gridCol w:w="1138"/>
      </w:tblGrid>
      <w:tr w14:paraId="3B4F9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522A7F76">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1985C322">
            <w:pPr>
              <w:widowControl w:val="0"/>
              <w:kinsoku/>
              <w:wordWrap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拟任岗位</w:t>
            </w:r>
          </w:p>
          <w:p w14:paraId="4D677237">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5F7DFDDF">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p>
        </w:tc>
        <w:tc>
          <w:tcPr>
            <w:tcW w:w="1165" w:type="dxa"/>
            <w:tcBorders>
              <w:top w:val="single" w:color="auto" w:sz="4" w:space="0"/>
              <w:left w:val="single" w:color="auto" w:sz="4" w:space="0"/>
              <w:bottom w:val="single" w:color="auto" w:sz="4" w:space="0"/>
              <w:right w:val="single" w:color="auto" w:sz="4" w:space="0"/>
            </w:tcBorders>
            <w:noWrap w:val="0"/>
            <w:vAlign w:val="center"/>
          </w:tcPr>
          <w:p w14:paraId="21711B7F">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是否常驻现场</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506134C">
            <w:pPr>
              <w:widowControl w:val="0"/>
              <w:kinsoku/>
              <w:wordWrap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是否承担本项目代建以外工作</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DA8DF6">
            <w:pPr>
              <w:widowControl w:val="0"/>
              <w:kinsoku/>
              <w:wordWrap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是否可能</w:t>
            </w:r>
          </w:p>
          <w:p w14:paraId="71978DCE">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变更</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72AE8A5">
            <w:pPr>
              <w:widowControl w:val="0"/>
              <w:kinsoku/>
              <w:wordWrap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1C1A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6B7DE85F">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5AD1F1A1">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14:paraId="7FCD6593">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78033F75">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582DDEE">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59DA725">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34F7A9F">
            <w:pPr>
              <w:pStyle w:val="307"/>
              <w:widowControl w:val="0"/>
              <w:kinsoku/>
              <w:wordWrap w:val="0"/>
              <w:spacing w:line="360" w:lineRule="exact"/>
              <w:jc w:val="center"/>
              <w:rPr>
                <w:rFonts w:hint="eastAsia" w:ascii="宋体" w:hAnsi="宋体" w:eastAsia="宋体" w:cs="宋体"/>
                <w:color w:val="auto"/>
                <w:sz w:val="21"/>
                <w:szCs w:val="21"/>
                <w:highlight w:val="none"/>
              </w:rPr>
            </w:pPr>
          </w:p>
        </w:tc>
      </w:tr>
      <w:tr w14:paraId="03B2B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0F2E8F3F">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183694E4">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14:paraId="68433A46">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47B15BF4">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5B41796">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0F0703E">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B607B75">
            <w:pPr>
              <w:pStyle w:val="307"/>
              <w:widowControl w:val="0"/>
              <w:kinsoku/>
              <w:wordWrap w:val="0"/>
              <w:spacing w:line="360" w:lineRule="exact"/>
              <w:jc w:val="center"/>
              <w:rPr>
                <w:rFonts w:hint="eastAsia" w:ascii="宋体" w:hAnsi="宋体" w:eastAsia="宋体" w:cs="宋体"/>
                <w:color w:val="auto"/>
                <w:sz w:val="21"/>
                <w:szCs w:val="21"/>
                <w:highlight w:val="none"/>
              </w:rPr>
            </w:pPr>
          </w:p>
        </w:tc>
      </w:tr>
      <w:tr w14:paraId="34E88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7076A28C">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42B7B48A">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14:paraId="15EB8DEE">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795CE97E">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0C1CCCA">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2B94E80">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9F81138">
            <w:pPr>
              <w:pStyle w:val="307"/>
              <w:widowControl w:val="0"/>
              <w:kinsoku/>
              <w:wordWrap w:val="0"/>
              <w:spacing w:line="360" w:lineRule="exact"/>
              <w:jc w:val="center"/>
              <w:rPr>
                <w:rFonts w:hint="eastAsia" w:ascii="宋体" w:hAnsi="宋体" w:eastAsia="宋体" w:cs="宋体"/>
                <w:color w:val="auto"/>
                <w:sz w:val="21"/>
                <w:szCs w:val="21"/>
                <w:highlight w:val="none"/>
              </w:rPr>
            </w:pPr>
          </w:p>
        </w:tc>
      </w:tr>
      <w:tr w14:paraId="2F217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43E2B36D">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696DAAAF">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14:paraId="50171684">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7DCE025E">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3764CDF">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16BEFE4">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14:paraId="5C6E5414">
            <w:pPr>
              <w:pStyle w:val="307"/>
              <w:widowControl w:val="0"/>
              <w:kinsoku/>
              <w:wordWrap w:val="0"/>
              <w:spacing w:line="360" w:lineRule="exact"/>
              <w:jc w:val="center"/>
              <w:rPr>
                <w:rFonts w:hint="eastAsia" w:ascii="宋体" w:hAnsi="宋体" w:eastAsia="宋体" w:cs="宋体"/>
                <w:color w:val="auto"/>
                <w:sz w:val="21"/>
                <w:szCs w:val="21"/>
                <w:highlight w:val="none"/>
              </w:rPr>
            </w:pPr>
          </w:p>
        </w:tc>
      </w:tr>
      <w:tr w14:paraId="0270F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873" w:type="dxa"/>
            <w:tcBorders>
              <w:top w:val="single" w:color="auto" w:sz="4" w:space="0"/>
              <w:left w:val="single" w:color="auto" w:sz="4" w:space="0"/>
              <w:bottom w:val="single" w:color="auto" w:sz="4" w:space="0"/>
              <w:right w:val="single" w:color="auto" w:sz="4" w:space="0"/>
            </w:tcBorders>
            <w:noWrap w:val="0"/>
            <w:vAlign w:val="center"/>
          </w:tcPr>
          <w:p w14:paraId="26ACF7AB">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04C02523">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14:paraId="374ED44D">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49661B60">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3C97FA0">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A018348">
            <w:pPr>
              <w:pStyle w:val="307"/>
              <w:widowControl w:val="0"/>
              <w:kinsoku/>
              <w:wordWrap w:val="0"/>
              <w:spacing w:line="360" w:lineRule="exact"/>
              <w:jc w:val="center"/>
              <w:rPr>
                <w:rFonts w:hint="eastAsia" w:ascii="宋体" w:hAnsi="宋体" w:eastAsia="宋体" w:cs="宋体"/>
                <w:color w:val="auto"/>
                <w:sz w:val="21"/>
                <w:szCs w:val="21"/>
                <w:highlight w:val="none"/>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313587A">
            <w:pPr>
              <w:pStyle w:val="307"/>
              <w:widowControl w:val="0"/>
              <w:kinsoku/>
              <w:wordWrap w:val="0"/>
              <w:spacing w:line="360" w:lineRule="exact"/>
              <w:jc w:val="center"/>
              <w:rPr>
                <w:rFonts w:hint="eastAsia" w:ascii="宋体" w:hAnsi="宋体" w:eastAsia="宋体" w:cs="宋体"/>
                <w:color w:val="auto"/>
                <w:sz w:val="21"/>
                <w:szCs w:val="21"/>
                <w:highlight w:val="none"/>
              </w:rPr>
            </w:pPr>
          </w:p>
        </w:tc>
      </w:tr>
    </w:tbl>
    <w:p w14:paraId="01117B3D">
      <w:pPr>
        <w:widowControl w:val="0"/>
        <w:kinsoku/>
        <w:wordWrap w:val="0"/>
        <w:spacing w:line="576" w:lineRule="exact"/>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乙方联系人为项目经理，联系电话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，联系邮箱（接收往来函件）： </w:t>
      </w:r>
      <w:r>
        <w:rPr>
          <w:rFonts w:hint="eastAsia" w:ascii="宋体" w:hAnsi="宋体" w:eastAsia="宋体" w:cs="宋体"/>
          <w:color w:val="auto"/>
          <w:sz w:val="21"/>
          <w:szCs w:val="21"/>
          <w:highlight w:val="none"/>
          <w:u w:val="single"/>
          <w:lang w:eastAsia="zh-CN"/>
        </w:rPr>
        <w:t xml:space="preserve">            </w:t>
      </w:r>
    </w:p>
    <w:p w14:paraId="428BDB42">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7.5 报告制度和监督</w:t>
      </w:r>
    </w:p>
    <w:p w14:paraId="0025C39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乙方应每月向甲方和代建主管部门对项目实施情况进行书面报告的时间：5号以前，报告的份数为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；遇到重大事项应提前3天报告。</w:t>
      </w:r>
    </w:p>
    <w:p w14:paraId="1C83F7E4">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本项目重大事项是指：项目初步设计方案评审、初步设计概算评审、项目开工、项目招标和政府采购活动、重大设计变更论证、概算调整、项目竣工验收、项目实体移交以及等事项。</w:t>
      </w:r>
    </w:p>
    <w:p w14:paraId="3F7095A7">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7.6 其他义务</w:t>
      </w:r>
    </w:p>
    <w:p w14:paraId="20DAB609">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乙方应履行合同约定的其他义务： </w:t>
      </w:r>
      <w:r>
        <w:rPr>
          <w:rFonts w:hint="eastAsia" w:ascii="宋体" w:hAnsi="宋体" w:eastAsia="宋体" w:cs="宋体"/>
          <w:color w:val="auto"/>
          <w:sz w:val="21"/>
          <w:szCs w:val="21"/>
          <w:highlight w:val="none"/>
          <w:u w:val="single"/>
          <w:lang w:eastAsia="zh-CN"/>
        </w:rPr>
        <w:t xml:space="preserve">                      </w:t>
      </w:r>
    </w:p>
    <w:p w14:paraId="09487429">
      <w:pPr>
        <w:widowControl w:val="0"/>
        <w:kinsoku/>
        <w:wordWrap w:val="0"/>
        <w:spacing w:line="576" w:lineRule="exact"/>
        <w:ind w:left="2811"/>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第四节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代建过程管理</w:t>
      </w:r>
    </w:p>
    <w:p w14:paraId="5A57BBB9">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第十二条  代建服务费支付与调整</w:t>
      </w:r>
    </w:p>
    <w:p w14:paraId="736F93BE">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12.2 预付款</w:t>
      </w:r>
    </w:p>
    <w:p w14:paraId="27E9C77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本合同的预付款为：代建服务费的</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%（30%-40%之间）；</w:t>
      </w:r>
      <w:r>
        <w:rPr>
          <w:rFonts w:hint="eastAsia" w:ascii="宋体" w:hAnsi="宋体" w:eastAsia="宋体" w:cs="宋体"/>
          <w:color w:val="auto"/>
          <w:spacing w:val="-6"/>
          <w:sz w:val="21"/>
          <w:szCs w:val="21"/>
          <w:highlight w:val="none"/>
          <w:lang w:eastAsia="zh-CN"/>
        </w:rPr>
        <w:t>合同生效后，乙方向甲方提出书面支付申请和支付凭证，甲方在</w:t>
      </w:r>
      <w:r>
        <w:rPr>
          <w:rFonts w:hint="eastAsia" w:ascii="宋体" w:hAnsi="宋体" w:eastAsia="宋体" w:cs="宋体"/>
          <w:color w:val="auto"/>
          <w:spacing w:val="-6"/>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个工作日（3-5个）内报请财政支付。</w:t>
      </w:r>
    </w:p>
    <w:p w14:paraId="44CD3DD8">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12.3 进度付款</w:t>
      </w:r>
    </w:p>
    <w:p w14:paraId="623132D0">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□建筑工程：</w:t>
      </w:r>
    </w:p>
    <w:p w14:paraId="1D100B4E">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主体工程基础完工后，乙方向甲方提出书面支付申请和支付凭证，甲方在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个工作日（7-10个）内，报请财政支付依据批复的投资估算核定代建服务费总金额的20%；</w:t>
      </w:r>
    </w:p>
    <w:p w14:paraId="1E0FDD9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主体工程封顶后，乙方向甲方提出书面支付申请和支付凭证，甲方在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个工作日（7-10个）内，报请财政支付依据批复的投资估算核定代建服务费总金额的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%（10% -20%）；</w:t>
      </w:r>
    </w:p>
    <w:p w14:paraId="401573DA">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工程整体竣工验收合格后，乙方向甲方提出书面支付申请和支付凭证，甲方在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个工作日（7-10个）内，报请财政支付依据批复的初步设计概算核定代建服务费总金额的27%；</w:t>
      </w:r>
    </w:p>
    <w:p w14:paraId="7AB672E6">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余款（代建服务费总额的3%）待代建范围内工程决算完成后的180日内付清。</w:t>
      </w:r>
    </w:p>
    <w:p w14:paraId="2606A570">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□其他工程按有关行业特点或有关规定约定：</w:t>
      </w:r>
    </w:p>
    <w:p w14:paraId="729EFA51">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（可参照建筑工程进度付款拟定）</w:t>
      </w:r>
      <w:r>
        <w:rPr>
          <w:rFonts w:hint="eastAsia" w:ascii="宋体" w:hAnsi="宋体" w:eastAsia="宋体" w:cs="宋体"/>
          <w:color w:val="auto"/>
          <w:sz w:val="21"/>
          <w:szCs w:val="21"/>
          <w:highlight w:val="none"/>
          <w:u w:val="single"/>
          <w:lang w:eastAsia="zh-CN"/>
        </w:rPr>
        <w:t xml:space="preserve">                     </w:t>
      </w:r>
    </w:p>
    <w:p w14:paraId="7C3CB870">
      <w:pPr>
        <w:pStyle w:val="18"/>
        <w:widowControl w:val="0"/>
        <w:kinsoku/>
        <w:wordWrap w:val="0"/>
        <w:spacing w:line="576" w:lineRule="exact"/>
        <w:rPr>
          <w:rFonts w:hint="eastAsia" w:ascii="宋体" w:hAnsi="宋体" w:eastAsia="宋体" w:cs="宋体"/>
          <w:color w:val="auto"/>
          <w:sz w:val="21"/>
          <w:szCs w:val="21"/>
          <w:highlight w:val="none"/>
          <w:lang w:eastAsia="zh-CN"/>
        </w:rPr>
      </w:pPr>
    </w:p>
    <w:p w14:paraId="50B24D78">
      <w:pPr>
        <w:widowControl w:val="0"/>
        <w:kinsoku/>
        <w:wordWrap w:val="0"/>
        <w:spacing w:line="576" w:lineRule="exact"/>
        <w:ind w:left="3125"/>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第五节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不可抗力</w:t>
      </w:r>
    </w:p>
    <w:p w14:paraId="12270E1D">
      <w:pPr>
        <w:widowControl w:val="0"/>
        <w:kinsoku/>
        <w:wordWrap w:val="0"/>
        <w:spacing w:line="576" w:lineRule="exact"/>
        <w:ind w:left="638"/>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第十四条  不可抗力</w:t>
      </w:r>
    </w:p>
    <w:p w14:paraId="611DC563">
      <w:pPr>
        <w:widowControl w:val="0"/>
        <w:kinsoku/>
        <w:wordWrap w:val="0"/>
        <w:spacing w:line="576" w:lineRule="exact"/>
        <w:ind w:left="646"/>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14.1 不可抗力的确认</w:t>
      </w:r>
    </w:p>
    <w:p w14:paraId="61C7A8C3">
      <w:pPr>
        <w:widowControl w:val="0"/>
        <w:kinsoku/>
        <w:wordWrap w:val="0"/>
        <w:spacing w:line="576" w:lineRule="exact"/>
        <w:ind w:left="646"/>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14.1.1 </w:t>
      </w:r>
      <w:r>
        <w:rPr>
          <w:rFonts w:hint="eastAsia" w:ascii="宋体" w:hAnsi="宋体" w:eastAsia="宋体" w:cs="宋体"/>
          <w:color w:val="auto"/>
          <w:sz w:val="21"/>
          <w:szCs w:val="21"/>
          <w:highlight w:val="none"/>
          <w:lang w:eastAsia="zh-CN"/>
        </w:rPr>
        <w:t xml:space="preserve">不可抗力还包括： </w:t>
      </w:r>
      <w:r>
        <w:rPr>
          <w:rFonts w:hint="eastAsia" w:ascii="宋体" w:hAnsi="宋体" w:eastAsia="宋体" w:cs="宋体"/>
          <w:color w:val="auto"/>
          <w:sz w:val="21"/>
          <w:szCs w:val="21"/>
          <w:highlight w:val="none"/>
          <w:u w:val="single"/>
          <w:lang w:eastAsia="zh-CN"/>
        </w:rPr>
        <w:t xml:space="preserve">                            </w:t>
      </w:r>
    </w:p>
    <w:p w14:paraId="28BCB3E3">
      <w:pPr>
        <w:widowControl w:val="0"/>
        <w:kinsoku/>
        <w:wordWrap w:val="0"/>
        <w:spacing w:line="576" w:lineRule="exact"/>
        <w:ind w:left="646"/>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14.3 不可抗力后果及处理的其他约定为：</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u w:val="single"/>
          <w:lang w:eastAsia="zh-CN"/>
        </w:rPr>
        <w:t xml:space="preserve">              </w:t>
      </w:r>
    </w:p>
    <w:p w14:paraId="0B58AFEA">
      <w:pPr>
        <w:widowControl w:val="0"/>
        <w:kinsoku/>
        <w:wordWrap w:val="0"/>
        <w:spacing w:line="576" w:lineRule="exact"/>
        <w:jc w:val="center"/>
        <w:outlineLvl w:val="2"/>
        <w:rPr>
          <w:rFonts w:hint="eastAsia" w:ascii="宋体" w:hAnsi="宋体" w:eastAsia="宋体" w:cs="宋体"/>
          <w:b/>
          <w:bCs/>
          <w:color w:val="auto"/>
          <w:sz w:val="21"/>
          <w:szCs w:val="21"/>
          <w:highlight w:val="none"/>
          <w:lang w:eastAsia="zh-CN"/>
        </w:rPr>
      </w:pPr>
    </w:p>
    <w:p w14:paraId="00B0CAB4">
      <w:pPr>
        <w:widowControl w:val="0"/>
        <w:kinsoku/>
        <w:wordWrap w:val="0"/>
        <w:spacing w:line="576" w:lineRule="exact"/>
        <w:jc w:val="center"/>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第六节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履约担保、违约及赔偿责任和争议解决</w:t>
      </w:r>
    </w:p>
    <w:p w14:paraId="05371F35">
      <w:pPr>
        <w:widowControl w:val="0"/>
        <w:kinsoku/>
        <w:wordWrap w:val="0"/>
        <w:spacing w:line="576" w:lineRule="exact"/>
        <w:ind w:firstLine="422" w:firstLineChars="200"/>
        <w:jc w:val="both"/>
        <w:outlineLvl w:val="3"/>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第十五条  履约担保</w:t>
      </w:r>
    </w:p>
    <w:p w14:paraId="713EEFFB">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15.1 履约担保</w:t>
      </w:r>
    </w:p>
    <w:p w14:paraId="7D25D6B5">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15.1.1 </w:t>
      </w:r>
      <w:r>
        <w:rPr>
          <w:rFonts w:hint="eastAsia" w:ascii="宋体" w:hAnsi="宋体" w:eastAsia="宋体" w:cs="宋体"/>
          <w:color w:val="auto"/>
          <w:sz w:val="21"/>
          <w:szCs w:val="21"/>
          <w:highlight w:val="none"/>
          <w:lang w:eastAsia="zh-CN"/>
        </w:rPr>
        <w:t>乙方向甲方提交的银行或第三方担保机构出具的担保函</w:t>
      </w:r>
      <w:r>
        <w:rPr>
          <w:rFonts w:hint="eastAsia" w:ascii="宋体" w:hAnsi="宋体" w:eastAsia="宋体" w:cs="宋体"/>
          <w:color w:val="auto"/>
          <w:spacing w:val="-8"/>
          <w:sz w:val="21"/>
          <w:szCs w:val="21"/>
          <w:highlight w:val="none"/>
          <w:lang w:eastAsia="zh-CN"/>
        </w:rPr>
        <w:t>履约担保额度为</w:t>
      </w:r>
      <w:r>
        <w:rPr>
          <w:rFonts w:hint="eastAsia" w:ascii="宋体" w:hAnsi="宋体" w:eastAsia="宋体" w:cs="宋体"/>
          <w:color w:val="auto"/>
          <w:spacing w:val="-8"/>
          <w:sz w:val="21"/>
          <w:szCs w:val="21"/>
          <w:highlight w:val="none"/>
          <w:u w:val="single"/>
          <w:lang w:eastAsia="zh-CN"/>
        </w:rPr>
        <w:t xml:space="preserve">  </w:t>
      </w:r>
      <w:r>
        <w:rPr>
          <w:rFonts w:hint="eastAsia" w:ascii="宋体" w:hAnsi="宋体" w:eastAsia="宋体" w:cs="宋体"/>
          <w:color w:val="auto"/>
          <w:spacing w:val="-8"/>
          <w:sz w:val="21"/>
          <w:szCs w:val="21"/>
          <w:highlight w:val="none"/>
          <w:lang w:eastAsia="zh-CN"/>
        </w:rPr>
        <w:t>万元</w:t>
      </w:r>
      <w:r>
        <w:rPr>
          <w:rFonts w:hint="eastAsia" w:ascii="宋体" w:hAnsi="宋体" w:eastAsia="宋体" w:cs="宋体"/>
          <w:color w:val="auto"/>
          <w:spacing w:val="-10"/>
          <w:sz w:val="21"/>
          <w:szCs w:val="21"/>
          <w:highlight w:val="none"/>
          <w:lang w:eastAsia="zh-CN"/>
        </w:rPr>
        <w:t>（履约担保金额比率为项目估算总投资的</w:t>
      </w:r>
      <w:r>
        <w:rPr>
          <w:rFonts w:hint="eastAsia" w:ascii="宋体" w:hAnsi="宋体" w:eastAsia="宋体" w:cs="宋体"/>
          <w:color w:val="auto"/>
          <w:spacing w:val="-10"/>
          <w:sz w:val="21"/>
          <w:szCs w:val="21"/>
          <w:highlight w:val="none"/>
          <w:u w:val="single"/>
          <w:lang w:eastAsia="zh-CN"/>
        </w:rPr>
        <w:t xml:space="preserve">  </w:t>
      </w:r>
      <w:r>
        <w:rPr>
          <w:rFonts w:hint="eastAsia" w:ascii="宋体" w:hAnsi="宋体" w:eastAsia="宋体" w:cs="宋体"/>
          <w:color w:val="auto"/>
          <w:spacing w:val="-10"/>
          <w:sz w:val="21"/>
          <w:szCs w:val="21"/>
          <w:highlight w:val="none"/>
          <w:lang w:eastAsia="zh-CN"/>
        </w:rPr>
        <w:t>%）</w:t>
      </w:r>
      <w:r>
        <w:rPr>
          <w:rFonts w:hint="eastAsia" w:ascii="宋体" w:hAnsi="宋体" w:eastAsia="宋体" w:cs="宋体"/>
          <w:color w:val="auto"/>
          <w:sz w:val="21"/>
          <w:szCs w:val="21"/>
          <w:highlight w:val="none"/>
          <w:lang w:eastAsia="zh-CN"/>
        </w:rPr>
        <w:t>。</w:t>
      </w:r>
    </w:p>
    <w:p w14:paraId="4A5EDE3C">
      <w:pPr>
        <w:widowControl w:val="0"/>
        <w:kinsoku/>
        <w:wordWrap w:val="0"/>
        <w:spacing w:line="576" w:lineRule="exact"/>
        <w:ind w:firstLine="422" w:firstLineChars="200"/>
        <w:jc w:val="both"/>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第十六条</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违约及赔偿责任</w:t>
      </w:r>
    </w:p>
    <w:p w14:paraId="394BA2E3">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16.1 甲方违约</w:t>
      </w:r>
    </w:p>
    <w:p w14:paraId="3946F23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16.1.1 </w:t>
      </w:r>
      <w:r>
        <w:rPr>
          <w:rFonts w:hint="eastAsia" w:ascii="宋体" w:hAnsi="宋体" w:eastAsia="宋体" w:cs="宋体"/>
          <w:color w:val="auto"/>
          <w:sz w:val="21"/>
          <w:szCs w:val="21"/>
          <w:highlight w:val="none"/>
          <w:lang w:eastAsia="zh-CN"/>
        </w:rPr>
        <w:t>甲方违约的情形</w:t>
      </w:r>
    </w:p>
    <w:p w14:paraId="59253C9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（2）对乙方签认报请支付专业单位款项，甲方应在3个工作日内向财政申请支付。</w:t>
      </w:r>
    </w:p>
    <w:p w14:paraId="2792641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（4）甲方设备选型、材料选择的时限为：15日。</w:t>
      </w:r>
    </w:p>
    <w:p w14:paraId="57DC618F">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（5）甲方应在7日内对乙方书面提交并要求作出决定的事宜予以书面答复。</w:t>
      </w:r>
    </w:p>
    <w:p w14:paraId="03403A38">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（8）甲方不履行合同约定其他义务的情形： </w:t>
      </w:r>
      <w:r>
        <w:rPr>
          <w:rFonts w:hint="eastAsia" w:ascii="宋体" w:hAnsi="宋体" w:eastAsia="宋体" w:cs="宋体"/>
          <w:color w:val="auto"/>
          <w:sz w:val="21"/>
          <w:szCs w:val="21"/>
          <w:highlight w:val="none"/>
          <w:u w:val="single"/>
          <w:lang w:eastAsia="zh-CN"/>
        </w:rPr>
        <w:t xml:space="preserve">             </w:t>
      </w:r>
    </w:p>
    <w:p w14:paraId="6B8A49F8">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16.2 乙方违约</w:t>
      </w:r>
    </w:p>
    <w:p w14:paraId="52175F1E">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16.2.1 </w:t>
      </w:r>
      <w:r>
        <w:rPr>
          <w:rFonts w:hint="eastAsia" w:ascii="宋体" w:hAnsi="宋体" w:eastAsia="宋体" w:cs="宋体"/>
          <w:color w:val="auto"/>
          <w:sz w:val="21"/>
          <w:szCs w:val="21"/>
          <w:highlight w:val="none"/>
          <w:lang w:eastAsia="zh-CN"/>
        </w:rPr>
        <w:t>乙方违约的情形</w:t>
      </w:r>
    </w:p>
    <w:p w14:paraId="0B53358A">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（9）乙方不按合同约定履行义务的其他情况： </w:t>
      </w:r>
      <w:r>
        <w:rPr>
          <w:rFonts w:hint="eastAsia" w:ascii="宋体" w:hAnsi="宋体" w:eastAsia="宋体" w:cs="宋体"/>
          <w:color w:val="auto"/>
          <w:sz w:val="21"/>
          <w:szCs w:val="21"/>
          <w:highlight w:val="none"/>
          <w:u w:val="single"/>
          <w:lang w:eastAsia="zh-CN"/>
        </w:rPr>
        <w:t xml:space="preserve">           </w:t>
      </w:r>
    </w:p>
    <w:p w14:paraId="24A424DD">
      <w:pPr>
        <w:widowControl w:val="0"/>
        <w:kinsoku/>
        <w:wordWrap w:val="0"/>
        <w:spacing w:line="576" w:lineRule="exact"/>
        <w:ind w:firstLine="422" w:firstLineChars="200"/>
        <w:jc w:val="both"/>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 违约处理及赔偿责任</w:t>
      </w:r>
    </w:p>
    <w:p w14:paraId="4C426116">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16.3.1 甲方的违约处理</w:t>
      </w:r>
    </w:p>
    <w:p w14:paraId="52F0B278">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12"/>
          <w:sz w:val="21"/>
          <w:szCs w:val="21"/>
          <w:highlight w:val="none"/>
          <w:lang w:eastAsia="zh-CN"/>
        </w:rPr>
        <w:t>因甲方违约造成工期延误的，每超过一天，甲方应支</w:t>
      </w:r>
      <w:r>
        <w:rPr>
          <w:rFonts w:hint="eastAsia" w:ascii="宋体" w:hAnsi="宋体" w:eastAsia="宋体" w:cs="宋体"/>
          <w:color w:val="auto"/>
          <w:sz w:val="21"/>
          <w:szCs w:val="21"/>
          <w:highlight w:val="none"/>
          <w:lang w:eastAsia="zh-CN"/>
        </w:rPr>
        <w:t>付</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元的违约金。</w:t>
      </w:r>
    </w:p>
    <w:p w14:paraId="37805E2F">
      <w:pPr>
        <w:widowControl w:val="0"/>
        <w:kinsoku/>
        <w:wordWrap w:val="0"/>
        <w:spacing w:line="576" w:lineRule="exact"/>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16.3.2 乙方的违约处理</w:t>
      </w:r>
    </w:p>
    <w:p w14:paraId="5242DB0A">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（1）发生16.2.1中（1）-（3）种情形，未按甲方要求按期整改到位的，每次对乙方处</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万元（1-3万元，违约金总和不超过代建服务费）违约金。</w:t>
      </w:r>
    </w:p>
    <w:p w14:paraId="24D80233">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（5）乙方按每天</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元向甲方支付工期延误赔偿。</w:t>
      </w:r>
    </w:p>
    <w:p w14:paraId="760B26A8">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（6）发生质量安全责任事故乙方被认定承担管理责任的，乙方按事故损失10%的比例向甲方赔偿，并承担其他法定责任。</w:t>
      </w:r>
    </w:p>
    <w:p w14:paraId="2E89F45D">
      <w:pPr>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（7）乙方不按时履行缺陷责任期内组织维修义务的，每次处以</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万元（1-3万元）违约金。</w:t>
      </w:r>
    </w:p>
    <w:p w14:paraId="07AC7E11">
      <w:pPr>
        <w:widowControl w:val="0"/>
        <w:kinsoku/>
        <w:wordWrap w:val="0"/>
        <w:spacing w:line="576" w:lineRule="exact"/>
        <w:ind w:left="3921"/>
        <w:outlineLvl w:val="2"/>
        <w:rPr>
          <w:rFonts w:hint="eastAsia" w:ascii="宋体" w:hAnsi="宋体" w:eastAsia="宋体" w:cs="宋体"/>
          <w:b/>
          <w:bCs/>
          <w:color w:val="auto"/>
          <w:sz w:val="21"/>
          <w:szCs w:val="21"/>
          <w:highlight w:val="none"/>
          <w:lang w:eastAsia="zh-CN"/>
        </w:rPr>
      </w:pPr>
    </w:p>
    <w:p w14:paraId="5CADE91C">
      <w:pPr>
        <w:widowControl w:val="0"/>
        <w:kinsoku/>
        <w:wordWrap w:val="0"/>
        <w:spacing w:line="576" w:lineRule="exact"/>
        <w:jc w:val="center"/>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第七节 奖励</w:t>
      </w:r>
    </w:p>
    <w:p w14:paraId="3C71E923">
      <w:pPr>
        <w:widowControl w:val="0"/>
        <w:kinsoku/>
        <w:wordWrap w:val="0"/>
        <w:spacing w:line="556" w:lineRule="exact"/>
        <w:ind w:left="646"/>
        <w:jc w:val="both"/>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第十八条</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奖励</w:t>
      </w:r>
    </w:p>
    <w:p w14:paraId="05A27D69">
      <w:pPr>
        <w:widowControl w:val="0"/>
        <w:kinsoku/>
        <w:wordWrap w:val="0"/>
        <w:spacing w:line="576" w:lineRule="exact"/>
        <w:ind w:left="12" w:right="91" w:firstLine="626"/>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18.2 </w:t>
      </w:r>
      <w:r>
        <w:rPr>
          <w:rFonts w:hint="eastAsia" w:ascii="宋体" w:hAnsi="宋体" w:eastAsia="宋体" w:cs="宋体"/>
          <w:color w:val="auto"/>
          <w:sz w:val="21"/>
          <w:szCs w:val="21"/>
          <w:highlight w:val="none"/>
          <w:lang w:eastAsia="zh-CN"/>
        </w:rPr>
        <w:t xml:space="preserve">本项目获得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奖项（国家级）的，甲方奖励乙方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万元；本项目获得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奖项（省级）的，甲方奖励乙方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万元。</w:t>
      </w:r>
    </w:p>
    <w:p w14:paraId="1F5D3371">
      <w:pPr>
        <w:widowControl w:val="0"/>
        <w:kinsoku/>
        <w:wordWrap w:val="0"/>
        <w:spacing w:line="576" w:lineRule="exact"/>
        <w:ind w:left="12" w:right="89" w:firstLine="626"/>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18.4 </w:t>
      </w:r>
      <w:r>
        <w:rPr>
          <w:rFonts w:hint="eastAsia" w:ascii="宋体" w:hAnsi="宋体" w:eastAsia="宋体" w:cs="宋体"/>
          <w:color w:val="auto"/>
          <w:sz w:val="21"/>
          <w:szCs w:val="21"/>
          <w:highlight w:val="none"/>
          <w:lang w:eastAsia="zh-CN"/>
        </w:rPr>
        <w:t>按照</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比例（不高于代建服务费10%的比例）对乙方实行奖励，最终以核定的金额为准。</w:t>
      </w:r>
    </w:p>
    <w:p w14:paraId="7E03CE8D">
      <w:pPr>
        <w:widowControl w:val="0"/>
        <w:kinsoku/>
        <w:wordWrap w:val="0"/>
        <w:spacing w:line="576" w:lineRule="exact"/>
        <w:ind w:left="12" w:right="91" w:firstLine="626"/>
        <w:rPr>
          <w:rFonts w:hint="eastAsia" w:ascii="宋体" w:hAnsi="宋体" w:eastAsia="宋体" w:cs="宋体"/>
          <w:color w:val="auto"/>
          <w:sz w:val="21"/>
          <w:szCs w:val="21"/>
          <w:highlight w:val="none"/>
          <w:lang w:eastAsia="zh-CN"/>
        </w:rPr>
      </w:pPr>
    </w:p>
    <w:p w14:paraId="76769382">
      <w:pPr>
        <w:widowControl w:val="0"/>
        <w:kinsoku/>
        <w:wordWrap w:val="0"/>
        <w:spacing w:line="596" w:lineRule="exact"/>
        <w:jc w:val="center"/>
        <w:outlineLvl w:val="2"/>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第八节</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合同的生效与失效、变更、</w:t>
      </w:r>
    </w:p>
    <w:p w14:paraId="6F4132AE">
      <w:pPr>
        <w:widowControl w:val="0"/>
        <w:kinsoku/>
        <w:wordWrap w:val="0"/>
        <w:spacing w:line="576" w:lineRule="exact"/>
        <w:jc w:val="center"/>
        <w:outlineLvl w:val="2"/>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中止与恢复、合同终止、补充</w:t>
      </w:r>
    </w:p>
    <w:p w14:paraId="5ED8976D">
      <w:pPr>
        <w:widowControl w:val="0"/>
        <w:kinsoku/>
        <w:wordWrap w:val="0"/>
        <w:spacing w:line="576" w:lineRule="exact"/>
        <w:jc w:val="both"/>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第十九条</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b/>
          <w:bCs/>
          <w:color w:val="auto"/>
          <w:sz w:val="21"/>
          <w:szCs w:val="21"/>
          <w:highlight w:val="none"/>
          <w:lang w:eastAsia="zh-CN"/>
        </w:rPr>
        <w:t>合同的生效与失效、变更、中止与恢复、合同终止、补充</w:t>
      </w:r>
    </w:p>
    <w:p w14:paraId="4E00300E">
      <w:pPr>
        <w:widowControl w:val="0"/>
        <w:kinsoku/>
        <w:wordWrap w:val="0"/>
        <w:spacing w:line="576" w:lineRule="exact"/>
        <w:ind w:left="639"/>
        <w:jc w:val="both"/>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19.5 补充条款</w:t>
      </w:r>
    </w:p>
    <w:p w14:paraId="6ECCAFFF">
      <w:pPr>
        <w:widowControl w:val="0"/>
        <w:kinsoku/>
        <w:wordWrap w:val="0"/>
        <w:spacing w:line="576" w:lineRule="exact"/>
        <w:ind w:left="639"/>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19.5.1 </w:t>
      </w:r>
      <w:r>
        <w:rPr>
          <w:rFonts w:hint="eastAsia" w:ascii="宋体" w:hAnsi="宋体" w:eastAsia="宋体" w:cs="宋体"/>
          <w:color w:val="auto"/>
          <w:sz w:val="21"/>
          <w:szCs w:val="21"/>
          <w:highlight w:val="none"/>
          <w:lang w:eastAsia="zh-CN"/>
        </w:rPr>
        <w:t xml:space="preserve">项目节能要求：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44304DC1">
      <w:pPr>
        <w:widowControl w:val="0"/>
        <w:kinsoku/>
        <w:wordWrap w:val="0"/>
        <w:spacing w:line="576" w:lineRule="exact"/>
        <w:ind w:left="639"/>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19.5.2 </w:t>
      </w:r>
      <w:r>
        <w:rPr>
          <w:rFonts w:hint="eastAsia" w:ascii="宋体" w:hAnsi="宋体" w:eastAsia="宋体" w:cs="宋体"/>
          <w:color w:val="auto"/>
          <w:sz w:val="21"/>
          <w:szCs w:val="21"/>
          <w:highlight w:val="none"/>
          <w:lang w:eastAsia="zh-CN"/>
        </w:rPr>
        <w:t xml:space="preserve">项目绿色建筑要求：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0E43C8F2">
      <w:pPr>
        <w:widowControl w:val="0"/>
        <w:kinsoku/>
        <w:wordWrap w:val="0"/>
        <w:spacing w:line="576" w:lineRule="exact"/>
        <w:ind w:left="639"/>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19.5.3 </w:t>
      </w:r>
      <w:r>
        <w:rPr>
          <w:rFonts w:hint="eastAsia" w:ascii="宋体" w:hAnsi="宋体" w:eastAsia="宋体" w:cs="宋体"/>
          <w:color w:val="auto"/>
          <w:sz w:val="21"/>
          <w:szCs w:val="21"/>
          <w:highlight w:val="none"/>
          <w:lang w:eastAsia="zh-CN"/>
        </w:rPr>
        <w:t>资金管理</w:t>
      </w:r>
    </w:p>
    <w:p w14:paraId="681442FB">
      <w:pPr>
        <w:pStyle w:val="18"/>
        <w:widowControl w:val="0"/>
        <w:kinsoku/>
        <w:wordWrap w:val="0"/>
        <w:spacing w:line="576"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（1）甲方和乙方双方互相监督项目建设资金的使用，费用支付应当经双方授权的人员签字盖章。</w:t>
      </w:r>
    </w:p>
    <w:p w14:paraId="56C710DB">
      <w:pPr>
        <w:pageBreakBefore w:val="0"/>
        <w:widowControl w:val="0"/>
        <w:kinsoku/>
        <w:overflowPunct w:val="0"/>
        <w:topLinePunct w:val="0"/>
        <w:autoSpaceDE/>
        <w:autoSpaceDN/>
        <w:bidi w:val="0"/>
        <w:spacing w:line="400" w:lineRule="exact"/>
        <w:ind w:left="0" w:right="-197" w:firstLine="0" w:firstLineChars="0"/>
        <w:jc w:val="both"/>
        <w:textAlignment w:val="auto"/>
        <w:rPr>
          <w:rFonts w:hint="eastAsia" w:ascii="宋体" w:hAnsi="宋体" w:eastAsia="宋体" w:cs="宋体"/>
          <w:kern w:val="2"/>
          <w:sz w:val="21"/>
          <w:szCs w:val="21"/>
          <w:lang w:val="en-US" w:eastAsia="zh-CN" w:bidi="ar-SA"/>
        </w:rPr>
      </w:pPr>
      <w:r>
        <w:rPr>
          <w:rFonts w:hint="eastAsia" w:ascii="Times New Roman" w:hAnsi="Times New Roman" w:eastAsia="仿宋_GB2312" w:cs="宋体"/>
          <w:color w:val="auto"/>
          <w:sz w:val="30"/>
          <w:szCs w:val="30"/>
          <w:highlight w:val="none"/>
          <w:lang w:eastAsia="zh-CN"/>
        </w:rPr>
        <w:br w:type="page"/>
      </w:r>
      <w:r>
        <w:rPr>
          <w:rFonts w:hint="eastAsia" w:ascii="宋体" w:hAnsi="宋体" w:eastAsia="宋体" w:cs="宋体"/>
          <w:kern w:val="2"/>
          <w:sz w:val="21"/>
          <w:szCs w:val="21"/>
          <w:lang w:val="en-US" w:eastAsia="zh-CN" w:bidi="ar-SA"/>
        </w:rPr>
        <w:t>附件一：履约担保格式</w:t>
      </w:r>
      <w:bookmarkEnd w:id="8"/>
      <w:bookmarkEnd w:id="9"/>
      <w:bookmarkEnd w:id="10"/>
      <w:bookmarkEnd w:id="11"/>
      <w:bookmarkEnd w:id="12"/>
      <w:bookmarkEnd w:id="13"/>
      <w:bookmarkEnd w:id="14"/>
      <w:bookmarkEnd w:id="15"/>
      <w:bookmarkEnd w:id="16"/>
      <w:bookmarkEnd w:id="17"/>
    </w:p>
    <w:p w14:paraId="2D4555A2">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p>
    <w:p w14:paraId="68C29925">
      <w:pPr>
        <w:pageBreakBefore w:val="0"/>
        <w:widowControl w:val="0"/>
        <w:kinsoku/>
        <w:overflowPunct w:val="0"/>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履约担保</w:t>
      </w:r>
    </w:p>
    <w:p w14:paraId="6F21A047">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p>
    <w:p w14:paraId="6028AFBC">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项目使用单位全称）：</w:t>
      </w:r>
    </w:p>
    <w:p w14:paraId="47AE05FF">
      <w:pPr>
        <w:pageBreakBefore w:val="0"/>
        <w:widowControl w:val="0"/>
        <w:kinsoku/>
        <w:overflowPunct w:val="0"/>
        <w:topLinePunct w:val="0"/>
        <w:autoSpaceDE/>
        <w:autoSpaceDN/>
        <w:bidi w:val="0"/>
        <w:spacing w:line="400" w:lineRule="exact"/>
        <w:ind w:right="-143" w:rightChars="-68"/>
        <w:textAlignment w:val="auto"/>
        <w:rPr>
          <w:rFonts w:hint="eastAsia" w:ascii="宋体" w:hAnsi="宋体" w:eastAsia="宋体" w:cs="宋体"/>
          <w:sz w:val="21"/>
          <w:szCs w:val="21"/>
        </w:rPr>
      </w:pPr>
    </w:p>
    <w:p w14:paraId="24978A3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鉴于</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代建单位全称，以下称“代建单位”）即将与你方签订</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代建项目名称）的代建合同协议书，并保证按代建合同约定承担代建管理服务工作，我方愿意无条件地、不可撤销地就代建单位履行与你方订立的代建合同，出具保函为代建单位提供担保，担保金额为人民币</w:t>
      </w:r>
      <w:r>
        <w:rPr>
          <w:rFonts w:hint="eastAsia" w:ascii="宋体" w:hAnsi="宋体" w:eastAsia="宋体" w:cs="宋体"/>
          <w:sz w:val="21"/>
          <w:szCs w:val="21"/>
          <w:lang w:val="en"/>
        </w:rPr>
        <w:t>（</w:t>
      </w:r>
      <w:r>
        <w:rPr>
          <w:rFonts w:hint="eastAsia" w:ascii="宋体" w:hAnsi="宋体" w:eastAsia="宋体" w:cs="宋体"/>
          <w:sz w:val="21"/>
          <w:szCs w:val="21"/>
        </w:rPr>
        <w:t>大写）</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r>
        <w:rPr>
          <w:rFonts w:hint="eastAsia" w:ascii="宋体" w:hAnsi="宋体" w:eastAsia="宋体" w:cs="宋体"/>
          <w:sz w:val="21"/>
          <w:szCs w:val="21"/>
          <w:lang w:val="en"/>
        </w:rPr>
        <w:t>（</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5DD2926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保函的义务是：我方在接到你方提出的因代建单位在履行代建合同过程中，未能履行或违背代建合同约定的责任和义务而要求索赔的书面通知和付款凭证后7日内，在上述担保的限额内，无条件向你方支付任何数额的款项，无须你方出具证明或陈述理由。</w:t>
      </w:r>
    </w:p>
    <w:p w14:paraId="00404FF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在向我方提出要求前，我方将不坚持要求你方应首先向代建单位索要上述款项。我方还同意，任何对合同条款所做的修改和补充都不能免除我方按本保函所承担的义务。</w:t>
      </w:r>
    </w:p>
    <w:p w14:paraId="3F1F4C4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本保函自</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生效日期，代建主管部门合同备案通知下发之日）之日起生效，至</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失效日期，代建范围内工程决算完成之日）之日失效，除非你方提前终止或解除本保函。本保函到期后，无论正本是否退回我方，该保函自动失效。</w:t>
      </w:r>
    </w:p>
    <w:p w14:paraId="2DBAF6C1">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p>
    <w:p w14:paraId="518DC97E">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担 保 人：</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盖单位章）</w:t>
      </w:r>
    </w:p>
    <w:p w14:paraId="4CA101BB">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签字）</w:t>
      </w:r>
    </w:p>
    <w:p w14:paraId="61937C42">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u w:val="single"/>
        </w:rPr>
      </w:pPr>
      <w:r>
        <w:rPr>
          <w:rFonts w:hint="eastAsia" w:ascii="宋体" w:hAnsi="宋体" w:eastAsia="宋体" w:cs="宋体"/>
          <w:sz w:val="21"/>
          <w:szCs w:val="21"/>
        </w:rPr>
        <w:t>地    址：</w:t>
      </w:r>
      <w:r>
        <w:rPr>
          <w:rFonts w:hint="eastAsia" w:ascii="宋体" w:hAnsi="宋体" w:eastAsia="宋体" w:cs="宋体"/>
          <w:sz w:val="21"/>
          <w:szCs w:val="21"/>
          <w:u w:val="single"/>
        </w:rPr>
        <w:t xml:space="preserve">                            </w:t>
      </w:r>
    </w:p>
    <w:p w14:paraId="695135DE">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电    话：</w:t>
      </w:r>
      <w:r>
        <w:rPr>
          <w:rFonts w:hint="eastAsia" w:ascii="宋体" w:hAnsi="宋体" w:eastAsia="宋体" w:cs="宋体"/>
          <w:sz w:val="21"/>
          <w:szCs w:val="21"/>
          <w:u w:val="single"/>
        </w:rPr>
        <w:t xml:space="preserve">                            </w:t>
      </w:r>
    </w:p>
    <w:p w14:paraId="13370B68">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邮政编码：</w:t>
      </w:r>
      <w:r>
        <w:rPr>
          <w:rFonts w:hint="eastAsia" w:ascii="宋体" w:hAnsi="宋体" w:eastAsia="宋体" w:cs="宋体"/>
          <w:sz w:val="21"/>
          <w:szCs w:val="21"/>
          <w:u w:val="single"/>
        </w:rPr>
        <w:t xml:space="preserve">                            </w:t>
      </w:r>
    </w:p>
    <w:p w14:paraId="2C99EEC5">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049DAD0A">
      <w:pPr>
        <w:keepNext/>
        <w:keepLines/>
        <w:pageBreakBefore w:val="0"/>
        <w:widowControl w:val="0"/>
        <w:kinsoku/>
        <w:overflowPunct w:val="0"/>
        <w:topLinePunct w:val="0"/>
        <w:autoSpaceDE/>
        <w:autoSpaceDN/>
        <w:bidi w:val="0"/>
        <w:spacing w:line="400" w:lineRule="exact"/>
        <w:ind w:left="482" w:right="-197" w:hanging="316" w:hangingChars="15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b/>
          <w:kern w:val="44"/>
          <w:sz w:val="21"/>
          <w:szCs w:val="21"/>
          <w:lang w:val="en-US" w:eastAsia="zh-CN" w:bidi="ar-SA"/>
        </w:rPr>
        <w:br w:type="page"/>
      </w:r>
      <w:r>
        <w:rPr>
          <w:rFonts w:hint="eastAsia" w:ascii="宋体" w:hAnsi="宋体" w:eastAsia="宋体" w:cs="宋体"/>
          <w:kern w:val="2"/>
          <w:sz w:val="21"/>
          <w:szCs w:val="21"/>
          <w:lang w:val="en-US" w:eastAsia="zh-CN" w:bidi="ar-SA"/>
        </w:rPr>
        <w:t>附件二：承诺函格式</w:t>
      </w:r>
    </w:p>
    <w:p w14:paraId="3D218D02">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p>
    <w:p w14:paraId="41EEF606">
      <w:pPr>
        <w:pageBreakBefore w:val="0"/>
        <w:widowControl w:val="0"/>
        <w:kinsoku/>
        <w:overflowPunct w:val="0"/>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承 诺 函</w:t>
      </w:r>
    </w:p>
    <w:p w14:paraId="63D7187F">
      <w:pPr>
        <w:pageBreakBefore w:val="0"/>
        <w:widowControl w:val="0"/>
        <w:kinsoku/>
        <w:overflowPunct w:val="0"/>
        <w:topLinePunct w:val="0"/>
        <w:autoSpaceDE/>
        <w:autoSpaceDN/>
        <w:bidi w:val="0"/>
        <w:spacing w:line="400" w:lineRule="exact"/>
        <w:jc w:val="both"/>
        <w:textAlignment w:val="auto"/>
        <w:rPr>
          <w:rFonts w:hint="eastAsia" w:ascii="宋体" w:hAnsi="宋体" w:eastAsia="宋体" w:cs="宋体"/>
          <w:sz w:val="21"/>
          <w:szCs w:val="21"/>
        </w:rPr>
      </w:pPr>
    </w:p>
    <w:p w14:paraId="70D48943">
      <w:pPr>
        <w:pageBreakBefore w:val="0"/>
        <w:widowControl w:val="0"/>
        <w:kinsoku/>
        <w:overflowPunct w:val="0"/>
        <w:topLinePunct w:val="0"/>
        <w:autoSpaceDE/>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项目使用单位全称）：</w:t>
      </w:r>
    </w:p>
    <w:p w14:paraId="1C14D9C5">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鉴于</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代建单位全称，以下称“代建单位”）即将与你方签订</w:t>
      </w: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代建项目名称）的代建合同协议书，承担该项目代建管理服务工作。我方承诺严格按照代建合同要求及建设程序和各项规定进行管理，严格按照政府投资主管部门批复的投资规模、标准进行建设，决算不超概算。</w:t>
      </w:r>
    </w:p>
    <w:p w14:paraId="16BF71A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因我方违反代建合同约定致使项目投资增加或你方经济损失的，所增加的项目投资额和造成的你方直接经济损失从履约担保中赔偿；履约担保不足的，相应扣减代建服务费；代建服务费仍不足的，从我方自有资金中赔偿。</w:t>
      </w:r>
    </w:p>
    <w:p w14:paraId="44E0A90D">
      <w:pPr>
        <w:pageBreakBefore w:val="0"/>
        <w:widowControl w:val="0"/>
        <w:kinsoku/>
        <w:overflowPunct w:val="0"/>
        <w:topLinePunct w:val="0"/>
        <w:autoSpaceDE/>
        <w:autoSpaceDN/>
        <w:bidi w:val="0"/>
        <w:spacing w:line="400" w:lineRule="exact"/>
        <w:ind w:left="3360" w:leftChars="1600"/>
        <w:textAlignment w:val="auto"/>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lang w:val="en"/>
        </w:rPr>
        <w:t>（</w:t>
      </w:r>
      <w:r>
        <w:rPr>
          <w:rFonts w:hint="eastAsia" w:ascii="宋体" w:hAnsi="宋体" w:eastAsia="宋体" w:cs="宋体"/>
          <w:sz w:val="21"/>
          <w:szCs w:val="21"/>
        </w:rPr>
        <w:t>代建单位盖章）</w:t>
      </w:r>
    </w:p>
    <w:p w14:paraId="1B4DF6C5">
      <w:pPr>
        <w:pageBreakBefore w:val="0"/>
        <w:widowControl w:val="0"/>
        <w:kinsoku/>
        <w:overflowPunct w:val="0"/>
        <w:topLinePunct w:val="0"/>
        <w:autoSpaceDE/>
        <w:autoSpaceDN/>
        <w:bidi w:val="0"/>
        <w:spacing w:line="400" w:lineRule="exact"/>
        <w:ind w:left="3360" w:leftChars="1600"/>
        <w:jc w:val="both"/>
        <w:textAlignment w:val="auto"/>
        <w:rPr>
          <w:rFonts w:hint="eastAsia" w:ascii="宋体" w:hAnsi="宋体" w:eastAsia="宋体" w:cs="宋体"/>
          <w:sz w:val="21"/>
          <w:szCs w:val="21"/>
        </w:rPr>
      </w:pPr>
      <w:r>
        <w:rPr>
          <w:rFonts w:hint="eastAsia" w:ascii="宋体" w:hAnsi="宋体" w:eastAsia="宋体" w:cs="宋体"/>
          <w:sz w:val="21"/>
          <w:szCs w:val="21"/>
        </w:rPr>
        <w:t>年  月  日</w:t>
      </w:r>
    </w:p>
    <w:p w14:paraId="78FDD65A">
      <w:pPr>
        <w:adjustRightInd w:val="0"/>
        <w:snapToGrid w:val="0"/>
        <w:spacing w:line="20" w:lineRule="exact"/>
        <w:ind w:right="836" w:rightChars="398"/>
        <w:jc w:val="right"/>
        <w:rPr>
          <w:rFonts w:ascii="Times New Roman" w:hAnsi="Times New Roman" w:eastAsia="仿宋_GB2312" w:cs="Times New Roman"/>
          <w:sz w:val="32"/>
        </w:rPr>
      </w:pPr>
      <w:r>
        <w:rPr>
          <w:rFonts w:ascii="Times New Roman" w:hAnsi="Times New Roman" w:eastAsia="仿宋_GB2312" w:cs="Times New Roman"/>
          <w:sz w:val="32"/>
          <w:szCs w:val="32"/>
        </w:rPr>
        <w:t xml:space="preserve">      </w:t>
      </w:r>
    </w:p>
    <w:p w14:paraId="5713B34B">
      <w:pPr>
        <w:spacing w:line="20" w:lineRule="exact"/>
        <w:rPr>
          <w:rFonts w:ascii="Times New Roman" w:hAnsi="Times New Roman" w:eastAsia="宋体" w:cs="Times New Roman"/>
        </w:rPr>
      </w:pPr>
    </w:p>
    <w:p w14:paraId="3F990899">
      <w:pPr>
        <w:adjustRightInd w:val="0"/>
        <w:snapToGrid w:val="0"/>
        <w:spacing w:line="360" w:lineRule="auto"/>
        <w:ind w:firstLine="420" w:firstLineChars="200"/>
        <w:rPr>
          <w:rFonts w:hint="eastAsia" w:ascii="宋体" w:hAnsi="宋体" w:eastAsia="宋体" w:cs="宋体"/>
          <w:szCs w:val="21"/>
        </w:rPr>
      </w:pPr>
    </w:p>
    <w:p w14:paraId="7F9F1D3E">
      <w:pPr>
        <w:widowControl/>
        <w:numPr>
          <w:ilvl w:val="0"/>
          <w:numId w:val="0"/>
        </w:numPr>
        <w:spacing w:line="440" w:lineRule="exact"/>
        <w:jc w:val="both"/>
        <w:rPr>
          <w:rFonts w:hint="eastAsia" w:ascii="宋体" w:hAnsi="宋体" w:eastAsia="宋体" w:cs="宋体"/>
          <w:b/>
          <w:color w:val="auto"/>
          <w:sz w:val="32"/>
          <w:szCs w:val="32"/>
          <w:lang w:eastAsia="zh-CN"/>
        </w:rPr>
      </w:pPr>
    </w:p>
    <w:p w14:paraId="0BFA890D">
      <w:pPr>
        <w:widowControl/>
        <w:numPr>
          <w:ilvl w:val="0"/>
          <w:numId w:val="0"/>
        </w:numPr>
        <w:spacing w:line="440" w:lineRule="exact"/>
        <w:jc w:val="both"/>
        <w:rPr>
          <w:rFonts w:hint="eastAsia" w:ascii="宋体" w:hAnsi="宋体" w:eastAsia="宋体" w:cs="宋体"/>
          <w:b/>
          <w:color w:val="auto"/>
          <w:sz w:val="32"/>
          <w:szCs w:val="32"/>
          <w:lang w:eastAsia="zh-CN"/>
        </w:rPr>
      </w:pPr>
    </w:p>
    <w:p w14:paraId="22DFDF2E">
      <w:pPr>
        <w:widowControl/>
        <w:numPr>
          <w:ilvl w:val="0"/>
          <w:numId w:val="0"/>
        </w:numPr>
        <w:spacing w:line="440" w:lineRule="exact"/>
        <w:jc w:val="both"/>
        <w:rPr>
          <w:rFonts w:hint="eastAsia" w:ascii="宋体" w:hAnsi="宋体" w:eastAsia="宋体" w:cs="宋体"/>
          <w:b/>
          <w:color w:val="auto"/>
          <w:sz w:val="32"/>
          <w:szCs w:val="32"/>
          <w:lang w:eastAsia="zh-CN"/>
        </w:rPr>
      </w:pPr>
    </w:p>
    <w:p w14:paraId="2FF4F6CD">
      <w:pPr>
        <w:widowControl/>
        <w:numPr>
          <w:ilvl w:val="0"/>
          <w:numId w:val="0"/>
        </w:numPr>
        <w:spacing w:line="440" w:lineRule="exact"/>
        <w:jc w:val="both"/>
        <w:rPr>
          <w:rFonts w:hint="eastAsia" w:ascii="宋体" w:hAnsi="宋体" w:eastAsia="宋体" w:cs="宋体"/>
          <w:b/>
          <w:color w:val="auto"/>
          <w:sz w:val="32"/>
          <w:szCs w:val="32"/>
          <w:lang w:eastAsia="zh-CN"/>
        </w:rPr>
      </w:pPr>
    </w:p>
    <w:p w14:paraId="14AB6299">
      <w:pPr>
        <w:widowControl/>
        <w:numPr>
          <w:ilvl w:val="0"/>
          <w:numId w:val="0"/>
        </w:numPr>
        <w:spacing w:line="440" w:lineRule="exact"/>
        <w:jc w:val="both"/>
        <w:rPr>
          <w:rFonts w:hint="eastAsia" w:ascii="宋体" w:hAnsi="宋体" w:eastAsia="宋体" w:cs="宋体"/>
          <w:b/>
          <w:color w:val="auto"/>
          <w:sz w:val="32"/>
          <w:szCs w:val="32"/>
          <w:lang w:eastAsia="zh-CN"/>
        </w:rPr>
      </w:pPr>
    </w:p>
    <w:p w14:paraId="1847BB34">
      <w:pPr>
        <w:widowControl/>
        <w:numPr>
          <w:ilvl w:val="0"/>
          <w:numId w:val="0"/>
        </w:numPr>
        <w:spacing w:line="440" w:lineRule="exact"/>
        <w:jc w:val="both"/>
        <w:rPr>
          <w:rFonts w:hint="eastAsia" w:ascii="宋体" w:hAnsi="宋体" w:eastAsia="宋体" w:cs="宋体"/>
          <w:b/>
          <w:color w:val="auto"/>
          <w:sz w:val="32"/>
          <w:szCs w:val="32"/>
          <w:lang w:eastAsia="zh-CN"/>
        </w:rPr>
      </w:pPr>
    </w:p>
    <w:p w14:paraId="75F7DBA2">
      <w:pPr>
        <w:widowControl/>
        <w:numPr>
          <w:ilvl w:val="0"/>
          <w:numId w:val="0"/>
        </w:numPr>
        <w:spacing w:line="440" w:lineRule="exact"/>
        <w:jc w:val="both"/>
        <w:rPr>
          <w:rFonts w:hint="eastAsia" w:ascii="宋体" w:hAnsi="宋体" w:eastAsia="宋体" w:cs="宋体"/>
          <w:b/>
          <w:color w:val="auto"/>
          <w:sz w:val="32"/>
          <w:szCs w:val="32"/>
          <w:lang w:eastAsia="zh-CN"/>
        </w:rPr>
      </w:pPr>
    </w:p>
    <w:p w14:paraId="0EE2E009">
      <w:pPr>
        <w:pStyle w:val="3"/>
        <w:rPr>
          <w:rFonts w:hint="eastAsia" w:ascii="宋体" w:hAnsi="宋体" w:eastAsia="宋体" w:cs="宋体"/>
          <w:b/>
          <w:color w:val="auto"/>
          <w:sz w:val="32"/>
          <w:szCs w:val="32"/>
          <w:lang w:eastAsia="zh-CN"/>
        </w:rPr>
      </w:pPr>
    </w:p>
    <w:p w14:paraId="513D4C8B">
      <w:pPr>
        <w:rPr>
          <w:rFonts w:hint="eastAsia" w:ascii="宋体" w:hAnsi="宋体" w:eastAsia="宋体" w:cs="宋体"/>
          <w:b/>
          <w:color w:val="auto"/>
          <w:sz w:val="32"/>
          <w:szCs w:val="32"/>
          <w:lang w:eastAsia="zh-CN"/>
        </w:rPr>
      </w:pPr>
    </w:p>
    <w:p w14:paraId="4E04797B">
      <w:pPr>
        <w:pStyle w:val="3"/>
        <w:rPr>
          <w:rFonts w:hint="eastAsia" w:ascii="宋体" w:hAnsi="宋体" w:eastAsia="宋体" w:cs="宋体"/>
          <w:b/>
          <w:color w:val="auto"/>
          <w:sz w:val="32"/>
          <w:szCs w:val="32"/>
          <w:lang w:eastAsia="zh-CN"/>
        </w:rPr>
      </w:pPr>
    </w:p>
    <w:p w14:paraId="4C19F1D4">
      <w:pPr>
        <w:rPr>
          <w:rFonts w:hint="eastAsia" w:ascii="宋体" w:hAnsi="宋体" w:eastAsia="宋体" w:cs="宋体"/>
          <w:b/>
          <w:color w:val="auto"/>
          <w:sz w:val="32"/>
          <w:szCs w:val="32"/>
          <w:lang w:eastAsia="zh-CN"/>
        </w:rPr>
      </w:pPr>
    </w:p>
    <w:p w14:paraId="1D20D4BD">
      <w:pPr>
        <w:pStyle w:val="3"/>
        <w:rPr>
          <w:rFonts w:hint="eastAsia" w:ascii="宋体" w:hAnsi="宋体" w:eastAsia="宋体" w:cs="宋体"/>
          <w:b/>
          <w:color w:val="auto"/>
          <w:sz w:val="32"/>
          <w:szCs w:val="32"/>
          <w:lang w:eastAsia="zh-CN"/>
        </w:rPr>
      </w:pPr>
    </w:p>
    <w:p w14:paraId="63600752">
      <w:pPr>
        <w:rPr>
          <w:rFonts w:hint="eastAsia" w:ascii="宋体" w:hAnsi="宋体" w:eastAsia="宋体" w:cs="宋体"/>
          <w:b/>
          <w:color w:val="auto"/>
          <w:sz w:val="32"/>
          <w:szCs w:val="32"/>
          <w:lang w:eastAsia="zh-CN"/>
        </w:rPr>
      </w:pPr>
    </w:p>
    <w:p w14:paraId="3393704F">
      <w:pPr>
        <w:pStyle w:val="3"/>
        <w:rPr>
          <w:rFonts w:hint="eastAsia" w:ascii="宋体" w:hAnsi="宋体" w:eastAsia="宋体" w:cs="宋体"/>
          <w:b/>
          <w:color w:val="auto"/>
          <w:sz w:val="32"/>
          <w:szCs w:val="32"/>
          <w:lang w:eastAsia="zh-CN"/>
        </w:rPr>
      </w:pPr>
    </w:p>
    <w:p w14:paraId="011AA853">
      <w:pPr>
        <w:rPr>
          <w:rFonts w:hint="eastAsia" w:ascii="宋体" w:hAnsi="宋体" w:eastAsia="宋体" w:cs="宋体"/>
          <w:b/>
          <w:color w:val="auto"/>
          <w:sz w:val="32"/>
          <w:szCs w:val="32"/>
          <w:lang w:eastAsia="zh-CN"/>
        </w:rPr>
      </w:pPr>
    </w:p>
    <w:p w14:paraId="1E7E7339">
      <w:pPr>
        <w:pStyle w:val="3"/>
        <w:rPr>
          <w:rFonts w:hint="eastAsia" w:ascii="宋体" w:hAnsi="宋体" w:eastAsia="宋体" w:cs="宋体"/>
          <w:b/>
          <w:color w:val="auto"/>
          <w:sz w:val="32"/>
          <w:szCs w:val="32"/>
          <w:lang w:eastAsia="zh-CN"/>
        </w:rPr>
      </w:pPr>
    </w:p>
    <w:p w14:paraId="38179311">
      <w:pPr>
        <w:rPr>
          <w:rFonts w:hint="eastAsia" w:ascii="宋体" w:hAnsi="宋体" w:eastAsia="宋体" w:cs="宋体"/>
          <w:b/>
          <w:color w:val="auto"/>
          <w:sz w:val="32"/>
          <w:szCs w:val="32"/>
          <w:lang w:eastAsia="zh-CN"/>
        </w:rPr>
      </w:pPr>
    </w:p>
    <w:p w14:paraId="4D0E0765">
      <w:pPr>
        <w:pStyle w:val="3"/>
        <w:rPr>
          <w:rFonts w:hint="eastAsia" w:ascii="宋体" w:hAnsi="宋体" w:eastAsia="宋体" w:cs="宋体"/>
          <w:b/>
          <w:color w:val="auto"/>
          <w:sz w:val="32"/>
          <w:szCs w:val="32"/>
          <w:lang w:eastAsia="zh-CN"/>
        </w:rPr>
      </w:pPr>
    </w:p>
    <w:p w14:paraId="131B72AA">
      <w:pPr>
        <w:rPr>
          <w:rFonts w:hint="eastAsia" w:ascii="宋体" w:hAnsi="宋体" w:eastAsia="宋体" w:cs="宋体"/>
          <w:b/>
          <w:color w:val="auto"/>
          <w:sz w:val="32"/>
          <w:szCs w:val="32"/>
          <w:lang w:eastAsia="zh-CN"/>
        </w:rPr>
      </w:pPr>
    </w:p>
    <w:p w14:paraId="556D7CA3">
      <w:pPr>
        <w:widowControl/>
        <w:numPr>
          <w:ilvl w:val="0"/>
          <w:numId w:val="0"/>
        </w:numPr>
        <w:spacing w:line="440" w:lineRule="exact"/>
        <w:jc w:val="center"/>
        <w:rPr>
          <w:rFonts w:hint="eastAsia" w:ascii="宋体" w:hAnsi="宋体" w:eastAsia="宋体" w:cs="宋体"/>
          <w:b/>
          <w:color w:val="auto"/>
          <w:kern w:val="2"/>
          <w:sz w:val="32"/>
          <w:szCs w:val="32"/>
          <w:lang w:val="en-US" w:eastAsia="zh-CN" w:bidi="ar-SA"/>
        </w:rPr>
      </w:pPr>
    </w:p>
    <w:p w14:paraId="54106F7A">
      <w:pPr>
        <w:widowControl/>
        <w:numPr>
          <w:ilvl w:val="0"/>
          <w:numId w:val="0"/>
        </w:numPr>
        <w:spacing w:line="4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第四章</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采购需求</w:t>
      </w:r>
    </w:p>
    <w:p w14:paraId="340B0D76">
      <w:pPr>
        <w:pStyle w:val="4"/>
        <w:pageBreakBefore w:val="0"/>
        <w:numPr>
          <w:ilvl w:val="0"/>
          <w:numId w:val="8"/>
        </w:numPr>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宋体" w:hAnsi="宋体" w:eastAsia="宋体" w:cs="宋体"/>
          <w:b/>
          <w:bCs w:val="0"/>
          <w:color w:val="auto"/>
          <w:kern w:val="2"/>
          <w:sz w:val="32"/>
          <w:szCs w:val="32"/>
          <w:highlight w:val="none"/>
          <w:lang w:val="en-US" w:eastAsia="zh-CN" w:bidi="ar-SA"/>
        </w:rPr>
      </w:pPr>
      <w:bookmarkStart w:id="29" w:name="_Toc288468094"/>
      <w:bookmarkStart w:id="30" w:name="_Toc128884461"/>
      <w:bookmarkStart w:id="31" w:name="_Toc402897600"/>
      <w:r>
        <w:rPr>
          <w:rFonts w:hint="eastAsia" w:ascii="宋体" w:hAnsi="宋体" w:eastAsia="宋体" w:cs="宋体"/>
          <w:b/>
          <w:bCs w:val="0"/>
          <w:color w:val="auto"/>
          <w:kern w:val="2"/>
          <w:sz w:val="32"/>
          <w:szCs w:val="32"/>
          <w:highlight w:val="none"/>
          <w:lang w:val="en-US" w:eastAsia="zh-CN" w:bidi="ar-SA"/>
        </w:rPr>
        <w:t>项目概况</w:t>
      </w:r>
    </w:p>
    <w:p w14:paraId="26D0E754">
      <w:pPr>
        <w:numPr>
          <w:ilvl w:val="0"/>
          <w:numId w:val="0"/>
        </w:numPr>
        <w:rPr>
          <w:rFonts w:hint="eastAsia" w:ascii="宋体" w:hAnsi="宋体" w:eastAsia="宋体" w:cs="宋体"/>
          <w:lang w:val="en-US" w:eastAsia="zh-CN"/>
        </w:rPr>
      </w:pPr>
    </w:p>
    <w:bookmarkEnd w:id="29"/>
    <w:bookmarkEnd w:id="30"/>
    <w:p w14:paraId="102E117D">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项目名称：</w:t>
      </w:r>
      <w:r>
        <w:rPr>
          <w:rFonts w:hint="eastAsia" w:ascii="宋体" w:hAnsi="宋体" w:cs="宋体"/>
          <w:sz w:val="24"/>
          <w:szCs w:val="24"/>
          <w:lang w:val="en-US" w:eastAsia="zh-CN"/>
        </w:rPr>
        <w:t>岳阳县第一中学学生宿舍及教学楼建设项目（一期）代建制服务</w:t>
      </w:r>
    </w:p>
    <w:p w14:paraId="7786D868">
      <w:pPr>
        <w:spacing w:before="156" w:beforeLines="50" w:line="360" w:lineRule="auto"/>
        <w:ind w:firstLine="480" w:firstLineChars="200"/>
        <w:jc w:val="left"/>
        <w:rPr>
          <w:rFonts w:hint="eastAsia" w:ascii="宋体" w:hAnsi="宋体" w:eastAsia="宋体" w:cs="宋体"/>
          <w:b w:val="0"/>
          <w:bCs w:val="0"/>
          <w:sz w:val="24"/>
          <w:szCs w:val="24"/>
          <w:highlight w:val="none"/>
          <w:lang w:val="en-US" w:eastAsia="zh-CN"/>
        </w:rPr>
      </w:pPr>
      <w:r>
        <w:rPr>
          <w:rFonts w:hint="eastAsia" w:ascii="宋体" w:hAnsi="宋体" w:cs="宋体"/>
          <w:sz w:val="24"/>
          <w:szCs w:val="24"/>
          <w:lang w:val="en-US" w:eastAsia="zh-CN"/>
        </w:rPr>
        <w:t>二、</w:t>
      </w:r>
      <w:r>
        <w:rPr>
          <w:rFonts w:hint="eastAsia" w:ascii="宋体" w:hAnsi="宋体" w:eastAsia="宋体" w:cs="宋体"/>
          <w:b w:val="0"/>
          <w:bCs w:val="0"/>
          <w:sz w:val="24"/>
          <w:szCs w:val="24"/>
          <w:lang w:val="en-US" w:eastAsia="zh-CN"/>
        </w:rPr>
        <w:t>项目</w:t>
      </w:r>
      <w:r>
        <w:rPr>
          <w:rFonts w:hint="eastAsia" w:ascii="宋体" w:hAnsi="宋体" w:eastAsia="宋体" w:cs="宋体"/>
          <w:b w:val="0"/>
          <w:bCs w:val="0"/>
          <w:sz w:val="24"/>
          <w:szCs w:val="24"/>
          <w:highlight w:val="none"/>
          <w:lang w:val="en-US" w:eastAsia="zh-CN"/>
        </w:rPr>
        <w:t>服务期限：代建周期为合同生效起到实体移交手续完成止。其中合同生效之日起至工程竣</w:t>
      </w:r>
      <w:r>
        <w:rPr>
          <w:rFonts w:hint="eastAsia" w:ascii="宋体" w:hAnsi="宋体" w:eastAsia="宋体" w:cs="宋体"/>
          <w:b w:val="0"/>
          <w:bCs w:val="0"/>
          <w:color w:val="0000FF"/>
          <w:sz w:val="24"/>
          <w:szCs w:val="24"/>
          <w:highlight w:val="none"/>
          <w:lang w:val="en-US" w:eastAsia="zh-CN"/>
        </w:rPr>
        <w:t xml:space="preserve">工验收合格之日止为 </w:t>
      </w:r>
      <w:r>
        <w:rPr>
          <w:rFonts w:hint="eastAsia" w:ascii="宋体" w:hAnsi="宋体" w:cs="宋体"/>
          <w:b w:val="0"/>
          <w:bCs w:val="0"/>
          <w:color w:val="0000FF"/>
          <w:sz w:val="24"/>
          <w:szCs w:val="24"/>
          <w:highlight w:val="none"/>
          <w:lang w:val="en-US" w:eastAsia="zh-CN"/>
        </w:rPr>
        <w:t>425日</w:t>
      </w:r>
      <w:r>
        <w:rPr>
          <w:rFonts w:hint="eastAsia" w:ascii="宋体" w:hAnsi="宋体" w:eastAsia="宋体" w:cs="宋体"/>
          <w:b w:val="0"/>
          <w:bCs w:val="0"/>
          <w:color w:val="0000FF"/>
          <w:sz w:val="24"/>
          <w:szCs w:val="24"/>
          <w:highlight w:val="none"/>
          <w:lang w:val="en-US" w:eastAsia="zh-CN"/>
        </w:rPr>
        <w:t>；</w:t>
      </w:r>
      <w:r>
        <w:rPr>
          <w:rFonts w:hint="eastAsia" w:ascii="宋体" w:hAnsi="宋体" w:eastAsia="宋体" w:cs="宋体"/>
          <w:b w:val="0"/>
          <w:bCs w:val="0"/>
          <w:sz w:val="24"/>
          <w:szCs w:val="24"/>
          <w:highlight w:val="none"/>
          <w:lang w:val="en-US" w:eastAsia="zh-CN"/>
        </w:rPr>
        <w:t>竣工验收合格后 90日内向财政部门申请办理工程结算审批事宜，并按合同约定向使用单位办理实体移交手续。</w:t>
      </w:r>
    </w:p>
    <w:p w14:paraId="0FF66760">
      <w:pPr>
        <w:spacing w:before="156" w:beforeLines="50" w:line="360" w:lineRule="auto"/>
        <w:ind w:firstLine="480" w:firstLineChars="200"/>
        <w:jc w:val="left"/>
        <w:rPr>
          <w:rFonts w:hint="eastAsia" w:ascii="宋体" w:hAnsi="宋体" w:eastAsia="宋体" w:cs="宋体"/>
          <w:sz w:val="24"/>
          <w:szCs w:val="24"/>
          <w:lang w:val="en-US" w:eastAsia="zh-CN"/>
        </w:rPr>
      </w:pPr>
      <w:r>
        <w:rPr>
          <w:rFonts w:hint="eastAsia" w:ascii="宋体" w:hAnsi="宋体" w:cs="宋体"/>
          <w:b w:val="0"/>
          <w:bCs w:val="0"/>
          <w:sz w:val="24"/>
          <w:szCs w:val="24"/>
          <w:highlight w:val="none"/>
          <w:lang w:val="en-US" w:eastAsia="zh-CN"/>
        </w:rPr>
        <w:t>三、</w:t>
      </w:r>
      <w:bookmarkEnd w:id="31"/>
      <w:r>
        <w:rPr>
          <w:rFonts w:hint="eastAsia" w:ascii="宋体" w:hAnsi="宋体" w:cs="宋体"/>
          <w:b w:val="0"/>
          <w:bCs w:val="0"/>
          <w:color w:val="auto"/>
          <w:sz w:val="24"/>
          <w:szCs w:val="24"/>
          <w:highlight w:val="none"/>
          <w:lang w:val="en-US" w:eastAsia="zh-CN"/>
        </w:rPr>
        <w:t>项目建设内容及规模：岳阳县第一中学学生宿舍及教学楼建设项目（一期）新建一栋5层教学楼6434.92平方米、新建6层学生宿舍4615.19平方米</w:t>
      </w:r>
    </w:p>
    <w:p w14:paraId="7F84AF3D">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四、代建范围内投资控制目标:核定岳阳县第一中学学生宿舍及教学楼建设项目(一期)概算总投资为5006.29万元(概算总投资汇总表见附件)，其中:工程费用4313.72万元（含设备购置费406.49万元），工程建设其他费用320.3万元（含业主单位前期自行完成的五项工作内容75.84万元，即前期工作咨询8.44万元、工程勘测18.75万元、初步设计42.47万元、概算编制费6.18万元），预备费211.38万元，代建制服务费160.89万元（不含设备购置及前期自行完成工作内容的代建服务）。</w:t>
      </w:r>
    </w:p>
    <w:p w14:paraId="4E7AE376">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五、代建服务费预算价（不含设备购置及前期自行完成工作内容的代建服务）:951200.00元</w:t>
      </w:r>
    </w:p>
    <w:p w14:paraId="68E419AB">
      <w:pPr>
        <w:spacing w:before="156" w:beforeLines="50"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六、本项目实施阶段性代建。</w:t>
      </w:r>
    </w:p>
    <w:p w14:paraId="7F49C682">
      <w:pPr>
        <w:pStyle w:val="24"/>
        <w:bidi w:val="0"/>
        <w:rPr>
          <w:rFonts w:hint="default"/>
          <w:lang w:val="en-US" w:eastAsia="zh-CN"/>
        </w:rPr>
      </w:pPr>
    </w:p>
    <w:p w14:paraId="71FEBCBF">
      <w:pPr>
        <w:pStyle w:val="24"/>
        <w:bidi w:val="0"/>
        <w:rPr>
          <w:rFonts w:hint="default"/>
          <w:lang w:val="en-US" w:eastAsia="zh-CN"/>
        </w:rPr>
      </w:pPr>
    </w:p>
    <w:p w14:paraId="5145BF48">
      <w:pPr>
        <w:pStyle w:val="24"/>
        <w:bidi w:val="0"/>
        <w:rPr>
          <w:rFonts w:hint="default"/>
          <w:lang w:val="en-US" w:eastAsia="zh-CN"/>
        </w:rPr>
      </w:pPr>
    </w:p>
    <w:p w14:paraId="1816E0F8">
      <w:pPr>
        <w:pStyle w:val="24"/>
        <w:bidi w:val="0"/>
        <w:rPr>
          <w:rFonts w:hint="default"/>
          <w:lang w:val="en-US" w:eastAsia="zh-CN"/>
        </w:rPr>
      </w:pPr>
    </w:p>
    <w:p w14:paraId="23DE6F48">
      <w:pPr>
        <w:pStyle w:val="24"/>
        <w:bidi w:val="0"/>
        <w:rPr>
          <w:rFonts w:hint="default"/>
          <w:lang w:val="en-US" w:eastAsia="zh-CN"/>
        </w:rPr>
      </w:pPr>
    </w:p>
    <w:p w14:paraId="75482315">
      <w:pPr>
        <w:pStyle w:val="24"/>
        <w:bidi w:val="0"/>
        <w:rPr>
          <w:rFonts w:hint="default"/>
          <w:lang w:val="en-US" w:eastAsia="zh-CN"/>
        </w:rPr>
      </w:pPr>
    </w:p>
    <w:p w14:paraId="29FFD587">
      <w:pPr>
        <w:pStyle w:val="24"/>
        <w:bidi w:val="0"/>
        <w:rPr>
          <w:rFonts w:hint="default"/>
          <w:lang w:val="en-US" w:eastAsia="zh-CN"/>
        </w:rPr>
      </w:pPr>
    </w:p>
    <w:p w14:paraId="113EAA00">
      <w:pPr>
        <w:pStyle w:val="24"/>
        <w:bidi w:val="0"/>
        <w:rPr>
          <w:rFonts w:hint="default"/>
          <w:lang w:val="en-US" w:eastAsia="zh-CN"/>
        </w:rPr>
      </w:pPr>
    </w:p>
    <w:p w14:paraId="17794411">
      <w:pPr>
        <w:pStyle w:val="24"/>
        <w:bidi w:val="0"/>
        <w:rPr>
          <w:rFonts w:hint="default"/>
          <w:lang w:val="en-US" w:eastAsia="zh-CN"/>
        </w:rPr>
      </w:pPr>
    </w:p>
    <w:p w14:paraId="4BAD39B2">
      <w:pPr>
        <w:pStyle w:val="24"/>
        <w:bidi w:val="0"/>
        <w:rPr>
          <w:rFonts w:hint="default"/>
          <w:lang w:val="en-US" w:eastAsia="zh-CN"/>
        </w:rPr>
      </w:pPr>
    </w:p>
    <w:p w14:paraId="5E133C96">
      <w:pPr>
        <w:pStyle w:val="24"/>
        <w:bidi w:val="0"/>
        <w:rPr>
          <w:rFonts w:hint="default"/>
          <w:lang w:val="en-US" w:eastAsia="zh-CN"/>
        </w:rPr>
      </w:pPr>
    </w:p>
    <w:p w14:paraId="5FEC3967">
      <w:pPr>
        <w:pStyle w:val="24"/>
        <w:bidi w:val="0"/>
        <w:rPr>
          <w:rFonts w:hint="default"/>
          <w:lang w:val="en-US" w:eastAsia="zh-CN"/>
        </w:rPr>
      </w:pPr>
    </w:p>
    <w:p w14:paraId="691EC4BC">
      <w:pPr>
        <w:pStyle w:val="24"/>
        <w:bidi w:val="0"/>
        <w:rPr>
          <w:rFonts w:hint="default"/>
          <w:lang w:val="en-US" w:eastAsia="zh-CN"/>
        </w:rPr>
      </w:pPr>
    </w:p>
    <w:p w14:paraId="42B1DF7F">
      <w:pPr>
        <w:pStyle w:val="24"/>
        <w:bidi w:val="0"/>
        <w:rPr>
          <w:rFonts w:hint="default"/>
          <w:lang w:val="en-US" w:eastAsia="zh-CN"/>
        </w:rPr>
      </w:pPr>
    </w:p>
    <w:p w14:paraId="66B817C2">
      <w:pPr>
        <w:pStyle w:val="24"/>
        <w:bidi w:val="0"/>
        <w:rPr>
          <w:rFonts w:hint="default"/>
          <w:lang w:val="en-US" w:eastAsia="zh-CN"/>
        </w:rPr>
      </w:pPr>
    </w:p>
    <w:p w14:paraId="685E766F">
      <w:pPr>
        <w:pStyle w:val="24"/>
        <w:bidi w:val="0"/>
        <w:rPr>
          <w:rFonts w:hint="default"/>
          <w:lang w:val="en-US" w:eastAsia="zh-CN"/>
        </w:rPr>
      </w:pPr>
    </w:p>
    <w:p w14:paraId="00DFCD00">
      <w:pPr>
        <w:pStyle w:val="24"/>
        <w:bidi w:val="0"/>
        <w:rPr>
          <w:rFonts w:hint="default"/>
          <w:lang w:val="en-US" w:eastAsia="zh-CN"/>
        </w:rPr>
      </w:pPr>
    </w:p>
    <w:p w14:paraId="1B575818">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432ABD62">
      <w:pPr>
        <w:spacing w:before="156" w:beforeLines="50" w:line="360" w:lineRule="auto"/>
        <w:jc w:val="center"/>
        <w:rPr>
          <w:rFonts w:hint="default" w:ascii="宋体" w:hAnsi="宋体" w:eastAsia="宋体" w:cs="宋体"/>
          <w:b/>
          <w:bCs w:val="0"/>
          <w:color w:val="auto"/>
          <w:kern w:val="2"/>
          <w:sz w:val="32"/>
          <w:szCs w:val="32"/>
          <w:highlight w:val="none"/>
          <w:lang w:val="en-US" w:eastAsia="zh-CN" w:bidi="ar-SA"/>
        </w:rPr>
      </w:pPr>
      <w:r>
        <w:rPr>
          <w:rFonts w:hint="eastAsia" w:ascii="宋体" w:hAnsi="宋体" w:eastAsia="宋体" w:cs="宋体"/>
          <w:b/>
          <w:bCs w:val="0"/>
          <w:color w:val="auto"/>
          <w:kern w:val="2"/>
          <w:sz w:val="32"/>
          <w:szCs w:val="32"/>
          <w:highlight w:val="none"/>
          <w:lang w:val="en-US" w:eastAsia="zh-CN" w:bidi="ar-SA"/>
        </w:rPr>
        <w:t xml:space="preserve">第二节 </w:t>
      </w:r>
      <w:r>
        <w:rPr>
          <w:rFonts w:hint="eastAsia" w:ascii="宋体" w:hAnsi="宋体" w:cs="宋体"/>
          <w:b/>
          <w:bCs w:val="0"/>
          <w:color w:val="auto"/>
          <w:kern w:val="2"/>
          <w:sz w:val="32"/>
          <w:szCs w:val="32"/>
          <w:highlight w:val="none"/>
          <w:lang w:val="en-US" w:eastAsia="zh-CN" w:bidi="ar-SA"/>
        </w:rPr>
        <w:t>技术</w:t>
      </w:r>
      <w:r>
        <w:rPr>
          <w:rFonts w:hint="eastAsia" w:ascii="宋体" w:hAnsi="宋体" w:eastAsia="宋体" w:cs="宋体"/>
          <w:b/>
          <w:bCs w:val="0"/>
          <w:color w:val="auto"/>
          <w:kern w:val="2"/>
          <w:sz w:val="32"/>
          <w:szCs w:val="32"/>
          <w:highlight w:val="none"/>
          <w:lang w:val="en-US" w:eastAsia="zh-CN" w:bidi="ar-SA"/>
        </w:rPr>
        <w:t>服务要求</w:t>
      </w:r>
    </w:p>
    <w:p w14:paraId="3FCCAAD9">
      <w:pPr>
        <w:pStyle w:val="305"/>
        <w:numPr>
          <w:ilvl w:val="0"/>
          <w:numId w:val="0"/>
        </w:num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一、工作范围：从初步设计概算批复后、代建合同生效开始至实体移交手续完成为止，对项目的开工前工作、建安工程</w:t>
      </w:r>
      <w:r>
        <w:rPr>
          <w:rFonts w:hint="eastAsia" w:ascii="宋体" w:hAnsi="宋体" w:cs="宋体"/>
          <w:b w:val="0"/>
          <w:bCs w:val="0"/>
          <w:color w:val="auto"/>
          <w:kern w:val="2"/>
          <w:sz w:val="24"/>
          <w:szCs w:val="24"/>
          <w:highlight w:val="none"/>
          <w:lang w:val="en-US" w:eastAsia="zh-CN" w:bidi="ar-SA"/>
        </w:rPr>
        <w:t>等</w:t>
      </w:r>
      <w:r>
        <w:rPr>
          <w:rFonts w:hint="eastAsia" w:ascii="宋体" w:hAnsi="宋体" w:eastAsia="宋体" w:cs="宋体"/>
          <w:b w:val="0"/>
          <w:bCs w:val="0"/>
          <w:color w:val="auto"/>
          <w:kern w:val="2"/>
          <w:sz w:val="24"/>
          <w:szCs w:val="24"/>
          <w:highlight w:val="none"/>
          <w:lang w:val="en-US" w:eastAsia="zh-CN" w:bidi="ar-SA"/>
        </w:rPr>
        <w:t>、室外工程及相关事项等进行全过程管理。</w:t>
      </w:r>
    </w:p>
    <w:p w14:paraId="2E2761C2">
      <w:pPr>
        <w:pStyle w:val="305"/>
        <w:numPr>
          <w:ilvl w:val="0"/>
          <w:numId w:val="0"/>
        </w:numPr>
        <w:spacing w:line="360" w:lineRule="auto"/>
        <w:ind w:left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二、工作内容:</w:t>
      </w:r>
    </w:p>
    <w:p w14:paraId="7FEAB56D">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1、按照国家、省有关规定和代建合同的约定，代建周期内代行项目建设单位的职责，负责工程实施的组织、协调、管理工作；</w:t>
      </w:r>
    </w:p>
    <w:p w14:paraId="006403C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2、依法组织开展项目勘察、设计、施工、监理</w:t>
      </w:r>
      <w:r>
        <w:rPr>
          <w:rFonts w:hint="eastAsia" w:ascii="宋体" w:hAnsi="宋体" w:cs="宋体"/>
          <w:b w:val="0"/>
          <w:bCs w:val="0"/>
          <w:color w:val="auto"/>
          <w:kern w:val="2"/>
          <w:sz w:val="24"/>
          <w:szCs w:val="24"/>
          <w:highlight w:val="none"/>
          <w:lang w:val="en-US" w:eastAsia="zh-CN" w:bidi="ar-SA"/>
        </w:rPr>
        <w:t>等</w:t>
      </w:r>
      <w:r>
        <w:rPr>
          <w:rFonts w:hint="eastAsia" w:ascii="宋体" w:hAnsi="宋体" w:eastAsia="宋体" w:cs="宋体"/>
          <w:b w:val="0"/>
          <w:bCs w:val="0"/>
          <w:color w:val="auto"/>
          <w:kern w:val="2"/>
          <w:sz w:val="24"/>
          <w:szCs w:val="24"/>
          <w:highlight w:val="none"/>
          <w:lang w:val="en-US" w:eastAsia="zh-CN" w:bidi="ar-SA"/>
        </w:rPr>
        <w:t>采购招标，负责工程合同的洽谈和签订，并将招投标情况、签订的合同按有关规定报发展改革、财政和相关行业管理部门备案；</w:t>
      </w:r>
    </w:p>
    <w:p w14:paraId="571AFD29">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3、办理规划、施工、节能、环保、消防、人防、园林、市政等有关报批手续；</w:t>
      </w:r>
    </w:p>
    <w:p w14:paraId="28CC8525">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4、会同使用单位按项目进度申报财政资金，并按月向发展改革、财政部门和使用单位报送工程进度及资金使用情况；</w:t>
      </w:r>
    </w:p>
    <w:p w14:paraId="7157510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5、组织编制工程结算，协助招标人办理竣工财务决算；</w:t>
      </w:r>
    </w:p>
    <w:p w14:paraId="632400D4">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6、按照国家和省有关规定以及代建合同约定组织工程验收及办理竣工验收备案；</w:t>
      </w:r>
    </w:p>
    <w:p w14:paraId="7573EA2F">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7、按代建合同约定向使用单位办理项目实体移交手续；</w:t>
      </w:r>
    </w:p>
    <w:p w14:paraId="1793264A">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8、整理汇编移交有关项目资料等；</w:t>
      </w:r>
    </w:p>
    <w:p w14:paraId="23B3135B">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9、按有关规定要求和代建合同约定，做好缺陷责任期和保修期的服务工作；</w:t>
      </w:r>
    </w:p>
    <w:p w14:paraId="045EEAA4">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10、代建合同约定应承担的其他工作。（参照全过程代建工作内容，剔除本次代建单位招标前已完成的初步设计等相关工作内容）。</w:t>
      </w:r>
    </w:p>
    <w:p w14:paraId="0AFC199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三、质量要求：依照国家《建筑工程施工质量验收统一标准》（相应法定质量标准）达到合格。</w:t>
      </w:r>
    </w:p>
    <w:p w14:paraId="5D1C32F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四、安全管理目标:代建单位无安全责任事故。</w:t>
      </w:r>
    </w:p>
    <w:p w14:paraId="0AE1D552">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五、廉洁守法目标：严格遵守法律、法规、政策要求，无违法违纪行为。</w:t>
      </w:r>
    </w:p>
    <w:p w14:paraId="6B15CBB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六、人员配备</w:t>
      </w:r>
    </w:p>
    <w:p w14:paraId="72B395A4">
      <w:pPr>
        <w:pStyle w:val="24"/>
        <w:bidi w:val="0"/>
        <w:rPr>
          <w:rFonts w:hint="eastAsia"/>
          <w:lang w:val="en-US" w:eastAsia="zh-CN"/>
        </w:rPr>
      </w:pPr>
    </w:p>
    <w:p w14:paraId="10E87023">
      <w:pPr>
        <w:pStyle w:val="24"/>
        <w:bidi w:val="0"/>
        <w:rPr>
          <w:rFonts w:hint="eastAsia"/>
          <w:lang w:val="en-US" w:eastAsia="zh-CN"/>
        </w:rPr>
      </w:pPr>
    </w:p>
    <w:p w14:paraId="01315EBF">
      <w:pPr>
        <w:pStyle w:val="24"/>
        <w:bidi w:val="0"/>
        <w:rPr>
          <w:rFonts w:hint="eastAsia"/>
          <w:lang w:val="en-US" w:eastAsia="zh-CN"/>
        </w:rPr>
      </w:pPr>
    </w:p>
    <w:p w14:paraId="53FBA359">
      <w:pPr>
        <w:pStyle w:val="24"/>
        <w:bidi w:val="0"/>
        <w:rPr>
          <w:rFonts w:hint="eastAsia"/>
          <w:lang w:val="en-US" w:eastAsia="zh-CN"/>
        </w:rPr>
      </w:pPr>
    </w:p>
    <w:p w14:paraId="0C5C4B0F">
      <w:pPr>
        <w:pStyle w:val="24"/>
        <w:bidi w:val="0"/>
        <w:rPr>
          <w:rFonts w:hint="eastAsia"/>
          <w:lang w:val="en-US" w:eastAsia="zh-CN"/>
        </w:rPr>
      </w:pPr>
    </w:p>
    <w:p w14:paraId="40B5CDF8">
      <w:pPr>
        <w:pStyle w:val="24"/>
        <w:bidi w:val="0"/>
        <w:rPr>
          <w:rFonts w:hint="eastAsia"/>
          <w:lang w:val="en-US" w:eastAsia="zh-CN"/>
        </w:rPr>
      </w:pPr>
    </w:p>
    <w:p w14:paraId="490D9D72">
      <w:pPr>
        <w:pStyle w:val="24"/>
        <w:bidi w:val="0"/>
        <w:rPr>
          <w:rFonts w:hint="eastAsia"/>
          <w:lang w:val="en-US" w:eastAsia="zh-CN"/>
        </w:rPr>
      </w:pPr>
    </w:p>
    <w:p w14:paraId="08A81205">
      <w:pPr>
        <w:pStyle w:val="24"/>
        <w:bidi w:val="0"/>
        <w:rPr>
          <w:rFonts w:hint="eastAsia"/>
          <w:lang w:val="en-US" w:eastAsia="zh-CN"/>
        </w:rPr>
      </w:pPr>
    </w:p>
    <w:p w14:paraId="65E0FDB7">
      <w:pPr>
        <w:pStyle w:val="24"/>
        <w:bidi w:val="0"/>
        <w:rPr>
          <w:rFonts w:hint="default"/>
          <w:lang w:val="en-US" w:eastAsia="zh-CN"/>
        </w:rPr>
      </w:pPr>
    </w:p>
    <w:tbl>
      <w:tblPr>
        <w:tblStyle w:val="304"/>
        <w:tblW w:w="9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854"/>
        <w:gridCol w:w="3150"/>
        <w:gridCol w:w="840"/>
        <w:gridCol w:w="654"/>
        <w:gridCol w:w="1101"/>
        <w:gridCol w:w="665"/>
        <w:gridCol w:w="720"/>
      </w:tblGrid>
      <w:tr w14:paraId="1AF14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828" w:type="dxa"/>
            <w:vAlign w:val="top"/>
          </w:tcPr>
          <w:p w14:paraId="666439E0">
            <w:pPr>
              <w:widowControl/>
              <w:kinsoku w:val="0"/>
              <w:autoSpaceDE w:val="0"/>
              <w:autoSpaceDN w:val="0"/>
              <w:adjustRightInd w:val="0"/>
              <w:snapToGrid w:val="0"/>
              <w:spacing w:before="308" w:line="240" w:lineRule="auto"/>
              <w:ind w:left="210" w:right="198" w:firstLine="12"/>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0"/>
                <w:kern w:val="0"/>
                <w:sz w:val="21"/>
                <w:szCs w:val="21"/>
                <w:lang w:eastAsia="en-US"/>
              </w:rPr>
              <w:t>岗位</w:t>
            </w:r>
            <w:r>
              <w:rPr>
                <w:rFonts w:ascii="黑体" w:hAnsi="黑体" w:eastAsia="黑体" w:cs="黑体"/>
                <w:snapToGrid w:val="0"/>
                <w:color w:val="000000"/>
                <w:spacing w:val="-4"/>
                <w:kern w:val="0"/>
                <w:sz w:val="21"/>
                <w:szCs w:val="21"/>
                <w:lang w:eastAsia="en-US"/>
              </w:rPr>
              <w:t>设置</w:t>
            </w:r>
          </w:p>
        </w:tc>
        <w:tc>
          <w:tcPr>
            <w:tcW w:w="1854" w:type="dxa"/>
            <w:vAlign w:val="top"/>
          </w:tcPr>
          <w:p w14:paraId="105DA20E">
            <w:pPr>
              <w:widowControl/>
              <w:kinsoku w:val="0"/>
              <w:autoSpaceDE w:val="0"/>
              <w:autoSpaceDN w:val="0"/>
              <w:adjustRightInd w:val="0"/>
              <w:snapToGrid w:val="0"/>
              <w:spacing w:line="373" w:lineRule="auto"/>
              <w:jc w:val="left"/>
              <w:textAlignment w:val="baseline"/>
              <w:rPr>
                <w:rFonts w:ascii="Arial" w:hAnsi="Arial" w:eastAsia="Arial" w:cs="Arial"/>
                <w:snapToGrid w:val="0"/>
                <w:color w:val="000000"/>
                <w:kern w:val="0"/>
                <w:sz w:val="21"/>
                <w:szCs w:val="21"/>
                <w:lang w:eastAsia="en-US"/>
              </w:rPr>
            </w:pPr>
          </w:p>
          <w:p w14:paraId="79909BA2">
            <w:pPr>
              <w:widowControl/>
              <w:kinsoku w:val="0"/>
              <w:autoSpaceDE w:val="0"/>
              <w:autoSpaceDN w:val="0"/>
              <w:adjustRightInd w:val="0"/>
              <w:snapToGrid w:val="0"/>
              <w:spacing w:before="68" w:line="221" w:lineRule="auto"/>
              <w:ind w:left="347"/>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人数要求</w:t>
            </w:r>
          </w:p>
        </w:tc>
        <w:tc>
          <w:tcPr>
            <w:tcW w:w="3150" w:type="dxa"/>
            <w:tcBorders>
              <w:bottom w:val="single" w:color="000000" w:sz="6" w:space="0"/>
            </w:tcBorders>
            <w:vAlign w:val="top"/>
          </w:tcPr>
          <w:p w14:paraId="1568A287">
            <w:pPr>
              <w:widowControl/>
              <w:kinsoku w:val="0"/>
              <w:autoSpaceDE w:val="0"/>
              <w:autoSpaceDN w:val="0"/>
              <w:adjustRightInd w:val="0"/>
              <w:snapToGrid w:val="0"/>
              <w:spacing w:line="374" w:lineRule="auto"/>
              <w:jc w:val="left"/>
              <w:textAlignment w:val="baseline"/>
              <w:rPr>
                <w:rFonts w:ascii="Arial" w:hAnsi="Arial" w:eastAsia="Arial" w:cs="Arial"/>
                <w:snapToGrid w:val="0"/>
                <w:color w:val="000000"/>
                <w:kern w:val="0"/>
                <w:sz w:val="21"/>
                <w:szCs w:val="21"/>
                <w:lang w:eastAsia="en-US"/>
              </w:rPr>
            </w:pPr>
          </w:p>
          <w:p w14:paraId="08A10811">
            <w:pPr>
              <w:widowControl/>
              <w:kinsoku w:val="0"/>
              <w:autoSpaceDE w:val="0"/>
              <w:autoSpaceDN w:val="0"/>
              <w:adjustRightInd w:val="0"/>
              <w:snapToGrid w:val="0"/>
              <w:spacing w:before="68" w:line="220" w:lineRule="auto"/>
              <w:ind w:left="12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4"/>
                <w:kern w:val="0"/>
                <w:sz w:val="21"/>
                <w:szCs w:val="21"/>
                <w:lang w:eastAsia="en-US"/>
              </w:rPr>
              <w:t>资质要求</w:t>
            </w:r>
          </w:p>
        </w:tc>
        <w:tc>
          <w:tcPr>
            <w:tcW w:w="840" w:type="dxa"/>
            <w:tcBorders>
              <w:bottom w:val="single" w:color="000000" w:sz="6" w:space="0"/>
            </w:tcBorders>
            <w:vAlign w:val="top"/>
          </w:tcPr>
          <w:p w14:paraId="6DE0C61B">
            <w:pPr>
              <w:widowControl/>
              <w:kinsoku w:val="0"/>
              <w:autoSpaceDE w:val="0"/>
              <w:autoSpaceDN w:val="0"/>
              <w:adjustRightInd w:val="0"/>
              <w:snapToGrid w:val="0"/>
              <w:spacing w:before="308" w:line="242" w:lineRule="auto"/>
              <w:ind w:left="356" w:right="132" w:hanging="210"/>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职称要</w:t>
            </w:r>
            <w:r>
              <w:rPr>
                <w:rFonts w:ascii="黑体" w:hAnsi="黑体" w:eastAsia="黑体" w:cs="黑体"/>
                <w:snapToGrid w:val="0"/>
                <w:color w:val="000000"/>
                <w:kern w:val="0"/>
                <w:sz w:val="21"/>
                <w:szCs w:val="21"/>
                <w:lang w:eastAsia="en-US"/>
              </w:rPr>
              <w:t>求</w:t>
            </w:r>
          </w:p>
        </w:tc>
        <w:tc>
          <w:tcPr>
            <w:tcW w:w="654" w:type="dxa"/>
            <w:tcBorders>
              <w:bottom w:val="single" w:color="000000" w:sz="6" w:space="0"/>
            </w:tcBorders>
            <w:vAlign w:val="top"/>
          </w:tcPr>
          <w:p w14:paraId="5971D885">
            <w:pPr>
              <w:widowControl/>
              <w:kinsoku w:val="0"/>
              <w:autoSpaceDE w:val="0"/>
              <w:autoSpaceDN w:val="0"/>
              <w:adjustRightInd w:val="0"/>
              <w:snapToGrid w:val="0"/>
              <w:spacing w:before="170" w:line="221" w:lineRule="auto"/>
              <w:ind w:left="162"/>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w:t>
            </w:r>
          </w:p>
          <w:p w14:paraId="0F639C19">
            <w:pPr>
              <w:widowControl/>
              <w:kinsoku w:val="0"/>
              <w:autoSpaceDE w:val="0"/>
              <w:autoSpaceDN w:val="0"/>
              <w:adjustRightInd w:val="0"/>
              <w:snapToGrid w:val="0"/>
              <w:spacing w:before="22" w:line="220" w:lineRule="auto"/>
              <w:ind w:left="166"/>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4"/>
                <w:kern w:val="0"/>
                <w:sz w:val="21"/>
                <w:szCs w:val="21"/>
                <w:lang w:eastAsia="en-US"/>
              </w:rPr>
              <w:t>常驻</w:t>
            </w:r>
          </w:p>
          <w:p w14:paraId="4BCAA15C">
            <w:pPr>
              <w:widowControl/>
              <w:kinsoku w:val="0"/>
              <w:autoSpaceDE w:val="0"/>
              <w:autoSpaceDN w:val="0"/>
              <w:adjustRightInd w:val="0"/>
              <w:snapToGrid w:val="0"/>
              <w:spacing w:before="20" w:line="220" w:lineRule="auto"/>
              <w:ind w:left="158"/>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现场</w:t>
            </w:r>
          </w:p>
        </w:tc>
        <w:tc>
          <w:tcPr>
            <w:tcW w:w="1101" w:type="dxa"/>
            <w:tcBorders>
              <w:bottom w:val="single" w:color="000000" w:sz="6" w:space="0"/>
            </w:tcBorders>
            <w:vAlign w:val="top"/>
          </w:tcPr>
          <w:p w14:paraId="478E8849">
            <w:pPr>
              <w:widowControl/>
              <w:kinsoku w:val="0"/>
              <w:autoSpaceDE w:val="0"/>
              <w:autoSpaceDN w:val="0"/>
              <w:adjustRightInd w:val="0"/>
              <w:snapToGrid w:val="0"/>
              <w:spacing w:before="34" w:line="220" w:lineRule="auto"/>
              <w:ind w:left="115"/>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是否允许</w:t>
            </w:r>
          </w:p>
          <w:p w14:paraId="5F1AD6D2">
            <w:pPr>
              <w:widowControl/>
              <w:kinsoku w:val="0"/>
              <w:autoSpaceDE w:val="0"/>
              <w:autoSpaceDN w:val="0"/>
              <w:adjustRightInd w:val="0"/>
              <w:snapToGrid w:val="0"/>
              <w:spacing w:before="23" w:line="220" w:lineRule="auto"/>
              <w:ind w:left="110"/>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
                <w:kern w:val="0"/>
                <w:sz w:val="21"/>
                <w:szCs w:val="21"/>
                <w:lang w:eastAsia="en-US"/>
              </w:rPr>
              <w:t>承担本项</w:t>
            </w:r>
          </w:p>
          <w:p w14:paraId="52DAE584">
            <w:pPr>
              <w:widowControl/>
              <w:kinsoku w:val="0"/>
              <w:autoSpaceDE w:val="0"/>
              <w:autoSpaceDN w:val="0"/>
              <w:adjustRightInd w:val="0"/>
              <w:snapToGrid w:val="0"/>
              <w:spacing w:before="21" w:line="219" w:lineRule="auto"/>
              <w:ind w:left="137"/>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8"/>
                <w:kern w:val="0"/>
                <w:sz w:val="21"/>
                <w:szCs w:val="21"/>
                <w:lang w:eastAsia="en-US"/>
              </w:rPr>
              <w:t>目代建以</w:t>
            </w:r>
          </w:p>
          <w:p w14:paraId="5877889E">
            <w:pPr>
              <w:widowControl/>
              <w:kinsoku w:val="0"/>
              <w:autoSpaceDE w:val="0"/>
              <w:autoSpaceDN w:val="0"/>
              <w:adjustRightInd w:val="0"/>
              <w:snapToGrid w:val="0"/>
              <w:spacing w:before="23" w:line="209" w:lineRule="auto"/>
              <w:ind w:left="109"/>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1"/>
                <w:kern w:val="0"/>
                <w:sz w:val="21"/>
                <w:szCs w:val="21"/>
                <w:lang w:eastAsia="en-US"/>
              </w:rPr>
              <w:t>外的工作</w:t>
            </w:r>
          </w:p>
        </w:tc>
        <w:tc>
          <w:tcPr>
            <w:tcW w:w="665" w:type="dxa"/>
            <w:tcBorders>
              <w:bottom w:val="single" w:color="000000" w:sz="6" w:space="0"/>
            </w:tcBorders>
            <w:vAlign w:val="top"/>
          </w:tcPr>
          <w:p w14:paraId="05FDC925">
            <w:pPr>
              <w:widowControl/>
              <w:kinsoku w:val="0"/>
              <w:autoSpaceDE w:val="0"/>
              <w:autoSpaceDN w:val="0"/>
              <w:adjustRightInd w:val="0"/>
              <w:snapToGrid w:val="0"/>
              <w:spacing w:before="170" w:line="221" w:lineRule="auto"/>
              <w:ind w:left="1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是否</w:t>
            </w:r>
          </w:p>
          <w:p w14:paraId="79ABD6D0">
            <w:pPr>
              <w:widowControl/>
              <w:kinsoku w:val="0"/>
              <w:autoSpaceDE w:val="0"/>
              <w:autoSpaceDN w:val="0"/>
              <w:adjustRightInd w:val="0"/>
              <w:snapToGrid w:val="0"/>
              <w:spacing w:before="22" w:line="220" w:lineRule="auto"/>
              <w:ind w:left="163"/>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允许</w:t>
            </w:r>
          </w:p>
          <w:p w14:paraId="5F5A62AB">
            <w:pPr>
              <w:widowControl/>
              <w:kinsoku w:val="0"/>
              <w:autoSpaceDE w:val="0"/>
              <w:autoSpaceDN w:val="0"/>
              <w:adjustRightInd w:val="0"/>
              <w:snapToGrid w:val="0"/>
              <w:spacing w:before="20" w:line="220" w:lineRule="auto"/>
              <w:ind w:left="161"/>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3"/>
                <w:kern w:val="0"/>
                <w:sz w:val="21"/>
                <w:szCs w:val="21"/>
                <w:lang w:eastAsia="en-US"/>
              </w:rPr>
              <w:t>变更</w:t>
            </w:r>
          </w:p>
        </w:tc>
        <w:tc>
          <w:tcPr>
            <w:tcW w:w="720" w:type="dxa"/>
            <w:tcBorders>
              <w:bottom w:val="single" w:color="000000" w:sz="6" w:space="0"/>
            </w:tcBorders>
            <w:vAlign w:val="top"/>
          </w:tcPr>
          <w:p w14:paraId="1968F8F8">
            <w:pPr>
              <w:widowControl/>
              <w:kinsoku w:val="0"/>
              <w:autoSpaceDE w:val="0"/>
              <w:autoSpaceDN w:val="0"/>
              <w:adjustRightInd w:val="0"/>
              <w:snapToGrid w:val="0"/>
              <w:spacing w:line="374" w:lineRule="auto"/>
              <w:jc w:val="left"/>
              <w:textAlignment w:val="baseline"/>
              <w:rPr>
                <w:rFonts w:ascii="Arial" w:hAnsi="Arial" w:eastAsia="Arial" w:cs="Arial"/>
                <w:snapToGrid w:val="0"/>
                <w:color w:val="000000"/>
                <w:kern w:val="0"/>
                <w:sz w:val="21"/>
                <w:szCs w:val="21"/>
                <w:lang w:eastAsia="en-US"/>
              </w:rPr>
            </w:pPr>
          </w:p>
          <w:p w14:paraId="24F62378">
            <w:pPr>
              <w:widowControl/>
              <w:kinsoku w:val="0"/>
              <w:autoSpaceDE w:val="0"/>
              <w:autoSpaceDN w:val="0"/>
              <w:adjustRightInd w:val="0"/>
              <w:snapToGrid w:val="0"/>
              <w:spacing w:before="68" w:line="220" w:lineRule="auto"/>
              <w:ind w:left="153"/>
              <w:jc w:val="left"/>
              <w:textAlignment w:val="baseline"/>
              <w:rPr>
                <w:rFonts w:ascii="黑体" w:hAnsi="黑体" w:eastAsia="黑体" w:cs="黑体"/>
                <w:snapToGrid w:val="0"/>
                <w:color w:val="000000"/>
                <w:kern w:val="0"/>
                <w:sz w:val="21"/>
                <w:szCs w:val="21"/>
                <w:lang w:eastAsia="en-US"/>
              </w:rPr>
            </w:pPr>
            <w:r>
              <w:rPr>
                <w:rFonts w:ascii="黑体" w:hAnsi="黑体" w:eastAsia="黑体" w:cs="黑体"/>
                <w:snapToGrid w:val="0"/>
                <w:color w:val="000000"/>
                <w:spacing w:val="-2"/>
                <w:kern w:val="0"/>
                <w:sz w:val="21"/>
                <w:szCs w:val="21"/>
                <w:lang w:eastAsia="en-US"/>
              </w:rPr>
              <w:t>备注</w:t>
            </w:r>
          </w:p>
        </w:tc>
      </w:tr>
      <w:tr w14:paraId="45B0F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4" w:hRule="atLeast"/>
        </w:trPr>
        <w:tc>
          <w:tcPr>
            <w:tcW w:w="828" w:type="dxa"/>
            <w:vAlign w:val="top"/>
          </w:tcPr>
          <w:p w14:paraId="12C93312">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46490DD9">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5FCDB645">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6F796C0">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A080503">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0B4297DA">
            <w:pPr>
              <w:kinsoku w:val="0"/>
              <w:autoSpaceDE w:val="0"/>
              <w:autoSpaceDN w:val="0"/>
              <w:adjustRightInd w:val="0"/>
              <w:snapToGrid w:val="0"/>
              <w:spacing w:before="68" w:line="243" w:lineRule="auto"/>
              <w:ind w:left="120" w:right="105" w:hanging="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现场</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2ADA4681">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8E6D798">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0F6EC11B">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627F0FB">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4BE4EA5">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5B01752B">
            <w:pPr>
              <w:kinsoku w:val="0"/>
              <w:autoSpaceDE w:val="0"/>
              <w:autoSpaceDN w:val="0"/>
              <w:adjustRightInd w:val="0"/>
              <w:snapToGrid w:val="0"/>
              <w:spacing w:before="68" w:line="238" w:lineRule="auto"/>
              <w:ind w:left="110" w:right="65"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独立配备（</w:t>
            </w:r>
            <w:r>
              <w:rPr>
                <w:rFonts w:hint="eastAsia" w:ascii="宋体" w:hAnsi="宋体" w:cs="宋体"/>
                <w:snapToGrid w:val="0"/>
                <w:color w:val="000000"/>
                <w:spacing w:val="-3"/>
                <w:kern w:val="0"/>
                <w:sz w:val="21"/>
                <w:szCs w:val="21"/>
                <w:lang w:val="en-US" w:eastAsia="zh-CN" w:bidi="ar-SA"/>
              </w:rPr>
              <w:t>1</w:t>
            </w:r>
            <w:r>
              <w:rPr>
                <w:rFonts w:ascii="宋体" w:hAnsi="宋体" w:eastAsia="宋体" w:cs="宋体"/>
                <w:snapToGrid w:val="0"/>
                <w:color w:val="000000"/>
                <w:spacing w:val="-3"/>
                <w:kern w:val="0"/>
                <w:sz w:val="21"/>
                <w:szCs w:val="21"/>
                <w:lang w:val="en-US" w:eastAsia="en-US" w:bidi="ar-SA"/>
              </w:rPr>
              <w:t>）</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7E4D1844">
            <w:pPr>
              <w:kinsoku w:val="0"/>
              <w:autoSpaceDE w:val="0"/>
              <w:autoSpaceDN w:val="0"/>
              <w:adjustRightInd w:val="0"/>
              <w:snapToGrid w:val="0"/>
              <w:spacing w:before="52"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202FEB68">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2"/>
                <w:kern w:val="0"/>
                <w:sz w:val="21"/>
                <w:szCs w:val="21"/>
                <w:lang w:val="en-US" w:eastAsia="en-US" w:bidi="ar-SA"/>
              </w:rPr>
              <w:t>☑</w:t>
            </w:r>
            <w:r>
              <w:rPr>
                <w:rFonts w:ascii="宋体" w:hAnsi="宋体" w:eastAsia="宋体" w:cs="宋体"/>
                <w:snapToGrid w:val="0"/>
                <w:color w:val="000000"/>
                <w:spacing w:val="-2"/>
                <w:kern w:val="0"/>
                <w:sz w:val="21"/>
                <w:szCs w:val="21"/>
                <w:lang w:val="en-US" w:eastAsia="en-US" w:bidi="ar-SA"/>
              </w:rPr>
              <w:t>至少</w:t>
            </w:r>
            <w:r>
              <w:rPr>
                <w:rFonts w:ascii="宋体" w:hAnsi="宋体" w:eastAsia="宋体" w:cs="宋体"/>
                <w:snapToGrid w:val="0"/>
                <w:color w:val="000000"/>
                <w:spacing w:val="-36"/>
                <w:kern w:val="0"/>
                <w:sz w:val="21"/>
                <w:szCs w:val="21"/>
                <w:lang w:val="en-US" w:eastAsia="en-US" w:bidi="ar-SA"/>
              </w:rPr>
              <w:t xml:space="preserve"> </w:t>
            </w:r>
            <w:r>
              <w:rPr>
                <w:rFonts w:hint="eastAsia" w:eastAsia="宋体" w:cs="Times New Roman"/>
                <w:snapToGrid w:val="0"/>
                <w:color w:val="0000FF"/>
                <w:spacing w:val="-2"/>
                <w:kern w:val="0"/>
                <w:sz w:val="21"/>
                <w:szCs w:val="21"/>
                <w:lang w:val="en-US" w:eastAsia="zh-CN" w:bidi="ar-SA"/>
              </w:rPr>
              <w:t>1</w:t>
            </w:r>
            <w:r>
              <w:rPr>
                <w:rFonts w:ascii="Times New Roman" w:hAnsi="Times New Roman" w:eastAsia="Times New Roman" w:cs="Times New Roman"/>
                <w:snapToGrid w:val="0"/>
                <w:color w:val="0000FF"/>
                <w:spacing w:val="-2"/>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人具备以下资质之一：</w:t>
            </w:r>
          </w:p>
          <w:p w14:paraId="3A94A7EA">
            <w:pPr>
              <w:kinsoku w:val="0"/>
              <w:autoSpaceDE w:val="0"/>
              <w:autoSpaceDN w:val="0"/>
              <w:adjustRightInd w:val="0"/>
              <w:snapToGrid w:val="0"/>
              <w:spacing w:before="47" w:line="274"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注册建造师二级及以上、注册造价工程师二级及以上、注册结构工程师二级及以上；注册公用设备工程师、注册电气工程师、注册咨询工</w:t>
            </w:r>
            <w:r>
              <w:rPr>
                <w:rFonts w:ascii="宋体" w:hAnsi="宋体" w:eastAsia="宋体" w:cs="宋体"/>
                <w:snapToGrid w:val="0"/>
                <w:color w:val="000000"/>
                <w:spacing w:val="-5"/>
                <w:kern w:val="0"/>
                <w:sz w:val="21"/>
                <w:szCs w:val="21"/>
                <w:lang w:val="en-US" w:eastAsia="en-US" w:bidi="ar-SA"/>
              </w:rPr>
              <w:t>程师（投资）、注册监理工程师、</w:t>
            </w:r>
            <w:r>
              <w:rPr>
                <w:rFonts w:ascii="宋体" w:hAnsi="宋体" w:eastAsia="宋体" w:cs="宋体"/>
                <w:snapToGrid w:val="0"/>
                <w:color w:val="000000"/>
                <w:spacing w:val="-2"/>
                <w:kern w:val="0"/>
                <w:sz w:val="21"/>
                <w:szCs w:val="21"/>
                <w:lang w:val="en-US" w:eastAsia="en-US" w:bidi="ar-SA"/>
              </w:rPr>
              <w:t>中级注册安全工程师（建筑施工安</w:t>
            </w:r>
            <w:r>
              <w:rPr>
                <w:rFonts w:ascii="宋体" w:hAnsi="宋体" w:eastAsia="宋体" w:cs="宋体"/>
                <w:snapToGrid w:val="0"/>
                <w:color w:val="000000"/>
                <w:spacing w:val="-5"/>
                <w:kern w:val="0"/>
                <w:sz w:val="21"/>
                <w:szCs w:val="21"/>
                <w:lang w:val="en-US" w:eastAsia="en-US" w:bidi="ar-SA"/>
              </w:rPr>
              <w:t>全）</w:t>
            </w:r>
          </w:p>
          <w:p w14:paraId="47BCE396">
            <w:pPr>
              <w:kinsoku w:val="0"/>
              <w:autoSpaceDE w:val="0"/>
              <w:autoSpaceDN w:val="0"/>
              <w:adjustRightInd w:val="0"/>
              <w:snapToGrid w:val="0"/>
              <w:spacing w:before="1" w:line="247" w:lineRule="auto"/>
              <w:ind w:left="119" w:right="101" w:firstLine="1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Times New Roman" w:hAnsi="Times New Roman" w:eastAsia="Times New Roman" w:cs="Times New Roman"/>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（具备其他适应项目实际要求的资质）</w:t>
            </w:r>
          </w:p>
        </w:tc>
        <w:tc>
          <w:tcPr>
            <w:tcW w:w="840" w:type="dxa"/>
            <w:tcBorders>
              <w:top w:val="single" w:color="000000" w:sz="6" w:space="0"/>
              <w:bottom w:val="single" w:color="000000" w:sz="6" w:space="0"/>
            </w:tcBorders>
            <w:vAlign w:val="top"/>
          </w:tcPr>
          <w:p w14:paraId="5DFC5A4B">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787783F">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523A3446">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5C461A1">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665F9C7">
            <w:pPr>
              <w:kinsoku w:val="0"/>
              <w:autoSpaceDE w:val="0"/>
              <w:autoSpaceDN w:val="0"/>
              <w:adjustRightInd w:val="0"/>
              <w:snapToGrid w:val="0"/>
              <w:spacing w:before="68" w:line="239"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30850E4A">
            <w:pPr>
              <w:kinsoku w:val="0"/>
              <w:autoSpaceDE w:val="0"/>
              <w:autoSpaceDN w:val="0"/>
              <w:adjustRightInd w:val="0"/>
              <w:snapToGrid w:val="0"/>
              <w:spacing w:before="2" w:line="241" w:lineRule="auto"/>
              <w:ind w:left="113" w:right="101" w:firstLine="2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r>
              <w:rPr>
                <w:rFonts w:ascii="MS Gothic" w:hAnsi="MS Gothic" w:eastAsia="MS Gothic" w:cs="MS Gothic"/>
                <w:snapToGrid w:val="0"/>
                <w:color w:val="0000FF"/>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kern w:val="0"/>
                <w:sz w:val="21"/>
                <w:szCs w:val="21"/>
                <w:lang w:val="en-US" w:eastAsia="en-US" w:bidi="ar-SA"/>
              </w:rPr>
              <w:t>中级</w:t>
            </w: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56A106EF">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004A965B">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0DC2BA0A">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3217855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10CFCD40">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208CBD7">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67A23C09">
            <w:pPr>
              <w:kinsoku w:val="0"/>
              <w:autoSpaceDE w:val="0"/>
              <w:autoSpaceDN w:val="0"/>
              <w:adjustRightInd w:val="0"/>
              <w:snapToGrid w:val="0"/>
              <w:spacing w:before="69" w:line="224" w:lineRule="auto"/>
              <w:ind w:left="11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是</w:t>
            </w:r>
          </w:p>
        </w:tc>
        <w:tc>
          <w:tcPr>
            <w:tcW w:w="1101" w:type="dxa"/>
            <w:tcBorders>
              <w:top w:val="single" w:color="000000" w:sz="6" w:space="0"/>
              <w:bottom w:val="single" w:color="000000" w:sz="6" w:space="0"/>
            </w:tcBorders>
            <w:vAlign w:val="top"/>
          </w:tcPr>
          <w:p w14:paraId="75EE987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6FB4F20">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30E5D126">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CAC6E3A">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505A4F5F">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C9541F3">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9DFFED">
            <w:pPr>
              <w:kinsoku w:val="0"/>
              <w:autoSpaceDE w:val="0"/>
              <w:autoSpaceDN w:val="0"/>
              <w:adjustRightInd w:val="0"/>
              <w:snapToGrid w:val="0"/>
              <w:spacing w:before="68" w:line="221" w:lineRule="auto"/>
              <w:ind w:left="1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不允许</w:t>
            </w:r>
          </w:p>
        </w:tc>
        <w:tc>
          <w:tcPr>
            <w:tcW w:w="665" w:type="dxa"/>
            <w:tcBorders>
              <w:top w:val="single" w:color="000000" w:sz="6" w:space="0"/>
              <w:bottom w:val="single" w:color="000000" w:sz="6" w:space="0"/>
            </w:tcBorders>
            <w:vAlign w:val="top"/>
          </w:tcPr>
          <w:p w14:paraId="77EA55A6">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19D1C0DD">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9BA37FD">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5ABD7669">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73FB52A8">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1AFD6FEE">
            <w:pPr>
              <w:kinsoku w:val="0"/>
              <w:autoSpaceDE w:val="0"/>
              <w:autoSpaceDN w:val="0"/>
              <w:adjustRightInd w:val="0"/>
              <w:snapToGrid w:val="0"/>
              <w:spacing w:before="68" w:line="243" w:lineRule="auto"/>
              <w:ind w:left="117" w:right="99" w:firstLine="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1"/>
                <w:kern w:val="0"/>
                <w:sz w:val="21"/>
                <w:szCs w:val="21"/>
                <w:lang w:val="en-US" w:eastAsia="en-US" w:bidi="ar-SA"/>
              </w:rPr>
              <w:t>不允</w:t>
            </w:r>
            <w:r>
              <w:rPr>
                <w:rFonts w:ascii="宋体" w:hAnsi="宋体" w:eastAsia="宋体" w:cs="宋体"/>
                <w:snapToGrid w:val="0"/>
                <w:color w:val="000000"/>
                <w:kern w:val="0"/>
                <w:sz w:val="21"/>
                <w:szCs w:val="21"/>
                <w:lang w:val="en-US" w:eastAsia="en-US" w:bidi="ar-SA"/>
              </w:rPr>
              <w:t>许</w:t>
            </w:r>
          </w:p>
        </w:tc>
        <w:tc>
          <w:tcPr>
            <w:tcW w:w="720" w:type="dxa"/>
            <w:tcBorders>
              <w:top w:val="single" w:color="000000" w:sz="6" w:space="0"/>
              <w:bottom w:val="single" w:color="000000" w:sz="6" w:space="0"/>
            </w:tcBorders>
            <w:vAlign w:val="top"/>
          </w:tcPr>
          <w:p w14:paraId="09E1A0B2">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33F94FEC">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2A6FABB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4B49221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ABE54B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20E87F8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6F35222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0B3628B1">
            <w:pPr>
              <w:kinsoku w:val="0"/>
              <w:autoSpaceDE w:val="0"/>
              <w:autoSpaceDN w:val="0"/>
              <w:adjustRightInd w:val="0"/>
              <w:snapToGrid w:val="0"/>
              <w:spacing w:before="68" w:line="240" w:lineRule="auto"/>
              <w:ind w:left="114" w:right="106" w:hanging="8"/>
              <w:jc w:val="both"/>
              <w:textAlignment w:val="baseline"/>
              <w:rPr>
                <w:rFonts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一致</w:t>
            </w:r>
          </w:p>
        </w:tc>
      </w:tr>
      <w:tr w14:paraId="4303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828" w:type="dxa"/>
            <w:vAlign w:val="top"/>
          </w:tcPr>
          <w:p w14:paraId="64C5843F">
            <w:pPr>
              <w:widowControl/>
              <w:kinsoku w:val="0"/>
              <w:autoSpaceDE w:val="0"/>
              <w:autoSpaceDN w:val="0"/>
              <w:adjustRightInd w:val="0"/>
              <w:snapToGrid w:val="0"/>
              <w:spacing w:line="311" w:lineRule="auto"/>
              <w:jc w:val="left"/>
              <w:textAlignment w:val="baseline"/>
              <w:rPr>
                <w:rFonts w:ascii="Arial" w:hAnsi="Arial" w:eastAsia="Arial" w:cs="Arial"/>
                <w:snapToGrid w:val="0"/>
                <w:color w:val="000000"/>
                <w:kern w:val="0"/>
                <w:sz w:val="21"/>
                <w:szCs w:val="21"/>
                <w:lang w:eastAsia="en-US"/>
              </w:rPr>
            </w:pPr>
          </w:p>
          <w:p w14:paraId="2F1B6C55">
            <w:pPr>
              <w:widowControl/>
              <w:kinsoku w:val="0"/>
              <w:autoSpaceDE w:val="0"/>
              <w:autoSpaceDN w:val="0"/>
              <w:adjustRightInd w:val="0"/>
              <w:snapToGrid w:val="0"/>
              <w:spacing w:line="311" w:lineRule="auto"/>
              <w:jc w:val="left"/>
              <w:textAlignment w:val="baseline"/>
              <w:rPr>
                <w:rFonts w:ascii="Arial" w:hAnsi="Arial" w:eastAsia="Arial" w:cs="Arial"/>
                <w:snapToGrid w:val="0"/>
                <w:color w:val="000000"/>
                <w:kern w:val="0"/>
                <w:sz w:val="21"/>
                <w:szCs w:val="21"/>
                <w:lang w:eastAsia="en-US"/>
              </w:rPr>
            </w:pPr>
          </w:p>
          <w:p w14:paraId="3A97DA7B">
            <w:pPr>
              <w:kinsoku w:val="0"/>
              <w:autoSpaceDE w:val="0"/>
              <w:autoSpaceDN w:val="0"/>
              <w:adjustRightInd w:val="0"/>
              <w:snapToGrid w:val="0"/>
              <w:spacing w:before="69" w:line="243" w:lineRule="auto"/>
              <w:ind w:left="120" w:right="105"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设计</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2A795471">
            <w:pPr>
              <w:kinsoku w:val="0"/>
              <w:autoSpaceDE w:val="0"/>
              <w:autoSpaceDN w:val="0"/>
              <w:adjustRightInd w:val="0"/>
              <w:snapToGrid w:val="0"/>
              <w:spacing w:before="287"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0337DD32">
            <w:pPr>
              <w:kinsoku w:val="0"/>
              <w:autoSpaceDE w:val="0"/>
              <w:autoSpaceDN w:val="0"/>
              <w:adjustRightInd w:val="0"/>
              <w:snapToGrid w:val="0"/>
              <w:spacing w:line="247" w:lineRule="auto"/>
              <w:ind w:left="115" w:right="106" w:firstLine="1"/>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9"/>
                <w:kern w:val="0"/>
                <w:sz w:val="21"/>
                <w:szCs w:val="21"/>
                <w:lang w:val="en-US" w:eastAsia="en-US" w:bidi="ar-SA"/>
              </w:rPr>
              <w:t>☑</w:t>
            </w:r>
            <w:r>
              <w:rPr>
                <w:rFonts w:ascii="MS Gothic" w:hAnsi="MS Gothic" w:eastAsia="MS Gothic" w:cs="MS Gothic"/>
                <w:snapToGrid w:val="0"/>
                <w:color w:val="0000FF"/>
                <w:spacing w:val="-34"/>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独</w:t>
            </w:r>
            <w:r>
              <w:rPr>
                <w:rFonts w:ascii="宋体" w:hAnsi="宋体" w:eastAsia="宋体" w:cs="宋体"/>
                <w:snapToGrid w:val="0"/>
                <w:color w:val="000000"/>
                <w:spacing w:val="-33"/>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立</w:t>
            </w:r>
            <w:r>
              <w:rPr>
                <w:rFonts w:ascii="宋体" w:hAnsi="宋体" w:eastAsia="宋体" w:cs="宋体"/>
                <w:snapToGrid w:val="0"/>
                <w:color w:val="000000"/>
                <w:spacing w:val="-34"/>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配</w:t>
            </w:r>
            <w:r>
              <w:rPr>
                <w:rFonts w:ascii="宋体" w:hAnsi="宋体" w:eastAsia="宋体" w:cs="宋体"/>
                <w:snapToGrid w:val="0"/>
                <w:color w:val="000000"/>
                <w:spacing w:val="-30"/>
                <w:kern w:val="0"/>
                <w:sz w:val="21"/>
                <w:szCs w:val="21"/>
                <w:lang w:val="en-US" w:eastAsia="en-US" w:bidi="ar-SA"/>
              </w:rPr>
              <w:t xml:space="preserve"> </w:t>
            </w:r>
            <w:r>
              <w:rPr>
                <w:rFonts w:ascii="宋体" w:hAnsi="宋体" w:eastAsia="宋体" w:cs="宋体"/>
                <w:snapToGrid w:val="0"/>
                <w:color w:val="000000"/>
                <w:spacing w:val="-9"/>
                <w:kern w:val="0"/>
                <w:sz w:val="21"/>
                <w:szCs w:val="21"/>
                <w:lang w:val="en-US" w:eastAsia="en-US" w:bidi="ar-SA"/>
              </w:rPr>
              <w:t>备</w:t>
            </w:r>
            <w:r>
              <w:rPr>
                <w:rFonts w:ascii="宋体" w:hAnsi="宋体" w:eastAsia="宋体" w:cs="宋体"/>
                <w:snapToGrid w:val="0"/>
                <w:color w:val="000000"/>
                <w:spacing w:val="-5"/>
                <w:kern w:val="0"/>
                <w:sz w:val="21"/>
                <w:szCs w:val="21"/>
                <w:lang w:val="en-US" w:eastAsia="en-US" w:bidi="ar-SA"/>
              </w:rPr>
              <w:t>（</w:t>
            </w:r>
            <w:r>
              <w:rPr>
                <w:rFonts w:ascii="Times New Roman" w:hAnsi="Times New Roman" w:eastAsia="Times New Roman" w:cs="Times New Roman"/>
                <w:snapToGrid w:val="0"/>
                <w:color w:val="0000FF"/>
                <w:spacing w:val="-5"/>
                <w:kern w:val="0"/>
                <w:sz w:val="21"/>
                <w:szCs w:val="21"/>
                <w:lang w:val="en-US" w:eastAsia="en-US" w:bidi="ar-SA"/>
              </w:rPr>
              <w:t>1</w:t>
            </w:r>
            <w:r>
              <w:rPr>
                <w:rFonts w:ascii="宋体" w:hAnsi="宋体" w:eastAsia="宋体" w:cs="宋体"/>
                <w:snapToGrid w:val="0"/>
                <w:color w:val="000000"/>
                <w:spacing w:val="-5"/>
                <w:kern w:val="0"/>
                <w:sz w:val="21"/>
                <w:szCs w:val="21"/>
                <w:lang w:val="en-US" w:eastAsia="en-US" w:bidi="ar-SA"/>
              </w:rPr>
              <w:t>）人</w:t>
            </w:r>
          </w:p>
        </w:tc>
        <w:tc>
          <w:tcPr>
            <w:tcW w:w="3150" w:type="dxa"/>
            <w:tcBorders>
              <w:top w:val="single" w:color="000000" w:sz="6" w:space="0"/>
              <w:bottom w:val="single" w:color="000000" w:sz="6" w:space="0"/>
            </w:tcBorders>
            <w:vAlign w:val="top"/>
          </w:tcPr>
          <w:p w14:paraId="4CB722D4">
            <w:pPr>
              <w:kinsoku w:val="0"/>
              <w:autoSpaceDE w:val="0"/>
              <w:autoSpaceDN w:val="0"/>
              <w:adjustRightInd w:val="0"/>
              <w:snapToGrid w:val="0"/>
              <w:spacing w:before="55"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1A1D8040">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至少</w:t>
            </w:r>
            <w:r>
              <w:rPr>
                <w:rFonts w:ascii="宋体" w:hAnsi="宋体" w:eastAsia="宋体" w:cs="宋体"/>
                <w:snapToGrid w:val="0"/>
                <w:color w:val="000000"/>
                <w:spacing w:val="-21"/>
                <w:kern w:val="0"/>
                <w:sz w:val="21"/>
                <w:szCs w:val="21"/>
                <w:lang w:val="en-US" w:eastAsia="en-US" w:bidi="ar-SA"/>
              </w:rPr>
              <w:t xml:space="preserve"> </w:t>
            </w:r>
            <w:r>
              <w:rPr>
                <w:rFonts w:ascii="Times New Roman" w:hAnsi="Times New Roman" w:eastAsia="Times New Roman" w:cs="Times New Roman"/>
                <w:snapToGrid w:val="0"/>
                <w:color w:val="0000FF"/>
                <w:spacing w:val="-3"/>
                <w:kern w:val="0"/>
                <w:sz w:val="21"/>
                <w:szCs w:val="21"/>
                <w:lang w:val="en-US" w:eastAsia="en-US" w:bidi="ar-SA"/>
              </w:rPr>
              <w:t xml:space="preserve">1 </w:t>
            </w:r>
            <w:r>
              <w:rPr>
                <w:rFonts w:ascii="宋体" w:hAnsi="宋体" w:eastAsia="宋体" w:cs="宋体"/>
                <w:snapToGrid w:val="0"/>
                <w:color w:val="000000"/>
                <w:spacing w:val="-3"/>
                <w:kern w:val="0"/>
                <w:sz w:val="21"/>
                <w:szCs w:val="21"/>
                <w:lang w:val="en-US" w:eastAsia="en-US" w:bidi="ar-SA"/>
              </w:rPr>
              <w:t>人具备以下资质之一：</w:t>
            </w:r>
          </w:p>
          <w:p w14:paraId="772A71A3">
            <w:pPr>
              <w:kinsoku w:val="0"/>
              <w:autoSpaceDE w:val="0"/>
              <w:autoSpaceDN w:val="0"/>
              <w:adjustRightInd w:val="0"/>
              <w:snapToGrid w:val="0"/>
              <w:spacing w:before="46" w:line="260" w:lineRule="auto"/>
              <w:ind w:left="110"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注册建筑师二级及以上、注册结构工程师二级及以上、注册公用设备工程师（仅限机电安装工程代建单</w:t>
            </w:r>
            <w:r>
              <w:rPr>
                <w:rFonts w:ascii="宋体" w:hAnsi="宋体" w:eastAsia="宋体" w:cs="宋体"/>
                <w:snapToGrid w:val="0"/>
                <w:color w:val="000000"/>
                <w:spacing w:val="-1"/>
                <w:kern w:val="0"/>
                <w:sz w:val="21"/>
                <w:szCs w:val="21"/>
                <w:lang w:val="en-US" w:eastAsia="en-US" w:bidi="ar-SA"/>
              </w:rPr>
              <w:t>位招标选用）</w:t>
            </w:r>
          </w:p>
        </w:tc>
        <w:tc>
          <w:tcPr>
            <w:tcW w:w="840" w:type="dxa"/>
            <w:tcBorders>
              <w:top w:val="single" w:color="000000" w:sz="6" w:space="0"/>
              <w:bottom w:val="single" w:color="000000" w:sz="6" w:space="0"/>
            </w:tcBorders>
            <w:vAlign w:val="top"/>
          </w:tcPr>
          <w:p w14:paraId="6A97E549">
            <w:pPr>
              <w:kinsoku w:val="0"/>
              <w:autoSpaceDE w:val="0"/>
              <w:autoSpaceDN w:val="0"/>
              <w:adjustRightInd w:val="0"/>
              <w:snapToGrid w:val="0"/>
              <w:spacing w:before="286" w:line="240"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4A4FD438">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p>
          <w:p w14:paraId="1B04F290">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spacing w:val="-3"/>
                <w:kern w:val="0"/>
                <w:sz w:val="21"/>
                <w:szCs w:val="21"/>
                <w:lang w:val="en-US" w:eastAsia="en-US" w:bidi="ar-SA"/>
              </w:rPr>
              <w:t>中级</w:t>
            </w:r>
          </w:p>
          <w:p w14:paraId="4C7054DD">
            <w:pPr>
              <w:kinsoku w:val="0"/>
              <w:autoSpaceDE w:val="0"/>
              <w:autoSpaceDN w:val="0"/>
              <w:adjustRightInd w:val="0"/>
              <w:snapToGrid w:val="0"/>
              <w:spacing w:before="20" w:line="223"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6CB146C2">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22B4B132">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7D931155">
            <w:pPr>
              <w:widowControl/>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eastAsia="en-US"/>
              </w:rPr>
            </w:pPr>
          </w:p>
          <w:p w14:paraId="609D1CDE">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27B84CFC">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6F31030">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6483A944">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BC653A0">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1D101ADF">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5B070ADB">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F80391B">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D0AF190">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73C0DBA2">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5CB2556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5ED73D7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71A92AB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250046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7D8D051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14C8932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2314BC3E">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r>
              <w:rPr>
                <w:rFonts w:hint="eastAsia" w:ascii="宋体" w:hAnsi="宋体" w:eastAsia="宋体" w:cs="宋体"/>
                <w:snapToGrid w:val="0"/>
                <w:color w:val="000000"/>
                <w:kern w:val="0"/>
                <w:sz w:val="21"/>
                <w:szCs w:val="21"/>
                <w:lang w:val="en-US" w:eastAsia="en-US" w:bidi="ar-SA"/>
              </w:rPr>
              <w:t>一致</w:t>
            </w:r>
          </w:p>
        </w:tc>
      </w:tr>
      <w:tr w14:paraId="7D5DC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8" w:type="dxa"/>
            <w:vAlign w:val="top"/>
          </w:tcPr>
          <w:p w14:paraId="21F52ACE">
            <w:pPr>
              <w:widowControl/>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eastAsia="en-US"/>
              </w:rPr>
            </w:pPr>
          </w:p>
          <w:p w14:paraId="3BCEF5B5">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1B1C4FF1">
            <w:pPr>
              <w:kinsoku w:val="0"/>
              <w:autoSpaceDE w:val="0"/>
              <w:autoSpaceDN w:val="0"/>
              <w:adjustRightInd w:val="0"/>
              <w:snapToGrid w:val="0"/>
              <w:spacing w:before="69" w:line="243" w:lineRule="auto"/>
              <w:ind w:left="120" w:right="105" w:hanging="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造价</w:t>
            </w:r>
            <w:r>
              <w:rPr>
                <w:rFonts w:ascii="宋体" w:hAnsi="宋体" w:eastAsia="宋体" w:cs="宋体"/>
                <w:snapToGrid w:val="0"/>
                <w:color w:val="000000"/>
                <w:spacing w:val="-3"/>
                <w:kern w:val="0"/>
                <w:sz w:val="21"/>
                <w:szCs w:val="21"/>
                <w:lang w:val="en-US" w:eastAsia="en-US" w:bidi="ar-SA"/>
              </w:rPr>
              <w:t>管理</w:t>
            </w:r>
          </w:p>
        </w:tc>
        <w:tc>
          <w:tcPr>
            <w:tcW w:w="1854" w:type="dxa"/>
            <w:vAlign w:val="top"/>
          </w:tcPr>
          <w:p w14:paraId="7D69F333">
            <w:pPr>
              <w:kinsoku w:val="0"/>
              <w:autoSpaceDE w:val="0"/>
              <w:autoSpaceDN w:val="0"/>
              <w:adjustRightInd w:val="0"/>
              <w:snapToGrid w:val="0"/>
              <w:spacing w:before="169"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6F49D488">
            <w:pPr>
              <w:kinsoku w:val="0"/>
              <w:autoSpaceDE w:val="0"/>
              <w:autoSpaceDN w:val="0"/>
              <w:adjustRightInd w:val="0"/>
              <w:snapToGrid w:val="0"/>
              <w:spacing w:before="1" w:line="235" w:lineRule="auto"/>
              <w:ind w:left="110" w:right="106" w:firstLine="6"/>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kern w:val="0"/>
                <w:sz w:val="21"/>
                <w:szCs w:val="21"/>
                <w:lang w:val="en-US" w:eastAsia="en-US" w:bidi="ar-SA"/>
              </w:rPr>
              <w:t>☑</w:t>
            </w:r>
            <w:r>
              <w:rPr>
                <w:rFonts w:ascii="宋体" w:hAnsi="宋体" w:eastAsia="宋体" w:cs="宋体"/>
                <w:snapToGrid w:val="0"/>
                <w:color w:val="000000"/>
                <w:kern w:val="0"/>
                <w:sz w:val="21"/>
                <w:szCs w:val="21"/>
                <w:lang w:val="en-US" w:eastAsia="en-US" w:bidi="ar-SA"/>
              </w:rPr>
              <w:t>独立配备</w:t>
            </w:r>
            <w:r>
              <w:rPr>
                <w:rFonts w:ascii="宋体" w:hAnsi="宋体" w:eastAsia="宋体" w:cs="宋体"/>
                <w:snapToGrid w:val="0"/>
                <w:color w:val="000000"/>
                <w:spacing w:val="35"/>
                <w:kern w:val="0"/>
                <w:sz w:val="21"/>
                <w:szCs w:val="21"/>
                <w:lang w:val="en-US" w:eastAsia="en-US" w:bidi="ar-SA"/>
              </w:rPr>
              <w:t xml:space="preserve"> </w:t>
            </w:r>
            <w:r>
              <w:rPr>
                <w:rFonts w:ascii="Times New Roman" w:hAnsi="Times New Roman" w:eastAsia="Times New Roman" w:cs="Times New Roman"/>
                <w:snapToGrid w:val="0"/>
                <w:color w:val="000000"/>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2DD2BC51">
            <w:pPr>
              <w:kinsoku w:val="0"/>
              <w:autoSpaceDE w:val="0"/>
              <w:autoSpaceDN w:val="0"/>
              <w:adjustRightInd w:val="0"/>
              <w:snapToGrid w:val="0"/>
              <w:spacing w:before="93"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7"/>
                <w:kern w:val="0"/>
                <w:sz w:val="21"/>
                <w:szCs w:val="21"/>
                <w:lang w:val="en-US" w:eastAsia="en-US" w:bidi="ar-SA"/>
              </w:rPr>
              <w:t>□</w:t>
            </w:r>
            <w:r>
              <w:rPr>
                <w:rFonts w:ascii="宋体" w:hAnsi="宋体" w:eastAsia="宋体" w:cs="宋体"/>
                <w:snapToGrid w:val="0"/>
                <w:color w:val="000000"/>
                <w:spacing w:val="-7"/>
                <w:kern w:val="0"/>
                <w:sz w:val="21"/>
                <w:szCs w:val="21"/>
                <w:lang w:val="en-US" w:eastAsia="en-US" w:bidi="ar-SA"/>
              </w:rPr>
              <w:t>无要求</w:t>
            </w:r>
          </w:p>
          <w:p w14:paraId="324DA555">
            <w:pPr>
              <w:kinsoku w:val="0"/>
              <w:autoSpaceDE w:val="0"/>
              <w:autoSpaceDN w:val="0"/>
              <w:adjustRightInd w:val="0"/>
              <w:snapToGrid w:val="0"/>
              <w:spacing w:before="60" w:line="221"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2"/>
                <w:kern w:val="0"/>
                <w:sz w:val="21"/>
                <w:szCs w:val="21"/>
                <w:lang w:val="en-US" w:eastAsia="en-US" w:bidi="ar-SA"/>
              </w:rPr>
              <w:t>☑</w:t>
            </w:r>
            <w:r>
              <w:rPr>
                <w:rFonts w:ascii="宋体" w:hAnsi="宋体" w:eastAsia="宋体" w:cs="宋体"/>
                <w:snapToGrid w:val="0"/>
                <w:color w:val="000000"/>
                <w:spacing w:val="-2"/>
                <w:kern w:val="0"/>
                <w:sz w:val="21"/>
                <w:szCs w:val="21"/>
                <w:lang w:val="en-US" w:eastAsia="en-US" w:bidi="ar-SA"/>
              </w:rPr>
              <w:t>具备以下资质之一：</w:t>
            </w:r>
          </w:p>
          <w:p w14:paraId="441701B3">
            <w:pPr>
              <w:kinsoku w:val="0"/>
              <w:autoSpaceDE w:val="0"/>
              <w:autoSpaceDN w:val="0"/>
              <w:adjustRightInd w:val="0"/>
              <w:snapToGrid w:val="0"/>
              <w:spacing w:before="60" w:line="265"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注册咨询工程师（投资）、注册建</w:t>
            </w:r>
            <w:r>
              <w:rPr>
                <w:rFonts w:ascii="宋体" w:hAnsi="宋体" w:eastAsia="宋体" w:cs="宋体"/>
                <w:snapToGrid w:val="0"/>
                <w:color w:val="000000"/>
                <w:spacing w:val="-2"/>
                <w:kern w:val="0"/>
                <w:sz w:val="21"/>
                <w:szCs w:val="21"/>
                <w:lang w:val="en-US" w:eastAsia="en-US" w:bidi="ar-SA"/>
              </w:rPr>
              <w:t>造师二级及以上、注册造价工程师</w:t>
            </w:r>
            <w:r>
              <w:rPr>
                <w:rFonts w:ascii="宋体" w:hAnsi="宋体" w:eastAsia="宋体" w:cs="宋体"/>
                <w:snapToGrid w:val="0"/>
                <w:color w:val="000000"/>
                <w:spacing w:val="-1"/>
                <w:kern w:val="0"/>
                <w:sz w:val="21"/>
                <w:szCs w:val="21"/>
                <w:lang w:val="en-US" w:eastAsia="en-US" w:bidi="ar-SA"/>
              </w:rPr>
              <w:t>二级及以上、注册监理工程师</w:t>
            </w:r>
          </w:p>
        </w:tc>
        <w:tc>
          <w:tcPr>
            <w:tcW w:w="840" w:type="dxa"/>
            <w:tcBorders>
              <w:top w:val="single" w:color="000000" w:sz="6" w:space="0"/>
              <w:bottom w:val="single" w:color="000000" w:sz="6" w:space="0"/>
            </w:tcBorders>
            <w:vAlign w:val="top"/>
          </w:tcPr>
          <w:p w14:paraId="438EDE4C">
            <w:pPr>
              <w:kinsoku w:val="0"/>
              <w:autoSpaceDE w:val="0"/>
              <w:autoSpaceDN w:val="0"/>
              <w:adjustRightInd w:val="0"/>
              <w:snapToGrid w:val="0"/>
              <w:spacing w:before="171" w:line="239" w:lineRule="auto"/>
              <w:ind w:left="116" w:right="101"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2"/>
                <w:kern w:val="0"/>
                <w:sz w:val="21"/>
                <w:szCs w:val="21"/>
                <w:lang w:val="en-US" w:eastAsia="en-US" w:bidi="ar-SA"/>
              </w:rPr>
              <w:t>□</w:t>
            </w:r>
            <w:r>
              <w:rPr>
                <w:rFonts w:ascii="宋体" w:hAnsi="宋体" w:eastAsia="宋体" w:cs="宋体"/>
                <w:snapToGrid w:val="0"/>
                <w:color w:val="0000FF"/>
                <w:spacing w:val="-64"/>
                <w:kern w:val="0"/>
                <w:sz w:val="21"/>
                <w:szCs w:val="21"/>
                <w:lang w:val="en-US" w:eastAsia="en-US" w:bidi="ar-SA"/>
              </w:rPr>
              <w:t xml:space="preserve"> </w:t>
            </w:r>
            <w:r>
              <w:rPr>
                <w:rFonts w:ascii="宋体" w:hAnsi="宋体" w:eastAsia="宋体" w:cs="宋体"/>
                <w:snapToGrid w:val="0"/>
                <w:color w:val="000000"/>
                <w:spacing w:val="-2"/>
                <w:kern w:val="0"/>
                <w:sz w:val="21"/>
                <w:szCs w:val="21"/>
                <w:lang w:val="en-US" w:eastAsia="en-US" w:bidi="ar-SA"/>
              </w:rPr>
              <w:t>无要</w:t>
            </w:r>
            <w:r>
              <w:rPr>
                <w:rFonts w:ascii="宋体" w:hAnsi="宋体" w:eastAsia="宋体" w:cs="宋体"/>
                <w:snapToGrid w:val="0"/>
                <w:color w:val="000000"/>
                <w:kern w:val="0"/>
                <w:sz w:val="21"/>
                <w:szCs w:val="21"/>
                <w:lang w:val="en-US" w:eastAsia="en-US" w:bidi="ar-SA"/>
              </w:rPr>
              <w:t>求</w:t>
            </w:r>
          </w:p>
          <w:p w14:paraId="617FACF4">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9"/>
                <w:kern w:val="0"/>
                <w:sz w:val="21"/>
                <w:szCs w:val="21"/>
                <w:lang w:val="en-US" w:eastAsia="en-US" w:bidi="ar-SA"/>
              </w:rPr>
              <w:t>□</w:t>
            </w:r>
            <w:r>
              <w:rPr>
                <w:rFonts w:ascii="宋体" w:hAnsi="宋体" w:eastAsia="宋体" w:cs="宋体"/>
                <w:snapToGrid w:val="0"/>
                <w:color w:val="000000"/>
                <w:spacing w:val="-9"/>
                <w:kern w:val="0"/>
                <w:sz w:val="21"/>
                <w:szCs w:val="21"/>
                <w:lang w:val="en-US" w:eastAsia="en-US" w:bidi="ar-SA"/>
              </w:rPr>
              <w:t>初级</w:t>
            </w:r>
          </w:p>
          <w:p w14:paraId="2DD7F42D">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3"/>
                <w:kern w:val="0"/>
                <w:sz w:val="21"/>
                <w:szCs w:val="21"/>
                <w:lang w:val="en-US" w:eastAsia="en-US" w:bidi="ar-SA"/>
              </w:rPr>
              <w:t>☑</w:t>
            </w:r>
            <w:r>
              <w:rPr>
                <w:rFonts w:ascii="MS Gothic" w:hAnsi="MS Gothic" w:eastAsia="MS Gothic" w:cs="MS Gothic"/>
                <w:snapToGrid w:val="0"/>
                <w:color w:val="0000FF"/>
                <w:spacing w:val="-48"/>
                <w:kern w:val="0"/>
                <w:sz w:val="21"/>
                <w:szCs w:val="21"/>
                <w:lang w:val="en-US" w:eastAsia="en-US" w:bidi="ar-SA"/>
              </w:rPr>
              <w:t xml:space="preserve"> </w:t>
            </w:r>
            <w:r>
              <w:rPr>
                <w:rFonts w:ascii="宋体" w:hAnsi="宋体" w:eastAsia="宋体" w:cs="宋体"/>
                <w:snapToGrid w:val="0"/>
                <w:color w:val="000000"/>
                <w:spacing w:val="-3"/>
                <w:kern w:val="0"/>
                <w:sz w:val="21"/>
                <w:szCs w:val="21"/>
                <w:lang w:val="en-US" w:eastAsia="en-US" w:bidi="ar-SA"/>
              </w:rPr>
              <w:t>中级</w:t>
            </w:r>
          </w:p>
          <w:p w14:paraId="6D5C51E5">
            <w:pPr>
              <w:kinsoku w:val="0"/>
              <w:autoSpaceDE w:val="0"/>
              <w:autoSpaceDN w:val="0"/>
              <w:adjustRightInd w:val="0"/>
              <w:snapToGrid w:val="0"/>
              <w:spacing w:before="19" w:line="223"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
                <w:kern w:val="0"/>
                <w:sz w:val="21"/>
                <w:szCs w:val="21"/>
                <w:lang w:val="en-US" w:eastAsia="en-US" w:bidi="ar-SA"/>
              </w:rPr>
              <w:t>及以上</w:t>
            </w:r>
          </w:p>
        </w:tc>
        <w:tc>
          <w:tcPr>
            <w:tcW w:w="654" w:type="dxa"/>
            <w:tcBorders>
              <w:top w:val="single" w:color="000000" w:sz="6" w:space="0"/>
              <w:bottom w:val="single" w:color="000000" w:sz="6" w:space="0"/>
            </w:tcBorders>
            <w:vAlign w:val="top"/>
          </w:tcPr>
          <w:p w14:paraId="580026AA">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18E65A24">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0A642231">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57AE25C6">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06AD4A5E">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691D4A8A">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7BB7370D">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3B44ED8B">
            <w:pPr>
              <w:widowControl/>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eastAsia="en-US"/>
              </w:rPr>
            </w:pPr>
          </w:p>
          <w:p w14:paraId="55D207C4">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27333B9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注册</w:t>
            </w:r>
          </w:p>
          <w:p w14:paraId="01C5FC34">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证书</w:t>
            </w:r>
          </w:p>
          <w:p w14:paraId="4FF03CF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的单</w:t>
            </w:r>
          </w:p>
          <w:p w14:paraId="3999C99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位应</w:t>
            </w:r>
          </w:p>
          <w:p w14:paraId="3A651E13">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与投</w:t>
            </w:r>
          </w:p>
          <w:p w14:paraId="367A2464">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标人</w:t>
            </w:r>
          </w:p>
          <w:p w14:paraId="1219A0F8">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名称</w:t>
            </w:r>
          </w:p>
          <w:p w14:paraId="7B279917">
            <w:pPr>
              <w:widowControl/>
              <w:kinsoku w:val="0"/>
              <w:autoSpaceDE w:val="0"/>
              <w:autoSpaceDN w:val="0"/>
              <w:adjustRightInd w:val="0"/>
              <w:snapToGrid w:val="0"/>
              <w:spacing w:before="61"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r>
              <w:rPr>
                <w:rFonts w:hint="eastAsia" w:ascii="宋体" w:hAnsi="宋体" w:eastAsia="宋体" w:cs="宋体"/>
                <w:snapToGrid w:val="0"/>
                <w:color w:val="000000"/>
                <w:kern w:val="0"/>
                <w:sz w:val="21"/>
                <w:szCs w:val="21"/>
                <w:lang w:val="en-US" w:eastAsia="en-US" w:bidi="ar-SA"/>
              </w:rPr>
              <w:t>一致</w:t>
            </w:r>
          </w:p>
        </w:tc>
      </w:tr>
      <w:tr w14:paraId="7521C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828" w:type="dxa"/>
            <w:vAlign w:val="top"/>
          </w:tcPr>
          <w:p w14:paraId="1EA3036B">
            <w:pPr>
              <w:kinsoku w:val="0"/>
              <w:autoSpaceDE w:val="0"/>
              <w:autoSpaceDN w:val="0"/>
              <w:adjustRightInd w:val="0"/>
              <w:snapToGrid w:val="0"/>
              <w:spacing w:before="276" w:line="240" w:lineRule="auto"/>
              <w:ind w:left="116" w:right="105"/>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招投</w:t>
            </w:r>
            <w:r>
              <w:rPr>
                <w:rFonts w:ascii="宋体" w:hAnsi="宋体" w:eastAsia="宋体" w:cs="宋体"/>
                <w:snapToGrid w:val="0"/>
                <w:color w:val="000000"/>
                <w:spacing w:val="-8"/>
                <w:kern w:val="0"/>
                <w:sz w:val="21"/>
                <w:szCs w:val="21"/>
                <w:lang w:val="en-US" w:eastAsia="en-US" w:bidi="ar-SA"/>
              </w:rPr>
              <w:t>标</w:t>
            </w:r>
            <w:r>
              <w:rPr>
                <w:rFonts w:ascii="宋体" w:hAnsi="宋体" w:eastAsia="宋体" w:cs="宋体"/>
                <w:snapToGrid w:val="0"/>
                <w:color w:val="000000"/>
                <w:spacing w:val="90"/>
                <w:kern w:val="0"/>
                <w:sz w:val="21"/>
                <w:szCs w:val="21"/>
                <w:lang w:val="en-US" w:eastAsia="en-US" w:bidi="ar-SA"/>
              </w:rPr>
              <w:t xml:space="preserve"> </w:t>
            </w:r>
            <w:r>
              <w:rPr>
                <w:rFonts w:ascii="宋体" w:hAnsi="宋体" w:eastAsia="宋体" w:cs="宋体"/>
                <w:snapToGrid w:val="0"/>
                <w:color w:val="000000"/>
                <w:spacing w:val="-8"/>
                <w:kern w:val="0"/>
                <w:sz w:val="21"/>
                <w:szCs w:val="21"/>
                <w:lang w:val="en-US" w:eastAsia="en-US" w:bidi="ar-SA"/>
              </w:rPr>
              <w:t>及</w:t>
            </w:r>
            <w:r>
              <w:rPr>
                <w:rFonts w:ascii="宋体" w:hAnsi="宋体" w:eastAsia="宋体" w:cs="宋体"/>
                <w:snapToGrid w:val="0"/>
                <w:color w:val="000000"/>
                <w:spacing w:val="-18"/>
                <w:kern w:val="0"/>
                <w:sz w:val="21"/>
                <w:szCs w:val="21"/>
                <w:lang w:val="en-US" w:eastAsia="en-US" w:bidi="ar-SA"/>
              </w:rPr>
              <w:t>合</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snapToGrid w:val="0"/>
                <w:color w:val="000000"/>
                <w:spacing w:val="-18"/>
                <w:kern w:val="0"/>
                <w:sz w:val="21"/>
                <w:szCs w:val="21"/>
                <w:lang w:val="en-US" w:eastAsia="en-US" w:bidi="ar-SA"/>
              </w:rPr>
              <w:t>同</w:t>
            </w:r>
            <w:r>
              <w:rPr>
                <w:rFonts w:ascii="宋体" w:hAnsi="宋体" w:eastAsia="宋体" w:cs="宋体"/>
                <w:snapToGrid w:val="0"/>
                <w:color w:val="000000"/>
                <w:spacing w:val="-2"/>
                <w:kern w:val="0"/>
                <w:sz w:val="21"/>
                <w:szCs w:val="21"/>
                <w:lang w:val="en-US" w:eastAsia="en-US" w:bidi="ar-SA"/>
              </w:rPr>
              <w:t>管理</w:t>
            </w:r>
          </w:p>
        </w:tc>
        <w:tc>
          <w:tcPr>
            <w:tcW w:w="1854" w:type="dxa"/>
            <w:vAlign w:val="top"/>
          </w:tcPr>
          <w:p w14:paraId="23CD15FD">
            <w:pPr>
              <w:kinsoku w:val="0"/>
              <w:autoSpaceDE w:val="0"/>
              <w:autoSpaceDN w:val="0"/>
              <w:adjustRightInd w:val="0"/>
              <w:snapToGrid w:val="0"/>
              <w:spacing w:before="138" w:line="240" w:lineRule="auto"/>
              <w:ind w:left="110" w:right="107" w:firstLine="6"/>
              <w:jc w:val="both"/>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5"/>
                <w:kern w:val="0"/>
                <w:sz w:val="21"/>
                <w:szCs w:val="21"/>
                <w:lang w:val="en-US" w:eastAsia="en-US" w:bidi="ar-SA"/>
              </w:rPr>
              <w:t>☑</w:t>
            </w:r>
            <w:r>
              <w:rPr>
                <w:rFonts w:ascii="宋体" w:hAnsi="宋体" w:eastAsia="宋体" w:cs="宋体"/>
                <w:snapToGrid w:val="0"/>
                <w:color w:val="000000"/>
                <w:spacing w:val="5"/>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0E0383FC">
            <w:pPr>
              <w:kinsoku w:val="0"/>
              <w:autoSpaceDE w:val="0"/>
              <w:autoSpaceDN w:val="0"/>
              <w:adjustRightInd w:val="0"/>
              <w:snapToGrid w:val="0"/>
              <w:spacing w:before="1" w:line="235" w:lineRule="auto"/>
              <w:ind w:left="110" w:right="106" w:firstLine="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独立配备</w:t>
            </w:r>
            <w:r>
              <w:rPr>
                <w:rFonts w:ascii="宋体" w:hAnsi="宋体" w:eastAsia="宋体" w:cs="宋体"/>
                <w:snapToGrid w:val="0"/>
                <w:color w:val="000000"/>
                <w:spacing w:val="40"/>
                <w:kern w:val="0"/>
                <w:sz w:val="21"/>
                <w:szCs w:val="21"/>
                <w:lang w:val="en-US" w:eastAsia="en-US" w:bidi="ar-SA"/>
              </w:rPr>
              <w:t xml:space="preserve"> </w:t>
            </w:r>
            <w:r>
              <w:rPr>
                <w:rFonts w:ascii="Times New Roman" w:hAnsi="Times New Roman" w:eastAsia="Times New Roman" w:cs="Times New Roman"/>
                <w:snapToGrid w:val="0"/>
                <w:color w:val="000000"/>
                <w:spacing w:val="-3"/>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5EA65B2D">
            <w:pPr>
              <w:kinsoku w:val="0"/>
              <w:autoSpaceDE w:val="0"/>
              <w:autoSpaceDN w:val="0"/>
              <w:adjustRightInd w:val="0"/>
              <w:snapToGrid w:val="0"/>
              <w:spacing w:before="62" w:line="221" w:lineRule="auto"/>
              <w:ind w:left="118"/>
              <w:jc w:val="left"/>
              <w:textAlignment w:val="baseline"/>
              <w:rPr>
                <w:rFonts w:ascii="宋体" w:hAnsi="宋体" w:eastAsia="宋体" w:cs="宋体"/>
                <w:snapToGrid w:val="0"/>
                <w:color w:val="000000"/>
                <w:kern w:val="0"/>
                <w:sz w:val="21"/>
                <w:szCs w:val="21"/>
                <w:lang w:val="en-US" w:eastAsia="en-US" w:bidi="ar-SA"/>
              </w:rPr>
            </w:pPr>
            <w:r>
              <w:rPr>
                <w:rFonts w:ascii="MS Gothic" w:hAnsi="MS Gothic" w:eastAsia="MS Gothic" w:cs="MS Gothic"/>
                <w:snapToGrid w:val="0"/>
                <w:color w:val="0000FF"/>
                <w:spacing w:val="-4"/>
                <w:kern w:val="0"/>
                <w:sz w:val="21"/>
                <w:szCs w:val="21"/>
                <w:lang w:val="en-US" w:eastAsia="en-US" w:bidi="ar-SA"/>
              </w:rPr>
              <w:t>☑</w:t>
            </w:r>
            <w:r>
              <w:rPr>
                <w:rFonts w:ascii="宋体" w:hAnsi="宋体" w:eastAsia="宋体" w:cs="宋体"/>
                <w:snapToGrid w:val="0"/>
                <w:color w:val="000000"/>
                <w:spacing w:val="-4"/>
                <w:kern w:val="0"/>
                <w:sz w:val="21"/>
                <w:szCs w:val="21"/>
                <w:lang w:val="en-US" w:eastAsia="en-US" w:bidi="ar-SA"/>
              </w:rPr>
              <w:t>无要求</w:t>
            </w:r>
          </w:p>
          <w:p w14:paraId="55EDDCAF">
            <w:pPr>
              <w:kinsoku w:val="0"/>
              <w:autoSpaceDE w:val="0"/>
              <w:autoSpaceDN w:val="0"/>
              <w:adjustRightInd w:val="0"/>
              <w:snapToGrid w:val="0"/>
              <w:spacing w:before="61" w:line="221" w:lineRule="auto"/>
              <w:ind w:left="13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FF"/>
                <w:spacing w:val="-3"/>
                <w:kern w:val="0"/>
                <w:sz w:val="21"/>
                <w:szCs w:val="21"/>
                <w:lang w:val="en-US" w:eastAsia="en-US" w:bidi="ar-SA"/>
              </w:rPr>
              <w:t>□</w:t>
            </w:r>
            <w:r>
              <w:rPr>
                <w:rFonts w:ascii="宋体" w:hAnsi="宋体" w:eastAsia="宋体" w:cs="宋体"/>
                <w:snapToGrid w:val="0"/>
                <w:color w:val="000000"/>
                <w:spacing w:val="-3"/>
                <w:kern w:val="0"/>
                <w:sz w:val="21"/>
                <w:szCs w:val="21"/>
                <w:lang w:val="en-US" w:eastAsia="en-US" w:bidi="ar-SA"/>
              </w:rPr>
              <w:t>具备以下资质之一：</w:t>
            </w:r>
          </w:p>
          <w:p w14:paraId="72F03FE2">
            <w:pPr>
              <w:kinsoku w:val="0"/>
              <w:autoSpaceDE w:val="0"/>
              <w:autoSpaceDN w:val="0"/>
              <w:adjustRightInd w:val="0"/>
              <w:snapToGrid w:val="0"/>
              <w:spacing w:before="58" w:line="255" w:lineRule="auto"/>
              <w:ind w:left="109" w:righ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注册咨询工程师（投资</w:t>
            </w:r>
            <w:r>
              <w:rPr>
                <w:rFonts w:ascii="宋体" w:hAnsi="宋体" w:eastAsia="宋体" w:cs="宋体"/>
                <w:snapToGrid w:val="0"/>
                <w:color w:val="000000"/>
                <w:spacing w:val="-42"/>
                <w:kern w:val="0"/>
                <w:sz w:val="21"/>
                <w:szCs w:val="21"/>
                <w:lang w:val="en-US" w:eastAsia="en-US" w:bidi="ar-SA"/>
              </w:rPr>
              <w:t>），</w:t>
            </w:r>
            <w:r>
              <w:rPr>
                <w:rFonts w:ascii="宋体" w:hAnsi="宋体" w:eastAsia="宋体" w:cs="宋体"/>
                <w:snapToGrid w:val="0"/>
                <w:color w:val="000000"/>
                <w:spacing w:val="4"/>
                <w:kern w:val="0"/>
                <w:sz w:val="21"/>
                <w:szCs w:val="21"/>
                <w:lang w:val="en-US" w:eastAsia="en-US" w:bidi="ar-SA"/>
              </w:rPr>
              <w:t>注册建</w:t>
            </w:r>
            <w:r>
              <w:rPr>
                <w:rFonts w:ascii="宋体" w:hAnsi="宋体" w:eastAsia="宋体" w:cs="宋体"/>
                <w:snapToGrid w:val="0"/>
                <w:color w:val="000000"/>
                <w:spacing w:val="-2"/>
                <w:kern w:val="0"/>
                <w:sz w:val="21"/>
                <w:szCs w:val="21"/>
                <w:lang w:val="en-US" w:eastAsia="en-US" w:bidi="ar-SA"/>
              </w:rPr>
              <w:t>造师二级及以上，注册造价工程师</w:t>
            </w:r>
            <w:r>
              <w:rPr>
                <w:rFonts w:ascii="宋体" w:hAnsi="宋体" w:eastAsia="宋体" w:cs="宋体"/>
                <w:snapToGrid w:val="0"/>
                <w:color w:val="000000"/>
                <w:spacing w:val="-1"/>
                <w:kern w:val="0"/>
                <w:sz w:val="21"/>
                <w:szCs w:val="21"/>
                <w:lang w:val="en-US" w:eastAsia="en-US" w:bidi="ar-SA"/>
              </w:rPr>
              <w:t>二级及以上、注册监理工程师</w:t>
            </w:r>
          </w:p>
        </w:tc>
        <w:tc>
          <w:tcPr>
            <w:tcW w:w="840" w:type="dxa"/>
            <w:tcBorders>
              <w:top w:val="single" w:color="000000" w:sz="6" w:space="0"/>
              <w:bottom w:val="single" w:color="000000" w:sz="6" w:space="0"/>
            </w:tcBorders>
            <w:vAlign w:val="top"/>
          </w:tcPr>
          <w:p w14:paraId="1A80462C">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7DD996F0">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30BD0C65">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654" w:type="dxa"/>
            <w:tcBorders>
              <w:top w:val="single" w:color="000000" w:sz="6" w:space="0"/>
              <w:bottom w:val="single" w:color="000000" w:sz="6" w:space="0"/>
            </w:tcBorders>
            <w:vAlign w:val="top"/>
          </w:tcPr>
          <w:p w14:paraId="25D2F76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5C234ABB">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5E57319B">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5CDE070F">
            <w:pPr>
              <w:widowControl/>
              <w:kinsoku w:val="0"/>
              <w:autoSpaceDE w:val="0"/>
              <w:autoSpaceDN w:val="0"/>
              <w:adjustRightInd w:val="0"/>
              <w:snapToGrid w:val="0"/>
              <w:spacing w:line="305" w:lineRule="auto"/>
              <w:jc w:val="left"/>
              <w:textAlignment w:val="baseline"/>
              <w:rPr>
                <w:rFonts w:ascii="Arial" w:hAnsi="Arial" w:eastAsia="Arial" w:cs="Arial"/>
                <w:snapToGrid w:val="0"/>
                <w:color w:val="000000"/>
                <w:kern w:val="0"/>
                <w:sz w:val="21"/>
                <w:szCs w:val="21"/>
                <w:lang w:eastAsia="en-US"/>
              </w:rPr>
            </w:pPr>
          </w:p>
          <w:p w14:paraId="200854F3">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37E1DFCA">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665" w:type="dxa"/>
            <w:tcBorders>
              <w:top w:val="single" w:color="000000" w:sz="6" w:space="0"/>
              <w:bottom w:val="single" w:color="000000" w:sz="6" w:space="0"/>
            </w:tcBorders>
            <w:vAlign w:val="top"/>
          </w:tcPr>
          <w:p w14:paraId="73CA1881">
            <w:pPr>
              <w:widowControl/>
              <w:kinsoku w:val="0"/>
              <w:autoSpaceDE w:val="0"/>
              <w:autoSpaceDN w:val="0"/>
              <w:adjustRightInd w:val="0"/>
              <w:snapToGrid w:val="0"/>
              <w:spacing w:line="305" w:lineRule="auto"/>
              <w:jc w:val="left"/>
              <w:textAlignment w:val="baseline"/>
              <w:rPr>
                <w:rFonts w:ascii="Arial" w:hAnsi="Arial" w:eastAsia="Arial" w:cs="Arial"/>
                <w:snapToGrid w:val="0"/>
                <w:color w:val="000000"/>
                <w:kern w:val="0"/>
                <w:sz w:val="21"/>
                <w:szCs w:val="21"/>
                <w:lang w:eastAsia="en-US"/>
              </w:rPr>
            </w:pPr>
          </w:p>
          <w:p w14:paraId="0294212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7227A44D">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7151A76B">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p>
        </w:tc>
      </w:tr>
      <w:tr w14:paraId="28EE5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828" w:type="dxa"/>
            <w:vAlign w:val="top"/>
          </w:tcPr>
          <w:p w14:paraId="763022E1">
            <w:pPr>
              <w:kinsoku w:val="0"/>
              <w:autoSpaceDE w:val="0"/>
              <w:autoSpaceDN w:val="0"/>
              <w:adjustRightInd w:val="0"/>
              <w:snapToGrid w:val="0"/>
              <w:spacing w:before="176" w:line="221" w:lineRule="auto"/>
              <w:ind w:left="1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报建</w:t>
            </w:r>
            <w:r>
              <w:rPr>
                <w:rFonts w:ascii="宋体" w:hAnsi="宋体" w:eastAsia="宋体" w:cs="宋体"/>
                <w:snapToGrid w:val="0"/>
                <w:color w:val="000000"/>
                <w:spacing w:val="-4"/>
                <w:kern w:val="0"/>
                <w:sz w:val="21"/>
                <w:szCs w:val="21"/>
                <w:lang w:val="en-US" w:eastAsia="en-US" w:bidi="ar-SA"/>
              </w:rPr>
              <w:t>及</w:t>
            </w:r>
            <w:r>
              <w:rPr>
                <w:rFonts w:ascii="宋体" w:hAnsi="宋体" w:eastAsia="宋体" w:cs="宋体"/>
                <w:snapToGrid w:val="0"/>
                <w:color w:val="000000"/>
                <w:spacing w:val="92"/>
                <w:kern w:val="0"/>
                <w:sz w:val="21"/>
                <w:szCs w:val="21"/>
                <w:lang w:val="en-US" w:eastAsia="en-US" w:bidi="ar-SA"/>
              </w:rPr>
              <w:t xml:space="preserve"> </w:t>
            </w:r>
            <w:r>
              <w:rPr>
                <w:rFonts w:ascii="宋体" w:hAnsi="宋体" w:eastAsia="宋体" w:cs="宋体"/>
                <w:snapToGrid w:val="0"/>
                <w:color w:val="000000"/>
                <w:spacing w:val="-4"/>
                <w:kern w:val="0"/>
                <w:sz w:val="21"/>
                <w:szCs w:val="21"/>
                <w:lang w:val="en-US" w:eastAsia="en-US" w:bidi="ar-SA"/>
              </w:rPr>
              <w:t>档</w:t>
            </w:r>
            <w:r>
              <w:rPr>
                <w:rFonts w:ascii="宋体" w:hAnsi="宋体" w:eastAsia="宋体" w:cs="宋体"/>
                <w:snapToGrid w:val="0"/>
                <w:color w:val="000000"/>
                <w:spacing w:val="-8"/>
                <w:kern w:val="0"/>
                <w:sz w:val="21"/>
                <w:szCs w:val="21"/>
                <w:lang w:val="en-US" w:eastAsia="en-US" w:bidi="ar-SA"/>
              </w:rPr>
              <w:t>案管</w:t>
            </w:r>
            <w:r>
              <w:rPr>
                <w:rFonts w:ascii="宋体" w:hAnsi="宋体" w:eastAsia="宋体" w:cs="宋体"/>
                <w:snapToGrid w:val="0"/>
                <w:color w:val="000000"/>
                <w:kern w:val="0"/>
                <w:sz w:val="21"/>
                <w:szCs w:val="21"/>
                <w:lang w:val="en-US" w:eastAsia="en-US" w:bidi="ar-SA"/>
              </w:rPr>
              <w:t>理</w:t>
            </w:r>
          </w:p>
        </w:tc>
        <w:tc>
          <w:tcPr>
            <w:tcW w:w="1854" w:type="dxa"/>
            <w:vAlign w:val="top"/>
          </w:tcPr>
          <w:p w14:paraId="7D2453C8">
            <w:pPr>
              <w:kinsoku w:val="0"/>
              <w:autoSpaceDE w:val="0"/>
              <w:autoSpaceDN w:val="0"/>
              <w:adjustRightInd w:val="0"/>
              <w:snapToGrid w:val="0"/>
              <w:spacing w:before="39" w:line="240" w:lineRule="auto"/>
              <w:ind w:left="110" w:right="107" w:firstLine="19"/>
              <w:jc w:val="left"/>
              <w:textAlignment w:val="baseline"/>
              <w:rPr>
                <w:rFonts w:ascii="宋体" w:hAnsi="宋体" w:eastAsia="宋体" w:cs="宋体"/>
                <w:snapToGrid w:val="0"/>
                <w:color w:val="000000"/>
                <w:kern w:val="0"/>
                <w:sz w:val="21"/>
                <w:szCs w:val="21"/>
                <w:lang w:val="en-US" w:eastAsia="en-US" w:bidi="ar-SA"/>
              </w:rPr>
            </w:pPr>
            <w:r>
              <w:rPr>
                <w:rFonts w:hint="eastAsia" w:ascii="宋体" w:hAnsi="宋体" w:cs="宋体"/>
                <w:snapToGrid w:val="0"/>
                <w:color w:val="0000FF"/>
                <w:spacing w:val="3"/>
                <w:kern w:val="0"/>
                <w:sz w:val="21"/>
                <w:szCs w:val="21"/>
                <w:lang w:val="en-US" w:eastAsia="zh-CN" w:bidi="ar-SA"/>
              </w:rPr>
              <w:t>☑</w:t>
            </w:r>
            <w:r>
              <w:rPr>
                <w:rFonts w:ascii="宋体" w:hAnsi="宋体" w:eastAsia="宋体" w:cs="宋体"/>
                <w:snapToGrid w:val="0"/>
                <w:color w:val="000000"/>
                <w:spacing w:val="3"/>
                <w:kern w:val="0"/>
                <w:sz w:val="21"/>
                <w:szCs w:val="21"/>
                <w:lang w:val="en-US" w:eastAsia="en-US" w:bidi="ar-SA"/>
              </w:rPr>
              <w:t>允许独立配</w:t>
            </w:r>
            <w:r>
              <w:rPr>
                <w:rFonts w:ascii="宋体" w:hAnsi="宋体" w:eastAsia="宋体" w:cs="宋体"/>
                <w:snapToGrid w:val="0"/>
                <w:color w:val="000000"/>
                <w:spacing w:val="6"/>
                <w:kern w:val="0"/>
                <w:sz w:val="21"/>
                <w:szCs w:val="21"/>
                <w:lang w:val="en-US" w:eastAsia="en-US" w:bidi="ar-SA"/>
              </w:rPr>
              <w:t>备人员及其他</w:t>
            </w:r>
            <w:r>
              <w:rPr>
                <w:rFonts w:ascii="宋体" w:hAnsi="宋体" w:eastAsia="宋体" w:cs="宋体"/>
                <w:snapToGrid w:val="0"/>
                <w:color w:val="000000"/>
                <w:spacing w:val="-2"/>
                <w:kern w:val="0"/>
                <w:sz w:val="21"/>
                <w:szCs w:val="21"/>
                <w:lang w:val="en-US" w:eastAsia="en-US" w:bidi="ar-SA"/>
              </w:rPr>
              <w:t>人员兼任</w:t>
            </w:r>
          </w:p>
          <w:p w14:paraId="6EEA9153">
            <w:pPr>
              <w:kinsoku w:val="0"/>
              <w:autoSpaceDE w:val="0"/>
              <w:autoSpaceDN w:val="0"/>
              <w:adjustRightInd w:val="0"/>
              <w:snapToGrid w:val="0"/>
              <w:spacing w:before="1" w:line="223" w:lineRule="auto"/>
              <w:ind w:left="110" w:right="106" w:firstLine="6"/>
              <w:jc w:val="left"/>
              <w:textAlignment w:val="baseline"/>
              <w:rPr>
                <w:rFonts w:ascii="宋体" w:hAnsi="宋体" w:eastAsia="宋体" w:cs="宋体"/>
                <w:snapToGrid w:val="0"/>
                <w:color w:val="000000"/>
                <w:kern w:val="0"/>
                <w:sz w:val="21"/>
                <w:szCs w:val="21"/>
                <w:lang w:val="en-US" w:eastAsia="en-US" w:bidi="ar-SA"/>
              </w:rPr>
            </w:pPr>
            <w:r>
              <w:rPr>
                <w:rFonts w:hint="eastAsia" w:ascii="MS Gothic" w:hAnsi="MS Gothic" w:eastAsia="宋体" w:cs="MS Gothic"/>
                <w:snapToGrid w:val="0"/>
                <w:color w:val="0000FF"/>
                <w:kern w:val="0"/>
                <w:sz w:val="21"/>
                <w:szCs w:val="21"/>
                <w:lang w:val="en-US" w:eastAsia="zh-CN" w:bidi="ar-SA"/>
              </w:rPr>
              <w:t>□</w:t>
            </w:r>
            <w:r>
              <w:rPr>
                <w:rFonts w:ascii="宋体" w:hAnsi="宋体" w:eastAsia="宋体" w:cs="宋体"/>
                <w:snapToGrid w:val="0"/>
                <w:color w:val="000000"/>
                <w:kern w:val="0"/>
                <w:sz w:val="21"/>
                <w:szCs w:val="21"/>
                <w:lang w:val="en-US" w:eastAsia="en-US" w:bidi="ar-SA"/>
              </w:rPr>
              <w:t>独立配备</w:t>
            </w:r>
            <w:r>
              <w:rPr>
                <w:rFonts w:ascii="宋体" w:hAnsi="宋体" w:eastAsia="宋体" w:cs="宋体"/>
                <w:snapToGrid w:val="0"/>
                <w:color w:val="000000"/>
                <w:spacing w:val="35"/>
                <w:kern w:val="0"/>
                <w:sz w:val="21"/>
                <w:szCs w:val="21"/>
                <w:lang w:val="en-US" w:eastAsia="en-US" w:bidi="ar-SA"/>
              </w:rPr>
              <w:t xml:space="preserve"> </w:t>
            </w:r>
            <w:r>
              <w:rPr>
                <w:rFonts w:ascii="Times New Roman" w:hAnsi="Times New Roman" w:eastAsia="Times New Roman" w:cs="Times New Roman"/>
                <w:snapToGrid w:val="0"/>
                <w:color w:val="000000"/>
                <w:kern w:val="0"/>
                <w:sz w:val="21"/>
                <w:szCs w:val="21"/>
                <w:lang w:val="en-US" w:eastAsia="en-US" w:bidi="ar-SA"/>
              </w:rPr>
              <w:t>1</w:t>
            </w:r>
            <w:r>
              <w:rPr>
                <w:rFonts w:ascii="宋体" w:hAnsi="宋体" w:eastAsia="宋体" w:cs="宋体"/>
                <w:snapToGrid w:val="0"/>
                <w:color w:val="000000"/>
                <w:kern w:val="0"/>
                <w:sz w:val="21"/>
                <w:szCs w:val="21"/>
                <w:lang w:val="en-US" w:eastAsia="en-US" w:bidi="ar-SA"/>
              </w:rPr>
              <w:t>人</w:t>
            </w:r>
          </w:p>
        </w:tc>
        <w:tc>
          <w:tcPr>
            <w:tcW w:w="3150" w:type="dxa"/>
            <w:tcBorders>
              <w:top w:val="single" w:color="000000" w:sz="6" w:space="0"/>
              <w:bottom w:val="single" w:color="000000" w:sz="6" w:space="0"/>
            </w:tcBorders>
            <w:vAlign w:val="top"/>
          </w:tcPr>
          <w:p w14:paraId="5CA7B404">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1502590E">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1BD8B686">
            <w:pPr>
              <w:kinsoku w:val="0"/>
              <w:autoSpaceDE w:val="0"/>
              <w:autoSpaceDN w:val="0"/>
              <w:adjustRightInd w:val="0"/>
              <w:snapToGrid w:val="0"/>
              <w:spacing w:before="68" w:line="221" w:lineRule="auto"/>
              <w:ind w:left="11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840" w:type="dxa"/>
            <w:tcBorders>
              <w:top w:val="single" w:color="000000" w:sz="6" w:space="0"/>
              <w:bottom w:val="single" w:color="000000" w:sz="6" w:space="0"/>
            </w:tcBorders>
            <w:vAlign w:val="top"/>
          </w:tcPr>
          <w:p w14:paraId="6F0239CD">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04EDE63D">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43B76B51">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无要求</w:t>
            </w:r>
          </w:p>
        </w:tc>
        <w:tc>
          <w:tcPr>
            <w:tcW w:w="654" w:type="dxa"/>
            <w:tcBorders>
              <w:top w:val="single" w:color="000000" w:sz="6" w:space="0"/>
              <w:bottom w:val="single" w:color="000000" w:sz="6" w:space="0"/>
            </w:tcBorders>
            <w:vAlign w:val="top"/>
          </w:tcPr>
          <w:p w14:paraId="148FEE7E">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30B5BAC">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6B2F197E">
            <w:pPr>
              <w:kinsoku w:val="0"/>
              <w:autoSpaceDE w:val="0"/>
              <w:autoSpaceDN w:val="0"/>
              <w:adjustRightInd w:val="0"/>
              <w:snapToGrid w:val="0"/>
              <w:spacing w:before="68" w:line="224" w:lineRule="auto"/>
              <w:ind w:left="11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否</w:t>
            </w:r>
          </w:p>
        </w:tc>
        <w:tc>
          <w:tcPr>
            <w:tcW w:w="1101" w:type="dxa"/>
            <w:tcBorders>
              <w:top w:val="single" w:color="000000" w:sz="6" w:space="0"/>
              <w:bottom w:val="single" w:color="000000" w:sz="6" w:space="0"/>
            </w:tcBorders>
            <w:vAlign w:val="top"/>
          </w:tcPr>
          <w:p w14:paraId="3B83C327">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970AB9">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3C8BDC3C">
            <w:pPr>
              <w:kinsoku w:val="0"/>
              <w:autoSpaceDE w:val="0"/>
              <w:autoSpaceDN w:val="0"/>
              <w:adjustRightInd w:val="0"/>
              <w:snapToGrid w:val="0"/>
              <w:spacing w:before="69" w:line="221" w:lineRule="auto"/>
              <w:ind w:left="1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不允许</w:t>
            </w:r>
          </w:p>
        </w:tc>
        <w:tc>
          <w:tcPr>
            <w:tcW w:w="665" w:type="dxa"/>
            <w:tcBorders>
              <w:top w:val="single" w:color="000000" w:sz="6" w:space="0"/>
              <w:bottom w:val="single" w:color="000000" w:sz="6" w:space="0"/>
            </w:tcBorders>
            <w:vAlign w:val="top"/>
          </w:tcPr>
          <w:p w14:paraId="2E5F9A51">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7468C76B">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0E3C75EC">
            <w:pPr>
              <w:kinsoku w:val="0"/>
              <w:autoSpaceDE w:val="0"/>
              <w:autoSpaceDN w:val="0"/>
              <w:adjustRightInd w:val="0"/>
              <w:snapToGrid w:val="0"/>
              <w:spacing w:before="69" w:line="221" w:lineRule="auto"/>
              <w:ind w:left="12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允许</w:t>
            </w:r>
          </w:p>
        </w:tc>
        <w:tc>
          <w:tcPr>
            <w:tcW w:w="720" w:type="dxa"/>
            <w:tcBorders>
              <w:top w:val="single" w:color="000000" w:sz="6" w:space="0"/>
              <w:bottom w:val="single" w:color="000000" w:sz="6" w:space="0"/>
            </w:tcBorders>
            <w:vAlign w:val="top"/>
          </w:tcPr>
          <w:p w14:paraId="060BEBC2">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000000"/>
                <w:kern w:val="0"/>
                <w:sz w:val="21"/>
                <w:szCs w:val="21"/>
                <w:lang w:eastAsia="en-US"/>
              </w:rPr>
            </w:pPr>
          </w:p>
        </w:tc>
      </w:tr>
    </w:tbl>
    <w:p w14:paraId="2676C424">
      <w:pPr>
        <w:widowControl/>
        <w:kinsoku w:val="0"/>
        <w:autoSpaceDE w:val="0"/>
        <w:autoSpaceDN w:val="0"/>
        <w:adjustRightInd w:val="0"/>
        <w:snapToGrid w:val="0"/>
        <w:spacing w:before="51" w:line="225" w:lineRule="auto"/>
        <w:jc w:val="left"/>
        <w:textAlignment w:val="baseline"/>
        <w:rPr>
          <w:rFonts w:ascii="宋体" w:hAnsi="宋体" w:eastAsia="宋体" w:cs="宋体"/>
          <w:snapToGrid w:val="0"/>
          <w:color w:val="000000"/>
          <w:kern w:val="0"/>
          <w:sz w:val="21"/>
          <w:szCs w:val="21"/>
          <w:lang w:eastAsia="en-US"/>
        </w:rPr>
      </w:pPr>
      <w:r>
        <w:rPr>
          <w:rFonts w:ascii="宋体" w:hAnsi="宋体" w:eastAsia="宋体" w:cs="宋体"/>
          <w:snapToGrid w:val="0"/>
          <w:color w:val="000000"/>
          <w:spacing w:val="-14"/>
          <w:kern w:val="0"/>
          <w:sz w:val="21"/>
          <w:szCs w:val="21"/>
          <w:lang w:eastAsia="en-US"/>
        </w:rPr>
        <w:t>注：</w:t>
      </w:r>
      <w:r>
        <w:rPr>
          <w:rFonts w:ascii="Times New Roman" w:hAnsi="Times New Roman" w:eastAsia="Times New Roman" w:cs="Times New Roman"/>
          <w:snapToGrid w:val="0"/>
          <w:color w:val="000000"/>
          <w:spacing w:val="-1"/>
          <w:kern w:val="0"/>
          <w:sz w:val="21"/>
          <w:szCs w:val="21"/>
          <w:lang w:eastAsia="en-US"/>
        </w:rPr>
        <w:t>1.</w:t>
      </w:r>
      <w:r>
        <w:rPr>
          <w:rFonts w:ascii="宋体" w:hAnsi="宋体" w:eastAsia="宋体" w:cs="宋体"/>
          <w:snapToGrid w:val="0"/>
          <w:color w:val="000000"/>
          <w:spacing w:val="-1"/>
          <w:kern w:val="0"/>
          <w:sz w:val="21"/>
          <w:szCs w:val="21"/>
          <w:lang w:eastAsia="en-US"/>
        </w:rPr>
        <w:t>其他岗位是指代建团队中除代建项目经理岗位以外的</w:t>
      </w:r>
      <w:r>
        <w:rPr>
          <w:rFonts w:ascii="宋体" w:hAnsi="宋体" w:eastAsia="宋体" w:cs="宋体"/>
          <w:snapToGrid w:val="0"/>
          <w:color w:val="000000"/>
          <w:spacing w:val="-2"/>
          <w:kern w:val="0"/>
          <w:sz w:val="21"/>
          <w:szCs w:val="21"/>
          <w:lang w:eastAsia="en-US"/>
        </w:rPr>
        <w:t>其他岗位。</w:t>
      </w:r>
    </w:p>
    <w:p w14:paraId="5963C99E">
      <w:pPr>
        <w:widowControl/>
        <w:kinsoku w:val="0"/>
        <w:autoSpaceDE w:val="0"/>
        <w:autoSpaceDN w:val="0"/>
        <w:adjustRightInd w:val="0"/>
        <w:snapToGrid w:val="0"/>
        <w:spacing w:before="68" w:line="274" w:lineRule="auto"/>
        <w:ind w:firstLine="412" w:firstLineChars="200"/>
        <w:jc w:val="left"/>
        <w:textAlignment w:val="baseline"/>
        <w:rPr>
          <w:rFonts w:ascii="宋体" w:hAnsi="宋体" w:eastAsia="宋体" w:cs="宋体"/>
          <w:snapToGrid w:val="0"/>
          <w:color w:val="000000"/>
          <w:kern w:val="0"/>
          <w:sz w:val="21"/>
          <w:szCs w:val="21"/>
          <w:lang w:eastAsia="en-US"/>
        </w:rPr>
      </w:pPr>
      <w:r>
        <w:rPr>
          <w:rFonts w:ascii="Times New Roman" w:hAnsi="Times New Roman" w:eastAsia="Times New Roman" w:cs="Times New Roman"/>
          <w:snapToGrid w:val="0"/>
          <w:color w:val="000000"/>
          <w:spacing w:val="-2"/>
          <w:kern w:val="0"/>
          <w:sz w:val="21"/>
          <w:szCs w:val="21"/>
          <w:lang w:eastAsia="en-US"/>
        </w:rPr>
        <w:t>2.</w:t>
      </w:r>
      <w:r>
        <w:rPr>
          <w:rFonts w:ascii="宋体" w:hAnsi="宋体" w:eastAsia="宋体" w:cs="宋体"/>
          <w:snapToGrid w:val="0"/>
          <w:color w:val="000000"/>
          <w:spacing w:val="-2"/>
          <w:kern w:val="0"/>
          <w:sz w:val="21"/>
          <w:szCs w:val="21"/>
          <w:lang w:eastAsia="en-US"/>
        </w:rPr>
        <w:t>此表为代建团队人员配备的最低要求，投标人可根据自身情况和代建</w:t>
      </w:r>
      <w:r>
        <w:rPr>
          <w:rFonts w:ascii="宋体" w:hAnsi="宋体" w:eastAsia="宋体" w:cs="宋体"/>
          <w:snapToGrid w:val="0"/>
          <w:color w:val="000000"/>
          <w:spacing w:val="-3"/>
          <w:kern w:val="0"/>
          <w:sz w:val="21"/>
          <w:szCs w:val="21"/>
          <w:lang w:eastAsia="en-US"/>
        </w:rPr>
        <w:t>工作需要提出更有利</w:t>
      </w:r>
      <w:r>
        <w:rPr>
          <w:rFonts w:ascii="宋体" w:hAnsi="宋体" w:eastAsia="宋体" w:cs="宋体"/>
          <w:snapToGrid w:val="0"/>
          <w:color w:val="000000"/>
          <w:spacing w:val="-1"/>
          <w:kern w:val="0"/>
          <w:sz w:val="21"/>
          <w:szCs w:val="21"/>
          <w:lang w:eastAsia="en-US"/>
        </w:rPr>
        <w:t>于招标人的人员配备方案。表中</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人数要求</w:t>
      </w:r>
      <w:r>
        <w:rPr>
          <w:rFonts w:ascii="Times New Roman" w:hAnsi="Times New Roman" w:eastAsia="Times New Roman" w:cs="Times New Roman"/>
          <w:snapToGrid w:val="0"/>
          <w:color w:val="000000"/>
          <w:spacing w:val="-1"/>
          <w:kern w:val="0"/>
          <w:sz w:val="21"/>
          <w:szCs w:val="21"/>
          <w:lang w:eastAsia="en-US"/>
        </w:rPr>
        <w:t>”</w:t>
      </w:r>
      <w:r>
        <w:rPr>
          <w:rFonts w:ascii="宋体" w:hAnsi="宋体" w:eastAsia="宋体" w:cs="宋体"/>
          <w:snapToGrid w:val="0"/>
          <w:color w:val="000000"/>
          <w:spacing w:val="-1"/>
          <w:kern w:val="0"/>
          <w:sz w:val="21"/>
          <w:szCs w:val="21"/>
          <w:lang w:eastAsia="en-US"/>
        </w:rPr>
        <w:t>为</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19"/>
          <w:kern w:val="0"/>
          <w:sz w:val="21"/>
          <w:szCs w:val="21"/>
          <w:lang w:eastAsia="en-US"/>
        </w:rPr>
        <w:t xml:space="preserve"> </w:t>
      </w:r>
      <w:r>
        <w:rPr>
          <w:rFonts w:ascii="宋体" w:hAnsi="宋体" w:eastAsia="宋体" w:cs="宋体"/>
          <w:snapToGrid w:val="0"/>
          <w:color w:val="000000"/>
          <w:spacing w:val="-1"/>
          <w:kern w:val="0"/>
          <w:sz w:val="21"/>
          <w:szCs w:val="21"/>
          <w:lang w:eastAsia="en-US"/>
        </w:rPr>
        <w:t>允许独立配备人员及其他人员兼任</w:t>
      </w:r>
      <w:r>
        <w:rPr>
          <w:rFonts w:ascii="Times New Roman" w:hAnsi="Times New Roman" w:eastAsia="Times New Roman" w:cs="Times New Roman"/>
          <w:snapToGrid w:val="0"/>
          <w:color w:val="000000"/>
          <w:spacing w:val="-1"/>
          <w:kern w:val="0"/>
          <w:sz w:val="21"/>
          <w:szCs w:val="21"/>
          <w:lang w:eastAsia="en-US"/>
        </w:rPr>
        <w:t>”</w:t>
      </w:r>
      <w:r>
        <w:rPr>
          <w:rFonts w:ascii="Times New Roman" w:hAnsi="Times New Roman" w:eastAsia="Times New Roman" w:cs="Times New Roman"/>
          <w:snapToGrid w:val="0"/>
          <w:color w:val="000000"/>
          <w:spacing w:val="-34"/>
          <w:kern w:val="0"/>
          <w:sz w:val="21"/>
          <w:szCs w:val="21"/>
          <w:lang w:eastAsia="en-US"/>
        </w:rPr>
        <w:t xml:space="preserve"> </w:t>
      </w:r>
      <w:r>
        <w:rPr>
          <w:rFonts w:ascii="宋体" w:hAnsi="宋体" w:eastAsia="宋体" w:cs="宋体"/>
          <w:snapToGrid w:val="0"/>
          <w:color w:val="000000"/>
          <w:spacing w:val="-1"/>
          <w:kern w:val="0"/>
          <w:sz w:val="21"/>
          <w:szCs w:val="21"/>
          <w:lang w:eastAsia="en-US"/>
        </w:rPr>
        <w:t>时，本项目独立配备人员可兼任团队其他岗位工作；投标人也可选用本单位其他人员担任，此时均允许该人承担本项目代建以外的工作。</w:t>
      </w:r>
    </w:p>
    <w:p w14:paraId="2BECD416">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000000"/>
          <w:spacing w:val="-3"/>
          <w:kern w:val="0"/>
          <w:sz w:val="21"/>
          <w:szCs w:val="21"/>
          <w:lang w:eastAsia="en-US"/>
        </w:rPr>
      </w:pPr>
      <w:r>
        <w:rPr>
          <w:rFonts w:hint="eastAsia" w:eastAsia="宋体" w:cs="Times New Roman"/>
          <w:snapToGrid w:val="0"/>
          <w:color w:val="000000"/>
          <w:spacing w:val="-2"/>
          <w:kern w:val="0"/>
          <w:sz w:val="21"/>
          <w:szCs w:val="21"/>
          <w:lang w:val="en-US" w:eastAsia="zh-CN"/>
        </w:rPr>
        <w:t>3</w:t>
      </w:r>
      <w:r>
        <w:rPr>
          <w:rFonts w:ascii="Times New Roman" w:hAnsi="Times New Roman" w:eastAsia="Times New Roman" w:cs="Times New Roman"/>
          <w:snapToGrid w:val="0"/>
          <w:color w:val="000000"/>
          <w:spacing w:val="-2"/>
          <w:kern w:val="0"/>
          <w:sz w:val="21"/>
          <w:szCs w:val="21"/>
          <w:lang w:eastAsia="en-US"/>
        </w:rPr>
        <w:t>.</w:t>
      </w:r>
      <w:r>
        <w:rPr>
          <w:rFonts w:ascii="宋体" w:hAnsi="宋体" w:eastAsia="宋体" w:cs="宋体"/>
          <w:snapToGrid w:val="0"/>
          <w:color w:val="000000"/>
          <w:spacing w:val="-2"/>
          <w:kern w:val="0"/>
          <w:sz w:val="21"/>
          <w:szCs w:val="21"/>
          <w:lang w:eastAsia="en-US"/>
        </w:rPr>
        <w:t>投标人为房地产开发企业等，因政策原因项目团队人员</w:t>
      </w:r>
      <w:r>
        <w:rPr>
          <w:rFonts w:ascii="宋体" w:hAnsi="宋体" w:eastAsia="宋体" w:cs="宋体"/>
          <w:snapToGrid w:val="0"/>
          <w:color w:val="000000"/>
          <w:spacing w:val="-3"/>
          <w:kern w:val="0"/>
          <w:sz w:val="21"/>
          <w:szCs w:val="21"/>
          <w:lang w:eastAsia="en-US"/>
        </w:rPr>
        <w:t>执业证书不能注册（登记）的，项</w:t>
      </w:r>
      <w:r>
        <w:rPr>
          <w:rFonts w:ascii="宋体" w:hAnsi="宋体" w:eastAsia="宋体" w:cs="宋体"/>
          <w:snapToGrid w:val="0"/>
          <w:color w:val="000000"/>
          <w:spacing w:val="2"/>
          <w:kern w:val="0"/>
          <w:sz w:val="21"/>
          <w:szCs w:val="21"/>
          <w:lang w:eastAsia="en-US"/>
        </w:rPr>
        <w:t>目团队人员执业证书可不注册（登记</w:t>
      </w:r>
      <w:r>
        <w:rPr>
          <w:rFonts w:ascii="宋体" w:hAnsi="宋体" w:eastAsia="宋体" w:cs="宋体"/>
          <w:snapToGrid w:val="0"/>
          <w:color w:val="000000"/>
          <w:spacing w:val="-54"/>
          <w:w w:val="98"/>
          <w:kern w:val="0"/>
          <w:sz w:val="21"/>
          <w:szCs w:val="21"/>
          <w:lang w:eastAsia="en-US"/>
        </w:rPr>
        <w:t>），</w:t>
      </w:r>
      <w:r>
        <w:rPr>
          <w:rFonts w:ascii="宋体" w:hAnsi="宋体" w:eastAsia="宋体" w:cs="宋体"/>
          <w:snapToGrid w:val="0"/>
          <w:color w:val="000000"/>
          <w:spacing w:val="2"/>
          <w:kern w:val="0"/>
          <w:sz w:val="21"/>
          <w:szCs w:val="21"/>
          <w:lang w:eastAsia="en-US"/>
        </w:rPr>
        <w:t>但其执业证书不得在其他企业注册（登记）</w:t>
      </w:r>
      <w:r>
        <w:rPr>
          <w:rFonts w:ascii="宋体" w:hAnsi="宋体" w:eastAsia="宋体" w:cs="宋体"/>
          <w:snapToGrid w:val="0"/>
          <w:color w:val="000000"/>
          <w:spacing w:val="-3"/>
          <w:kern w:val="0"/>
          <w:sz w:val="21"/>
          <w:szCs w:val="21"/>
          <w:lang w:eastAsia="en-US"/>
        </w:rPr>
        <w:t>。</w:t>
      </w:r>
    </w:p>
    <w:p w14:paraId="27FD6931">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000000"/>
          <w:spacing w:val="-3"/>
          <w:kern w:val="0"/>
          <w:sz w:val="21"/>
          <w:szCs w:val="21"/>
          <w:lang w:eastAsia="en-US"/>
        </w:rPr>
      </w:pPr>
    </w:p>
    <w:p w14:paraId="4CFE1A0C">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七、代建周期交付要求:</w:t>
      </w:r>
    </w:p>
    <w:p w14:paraId="675978F6">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代建项目建成后，应当按照国家和省、市有关规定以及代建合同约定进行竣工验收，工程竣工验收合格后，方可交付使用。</w:t>
      </w:r>
    </w:p>
    <w:p w14:paraId="5CFB8B65">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代建单位应当在竣工验收合格后3个月内协助建设单位向财政部门申请办理工程结算审批事宣。</w:t>
      </w:r>
    </w:p>
    <w:p w14:paraId="0D1D5FC9">
      <w:pPr>
        <w:adjustRightInd w:val="0"/>
        <w:snapToGrid w:val="0"/>
        <w:spacing w:line="360" w:lineRule="auto"/>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八、结算方式</w:t>
      </w:r>
    </w:p>
    <w:p w14:paraId="1B5E5008">
      <w:pPr>
        <w:pStyle w:val="305"/>
        <w:spacing w:line="360" w:lineRule="auto"/>
        <w:rPr>
          <w:rFonts w:hint="eastAsia" w:ascii="宋体" w:hAnsi="宋体" w:eastAsia="宋体" w:cs="宋体"/>
          <w:b/>
          <w:bCs/>
          <w:sz w:val="24"/>
          <w:szCs w:val="24"/>
          <w:highlight w:val="none"/>
          <w:lang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付款人：</w:t>
      </w:r>
      <w:r>
        <w:rPr>
          <w:rFonts w:hint="eastAsia" w:ascii="宋体" w:hAnsi="宋体" w:cs="宋体"/>
          <w:sz w:val="24"/>
          <w:szCs w:val="24"/>
          <w:highlight w:val="none"/>
          <w:lang w:eastAsia="zh-CN"/>
        </w:rPr>
        <w:t>岳阳县教育体育局</w:t>
      </w:r>
    </w:p>
    <w:p w14:paraId="375C3E93">
      <w:pPr>
        <w:pStyle w:val="305"/>
        <w:spacing w:line="360" w:lineRule="auto"/>
        <w:rPr>
          <w:rFonts w:hint="default" w:ascii="宋体" w:hAnsi="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付款方式：</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①</w:t>
      </w:r>
      <w:r>
        <w:rPr>
          <w:rFonts w:hint="eastAsia" w:ascii="宋体" w:hAnsi="宋体" w:cs="宋体"/>
          <w:sz w:val="24"/>
          <w:szCs w:val="24"/>
          <w:lang w:val="en-US" w:eastAsia="zh-CN"/>
        </w:rPr>
        <w:t>本项目代建费第一次拨款为项目正式开工且上级专项资金到位后付总额的30%，乙方向甲方提出书面支付申请和支付凭证，甲方在5个工作日内报请支付；</w:t>
      </w:r>
      <w:r>
        <w:rPr>
          <w:rFonts w:hint="eastAsia" w:ascii="宋体" w:hAnsi="宋体" w:eastAsia="宋体" w:cs="宋体"/>
          <w:sz w:val="24"/>
          <w:szCs w:val="24"/>
          <w:lang w:val="en-US" w:eastAsia="zh-CN"/>
        </w:rPr>
        <w:t>②</w:t>
      </w:r>
      <w:r>
        <w:rPr>
          <w:rFonts w:hint="eastAsia" w:ascii="宋体" w:hAnsi="宋体" w:cs="宋体"/>
          <w:sz w:val="24"/>
          <w:szCs w:val="24"/>
          <w:lang w:val="en-US" w:eastAsia="zh-CN"/>
        </w:rPr>
        <w:t>主体验收完成后，乙方向甲方提出书面支付申请和支付凭证，甲方在10个工作日内，报请支付依据批复的初步设计概算核定代建服务费总金额的40%，代建服务费总金款与暂定总金额有差额的，在本次支付中应按预付款情况予以扣减或补足，如扣减不足的，在下一个支付阶段予以扣减；</w:t>
      </w:r>
      <w:r>
        <w:rPr>
          <w:rFonts w:hint="eastAsia" w:ascii="宋体" w:hAnsi="宋体" w:eastAsia="宋体" w:cs="宋体"/>
          <w:sz w:val="24"/>
          <w:szCs w:val="24"/>
          <w:lang w:val="en-US" w:eastAsia="zh-CN"/>
        </w:rPr>
        <w:t>③</w:t>
      </w:r>
      <w:r>
        <w:rPr>
          <w:rFonts w:hint="eastAsia" w:ascii="宋体" w:hAnsi="宋体" w:cs="宋体"/>
          <w:sz w:val="24"/>
          <w:szCs w:val="24"/>
          <w:lang w:val="en-US" w:eastAsia="zh-CN"/>
        </w:rPr>
        <w:t>余款代建服务费总额的30%待代建范围內工程结算完成后的30日内付清。</w:t>
      </w:r>
    </w:p>
    <w:p w14:paraId="3F72E153">
      <w:pPr>
        <w:pStyle w:val="305"/>
        <w:spacing w:line="360" w:lineRule="auto"/>
        <w:rPr>
          <w:rFonts w:hint="eastAsia" w:ascii="宋体" w:hAnsi="宋体" w:eastAsia="宋体" w:cs="宋体"/>
          <w:sz w:val="21"/>
          <w:szCs w:val="21"/>
        </w:rPr>
      </w:pPr>
    </w:p>
    <w:p w14:paraId="425ABBEC">
      <w:pPr>
        <w:spacing w:before="156" w:beforeLines="50" w:line="360" w:lineRule="auto"/>
        <w:jc w:val="center"/>
        <w:rPr>
          <w:rFonts w:hint="eastAsia" w:ascii="宋体" w:hAnsi="宋体" w:cs="宋体"/>
          <w:b/>
          <w:bCs w:val="0"/>
          <w:color w:val="auto"/>
          <w:kern w:val="2"/>
          <w:sz w:val="32"/>
          <w:szCs w:val="32"/>
          <w:highlight w:val="none"/>
          <w:lang w:val="en-US" w:eastAsia="zh-CN" w:bidi="ar-SA"/>
        </w:rPr>
      </w:pPr>
      <w:r>
        <w:rPr>
          <w:rFonts w:hint="eastAsia" w:ascii="宋体" w:hAnsi="宋体" w:cs="宋体"/>
          <w:b/>
          <w:bCs w:val="0"/>
          <w:color w:val="auto"/>
          <w:kern w:val="2"/>
          <w:sz w:val="32"/>
          <w:szCs w:val="32"/>
          <w:highlight w:val="none"/>
          <w:lang w:val="en-US" w:eastAsia="zh-CN" w:bidi="ar-SA"/>
        </w:rPr>
        <w:t>第三节 商务要求</w:t>
      </w:r>
    </w:p>
    <w:p w14:paraId="1C429816">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一、违约及赔偿责任</w:t>
      </w:r>
    </w:p>
    <w:p w14:paraId="7CF1F3F7">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1.在履行合同过程中发生的下列情况之一的，属中标人方违约：</w:t>
      </w:r>
    </w:p>
    <w:p w14:paraId="038C272D">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1.1中标人将代建管理服务的任何部分转让或分包；</w:t>
      </w:r>
    </w:p>
    <w:p w14:paraId="31C4C484">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1.2中标人未按承诺及时配备代建项目管理团队人员，或未按约定程序擅自更换项目管理团队人员，或因中标人人员履职水平过低而只能撤换的；</w:t>
      </w:r>
    </w:p>
    <w:p w14:paraId="5800082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1.3中标人指令不按政府有效文件确定的建设内容、规模、标准开展项目设计和建设的；</w:t>
      </w:r>
    </w:p>
    <w:p w14:paraId="3532141F">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1.4中标人未经代建主管部门同意，明确表示不履行或实质上已停止履行合同的；</w:t>
      </w:r>
    </w:p>
    <w:p w14:paraId="5631DF0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中标人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3D42AD91">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1.6因中标人工作失职，未能保质保量及时完成合同约定的工作，造成代建周期延误或出现安全责任事故或工程质量不合格的；</w:t>
      </w:r>
    </w:p>
    <w:p w14:paraId="63D96920">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1.7中标人在实体移交证书颁发前、各单位工程缺陷责任期和保修期内，未采取措施及时做好缺陷修复的；或在实体移交证书颁发后、单位工程缺陷责任期内，中标人未应招标人要求组织做好缺陷修复工作的。</w:t>
      </w:r>
    </w:p>
    <w:p w14:paraId="0865F6DC">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1.8代建范围内的项目决算投资突破经批准的概算的；</w:t>
      </w:r>
    </w:p>
    <w:p w14:paraId="77E2141E">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1.9中标人不履行合同其他约定义务的情况。</w:t>
      </w:r>
    </w:p>
    <w:p w14:paraId="43FF1599">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二、违约处理与赔偿责任</w:t>
      </w:r>
    </w:p>
    <w:p w14:paraId="71595E7E">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出现1.1.1.3违约情形的，招标人可根据实际情况报请代建主管部门核实后解除代建合同，或者书面要求中标人3日内改正到位并报请代建主管部门督促中标人整改，如按期改正到位，按相关条款罚收中标人违约金，整改不力的，解除代建合同。出现13.1.2违约情形的，招标人可书面要求中标人3日内改正到位并报请代建主管部门督促中标人整改，整改不力的，解除代建合同。</w:t>
      </w:r>
    </w:p>
    <w:p w14:paraId="03BBA538">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2.2出现1.4情形或中标人在代建管理中严重违法违纪被追究刑事责任、被责令停业、被吊销许可证或执照的或中标人在代建周期内相关招标采购活动中派人担任评委的，招标人报告代建主管部门后解除代建合同。</w:t>
      </w:r>
    </w:p>
    <w:p w14:paraId="5F4DEFA1">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2.3中标人与第三方串通在代建过程中牟取不当利益或损害招标人利益、国家利益的，招标人应报告代建主管部门核实后解除代建合同。情节严重的，依法追究法律责任。</w:t>
      </w:r>
    </w:p>
    <w:p w14:paraId="420CC7AD">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2.4中标人违约致使项目投资增加或招标人经济损失的，所增加的项目投资额和造成的招标人直接经济损失需要代建单位赔偿；代建服务费不足的，代建单位从自有资金中赔偿。</w:t>
      </w:r>
    </w:p>
    <w:p w14:paraId="124E8FA5">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2.5中标人违约导致代建周期延长，项目未能按合同约定的代建项目建设工期竣工时，中标人按合同专用条款约定的数额向招标人支付工期延误赔偿，金额按工期提前奖励对等确定。</w:t>
      </w:r>
    </w:p>
    <w:p w14:paraId="1A78CC6B">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2.6代建项目建设发生质量、安全事故中标人被认定承担责任时，中标人应按合同专用条款约定的数额向招标人支付赔偿金。因中标人责任发生较大以上安全责任事故的，招标人还可报告代建主管部门后解除代建合同。</w:t>
      </w:r>
    </w:p>
    <w:p w14:paraId="029C5702">
      <w:pPr>
        <w:spacing w:before="156" w:beforeLines="5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2.7缺陷责任期内，中标人拒不履行缺陷修复有关义务的，按专用条款约定缴纳违约金。</w:t>
      </w:r>
    </w:p>
    <w:p w14:paraId="33F06F1C">
      <w:pPr>
        <w:spacing w:before="156" w:beforeLines="50" w:line="360" w:lineRule="auto"/>
        <w:ind w:firstLine="480" w:firstLineChars="200"/>
        <w:jc w:val="both"/>
        <w:rPr>
          <w:rFonts w:hint="eastAsia" w:ascii="宋体" w:hAnsi="宋体" w:eastAsia="宋体" w:cs="宋体"/>
          <w:sz w:val="21"/>
          <w:szCs w:val="21"/>
        </w:rPr>
      </w:pPr>
      <w:r>
        <w:rPr>
          <w:rFonts w:hint="eastAsia" w:ascii="宋体" w:hAnsi="宋体" w:eastAsia="宋体" w:cs="宋体"/>
          <w:kern w:val="2"/>
          <w:sz w:val="24"/>
          <w:szCs w:val="24"/>
          <w:lang w:val="en-US" w:eastAsia="zh-CN" w:bidi="ar-SA"/>
        </w:rPr>
        <w:t>2.8中标人违约金累计超过履约担保金额时，甲方可向代建主管部门报告后解除合同并要求中标人赔偿由此引起的损失。</w:t>
      </w:r>
    </w:p>
    <w:p w14:paraId="073D0B51">
      <w:pPr>
        <w:pStyle w:val="61"/>
        <w:ind w:left="0" w:leftChars="0" w:firstLine="0" w:firstLineChars="0"/>
        <w:rPr>
          <w:rFonts w:hint="eastAsia" w:ascii="宋体" w:hAnsi="宋体" w:eastAsia="宋体" w:cs="宋体"/>
          <w:b/>
          <w:color w:val="auto"/>
          <w:sz w:val="32"/>
          <w:szCs w:val="32"/>
        </w:rPr>
      </w:pPr>
      <w:bookmarkStart w:id="32" w:name="_Toc11879750"/>
      <w:bookmarkStart w:id="33" w:name="_Toc11879751"/>
      <w:bookmarkStart w:id="34" w:name="_Toc11879250"/>
    </w:p>
    <w:p w14:paraId="276F5CD7">
      <w:pPr>
        <w:numPr>
          <w:ilvl w:val="0"/>
          <w:numId w:val="0"/>
        </w:numPr>
        <w:spacing w:before="0" w:after="0" w:line="360" w:lineRule="auto"/>
        <w:ind w:left="0" w:leftChars="0" w:firstLine="0" w:firstLineChars="0"/>
        <w:jc w:val="center"/>
        <w:outlineLvl w:val="9"/>
        <w:rPr>
          <w:rFonts w:hint="eastAsia" w:ascii="宋体" w:hAnsi="宋体" w:eastAsia="宋体" w:cs="宋体"/>
          <w:b/>
          <w:color w:val="auto"/>
          <w:sz w:val="32"/>
          <w:szCs w:val="32"/>
        </w:rPr>
      </w:pPr>
      <w:r>
        <w:rPr>
          <w:rFonts w:hint="eastAsia" w:ascii="宋体" w:hAnsi="宋体" w:eastAsia="宋体" w:cs="宋体"/>
          <w:b/>
          <w:color w:val="auto"/>
          <w:sz w:val="32"/>
          <w:szCs w:val="32"/>
        </w:rPr>
        <w:t>第五章 响应文件组成</w:t>
      </w:r>
      <w:bookmarkEnd w:id="32"/>
      <w:bookmarkEnd w:id="33"/>
      <w:bookmarkEnd w:id="34"/>
    </w:p>
    <w:p w14:paraId="6B1F1BCA">
      <w:pPr>
        <w:spacing w:line="360" w:lineRule="auto"/>
        <w:rPr>
          <w:rFonts w:hint="eastAsia" w:ascii="宋体" w:hAnsi="宋体" w:eastAsia="宋体" w:cs="宋体"/>
          <w:color w:val="auto"/>
        </w:rPr>
      </w:pPr>
    </w:p>
    <w:p w14:paraId="428C9207">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供应商的响应文件应包含以下</w:t>
      </w:r>
      <w:r>
        <w:rPr>
          <w:rFonts w:hint="eastAsia" w:ascii="宋体" w:hAnsi="宋体" w:eastAsia="宋体" w:cs="宋体"/>
          <w:color w:val="auto"/>
          <w:szCs w:val="21"/>
          <w:lang w:eastAsia="zh-CN"/>
        </w:rPr>
        <w:t>九</w:t>
      </w:r>
      <w:r>
        <w:rPr>
          <w:rFonts w:hint="eastAsia" w:ascii="宋体" w:hAnsi="宋体" w:eastAsia="宋体" w:cs="宋体"/>
          <w:color w:val="auto"/>
          <w:szCs w:val="21"/>
        </w:rPr>
        <w:t>个部分：</w:t>
      </w:r>
    </w:p>
    <w:p w14:paraId="1386E95C">
      <w:pPr>
        <w:spacing w:line="360" w:lineRule="auto"/>
        <w:rPr>
          <w:rFonts w:hint="eastAsia" w:ascii="宋体" w:hAnsi="宋体" w:eastAsia="宋体" w:cs="宋体"/>
          <w:b/>
          <w:color w:val="auto"/>
          <w:szCs w:val="21"/>
        </w:rPr>
      </w:pPr>
      <w:bookmarkStart w:id="35" w:name="_Toc11879251"/>
      <w:r>
        <w:rPr>
          <w:rFonts w:hint="eastAsia" w:ascii="宋体" w:hAnsi="宋体" w:eastAsia="宋体" w:cs="宋体"/>
          <w:b/>
          <w:color w:val="auto"/>
          <w:szCs w:val="21"/>
        </w:rPr>
        <w:t>一、磋商响应声明</w:t>
      </w:r>
      <w:bookmarkEnd w:id="35"/>
    </w:p>
    <w:p w14:paraId="7D9881A1">
      <w:pPr>
        <w:spacing w:line="360" w:lineRule="auto"/>
        <w:rPr>
          <w:rFonts w:hint="eastAsia" w:ascii="宋体" w:hAnsi="宋体" w:eastAsia="宋体" w:cs="宋体"/>
          <w:color w:val="auto"/>
          <w:szCs w:val="21"/>
        </w:rPr>
      </w:pPr>
      <w:bookmarkStart w:id="36" w:name="_Toc11879252"/>
      <w:r>
        <w:rPr>
          <w:rFonts w:hint="eastAsia" w:ascii="宋体" w:hAnsi="宋体" w:eastAsia="宋体" w:cs="宋体"/>
          <w:color w:val="auto"/>
          <w:szCs w:val="21"/>
        </w:rPr>
        <w:t>附件1：法定代表人身份证明(法定代表人参加磋商)</w:t>
      </w:r>
      <w:bookmarkEnd w:id="36"/>
    </w:p>
    <w:p w14:paraId="0763FE1F">
      <w:pPr>
        <w:spacing w:line="360" w:lineRule="auto"/>
        <w:rPr>
          <w:rFonts w:hint="eastAsia" w:ascii="宋体" w:hAnsi="宋体" w:eastAsia="宋体" w:cs="宋体"/>
          <w:color w:val="auto"/>
          <w:szCs w:val="21"/>
        </w:rPr>
      </w:pPr>
      <w:bookmarkStart w:id="37" w:name="_Toc11879253"/>
      <w:r>
        <w:rPr>
          <w:rFonts w:hint="eastAsia" w:ascii="宋体" w:hAnsi="宋体" w:eastAsia="宋体" w:cs="宋体"/>
          <w:color w:val="auto"/>
          <w:szCs w:val="21"/>
        </w:rPr>
        <w:t>附件2：法定代表人授权书(委托代理人参加磋商)</w:t>
      </w:r>
      <w:bookmarkEnd w:id="37"/>
    </w:p>
    <w:p w14:paraId="1132A0A6">
      <w:pPr>
        <w:spacing w:line="360" w:lineRule="auto"/>
        <w:rPr>
          <w:rFonts w:hint="eastAsia" w:ascii="宋体" w:hAnsi="宋体" w:eastAsia="宋体" w:cs="宋体"/>
          <w:b/>
          <w:color w:val="auto"/>
          <w:szCs w:val="21"/>
        </w:rPr>
      </w:pPr>
      <w:bookmarkStart w:id="38" w:name="_Toc11879255"/>
      <w:r>
        <w:rPr>
          <w:rFonts w:hint="eastAsia" w:ascii="宋体" w:hAnsi="宋体" w:eastAsia="宋体" w:cs="宋体"/>
          <w:b/>
          <w:color w:val="auto"/>
          <w:szCs w:val="21"/>
        </w:rPr>
        <w:t>二、保证金</w:t>
      </w:r>
      <w:bookmarkEnd w:id="38"/>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本项目不需要提供</w:t>
      </w:r>
      <w:r>
        <w:rPr>
          <w:rFonts w:hint="eastAsia" w:ascii="宋体" w:hAnsi="宋体" w:eastAsia="宋体" w:cs="宋体"/>
          <w:b/>
          <w:color w:val="auto"/>
          <w:szCs w:val="21"/>
          <w:highlight w:val="none"/>
          <w:lang w:eastAsia="zh-CN"/>
        </w:rPr>
        <w:t>）</w:t>
      </w:r>
    </w:p>
    <w:p w14:paraId="0E0E7DB7">
      <w:pPr>
        <w:spacing w:line="360" w:lineRule="auto"/>
        <w:rPr>
          <w:rFonts w:hint="eastAsia" w:ascii="宋体" w:hAnsi="宋体" w:eastAsia="宋体" w:cs="宋体"/>
          <w:b/>
          <w:color w:val="auto"/>
          <w:szCs w:val="21"/>
        </w:rPr>
      </w:pPr>
      <w:bookmarkStart w:id="39" w:name="_Toc11879257"/>
      <w:r>
        <w:rPr>
          <w:rFonts w:hint="eastAsia" w:ascii="宋体" w:hAnsi="宋体" w:eastAsia="宋体" w:cs="宋体"/>
          <w:b/>
          <w:color w:val="auto"/>
          <w:szCs w:val="21"/>
        </w:rPr>
        <w:t>三、供应商的资格证明材料</w:t>
      </w:r>
      <w:bookmarkEnd w:id="39"/>
    </w:p>
    <w:p w14:paraId="0CF12A85">
      <w:pPr>
        <w:spacing w:line="360" w:lineRule="auto"/>
        <w:rPr>
          <w:rFonts w:hint="eastAsia" w:ascii="宋体" w:hAnsi="宋体" w:eastAsia="宋体" w:cs="宋体"/>
          <w:color w:val="auto"/>
          <w:szCs w:val="21"/>
        </w:rPr>
      </w:pPr>
      <w:bookmarkStart w:id="40" w:name="_Toc11879258"/>
      <w:r>
        <w:rPr>
          <w:rFonts w:hint="eastAsia" w:ascii="宋体" w:hAnsi="宋体" w:eastAsia="宋体" w:cs="宋体"/>
          <w:color w:val="auto"/>
          <w:szCs w:val="21"/>
        </w:rPr>
        <w:t>附件</w:t>
      </w:r>
      <w:r>
        <w:rPr>
          <w:rFonts w:hint="eastAsia" w:ascii="宋体" w:hAnsi="宋体" w:eastAsia="宋体" w:cs="宋体"/>
          <w:color w:val="auto"/>
          <w:szCs w:val="21"/>
          <w:lang w:val="en-US" w:eastAsia="zh-CN"/>
        </w:rPr>
        <w:t>3</w:t>
      </w:r>
      <w:r>
        <w:rPr>
          <w:rFonts w:hint="eastAsia" w:ascii="宋体" w:hAnsi="宋体" w:eastAsia="宋体" w:cs="宋体"/>
          <w:color w:val="auto"/>
          <w:szCs w:val="21"/>
        </w:rPr>
        <w:t>：供应商基本情况表</w:t>
      </w:r>
      <w:bookmarkEnd w:id="40"/>
    </w:p>
    <w:p w14:paraId="54C333D3">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4：</w:t>
      </w:r>
      <w:r>
        <w:rPr>
          <w:rFonts w:hint="eastAsia" w:ascii="宋体" w:hAnsi="宋体" w:eastAsia="宋体" w:cs="宋体"/>
          <w:sz w:val="21"/>
          <w:szCs w:val="21"/>
        </w:rPr>
        <w:t>磋商文件规定的基本资格条件证明资料</w:t>
      </w:r>
    </w:p>
    <w:p w14:paraId="712CFEFD">
      <w:pPr>
        <w:spacing w:line="360" w:lineRule="auto"/>
        <w:rPr>
          <w:rFonts w:hint="eastAsia" w:ascii="宋体" w:hAnsi="宋体" w:eastAsia="宋体" w:cs="宋体"/>
          <w:color w:val="auto"/>
          <w:szCs w:val="21"/>
          <w:lang w:val="en-US" w:eastAsia="zh-CN"/>
        </w:rPr>
      </w:pPr>
      <w:r>
        <w:rPr>
          <w:rFonts w:hint="eastAsia" w:ascii="宋体" w:hAnsi="宋体" w:eastAsia="宋体" w:cs="宋体"/>
          <w:sz w:val="21"/>
          <w:szCs w:val="21"/>
        </w:rPr>
        <w:t>附件</w:t>
      </w:r>
      <w:r>
        <w:rPr>
          <w:rFonts w:hint="eastAsia" w:ascii="宋体" w:hAnsi="宋体" w:eastAsia="宋体" w:cs="宋体"/>
          <w:sz w:val="21"/>
          <w:szCs w:val="21"/>
          <w:lang w:val="en-US" w:eastAsia="zh-CN"/>
        </w:rPr>
        <w:t>4-1：湖南省政府采购供应商</w:t>
      </w:r>
      <w:r>
        <w:rPr>
          <w:rFonts w:hint="eastAsia" w:ascii="宋体" w:hAnsi="宋体" w:eastAsia="宋体" w:cs="宋体"/>
          <w:color w:val="auto"/>
          <w:szCs w:val="21"/>
          <w:lang w:val="en-US" w:eastAsia="zh-CN"/>
        </w:rPr>
        <w:t>资格承诺函</w:t>
      </w:r>
    </w:p>
    <w:p w14:paraId="794BBB59">
      <w:pPr>
        <w:spacing w:line="360" w:lineRule="auto"/>
        <w:rPr>
          <w:rFonts w:hint="eastAsia" w:ascii="宋体" w:hAnsi="宋体" w:eastAsia="宋体" w:cs="宋体"/>
          <w:color w:val="auto"/>
          <w:szCs w:val="21"/>
        </w:rPr>
      </w:pPr>
      <w:r>
        <w:rPr>
          <w:rFonts w:hint="eastAsia" w:ascii="宋体" w:hAnsi="宋体" w:eastAsia="宋体" w:cs="宋体"/>
          <w:color w:val="auto"/>
          <w:szCs w:val="21"/>
        </w:rPr>
        <w:t>附件</w:t>
      </w:r>
      <w:r>
        <w:rPr>
          <w:rFonts w:hint="eastAsia" w:ascii="宋体" w:hAnsi="宋体" w:eastAsia="宋体" w:cs="宋体"/>
          <w:color w:val="auto"/>
          <w:szCs w:val="21"/>
          <w:lang w:val="en-US" w:eastAsia="zh-CN"/>
        </w:rPr>
        <w:t>5：</w:t>
      </w:r>
      <w:r>
        <w:rPr>
          <w:rFonts w:hint="eastAsia" w:ascii="宋体" w:hAnsi="宋体" w:eastAsia="宋体" w:cs="宋体"/>
          <w:color w:val="auto"/>
          <w:szCs w:val="21"/>
        </w:rPr>
        <w:t>磋商文件规定的特定资格条件证明资料</w:t>
      </w:r>
    </w:p>
    <w:p w14:paraId="2DDE469F">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6</w:t>
      </w:r>
      <w:r>
        <w:rPr>
          <w:rFonts w:hint="eastAsia" w:ascii="宋体" w:hAnsi="宋体" w:eastAsia="宋体" w:cs="宋体"/>
          <w:sz w:val="21"/>
          <w:szCs w:val="21"/>
        </w:rPr>
        <w:t>：其他说明</w:t>
      </w:r>
    </w:p>
    <w:p w14:paraId="7D7A3326">
      <w:pPr>
        <w:numPr>
          <w:ilvl w:val="0"/>
          <w:numId w:val="9"/>
        </w:numPr>
        <w:spacing w:line="360" w:lineRule="auto"/>
        <w:rPr>
          <w:rFonts w:hint="eastAsia" w:ascii="宋体" w:hAnsi="宋体" w:eastAsia="宋体" w:cs="宋体"/>
          <w:b/>
        </w:rPr>
      </w:pPr>
      <w:bookmarkStart w:id="41" w:name="_Toc28942"/>
      <w:bookmarkStart w:id="42" w:name="_Toc11879261"/>
      <w:r>
        <w:rPr>
          <w:rFonts w:hint="eastAsia" w:ascii="宋体" w:hAnsi="宋体" w:eastAsia="宋体" w:cs="宋体"/>
          <w:b/>
          <w:lang w:val="en-US" w:eastAsia="zh-CN"/>
        </w:rPr>
        <w:t>服务</w:t>
      </w:r>
      <w:r>
        <w:rPr>
          <w:rFonts w:hint="eastAsia" w:ascii="宋体" w:hAnsi="宋体" w:eastAsia="宋体" w:cs="宋体"/>
          <w:b/>
        </w:rPr>
        <w:t>方案</w:t>
      </w:r>
      <w:bookmarkEnd w:id="41"/>
    </w:p>
    <w:p w14:paraId="014DDB90">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主要人员简历表</w:t>
      </w:r>
    </w:p>
    <w:bookmarkEnd w:id="42"/>
    <w:p w14:paraId="74B1C6A2">
      <w:pPr>
        <w:spacing w:line="360" w:lineRule="auto"/>
        <w:rPr>
          <w:rFonts w:hint="eastAsia" w:ascii="宋体" w:hAnsi="宋体" w:eastAsia="宋体" w:cs="宋体"/>
          <w:b/>
          <w:color w:val="auto"/>
          <w:szCs w:val="21"/>
        </w:rPr>
      </w:pPr>
      <w:bookmarkStart w:id="43" w:name="_Toc11879263"/>
      <w:r>
        <w:rPr>
          <w:rFonts w:hint="eastAsia" w:ascii="宋体" w:hAnsi="宋体" w:eastAsia="宋体" w:cs="宋体"/>
          <w:b/>
          <w:color w:val="auto"/>
          <w:szCs w:val="21"/>
        </w:rPr>
        <w:t>五、技术/商务响应与偏离表</w:t>
      </w:r>
      <w:bookmarkEnd w:id="43"/>
    </w:p>
    <w:p w14:paraId="0BFB2984">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六、提供政府采购政策产品等证明材料</w:t>
      </w:r>
    </w:p>
    <w:p w14:paraId="418AD421">
      <w:pPr>
        <w:spacing w:line="360" w:lineRule="auto"/>
        <w:rPr>
          <w:rFonts w:hint="eastAsia" w:ascii="宋体" w:hAnsi="宋体" w:eastAsia="宋体" w:cs="宋体"/>
          <w:color w:val="auto"/>
          <w:szCs w:val="21"/>
        </w:rPr>
      </w:pPr>
      <w:r>
        <w:rPr>
          <w:rFonts w:hint="eastAsia" w:ascii="宋体" w:hAnsi="宋体" w:eastAsia="宋体" w:cs="宋体"/>
          <w:color w:val="auto"/>
          <w:szCs w:val="21"/>
        </w:rPr>
        <w:t>附件</w:t>
      </w:r>
      <w:r>
        <w:rPr>
          <w:rFonts w:hint="eastAsia" w:ascii="宋体" w:hAnsi="宋体" w:eastAsia="宋体" w:cs="宋体"/>
          <w:color w:val="auto"/>
          <w:szCs w:val="21"/>
          <w:lang w:val="en-US" w:eastAsia="zh-CN"/>
        </w:rPr>
        <w:t>8</w:t>
      </w:r>
      <w:r>
        <w:rPr>
          <w:rFonts w:hint="eastAsia" w:ascii="宋体" w:hAnsi="宋体" w:eastAsia="宋体" w:cs="宋体"/>
          <w:color w:val="auto"/>
          <w:szCs w:val="21"/>
        </w:rPr>
        <w:t>：中小企业声明函</w:t>
      </w:r>
    </w:p>
    <w:p w14:paraId="7512057B">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七、报价一览表及报价文件</w:t>
      </w:r>
    </w:p>
    <w:p w14:paraId="7B7192E6">
      <w:pPr>
        <w:spacing w:line="360" w:lineRule="auto"/>
        <w:rPr>
          <w:rFonts w:hint="eastAsia" w:ascii="宋体" w:hAnsi="宋体" w:eastAsia="宋体" w:cs="宋体"/>
          <w:color w:val="auto"/>
          <w:szCs w:val="21"/>
        </w:rPr>
      </w:pPr>
      <w:bookmarkStart w:id="44" w:name="_Toc11879264"/>
      <w:r>
        <w:rPr>
          <w:rFonts w:hint="eastAsia" w:ascii="宋体" w:hAnsi="宋体" w:eastAsia="宋体" w:cs="宋体"/>
          <w:color w:val="auto"/>
          <w:szCs w:val="21"/>
        </w:rPr>
        <w:t>附件</w:t>
      </w:r>
      <w:r>
        <w:rPr>
          <w:rFonts w:hint="eastAsia" w:ascii="宋体" w:hAnsi="宋体" w:eastAsia="宋体" w:cs="宋体"/>
          <w:color w:val="auto"/>
          <w:szCs w:val="21"/>
          <w:lang w:val="en-US" w:eastAsia="zh-CN"/>
        </w:rPr>
        <w:t>9</w:t>
      </w:r>
      <w:r>
        <w:rPr>
          <w:rFonts w:hint="eastAsia" w:ascii="宋体" w:hAnsi="宋体" w:eastAsia="宋体" w:cs="宋体"/>
          <w:color w:val="auto"/>
          <w:szCs w:val="21"/>
        </w:rPr>
        <w:t>：报价一览表</w:t>
      </w:r>
      <w:bookmarkEnd w:id="44"/>
    </w:p>
    <w:p w14:paraId="418F57E3">
      <w:pPr>
        <w:spacing w:line="360" w:lineRule="auto"/>
        <w:rPr>
          <w:rFonts w:hint="eastAsia" w:ascii="宋体" w:hAnsi="宋体" w:eastAsia="宋体" w:cs="宋体"/>
          <w:color w:val="auto"/>
          <w:szCs w:val="21"/>
        </w:rPr>
      </w:pPr>
      <w:bookmarkStart w:id="45" w:name="_Toc11879265"/>
      <w:r>
        <w:rPr>
          <w:rFonts w:hint="eastAsia" w:ascii="宋体" w:hAnsi="宋体" w:eastAsia="宋体" w:cs="宋体"/>
          <w:color w:val="auto"/>
          <w:szCs w:val="21"/>
        </w:rPr>
        <w:t>附件</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：报价文件</w:t>
      </w:r>
      <w:bookmarkEnd w:id="45"/>
    </w:p>
    <w:p w14:paraId="09C137B2">
      <w:pPr>
        <w:keepNext w:val="0"/>
        <w:keepLines w:val="0"/>
        <w:pageBreakBefore w:val="0"/>
        <w:widowControl w:val="0"/>
        <w:numPr>
          <w:ilvl w:val="0"/>
          <w:numId w:val="1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szCs w:val="21"/>
        </w:rPr>
      </w:pPr>
      <w:r>
        <w:rPr>
          <w:rFonts w:hint="eastAsia" w:ascii="宋体" w:hAnsi="宋体" w:eastAsia="宋体" w:cs="宋体"/>
          <w:b/>
          <w:color w:val="auto"/>
          <w:szCs w:val="21"/>
        </w:rPr>
        <w:t>供应商认为需提供的其它资料</w:t>
      </w:r>
    </w:p>
    <w:p w14:paraId="7AA078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rPr>
      </w:pPr>
      <w:r>
        <w:rPr>
          <w:rFonts w:hint="eastAsia" w:ascii="宋体" w:hAnsi="宋体" w:eastAsia="宋体" w:cs="宋体"/>
          <w:b/>
          <w:color w:val="auto"/>
          <w:szCs w:val="21"/>
        </w:rPr>
        <w:t>九、最后报价</w:t>
      </w:r>
    </w:p>
    <w:p w14:paraId="78297A9D">
      <w:pPr>
        <w:adjustRightInd w:val="0"/>
        <w:snapToGrid w:val="0"/>
        <w:spacing w:line="360" w:lineRule="auto"/>
        <w:rPr>
          <w:rFonts w:hint="eastAsia" w:ascii="宋体" w:hAnsi="宋体" w:eastAsia="宋体" w:cs="宋体"/>
          <w:color w:val="auto"/>
          <w:kern w:val="0"/>
          <w:szCs w:val="21"/>
        </w:rPr>
      </w:pPr>
    </w:p>
    <w:p w14:paraId="1F06A212">
      <w:pPr>
        <w:adjustRightInd w:val="0"/>
        <w:snapToGrid w:val="0"/>
        <w:spacing w:line="360" w:lineRule="auto"/>
        <w:rPr>
          <w:rFonts w:hint="eastAsia" w:ascii="宋体" w:hAnsi="宋体" w:eastAsia="宋体" w:cs="宋体"/>
          <w:color w:val="auto"/>
          <w:kern w:val="0"/>
          <w:szCs w:val="21"/>
        </w:rPr>
      </w:pPr>
    </w:p>
    <w:p w14:paraId="275DE4F7">
      <w:pPr>
        <w:adjustRightInd w:val="0"/>
        <w:snapToGrid w:val="0"/>
        <w:spacing w:line="360" w:lineRule="auto"/>
        <w:rPr>
          <w:rFonts w:hint="eastAsia" w:ascii="宋体" w:hAnsi="宋体" w:eastAsia="宋体" w:cs="宋体"/>
          <w:color w:val="auto"/>
          <w:kern w:val="0"/>
          <w:szCs w:val="21"/>
        </w:rPr>
      </w:pPr>
    </w:p>
    <w:p w14:paraId="6424E6C5">
      <w:pPr>
        <w:adjustRightInd w:val="0"/>
        <w:snapToGrid w:val="0"/>
        <w:spacing w:line="360" w:lineRule="auto"/>
        <w:rPr>
          <w:rFonts w:hint="eastAsia" w:ascii="宋体" w:hAnsi="宋体" w:eastAsia="宋体" w:cs="宋体"/>
          <w:color w:val="auto"/>
          <w:kern w:val="0"/>
          <w:szCs w:val="21"/>
        </w:rPr>
      </w:pPr>
    </w:p>
    <w:p w14:paraId="2A3C7F12">
      <w:pPr>
        <w:adjustRightInd w:val="0"/>
        <w:snapToGrid w:val="0"/>
        <w:spacing w:line="360" w:lineRule="auto"/>
        <w:rPr>
          <w:rFonts w:hint="eastAsia" w:ascii="宋体" w:hAnsi="宋体" w:eastAsia="宋体" w:cs="宋体"/>
          <w:color w:val="auto"/>
          <w:kern w:val="0"/>
          <w:szCs w:val="21"/>
        </w:rPr>
      </w:pPr>
    </w:p>
    <w:p w14:paraId="5AEA841C">
      <w:pPr>
        <w:adjustRightInd w:val="0"/>
        <w:snapToGrid w:val="0"/>
        <w:spacing w:line="360" w:lineRule="auto"/>
        <w:rPr>
          <w:rFonts w:hint="eastAsia" w:ascii="宋体" w:hAnsi="宋体" w:eastAsia="宋体" w:cs="宋体"/>
          <w:color w:val="auto"/>
          <w:kern w:val="0"/>
          <w:szCs w:val="21"/>
        </w:rPr>
      </w:pPr>
    </w:p>
    <w:p w14:paraId="73F0A7B6">
      <w:pPr>
        <w:pStyle w:val="24"/>
        <w:adjustRightInd w:val="0"/>
        <w:snapToGrid w:val="0"/>
        <w:spacing w:line="360" w:lineRule="auto"/>
        <w:jc w:val="both"/>
        <w:outlineLvl w:val="0"/>
        <w:rPr>
          <w:rFonts w:hint="eastAsia" w:ascii="宋体" w:hAnsi="宋体" w:eastAsia="宋体" w:cs="宋体"/>
          <w:b/>
          <w:bCs/>
          <w:sz w:val="72"/>
          <w:szCs w:val="72"/>
        </w:rPr>
      </w:pPr>
      <w:bookmarkStart w:id="46" w:name="_Toc17206"/>
      <w:bookmarkStart w:id="47" w:name="_Toc2073"/>
      <w:bookmarkStart w:id="48" w:name="_Toc12780"/>
    </w:p>
    <w:p w14:paraId="243006FC">
      <w:pPr>
        <w:pStyle w:val="24"/>
        <w:adjustRightInd w:val="0"/>
        <w:snapToGrid w:val="0"/>
        <w:spacing w:line="360" w:lineRule="auto"/>
        <w:jc w:val="center"/>
        <w:outlineLvl w:val="0"/>
        <w:rPr>
          <w:rFonts w:hint="eastAsia" w:ascii="宋体" w:hAnsi="宋体" w:eastAsia="宋体" w:cs="宋体"/>
          <w:b/>
          <w:bCs/>
          <w:sz w:val="72"/>
          <w:szCs w:val="72"/>
        </w:rPr>
      </w:pPr>
      <w:r>
        <w:rPr>
          <w:rFonts w:hint="eastAsia" w:ascii="宋体" w:hAnsi="宋体" w:eastAsia="宋体" w:cs="宋体"/>
          <w:b/>
          <w:bCs/>
          <w:sz w:val="72"/>
          <w:szCs w:val="72"/>
        </w:rPr>
        <w:t>政府采购</w:t>
      </w:r>
      <w:bookmarkEnd w:id="46"/>
      <w:bookmarkEnd w:id="47"/>
      <w:bookmarkEnd w:id="48"/>
    </w:p>
    <w:p w14:paraId="23D543D8">
      <w:pPr>
        <w:adjustRightInd w:val="0"/>
        <w:snapToGrid w:val="0"/>
        <w:spacing w:line="360" w:lineRule="auto"/>
        <w:jc w:val="center"/>
        <w:outlineLvl w:val="0"/>
        <w:rPr>
          <w:rFonts w:hint="eastAsia" w:ascii="宋体" w:hAnsi="宋体" w:eastAsia="宋体" w:cs="宋体"/>
          <w:b/>
          <w:bCs/>
          <w:sz w:val="84"/>
          <w:szCs w:val="84"/>
        </w:rPr>
      </w:pPr>
      <w:bookmarkStart w:id="49" w:name="_Toc19368"/>
      <w:bookmarkStart w:id="50" w:name="_Toc22520"/>
      <w:bookmarkStart w:id="51" w:name="_Toc14509"/>
      <w:r>
        <w:rPr>
          <w:rFonts w:hint="eastAsia" w:ascii="宋体" w:hAnsi="宋体" w:eastAsia="宋体" w:cs="宋体"/>
          <w:b/>
          <w:bCs/>
          <w:sz w:val="84"/>
          <w:szCs w:val="84"/>
        </w:rPr>
        <w:t>响 应 文 件</w:t>
      </w:r>
      <w:bookmarkEnd w:id="49"/>
      <w:bookmarkEnd w:id="50"/>
      <w:bookmarkEnd w:id="51"/>
    </w:p>
    <w:p w14:paraId="3CD087F8">
      <w:pPr>
        <w:adjustRightInd w:val="0"/>
        <w:snapToGrid w:val="0"/>
        <w:spacing w:line="360" w:lineRule="auto"/>
        <w:rPr>
          <w:rFonts w:hint="eastAsia" w:ascii="宋体" w:hAnsi="宋体" w:eastAsia="宋体" w:cs="宋体"/>
          <w:b/>
          <w:color w:val="000000"/>
          <w:sz w:val="32"/>
          <w:szCs w:val="32"/>
        </w:rPr>
      </w:pPr>
    </w:p>
    <w:p w14:paraId="2F45B3CB">
      <w:pPr>
        <w:adjustRightInd w:val="0"/>
        <w:snapToGrid w:val="0"/>
        <w:spacing w:line="360" w:lineRule="auto"/>
        <w:rPr>
          <w:rFonts w:hint="eastAsia" w:ascii="宋体" w:hAnsi="宋体" w:eastAsia="宋体" w:cs="宋体"/>
          <w:b/>
          <w:color w:val="000000"/>
          <w:sz w:val="30"/>
          <w:szCs w:val="30"/>
        </w:rPr>
      </w:pPr>
    </w:p>
    <w:p w14:paraId="2C7208C6">
      <w:pPr>
        <w:pStyle w:val="24"/>
        <w:adjustRightInd w:val="0"/>
        <w:snapToGrid w:val="0"/>
        <w:spacing w:line="360" w:lineRule="auto"/>
        <w:ind w:left="1898" w:leftChars="904" w:firstLine="0" w:firstLineChars="0"/>
        <w:jc w:val="left"/>
        <w:outlineLvl w:val="0"/>
        <w:rPr>
          <w:rFonts w:hint="eastAsia" w:ascii="宋体" w:hAnsi="宋体" w:eastAsia="宋体" w:cs="宋体"/>
          <w:b/>
          <w:bCs/>
          <w:sz w:val="30"/>
          <w:szCs w:val="30"/>
          <w:u w:val="single"/>
          <w:lang w:val="en-US" w:eastAsia="zh-CN"/>
        </w:rPr>
      </w:pPr>
      <w:bookmarkStart w:id="52" w:name="_Toc16001"/>
      <w:bookmarkStart w:id="53" w:name="_Toc5580"/>
      <w:bookmarkStart w:id="54" w:name="_Toc2266"/>
      <w:r>
        <w:rPr>
          <w:rFonts w:hint="eastAsia" w:ascii="宋体" w:hAnsi="宋体" w:eastAsia="宋体" w:cs="宋体"/>
          <w:b/>
          <w:bCs/>
          <w:sz w:val="30"/>
          <w:szCs w:val="30"/>
        </w:rPr>
        <w:t>采购项目名称</w:t>
      </w:r>
      <w:bookmarkEnd w:id="52"/>
      <w:bookmarkEnd w:id="53"/>
      <w:r>
        <w:rPr>
          <w:rFonts w:hint="eastAsia" w:ascii="宋体" w:hAnsi="宋体" w:eastAsia="宋体" w:cs="宋体"/>
          <w:b/>
          <w:bCs/>
          <w:sz w:val="30"/>
          <w:szCs w:val="30"/>
          <w:lang w:eastAsia="zh-CN"/>
        </w:rPr>
        <w:t>：</w:t>
      </w:r>
      <w:bookmarkEnd w:id="54"/>
      <w:bookmarkStart w:id="55" w:name="_Toc25482"/>
      <w:bookmarkStart w:id="56" w:name="_Toc5608"/>
      <w:bookmarkStart w:id="57" w:name="_Toc16838"/>
      <w:r>
        <w:rPr>
          <w:rFonts w:hint="eastAsia" w:ascii="宋体" w:hAnsi="宋体" w:eastAsia="宋体" w:cs="宋体"/>
          <w:b/>
          <w:bCs/>
          <w:sz w:val="30"/>
          <w:szCs w:val="30"/>
          <w:u w:val="single"/>
          <w:lang w:val="en-US" w:eastAsia="zh-CN"/>
        </w:rPr>
        <w:t xml:space="preserve">                        </w:t>
      </w:r>
    </w:p>
    <w:p w14:paraId="29034A14">
      <w:pPr>
        <w:pStyle w:val="24"/>
        <w:adjustRightInd w:val="0"/>
        <w:snapToGrid w:val="0"/>
        <w:spacing w:line="360" w:lineRule="auto"/>
        <w:ind w:left="1898" w:leftChars="904" w:firstLine="0" w:firstLineChars="0"/>
        <w:jc w:val="left"/>
        <w:outlineLvl w:val="0"/>
        <w:rPr>
          <w:rFonts w:hint="eastAsia" w:ascii="宋体" w:hAnsi="宋体" w:eastAsia="宋体" w:cs="宋体"/>
          <w:b/>
          <w:bCs/>
          <w:sz w:val="30"/>
          <w:szCs w:val="30"/>
          <w:lang w:eastAsia="zh-CN"/>
        </w:rPr>
      </w:pPr>
      <w:r>
        <w:rPr>
          <w:rFonts w:hint="eastAsia" w:ascii="宋体" w:hAnsi="宋体" w:eastAsia="宋体" w:cs="宋体"/>
          <w:b/>
          <w:bCs/>
          <w:sz w:val="30"/>
          <w:szCs w:val="30"/>
        </w:rPr>
        <w:t>采   购   人</w:t>
      </w:r>
      <w:bookmarkEnd w:id="55"/>
      <w:bookmarkEnd w:id="56"/>
      <w:r>
        <w:rPr>
          <w:rFonts w:hint="eastAsia" w:ascii="宋体" w:hAnsi="宋体" w:eastAsia="宋体" w:cs="宋体"/>
          <w:b/>
          <w:bCs/>
          <w:sz w:val="30"/>
          <w:szCs w:val="30"/>
          <w:lang w:eastAsia="zh-CN"/>
        </w:rPr>
        <w:t>：</w:t>
      </w:r>
      <w:bookmarkEnd w:id="57"/>
      <w:r>
        <w:rPr>
          <w:rFonts w:hint="eastAsia" w:ascii="宋体" w:hAnsi="宋体" w:eastAsia="宋体" w:cs="宋体"/>
          <w:b/>
          <w:bCs/>
          <w:sz w:val="30"/>
          <w:szCs w:val="30"/>
          <w:u w:val="single"/>
        </w:rPr>
        <w:t xml:space="preserve">                     </w:t>
      </w:r>
      <w:r>
        <w:rPr>
          <w:rFonts w:hint="eastAsia" w:ascii="宋体" w:hAnsi="宋体" w:eastAsia="宋体" w:cs="宋体"/>
          <w:b/>
          <w:bCs/>
          <w:sz w:val="30"/>
          <w:szCs w:val="30"/>
          <w:u w:val="single"/>
          <w:lang w:val="en-US" w:eastAsia="zh-CN"/>
        </w:rPr>
        <w:t xml:space="preserve"> </w:t>
      </w:r>
      <w:r>
        <w:rPr>
          <w:rFonts w:hint="eastAsia" w:ascii="宋体" w:hAnsi="宋体" w:eastAsia="宋体" w:cs="宋体"/>
          <w:b/>
          <w:bCs/>
          <w:sz w:val="30"/>
          <w:szCs w:val="30"/>
          <w:u w:val="single"/>
        </w:rPr>
        <w:t xml:space="preserve">  </w:t>
      </w:r>
    </w:p>
    <w:p w14:paraId="2158237D">
      <w:pPr>
        <w:pStyle w:val="24"/>
        <w:adjustRightInd w:val="0"/>
        <w:snapToGrid w:val="0"/>
        <w:spacing w:line="360" w:lineRule="auto"/>
        <w:ind w:left="1898" w:leftChars="904" w:firstLine="0" w:firstLineChars="0"/>
        <w:jc w:val="left"/>
        <w:outlineLvl w:val="0"/>
        <w:rPr>
          <w:rFonts w:hint="eastAsia" w:ascii="宋体" w:hAnsi="宋体" w:eastAsia="宋体" w:cs="宋体"/>
          <w:b/>
          <w:bCs/>
          <w:sz w:val="30"/>
          <w:szCs w:val="30"/>
          <w:u w:val="single"/>
          <w:lang w:val="en-US" w:eastAsia="zh-CN"/>
        </w:rPr>
      </w:pPr>
      <w:bookmarkStart w:id="58" w:name="_Toc27932"/>
      <w:r>
        <w:rPr>
          <w:rFonts w:hint="eastAsia" w:ascii="宋体" w:hAnsi="宋体" w:eastAsia="宋体" w:cs="Courier New"/>
          <w:b/>
          <w:bCs/>
          <w:color w:val="auto"/>
          <w:kern w:val="2"/>
          <w:sz w:val="32"/>
          <w:szCs w:val="32"/>
          <w:lang w:val="en-US" w:eastAsia="zh-CN" w:bidi="ar-SA"/>
        </w:rPr>
        <w:t>政府采购编号</w:t>
      </w:r>
      <w:r>
        <w:rPr>
          <w:rFonts w:hint="eastAsia" w:ascii="宋体" w:hAnsi="宋体" w:eastAsia="宋体" w:cs="宋体"/>
          <w:b/>
          <w:bCs/>
          <w:sz w:val="30"/>
          <w:szCs w:val="30"/>
          <w:lang w:eastAsia="zh-CN"/>
        </w:rPr>
        <w:t>：</w:t>
      </w:r>
      <w:bookmarkEnd w:id="58"/>
      <w:r>
        <w:rPr>
          <w:rFonts w:hint="eastAsia" w:ascii="宋体" w:hAnsi="宋体" w:eastAsia="宋体" w:cs="宋体"/>
          <w:b/>
          <w:bCs/>
          <w:sz w:val="30"/>
          <w:szCs w:val="30"/>
          <w:lang w:val="en-US" w:eastAsia="zh-CN"/>
        </w:rPr>
        <w:t xml:space="preserve"> </w:t>
      </w:r>
      <w:r>
        <w:rPr>
          <w:rFonts w:hint="eastAsia" w:ascii="宋体" w:hAnsi="宋体" w:eastAsia="宋体" w:cs="宋体"/>
          <w:b/>
          <w:bCs/>
          <w:sz w:val="30"/>
          <w:szCs w:val="30"/>
          <w:u w:val="single"/>
        </w:rPr>
        <w:t xml:space="preserve">                  </w:t>
      </w:r>
      <w:r>
        <w:rPr>
          <w:rFonts w:hint="eastAsia" w:ascii="宋体" w:hAnsi="宋体" w:eastAsia="宋体" w:cs="宋体"/>
          <w:b/>
          <w:bCs/>
          <w:sz w:val="30"/>
          <w:szCs w:val="30"/>
          <w:u w:val="single"/>
          <w:lang w:val="en-US" w:eastAsia="zh-CN"/>
        </w:rPr>
        <w:t xml:space="preserve"> </w:t>
      </w:r>
    </w:p>
    <w:p w14:paraId="58DBFAE1">
      <w:pPr>
        <w:pStyle w:val="24"/>
        <w:adjustRightInd w:val="0"/>
        <w:snapToGrid w:val="0"/>
        <w:spacing w:line="360" w:lineRule="auto"/>
        <w:ind w:left="1898" w:leftChars="904" w:firstLine="0" w:firstLineChars="0"/>
        <w:jc w:val="left"/>
        <w:outlineLvl w:val="0"/>
        <w:rPr>
          <w:rFonts w:hint="eastAsia" w:ascii="宋体" w:hAnsi="宋体" w:eastAsia="宋体" w:cs="宋体"/>
          <w:b/>
          <w:bCs/>
          <w:sz w:val="30"/>
          <w:szCs w:val="30"/>
          <w:u w:val="single"/>
        </w:rPr>
      </w:pPr>
      <w:bookmarkStart w:id="59" w:name="_Toc12666"/>
      <w:r>
        <w:rPr>
          <w:rFonts w:hint="eastAsia" w:ascii="宋体" w:hAnsi="宋体" w:eastAsia="宋体" w:cs="Courier New"/>
          <w:b/>
          <w:bCs/>
          <w:color w:val="auto"/>
          <w:kern w:val="2"/>
          <w:sz w:val="32"/>
          <w:szCs w:val="32"/>
          <w:highlight w:val="none"/>
          <w:lang w:val="en-US" w:eastAsia="zh-CN" w:bidi="ar-SA"/>
        </w:rPr>
        <w:t>采购项目编号</w:t>
      </w:r>
      <w:r>
        <w:rPr>
          <w:rFonts w:hint="eastAsia" w:ascii="宋体" w:hAnsi="宋体" w:eastAsia="宋体" w:cs="宋体"/>
          <w:b/>
          <w:bCs/>
          <w:sz w:val="30"/>
          <w:szCs w:val="30"/>
          <w:lang w:eastAsia="zh-CN"/>
        </w:rPr>
        <w:t>：</w:t>
      </w:r>
      <w:bookmarkEnd w:id="59"/>
      <w:r>
        <w:rPr>
          <w:rFonts w:hint="eastAsia" w:ascii="宋体" w:hAnsi="宋体" w:eastAsia="宋体" w:cs="宋体"/>
          <w:b/>
          <w:bCs/>
          <w:sz w:val="30"/>
          <w:szCs w:val="30"/>
          <w:u w:val="single"/>
        </w:rPr>
        <w:t xml:space="preserve">                    </w:t>
      </w:r>
      <w:r>
        <w:rPr>
          <w:rFonts w:hint="eastAsia" w:ascii="宋体" w:hAnsi="宋体" w:eastAsia="宋体" w:cs="宋体"/>
          <w:b/>
          <w:bCs/>
          <w:sz w:val="30"/>
          <w:szCs w:val="30"/>
          <w:u w:val="single"/>
          <w:lang w:val="en-US" w:eastAsia="zh-CN"/>
        </w:rPr>
        <w:t xml:space="preserve"> </w:t>
      </w:r>
      <w:r>
        <w:rPr>
          <w:rFonts w:hint="eastAsia" w:ascii="宋体" w:hAnsi="宋体" w:eastAsia="宋体" w:cs="宋体"/>
          <w:b/>
          <w:bCs/>
          <w:sz w:val="30"/>
          <w:szCs w:val="30"/>
          <w:u w:val="single"/>
        </w:rPr>
        <w:t xml:space="preserve">   </w:t>
      </w:r>
    </w:p>
    <w:p w14:paraId="005B228F">
      <w:pPr>
        <w:adjustRightInd w:val="0"/>
        <w:snapToGrid w:val="0"/>
        <w:spacing w:line="360" w:lineRule="auto"/>
        <w:rPr>
          <w:rFonts w:hint="eastAsia" w:ascii="宋体" w:hAnsi="宋体" w:eastAsia="宋体" w:cs="宋体"/>
          <w:color w:val="000000"/>
          <w:sz w:val="30"/>
          <w:szCs w:val="30"/>
        </w:rPr>
      </w:pPr>
    </w:p>
    <w:p w14:paraId="3E894791">
      <w:pPr>
        <w:adjustRightInd w:val="0"/>
        <w:snapToGrid w:val="0"/>
        <w:rPr>
          <w:rFonts w:hint="eastAsia" w:ascii="宋体" w:hAnsi="宋体" w:eastAsia="宋体" w:cs="宋体"/>
          <w:color w:val="000000"/>
          <w:sz w:val="30"/>
          <w:szCs w:val="30"/>
        </w:rPr>
      </w:pPr>
    </w:p>
    <w:p w14:paraId="348EE0AC">
      <w:pPr>
        <w:adjustRightInd w:val="0"/>
        <w:snapToGrid w:val="0"/>
        <w:spacing w:line="360" w:lineRule="auto"/>
        <w:rPr>
          <w:rFonts w:hint="eastAsia" w:ascii="宋体" w:hAnsi="宋体" w:eastAsia="宋体" w:cs="宋体"/>
          <w:color w:val="000000"/>
          <w:sz w:val="30"/>
          <w:szCs w:val="30"/>
        </w:rPr>
      </w:pPr>
    </w:p>
    <w:p w14:paraId="14BAFE38">
      <w:pPr>
        <w:adjustRightInd w:val="0"/>
        <w:snapToGrid w:val="0"/>
        <w:spacing w:line="360" w:lineRule="auto"/>
        <w:rPr>
          <w:rFonts w:hint="eastAsia" w:ascii="宋体" w:hAnsi="宋体" w:eastAsia="宋体" w:cs="宋体"/>
          <w:color w:val="000000"/>
          <w:sz w:val="30"/>
          <w:szCs w:val="30"/>
        </w:rPr>
      </w:pPr>
    </w:p>
    <w:p w14:paraId="74EEB9A4">
      <w:pPr>
        <w:adjustRightInd w:val="0"/>
        <w:snapToGrid w:val="0"/>
        <w:spacing w:line="360" w:lineRule="auto"/>
        <w:rPr>
          <w:rFonts w:hint="eastAsia" w:ascii="宋体" w:hAnsi="宋体" w:eastAsia="宋体" w:cs="宋体"/>
          <w:color w:val="000000"/>
          <w:sz w:val="30"/>
          <w:szCs w:val="30"/>
        </w:rPr>
      </w:pPr>
    </w:p>
    <w:p w14:paraId="1AAFB0DF">
      <w:pPr>
        <w:adjustRightInd w:val="0"/>
        <w:snapToGrid w:val="0"/>
        <w:spacing w:line="360" w:lineRule="auto"/>
        <w:ind w:firstLine="1992" w:firstLineChars="620"/>
        <w:outlineLvl w:val="0"/>
        <w:rPr>
          <w:rFonts w:hint="eastAsia" w:ascii="宋体" w:hAnsi="宋体" w:eastAsia="宋体" w:cs="宋体"/>
          <w:b/>
          <w:bCs/>
          <w:color w:val="000000"/>
          <w:sz w:val="32"/>
          <w:szCs w:val="32"/>
          <w:u w:val="single"/>
          <w:lang w:eastAsia="zh-CN"/>
        </w:rPr>
      </w:pPr>
      <w:bookmarkStart w:id="60" w:name="_Toc12115"/>
      <w:bookmarkStart w:id="61" w:name="_Toc7693"/>
      <w:bookmarkStart w:id="62" w:name="_Toc30510"/>
      <w:r>
        <w:rPr>
          <w:rFonts w:hint="eastAsia" w:ascii="宋体" w:hAnsi="宋体" w:eastAsia="宋体" w:cs="宋体"/>
          <w:b/>
          <w:bCs/>
          <w:color w:val="000000"/>
          <w:sz w:val="32"/>
          <w:szCs w:val="32"/>
        </w:rPr>
        <w:t>供应商</w:t>
      </w:r>
      <w:bookmarkEnd w:id="60"/>
      <w:bookmarkEnd w:id="61"/>
      <w:r>
        <w:rPr>
          <w:rFonts w:hint="eastAsia" w:ascii="宋体" w:hAnsi="宋体" w:eastAsia="宋体" w:cs="宋体"/>
          <w:b/>
          <w:bCs/>
          <w:color w:val="000000"/>
          <w:sz w:val="32"/>
          <w:szCs w:val="32"/>
          <w:lang w:eastAsia="zh-CN"/>
        </w:rPr>
        <w:t>：</w:t>
      </w:r>
      <w:bookmarkEnd w:id="62"/>
      <w:r>
        <w:rPr>
          <w:rFonts w:hint="eastAsia" w:ascii="宋体" w:hAnsi="宋体" w:eastAsia="宋体" w:cs="宋体"/>
          <w:b/>
          <w:bCs/>
          <w:sz w:val="30"/>
          <w:szCs w:val="30"/>
          <w:u w:val="single"/>
        </w:rPr>
        <w:t xml:space="preserve">                       </w:t>
      </w:r>
    </w:p>
    <w:p w14:paraId="17739F86">
      <w:pPr>
        <w:jc w:val="both"/>
        <w:outlineLvl w:val="9"/>
        <w:rPr>
          <w:rFonts w:hint="eastAsia" w:ascii="宋体" w:hAnsi="宋体" w:eastAsia="宋体" w:cs="宋体"/>
          <w:b/>
          <w:bCs/>
          <w:sz w:val="32"/>
          <w:szCs w:val="32"/>
        </w:rPr>
      </w:pPr>
      <w:bookmarkStart w:id="63" w:name="_Toc11755"/>
      <w:bookmarkStart w:id="64" w:name="_Toc6698"/>
    </w:p>
    <w:p w14:paraId="5A67E79E">
      <w:pPr>
        <w:jc w:val="center"/>
        <w:outlineLvl w:val="0"/>
        <w:rPr>
          <w:rFonts w:hint="eastAsia" w:ascii="宋体" w:hAnsi="宋体" w:eastAsia="宋体" w:cs="宋体"/>
          <w:b/>
          <w:bCs/>
          <w:sz w:val="32"/>
          <w:szCs w:val="32"/>
        </w:rPr>
      </w:pPr>
      <w:bookmarkStart w:id="65" w:name="_Toc31704"/>
      <w:r>
        <w:rPr>
          <w:rFonts w:hint="eastAsia" w:ascii="宋体" w:hAnsi="宋体" w:eastAsia="宋体" w:cs="宋体"/>
          <w:b/>
          <w:bCs/>
          <w:sz w:val="32"/>
          <w:szCs w:val="32"/>
        </w:rPr>
        <w:t>年  月  日</w:t>
      </w:r>
      <w:bookmarkEnd w:id="63"/>
      <w:bookmarkEnd w:id="64"/>
      <w:bookmarkEnd w:id="65"/>
    </w:p>
    <w:p w14:paraId="7C316C9D">
      <w:pPr>
        <w:adjustRightInd w:val="0"/>
        <w:snapToGrid w:val="0"/>
        <w:spacing w:line="360" w:lineRule="auto"/>
        <w:rPr>
          <w:rFonts w:hint="eastAsia" w:ascii="宋体" w:hAnsi="宋体" w:eastAsia="宋体" w:cs="宋体"/>
          <w:b/>
          <w:bCs/>
          <w:color w:val="auto"/>
          <w:kern w:val="0"/>
          <w:szCs w:val="21"/>
        </w:rPr>
      </w:pPr>
    </w:p>
    <w:p w14:paraId="249C9A57">
      <w:pPr>
        <w:pStyle w:val="31"/>
        <w:rPr>
          <w:rFonts w:hint="eastAsia" w:ascii="宋体" w:hAnsi="宋体" w:eastAsia="宋体" w:cs="宋体"/>
        </w:rPr>
      </w:pPr>
    </w:p>
    <w:p w14:paraId="714EDEA6">
      <w:pPr>
        <w:pStyle w:val="62"/>
        <w:rPr>
          <w:rFonts w:hint="eastAsia" w:ascii="宋体" w:hAnsi="宋体" w:eastAsia="宋体" w:cs="宋体"/>
          <w:color w:val="auto"/>
          <w:kern w:val="0"/>
          <w:szCs w:val="21"/>
        </w:rPr>
      </w:pPr>
    </w:p>
    <w:p w14:paraId="72386B1E">
      <w:pPr>
        <w:pStyle w:val="62"/>
        <w:rPr>
          <w:rFonts w:hint="eastAsia" w:ascii="宋体" w:hAnsi="宋体" w:eastAsia="宋体" w:cs="宋体"/>
          <w:color w:val="auto"/>
          <w:kern w:val="0"/>
          <w:szCs w:val="21"/>
        </w:rPr>
      </w:pPr>
    </w:p>
    <w:p w14:paraId="044EDC12">
      <w:pPr>
        <w:pStyle w:val="62"/>
        <w:rPr>
          <w:rFonts w:hint="eastAsia" w:ascii="宋体" w:hAnsi="宋体" w:eastAsia="宋体" w:cs="宋体"/>
          <w:color w:val="auto"/>
          <w:kern w:val="0"/>
          <w:szCs w:val="21"/>
        </w:rPr>
      </w:pPr>
    </w:p>
    <w:p w14:paraId="6399ED92">
      <w:pPr>
        <w:pStyle w:val="62"/>
        <w:rPr>
          <w:rFonts w:hint="eastAsia" w:ascii="宋体" w:hAnsi="宋体" w:eastAsia="宋体" w:cs="宋体"/>
          <w:color w:val="auto"/>
          <w:kern w:val="0"/>
          <w:szCs w:val="21"/>
        </w:rPr>
      </w:pPr>
    </w:p>
    <w:p w14:paraId="34E7F2E0">
      <w:pPr>
        <w:pStyle w:val="62"/>
        <w:rPr>
          <w:rFonts w:hint="eastAsia" w:ascii="宋体" w:hAnsi="宋体" w:eastAsia="宋体" w:cs="宋体"/>
          <w:color w:val="auto"/>
          <w:kern w:val="0"/>
          <w:szCs w:val="21"/>
        </w:rPr>
      </w:pPr>
    </w:p>
    <w:p w14:paraId="3FD96740">
      <w:pPr>
        <w:rPr>
          <w:rFonts w:hint="eastAsia" w:ascii="宋体" w:hAnsi="宋体" w:eastAsia="宋体" w:cs="宋体"/>
          <w:b/>
          <w:bCs/>
        </w:rPr>
      </w:pPr>
    </w:p>
    <w:p w14:paraId="0A84BF38">
      <w:pPr>
        <w:rPr>
          <w:rFonts w:hint="eastAsia" w:ascii="宋体" w:hAnsi="宋体" w:eastAsia="宋体" w:cs="宋体"/>
          <w:b/>
          <w:bCs/>
        </w:rPr>
      </w:pPr>
      <w:r>
        <w:rPr>
          <w:rFonts w:hint="eastAsia" w:ascii="宋体" w:hAnsi="宋体" w:eastAsia="宋体" w:cs="宋体"/>
          <w:b/>
          <w:bCs/>
        </w:rPr>
        <w:t>索引表 符合性审查索引表</w:t>
      </w:r>
    </w:p>
    <w:p w14:paraId="497C583D">
      <w:pPr>
        <w:adjustRightInd w:val="0"/>
        <w:spacing w:beforeLines="50" w:line="360" w:lineRule="auto"/>
        <w:jc w:val="center"/>
        <w:outlineLvl w:val="1"/>
        <w:rPr>
          <w:rFonts w:hint="eastAsia" w:ascii="宋体" w:hAnsi="宋体" w:eastAsia="宋体" w:cs="宋体"/>
          <w:b/>
          <w:sz w:val="28"/>
          <w:szCs w:val="28"/>
        </w:rPr>
      </w:pPr>
      <w:bookmarkStart w:id="66" w:name="_Toc6460"/>
      <w:bookmarkStart w:id="67" w:name="_Toc10201"/>
      <w:r>
        <w:rPr>
          <w:rFonts w:hint="eastAsia" w:ascii="宋体" w:hAnsi="宋体" w:eastAsia="宋体" w:cs="宋体"/>
          <w:b/>
          <w:sz w:val="28"/>
          <w:szCs w:val="28"/>
        </w:rPr>
        <w:t>符合性审查索引表</w:t>
      </w:r>
      <w:bookmarkEnd w:id="66"/>
      <w:bookmarkEnd w:id="67"/>
    </w:p>
    <w:tbl>
      <w:tblPr>
        <w:tblStyle w:val="4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38A6AB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2A49B121">
            <w:pPr>
              <w:adjustRightInd w:val="0"/>
              <w:snapToGrid w:val="0"/>
              <w:spacing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1871" w:type="dxa"/>
            <w:tcBorders>
              <w:right w:val="single" w:color="auto" w:sz="4" w:space="0"/>
            </w:tcBorders>
            <w:noWrap w:val="0"/>
            <w:vAlign w:val="center"/>
          </w:tcPr>
          <w:p w14:paraId="2D85896A">
            <w:pPr>
              <w:adjustRightInd w:val="0"/>
              <w:snapToGrid w:val="0"/>
              <w:spacing w:beforeLines="50" w:line="360" w:lineRule="auto"/>
              <w:jc w:val="center"/>
              <w:rPr>
                <w:rFonts w:hint="eastAsia" w:ascii="宋体" w:hAnsi="宋体" w:eastAsia="宋体" w:cs="宋体"/>
                <w:b/>
                <w:kern w:val="0"/>
                <w:sz w:val="20"/>
                <w:szCs w:val="21"/>
              </w:rPr>
            </w:pPr>
            <w:r>
              <w:rPr>
                <w:rFonts w:hint="eastAsia" w:ascii="宋体" w:hAnsi="宋体" w:eastAsia="宋体" w:cs="宋体"/>
                <w:b/>
                <w:kern w:val="0"/>
                <w:sz w:val="20"/>
                <w:szCs w:val="21"/>
                <w:lang w:eastAsia="zh-CN"/>
              </w:rPr>
              <w:t>磋商</w:t>
            </w:r>
            <w:r>
              <w:rPr>
                <w:rFonts w:hint="eastAsia" w:ascii="宋体" w:hAnsi="宋体" w:eastAsia="宋体" w:cs="宋体"/>
                <w:b/>
                <w:kern w:val="0"/>
                <w:sz w:val="20"/>
                <w:szCs w:val="21"/>
              </w:rPr>
              <w:t>文件条款号</w:t>
            </w:r>
          </w:p>
        </w:tc>
        <w:tc>
          <w:tcPr>
            <w:tcW w:w="2410" w:type="dxa"/>
            <w:tcBorders>
              <w:left w:val="single" w:color="auto" w:sz="4" w:space="0"/>
            </w:tcBorders>
            <w:noWrap w:val="0"/>
            <w:vAlign w:val="center"/>
          </w:tcPr>
          <w:p w14:paraId="496CC8B4">
            <w:pPr>
              <w:adjustRightInd w:val="0"/>
              <w:snapToGrid w:val="0"/>
              <w:spacing w:beforeLines="50" w:line="360" w:lineRule="auto"/>
              <w:jc w:val="center"/>
              <w:rPr>
                <w:rFonts w:hint="eastAsia" w:ascii="宋体" w:hAnsi="宋体" w:eastAsia="宋体" w:cs="宋体"/>
                <w:b/>
                <w:kern w:val="0"/>
                <w:sz w:val="20"/>
                <w:szCs w:val="21"/>
              </w:rPr>
            </w:pPr>
            <w:r>
              <w:rPr>
                <w:rFonts w:hint="eastAsia" w:ascii="宋体" w:hAnsi="宋体" w:eastAsia="宋体" w:cs="宋体"/>
                <w:b/>
                <w:kern w:val="0"/>
                <w:szCs w:val="21"/>
              </w:rPr>
              <w:t>审查内容及标准</w:t>
            </w:r>
          </w:p>
        </w:tc>
        <w:tc>
          <w:tcPr>
            <w:tcW w:w="2268" w:type="dxa"/>
            <w:noWrap w:val="0"/>
            <w:vAlign w:val="center"/>
          </w:tcPr>
          <w:p w14:paraId="5EF25712">
            <w:pPr>
              <w:adjustRightInd w:val="0"/>
              <w:snapToGrid w:val="0"/>
              <w:spacing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响应文件及证明材料</w:t>
            </w:r>
          </w:p>
        </w:tc>
        <w:tc>
          <w:tcPr>
            <w:tcW w:w="1722" w:type="dxa"/>
            <w:noWrap w:val="0"/>
            <w:vAlign w:val="center"/>
          </w:tcPr>
          <w:p w14:paraId="574F01B7">
            <w:pPr>
              <w:adjustRightInd w:val="0"/>
              <w:snapToGrid w:val="0"/>
              <w:spacing w:beforeLines="50" w:line="360" w:lineRule="auto"/>
              <w:jc w:val="center"/>
              <w:rPr>
                <w:rFonts w:hint="eastAsia" w:ascii="宋体" w:hAnsi="宋体" w:eastAsia="宋体" w:cs="宋体"/>
                <w:b/>
                <w:kern w:val="0"/>
                <w:sz w:val="20"/>
                <w:szCs w:val="21"/>
              </w:rPr>
            </w:pPr>
            <w:r>
              <w:rPr>
                <w:rFonts w:hint="eastAsia" w:ascii="宋体" w:hAnsi="宋体" w:eastAsia="宋体" w:cs="宋体"/>
                <w:b/>
                <w:kern w:val="0"/>
                <w:szCs w:val="21"/>
              </w:rPr>
              <w:t>响应文件对应内容的册及页码</w:t>
            </w:r>
          </w:p>
        </w:tc>
      </w:tr>
      <w:tr w14:paraId="24F3B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14B4EE9">
            <w:pPr>
              <w:adjustRightInd w:val="0"/>
              <w:snapToGrid w:val="0"/>
              <w:spacing w:beforeLines="50" w:line="360" w:lineRule="auto"/>
              <w:jc w:val="center"/>
              <w:rPr>
                <w:rFonts w:hint="eastAsia" w:ascii="宋体" w:hAnsi="宋体" w:eastAsia="宋体" w:cs="宋体"/>
                <w:kern w:val="0"/>
                <w:szCs w:val="21"/>
              </w:rPr>
            </w:pPr>
          </w:p>
        </w:tc>
        <w:tc>
          <w:tcPr>
            <w:tcW w:w="1871" w:type="dxa"/>
            <w:tcBorders>
              <w:right w:val="single" w:color="auto" w:sz="4" w:space="0"/>
            </w:tcBorders>
            <w:noWrap w:val="0"/>
            <w:vAlign w:val="top"/>
          </w:tcPr>
          <w:p w14:paraId="480761D9">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72FF5E36">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33B86696">
            <w:pPr>
              <w:adjustRightInd w:val="0"/>
              <w:snapToGrid w:val="0"/>
              <w:spacing w:beforeLines="50" w:line="360" w:lineRule="auto"/>
              <w:jc w:val="center"/>
              <w:rPr>
                <w:rFonts w:hint="eastAsia" w:ascii="宋体" w:hAnsi="宋体" w:eastAsia="宋体" w:cs="宋体"/>
                <w:kern w:val="0"/>
                <w:szCs w:val="21"/>
              </w:rPr>
            </w:pPr>
          </w:p>
        </w:tc>
        <w:tc>
          <w:tcPr>
            <w:tcW w:w="1722" w:type="dxa"/>
            <w:noWrap w:val="0"/>
            <w:vAlign w:val="top"/>
          </w:tcPr>
          <w:p w14:paraId="4BB533A1">
            <w:pPr>
              <w:adjustRightInd w:val="0"/>
              <w:snapToGrid w:val="0"/>
              <w:spacing w:beforeLines="50" w:line="360" w:lineRule="auto"/>
              <w:jc w:val="center"/>
              <w:rPr>
                <w:rFonts w:hint="eastAsia" w:ascii="宋体" w:hAnsi="宋体" w:eastAsia="宋体" w:cs="宋体"/>
                <w:kern w:val="0"/>
                <w:sz w:val="20"/>
                <w:szCs w:val="21"/>
              </w:rPr>
            </w:pPr>
          </w:p>
        </w:tc>
      </w:tr>
      <w:tr w14:paraId="62386B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295A77AB">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5F283B88">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4148DD71">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6E714307">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1FD9F9E9">
            <w:pPr>
              <w:adjustRightInd w:val="0"/>
              <w:snapToGrid w:val="0"/>
              <w:spacing w:beforeLines="50" w:line="360" w:lineRule="auto"/>
              <w:jc w:val="center"/>
              <w:rPr>
                <w:rFonts w:hint="eastAsia" w:ascii="宋体" w:hAnsi="宋体" w:eastAsia="宋体" w:cs="宋体"/>
                <w:kern w:val="0"/>
                <w:sz w:val="20"/>
                <w:szCs w:val="21"/>
              </w:rPr>
            </w:pPr>
          </w:p>
        </w:tc>
      </w:tr>
      <w:tr w14:paraId="638BF7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26E68589">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4A955779">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4FD016BC">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7B4596A4">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4D8363DB">
            <w:pPr>
              <w:adjustRightInd w:val="0"/>
              <w:snapToGrid w:val="0"/>
              <w:spacing w:beforeLines="50" w:line="360" w:lineRule="auto"/>
              <w:jc w:val="center"/>
              <w:rPr>
                <w:rFonts w:hint="eastAsia" w:ascii="宋体" w:hAnsi="宋体" w:eastAsia="宋体" w:cs="宋体"/>
                <w:kern w:val="0"/>
                <w:sz w:val="20"/>
                <w:szCs w:val="21"/>
              </w:rPr>
            </w:pPr>
          </w:p>
        </w:tc>
      </w:tr>
      <w:tr w14:paraId="531C62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14154071">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060EAA70">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68B5E28C">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66AD11B8">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6D726E05">
            <w:pPr>
              <w:adjustRightInd w:val="0"/>
              <w:snapToGrid w:val="0"/>
              <w:spacing w:beforeLines="50" w:line="360" w:lineRule="auto"/>
              <w:jc w:val="center"/>
              <w:rPr>
                <w:rFonts w:hint="eastAsia" w:ascii="宋体" w:hAnsi="宋体" w:eastAsia="宋体" w:cs="宋体"/>
                <w:kern w:val="0"/>
                <w:sz w:val="20"/>
                <w:szCs w:val="21"/>
              </w:rPr>
            </w:pPr>
          </w:p>
        </w:tc>
      </w:tr>
      <w:tr w14:paraId="1D96DC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68BFC1E7">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3DA3B4F9">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70B82DF6">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75C6770F">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1341D039">
            <w:pPr>
              <w:adjustRightInd w:val="0"/>
              <w:snapToGrid w:val="0"/>
              <w:spacing w:beforeLines="50" w:line="360" w:lineRule="auto"/>
              <w:jc w:val="center"/>
              <w:rPr>
                <w:rFonts w:hint="eastAsia" w:ascii="宋体" w:hAnsi="宋体" w:eastAsia="宋体" w:cs="宋体"/>
                <w:kern w:val="0"/>
                <w:sz w:val="20"/>
                <w:szCs w:val="21"/>
              </w:rPr>
            </w:pPr>
          </w:p>
        </w:tc>
      </w:tr>
      <w:tr w14:paraId="425220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954B663">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2FA16024">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160EC462">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39281C8E">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2E24C15F">
            <w:pPr>
              <w:adjustRightInd w:val="0"/>
              <w:snapToGrid w:val="0"/>
              <w:spacing w:beforeLines="50" w:line="360" w:lineRule="auto"/>
              <w:jc w:val="center"/>
              <w:rPr>
                <w:rFonts w:hint="eastAsia" w:ascii="宋体" w:hAnsi="宋体" w:eastAsia="宋体" w:cs="宋体"/>
                <w:kern w:val="0"/>
                <w:sz w:val="20"/>
                <w:szCs w:val="21"/>
              </w:rPr>
            </w:pPr>
          </w:p>
        </w:tc>
      </w:tr>
      <w:tr w14:paraId="573EC6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14DE672">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0312F144">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17536264">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0CA87C18">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248E5CE6">
            <w:pPr>
              <w:adjustRightInd w:val="0"/>
              <w:snapToGrid w:val="0"/>
              <w:spacing w:beforeLines="50" w:line="360" w:lineRule="auto"/>
              <w:jc w:val="center"/>
              <w:rPr>
                <w:rFonts w:hint="eastAsia" w:ascii="宋体" w:hAnsi="宋体" w:eastAsia="宋体" w:cs="宋体"/>
                <w:kern w:val="0"/>
                <w:sz w:val="20"/>
                <w:szCs w:val="21"/>
              </w:rPr>
            </w:pPr>
          </w:p>
        </w:tc>
      </w:tr>
      <w:tr w14:paraId="400A08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910835D">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24552E5E">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0476DF29">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1F8B9C0C">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2F2EF507">
            <w:pPr>
              <w:adjustRightInd w:val="0"/>
              <w:snapToGrid w:val="0"/>
              <w:spacing w:beforeLines="50" w:line="360" w:lineRule="auto"/>
              <w:jc w:val="center"/>
              <w:rPr>
                <w:rFonts w:hint="eastAsia" w:ascii="宋体" w:hAnsi="宋体" w:eastAsia="宋体" w:cs="宋体"/>
                <w:kern w:val="0"/>
                <w:sz w:val="20"/>
                <w:szCs w:val="21"/>
              </w:rPr>
            </w:pPr>
          </w:p>
        </w:tc>
      </w:tr>
      <w:tr w14:paraId="3904CB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D0692A8">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2C7BEA92">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0C23E93A">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20277D09">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77381BB2">
            <w:pPr>
              <w:adjustRightInd w:val="0"/>
              <w:snapToGrid w:val="0"/>
              <w:spacing w:beforeLines="50" w:line="360" w:lineRule="auto"/>
              <w:jc w:val="center"/>
              <w:rPr>
                <w:rFonts w:hint="eastAsia" w:ascii="宋体" w:hAnsi="宋体" w:eastAsia="宋体" w:cs="宋体"/>
                <w:kern w:val="0"/>
                <w:sz w:val="20"/>
                <w:szCs w:val="21"/>
              </w:rPr>
            </w:pPr>
          </w:p>
        </w:tc>
      </w:tr>
      <w:tr w14:paraId="7279C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240DF92F">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12CFADF3">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2E7F776C">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63F3F5E2">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3F39EC39">
            <w:pPr>
              <w:adjustRightInd w:val="0"/>
              <w:snapToGrid w:val="0"/>
              <w:spacing w:beforeLines="50" w:line="360" w:lineRule="auto"/>
              <w:jc w:val="center"/>
              <w:rPr>
                <w:rFonts w:hint="eastAsia" w:ascii="宋体" w:hAnsi="宋体" w:eastAsia="宋体" w:cs="宋体"/>
                <w:kern w:val="0"/>
                <w:sz w:val="20"/>
                <w:szCs w:val="21"/>
              </w:rPr>
            </w:pPr>
          </w:p>
        </w:tc>
      </w:tr>
      <w:tr w14:paraId="6369FE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2542E878">
            <w:pPr>
              <w:adjustRightInd w:val="0"/>
              <w:snapToGrid w:val="0"/>
              <w:spacing w:beforeLines="50" w:line="360" w:lineRule="auto"/>
              <w:jc w:val="center"/>
              <w:rPr>
                <w:rFonts w:hint="eastAsia" w:ascii="宋体" w:hAnsi="宋体" w:eastAsia="宋体" w:cs="宋体"/>
                <w:kern w:val="0"/>
                <w:sz w:val="20"/>
                <w:szCs w:val="21"/>
              </w:rPr>
            </w:pPr>
          </w:p>
        </w:tc>
        <w:tc>
          <w:tcPr>
            <w:tcW w:w="1871" w:type="dxa"/>
            <w:tcBorders>
              <w:right w:val="single" w:color="auto" w:sz="4" w:space="0"/>
            </w:tcBorders>
            <w:noWrap w:val="0"/>
            <w:vAlign w:val="top"/>
          </w:tcPr>
          <w:p w14:paraId="05FFE279">
            <w:pPr>
              <w:adjustRightInd w:val="0"/>
              <w:snapToGrid w:val="0"/>
              <w:spacing w:beforeLines="50" w:line="360" w:lineRule="auto"/>
              <w:jc w:val="center"/>
              <w:rPr>
                <w:rFonts w:hint="eastAsia" w:ascii="宋体" w:hAnsi="宋体" w:eastAsia="宋体" w:cs="宋体"/>
                <w:kern w:val="0"/>
                <w:sz w:val="20"/>
                <w:szCs w:val="21"/>
              </w:rPr>
            </w:pPr>
          </w:p>
        </w:tc>
        <w:tc>
          <w:tcPr>
            <w:tcW w:w="2410" w:type="dxa"/>
            <w:tcBorders>
              <w:left w:val="single" w:color="auto" w:sz="4" w:space="0"/>
            </w:tcBorders>
            <w:noWrap w:val="0"/>
            <w:vAlign w:val="top"/>
          </w:tcPr>
          <w:p w14:paraId="0454FC92">
            <w:pPr>
              <w:adjustRightInd w:val="0"/>
              <w:snapToGrid w:val="0"/>
              <w:spacing w:beforeLines="50" w:line="360" w:lineRule="auto"/>
              <w:jc w:val="center"/>
              <w:rPr>
                <w:rFonts w:hint="eastAsia" w:ascii="宋体" w:hAnsi="宋体" w:eastAsia="宋体" w:cs="宋体"/>
                <w:kern w:val="0"/>
                <w:sz w:val="20"/>
                <w:szCs w:val="21"/>
              </w:rPr>
            </w:pPr>
          </w:p>
        </w:tc>
        <w:tc>
          <w:tcPr>
            <w:tcW w:w="2268" w:type="dxa"/>
            <w:noWrap w:val="0"/>
            <w:vAlign w:val="top"/>
          </w:tcPr>
          <w:p w14:paraId="1550E18A">
            <w:pPr>
              <w:adjustRightInd w:val="0"/>
              <w:snapToGrid w:val="0"/>
              <w:spacing w:beforeLines="50" w:line="360" w:lineRule="auto"/>
              <w:jc w:val="center"/>
              <w:rPr>
                <w:rFonts w:hint="eastAsia" w:ascii="宋体" w:hAnsi="宋体" w:eastAsia="宋体" w:cs="宋体"/>
                <w:kern w:val="0"/>
                <w:sz w:val="20"/>
                <w:szCs w:val="21"/>
              </w:rPr>
            </w:pPr>
          </w:p>
        </w:tc>
        <w:tc>
          <w:tcPr>
            <w:tcW w:w="1722" w:type="dxa"/>
            <w:noWrap w:val="0"/>
            <w:vAlign w:val="top"/>
          </w:tcPr>
          <w:p w14:paraId="3F93CA15">
            <w:pPr>
              <w:adjustRightInd w:val="0"/>
              <w:snapToGrid w:val="0"/>
              <w:spacing w:beforeLines="50" w:line="360" w:lineRule="auto"/>
              <w:jc w:val="center"/>
              <w:rPr>
                <w:rFonts w:hint="eastAsia" w:ascii="宋体" w:hAnsi="宋体" w:eastAsia="宋体" w:cs="宋体"/>
                <w:kern w:val="0"/>
                <w:sz w:val="20"/>
                <w:szCs w:val="21"/>
              </w:rPr>
            </w:pPr>
          </w:p>
        </w:tc>
      </w:tr>
    </w:tbl>
    <w:p w14:paraId="58E7D7E2">
      <w:pPr>
        <w:pStyle w:val="8"/>
        <w:rPr>
          <w:rFonts w:hint="eastAsia" w:ascii="宋体" w:hAnsi="宋体" w:eastAsia="宋体" w:cs="宋体"/>
        </w:rPr>
      </w:pPr>
    </w:p>
    <w:p w14:paraId="2D93936C">
      <w:pPr>
        <w:rPr>
          <w:rFonts w:hint="eastAsia" w:ascii="宋体" w:hAnsi="宋体" w:eastAsia="宋体" w:cs="宋体"/>
        </w:rPr>
      </w:pPr>
    </w:p>
    <w:p w14:paraId="2713E7D9">
      <w:pPr>
        <w:pStyle w:val="8"/>
        <w:rPr>
          <w:rFonts w:hint="eastAsia" w:ascii="宋体" w:hAnsi="宋体" w:eastAsia="宋体" w:cs="宋体"/>
        </w:rPr>
      </w:pPr>
    </w:p>
    <w:p w14:paraId="44D5DD83">
      <w:pPr>
        <w:rPr>
          <w:rFonts w:hint="eastAsia" w:ascii="宋体" w:hAnsi="宋体" w:eastAsia="宋体" w:cs="宋体"/>
        </w:rPr>
      </w:pPr>
    </w:p>
    <w:p w14:paraId="1D7CDB5F">
      <w:pPr>
        <w:pStyle w:val="8"/>
        <w:rPr>
          <w:rFonts w:hint="eastAsia" w:ascii="宋体" w:hAnsi="宋体" w:eastAsia="宋体" w:cs="宋体"/>
        </w:rPr>
      </w:pPr>
    </w:p>
    <w:p w14:paraId="794AE5D3">
      <w:pPr>
        <w:rPr>
          <w:rFonts w:hint="eastAsia" w:ascii="宋体" w:hAnsi="宋体" w:eastAsia="宋体" w:cs="宋体"/>
        </w:rPr>
      </w:pPr>
    </w:p>
    <w:p w14:paraId="7074B2F7">
      <w:pPr>
        <w:pStyle w:val="8"/>
        <w:rPr>
          <w:rFonts w:hint="eastAsia" w:ascii="宋体" w:hAnsi="宋体" w:eastAsia="宋体" w:cs="宋体"/>
          <w:lang w:val="en-US" w:eastAsia="zh-CN"/>
        </w:rPr>
      </w:pPr>
      <w:r>
        <w:rPr>
          <w:rFonts w:hint="eastAsia" w:ascii="宋体" w:hAnsi="宋体" w:eastAsia="宋体" w:cs="宋体"/>
          <w:lang w:val="en-US" w:eastAsia="zh-CN"/>
        </w:rPr>
        <w:t xml:space="preserve">    </w:t>
      </w:r>
    </w:p>
    <w:p w14:paraId="222FFC95">
      <w:pPr>
        <w:rPr>
          <w:rFonts w:hint="eastAsia" w:ascii="宋体" w:hAnsi="宋体" w:eastAsia="宋体" w:cs="宋体"/>
          <w:lang w:val="en-US" w:eastAsia="zh-CN"/>
        </w:rPr>
      </w:pPr>
    </w:p>
    <w:p w14:paraId="03410CD2">
      <w:pPr>
        <w:rPr>
          <w:rFonts w:hint="eastAsia" w:ascii="宋体" w:hAnsi="宋体" w:eastAsia="宋体" w:cs="宋体"/>
          <w:lang w:val="en-US" w:eastAsia="zh-CN"/>
        </w:rPr>
      </w:pPr>
    </w:p>
    <w:p w14:paraId="3B6B181C">
      <w:pPr>
        <w:rPr>
          <w:rFonts w:hint="eastAsia" w:ascii="宋体" w:hAnsi="宋体" w:eastAsia="宋体" w:cs="宋体"/>
        </w:rPr>
      </w:pPr>
    </w:p>
    <w:p w14:paraId="1EAD970E">
      <w:pPr>
        <w:pStyle w:val="8"/>
        <w:rPr>
          <w:rFonts w:hint="eastAsia" w:ascii="宋体" w:hAnsi="宋体" w:eastAsia="宋体" w:cs="宋体"/>
        </w:rPr>
      </w:pPr>
    </w:p>
    <w:p w14:paraId="42F8B191">
      <w:pPr>
        <w:rPr>
          <w:rFonts w:hint="eastAsia" w:ascii="宋体" w:hAnsi="宋体" w:eastAsia="宋体" w:cs="宋体"/>
        </w:rPr>
      </w:pPr>
    </w:p>
    <w:p w14:paraId="384B4C3E">
      <w:pPr>
        <w:pStyle w:val="62"/>
        <w:rPr>
          <w:rFonts w:hint="eastAsia" w:ascii="宋体" w:hAnsi="宋体" w:eastAsia="宋体" w:cs="宋体"/>
        </w:rPr>
      </w:pPr>
    </w:p>
    <w:p w14:paraId="76060EFA">
      <w:pPr>
        <w:pStyle w:val="62"/>
        <w:rPr>
          <w:rFonts w:hint="eastAsia" w:ascii="宋体" w:hAnsi="宋体" w:eastAsia="宋体" w:cs="宋体"/>
        </w:rPr>
      </w:pPr>
    </w:p>
    <w:p w14:paraId="227FFA63">
      <w:pPr>
        <w:spacing w:line="360" w:lineRule="auto"/>
        <w:jc w:val="both"/>
        <w:outlineLvl w:val="1"/>
        <w:rPr>
          <w:rFonts w:hint="eastAsia" w:ascii="宋体" w:hAnsi="宋体" w:eastAsia="宋体" w:cs="宋体"/>
          <w:b/>
          <w:color w:val="auto"/>
          <w:sz w:val="32"/>
          <w:szCs w:val="32"/>
        </w:rPr>
      </w:pPr>
      <w:bookmarkStart w:id="68" w:name="_Toc11879752"/>
    </w:p>
    <w:p w14:paraId="0FBF55AC">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一、磋商响应声明</w:t>
      </w:r>
      <w:bookmarkEnd w:id="68"/>
    </w:p>
    <w:p w14:paraId="5F068A14">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(采购人或采购代理机构)：</w:t>
      </w:r>
    </w:p>
    <w:p w14:paraId="396C215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我方已仔细研究了</w:t>
      </w:r>
      <w:r>
        <w:rPr>
          <w:rFonts w:hint="eastAsia" w:ascii="宋体" w:hAnsi="宋体" w:eastAsia="宋体" w:cs="宋体"/>
          <w:color w:val="auto"/>
          <w:szCs w:val="21"/>
          <w:u w:val="single"/>
        </w:rPr>
        <w:t xml:space="preserve">                 </w:t>
      </w:r>
      <w:r>
        <w:rPr>
          <w:rFonts w:hint="eastAsia" w:ascii="宋体" w:hAnsi="宋体" w:eastAsia="宋体" w:cs="宋体"/>
          <w:i w:val="0"/>
          <w:iCs w:val="0"/>
          <w:color w:val="auto"/>
          <w:szCs w:val="21"/>
          <w:u w:val="none"/>
        </w:rPr>
        <w:t>(</w:t>
      </w:r>
      <w:r>
        <w:rPr>
          <w:rFonts w:hint="eastAsia" w:ascii="宋体" w:hAnsi="宋体" w:eastAsia="宋体" w:cs="宋体"/>
          <w:color w:val="auto"/>
          <w:szCs w:val="21"/>
        </w:rPr>
        <w:t>项目名称)的竞争性磋商文件（政府采购编号：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cs="宋体"/>
          <w:color w:val="auto"/>
          <w:szCs w:val="21"/>
          <w:lang w:eastAsia="zh-CN"/>
        </w:rPr>
        <w:t>采购项目编号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）的全部内容，</w:t>
      </w:r>
      <w:r>
        <w:rPr>
          <w:rFonts w:hint="eastAsia" w:ascii="宋体" w:hAnsi="宋体" w:eastAsia="宋体" w:cs="宋体"/>
          <w:color w:val="auto"/>
        </w:rPr>
        <w:t>知悉参加竞争性磋商的风险，我方承诺接受磋商文件的全部条款且无任何异议。</w:t>
      </w:r>
    </w:p>
    <w:p w14:paraId="41D32C49">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一、我方同意在磋商文件中规定的提交首次响应文件截止时间起</w:t>
      </w:r>
      <w:r>
        <w:rPr>
          <w:rFonts w:hint="eastAsia" w:ascii="宋体" w:hAnsi="宋体" w:eastAsia="宋体" w:cs="宋体"/>
          <w:color w:val="auto"/>
          <w:u w:val="single"/>
        </w:rPr>
        <w:t xml:space="preserve">    </w:t>
      </w:r>
      <w:r>
        <w:rPr>
          <w:rFonts w:hint="eastAsia" w:ascii="宋体" w:hAnsi="宋体" w:eastAsia="宋体" w:cs="宋体"/>
          <w:color w:val="auto"/>
        </w:rPr>
        <w:t>日内(响应文件有效期)遵守本响应文件中的承诺且在此期限期满之前均具有法律约束力。</w:t>
      </w:r>
    </w:p>
    <w:p w14:paraId="0F61C5B5">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二、我方提交响应文件正本一份和副本一式</w:t>
      </w:r>
      <w:r>
        <w:rPr>
          <w:rFonts w:hint="eastAsia" w:ascii="宋体" w:hAnsi="宋体" w:eastAsia="宋体" w:cs="宋体"/>
          <w:color w:val="auto"/>
          <w:u w:val="single"/>
        </w:rPr>
        <w:t xml:space="preserve">     </w:t>
      </w:r>
      <w:r>
        <w:rPr>
          <w:rFonts w:hint="eastAsia" w:ascii="宋体" w:hAnsi="宋体" w:eastAsia="宋体" w:cs="宋体"/>
          <w:color w:val="auto"/>
        </w:rPr>
        <w:t>份，并保证响应文件提供的数据和资料全部内容真实、合法、准确和完整，我们对此负责，并愿承担由此引起的法律责任。</w:t>
      </w:r>
    </w:p>
    <w:p w14:paraId="2A0964AC">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三、我方愿意向贵方提供任何与本项采购有关的数据、情况和技术资料。若贵方需要，我方愿意提供我方作出的一切承诺的证明资料。</w:t>
      </w:r>
    </w:p>
    <w:p w14:paraId="5A7D642E">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四、我方愿意按磋商文件规定和磋商小组要求重新提交响应文件和最后报价。</w:t>
      </w:r>
    </w:p>
    <w:p w14:paraId="083BA4E6">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1527AB89">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六、我方在此声明： </w:t>
      </w:r>
    </w:p>
    <w:p w14:paraId="3D9951A8">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（一）我方与采购人或采购代理机构不存在隶属关系或者其他利害关系。</w:t>
      </w:r>
    </w:p>
    <w:p w14:paraId="0772A6C8">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（二）我方与参加本项目的其他供应商不存在直接控股、管理关系，或者与其他供应商法定代表人（或者负责人）为同一人。</w:t>
      </w:r>
    </w:p>
    <w:p w14:paraId="4CE5C138">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（三）我方未为本项目前期准备提供设计或咨询服务。</w:t>
      </w:r>
    </w:p>
    <w:p w14:paraId="47272093">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（四）我方承诺（承诺期：成立三年以上的，为提交首次响应文件截止时间前三年内；成立不足三年的，为实际时间）：</w:t>
      </w:r>
    </w:p>
    <w:p w14:paraId="4E5FF0EE">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1、我方依法缴纳了各项税费及各项社会保障资金，没有偷税、漏税及欠缴行为。</w:t>
      </w:r>
    </w:p>
    <w:p w14:paraId="1B930E5B">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2、我方在经营活动中没有存在下列重大违法记录：</w:t>
      </w:r>
    </w:p>
    <w:p w14:paraId="131DD82C">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(1)受到刑事处罚；</w:t>
      </w:r>
    </w:p>
    <w:p w14:paraId="74E209F3">
      <w:pPr>
        <w:pStyle w:val="24"/>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(2)受到三</w:t>
      </w:r>
      <w:r>
        <w:rPr>
          <w:rFonts w:hint="eastAsia" w:hAnsi="宋体" w:cs="宋体"/>
          <w:color w:val="auto"/>
          <w:lang w:val="en-US" w:eastAsia="zh-CN"/>
        </w:rPr>
        <w:t>百</w:t>
      </w:r>
      <w:r>
        <w:rPr>
          <w:rFonts w:hint="eastAsia" w:ascii="宋体" w:hAnsi="宋体" w:eastAsia="宋体" w:cs="宋体"/>
          <w:color w:val="auto"/>
        </w:rPr>
        <w:t>万元以上的罚款、责令停产停业、在一至三年内禁止参加政府采购活动、暂扣或者吊销许可证、暂扣或者吊销执照的行政处罚。</w:t>
      </w:r>
    </w:p>
    <w:p w14:paraId="608CD521">
      <w:pPr>
        <w:adjustRightInd w:val="0"/>
        <w:snapToGrid w:val="0"/>
        <w:spacing w:line="360" w:lineRule="auto"/>
        <w:ind w:right="24"/>
        <w:rPr>
          <w:rFonts w:hint="eastAsia" w:ascii="宋体" w:hAnsi="宋体" w:eastAsia="宋体" w:cs="宋体"/>
          <w:color w:val="auto"/>
          <w:szCs w:val="21"/>
        </w:rPr>
      </w:pPr>
      <w:r>
        <w:rPr>
          <w:rFonts w:hint="eastAsia" w:ascii="宋体" w:hAnsi="宋体" w:eastAsia="宋体" w:cs="宋体"/>
          <w:bCs/>
          <w:color w:val="auto"/>
          <w:szCs w:val="21"/>
        </w:rPr>
        <w:t>附件1：</w:t>
      </w:r>
      <w:r>
        <w:rPr>
          <w:rFonts w:hint="eastAsia" w:ascii="宋体" w:hAnsi="宋体" w:eastAsia="宋体" w:cs="宋体"/>
          <w:color w:val="auto"/>
          <w:szCs w:val="21"/>
        </w:rPr>
        <w:t>法定代表人身份证明</w:t>
      </w:r>
    </w:p>
    <w:p w14:paraId="5F6BE432">
      <w:pPr>
        <w:adjustRightInd w:val="0"/>
        <w:snapToGrid w:val="0"/>
        <w:spacing w:line="360" w:lineRule="auto"/>
        <w:ind w:right="24"/>
        <w:rPr>
          <w:rFonts w:hint="eastAsia" w:ascii="宋体" w:hAnsi="宋体" w:eastAsia="宋体" w:cs="宋体"/>
          <w:color w:val="auto"/>
          <w:szCs w:val="21"/>
        </w:rPr>
      </w:pPr>
      <w:r>
        <w:rPr>
          <w:rFonts w:hint="eastAsia" w:ascii="宋体" w:hAnsi="宋体" w:eastAsia="宋体" w:cs="宋体"/>
          <w:bCs/>
          <w:color w:val="auto"/>
          <w:szCs w:val="21"/>
        </w:rPr>
        <w:t>附件2</w:t>
      </w:r>
      <w:r>
        <w:rPr>
          <w:rFonts w:hint="eastAsia" w:ascii="宋体" w:hAnsi="宋体" w:eastAsia="宋体" w:cs="宋体"/>
          <w:color w:val="auto"/>
          <w:szCs w:val="21"/>
        </w:rPr>
        <w:t>：法定代表人授权书</w:t>
      </w:r>
    </w:p>
    <w:p w14:paraId="47040338">
      <w:pPr>
        <w:pStyle w:val="24"/>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供应商名称(盖单位章)：</w:t>
      </w:r>
    </w:p>
    <w:p w14:paraId="0D7DE19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法定代表人或其委托代理人 (签字)：</w:t>
      </w:r>
      <w:r>
        <w:rPr>
          <w:rFonts w:hint="eastAsia" w:ascii="宋体" w:hAnsi="宋体" w:eastAsia="宋体" w:cs="宋体"/>
          <w:color w:val="auto"/>
          <w:szCs w:val="21"/>
          <w:u w:val="single"/>
        </w:rPr>
        <w:t xml:space="preserve">            </w:t>
      </w:r>
    </w:p>
    <w:p w14:paraId="1461E97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217591E1">
      <w:pPr>
        <w:adjustRightInd w:val="0"/>
        <w:snapToGrid w:val="0"/>
        <w:spacing w:line="360" w:lineRule="auto"/>
        <w:ind w:right="24"/>
        <w:rPr>
          <w:rFonts w:hint="eastAsia" w:ascii="宋体" w:hAnsi="宋体" w:eastAsia="宋体" w:cs="宋体"/>
          <w:bCs/>
          <w:color w:val="auto"/>
          <w:sz w:val="30"/>
          <w:szCs w:val="30"/>
        </w:rPr>
        <w:sectPr>
          <w:footerReference r:id="rId11" w:type="default"/>
          <w:pgSz w:w="11906" w:h="16838"/>
          <w:pgMar w:top="1134" w:right="1134" w:bottom="1134" w:left="1134" w:header="851" w:footer="992" w:gutter="0"/>
          <w:pgNumType w:fmt="decimal"/>
          <w:cols w:space="720" w:num="1"/>
          <w:docGrid w:linePitch="312" w:charSpace="0"/>
        </w:sectPr>
      </w:pPr>
    </w:p>
    <w:p w14:paraId="22C26B77">
      <w:pPr>
        <w:adjustRightInd w:val="0"/>
        <w:snapToGrid w:val="0"/>
        <w:spacing w:line="360" w:lineRule="auto"/>
        <w:ind w:right="24"/>
        <w:rPr>
          <w:rFonts w:hint="eastAsia" w:ascii="宋体" w:hAnsi="宋体" w:eastAsia="宋体" w:cs="宋体"/>
          <w:b/>
          <w:bCs w:val="0"/>
          <w:color w:val="auto"/>
          <w:sz w:val="30"/>
          <w:szCs w:val="30"/>
        </w:rPr>
      </w:pPr>
      <w:r>
        <w:rPr>
          <w:rFonts w:hint="eastAsia" w:ascii="宋体" w:hAnsi="宋体" w:eastAsia="宋体" w:cs="宋体"/>
          <w:b/>
          <w:bCs w:val="0"/>
          <w:color w:val="auto"/>
          <w:sz w:val="30"/>
          <w:szCs w:val="30"/>
        </w:rPr>
        <w:t>附件1</w:t>
      </w:r>
    </w:p>
    <w:p w14:paraId="7AC926B2">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法定代表人身份证明</w:t>
      </w:r>
    </w:p>
    <w:p w14:paraId="10FAC6F6">
      <w:pPr>
        <w:pStyle w:val="42"/>
        <w:spacing w:after="240"/>
        <w:ind w:left="0" w:leftChars="0" w:firstLine="0" w:firstLineChars="0"/>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（法定代表人参加磋商）</w:t>
      </w:r>
    </w:p>
    <w:p w14:paraId="4B737286">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供应商</w:t>
      </w:r>
      <w:r>
        <w:rPr>
          <w:rFonts w:hint="eastAsia" w:ascii="宋体" w:hAnsi="宋体" w:eastAsia="宋体" w:cs="宋体"/>
          <w:color w:val="auto"/>
          <w:kern w:val="0"/>
          <w:szCs w:val="21"/>
        </w:rPr>
        <w:t>名称：</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p>
    <w:p w14:paraId="7B1E3847">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注册号：</w:t>
      </w:r>
      <w:r>
        <w:rPr>
          <w:rFonts w:hint="eastAsia" w:ascii="宋体" w:hAnsi="宋体" w:eastAsia="宋体" w:cs="宋体"/>
          <w:color w:val="auto"/>
          <w:kern w:val="0"/>
          <w:szCs w:val="21"/>
          <w:u w:val="single"/>
        </w:rPr>
        <w:t xml:space="preserve">                  </w:t>
      </w:r>
    </w:p>
    <w:p w14:paraId="5FB0BC39">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注册地址：</w:t>
      </w:r>
      <w:r>
        <w:rPr>
          <w:rFonts w:hint="eastAsia" w:ascii="宋体" w:hAnsi="宋体" w:eastAsia="宋体" w:cs="宋体"/>
          <w:color w:val="auto"/>
          <w:kern w:val="0"/>
          <w:szCs w:val="21"/>
          <w:u w:val="single"/>
        </w:rPr>
        <w:t xml:space="preserve">                                    </w:t>
      </w:r>
    </w:p>
    <w:p w14:paraId="152CCF9C">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 xml:space="preserve">成立时间：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年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日</w:t>
      </w:r>
    </w:p>
    <w:p w14:paraId="5B73B3C5">
      <w:pPr>
        <w:autoSpaceDE w:val="0"/>
        <w:autoSpaceDN w:val="0"/>
        <w:adjustRightInd w:val="0"/>
        <w:snapToGrid w:val="0"/>
        <w:spacing w:line="360" w:lineRule="auto"/>
        <w:jc w:val="left"/>
        <w:rPr>
          <w:rFonts w:hint="eastAsia" w:ascii="宋体" w:hAnsi="宋体" w:eastAsia="宋体" w:cs="宋体"/>
          <w:color w:val="auto"/>
          <w:kern w:val="0"/>
          <w:szCs w:val="21"/>
          <w:u w:val="single"/>
        </w:rPr>
      </w:pPr>
      <w:r>
        <w:rPr>
          <w:rFonts w:hint="eastAsia" w:ascii="宋体" w:hAnsi="宋体" w:eastAsia="宋体" w:cs="宋体"/>
          <w:color w:val="auto"/>
          <w:kern w:val="0"/>
          <w:szCs w:val="21"/>
        </w:rPr>
        <w:t>经营期限：</w:t>
      </w:r>
      <w:r>
        <w:rPr>
          <w:rFonts w:hint="eastAsia" w:ascii="宋体" w:hAnsi="宋体" w:eastAsia="宋体" w:cs="宋体"/>
          <w:color w:val="auto"/>
          <w:kern w:val="0"/>
          <w:szCs w:val="21"/>
          <w:u w:val="single"/>
        </w:rPr>
        <w:t xml:space="preserve">                  </w:t>
      </w:r>
    </w:p>
    <w:p w14:paraId="523254C1">
      <w:pPr>
        <w:autoSpaceDE w:val="0"/>
        <w:autoSpaceDN w:val="0"/>
        <w:adjustRightInd w:val="0"/>
        <w:snapToGrid w:val="0"/>
        <w:spacing w:line="360" w:lineRule="auto"/>
        <w:jc w:val="left"/>
        <w:rPr>
          <w:rFonts w:hint="eastAsia" w:ascii="宋体" w:hAnsi="宋体" w:eastAsia="宋体" w:cs="宋体"/>
          <w:color w:val="auto"/>
          <w:kern w:val="0"/>
          <w:szCs w:val="21"/>
          <w:u w:val="single"/>
        </w:rPr>
      </w:pPr>
      <w:r>
        <w:rPr>
          <w:rFonts w:hint="eastAsia" w:ascii="宋体" w:hAnsi="宋体" w:eastAsia="宋体" w:cs="宋体"/>
          <w:color w:val="auto"/>
          <w:kern w:val="0"/>
          <w:szCs w:val="21"/>
        </w:rPr>
        <w:t>经营范围：主营：</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；兼营：</w:t>
      </w:r>
      <w:r>
        <w:rPr>
          <w:rFonts w:hint="eastAsia" w:ascii="宋体" w:hAnsi="宋体" w:eastAsia="宋体" w:cs="宋体"/>
          <w:color w:val="auto"/>
          <w:kern w:val="0"/>
          <w:szCs w:val="21"/>
          <w:u w:val="single"/>
        </w:rPr>
        <w:t xml:space="preserve">              </w:t>
      </w:r>
    </w:p>
    <w:p w14:paraId="4BC1BAA7">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姓名：</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性别：</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年龄：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系</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szCs w:val="21"/>
        </w:rPr>
        <w:t>供应商</w:t>
      </w:r>
      <w:r>
        <w:rPr>
          <w:rFonts w:hint="eastAsia" w:ascii="宋体" w:hAnsi="宋体" w:eastAsia="宋体" w:cs="宋体"/>
          <w:color w:val="auto"/>
          <w:kern w:val="0"/>
          <w:szCs w:val="21"/>
        </w:rPr>
        <w:t>名称）的法定代表人。</w:t>
      </w:r>
    </w:p>
    <w:p w14:paraId="4F3B59CD">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特此证明。</w:t>
      </w:r>
    </w:p>
    <w:p w14:paraId="5B406E23">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附：法定代表人身份证复印件</w:t>
      </w:r>
    </w:p>
    <w:tbl>
      <w:tblPr>
        <w:tblStyle w:val="43"/>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21F2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trPr>
        <w:tc>
          <w:tcPr>
            <w:tcW w:w="4323" w:type="dxa"/>
            <w:vAlign w:val="center"/>
          </w:tcPr>
          <w:p w14:paraId="0309770F">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身份证（正面）</w:t>
            </w:r>
          </w:p>
        </w:tc>
        <w:tc>
          <w:tcPr>
            <w:tcW w:w="4324" w:type="dxa"/>
            <w:vAlign w:val="center"/>
          </w:tcPr>
          <w:p w14:paraId="38DB379D">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身份证（反面）</w:t>
            </w:r>
          </w:p>
        </w:tc>
      </w:tr>
    </w:tbl>
    <w:p w14:paraId="7B5FFFA6">
      <w:pPr>
        <w:snapToGrid w:val="0"/>
        <w:spacing w:line="360" w:lineRule="auto"/>
        <w:rPr>
          <w:rFonts w:hint="eastAsia" w:ascii="宋体" w:hAnsi="宋体" w:eastAsia="宋体" w:cs="宋体"/>
          <w:color w:val="auto"/>
          <w:szCs w:val="21"/>
        </w:rPr>
      </w:pPr>
    </w:p>
    <w:p w14:paraId="00296278">
      <w:pPr>
        <w:adjustRightInd w:val="0"/>
        <w:snapToGrid w:val="0"/>
        <w:spacing w:line="360" w:lineRule="auto"/>
        <w:rPr>
          <w:rFonts w:hint="eastAsia" w:ascii="宋体" w:hAnsi="宋体" w:eastAsia="宋体" w:cs="宋体"/>
          <w:color w:val="auto"/>
          <w:szCs w:val="21"/>
        </w:rPr>
      </w:pPr>
    </w:p>
    <w:p w14:paraId="78B1BCB0">
      <w:pPr>
        <w:pStyle w:val="62"/>
        <w:rPr>
          <w:rFonts w:hint="eastAsia" w:ascii="宋体" w:hAnsi="宋体" w:eastAsia="宋体" w:cs="宋体"/>
          <w:color w:val="auto"/>
          <w:szCs w:val="21"/>
        </w:rPr>
      </w:pPr>
    </w:p>
    <w:p w14:paraId="5F1E9794">
      <w:pPr>
        <w:pStyle w:val="62"/>
        <w:rPr>
          <w:rFonts w:hint="eastAsia" w:ascii="宋体" w:hAnsi="宋体" w:eastAsia="宋体" w:cs="宋体"/>
          <w:color w:val="auto"/>
          <w:szCs w:val="21"/>
        </w:rPr>
      </w:pPr>
    </w:p>
    <w:p w14:paraId="74C45298">
      <w:pPr>
        <w:adjustRightInd w:val="0"/>
        <w:snapToGrid w:val="0"/>
        <w:spacing w:line="360" w:lineRule="auto"/>
        <w:ind w:right="420"/>
        <w:rPr>
          <w:rFonts w:hint="eastAsia" w:ascii="宋体" w:hAnsi="宋体" w:eastAsia="宋体" w:cs="宋体"/>
          <w:color w:val="auto"/>
          <w:szCs w:val="21"/>
        </w:rPr>
      </w:pPr>
      <w:r>
        <w:rPr>
          <w:rFonts w:hint="eastAsia" w:ascii="宋体" w:hAnsi="宋体" w:eastAsia="宋体" w:cs="宋体"/>
          <w:color w:val="auto"/>
          <w:szCs w:val="21"/>
        </w:rPr>
        <w:t>供应商名称（盖单位章）：</w:t>
      </w:r>
    </w:p>
    <w:p w14:paraId="78D5B37A">
      <w:pPr>
        <w:adjustRightInd w:val="0"/>
        <w:snapToGrid w:val="0"/>
        <w:spacing w:line="360" w:lineRule="auto"/>
        <w:ind w:right="420"/>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日      </w:t>
      </w:r>
    </w:p>
    <w:p w14:paraId="5F7B7AB3">
      <w:pPr>
        <w:adjustRightInd w:val="0"/>
        <w:snapToGrid w:val="0"/>
        <w:spacing w:before="120" w:beforeLines="50" w:line="360" w:lineRule="auto"/>
        <w:rPr>
          <w:rFonts w:hint="eastAsia" w:ascii="宋体" w:hAnsi="宋体" w:eastAsia="宋体" w:cs="宋体"/>
          <w:color w:val="auto"/>
          <w:szCs w:val="21"/>
        </w:rPr>
      </w:pPr>
    </w:p>
    <w:p w14:paraId="22B8C556">
      <w:pPr>
        <w:adjustRightInd w:val="0"/>
        <w:snapToGrid w:val="0"/>
        <w:spacing w:before="120" w:beforeLines="50" w:line="360" w:lineRule="auto"/>
        <w:rPr>
          <w:rFonts w:hint="eastAsia" w:ascii="宋体" w:hAnsi="宋体" w:eastAsia="宋体" w:cs="宋体"/>
          <w:color w:val="auto"/>
          <w:szCs w:val="21"/>
        </w:rPr>
      </w:pPr>
    </w:p>
    <w:p w14:paraId="28A705B0">
      <w:pPr>
        <w:adjustRightInd w:val="0"/>
        <w:snapToGrid w:val="0"/>
        <w:spacing w:before="120" w:beforeLines="50" w:line="360" w:lineRule="auto"/>
        <w:rPr>
          <w:rFonts w:hint="eastAsia" w:ascii="宋体" w:hAnsi="宋体" w:eastAsia="宋体" w:cs="宋体"/>
          <w:bCs/>
          <w:color w:val="auto"/>
          <w:sz w:val="30"/>
          <w:szCs w:val="30"/>
        </w:rPr>
      </w:pPr>
    </w:p>
    <w:p w14:paraId="3F437F2F">
      <w:pPr>
        <w:adjustRightInd w:val="0"/>
        <w:snapToGrid w:val="0"/>
        <w:spacing w:before="120" w:beforeLines="50" w:line="360" w:lineRule="auto"/>
        <w:rPr>
          <w:rFonts w:hint="eastAsia" w:ascii="宋体" w:hAnsi="宋体" w:eastAsia="宋体" w:cs="宋体"/>
          <w:bCs/>
          <w:color w:val="auto"/>
          <w:sz w:val="30"/>
          <w:szCs w:val="30"/>
        </w:rPr>
      </w:pPr>
      <w:r>
        <w:rPr>
          <w:rFonts w:hint="eastAsia" w:ascii="宋体" w:hAnsi="宋体" w:eastAsia="宋体" w:cs="宋体"/>
          <w:b/>
          <w:color w:val="auto"/>
          <w:szCs w:val="21"/>
        </w:rPr>
        <w:t>★本法定代表人身份证明须单独另备一份及法定代表人身份证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p>
    <w:p w14:paraId="6ED461F0">
      <w:pPr>
        <w:adjustRightInd w:val="0"/>
        <w:snapToGrid w:val="0"/>
        <w:spacing w:before="120" w:beforeLines="50" w:line="360" w:lineRule="auto"/>
        <w:rPr>
          <w:rFonts w:hint="eastAsia" w:ascii="宋体" w:hAnsi="宋体" w:eastAsia="宋体" w:cs="宋体"/>
          <w:bCs/>
          <w:color w:val="auto"/>
          <w:sz w:val="30"/>
          <w:szCs w:val="30"/>
        </w:rPr>
      </w:pPr>
    </w:p>
    <w:p w14:paraId="6DD9171A">
      <w:pPr>
        <w:adjustRightInd w:val="0"/>
        <w:snapToGrid w:val="0"/>
        <w:spacing w:before="120" w:beforeLines="50" w:line="360" w:lineRule="auto"/>
        <w:rPr>
          <w:rFonts w:hint="eastAsia" w:ascii="宋体" w:hAnsi="宋体" w:eastAsia="宋体" w:cs="宋体"/>
          <w:bCs/>
          <w:color w:val="auto"/>
          <w:sz w:val="30"/>
          <w:szCs w:val="30"/>
        </w:rPr>
      </w:pPr>
    </w:p>
    <w:p w14:paraId="68E8ED8C">
      <w:pPr>
        <w:adjustRightInd w:val="0"/>
        <w:snapToGrid w:val="0"/>
        <w:spacing w:before="120" w:beforeLines="50" w:line="360" w:lineRule="auto"/>
        <w:rPr>
          <w:rFonts w:hint="eastAsia" w:ascii="宋体" w:hAnsi="宋体" w:eastAsia="宋体" w:cs="宋体"/>
          <w:bCs/>
          <w:color w:val="auto"/>
          <w:sz w:val="30"/>
          <w:szCs w:val="30"/>
        </w:rPr>
      </w:pPr>
    </w:p>
    <w:p w14:paraId="7E964E97">
      <w:pPr>
        <w:adjustRightInd w:val="0"/>
        <w:snapToGrid w:val="0"/>
        <w:spacing w:before="120" w:beforeLines="50" w:line="360" w:lineRule="auto"/>
        <w:rPr>
          <w:rFonts w:hint="eastAsia" w:ascii="宋体" w:hAnsi="宋体" w:eastAsia="宋体" w:cs="宋体"/>
          <w:bCs/>
          <w:color w:val="auto"/>
          <w:sz w:val="30"/>
          <w:szCs w:val="30"/>
        </w:rPr>
      </w:pPr>
    </w:p>
    <w:p w14:paraId="7EFEE5B7">
      <w:pPr>
        <w:adjustRightInd w:val="0"/>
        <w:snapToGrid w:val="0"/>
        <w:spacing w:before="120" w:beforeLines="50" w:line="360" w:lineRule="auto"/>
        <w:rPr>
          <w:rFonts w:hint="eastAsia" w:ascii="宋体" w:hAnsi="宋体" w:eastAsia="宋体" w:cs="宋体"/>
          <w:b/>
          <w:bCs w:val="0"/>
          <w:color w:val="auto"/>
          <w:sz w:val="30"/>
          <w:szCs w:val="30"/>
        </w:rPr>
      </w:pPr>
      <w:r>
        <w:rPr>
          <w:rFonts w:hint="eastAsia" w:ascii="宋体" w:hAnsi="宋体" w:eastAsia="宋体" w:cs="宋体"/>
          <w:b/>
          <w:bCs w:val="0"/>
          <w:color w:val="auto"/>
          <w:sz w:val="30"/>
          <w:szCs w:val="30"/>
        </w:rPr>
        <w:t>附件2</w:t>
      </w:r>
    </w:p>
    <w:p w14:paraId="72449B3D">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法定代表人授权委托书</w:t>
      </w:r>
    </w:p>
    <w:p w14:paraId="3AE0080F">
      <w:pPr>
        <w:pStyle w:val="42"/>
        <w:spacing w:after="240"/>
        <w:ind w:left="0" w:leftChars="0" w:firstLine="0" w:firstLineChars="0"/>
        <w:jc w:val="center"/>
        <w:rPr>
          <w:rFonts w:hint="eastAsia" w:ascii="宋体" w:hAnsi="宋体" w:eastAsia="宋体" w:cs="宋体"/>
          <w:color w:val="auto"/>
          <w:lang w:val="en-US" w:eastAsia="zh-CN"/>
        </w:rPr>
      </w:pPr>
      <w:r>
        <w:rPr>
          <w:rFonts w:hint="eastAsia" w:ascii="宋体" w:hAnsi="宋体" w:eastAsia="宋体" w:cs="宋体"/>
          <w:color w:val="auto"/>
          <w:sz w:val="21"/>
          <w:szCs w:val="21"/>
        </w:rPr>
        <w:t>(委托代理人参加磋商)</w:t>
      </w:r>
    </w:p>
    <w:p w14:paraId="22086BAA">
      <w:pP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（姓名、职务）系</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宋体"/>
          <w:color w:val="auto"/>
          <w:szCs w:val="21"/>
        </w:rPr>
        <w:t>供应商</w:t>
      </w:r>
      <w:r>
        <w:rPr>
          <w:rFonts w:hint="eastAsia" w:ascii="宋体" w:hAnsi="宋体" w:eastAsia="宋体" w:cs="宋体"/>
          <w:color w:val="auto"/>
          <w:kern w:val="0"/>
          <w:szCs w:val="21"/>
        </w:rPr>
        <w:t>名称）的法定代表人，现授权</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（姓名、职务）为我方代理人。代理人根据授权，以我方名义：(1)签署、澄清、补正、修改、撤回、提交</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（项目名称、</w:t>
      </w:r>
      <w:r>
        <w:rPr>
          <w:rFonts w:hint="eastAsia" w:ascii="宋体" w:hAnsi="宋体" w:eastAsia="宋体" w:cs="宋体"/>
          <w:color w:val="auto"/>
          <w:szCs w:val="21"/>
        </w:rPr>
        <w:t>政府</w:t>
      </w:r>
      <w:r>
        <w:rPr>
          <w:rFonts w:hint="eastAsia" w:ascii="宋体" w:hAnsi="宋体" w:eastAsia="宋体" w:cs="宋体"/>
          <w:color w:val="auto"/>
          <w:kern w:val="0"/>
          <w:szCs w:val="21"/>
        </w:rPr>
        <w:t>采购编号、采购代理机构编号）响应文件；(2)签署并重新提交响应文件及最后报价；(3)签订合同和处理有关事宜，其法律后果由我方承担。</w:t>
      </w:r>
    </w:p>
    <w:p w14:paraId="0FC573AC">
      <w:pP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委托期限：</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p>
    <w:p w14:paraId="44418BD4">
      <w:pPr>
        <w:spacing w:line="360" w:lineRule="auto"/>
        <w:ind w:firstLine="435"/>
        <w:rPr>
          <w:rFonts w:hint="eastAsia" w:ascii="宋体" w:hAnsi="宋体" w:eastAsia="宋体" w:cs="宋体"/>
          <w:color w:val="auto"/>
          <w:kern w:val="0"/>
          <w:szCs w:val="21"/>
        </w:rPr>
      </w:pPr>
      <w:r>
        <w:rPr>
          <w:rFonts w:hint="eastAsia" w:ascii="宋体" w:hAnsi="宋体" w:eastAsia="宋体" w:cs="宋体"/>
          <w:color w:val="auto"/>
          <w:kern w:val="0"/>
          <w:szCs w:val="21"/>
        </w:rPr>
        <w:t>代理人无转委托权。</w:t>
      </w:r>
    </w:p>
    <w:p w14:paraId="43952C85">
      <w:pPr>
        <w:spacing w:line="360" w:lineRule="auto"/>
        <w:ind w:firstLine="435"/>
        <w:rPr>
          <w:rFonts w:hint="eastAsia" w:ascii="宋体" w:hAnsi="宋体" w:eastAsia="宋体" w:cs="宋体"/>
          <w:color w:val="auto"/>
          <w:szCs w:val="21"/>
        </w:rPr>
      </w:pPr>
      <w:r>
        <w:rPr>
          <w:rFonts w:hint="eastAsia" w:ascii="宋体" w:hAnsi="宋体" w:eastAsia="宋体" w:cs="宋体"/>
          <w:color w:val="auto"/>
          <w:szCs w:val="21"/>
        </w:rPr>
        <w:t>本授权书于</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日签字生效，特此声明。</w:t>
      </w:r>
    </w:p>
    <w:p w14:paraId="6D3E948C">
      <w:pPr>
        <w:adjustRightInd w:val="0"/>
        <w:snapToGrid w:val="0"/>
        <w:spacing w:before="120" w:beforeLines="50"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附：委托代理人身份证复印件（双面）及法定代表人身份证明(附件1，原件)</w:t>
      </w:r>
    </w:p>
    <w:tbl>
      <w:tblPr>
        <w:tblStyle w:val="43"/>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7088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20AD32D6">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身份证（正面）</w:t>
            </w:r>
          </w:p>
        </w:tc>
        <w:tc>
          <w:tcPr>
            <w:tcW w:w="4324" w:type="dxa"/>
            <w:vAlign w:val="center"/>
          </w:tcPr>
          <w:p w14:paraId="738966FD">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身份证（反面）</w:t>
            </w:r>
          </w:p>
        </w:tc>
      </w:tr>
      <w:tr w14:paraId="38BC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53B49544">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身份证（正面）</w:t>
            </w:r>
          </w:p>
        </w:tc>
        <w:tc>
          <w:tcPr>
            <w:tcW w:w="4324" w:type="dxa"/>
            <w:vAlign w:val="center"/>
          </w:tcPr>
          <w:p w14:paraId="1FD19430">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身份证（反面）</w:t>
            </w:r>
          </w:p>
        </w:tc>
      </w:tr>
    </w:tbl>
    <w:p w14:paraId="1F3AAF0C">
      <w:pPr>
        <w:adjustRightInd w:val="0"/>
        <w:snapToGrid w:val="0"/>
        <w:spacing w:before="120" w:beforeLines="50" w:line="360" w:lineRule="auto"/>
        <w:ind w:firstLine="420" w:firstLineChars="200"/>
        <w:rPr>
          <w:rFonts w:hint="eastAsia" w:ascii="宋体" w:hAnsi="宋体" w:eastAsia="宋体" w:cs="宋体"/>
          <w:color w:val="auto"/>
          <w:szCs w:val="21"/>
        </w:rPr>
      </w:pPr>
    </w:p>
    <w:p w14:paraId="7BE2F149">
      <w:pPr>
        <w:adjustRightInd w:val="0"/>
        <w:snapToGrid w:val="0"/>
        <w:spacing w:line="360" w:lineRule="auto"/>
        <w:ind w:right="420"/>
        <w:rPr>
          <w:rFonts w:hint="eastAsia" w:ascii="宋体" w:hAnsi="宋体" w:eastAsia="宋体" w:cs="宋体"/>
          <w:color w:val="auto"/>
          <w:szCs w:val="21"/>
        </w:rPr>
      </w:pPr>
    </w:p>
    <w:p w14:paraId="13A92A5F">
      <w:pPr>
        <w:adjustRightInd w:val="0"/>
        <w:snapToGrid w:val="0"/>
        <w:spacing w:line="360" w:lineRule="auto"/>
        <w:ind w:right="420"/>
        <w:rPr>
          <w:rFonts w:hint="eastAsia" w:ascii="宋体" w:hAnsi="宋体" w:eastAsia="宋体" w:cs="宋体"/>
          <w:color w:val="auto"/>
          <w:szCs w:val="21"/>
        </w:rPr>
      </w:pPr>
    </w:p>
    <w:p w14:paraId="06069E6E">
      <w:pPr>
        <w:pStyle w:val="62"/>
        <w:rPr>
          <w:rFonts w:hint="eastAsia" w:ascii="宋体" w:hAnsi="宋体" w:eastAsia="宋体" w:cs="宋体"/>
          <w:color w:val="auto"/>
          <w:szCs w:val="21"/>
        </w:rPr>
      </w:pPr>
    </w:p>
    <w:p w14:paraId="36EFBBCF">
      <w:pPr>
        <w:pStyle w:val="62"/>
        <w:rPr>
          <w:rFonts w:hint="eastAsia" w:ascii="宋体" w:hAnsi="宋体" w:eastAsia="宋体" w:cs="宋体"/>
          <w:color w:val="auto"/>
          <w:szCs w:val="21"/>
        </w:rPr>
      </w:pPr>
    </w:p>
    <w:p w14:paraId="6B26D6DB">
      <w:pPr>
        <w:adjustRightInd w:val="0"/>
        <w:snapToGrid w:val="0"/>
        <w:spacing w:line="360" w:lineRule="auto"/>
        <w:ind w:right="420"/>
        <w:rPr>
          <w:rFonts w:hint="eastAsia" w:ascii="宋体" w:hAnsi="宋体" w:eastAsia="宋体" w:cs="宋体"/>
          <w:color w:val="auto"/>
          <w:szCs w:val="21"/>
        </w:rPr>
      </w:pPr>
      <w:r>
        <w:rPr>
          <w:rFonts w:hint="eastAsia" w:ascii="宋体" w:hAnsi="宋体" w:eastAsia="宋体" w:cs="宋体"/>
          <w:color w:val="auto"/>
          <w:szCs w:val="21"/>
        </w:rPr>
        <w:t>法定代表人（签字）：</w:t>
      </w:r>
      <w:r>
        <w:rPr>
          <w:rFonts w:hint="eastAsia" w:ascii="宋体" w:hAnsi="宋体" w:eastAsia="宋体" w:cs="宋体"/>
          <w:color w:val="auto"/>
          <w:szCs w:val="21"/>
          <w:u w:val="single"/>
        </w:rPr>
        <w:t xml:space="preserve">                     </w:t>
      </w:r>
    </w:p>
    <w:p w14:paraId="0545BE38">
      <w:pPr>
        <w:adjustRightInd w:val="0"/>
        <w:snapToGrid w:val="0"/>
        <w:spacing w:line="360" w:lineRule="auto"/>
        <w:ind w:right="420"/>
        <w:rPr>
          <w:rFonts w:hint="eastAsia" w:ascii="宋体" w:hAnsi="宋体" w:eastAsia="宋体" w:cs="宋体"/>
          <w:color w:val="auto"/>
          <w:szCs w:val="21"/>
        </w:rPr>
      </w:pPr>
      <w:r>
        <w:rPr>
          <w:rFonts w:hint="eastAsia" w:ascii="宋体" w:hAnsi="宋体" w:eastAsia="宋体" w:cs="宋体"/>
          <w:color w:val="auto"/>
          <w:szCs w:val="21"/>
        </w:rPr>
        <w:t>委托代理人（签字）：</w:t>
      </w:r>
      <w:r>
        <w:rPr>
          <w:rFonts w:hint="eastAsia" w:ascii="宋体" w:hAnsi="宋体" w:eastAsia="宋体" w:cs="宋体"/>
          <w:color w:val="auto"/>
          <w:szCs w:val="21"/>
          <w:u w:val="single"/>
        </w:rPr>
        <w:t xml:space="preserve">                     </w:t>
      </w:r>
    </w:p>
    <w:p w14:paraId="3C64D6FC">
      <w:pPr>
        <w:adjustRightInd w:val="0"/>
        <w:snapToGrid w:val="0"/>
        <w:spacing w:line="360" w:lineRule="auto"/>
        <w:ind w:right="24"/>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533623D4">
      <w:pPr>
        <w:adjustRightInd w:val="0"/>
        <w:snapToGrid w:val="0"/>
        <w:spacing w:line="360" w:lineRule="auto"/>
        <w:rPr>
          <w:rFonts w:hint="eastAsia" w:ascii="宋体" w:hAnsi="宋体" w:eastAsia="宋体" w:cs="宋体"/>
          <w:color w:val="auto"/>
          <w:kern w:val="0"/>
          <w:szCs w:val="21"/>
        </w:rPr>
      </w:pPr>
    </w:p>
    <w:p w14:paraId="2C92E495">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b/>
          <w:color w:val="auto"/>
          <w:szCs w:val="21"/>
        </w:rPr>
        <w:t>★本授权委托书须单独另备一份及委托代理人身份证原件，并附法定代表人身份证明开标现场查验。</w:t>
      </w:r>
    </w:p>
    <w:p w14:paraId="515FC95D">
      <w:pPr>
        <w:adjustRightInd w:val="0"/>
        <w:snapToGrid w:val="0"/>
        <w:spacing w:line="360" w:lineRule="auto"/>
        <w:rPr>
          <w:rFonts w:hint="eastAsia" w:ascii="宋体" w:hAnsi="宋体" w:eastAsia="宋体" w:cs="宋体"/>
          <w:color w:val="auto"/>
          <w:kern w:val="0"/>
          <w:szCs w:val="21"/>
        </w:rPr>
      </w:pPr>
    </w:p>
    <w:p w14:paraId="12B696AF">
      <w:pPr>
        <w:adjustRightInd w:val="0"/>
        <w:snapToGrid w:val="0"/>
        <w:spacing w:line="360" w:lineRule="auto"/>
        <w:rPr>
          <w:rFonts w:hint="eastAsia" w:ascii="宋体" w:hAnsi="宋体" w:eastAsia="宋体" w:cs="宋体"/>
          <w:color w:val="auto"/>
          <w:kern w:val="0"/>
          <w:szCs w:val="21"/>
        </w:rPr>
      </w:pPr>
    </w:p>
    <w:p w14:paraId="16FAC86E">
      <w:pPr>
        <w:spacing w:line="360" w:lineRule="auto"/>
        <w:jc w:val="both"/>
        <w:outlineLvl w:val="1"/>
        <w:rPr>
          <w:rFonts w:hint="eastAsia" w:ascii="宋体" w:hAnsi="宋体" w:eastAsia="宋体" w:cs="宋体"/>
          <w:b/>
          <w:color w:val="auto"/>
          <w:sz w:val="32"/>
          <w:szCs w:val="32"/>
        </w:rPr>
      </w:pPr>
    </w:p>
    <w:p w14:paraId="695AD47F">
      <w:pPr>
        <w:spacing w:line="360" w:lineRule="auto"/>
        <w:jc w:val="center"/>
        <w:outlineLvl w:val="1"/>
        <w:rPr>
          <w:rFonts w:hint="eastAsia" w:ascii="宋体" w:hAnsi="宋体" w:eastAsia="宋体" w:cs="宋体"/>
          <w:b/>
          <w:color w:val="auto"/>
          <w:sz w:val="32"/>
          <w:szCs w:val="32"/>
        </w:rPr>
      </w:pPr>
      <w:bookmarkStart w:id="69" w:name="_Toc11879753"/>
    </w:p>
    <w:p w14:paraId="24837856">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t>二、磋商保证金缴纳证明材料</w:t>
      </w:r>
      <w:bookmarkEnd w:id="69"/>
    </w:p>
    <w:p w14:paraId="1603D501">
      <w:pPr>
        <w:pStyle w:val="24"/>
        <w:adjustRightInd w:val="0"/>
        <w:snapToGrid w:val="0"/>
        <w:spacing w:before="120" w:beforeLines="50" w:line="360" w:lineRule="auto"/>
        <w:rPr>
          <w:rFonts w:hint="eastAsia" w:ascii="宋体" w:hAnsi="宋体" w:eastAsia="宋体" w:cs="宋体"/>
          <w:color w:val="auto"/>
        </w:rPr>
      </w:pPr>
    </w:p>
    <w:p w14:paraId="0E42C15A">
      <w:pPr>
        <w:adjustRightInd w:val="0"/>
        <w:snapToGrid w:val="0"/>
        <w:spacing w:beforeLines="50" w:line="360" w:lineRule="auto"/>
        <w:ind w:firstLine="562" w:firstLineChars="200"/>
        <w:jc w:val="center"/>
        <w:rPr>
          <w:rFonts w:hint="eastAsia" w:ascii="宋体" w:hAnsi="宋体" w:eastAsia="宋体" w:cs="宋体"/>
          <w:color w:val="000000"/>
          <w:sz w:val="28"/>
          <w:szCs w:val="28"/>
          <w:lang w:eastAsia="zh-CN"/>
        </w:rPr>
      </w:pPr>
      <w:r>
        <w:rPr>
          <w:rFonts w:hint="eastAsia" w:ascii="宋体" w:hAnsi="宋体" w:eastAsia="宋体" w:cs="宋体"/>
          <w:b/>
          <w:color w:val="000000"/>
          <w:sz w:val="28"/>
          <w:szCs w:val="28"/>
          <w:lang w:eastAsia="zh-CN"/>
        </w:rPr>
        <w:t>（本项目不要求）</w:t>
      </w:r>
    </w:p>
    <w:p w14:paraId="060B6C0E">
      <w:pPr>
        <w:spacing w:line="360" w:lineRule="auto"/>
        <w:rPr>
          <w:rFonts w:hint="eastAsia" w:ascii="宋体" w:hAnsi="宋体" w:eastAsia="宋体" w:cs="宋体"/>
          <w:color w:val="auto"/>
          <w:sz w:val="32"/>
          <w:szCs w:val="32"/>
        </w:rPr>
      </w:pPr>
    </w:p>
    <w:p w14:paraId="0C083EFB">
      <w:pPr>
        <w:spacing w:line="360" w:lineRule="auto"/>
        <w:rPr>
          <w:rFonts w:hint="eastAsia" w:ascii="宋体" w:hAnsi="宋体" w:eastAsia="宋体" w:cs="宋体"/>
          <w:color w:val="auto"/>
          <w:sz w:val="32"/>
          <w:szCs w:val="32"/>
        </w:rPr>
      </w:pPr>
    </w:p>
    <w:p w14:paraId="3EFE2BFB">
      <w:pPr>
        <w:spacing w:line="360" w:lineRule="auto"/>
        <w:rPr>
          <w:rFonts w:hint="eastAsia" w:ascii="宋体" w:hAnsi="宋体" w:eastAsia="宋体" w:cs="宋体"/>
          <w:color w:val="auto"/>
          <w:sz w:val="32"/>
          <w:szCs w:val="32"/>
        </w:rPr>
      </w:pPr>
    </w:p>
    <w:p w14:paraId="4278369A">
      <w:pPr>
        <w:spacing w:line="360" w:lineRule="auto"/>
        <w:rPr>
          <w:rFonts w:hint="eastAsia" w:ascii="宋体" w:hAnsi="宋体" w:eastAsia="宋体" w:cs="宋体"/>
          <w:color w:val="auto"/>
          <w:sz w:val="32"/>
          <w:szCs w:val="32"/>
        </w:rPr>
      </w:pPr>
    </w:p>
    <w:p w14:paraId="2450925F">
      <w:pPr>
        <w:spacing w:line="360" w:lineRule="auto"/>
        <w:rPr>
          <w:rFonts w:hint="eastAsia" w:ascii="宋体" w:hAnsi="宋体" w:eastAsia="宋体" w:cs="宋体"/>
          <w:color w:val="auto"/>
          <w:sz w:val="32"/>
          <w:szCs w:val="32"/>
        </w:rPr>
      </w:pPr>
    </w:p>
    <w:p w14:paraId="73E002EF">
      <w:pPr>
        <w:spacing w:line="360" w:lineRule="auto"/>
        <w:rPr>
          <w:rFonts w:hint="eastAsia" w:ascii="宋体" w:hAnsi="宋体" w:eastAsia="宋体" w:cs="宋体"/>
          <w:color w:val="auto"/>
          <w:sz w:val="32"/>
          <w:szCs w:val="32"/>
        </w:rPr>
      </w:pPr>
    </w:p>
    <w:p w14:paraId="684150E4">
      <w:pPr>
        <w:spacing w:line="360" w:lineRule="auto"/>
        <w:rPr>
          <w:rFonts w:hint="eastAsia" w:ascii="宋体" w:hAnsi="宋体" w:eastAsia="宋体" w:cs="宋体"/>
          <w:color w:val="auto"/>
          <w:sz w:val="32"/>
          <w:szCs w:val="32"/>
        </w:rPr>
      </w:pPr>
    </w:p>
    <w:p w14:paraId="55C8C350">
      <w:pPr>
        <w:spacing w:line="360" w:lineRule="auto"/>
        <w:rPr>
          <w:rFonts w:hint="eastAsia" w:ascii="宋体" w:hAnsi="宋体" w:eastAsia="宋体" w:cs="宋体"/>
          <w:color w:val="auto"/>
          <w:sz w:val="32"/>
          <w:szCs w:val="32"/>
        </w:rPr>
      </w:pPr>
    </w:p>
    <w:p w14:paraId="5DF08FAA">
      <w:pPr>
        <w:spacing w:line="360" w:lineRule="auto"/>
        <w:jc w:val="center"/>
        <w:outlineLvl w:val="1"/>
        <w:rPr>
          <w:rFonts w:hint="eastAsia" w:ascii="宋体" w:hAnsi="宋体" w:eastAsia="宋体" w:cs="宋体"/>
          <w:b/>
          <w:bCs/>
          <w:color w:val="auto"/>
          <w:sz w:val="32"/>
          <w:szCs w:val="32"/>
        </w:rPr>
      </w:pPr>
      <w:r>
        <w:rPr>
          <w:rFonts w:hint="eastAsia" w:ascii="宋体" w:hAnsi="宋体" w:eastAsia="宋体" w:cs="宋体"/>
          <w:b/>
          <w:color w:val="auto"/>
          <w:sz w:val="32"/>
          <w:szCs w:val="32"/>
        </w:rPr>
        <w:br w:type="page"/>
      </w:r>
      <w:bookmarkStart w:id="70" w:name="_Toc11879755"/>
      <w:r>
        <w:rPr>
          <w:rFonts w:hint="eastAsia" w:ascii="宋体" w:hAnsi="宋体" w:eastAsia="宋体" w:cs="宋体"/>
          <w:b/>
          <w:color w:val="auto"/>
          <w:sz w:val="32"/>
          <w:szCs w:val="32"/>
        </w:rPr>
        <w:t>三、供应商的资格证明资料</w:t>
      </w:r>
      <w:bookmarkEnd w:id="70"/>
    </w:p>
    <w:p w14:paraId="29BEF0A7">
      <w:pPr>
        <w:spacing w:line="360" w:lineRule="auto"/>
        <w:rPr>
          <w:rFonts w:hint="eastAsia" w:ascii="宋体" w:hAnsi="宋体" w:eastAsia="宋体" w:cs="宋体"/>
          <w:b/>
          <w:color w:val="auto"/>
          <w:sz w:val="30"/>
          <w:szCs w:val="30"/>
        </w:rPr>
      </w:pPr>
      <w:r>
        <w:rPr>
          <w:rFonts w:hint="eastAsia" w:ascii="宋体" w:hAnsi="宋体" w:eastAsia="宋体" w:cs="宋体"/>
          <w:b/>
          <w:bCs w:val="0"/>
          <w:color w:val="auto"/>
          <w:sz w:val="30"/>
          <w:szCs w:val="30"/>
        </w:rPr>
        <w:t>附件</w:t>
      </w:r>
      <w:r>
        <w:rPr>
          <w:rFonts w:hint="eastAsia" w:ascii="宋体" w:hAnsi="宋体" w:eastAsia="宋体" w:cs="宋体"/>
          <w:b/>
          <w:bCs w:val="0"/>
          <w:color w:val="auto"/>
          <w:sz w:val="30"/>
          <w:szCs w:val="30"/>
          <w:lang w:val="en-US" w:eastAsia="zh-CN"/>
        </w:rPr>
        <w:t>3</w:t>
      </w:r>
      <w:r>
        <w:rPr>
          <w:rFonts w:hint="eastAsia" w:ascii="宋体" w:hAnsi="宋体" w:eastAsia="宋体" w:cs="宋体"/>
          <w:b/>
          <w:bCs w:val="0"/>
          <w:color w:val="auto"/>
          <w:sz w:val="30"/>
          <w:szCs w:val="30"/>
        </w:rPr>
        <w:t xml:space="preserve">      </w:t>
      </w:r>
      <w:r>
        <w:rPr>
          <w:rFonts w:hint="eastAsia" w:ascii="宋体" w:hAnsi="宋体" w:eastAsia="宋体" w:cs="宋体"/>
          <w:b/>
          <w:color w:val="auto"/>
          <w:sz w:val="30"/>
          <w:szCs w:val="30"/>
        </w:rPr>
        <w:t xml:space="preserve">       </w:t>
      </w:r>
      <w:r>
        <w:rPr>
          <w:rFonts w:hint="eastAsia" w:ascii="宋体" w:hAnsi="宋体" w:eastAsia="宋体" w:cs="宋体"/>
          <w:b/>
          <w:color w:val="auto"/>
          <w:sz w:val="32"/>
          <w:szCs w:val="32"/>
        </w:rPr>
        <w:t xml:space="preserve">   供应商基本情况表</w:t>
      </w:r>
    </w:p>
    <w:p w14:paraId="33640FED">
      <w:pPr>
        <w:spacing w:line="360" w:lineRule="auto"/>
        <w:rPr>
          <w:rFonts w:hint="eastAsia" w:ascii="宋体" w:hAnsi="宋体" w:eastAsia="宋体" w:cs="宋体"/>
          <w:color w:val="auto"/>
          <w:sz w:val="30"/>
          <w:szCs w:val="30"/>
        </w:rPr>
      </w:pPr>
    </w:p>
    <w:p w14:paraId="647A197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盖供应商单位章</w:t>
      </w:r>
    </w:p>
    <w:tbl>
      <w:tblPr>
        <w:tblStyle w:val="43"/>
        <w:tblW w:w="894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38F8E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1EDA41DA">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3023E903">
            <w:pPr>
              <w:topLinePunct/>
              <w:spacing w:line="360" w:lineRule="auto"/>
              <w:jc w:val="center"/>
              <w:rPr>
                <w:rFonts w:hint="eastAsia" w:ascii="宋体" w:hAnsi="宋体" w:eastAsia="宋体" w:cs="宋体"/>
                <w:color w:val="auto"/>
                <w:szCs w:val="21"/>
              </w:rPr>
            </w:pPr>
          </w:p>
        </w:tc>
      </w:tr>
      <w:tr w14:paraId="7DC14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17E98F55">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284C6C7C">
            <w:pPr>
              <w:topLinePunct/>
              <w:spacing w:line="360" w:lineRule="auto"/>
              <w:jc w:val="center"/>
              <w:rPr>
                <w:rFonts w:hint="eastAsia" w:ascii="宋体" w:hAnsi="宋体" w:eastAsia="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EF81815">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6FF97276">
            <w:pPr>
              <w:topLinePunct/>
              <w:spacing w:line="360" w:lineRule="auto"/>
              <w:jc w:val="center"/>
              <w:rPr>
                <w:rFonts w:hint="eastAsia" w:ascii="宋体" w:hAnsi="宋体" w:eastAsia="宋体" w:cs="宋体"/>
                <w:color w:val="auto"/>
                <w:szCs w:val="21"/>
              </w:rPr>
            </w:pPr>
          </w:p>
        </w:tc>
      </w:tr>
      <w:tr w14:paraId="391C24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546B4D42">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82B025E">
            <w:pPr>
              <w:topLinePunct/>
              <w:spacing w:line="360" w:lineRule="auto"/>
              <w:jc w:val="center"/>
              <w:rPr>
                <w:rFonts w:hint="eastAsia" w:ascii="宋体" w:hAnsi="宋体" w:eastAsia="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660C4E25">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D839400">
            <w:pPr>
              <w:topLinePunct/>
              <w:spacing w:line="360" w:lineRule="auto"/>
              <w:jc w:val="center"/>
              <w:rPr>
                <w:rFonts w:hint="eastAsia" w:ascii="宋体" w:hAnsi="宋体" w:eastAsia="宋体" w:cs="宋体"/>
                <w:color w:val="auto"/>
                <w:szCs w:val="21"/>
              </w:rPr>
            </w:pPr>
          </w:p>
        </w:tc>
      </w:tr>
      <w:tr w14:paraId="191059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D9504BF">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43A590DC">
            <w:pPr>
              <w:topLinePunct/>
              <w:spacing w:line="360" w:lineRule="auto"/>
              <w:jc w:val="center"/>
              <w:rPr>
                <w:rFonts w:hint="eastAsia" w:ascii="宋体" w:hAnsi="宋体" w:eastAsia="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799B7128">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1CB5B6D2">
            <w:pPr>
              <w:topLinePunct/>
              <w:spacing w:line="360" w:lineRule="auto"/>
              <w:jc w:val="center"/>
              <w:rPr>
                <w:rFonts w:hint="eastAsia" w:ascii="宋体" w:hAnsi="宋体" w:eastAsia="宋体" w:cs="宋体"/>
                <w:color w:val="auto"/>
                <w:szCs w:val="21"/>
              </w:rPr>
            </w:pPr>
          </w:p>
        </w:tc>
      </w:tr>
      <w:tr w14:paraId="42DB21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48DA9FBD">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185F503">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737664B3">
            <w:pPr>
              <w:topLinePunct/>
              <w:spacing w:line="360" w:lineRule="auto"/>
              <w:jc w:val="center"/>
              <w:rPr>
                <w:rFonts w:hint="eastAsia" w:ascii="宋体" w:hAnsi="宋体" w:eastAsia="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24D3AECD">
            <w:pPr>
              <w:topLinePunct/>
              <w:spacing w:line="360" w:lineRule="auto"/>
              <w:ind w:firstLine="105" w:firstLineChars="50"/>
              <w:jc w:val="center"/>
              <w:rPr>
                <w:rFonts w:hint="eastAsia" w:ascii="宋体" w:hAnsi="宋体" w:eastAsia="宋体" w:cs="宋体"/>
                <w:color w:val="auto"/>
                <w:szCs w:val="21"/>
              </w:rPr>
            </w:pPr>
            <w:r>
              <w:rPr>
                <w:rFonts w:hint="eastAsia" w:ascii="宋体" w:hAnsi="宋体" w:eastAsia="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3CA4BB4C">
            <w:pPr>
              <w:topLinePunct/>
              <w:spacing w:line="360" w:lineRule="auto"/>
              <w:ind w:firstLine="105" w:firstLineChars="50"/>
              <w:jc w:val="center"/>
              <w:rPr>
                <w:rFonts w:hint="eastAsia" w:ascii="宋体" w:hAnsi="宋体" w:eastAsia="宋体" w:cs="宋体"/>
                <w:color w:val="auto"/>
                <w:szCs w:val="21"/>
              </w:rPr>
            </w:pPr>
          </w:p>
        </w:tc>
      </w:tr>
      <w:tr w14:paraId="3E7D0B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3F3E78BA">
            <w:pPr>
              <w:topLinePunct/>
              <w:spacing w:line="360" w:lineRule="auto"/>
              <w:jc w:val="center"/>
              <w:rPr>
                <w:rFonts w:hint="eastAsia" w:ascii="宋体" w:hAnsi="宋体" w:eastAsia="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DC9F85F">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0312B442">
            <w:pPr>
              <w:topLinePunct/>
              <w:spacing w:line="360" w:lineRule="auto"/>
              <w:jc w:val="center"/>
              <w:rPr>
                <w:rFonts w:hint="eastAsia" w:ascii="宋体" w:hAnsi="宋体" w:eastAsia="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71D9A858">
            <w:pPr>
              <w:topLinePunct/>
              <w:spacing w:line="360" w:lineRule="auto"/>
              <w:ind w:firstLine="105" w:firstLineChars="50"/>
              <w:jc w:val="center"/>
              <w:rPr>
                <w:rFonts w:hint="eastAsia" w:ascii="宋体" w:hAnsi="宋体" w:eastAsia="宋体" w:cs="宋体"/>
                <w:color w:val="auto"/>
                <w:szCs w:val="21"/>
              </w:rPr>
            </w:pPr>
            <w:r>
              <w:rPr>
                <w:rFonts w:hint="eastAsia" w:ascii="宋体" w:hAnsi="宋体" w:eastAsia="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3C4A25CC">
            <w:pPr>
              <w:topLinePunct/>
              <w:spacing w:line="360" w:lineRule="auto"/>
              <w:ind w:firstLine="105" w:firstLineChars="50"/>
              <w:jc w:val="center"/>
              <w:rPr>
                <w:rFonts w:hint="eastAsia" w:ascii="宋体" w:hAnsi="宋体" w:eastAsia="宋体" w:cs="宋体"/>
                <w:color w:val="auto"/>
                <w:szCs w:val="21"/>
              </w:rPr>
            </w:pPr>
          </w:p>
        </w:tc>
      </w:tr>
      <w:tr w14:paraId="4824FA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68551FE">
            <w:pPr>
              <w:topLinePunct/>
              <w:spacing w:line="360" w:lineRule="auto"/>
              <w:jc w:val="center"/>
              <w:rPr>
                <w:rFonts w:hint="eastAsia" w:ascii="宋体" w:hAnsi="宋体" w:eastAsia="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3376141C">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08DA6FAB">
            <w:pPr>
              <w:topLinePunct/>
              <w:spacing w:line="360" w:lineRule="auto"/>
              <w:ind w:firstLine="105" w:firstLineChars="50"/>
              <w:jc w:val="center"/>
              <w:rPr>
                <w:rFonts w:hint="eastAsia" w:ascii="宋体" w:hAnsi="宋体" w:eastAsia="宋体" w:cs="宋体"/>
                <w:color w:val="auto"/>
                <w:szCs w:val="21"/>
              </w:rPr>
            </w:pPr>
          </w:p>
        </w:tc>
      </w:tr>
      <w:tr w14:paraId="0DD4AE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7DE12CAF">
            <w:pPr>
              <w:topLinePunct/>
              <w:spacing w:line="360" w:lineRule="auto"/>
              <w:jc w:val="center"/>
              <w:rPr>
                <w:rFonts w:hint="eastAsia" w:ascii="宋体" w:hAnsi="宋体" w:eastAsia="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0BEF393">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618CAA">
            <w:pPr>
              <w:topLinePunct/>
              <w:spacing w:line="360" w:lineRule="auto"/>
              <w:ind w:firstLine="105" w:firstLineChars="50"/>
              <w:jc w:val="center"/>
              <w:rPr>
                <w:rFonts w:hint="eastAsia" w:ascii="宋体" w:hAnsi="宋体" w:eastAsia="宋体" w:cs="宋体"/>
                <w:color w:val="auto"/>
                <w:szCs w:val="21"/>
              </w:rPr>
            </w:pPr>
          </w:p>
        </w:tc>
      </w:tr>
      <w:tr w14:paraId="0D1976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683E0F42">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7942C3F3">
            <w:pPr>
              <w:topLinePunct/>
              <w:spacing w:line="360" w:lineRule="auto"/>
              <w:jc w:val="center"/>
              <w:rPr>
                <w:rFonts w:hint="eastAsia" w:ascii="宋体" w:hAnsi="宋体" w:eastAsia="宋体" w:cs="宋体"/>
                <w:color w:val="auto"/>
                <w:szCs w:val="21"/>
              </w:rPr>
            </w:pPr>
          </w:p>
        </w:tc>
      </w:tr>
      <w:tr w14:paraId="76D5C1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521B280E">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29D0D6C6">
            <w:pPr>
              <w:topLinePunct/>
              <w:spacing w:line="360" w:lineRule="auto"/>
              <w:jc w:val="center"/>
              <w:rPr>
                <w:rFonts w:hint="eastAsia" w:ascii="宋体" w:hAnsi="宋体" w:eastAsia="宋体" w:cs="宋体"/>
                <w:color w:val="auto"/>
                <w:szCs w:val="21"/>
              </w:rPr>
            </w:pPr>
          </w:p>
        </w:tc>
      </w:tr>
      <w:tr w14:paraId="44FD38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4B64C15">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EB84D3A">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8CCEB8C">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016939">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有效期</w:t>
            </w:r>
          </w:p>
        </w:tc>
      </w:tr>
      <w:tr w14:paraId="4F1074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19679DC">
            <w:pPr>
              <w:topLinePunct/>
              <w:spacing w:line="360" w:lineRule="auto"/>
              <w:jc w:val="center"/>
              <w:rPr>
                <w:rFonts w:hint="eastAsia" w:ascii="宋体" w:hAnsi="宋体" w:eastAsia="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12331C5">
            <w:pPr>
              <w:topLinePunct/>
              <w:spacing w:line="360" w:lineRule="auto"/>
              <w:jc w:val="center"/>
              <w:rPr>
                <w:rFonts w:hint="eastAsia" w:ascii="宋体" w:hAnsi="宋体" w:eastAsia="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9C680F8">
            <w:pPr>
              <w:topLinePunct/>
              <w:spacing w:line="360" w:lineRule="auto"/>
              <w:jc w:val="center"/>
              <w:rPr>
                <w:rFonts w:hint="eastAsia" w:ascii="宋体" w:hAnsi="宋体" w:eastAsia="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01DF98C">
            <w:pPr>
              <w:topLinePunct/>
              <w:spacing w:line="360" w:lineRule="auto"/>
              <w:jc w:val="center"/>
              <w:rPr>
                <w:rFonts w:hint="eastAsia" w:ascii="宋体" w:hAnsi="宋体" w:eastAsia="宋体" w:cs="宋体"/>
                <w:color w:val="auto"/>
                <w:szCs w:val="21"/>
              </w:rPr>
            </w:pPr>
          </w:p>
        </w:tc>
      </w:tr>
      <w:tr w14:paraId="44EAA4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294C96F2">
            <w:pPr>
              <w:topLinePunct/>
              <w:spacing w:line="360" w:lineRule="auto"/>
              <w:jc w:val="center"/>
              <w:rPr>
                <w:rFonts w:hint="eastAsia" w:ascii="宋体" w:hAnsi="宋体" w:eastAsia="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3760375B">
            <w:pPr>
              <w:topLinePunct/>
              <w:spacing w:line="360" w:lineRule="auto"/>
              <w:jc w:val="center"/>
              <w:rPr>
                <w:rFonts w:hint="eastAsia" w:ascii="宋体" w:hAnsi="宋体" w:eastAsia="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6AF0EB21">
            <w:pPr>
              <w:topLinePunct/>
              <w:spacing w:line="360" w:lineRule="auto"/>
              <w:jc w:val="center"/>
              <w:rPr>
                <w:rFonts w:hint="eastAsia" w:ascii="宋体" w:hAnsi="宋体" w:eastAsia="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3E3883E3">
            <w:pPr>
              <w:topLinePunct/>
              <w:spacing w:line="360" w:lineRule="auto"/>
              <w:jc w:val="center"/>
              <w:rPr>
                <w:rFonts w:hint="eastAsia" w:ascii="宋体" w:hAnsi="宋体" w:eastAsia="宋体" w:cs="宋体"/>
                <w:color w:val="auto"/>
                <w:szCs w:val="21"/>
              </w:rPr>
            </w:pPr>
          </w:p>
        </w:tc>
      </w:tr>
      <w:tr w14:paraId="59D14F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3E208E60">
            <w:pPr>
              <w:topLinePunct/>
              <w:spacing w:line="360" w:lineRule="auto"/>
              <w:jc w:val="center"/>
              <w:rPr>
                <w:rFonts w:hint="eastAsia" w:ascii="宋体" w:hAnsi="宋体" w:eastAsia="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43A041AE">
            <w:pPr>
              <w:topLinePunct/>
              <w:spacing w:line="360" w:lineRule="auto"/>
              <w:jc w:val="center"/>
              <w:rPr>
                <w:rFonts w:hint="eastAsia" w:ascii="宋体" w:hAnsi="宋体" w:eastAsia="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C0EEBC">
            <w:pPr>
              <w:topLinePunct/>
              <w:spacing w:line="360" w:lineRule="auto"/>
              <w:jc w:val="center"/>
              <w:rPr>
                <w:rFonts w:hint="eastAsia" w:ascii="宋体" w:hAnsi="宋体" w:eastAsia="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67D5B64">
            <w:pPr>
              <w:topLinePunct/>
              <w:spacing w:line="360" w:lineRule="auto"/>
              <w:jc w:val="center"/>
              <w:rPr>
                <w:rFonts w:hint="eastAsia" w:ascii="宋体" w:hAnsi="宋体" w:eastAsia="宋体" w:cs="宋体"/>
                <w:color w:val="auto"/>
                <w:szCs w:val="21"/>
              </w:rPr>
            </w:pPr>
          </w:p>
        </w:tc>
      </w:tr>
      <w:tr w14:paraId="1D701F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1A93CA46">
            <w:pPr>
              <w:topLinePunct/>
              <w:spacing w:line="360" w:lineRule="auto"/>
              <w:jc w:val="center"/>
              <w:rPr>
                <w:rFonts w:hint="eastAsia" w:ascii="宋体" w:hAnsi="宋体" w:eastAsia="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496B9E1D">
            <w:pPr>
              <w:topLinePunct/>
              <w:spacing w:line="360" w:lineRule="auto"/>
              <w:jc w:val="center"/>
              <w:rPr>
                <w:rFonts w:hint="eastAsia" w:ascii="宋体" w:hAnsi="宋体" w:eastAsia="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544A05EC">
            <w:pPr>
              <w:topLinePunct/>
              <w:spacing w:line="360" w:lineRule="auto"/>
              <w:jc w:val="center"/>
              <w:rPr>
                <w:rFonts w:hint="eastAsia" w:ascii="宋体" w:hAnsi="宋体" w:eastAsia="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3077046D">
            <w:pPr>
              <w:topLinePunct/>
              <w:spacing w:line="360" w:lineRule="auto"/>
              <w:jc w:val="center"/>
              <w:rPr>
                <w:rFonts w:hint="eastAsia" w:ascii="宋体" w:hAnsi="宋体" w:eastAsia="宋体" w:cs="宋体"/>
                <w:color w:val="auto"/>
                <w:szCs w:val="21"/>
              </w:rPr>
            </w:pPr>
          </w:p>
        </w:tc>
      </w:tr>
      <w:tr w14:paraId="4AFE0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08FF8F32">
            <w:pPr>
              <w:topLinePunct/>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35D80371">
            <w:pPr>
              <w:topLinePunct/>
              <w:spacing w:line="360" w:lineRule="auto"/>
              <w:rPr>
                <w:rFonts w:hint="eastAsia" w:ascii="宋体" w:hAnsi="宋体" w:eastAsia="宋体" w:cs="宋体"/>
                <w:color w:val="auto"/>
                <w:szCs w:val="21"/>
              </w:rPr>
            </w:pPr>
            <w:r>
              <w:rPr>
                <w:rFonts w:hint="eastAsia" w:ascii="宋体" w:hAnsi="宋体" w:eastAsia="宋体" w:cs="宋体"/>
                <w:color w:val="auto"/>
                <w:szCs w:val="21"/>
              </w:rPr>
              <w:t>后附《营业执照》（副本）复印件，</w:t>
            </w:r>
            <w:r>
              <w:rPr>
                <w:rFonts w:hint="eastAsia" w:ascii="宋体" w:hAnsi="宋体" w:eastAsia="宋体" w:cs="宋体"/>
                <w:b/>
                <w:color w:val="auto"/>
                <w:szCs w:val="21"/>
              </w:rPr>
              <w:t>其他资料按第二章第3.1款或第四章要求提供。</w:t>
            </w:r>
          </w:p>
        </w:tc>
      </w:tr>
    </w:tbl>
    <w:p w14:paraId="5B3F7850">
      <w:pPr>
        <w:spacing w:line="360" w:lineRule="auto"/>
        <w:rPr>
          <w:rFonts w:hint="eastAsia" w:ascii="宋体" w:hAnsi="宋体" w:eastAsia="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6CB7D913">
      <w:pPr>
        <w:spacing w:line="480" w:lineRule="exact"/>
        <w:outlineLvl w:val="0"/>
        <w:rPr>
          <w:rFonts w:hint="eastAsia" w:ascii="宋体" w:hAnsi="宋体" w:eastAsia="宋体" w:cs="宋体"/>
          <w:b/>
          <w:bCs/>
          <w:sz w:val="30"/>
          <w:szCs w:val="30"/>
          <w:lang w:val="en-US" w:eastAsia="zh-CN"/>
        </w:rPr>
      </w:pPr>
      <w:bookmarkStart w:id="71" w:name="_Toc993"/>
      <w:r>
        <w:rPr>
          <w:rFonts w:hint="eastAsia" w:ascii="宋体" w:hAnsi="宋体" w:eastAsia="宋体" w:cs="宋体"/>
          <w:b/>
          <w:bCs/>
          <w:sz w:val="30"/>
          <w:szCs w:val="30"/>
        </w:rPr>
        <w:t>附件</w:t>
      </w:r>
      <w:bookmarkEnd w:id="71"/>
      <w:r>
        <w:rPr>
          <w:rFonts w:hint="eastAsia" w:ascii="宋体" w:hAnsi="宋体" w:eastAsia="宋体" w:cs="宋体"/>
          <w:b/>
          <w:bCs/>
          <w:sz w:val="30"/>
          <w:szCs w:val="30"/>
          <w:lang w:val="en-US" w:eastAsia="zh-CN"/>
        </w:rPr>
        <w:t>4</w:t>
      </w:r>
    </w:p>
    <w:p w14:paraId="145BC201">
      <w:pPr>
        <w:spacing w:line="360" w:lineRule="auto"/>
        <w:jc w:val="center"/>
        <w:rPr>
          <w:rFonts w:hint="eastAsia" w:ascii="宋体" w:hAnsi="宋体" w:eastAsia="宋体" w:cs="宋体"/>
          <w:b/>
          <w:bCs/>
          <w:sz w:val="30"/>
          <w:szCs w:val="30"/>
        </w:rPr>
      </w:pPr>
      <w:r>
        <w:rPr>
          <w:rFonts w:hint="eastAsia" w:ascii="宋体" w:hAnsi="宋体" w:eastAsia="宋体" w:cs="宋体"/>
          <w:b/>
          <w:bCs/>
          <w:sz w:val="30"/>
          <w:szCs w:val="30"/>
        </w:rPr>
        <w:t>磋商文件规定的基本资格条件证明资料</w:t>
      </w:r>
    </w:p>
    <w:p w14:paraId="3C630A37">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rPr>
        <w:t>符合《中华人民共和国政府采购法》第二十二条规定的供应商条件，并</w:t>
      </w:r>
      <w:r>
        <w:rPr>
          <w:rFonts w:hint="eastAsia" w:ascii="宋体" w:hAnsi="宋体" w:eastAsia="宋体" w:cs="宋体"/>
          <w:sz w:val="21"/>
          <w:szCs w:val="21"/>
        </w:rPr>
        <w:t>提供第二章磋商须知第3.1款供应商</w:t>
      </w:r>
      <w:r>
        <w:rPr>
          <w:rFonts w:hint="eastAsia" w:ascii="宋体" w:hAnsi="宋体" w:eastAsia="宋体" w:cs="宋体"/>
          <w:sz w:val="21"/>
          <w:szCs w:val="21"/>
          <w:lang w:eastAsia="zh-CN"/>
        </w:rPr>
        <w:t>基本</w:t>
      </w:r>
      <w:r>
        <w:rPr>
          <w:rFonts w:hint="eastAsia" w:ascii="宋体" w:hAnsi="宋体" w:eastAsia="宋体" w:cs="宋体"/>
          <w:sz w:val="21"/>
          <w:szCs w:val="21"/>
        </w:rPr>
        <w:t>资格条件证明资料的复印件。</w:t>
      </w:r>
    </w:p>
    <w:p w14:paraId="7B367F3B">
      <w:pPr>
        <w:adjustRightInd w:val="0"/>
        <w:snapToGrid w:val="0"/>
        <w:spacing w:line="360" w:lineRule="auto"/>
        <w:jc w:val="center"/>
        <w:rPr>
          <w:rFonts w:hint="eastAsia" w:ascii="宋体" w:hAnsi="宋体" w:eastAsia="宋体" w:cs="宋体"/>
          <w:b/>
          <w:color w:val="auto"/>
          <w:sz w:val="32"/>
          <w:szCs w:val="32"/>
        </w:rPr>
      </w:pPr>
    </w:p>
    <w:p w14:paraId="017BA9C6">
      <w:pPr>
        <w:spacing w:line="480" w:lineRule="exact"/>
        <w:outlineLvl w:val="0"/>
        <w:rPr>
          <w:rFonts w:hint="eastAsia" w:ascii="宋体" w:hAnsi="宋体" w:eastAsia="宋体" w:cs="宋体"/>
          <w:sz w:val="30"/>
          <w:szCs w:val="30"/>
          <w:lang w:val="en-US" w:eastAsia="zh-CN"/>
        </w:rPr>
      </w:pPr>
      <w:r>
        <w:rPr>
          <w:rFonts w:hint="eastAsia" w:ascii="宋体" w:hAnsi="宋体" w:eastAsia="宋体" w:cs="宋体"/>
          <w:b/>
          <w:color w:val="auto"/>
          <w:sz w:val="32"/>
          <w:szCs w:val="32"/>
        </w:rPr>
        <w:br w:type="page"/>
      </w:r>
      <w:bookmarkStart w:id="72" w:name="_Toc11879756"/>
      <w:r>
        <w:rPr>
          <w:rFonts w:hint="eastAsia" w:ascii="宋体" w:hAnsi="宋体" w:eastAsia="宋体" w:cs="宋体"/>
          <w:b/>
          <w:bCs/>
          <w:sz w:val="30"/>
          <w:szCs w:val="30"/>
        </w:rPr>
        <w:t>附件</w:t>
      </w:r>
      <w:r>
        <w:rPr>
          <w:rFonts w:hint="eastAsia" w:ascii="宋体" w:hAnsi="宋体" w:eastAsia="宋体" w:cs="宋体"/>
          <w:b/>
          <w:bCs/>
          <w:sz w:val="30"/>
          <w:szCs w:val="30"/>
          <w:lang w:val="en-US" w:eastAsia="zh-CN"/>
        </w:rPr>
        <w:t>4-1</w:t>
      </w:r>
    </w:p>
    <w:p w14:paraId="695EC38F">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湖南省政府采购供应商资格承诺函</w:t>
      </w:r>
    </w:p>
    <w:p w14:paraId="4FB90C99">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FBC39AB">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按照《政府采购促进中小企业发展管理办法》（财库〔2020〕46号），本公司企业规模为：大型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中型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小型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微型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w:t>
      </w:r>
    </w:p>
    <w:p w14:paraId="24BEA0EB">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340B1DBC">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公司（单位）名称（盖章）</w:t>
      </w:r>
    </w:p>
    <w:p w14:paraId="1B7E5C48">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年</w:t>
      </w:r>
      <w:r>
        <w:rPr>
          <w:rFonts w:hint="eastAsia" w:ascii="宋体" w:hAnsi="宋体" w:eastAsia="宋体" w:cs="宋体"/>
          <w:i/>
          <w:iCs/>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月</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日</w:t>
      </w:r>
    </w:p>
    <w:p w14:paraId="4E79790D">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60C4265E">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60D16730">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机构代码、注册登记机构、日期、有效期、注册资本、地址、经济行业、经济性质</w:t>
      </w:r>
    </w:p>
    <w:p w14:paraId="6B285B96">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法定代表人（负责人）姓名（签字）、身份证号、手机号：</w:t>
      </w:r>
    </w:p>
    <w:p w14:paraId="5BBADF41">
      <w:pPr>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b w:val="0"/>
          <w:bCs/>
          <w:color w:val="000000"/>
          <w:kern w:val="0"/>
          <w:sz w:val="21"/>
          <w:szCs w:val="21"/>
          <w:lang w:val="en-US" w:eastAsia="zh-CN"/>
        </w:rPr>
      </w:pPr>
      <w:r>
        <w:rPr>
          <w:rFonts w:hint="eastAsia" w:ascii="宋体" w:hAnsi="宋体" w:eastAsia="宋体" w:cs="宋体"/>
          <w:color w:val="000000"/>
          <w:kern w:val="0"/>
          <w:sz w:val="21"/>
          <w:szCs w:val="21"/>
          <w:lang w:val="en-US" w:eastAsia="zh-CN" w:bidi="ar"/>
        </w:rPr>
        <w:t>授权代表人姓名（签字）、身份证号、手机号：</w:t>
      </w:r>
    </w:p>
    <w:p w14:paraId="7249900A">
      <w:pPr>
        <w:spacing w:line="360" w:lineRule="auto"/>
        <w:jc w:val="center"/>
        <w:outlineLvl w:val="1"/>
        <w:rPr>
          <w:rFonts w:hint="eastAsia" w:ascii="宋体" w:hAnsi="宋体" w:eastAsia="宋体" w:cs="宋体"/>
          <w:b/>
          <w:color w:val="auto"/>
          <w:sz w:val="32"/>
          <w:szCs w:val="32"/>
        </w:rPr>
      </w:pPr>
    </w:p>
    <w:p w14:paraId="29AE75EB">
      <w:pPr>
        <w:spacing w:line="360" w:lineRule="auto"/>
        <w:jc w:val="center"/>
        <w:outlineLvl w:val="1"/>
        <w:rPr>
          <w:rFonts w:hint="eastAsia" w:ascii="宋体" w:hAnsi="宋体" w:eastAsia="宋体" w:cs="宋体"/>
          <w:b/>
          <w:color w:val="auto"/>
          <w:sz w:val="32"/>
          <w:szCs w:val="32"/>
        </w:rPr>
      </w:pPr>
    </w:p>
    <w:p w14:paraId="27181E74">
      <w:pPr>
        <w:spacing w:line="360" w:lineRule="auto"/>
        <w:jc w:val="center"/>
        <w:outlineLvl w:val="1"/>
        <w:rPr>
          <w:rFonts w:hint="eastAsia" w:ascii="宋体" w:hAnsi="宋体" w:eastAsia="宋体" w:cs="宋体"/>
          <w:b/>
          <w:color w:val="auto"/>
          <w:sz w:val="32"/>
          <w:szCs w:val="32"/>
        </w:rPr>
      </w:pPr>
    </w:p>
    <w:p w14:paraId="28204CC8">
      <w:pPr>
        <w:spacing w:line="360" w:lineRule="auto"/>
        <w:jc w:val="center"/>
        <w:outlineLvl w:val="1"/>
        <w:rPr>
          <w:rFonts w:hint="eastAsia" w:ascii="宋体" w:hAnsi="宋体" w:eastAsia="宋体" w:cs="宋体"/>
          <w:b/>
          <w:color w:val="auto"/>
          <w:sz w:val="32"/>
          <w:szCs w:val="32"/>
        </w:rPr>
      </w:pPr>
    </w:p>
    <w:p w14:paraId="02A330F3">
      <w:pPr>
        <w:spacing w:line="360" w:lineRule="auto"/>
        <w:jc w:val="center"/>
        <w:outlineLvl w:val="1"/>
        <w:rPr>
          <w:rFonts w:hint="eastAsia" w:ascii="宋体" w:hAnsi="宋体" w:eastAsia="宋体" w:cs="宋体"/>
          <w:b/>
          <w:color w:val="auto"/>
          <w:sz w:val="32"/>
          <w:szCs w:val="32"/>
        </w:rPr>
      </w:pPr>
    </w:p>
    <w:p w14:paraId="17515F6F">
      <w:pPr>
        <w:spacing w:line="360" w:lineRule="auto"/>
        <w:jc w:val="center"/>
        <w:outlineLvl w:val="1"/>
        <w:rPr>
          <w:rFonts w:hint="eastAsia" w:ascii="宋体" w:hAnsi="宋体" w:eastAsia="宋体" w:cs="宋体"/>
          <w:b/>
          <w:color w:val="auto"/>
          <w:sz w:val="32"/>
          <w:szCs w:val="32"/>
        </w:rPr>
      </w:pPr>
    </w:p>
    <w:p w14:paraId="7893AC16">
      <w:pPr>
        <w:spacing w:line="360" w:lineRule="auto"/>
        <w:jc w:val="center"/>
        <w:outlineLvl w:val="1"/>
        <w:rPr>
          <w:rFonts w:hint="eastAsia" w:ascii="宋体" w:hAnsi="宋体" w:eastAsia="宋体" w:cs="宋体"/>
          <w:b/>
          <w:color w:val="auto"/>
          <w:sz w:val="32"/>
          <w:szCs w:val="32"/>
        </w:rPr>
      </w:pPr>
    </w:p>
    <w:p w14:paraId="5DEEF092">
      <w:pPr>
        <w:spacing w:line="360" w:lineRule="auto"/>
        <w:jc w:val="both"/>
        <w:outlineLvl w:val="1"/>
        <w:rPr>
          <w:rFonts w:hint="eastAsia" w:ascii="宋体" w:hAnsi="宋体" w:eastAsia="宋体" w:cs="宋体"/>
          <w:b/>
          <w:color w:val="auto"/>
          <w:sz w:val="32"/>
          <w:szCs w:val="32"/>
        </w:rPr>
      </w:pPr>
    </w:p>
    <w:p w14:paraId="1C914C51">
      <w:pPr>
        <w:spacing w:line="480" w:lineRule="exact"/>
        <w:outlineLvl w:val="0"/>
        <w:rPr>
          <w:rFonts w:hint="eastAsia" w:ascii="宋体" w:hAnsi="宋体" w:eastAsia="宋体" w:cs="宋体"/>
          <w:sz w:val="30"/>
          <w:szCs w:val="30"/>
        </w:rPr>
      </w:pPr>
    </w:p>
    <w:p w14:paraId="620100F2">
      <w:pPr>
        <w:spacing w:line="480" w:lineRule="exact"/>
        <w:outlineLvl w:val="0"/>
        <w:rPr>
          <w:rFonts w:hint="eastAsia" w:ascii="宋体" w:hAnsi="宋体" w:eastAsia="宋体" w:cs="宋体"/>
          <w:b/>
          <w:bCs/>
          <w:sz w:val="30"/>
          <w:szCs w:val="30"/>
          <w:lang w:val="en-US" w:eastAsia="zh-CN"/>
        </w:rPr>
      </w:pPr>
      <w:r>
        <w:rPr>
          <w:rFonts w:hint="eastAsia" w:ascii="宋体" w:hAnsi="宋体" w:eastAsia="宋体" w:cs="宋体"/>
          <w:b/>
          <w:bCs/>
          <w:sz w:val="30"/>
          <w:szCs w:val="30"/>
        </w:rPr>
        <w:t>附件</w:t>
      </w:r>
      <w:r>
        <w:rPr>
          <w:rFonts w:hint="eastAsia" w:ascii="宋体" w:hAnsi="宋体" w:eastAsia="宋体" w:cs="宋体"/>
          <w:b/>
          <w:bCs/>
          <w:sz w:val="30"/>
          <w:szCs w:val="30"/>
          <w:lang w:val="en-US" w:eastAsia="zh-CN"/>
        </w:rPr>
        <w:t>5</w:t>
      </w:r>
    </w:p>
    <w:p w14:paraId="677BA1B8">
      <w:pPr>
        <w:spacing w:line="480" w:lineRule="exact"/>
        <w:jc w:val="center"/>
        <w:outlineLvl w:val="0"/>
        <w:rPr>
          <w:rFonts w:hint="eastAsia" w:ascii="宋体" w:hAnsi="宋体" w:eastAsia="宋体" w:cs="宋体"/>
          <w:b/>
          <w:bCs/>
          <w:sz w:val="30"/>
          <w:szCs w:val="30"/>
        </w:rPr>
      </w:pPr>
      <w:r>
        <w:rPr>
          <w:rFonts w:hint="eastAsia" w:ascii="宋体" w:hAnsi="宋体" w:eastAsia="宋体" w:cs="宋体"/>
          <w:b/>
          <w:bCs/>
          <w:sz w:val="30"/>
          <w:szCs w:val="30"/>
        </w:rPr>
        <w:t>磋商文件规定的特定资格条件证明资料</w:t>
      </w:r>
    </w:p>
    <w:p w14:paraId="6E385082">
      <w:pPr>
        <w:spacing w:line="480" w:lineRule="exact"/>
        <w:rPr>
          <w:rFonts w:hint="eastAsia" w:ascii="宋体" w:hAnsi="宋体" w:eastAsia="宋体" w:cs="宋体"/>
          <w:sz w:val="21"/>
          <w:szCs w:val="21"/>
        </w:rPr>
      </w:pPr>
    </w:p>
    <w:p w14:paraId="3808E264">
      <w:pPr>
        <w:rPr>
          <w:rFonts w:hint="eastAsia" w:ascii="宋体" w:hAnsi="宋体" w:eastAsia="宋体" w:cs="宋体"/>
          <w:sz w:val="21"/>
          <w:szCs w:val="21"/>
        </w:rPr>
      </w:pPr>
      <w:r>
        <w:rPr>
          <w:rFonts w:hint="eastAsia" w:ascii="宋体" w:hAnsi="宋体" w:eastAsia="宋体" w:cs="宋体"/>
          <w:sz w:val="21"/>
          <w:szCs w:val="21"/>
        </w:rPr>
        <w:t>备注：提供第二章磋商须知第3.1款供应商特定资格条件证明资料的复印件。</w:t>
      </w:r>
    </w:p>
    <w:p w14:paraId="5D92BCA3">
      <w:pPr>
        <w:spacing w:line="480" w:lineRule="exact"/>
        <w:outlineLvl w:val="0"/>
        <w:rPr>
          <w:rFonts w:hint="eastAsia" w:ascii="宋体" w:hAnsi="宋体" w:eastAsia="宋体" w:cs="宋体"/>
          <w:sz w:val="30"/>
          <w:szCs w:val="30"/>
        </w:rPr>
      </w:pPr>
    </w:p>
    <w:p w14:paraId="6494C298">
      <w:pPr>
        <w:spacing w:line="480" w:lineRule="exact"/>
        <w:outlineLvl w:val="0"/>
        <w:rPr>
          <w:rFonts w:hint="eastAsia" w:ascii="宋体" w:hAnsi="宋体" w:eastAsia="宋体" w:cs="宋体"/>
          <w:sz w:val="30"/>
          <w:szCs w:val="30"/>
        </w:rPr>
      </w:pPr>
    </w:p>
    <w:p w14:paraId="5FB28484">
      <w:pPr>
        <w:spacing w:line="480" w:lineRule="exact"/>
        <w:outlineLvl w:val="0"/>
        <w:rPr>
          <w:rFonts w:hint="eastAsia" w:ascii="宋体" w:hAnsi="宋体" w:eastAsia="宋体" w:cs="宋体"/>
          <w:sz w:val="30"/>
          <w:szCs w:val="30"/>
        </w:rPr>
      </w:pPr>
    </w:p>
    <w:p w14:paraId="1A23D73A">
      <w:pPr>
        <w:spacing w:line="480" w:lineRule="exact"/>
        <w:outlineLvl w:val="0"/>
        <w:rPr>
          <w:rFonts w:hint="eastAsia" w:ascii="宋体" w:hAnsi="宋体" w:eastAsia="宋体" w:cs="宋体"/>
          <w:sz w:val="30"/>
          <w:szCs w:val="30"/>
        </w:rPr>
      </w:pPr>
    </w:p>
    <w:p w14:paraId="043FCF15">
      <w:pPr>
        <w:spacing w:line="480" w:lineRule="exact"/>
        <w:outlineLvl w:val="0"/>
        <w:rPr>
          <w:rFonts w:hint="eastAsia" w:ascii="宋体" w:hAnsi="宋体" w:eastAsia="宋体" w:cs="宋体"/>
          <w:sz w:val="30"/>
          <w:szCs w:val="30"/>
        </w:rPr>
      </w:pPr>
    </w:p>
    <w:p w14:paraId="0417A958">
      <w:pPr>
        <w:spacing w:line="480" w:lineRule="exact"/>
        <w:outlineLvl w:val="0"/>
        <w:rPr>
          <w:rFonts w:hint="eastAsia" w:ascii="宋体" w:hAnsi="宋体" w:eastAsia="宋体" w:cs="宋体"/>
          <w:sz w:val="30"/>
          <w:szCs w:val="30"/>
        </w:rPr>
      </w:pPr>
    </w:p>
    <w:p w14:paraId="1E163A15">
      <w:pPr>
        <w:spacing w:line="480" w:lineRule="exact"/>
        <w:outlineLvl w:val="0"/>
        <w:rPr>
          <w:rFonts w:hint="eastAsia" w:ascii="宋体" w:hAnsi="宋体" w:eastAsia="宋体" w:cs="宋体"/>
          <w:sz w:val="30"/>
          <w:szCs w:val="30"/>
        </w:rPr>
      </w:pPr>
    </w:p>
    <w:p w14:paraId="04196FDD">
      <w:pPr>
        <w:spacing w:line="480" w:lineRule="exact"/>
        <w:outlineLvl w:val="0"/>
        <w:rPr>
          <w:rFonts w:hint="eastAsia" w:ascii="宋体" w:hAnsi="宋体" w:eastAsia="宋体" w:cs="宋体"/>
          <w:sz w:val="30"/>
          <w:szCs w:val="30"/>
        </w:rPr>
      </w:pPr>
    </w:p>
    <w:p w14:paraId="342264A0">
      <w:pPr>
        <w:spacing w:line="480" w:lineRule="exact"/>
        <w:outlineLvl w:val="0"/>
        <w:rPr>
          <w:rFonts w:hint="eastAsia" w:ascii="宋体" w:hAnsi="宋体" w:eastAsia="宋体" w:cs="宋体"/>
          <w:sz w:val="30"/>
          <w:szCs w:val="30"/>
        </w:rPr>
      </w:pPr>
    </w:p>
    <w:p w14:paraId="6931F67D">
      <w:pPr>
        <w:spacing w:line="480" w:lineRule="exact"/>
        <w:outlineLvl w:val="0"/>
        <w:rPr>
          <w:rFonts w:hint="eastAsia" w:ascii="宋体" w:hAnsi="宋体" w:eastAsia="宋体" w:cs="宋体"/>
          <w:sz w:val="30"/>
          <w:szCs w:val="30"/>
        </w:rPr>
      </w:pPr>
    </w:p>
    <w:p w14:paraId="6552A278">
      <w:pPr>
        <w:spacing w:line="480" w:lineRule="exact"/>
        <w:outlineLvl w:val="0"/>
        <w:rPr>
          <w:rFonts w:hint="eastAsia" w:ascii="宋体" w:hAnsi="宋体" w:eastAsia="宋体" w:cs="宋体"/>
          <w:sz w:val="30"/>
          <w:szCs w:val="30"/>
        </w:rPr>
      </w:pPr>
    </w:p>
    <w:p w14:paraId="7D251905">
      <w:pPr>
        <w:spacing w:line="480" w:lineRule="exact"/>
        <w:outlineLvl w:val="0"/>
        <w:rPr>
          <w:rFonts w:hint="eastAsia" w:ascii="宋体" w:hAnsi="宋体" w:eastAsia="宋体" w:cs="宋体"/>
          <w:sz w:val="30"/>
          <w:szCs w:val="30"/>
        </w:rPr>
      </w:pPr>
    </w:p>
    <w:p w14:paraId="4FF9841C">
      <w:pPr>
        <w:spacing w:line="480" w:lineRule="exact"/>
        <w:outlineLvl w:val="0"/>
        <w:rPr>
          <w:rFonts w:hint="eastAsia" w:ascii="宋体" w:hAnsi="宋体" w:eastAsia="宋体" w:cs="宋体"/>
          <w:sz w:val="30"/>
          <w:szCs w:val="30"/>
        </w:rPr>
      </w:pPr>
    </w:p>
    <w:p w14:paraId="3DC12559">
      <w:pPr>
        <w:spacing w:line="480" w:lineRule="exact"/>
        <w:outlineLvl w:val="0"/>
        <w:rPr>
          <w:rFonts w:hint="eastAsia" w:ascii="宋体" w:hAnsi="宋体" w:eastAsia="宋体" w:cs="宋体"/>
          <w:sz w:val="30"/>
          <w:szCs w:val="30"/>
        </w:rPr>
      </w:pPr>
    </w:p>
    <w:p w14:paraId="33438471">
      <w:pPr>
        <w:spacing w:line="480" w:lineRule="exact"/>
        <w:outlineLvl w:val="0"/>
        <w:rPr>
          <w:rFonts w:hint="eastAsia" w:ascii="宋体" w:hAnsi="宋体" w:eastAsia="宋体" w:cs="宋体"/>
          <w:sz w:val="30"/>
          <w:szCs w:val="30"/>
        </w:rPr>
      </w:pPr>
    </w:p>
    <w:p w14:paraId="20912225">
      <w:pPr>
        <w:spacing w:line="480" w:lineRule="exact"/>
        <w:outlineLvl w:val="0"/>
        <w:rPr>
          <w:rFonts w:hint="eastAsia" w:ascii="宋体" w:hAnsi="宋体" w:eastAsia="宋体" w:cs="宋体"/>
          <w:sz w:val="30"/>
          <w:szCs w:val="30"/>
        </w:rPr>
      </w:pPr>
    </w:p>
    <w:p w14:paraId="7CBE46F8">
      <w:pPr>
        <w:spacing w:line="480" w:lineRule="exact"/>
        <w:outlineLvl w:val="0"/>
        <w:rPr>
          <w:rFonts w:hint="eastAsia" w:ascii="宋体" w:hAnsi="宋体" w:eastAsia="宋体" w:cs="宋体"/>
          <w:sz w:val="30"/>
          <w:szCs w:val="30"/>
        </w:rPr>
      </w:pPr>
    </w:p>
    <w:p w14:paraId="638AA546">
      <w:pPr>
        <w:spacing w:line="480" w:lineRule="exact"/>
        <w:outlineLvl w:val="0"/>
        <w:rPr>
          <w:rFonts w:hint="eastAsia" w:ascii="宋体" w:hAnsi="宋体" w:eastAsia="宋体" w:cs="宋体"/>
          <w:sz w:val="30"/>
          <w:szCs w:val="30"/>
        </w:rPr>
      </w:pPr>
    </w:p>
    <w:p w14:paraId="6D6E4DAA">
      <w:pPr>
        <w:spacing w:line="480" w:lineRule="exact"/>
        <w:outlineLvl w:val="0"/>
        <w:rPr>
          <w:rFonts w:hint="eastAsia" w:ascii="宋体" w:hAnsi="宋体" w:eastAsia="宋体" w:cs="宋体"/>
          <w:sz w:val="30"/>
          <w:szCs w:val="30"/>
        </w:rPr>
      </w:pPr>
    </w:p>
    <w:p w14:paraId="3C3D9BF6">
      <w:pPr>
        <w:spacing w:line="480" w:lineRule="exact"/>
        <w:outlineLvl w:val="0"/>
        <w:rPr>
          <w:rFonts w:hint="eastAsia" w:ascii="宋体" w:hAnsi="宋体" w:eastAsia="宋体" w:cs="宋体"/>
          <w:sz w:val="30"/>
          <w:szCs w:val="30"/>
        </w:rPr>
      </w:pPr>
    </w:p>
    <w:p w14:paraId="6F14F91D">
      <w:pPr>
        <w:spacing w:line="480" w:lineRule="exact"/>
        <w:outlineLvl w:val="0"/>
        <w:rPr>
          <w:rFonts w:hint="eastAsia" w:ascii="宋体" w:hAnsi="宋体" w:eastAsia="宋体" w:cs="宋体"/>
          <w:sz w:val="30"/>
          <w:szCs w:val="30"/>
        </w:rPr>
      </w:pPr>
    </w:p>
    <w:p w14:paraId="5BB061D4">
      <w:pPr>
        <w:spacing w:line="480" w:lineRule="exact"/>
        <w:outlineLvl w:val="0"/>
        <w:rPr>
          <w:rFonts w:hint="eastAsia" w:ascii="宋体" w:hAnsi="宋体" w:eastAsia="宋体" w:cs="宋体"/>
          <w:sz w:val="30"/>
          <w:szCs w:val="30"/>
        </w:rPr>
      </w:pPr>
    </w:p>
    <w:p w14:paraId="77ED5482">
      <w:pPr>
        <w:spacing w:line="480" w:lineRule="exact"/>
        <w:outlineLvl w:val="0"/>
        <w:rPr>
          <w:rFonts w:hint="eastAsia" w:ascii="宋体" w:hAnsi="宋体" w:eastAsia="宋体" w:cs="宋体"/>
          <w:sz w:val="30"/>
          <w:szCs w:val="30"/>
        </w:rPr>
      </w:pPr>
    </w:p>
    <w:p w14:paraId="7CD269A6">
      <w:pPr>
        <w:spacing w:line="480" w:lineRule="exact"/>
        <w:outlineLvl w:val="0"/>
        <w:rPr>
          <w:rFonts w:hint="eastAsia" w:ascii="宋体" w:hAnsi="宋体" w:eastAsia="宋体" w:cs="宋体"/>
          <w:sz w:val="30"/>
          <w:szCs w:val="30"/>
        </w:rPr>
      </w:pPr>
    </w:p>
    <w:p w14:paraId="5121184F">
      <w:pPr>
        <w:spacing w:line="480" w:lineRule="exact"/>
        <w:outlineLvl w:val="0"/>
        <w:rPr>
          <w:rFonts w:hint="eastAsia" w:ascii="宋体" w:hAnsi="宋体" w:eastAsia="宋体" w:cs="宋体"/>
          <w:sz w:val="30"/>
          <w:szCs w:val="30"/>
        </w:rPr>
      </w:pPr>
    </w:p>
    <w:p w14:paraId="1F89E116">
      <w:pPr>
        <w:spacing w:line="480" w:lineRule="exact"/>
        <w:outlineLvl w:val="0"/>
        <w:rPr>
          <w:rFonts w:hint="eastAsia" w:ascii="宋体" w:hAnsi="宋体" w:eastAsia="宋体" w:cs="宋体"/>
          <w:sz w:val="30"/>
          <w:szCs w:val="30"/>
        </w:rPr>
      </w:pPr>
    </w:p>
    <w:p w14:paraId="0E08ACA1">
      <w:pPr>
        <w:spacing w:line="480" w:lineRule="exact"/>
        <w:outlineLvl w:val="0"/>
        <w:rPr>
          <w:rFonts w:hint="eastAsia" w:ascii="宋体" w:hAnsi="宋体" w:eastAsia="宋体" w:cs="宋体"/>
          <w:b/>
          <w:bCs/>
          <w:sz w:val="30"/>
          <w:szCs w:val="30"/>
        </w:rPr>
      </w:pPr>
      <w:r>
        <w:rPr>
          <w:rFonts w:hint="eastAsia" w:ascii="宋体" w:hAnsi="宋体" w:eastAsia="宋体" w:cs="宋体"/>
          <w:b/>
          <w:bCs/>
          <w:sz w:val="30"/>
          <w:szCs w:val="30"/>
        </w:rPr>
        <w:t>附件</w:t>
      </w:r>
      <w:r>
        <w:rPr>
          <w:rFonts w:hint="eastAsia" w:ascii="宋体" w:hAnsi="宋体" w:eastAsia="宋体" w:cs="宋体"/>
          <w:b/>
          <w:bCs/>
          <w:sz w:val="30"/>
          <w:szCs w:val="30"/>
          <w:lang w:val="en-US" w:eastAsia="zh-CN"/>
        </w:rPr>
        <w:t>6</w:t>
      </w:r>
      <w:r>
        <w:rPr>
          <w:rFonts w:hint="eastAsia" w:ascii="宋体" w:hAnsi="宋体" w:eastAsia="宋体" w:cs="宋体"/>
          <w:b/>
          <w:bCs/>
          <w:sz w:val="30"/>
          <w:szCs w:val="30"/>
        </w:rPr>
        <w:t xml:space="preserve"> </w:t>
      </w:r>
    </w:p>
    <w:p w14:paraId="0593BE4E">
      <w:pPr>
        <w:spacing w:line="480" w:lineRule="exact"/>
        <w:jc w:val="center"/>
        <w:outlineLvl w:val="0"/>
        <w:rPr>
          <w:rFonts w:hint="eastAsia" w:ascii="宋体" w:hAnsi="宋体" w:eastAsia="宋体" w:cs="宋体"/>
          <w:b/>
          <w:bCs/>
          <w:sz w:val="30"/>
          <w:szCs w:val="30"/>
        </w:rPr>
      </w:pPr>
      <w:r>
        <w:rPr>
          <w:rFonts w:hint="eastAsia" w:ascii="宋体" w:hAnsi="宋体" w:eastAsia="宋体" w:cs="宋体"/>
          <w:b/>
          <w:bCs/>
          <w:sz w:val="30"/>
          <w:szCs w:val="30"/>
        </w:rPr>
        <w:t>其他证明资料或说明</w:t>
      </w:r>
    </w:p>
    <w:p w14:paraId="5FB7BC86">
      <w:pPr>
        <w:adjustRightInd w:val="0"/>
        <w:snapToGrid w:val="0"/>
        <w:spacing w:line="360" w:lineRule="auto"/>
        <w:rPr>
          <w:rFonts w:hint="eastAsia" w:ascii="宋体" w:hAnsi="宋体" w:eastAsia="宋体" w:cs="宋体"/>
          <w:szCs w:val="21"/>
        </w:rPr>
      </w:pPr>
    </w:p>
    <w:p w14:paraId="7A6E0772">
      <w:pPr>
        <w:adjustRightInd w:val="0"/>
        <w:snapToGrid w:val="0"/>
        <w:spacing w:line="360" w:lineRule="auto"/>
        <w:rPr>
          <w:rFonts w:hint="eastAsia" w:ascii="宋体" w:hAnsi="宋体" w:eastAsia="宋体" w:cs="宋体"/>
          <w:color w:val="auto"/>
          <w:szCs w:val="21"/>
          <w:lang w:eastAsia="zh-CN"/>
        </w:rPr>
      </w:pPr>
      <w:r>
        <w:rPr>
          <w:rFonts w:hint="eastAsia" w:ascii="宋体" w:hAnsi="宋体" w:eastAsia="宋体" w:cs="宋体"/>
          <w:color w:val="auto"/>
          <w:szCs w:val="21"/>
        </w:rPr>
        <w:t>提供磋商文件或评分标准需要提供的相关证明文件复印件</w:t>
      </w:r>
      <w:r>
        <w:rPr>
          <w:rFonts w:hint="eastAsia" w:ascii="宋体" w:hAnsi="宋体" w:eastAsia="宋体" w:cs="宋体"/>
          <w:color w:val="auto"/>
          <w:szCs w:val="21"/>
          <w:lang w:eastAsia="zh-CN"/>
        </w:rPr>
        <w:t>。</w:t>
      </w:r>
    </w:p>
    <w:p w14:paraId="21DCF213">
      <w:pPr>
        <w:pStyle w:val="8"/>
        <w:rPr>
          <w:rFonts w:hint="eastAsia" w:ascii="宋体" w:hAnsi="宋体" w:eastAsia="宋体" w:cs="宋体"/>
        </w:rPr>
      </w:pPr>
    </w:p>
    <w:p w14:paraId="66ADF7D5">
      <w:pPr>
        <w:spacing w:line="360" w:lineRule="auto"/>
        <w:jc w:val="center"/>
        <w:outlineLvl w:val="1"/>
        <w:rPr>
          <w:rFonts w:hint="eastAsia" w:ascii="宋体" w:hAnsi="宋体" w:eastAsia="宋体" w:cs="宋体"/>
          <w:b/>
          <w:color w:val="auto"/>
          <w:sz w:val="32"/>
          <w:szCs w:val="32"/>
        </w:rPr>
      </w:pPr>
    </w:p>
    <w:p w14:paraId="52CEB845">
      <w:pPr>
        <w:spacing w:line="360" w:lineRule="auto"/>
        <w:jc w:val="center"/>
        <w:outlineLvl w:val="1"/>
        <w:rPr>
          <w:rFonts w:hint="eastAsia" w:ascii="宋体" w:hAnsi="宋体" w:eastAsia="宋体" w:cs="宋体"/>
          <w:b/>
          <w:color w:val="auto"/>
          <w:sz w:val="32"/>
          <w:szCs w:val="32"/>
        </w:rPr>
      </w:pPr>
    </w:p>
    <w:p w14:paraId="1E1E1C27">
      <w:pPr>
        <w:spacing w:line="360" w:lineRule="auto"/>
        <w:jc w:val="center"/>
        <w:outlineLvl w:val="1"/>
        <w:rPr>
          <w:rFonts w:hint="eastAsia" w:ascii="宋体" w:hAnsi="宋体" w:eastAsia="宋体" w:cs="宋体"/>
          <w:b/>
          <w:color w:val="auto"/>
          <w:sz w:val="32"/>
          <w:szCs w:val="32"/>
        </w:rPr>
      </w:pPr>
    </w:p>
    <w:p w14:paraId="7597069F">
      <w:pPr>
        <w:spacing w:line="360" w:lineRule="auto"/>
        <w:jc w:val="center"/>
        <w:outlineLvl w:val="1"/>
        <w:rPr>
          <w:rFonts w:hint="eastAsia" w:ascii="宋体" w:hAnsi="宋体" w:eastAsia="宋体" w:cs="宋体"/>
          <w:b/>
          <w:color w:val="auto"/>
          <w:sz w:val="32"/>
          <w:szCs w:val="32"/>
        </w:rPr>
      </w:pPr>
    </w:p>
    <w:p w14:paraId="2DF90982">
      <w:pPr>
        <w:spacing w:line="360" w:lineRule="auto"/>
        <w:jc w:val="center"/>
        <w:outlineLvl w:val="1"/>
        <w:rPr>
          <w:rFonts w:hint="eastAsia" w:ascii="宋体" w:hAnsi="宋体" w:eastAsia="宋体" w:cs="宋体"/>
          <w:b/>
          <w:color w:val="auto"/>
          <w:sz w:val="32"/>
          <w:szCs w:val="32"/>
        </w:rPr>
      </w:pPr>
    </w:p>
    <w:p w14:paraId="2C71CB79">
      <w:pPr>
        <w:spacing w:line="360" w:lineRule="auto"/>
        <w:jc w:val="center"/>
        <w:outlineLvl w:val="1"/>
        <w:rPr>
          <w:rFonts w:hint="eastAsia" w:ascii="宋体" w:hAnsi="宋体" w:eastAsia="宋体" w:cs="宋体"/>
          <w:b/>
          <w:color w:val="auto"/>
          <w:sz w:val="32"/>
          <w:szCs w:val="32"/>
        </w:rPr>
      </w:pPr>
    </w:p>
    <w:p w14:paraId="5038F006">
      <w:pPr>
        <w:spacing w:line="360" w:lineRule="auto"/>
        <w:jc w:val="center"/>
        <w:outlineLvl w:val="1"/>
        <w:rPr>
          <w:rFonts w:hint="eastAsia" w:ascii="宋体" w:hAnsi="宋体" w:eastAsia="宋体" w:cs="宋体"/>
          <w:b/>
          <w:color w:val="auto"/>
          <w:sz w:val="32"/>
          <w:szCs w:val="32"/>
        </w:rPr>
      </w:pPr>
    </w:p>
    <w:p w14:paraId="6CEBF982">
      <w:pPr>
        <w:spacing w:line="360" w:lineRule="auto"/>
        <w:jc w:val="center"/>
        <w:outlineLvl w:val="1"/>
        <w:rPr>
          <w:rFonts w:hint="eastAsia" w:ascii="宋体" w:hAnsi="宋体" w:eastAsia="宋体" w:cs="宋体"/>
          <w:b/>
          <w:color w:val="auto"/>
          <w:sz w:val="32"/>
          <w:szCs w:val="32"/>
        </w:rPr>
      </w:pPr>
    </w:p>
    <w:p w14:paraId="3136B44F">
      <w:pPr>
        <w:spacing w:line="360" w:lineRule="auto"/>
        <w:jc w:val="center"/>
        <w:outlineLvl w:val="1"/>
        <w:rPr>
          <w:rFonts w:hint="eastAsia" w:ascii="宋体" w:hAnsi="宋体" w:eastAsia="宋体" w:cs="宋体"/>
          <w:b/>
          <w:color w:val="auto"/>
          <w:sz w:val="32"/>
          <w:szCs w:val="32"/>
        </w:rPr>
      </w:pPr>
    </w:p>
    <w:p w14:paraId="55964E56">
      <w:pPr>
        <w:spacing w:line="360" w:lineRule="auto"/>
        <w:jc w:val="center"/>
        <w:outlineLvl w:val="1"/>
        <w:rPr>
          <w:rFonts w:hint="eastAsia" w:ascii="宋体" w:hAnsi="宋体" w:eastAsia="宋体" w:cs="宋体"/>
          <w:b/>
          <w:color w:val="auto"/>
          <w:sz w:val="32"/>
          <w:szCs w:val="32"/>
        </w:rPr>
      </w:pPr>
    </w:p>
    <w:p w14:paraId="0FEC81E3">
      <w:pPr>
        <w:spacing w:line="360" w:lineRule="auto"/>
        <w:jc w:val="center"/>
        <w:outlineLvl w:val="1"/>
        <w:rPr>
          <w:rFonts w:hint="eastAsia" w:ascii="宋体" w:hAnsi="宋体" w:eastAsia="宋体" w:cs="宋体"/>
          <w:b/>
          <w:color w:val="auto"/>
          <w:sz w:val="32"/>
          <w:szCs w:val="32"/>
        </w:rPr>
      </w:pPr>
    </w:p>
    <w:p w14:paraId="762CC89C">
      <w:pPr>
        <w:spacing w:line="360" w:lineRule="auto"/>
        <w:jc w:val="center"/>
        <w:outlineLvl w:val="1"/>
        <w:rPr>
          <w:rFonts w:hint="eastAsia" w:ascii="宋体" w:hAnsi="宋体" w:eastAsia="宋体" w:cs="宋体"/>
          <w:b/>
          <w:color w:val="auto"/>
          <w:sz w:val="32"/>
          <w:szCs w:val="32"/>
        </w:rPr>
      </w:pPr>
    </w:p>
    <w:p w14:paraId="69C3BA67">
      <w:pPr>
        <w:spacing w:line="360" w:lineRule="auto"/>
        <w:jc w:val="center"/>
        <w:outlineLvl w:val="1"/>
        <w:rPr>
          <w:rFonts w:hint="eastAsia" w:ascii="宋体" w:hAnsi="宋体" w:eastAsia="宋体" w:cs="宋体"/>
          <w:b/>
          <w:color w:val="auto"/>
          <w:sz w:val="32"/>
          <w:szCs w:val="32"/>
        </w:rPr>
      </w:pPr>
    </w:p>
    <w:p w14:paraId="0B772373">
      <w:pPr>
        <w:spacing w:line="360" w:lineRule="auto"/>
        <w:jc w:val="center"/>
        <w:outlineLvl w:val="1"/>
        <w:rPr>
          <w:rFonts w:hint="eastAsia" w:ascii="宋体" w:hAnsi="宋体" w:eastAsia="宋体" w:cs="宋体"/>
          <w:b/>
          <w:color w:val="auto"/>
          <w:sz w:val="32"/>
          <w:szCs w:val="32"/>
        </w:rPr>
      </w:pPr>
    </w:p>
    <w:p w14:paraId="2485F860">
      <w:pPr>
        <w:spacing w:line="360" w:lineRule="auto"/>
        <w:jc w:val="center"/>
        <w:outlineLvl w:val="1"/>
        <w:rPr>
          <w:rFonts w:hint="eastAsia" w:ascii="宋体" w:hAnsi="宋体" w:eastAsia="宋体" w:cs="宋体"/>
          <w:b/>
          <w:color w:val="auto"/>
          <w:sz w:val="32"/>
          <w:szCs w:val="32"/>
        </w:rPr>
      </w:pPr>
    </w:p>
    <w:p w14:paraId="1D7D9E43">
      <w:pPr>
        <w:spacing w:line="360" w:lineRule="auto"/>
        <w:jc w:val="center"/>
        <w:outlineLvl w:val="1"/>
        <w:rPr>
          <w:rFonts w:hint="eastAsia" w:ascii="宋体" w:hAnsi="宋体" w:eastAsia="宋体" w:cs="宋体"/>
          <w:b/>
          <w:color w:val="auto"/>
          <w:sz w:val="32"/>
          <w:szCs w:val="32"/>
        </w:rPr>
      </w:pPr>
    </w:p>
    <w:p w14:paraId="63DAA502">
      <w:pPr>
        <w:spacing w:line="360" w:lineRule="auto"/>
        <w:jc w:val="center"/>
        <w:outlineLvl w:val="1"/>
        <w:rPr>
          <w:rFonts w:hint="eastAsia" w:ascii="宋体" w:hAnsi="宋体" w:eastAsia="宋体" w:cs="宋体"/>
          <w:b/>
          <w:color w:val="auto"/>
          <w:sz w:val="32"/>
          <w:szCs w:val="32"/>
        </w:rPr>
      </w:pPr>
    </w:p>
    <w:p w14:paraId="5F5E6874">
      <w:pPr>
        <w:spacing w:line="360" w:lineRule="auto"/>
        <w:jc w:val="center"/>
        <w:outlineLvl w:val="1"/>
        <w:rPr>
          <w:rFonts w:hint="eastAsia" w:ascii="宋体" w:hAnsi="宋体" w:eastAsia="宋体" w:cs="宋体"/>
          <w:b/>
          <w:color w:val="auto"/>
          <w:sz w:val="32"/>
          <w:szCs w:val="32"/>
        </w:rPr>
      </w:pPr>
    </w:p>
    <w:p w14:paraId="42F2CBFF">
      <w:pPr>
        <w:spacing w:line="360" w:lineRule="auto"/>
        <w:jc w:val="both"/>
        <w:outlineLvl w:val="1"/>
        <w:rPr>
          <w:rFonts w:hint="eastAsia" w:ascii="宋体" w:hAnsi="宋体" w:eastAsia="宋体" w:cs="宋体"/>
          <w:b/>
          <w:color w:val="auto"/>
          <w:sz w:val="32"/>
          <w:szCs w:val="32"/>
        </w:rPr>
      </w:pPr>
    </w:p>
    <w:bookmarkEnd w:id="72"/>
    <w:p w14:paraId="693AD00E">
      <w:pPr>
        <w:tabs>
          <w:tab w:val="left" w:pos="1680"/>
        </w:tabs>
        <w:adjustRightInd w:val="0"/>
        <w:snapToGrid w:val="0"/>
        <w:spacing w:line="360" w:lineRule="auto"/>
        <w:jc w:val="both"/>
        <w:rPr>
          <w:rFonts w:hint="eastAsia" w:ascii="宋体" w:hAnsi="宋体" w:eastAsia="宋体" w:cs="宋体"/>
          <w:b/>
          <w:color w:val="auto"/>
          <w:sz w:val="30"/>
          <w:szCs w:val="30"/>
          <w:lang w:val="en-US" w:eastAsia="zh-CN"/>
        </w:rPr>
      </w:pPr>
    </w:p>
    <w:p w14:paraId="2DEE7D98">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四、服务方案</w:t>
      </w:r>
    </w:p>
    <w:p w14:paraId="6BFFD3F4">
      <w:pPr>
        <w:adjustRightInd w:val="0"/>
        <w:snapToGrid w:val="0"/>
        <w:spacing w:line="480" w:lineRule="auto"/>
        <w:ind w:firstLine="420"/>
        <w:rPr>
          <w:rFonts w:hint="eastAsia" w:ascii="宋体" w:hAnsi="宋体" w:eastAsia="宋体" w:cs="宋体"/>
          <w:sz w:val="21"/>
          <w:szCs w:val="21"/>
          <w:lang w:val="en-US" w:eastAsia="zh-CN"/>
        </w:rPr>
      </w:pPr>
    </w:p>
    <w:p w14:paraId="13A1F191">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1、技术方案应包括但不限于：</w:t>
      </w:r>
    </w:p>
    <w:p w14:paraId="0967062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（1）项目整体服务实施方案；</w:t>
      </w:r>
    </w:p>
    <w:p w14:paraId="6BA84A0A">
      <w:pPr>
        <w:keepNext w:val="0"/>
        <w:keepLines w:val="0"/>
        <w:pageBreakBefore w:val="0"/>
        <w:widowControl/>
        <w:suppressLineNumbers w:val="0"/>
        <w:kinsoku/>
        <w:wordWrap/>
        <w:overflowPunct/>
        <w:topLinePunct w:val="0"/>
        <w:autoSpaceDE/>
        <w:autoSpaceDN/>
        <w:bidi w:val="0"/>
        <w:spacing w:line="40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color w:val="000000"/>
          <w:kern w:val="0"/>
          <w:sz w:val="20"/>
          <w:szCs w:val="20"/>
          <w:lang w:val="en-US" w:eastAsia="zh-CN" w:bidi="ar"/>
        </w:rPr>
        <w:t>安全、环境保护与职业健康管理方案</w:t>
      </w:r>
      <w:r>
        <w:rPr>
          <w:rFonts w:hint="eastAsia" w:ascii="宋体" w:hAnsi="宋体" w:eastAsia="宋体" w:cs="宋体"/>
          <w:sz w:val="21"/>
          <w:szCs w:val="21"/>
          <w:lang w:val="en-US" w:eastAsia="zh-CN"/>
        </w:rPr>
        <w:t>；</w:t>
      </w:r>
    </w:p>
    <w:p w14:paraId="1D55A40B">
      <w:pPr>
        <w:keepNext w:val="0"/>
        <w:keepLines w:val="0"/>
        <w:pageBreakBefore w:val="0"/>
        <w:widowControl/>
        <w:suppressLineNumbers w:val="0"/>
        <w:kinsoku/>
        <w:wordWrap/>
        <w:overflowPunct/>
        <w:topLinePunct w:val="0"/>
        <w:autoSpaceDE/>
        <w:autoSpaceDN/>
        <w:bidi w:val="0"/>
        <w:spacing w:line="40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color w:val="000000"/>
          <w:kern w:val="0"/>
          <w:sz w:val="20"/>
          <w:szCs w:val="20"/>
          <w:lang w:val="en-US" w:eastAsia="zh-CN" w:bidi="ar"/>
        </w:rPr>
        <w:t>项目管理方案</w:t>
      </w:r>
      <w:r>
        <w:rPr>
          <w:rFonts w:hint="eastAsia" w:ascii="宋体" w:hAnsi="宋体" w:eastAsia="宋体" w:cs="宋体"/>
          <w:sz w:val="21"/>
          <w:szCs w:val="21"/>
          <w:lang w:val="en-US" w:eastAsia="zh-CN"/>
        </w:rPr>
        <w:t>；</w:t>
      </w:r>
    </w:p>
    <w:p w14:paraId="3C117263">
      <w:pPr>
        <w:keepNext w:val="0"/>
        <w:keepLines w:val="0"/>
        <w:pageBreakBefore w:val="0"/>
        <w:widowControl/>
        <w:suppressLineNumbers w:val="0"/>
        <w:kinsoku/>
        <w:wordWrap/>
        <w:overflowPunct/>
        <w:topLinePunct w:val="0"/>
        <w:autoSpaceDE/>
        <w:autoSpaceDN/>
        <w:bidi w:val="0"/>
        <w:spacing w:line="400" w:lineRule="exact"/>
        <w:jc w:val="left"/>
        <w:textAlignment w:val="auto"/>
        <w:rPr>
          <w:rFonts w:hint="default"/>
          <w:lang w:val="en-US"/>
        </w:rPr>
      </w:pPr>
      <w:r>
        <w:rPr>
          <w:rFonts w:hint="eastAsia" w:ascii="宋体" w:hAnsi="宋体" w:eastAsia="宋体" w:cs="宋体"/>
          <w:sz w:val="21"/>
          <w:szCs w:val="21"/>
          <w:lang w:val="en-US" w:eastAsia="zh-CN"/>
        </w:rPr>
        <w:t>（4）</w:t>
      </w:r>
      <w:r>
        <w:rPr>
          <w:rFonts w:hint="eastAsia" w:ascii="宋体" w:hAnsi="宋体" w:eastAsia="宋体" w:cs="宋体"/>
          <w:color w:val="000000"/>
          <w:kern w:val="0"/>
          <w:sz w:val="20"/>
          <w:szCs w:val="20"/>
          <w:lang w:val="en-US" w:eastAsia="zh-CN" w:bidi="ar"/>
        </w:rPr>
        <w:t>项目管理团队及合理化建议。</w:t>
      </w:r>
    </w:p>
    <w:p w14:paraId="6776FE65">
      <w:pPr>
        <w:adjustRightInd w:val="0"/>
        <w:snapToGrid w:val="0"/>
        <w:spacing w:line="480" w:lineRule="auto"/>
        <w:ind w:firstLine="420"/>
        <w:rPr>
          <w:rFonts w:hint="eastAsia" w:ascii="宋体" w:hAnsi="宋体" w:eastAsia="宋体" w:cs="宋体"/>
          <w:sz w:val="21"/>
          <w:szCs w:val="21"/>
          <w:lang w:val="en-US" w:eastAsia="zh-CN"/>
        </w:rPr>
      </w:pPr>
    </w:p>
    <w:p w14:paraId="0300301C">
      <w:pPr>
        <w:adjustRightInd w:val="0"/>
        <w:snapToGrid w:val="0"/>
        <w:spacing w:line="480" w:lineRule="auto"/>
        <w:rPr>
          <w:rFonts w:hint="eastAsia" w:ascii="宋体" w:hAnsi="宋体" w:eastAsia="宋体" w:cs="宋体"/>
          <w:sz w:val="21"/>
          <w:szCs w:val="21"/>
          <w:lang w:val="en-US" w:eastAsia="zh-CN"/>
        </w:rPr>
      </w:pPr>
    </w:p>
    <w:p w14:paraId="2D272A01">
      <w:pPr>
        <w:adjustRightInd w:val="0"/>
        <w:snapToGrid w:val="0"/>
        <w:spacing w:line="480" w:lineRule="auto"/>
        <w:ind w:firstLine="42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注：格式自拟。</w:t>
      </w:r>
    </w:p>
    <w:p w14:paraId="45F63EEE">
      <w:pPr>
        <w:adjustRightInd w:val="0"/>
        <w:snapToGrid w:val="0"/>
        <w:spacing w:line="360" w:lineRule="auto"/>
        <w:rPr>
          <w:rFonts w:hint="eastAsia" w:ascii="宋体" w:hAnsi="宋体" w:eastAsia="宋体" w:cs="宋体"/>
          <w:color w:val="auto"/>
          <w:kern w:val="0"/>
          <w:szCs w:val="21"/>
        </w:rPr>
      </w:pPr>
    </w:p>
    <w:p w14:paraId="6A087628">
      <w:pPr>
        <w:adjustRightInd w:val="0"/>
        <w:snapToGrid w:val="0"/>
        <w:spacing w:line="360" w:lineRule="auto"/>
        <w:rPr>
          <w:rFonts w:hint="eastAsia" w:ascii="宋体" w:hAnsi="宋体" w:eastAsia="宋体" w:cs="宋体"/>
          <w:color w:val="auto"/>
          <w:kern w:val="0"/>
          <w:szCs w:val="21"/>
        </w:rPr>
      </w:pPr>
    </w:p>
    <w:p w14:paraId="77A2A5CD">
      <w:pPr>
        <w:adjustRightInd w:val="0"/>
        <w:snapToGrid w:val="0"/>
        <w:spacing w:line="360" w:lineRule="auto"/>
        <w:rPr>
          <w:rFonts w:hint="eastAsia" w:ascii="宋体" w:hAnsi="宋体" w:eastAsia="宋体" w:cs="宋体"/>
          <w:color w:val="auto"/>
          <w:kern w:val="0"/>
          <w:szCs w:val="21"/>
        </w:rPr>
      </w:pPr>
    </w:p>
    <w:p w14:paraId="0823B8AF">
      <w:pPr>
        <w:adjustRightInd w:val="0"/>
        <w:snapToGrid w:val="0"/>
        <w:spacing w:line="360" w:lineRule="auto"/>
        <w:rPr>
          <w:rFonts w:hint="eastAsia" w:ascii="宋体" w:hAnsi="宋体" w:eastAsia="宋体" w:cs="宋体"/>
          <w:color w:val="auto"/>
          <w:kern w:val="0"/>
          <w:szCs w:val="21"/>
        </w:rPr>
      </w:pPr>
    </w:p>
    <w:p w14:paraId="6D3271A7">
      <w:pPr>
        <w:adjustRightInd w:val="0"/>
        <w:snapToGrid w:val="0"/>
        <w:spacing w:line="360" w:lineRule="auto"/>
        <w:rPr>
          <w:rFonts w:hint="eastAsia" w:ascii="宋体" w:hAnsi="宋体" w:eastAsia="宋体" w:cs="宋体"/>
          <w:color w:val="auto"/>
          <w:kern w:val="0"/>
          <w:szCs w:val="21"/>
        </w:rPr>
      </w:pPr>
    </w:p>
    <w:p w14:paraId="71427DF3">
      <w:pPr>
        <w:adjustRightInd w:val="0"/>
        <w:snapToGrid w:val="0"/>
        <w:spacing w:line="360" w:lineRule="auto"/>
        <w:rPr>
          <w:rFonts w:hint="eastAsia" w:ascii="宋体" w:hAnsi="宋体" w:eastAsia="宋体" w:cs="宋体"/>
          <w:color w:val="auto"/>
          <w:kern w:val="0"/>
          <w:szCs w:val="21"/>
        </w:rPr>
      </w:pPr>
    </w:p>
    <w:p w14:paraId="31A89F9D">
      <w:pPr>
        <w:pStyle w:val="62"/>
        <w:rPr>
          <w:rFonts w:hint="eastAsia" w:ascii="宋体" w:hAnsi="宋体" w:eastAsia="宋体" w:cs="宋体"/>
          <w:color w:val="auto"/>
          <w:kern w:val="0"/>
          <w:szCs w:val="21"/>
        </w:rPr>
      </w:pPr>
    </w:p>
    <w:p w14:paraId="40E09C70">
      <w:pPr>
        <w:pStyle w:val="62"/>
        <w:rPr>
          <w:rFonts w:hint="eastAsia" w:ascii="宋体" w:hAnsi="宋体" w:eastAsia="宋体" w:cs="宋体"/>
          <w:color w:val="auto"/>
          <w:kern w:val="0"/>
          <w:szCs w:val="21"/>
        </w:rPr>
      </w:pPr>
    </w:p>
    <w:p w14:paraId="59B7B689">
      <w:pPr>
        <w:pStyle w:val="62"/>
        <w:rPr>
          <w:rFonts w:hint="eastAsia" w:ascii="宋体" w:hAnsi="宋体" w:eastAsia="宋体" w:cs="宋体"/>
          <w:color w:val="auto"/>
          <w:kern w:val="0"/>
          <w:szCs w:val="21"/>
        </w:rPr>
      </w:pPr>
    </w:p>
    <w:p w14:paraId="5C4254C5">
      <w:pPr>
        <w:pStyle w:val="62"/>
        <w:rPr>
          <w:rFonts w:hint="eastAsia" w:ascii="宋体" w:hAnsi="宋体" w:eastAsia="宋体" w:cs="宋体"/>
          <w:color w:val="auto"/>
          <w:kern w:val="0"/>
          <w:szCs w:val="21"/>
        </w:rPr>
      </w:pPr>
    </w:p>
    <w:p w14:paraId="47850D53">
      <w:pPr>
        <w:pStyle w:val="62"/>
        <w:rPr>
          <w:rFonts w:hint="eastAsia" w:ascii="宋体" w:hAnsi="宋体" w:eastAsia="宋体" w:cs="宋体"/>
          <w:color w:val="auto"/>
          <w:kern w:val="0"/>
          <w:szCs w:val="21"/>
        </w:rPr>
      </w:pPr>
    </w:p>
    <w:p w14:paraId="46447129">
      <w:pPr>
        <w:pStyle w:val="62"/>
        <w:rPr>
          <w:rFonts w:hint="eastAsia" w:ascii="宋体" w:hAnsi="宋体" w:eastAsia="宋体" w:cs="宋体"/>
          <w:color w:val="auto"/>
          <w:kern w:val="0"/>
          <w:szCs w:val="21"/>
        </w:rPr>
      </w:pPr>
    </w:p>
    <w:p w14:paraId="5193D7AE">
      <w:pPr>
        <w:pStyle w:val="62"/>
        <w:rPr>
          <w:rFonts w:hint="eastAsia" w:ascii="宋体" w:hAnsi="宋体" w:eastAsia="宋体" w:cs="宋体"/>
          <w:color w:val="auto"/>
          <w:kern w:val="0"/>
          <w:szCs w:val="21"/>
        </w:rPr>
      </w:pPr>
    </w:p>
    <w:p w14:paraId="18E2090D">
      <w:pPr>
        <w:pStyle w:val="62"/>
        <w:rPr>
          <w:rFonts w:hint="eastAsia" w:ascii="宋体" w:hAnsi="宋体" w:eastAsia="宋体" w:cs="宋体"/>
          <w:color w:val="auto"/>
          <w:kern w:val="0"/>
          <w:szCs w:val="21"/>
        </w:rPr>
      </w:pPr>
    </w:p>
    <w:p w14:paraId="7CB27CDD">
      <w:pPr>
        <w:pStyle w:val="62"/>
        <w:rPr>
          <w:rFonts w:hint="eastAsia" w:ascii="宋体" w:hAnsi="宋体" w:eastAsia="宋体" w:cs="宋体"/>
          <w:color w:val="auto"/>
          <w:kern w:val="0"/>
          <w:szCs w:val="21"/>
        </w:rPr>
      </w:pPr>
    </w:p>
    <w:p w14:paraId="29106C15">
      <w:pPr>
        <w:pStyle w:val="62"/>
        <w:rPr>
          <w:rFonts w:hint="eastAsia" w:ascii="宋体" w:hAnsi="宋体" w:eastAsia="宋体" w:cs="宋体"/>
          <w:color w:val="auto"/>
          <w:kern w:val="0"/>
          <w:szCs w:val="21"/>
        </w:rPr>
      </w:pPr>
    </w:p>
    <w:p w14:paraId="441F06E3">
      <w:pPr>
        <w:pStyle w:val="62"/>
        <w:rPr>
          <w:rFonts w:hint="eastAsia" w:ascii="宋体" w:hAnsi="宋体" w:eastAsia="宋体" w:cs="宋体"/>
          <w:color w:val="auto"/>
          <w:kern w:val="0"/>
          <w:szCs w:val="21"/>
        </w:rPr>
      </w:pPr>
    </w:p>
    <w:p w14:paraId="3207A2E6">
      <w:pPr>
        <w:pStyle w:val="62"/>
        <w:rPr>
          <w:rFonts w:hint="eastAsia" w:ascii="宋体" w:hAnsi="宋体" w:eastAsia="宋体" w:cs="宋体"/>
          <w:color w:val="auto"/>
          <w:kern w:val="0"/>
          <w:szCs w:val="21"/>
        </w:rPr>
      </w:pPr>
    </w:p>
    <w:p w14:paraId="44DA8BF6">
      <w:pPr>
        <w:pStyle w:val="62"/>
        <w:rPr>
          <w:rFonts w:hint="eastAsia" w:ascii="宋体" w:hAnsi="宋体" w:eastAsia="宋体" w:cs="宋体"/>
          <w:color w:val="auto"/>
          <w:kern w:val="0"/>
          <w:szCs w:val="21"/>
        </w:rPr>
      </w:pPr>
    </w:p>
    <w:p w14:paraId="3314CD84">
      <w:pPr>
        <w:pStyle w:val="62"/>
        <w:rPr>
          <w:rFonts w:hint="eastAsia" w:ascii="宋体" w:hAnsi="宋体" w:eastAsia="宋体" w:cs="宋体"/>
          <w:color w:val="auto"/>
          <w:kern w:val="0"/>
          <w:szCs w:val="21"/>
        </w:rPr>
      </w:pPr>
    </w:p>
    <w:p w14:paraId="3C65F602">
      <w:pPr>
        <w:pStyle w:val="62"/>
        <w:rPr>
          <w:rFonts w:hint="eastAsia" w:ascii="宋体" w:hAnsi="宋体" w:eastAsia="宋体" w:cs="宋体"/>
          <w:color w:val="auto"/>
          <w:kern w:val="0"/>
          <w:szCs w:val="21"/>
        </w:rPr>
      </w:pPr>
    </w:p>
    <w:p w14:paraId="28997E87">
      <w:pPr>
        <w:pStyle w:val="62"/>
        <w:rPr>
          <w:rFonts w:hint="eastAsia" w:ascii="宋体" w:hAnsi="宋体" w:eastAsia="宋体" w:cs="宋体"/>
          <w:color w:val="auto"/>
          <w:kern w:val="0"/>
          <w:szCs w:val="21"/>
        </w:rPr>
      </w:pPr>
    </w:p>
    <w:p w14:paraId="44CC3C59">
      <w:pPr>
        <w:pStyle w:val="62"/>
        <w:rPr>
          <w:rFonts w:hint="eastAsia" w:ascii="宋体" w:hAnsi="宋体" w:eastAsia="宋体" w:cs="宋体"/>
          <w:color w:val="auto"/>
          <w:kern w:val="0"/>
          <w:szCs w:val="21"/>
        </w:rPr>
      </w:pPr>
    </w:p>
    <w:p w14:paraId="1EBB93DF">
      <w:pPr>
        <w:pStyle w:val="62"/>
        <w:rPr>
          <w:rFonts w:hint="eastAsia" w:ascii="宋体" w:hAnsi="宋体" w:eastAsia="宋体" w:cs="宋体"/>
          <w:color w:val="auto"/>
          <w:kern w:val="0"/>
          <w:szCs w:val="21"/>
        </w:rPr>
      </w:pPr>
    </w:p>
    <w:p w14:paraId="0ECDBCA3">
      <w:pPr>
        <w:pStyle w:val="62"/>
        <w:rPr>
          <w:rFonts w:hint="eastAsia" w:ascii="宋体" w:hAnsi="宋体" w:eastAsia="宋体" w:cs="宋体"/>
          <w:color w:val="auto"/>
          <w:kern w:val="0"/>
          <w:szCs w:val="21"/>
        </w:rPr>
      </w:pPr>
    </w:p>
    <w:p w14:paraId="3FDA02B5">
      <w:pPr>
        <w:pStyle w:val="62"/>
        <w:rPr>
          <w:rFonts w:hint="eastAsia" w:ascii="宋体" w:hAnsi="宋体" w:eastAsia="宋体" w:cs="宋体"/>
          <w:color w:val="auto"/>
          <w:kern w:val="0"/>
          <w:szCs w:val="21"/>
        </w:rPr>
      </w:pPr>
    </w:p>
    <w:p w14:paraId="461014D2">
      <w:pPr>
        <w:pStyle w:val="62"/>
        <w:rPr>
          <w:rFonts w:hint="eastAsia" w:ascii="宋体" w:hAnsi="宋体" w:eastAsia="宋体" w:cs="宋体"/>
          <w:color w:val="auto"/>
          <w:kern w:val="0"/>
          <w:szCs w:val="21"/>
        </w:rPr>
      </w:pPr>
    </w:p>
    <w:p w14:paraId="5C614614">
      <w:pPr>
        <w:pStyle w:val="62"/>
        <w:rPr>
          <w:rFonts w:hint="eastAsia" w:ascii="宋体" w:hAnsi="宋体" w:eastAsia="宋体" w:cs="宋体"/>
          <w:color w:val="auto"/>
          <w:kern w:val="0"/>
          <w:szCs w:val="21"/>
        </w:rPr>
      </w:pPr>
    </w:p>
    <w:p w14:paraId="0B8FE18C">
      <w:pPr>
        <w:pStyle w:val="62"/>
        <w:rPr>
          <w:rFonts w:hint="eastAsia" w:ascii="宋体" w:hAnsi="宋体" w:eastAsia="宋体" w:cs="宋体"/>
          <w:color w:val="auto"/>
          <w:kern w:val="0"/>
          <w:szCs w:val="21"/>
        </w:rPr>
      </w:pPr>
    </w:p>
    <w:p w14:paraId="3F6D7D92">
      <w:pPr>
        <w:spacing w:line="360" w:lineRule="atLeast"/>
        <w:outlineLvl w:val="0"/>
        <w:rPr>
          <w:rFonts w:hint="eastAsia" w:ascii="宋体" w:hAnsi="宋体" w:eastAsia="宋体" w:cs="宋体"/>
          <w:sz w:val="30"/>
          <w:szCs w:val="30"/>
        </w:rPr>
      </w:pPr>
    </w:p>
    <w:p w14:paraId="2EE191CE">
      <w:pPr>
        <w:spacing w:line="360" w:lineRule="atLeast"/>
        <w:outlineLvl w:val="0"/>
        <w:rPr>
          <w:rFonts w:hint="eastAsia" w:ascii="宋体" w:hAnsi="宋体" w:eastAsia="宋体" w:cs="宋体"/>
          <w:b/>
          <w:bCs/>
          <w:sz w:val="30"/>
          <w:szCs w:val="30"/>
          <w:lang w:val="en-US" w:eastAsia="zh-CN"/>
        </w:rPr>
      </w:pPr>
      <w:r>
        <w:rPr>
          <w:rFonts w:hint="eastAsia" w:ascii="宋体" w:hAnsi="宋体" w:eastAsia="宋体" w:cs="宋体"/>
          <w:b/>
          <w:bCs/>
          <w:sz w:val="30"/>
          <w:szCs w:val="30"/>
        </w:rPr>
        <w:t>附件</w:t>
      </w:r>
      <w:r>
        <w:rPr>
          <w:rFonts w:hint="eastAsia" w:ascii="宋体" w:hAnsi="宋体" w:eastAsia="宋体" w:cs="宋体"/>
          <w:b/>
          <w:bCs/>
          <w:sz w:val="30"/>
          <w:szCs w:val="30"/>
          <w:lang w:val="en-US" w:eastAsia="zh-CN"/>
        </w:rPr>
        <w:t>7</w:t>
      </w:r>
    </w:p>
    <w:p w14:paraId="12B3102A">
      <w:pPr>
        <w:spacing w:line="360" w:lineRule="atLeast"/>
        <w:outlineLvl w:val="0"/>
        <w:rPr>
          <w:rFonts w:hint="eastAsia" w:ascii="宋体" w:hAnsi="宋体" w:eastAsia="宋体" w:cs="宋体"/>
          <w:sz w:val="30"/>
          <w:szCs w:val="30"/>
        </w:rPr>
      </w:pPr>
    </w:p>
    <w:p w14:paraId="39768F6F">
      <w:pPr>
        <w:spacing w:line="360" w:lineRule="atLeast"/>
        <w:jc w:val="center"/>
        <w:outlineLvl w:val="0"/>
        <w:rPr>
          <w:rFonts w:hint="eastAsia" w:ascii="宋体" w:hAnsi="宋体" w:eastAsia="宋体" w:cs="宋体"/>
          <w:b/>
          <w:bCs/>
          <w:sz w:val="30"/>
          <w:szCs w:val="30"/>
        </w:rPr>
      </w:pPr>
      <w:r>
        <w:rPr>
          <w:rFonts w:hint="eastAsia" w:ascii="宋体" w:hAnsi="宋体" w:eastAsia="宋体" w:cs="宋体"/>
          <w:b/>
          <w:bCs/>
          <w:sz w:val="30"/>
          <w:szCs w:val="30"/>
        </w:rPr>
        <w:t>主要人员简历表</w:t>
      </w:r>
    </w:p>
    <w:p w14:paraId="2162422B">
      <w:pPr>
        <w:spacing w:line="360" w:lineRule="atLeast"/>
        <w:jc w:val="center"/>
        <w:rPr>
          <w:rFonts w:hint="eastAsia" w:ascii="宋体" w:hAnsi="宋体" w:eastAsia="宋体" w:cs="宋体"/>
          <w:sz w:val="28"/>
          <w:szCs w:val="28"/>
        </w:rPr>
      </w:pPr>
    </w:p>
    <w:tbl>
      <w:tblPr>
        <w:tblStyle w:val="43"/>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21627C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1B28B65C">
            <w:pPr>
              <w:spacing w:line="360" w:lineRule="atLeast"/>
              <w:jc w:val="center"/>
              <w:rPr>
                <w:rFonts w:hint="eastAsia" w:ascii="宋体" w:hAnsi="宋体" w:eastAsia="宋体" w:cs="宋体"/>
              </w:rPr>
            </w:pPr>
            <w:r>
              <w:rPr>
                <w:rFonts w:hint="eastAsia" w:ascii="宋体" w:hAnsi="宋体" w:eastAsia="宋体" w:cs="宋体"/>
              </w:rPr>
              <w:t>姓名</w:t>
            </w:r>
          </w:p>
        </w:tc>
        <w:tc>
          <w:tcPr>
            <w:tcW w:w="2468" w:type="dxa"/>
            <w:vAlign w:val="center"/>
          </w:tcPr>
          <w:p w14:paraId="60B72655">
            <w:pPr>
              <w:spacing w:line="360" w:lineRule="atLeast"/>
              <w:jc w:val="center"/>
              <w:rPr>
                <w:rFonts w:hint="eastAsia" w:ascii="宋体" w:hAnsi="宋体" w:eastAsia="宋体" w:cs="宋体"/>
              </w:rPr>
            </w:pPr>
          </w:p>
        </w:tc>
        <w:tc>
          <w:tcPr>
            <w:tcW w:w="2340" w:type="dxa"/>
            <w:gridSpan w:val="3"/>
            <w:vAlign w:val="center"/>
          </w:tcPr>
          <w:p w14:paraId="1B57E2CE">
            <w:pPr>
              <w:spacing w:line="360" w:lineRule="atLeast"/>
              <w:jc w:val="center"/>
              <w:rPr>
                <w:rFonts w:hint="eastAsia" w:ascii="宋体" w:hAnsi="宋体" w:eastAsia="宋体" w:cs="宋体"/>
              </w:rPr>
            </w:pPr>
            <w:r>
              <w:rPr>
                <w:rFonts w:hint="eastAsia" w:ascii="宋体" w:hAnsi="宋体" w:eastAsia="宋体" w:cs="宋体"/>
              </w:rPr>
              <w:t>性别</w:t>
            </w:r>
          </w:p>
        </w:tc>
        <w:tc>
          <w:tcPr>
            <w:tcW w:w="1663" w:type="dxa"/>
            <w:vAlign w:val="center"/>
          </w:tcPr>
          <w:p w14:paraId="3445E64E">
            <w:pPr>
              <w:spacing w:line="360" w:lineRule="atLeast"/>
              <w:jc w:val="center"/>
              <w:rPr>
                <w:rFonts w:hint="eastAsia" w:ascii="宋体" w:hAnsi="宋体" w:eastAsia="宋体" w:cs="宋体"/>
              </w:rPr>
            </w:pPr>
          </w:p>
        </w:tc>
      </w:tr>
      <w:tr w14:paraId="5AF726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191B6B36">
            <w:pPr>
              <w:spacing w:line="360" w:lineRule="atLeast"/>
              <w:jc w:val="center"/>
              <w:rPr>
                <w:rFonts w:hint="eastAsia" w:ascii="宋体" w:hAnsi="宋体" w:eastAsia="宋体" w:cs="宋体"/>
              </w:rPr>
            </w:pPr>
            <w:r>
              <w:rPr>
                <w:rFonts w:hint="eastAsia" w:ascii="宋体" w:hAnsi="宋体" w:eastAsia="宋体" w:cs="宋体"/>
              </w:rPr>
              <w:t>职务</w:t>
            </w:r>
          </w:p>
        </w:tc>
        <w:tc>
          <w:tcPr>
            <w:tcW w:w="2468" w:type="dxa"/>
            <w:vAlign w:val="center"/>
          </w:tcPr>
          <w:p w14:paraId="2447B2BE">
            <w:pPr>
              <w:spacing w:line="360" w:lineRule="atLeast"/>
              <w:jc w:val="center"/>
              <w:rPr>
                <w:rFonts w:hint="eastAsia" w:ascii="宋体" w:hAnsi="宋体" w:eastAsia="宋体" w:cs="宋体"/>
              </w:rPr>
            </w:pPr>
          </w:p>
        </w:tc>
        <w:tc>
          <w:tcPr>
            <w:tcW w:w="2340" w:type="dxa"/>
            <w:gridSpan w:val="3"/>
            <w:vAlign w:val="center"/>
          </w:tcPr>
          <w:p w14:paraId="755FC5EA">
            <w:pPr>
              <w:spacing w:line="360" w:lineRule="atLeast"/>
              <w:jc w:val="center"/>
              <w:rPr>
                <w:rFonts w:hint="eastAsia" w:ascii="宋体" w:hAnsi="宋体" w:eastAsia="宋体" w:cs="宋体"/>
              </w:rPr>
            </w:pPr>
            <w:r>
              <w:rPr>
                <w:rFonts w:hint="eastAsia" w:ascii="宋体" w:hAnsi="宋体" w:eastAsia="宋体" w:cs="宋体"/>
              </w:rPr>
              <w:t>职称</w:t>
            </w:r>
          </w:p>
        </w:tc>
        <w:tc>
          <w:tcPr>
            <w:tcW w:w="1663" w:type="dxa"/>
            <w:vAlign w:val="center"/>
          </w:tcPr>
          <w:p w14:paraId="36F9F5AD">
            <w:pPr>
              <w:spacing w:line="360" w:lineRule="atLeast"/>
              <w:jc w:val="center"/>
              <w:rPr>
                <w:rFonts w:hint="eastAsia" w:ascii="宋体" w:hAnsi="宋体" w:eastAsia="宋体" w:cs="宋体"/>
              </w:rPr>
            </w:pPr>
          </w:p>
        </w:tc>
      </w:tr>
      <w:tr w14:paraId="6E2DC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3EA88F6A">
            <w:pPr>
              <w:spacing w:line="360" w:lineRule="atLeast"/>
              <w:jc w:val="center"/>
              <w:rPr>
                <w:rFonts w:hint="eastAsia" w:ascii="宋体" w:hAnsi="宋体" w:eastAsia="宋体" w:cs="宋体"/>
              </w:rPr>
            </w:pPr>
            <w:r>
              <w:rPr>
                <w:rFonts w:hint="eastAsia" w:ascii="宋体" w:hAnsi="宋体" w:eastAsia="宋体" w:cs="宋体"/>
              </w:rPr>
              <w:t>毕业学校、专业</w:t>
            </w:r>
          </w:p>
        </w:tc>
        <w:tc>
          <w:tcPr>
            <w:tcW w:w="6471" w:type="dxa"/>
            <w:gridSpan w:val="5"/>
            <w:vAlign w:val="center"/>
          </w:tcPr>
          <w:p w14:paraId="35927742">
            <w:pPr>
              <w:spacing w:line="360" w:lineRule="atLeast"/>
              <w:jc w:val="center"/>
              <w:rPr>
                <w:rFonts w:hint="eastAsia" w:ascii="宋体" w:hAnsi="宋体" w:eastAsia="宋体" w:cs="宋体"/>
              </w:rPr>
            </w:pPr>
          </w:p>
        </w:tc>
      </w:tr>
      <w:tr w14:paraId="052F2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233BA70E">
            <w:pPr>
              <w:spacing w:line="360" w:lineRule="atLeast"/>
              <w:jc w:val="center"/>
              <w:rPr>
                <w:rFonts w:hint="eastAsia" w:ascii="宋体" w:hAnsi="宋体" w:eastAsia="宋体" w:cs="宋体"/>
              </w:rPr>
            </w:pPr>
            <w:r>
              <w:rPr>
                <w:rFonts w:hint="eastAsia" w:ascii="宋体" w:hAnsi="宋体" w:eastAsia="宋体" w:cs="宋体"/>
              </w:rPr>
              <w:t>身份证号</w:t>
            </w:r>
          </w:p>
        </w:tc>
        <w:tc>
          <w:tcPr>
            <w:tcW w:w="2468" w:type="dxa"/>
            <w:vAlign w:val="center"/>
          </w:tcPr>
          <w:p w14:paraId="23B09820">
            <w:pPr>
              <w:spacing w:line="360" w:lineRule="atLeast"/>
              <w:jc w:val="center"/>
              <w:rPr>
                <w:rFonts w:hint="eastAsia" w:ascii="宋体" w:hAnsi="宋体" w:eastAsia="宋体" w:cs="宋体"/>
              </w:rPr>
            </w:pPr>
          </w:p>
        </w:tc>
        <w:tc>
          <w:tcPr>
            <w:tcW w:w="2340" w:type="dxa"/>
            <w:gridSpan w:val="3"/>
            <w:vAlign w:val="center"/>
          </w:tcPr>
          <w:p w14:paraId="312EB1FC">
            <w:pPr>
              <w:spacing w:line="360" w:lineRule="atLeast"/>
              <w:jc w:val="center"/>
              <w:rPr>
                <w:rFonts w:hint="eastAsia" w:ascii="宋体" w:hAnsi="宋体" w:eastAsia="宋体" w:cs="宋体"/>
              </w:rPr>
            </w:pPr>
            <w:r>
              <w:rPr>
                <w:rFonts w:hint="eastAsia" w:ascii="宋体" w:hAnsi="宋体" w:eastAsia="宋体" w:cs="宋体"/>
              </w:rPr>
              <w:t>拟在本合同任职</w:t>
            </w:r>
          </w:p>
        </w:tc>
        <w:tc>
          <w:tcPr>
            <w:tcW w:w="1663" w:type="dxa"/>
            <w:vAlign w:val="center"/>
          </w:tcPr>
          <w:p w14:paraId="06F5640E">
            <w:pPr>
              <w:spacing w:line="360" w:lineRule="atLeast"/>
              <w:ind w:right="-105" w:rightChars="-50"/>
              <w:jc w:val="center"/>
              <w:rPr>
                <w:rFonts w:hint="eastAsia" w:ascii="宋体" w:hAnsi="宋体" w:eastAsia="宋体" w:cs="宋体"/>
              </w:rPr>
            </w:pPr>
          </w:p>
        </w:tc>
      </w:tr>
      <w:tr w14:paraId="7B37C0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11138DCB">
            <w:pPr>
              <w:spacing w:line="360" w:lineRule="atLeast"/>
              <w:jc w:val="center"/>
              <w:rPr>
                <w:rFonts w:hint="eastAsia" w:ascii="宋体" w:hAnsi="宋体" w:eastAsia="宋体" w:cs="宋体"/>
              </w:rPr>
            </w:pPr>
            <w:r>
              <w:rPr>
                <w:rFonts w:hint="eastAsia" w:ascii="宋体" w:hAnsi="宋体" w:eastAsia="宋体" w:cs="宋体"/>
              </w:rPr>
              <w:t>执业资格证</w:t>
            </w:r>
          </w:p>
        </w:tc>
        <w:tc>
          <w:tcPr>
            <w:tcW w:w="2468" w:type="dxa"/>
            <w:vAlign w:val="center"/>
          </w:tcPr>
          <w:p w14:paraId="31549FDB">
            <w:pPr>
              <w:spacing w:line="360" w:lineRule="atLeast"/>
              <w:jc w:val="center"/>
              <w:rPr>
                <w:rFonts w:hint="eastAsia" w:ascii="宋体" w:hAnsi="宋体" w:eastAsia="宋体" w:cs="宋体"/>
              </w:rPr>
            </w:pPr>
          </w:p>
        </w:tc>
        <w:tc>
          <w:tcPr>
            <w:tcW w:w="2340" w:type="dxa"/>
            <w:gridSpan w:val="3"/>
            <w:vAlign w:val="center"/>
          </w:tcPr>
          <w:p w14:paraId="744E607B">
            <w:pPr>
              <w:spacing w:line="360" w:lineRule="atLeast"/>
              <w:jc w:val="center"/>
              <w:rPr>
                <w:rFonts w:hint="eastAsia" w:ascii="宋体" w:hAnsi="宋体" w:eastAsia="宋体" w:cs="宋体"/>
              </w:rPr>
            </w:pPr>
            <w:r>
              <w:rPr>
                <w:rFonts w:hint="eastAsia" w:ascii="宋体" w:hAnsi="宋体" w:eastAsia="宋体" w:cs="宋体"/>
              </w:rPr>
              <w:t>执业资格证书号</w:t>
            </w:r>
          </w:p>
        </w:tc>
        <w:tc>
          <w:tcPr>
            <w:tcW w:w="1663" w:type="dxa"/>
            <w:vAlign w:val="center"/>
          </w:tcPr>
          <w:p w14:paraId="401D43E3">
            <w:pPr>
              <w:rPr>
                <w:rFonts w:hint="eastAsia" w:ascii="宋体" w:hAnsi="宋体" w:eastAsia="宋体" w:cs="宋体"/>
              </w:rPr>
            </w:pPr>
          </w:p>
        </w:tc>
      </w:tr>
      <w:tr w14:paraId="0981CB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07E35EC8">
            <w:pPr>
              <w:spacing w:line="360" w:lineRule="atLeast"/>
              <w:rPr>
                <w:rFonts w:hint="eastAsia" w:ascii="宋体" w:hAnsi="宋体" w:eastAsia="宋体" w:cs="宋体"/>
              </w:rPr>
            </w:pPr>
            <w:r>
              <w:rPr>
                <w:rFonts w:hint="eastAsia" w:ascii="宋体" w:hAnsi="宋体" w:eastAsia="宋体" w:cs="宋体"/>
              </w:rPr>
              <w:t>近三年承担项目情况</w:t>
            </w:r>
          </w:p>
        </w:tc>
      </w:tr>
      <w:tr w14:paraId="7D7B8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24C1ABF">
            <w:pPr>
              <w:spacing w:line="360" w:lineRule="atLeast"/>
              <w:jc w:val="center"/>
              <w:rPr>
                <w:rFonts w:hint="eastAsia" w:ascii="宋体" w:hAnsi="宋体" w:eastAsia="宋体" w:cs="宋体"/>
              </w:rPr>
            </w:pPr>
            <w:r>
              <w:rPr>
                <w:rFonts w:hint="eastAsia" w:ascii="宋体" w:hAnsi="宋体" w:eastAsia="宋体" w:cs="宋体"/>
              </w:rPr>
              <w:t>时间</w:t>
            </w:r>
          </w:p>
        </w:tc>
        <w:tc>
          <w:tcPr>
            <w:tcW w:w="2864" w:type="dxa"/>
            <w:gridSpan w:val="2"/>
            <w:vAlign w:val="center"/>
          </w:tcPr>
          <w:p w14:paraId="77032DF4">
            <w:pPr>
              <w:spacing w:line="360" w:lineRule="atLeast"/>
              <w:jc w:val="center"/>
              <w:rPr>
                <w:rFonts w:hint="eastAsia" w:ascii="宋体" w:hAnsi="宋体" w:eastAsia="宋体" w:cs="宋体"/>
              </w:rPr>
            </w:pPr>
            <w:r>
              <w:rPr>
                <w:rFonts w:hint="eastAsia" w:ascii="宋体" w:hAnsi="宋体" w:eastAsia="宋体" w:cs="宋体"/>
              </w:rPr>
              <w:t>类似项目名称</w:t>
            </w:r>
          </w:p>
        </w:tc>
        <w:tc>
          <w:tcPr>
            <w:tcW w:w="1404" w:type="dxa"/>
            <w:vAlign w:val="center"/>
          </w:tcPr>
          <w:p w14:paraId="06D6971C">
            <w:pPr>
              <w:spacing w:line="360" w:lineRule="atLeast"/>
              <w:jc w:val="center"/>
              <w:rPr>
                <w:rFonts w:hint="eastAsia" w:ascii="宋体" w:hAnsi="宋体" w:eastAsia="宋体" w:cs="宋体"/>
              </w:rPr>
            </w:pPr>
            <w:r>
              <w:rPr>
                <w:rFonts w:hint="eastAsia" w:ascii="宋体" w:hAnsi="宋体" w:eastAsia="宋体" w:cs="宋体"/>
              </w:rPr>
              <w:t>担任职务</w:t>
            </w:r>
          </w:p>
        </w:tc>
        <w:tc>
          <w:tcPr>
            <w:tcW w:w="2203" w:type="dxa"/>
            <w:gridSpan w:val="2"/>
            <w:vAlign w:val="center"/>
          </w:tcPr>
          <w:p w14:paraId="5C7D7C82">
            <w:pPr>
              <w:spacing w:line="360" w:lineRule="atLeast"/>
              <w:jc w:val="center"/>
              <w:rPr>
                <w:rFonts w:hint="eastAsia" w:ascii="宋体" w:hAnsi="宋体" w:eastAsia="宋体" w:cs="宋体"/>
              </w:rPr>
            </w:pPr>
            <w:r>
              <w:rPr>
                <w:rFonts w:hint="eastAsia" w:ascii="宋体" w:hAnsi="宋体" w:eastAsia="宋体" w:cs="宋体"/>
              </w:rPr>
              <w:t>项目单位名称及电话</w:t>
            </w:r>
          </w:p>
        </w:tc>
      </w:tr>
      <w:tr w14:paraId="15EE1B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6B5A6D4">
            <w:pPr>
              <w:spacing w:line="360" w:lineRule="atLeast"/>
              <w:jc w:val="center"/>
              <w:rPr>
                <w:rFonts w:hint="eastAsia" w:ascii="宋体" w:hAnsi="宋体" w:eastAsia="宋体" w:cs="宋体"/>
              </w:rPr>
            </w:pPr>
          </w:p>
        </w:tc>
        <w:tc>
          <w:tcPr>
            <w:tcW w:w="2864" w:type="dxa"/>
            <w:gridSpan w:val="2"/>
            <w:vAlign w:val="center"/>
          </w:tcPr>
          <w:p w14:paraId="1E6EAC27">
            <w:pPr>
              <w:spacing w:line="360" w:lineRule="atLeast"/>
              <w:jc w:val="center"/>
              <w:rPr>
                <w:rFonts w:hint="eastAsia" w:ascii="宋体" w:hAnsi="宋体" w:eastAsia="宋体" w:cs="宋体"/>
              </w:rPr>
            </w:pPr>
          </w:p>
        </w:tc>
        <w:tc>
          <w:tcPr>
            <w:tcW w:w="1404" w:type="dxa"/>
            <w:vAlign w:val="center"/>
          </w:tcPr>
          <w:p w14:paraId="2A9AB0F6">
            <w:pPr>
              <w:spacing w:line="360" w:lineRule="atLeast"/>
              <w:jc w:val="center"/>
              <w:rPr>
                <w:rFonts w:hint="eastAsia" w:ascii="宋体" w:hAnsi="宋体" w:eastAsia="宋体" w:cs="宋体"/>
              </w:rPr>
            </w:pPr>
          </w:p>
        </w:tc>
        <w:tc>
          <w:tcPr>
            <w:tcW w:w="2203" w:type="dxa"/>
            <w:gridSpan w:val="2"/>
            <w:vAlign w:val="center"/>
          </w:tcPr>
          <w:p w14:paraId="43444256">
            <w:pPr>
              <w:spacing w:line="360" w:lineRule="atLeast"/>
              <w:jc w:val="center"/>
              <w:rPr>
                <w:rFonts w:hint="eastAsia" w:ascii="宋体" w:hAnsi="宋体" w:eastAsia="宋体" w:cs="宋体"/>
              </w:rPr>
            </w:pPr>
          </w:p>
        </w:tc>
      </w:tr>
      <w:tr w14:paraId="08904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DA0620F">
            <w:pPr>
              <w:spacing w:line="360" w:lineRule="atLeast"/>
              <w:jc w:val="center"/>
              <w:rPr>
                <w:rFonts w:hint="eastAsia" w:ascii="宋体" w:hAnsi="宋体" w:eastAsia="宋体" w:cs="宋体"/>
              </w:rPr>
            </w:pPr>
          </w:p>
        </w:tc>
        <w:tc>
          <w:tcPr>
            <w:tcW w:w="2864" w:type="dxa"/>
            <w:gridSpan w:val="2"/>
            <w:vAlign w:val="center"/>
          </w:tcPr>
          <w:p w14:paraId="4B0CAF25">
            <w:pPr>
              <w:spacing w:line="360" w:lineRule="atLeast"/>
              <w:jc w:val="center"/>
              <w:rPr>
                <w:rFonts w:hint="eastAsia" w:ascii="宋体" w:hAnsi="宋体" w:eastAsia="宋体" w:cs="宋体"/>
              </w:rPr>
            </w:pPr>
          </w:p>
        </w:tc>
        <w:tc>
          <w:tcPr>
            <w:tcW w:w="1404" w:type="dxa"/>
            <w:vAlign w:val="center"/>
          </w:tcPr>
          <w:p w14:paraId="07DAA879">
            <w:pPr>
              <w:spacing w:line="360" w:lineRule="atLeast"/>
              <w:jc w:val="center"/>
              <w:rPr>
                <w:rFonts w:hint="eastAsia" w:ascii="宋体" w:hAnsi="宋体" w:eastAsia="宋体" w:cs="宋体"/>
              </w:rPr>
            </w:pPr>
          </w:p>
        </w:tc>
        <w:tc>
          <w:tcPr>
            <w:tcW w:w="2203" w:type="dxa"/>
            <w:gridSpan w:val="2"/>
            <w:vAlign w:val="center"/>
          </w:tcPr>
          <w:p w14:paraId="1AFF1353">
            <w:pPr>
              <w:spacing w:line="360" w:lineRule="atLeast"/>
              <w:jc w:val="center"/>
              <w:rPr>
                <w:rFonts w:hint="eastAsia" w:ascii="宋体" w:hAnsi="宋体" w:eastAsia="宋体" w:cs="宋体"/>
              </w:rPr>
            </w:pPr>
          </w:p>
        </w:tc>
      </w:tr>
      <w:tr w14:paraId="3CC36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31277D7">
            <w:pPr>
              <w:spacing w:line="360" w:lineRule="atLeast"/>
              <w:jc w:val="center"/>
              <w:rPr>
                <w:rFonts w:hint="eastAsia" w:ascii="宋体" w:hAnsi="宋体" w:eastAsia="宋体" w:cs="宋体"/>
              </w:rPr>
            </w:pPr>
          </w:p>
        </w:tc>
        <w:tc>
          <w:tcPr>
            <w:tcW w:w="2864" w:type="dxa"/>
            <w:gridSpan w:val="2"/>
            <w:vAlign w:val="center"/>
          </w:tcPr>
          <w:p w14:paraId="4705241E">
            <w:pPr>
              <w:spacing w:line="360" w:lineRule="atLeast"/>
              <w:jc w:val="center"/>
              <w:rPr>
                <w:rFonts w:hint="eastAsia" w:ascii="宋体" w:hAnsi="宋体" w:eastAsia="宋体" w:cs="宋体"/>
              </w:rPr>
            </w:pPr>
          </w:p>
        </w:tc>
        <w:tc>
          <w:tcPr>
            <w:tcW w:w="1404" w:type="dxa"/>
            <w:vAlign w:val="center"/>
          </w:tcPr>
          <w:p w14:paraId="2B957451">
            <w:pPr>
              <w:spacing w:line="360" w:lineRule="atLeast"/>
              <w:jc w:val="center"/>
              <w:rPr>
                <w:rFonts w:hint="eastAsia" w:ascii="宋体" w:hAnsi="宋体" w:eastAsia="宋体" w:cs="宋体"/>
              </w:rPr>
            </w:pPr>
          </w:p>
        </w:tc>
        <w:tc>
          <w:tcPr>
            <w:tcW w:w="2203" w:type="dxa"/>
            <w:gridSpan w:val="2"/>
            <w:vAlign w:val="center"/>
          </w:tcPr>
          <w:p w14:paraId="679B22D5">
            <w:pPr>
              <w:spacing w:line="360" w:lineRule="atLeast"/>
              <w:jc w:val="center"/>
              <w:rPr>
                <w:rFonts w:hint="eastAsia" w:ascii="宋体" w:hAnsi="宋体" w:eastAsia="宋体" w:cs="宋体"/>
              </w:rPr>
            </w:pPr>
          </w:p>
        </w:tc>
      </w:tr>
      <w:tr w14:paraId="79A24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01191F7">
            <w:pPr>
              <w:spacing w:line="360" w:lineRule="atLeast"/>
              <w:jc w:val="center"/>
              <w:rPr>
                <w:rFonts w:hint="eastAsia" w:ascii="宋体" w:hAnsi="宋体" w:eastAsia="宋体" w:cs="宋体"/>
              </w:rPr>
            </w:pPr>
          </w:p>
        </w:tc>
        <w:tc>
          <w:tcPr>
            <w:tcW w:w="2864" w:type="dxa"/>
            <w:gridSpan w:val="2"/>
            <w:vAlign w:val="center"/>
          </w:tcPr>
          <w:p w14:paraId="130765D7">
            <w:pPr>
              <w:spacing w:line="360" w:lineRule="atLeast"/>
              <w:jc w:val="center"/>
              <w:rPr>
                <w:rFonts w:hint="eastAsia" w:ascii="宋体" w:hAnsi="宋体" w:eastAsia="宋体" w:cs="宋体"/>
              </w:rPr>
            </w:pPr>
          </w:p>
        </w:tc>
        <w:tc>
          <w:tcPr>
            <w:tcW w:w="1404" w:type="dxa"/>
            <w:vAlign w:val="center"/>
          </w:tcPr>
          <w:p w14:paraId="398CD427">
            <w:pPr>
              <w:spacing w:line="360" w:lineRule="atLeast"/>
              <w:jc w:val="center"/>
              <w:rPr>
                <w:rFonts w:hint="eastAsia" w:ascii="宋体" w:hAnsi="宋体" w:eastAsia="宋体" w:cs="宋体"/>
              </w:rPr>
            </w:pPr>
          </w:p>
        </w:tc>
        <w:tc>
          <w:tcPr>
            <w:tcW w:w="2203" w:type="dxa"/>
            <w:gridSpan w:val="2"/>
            <w:vAlign w:val="center"/>
          </w:tcPr>
          <w:p w14:paraId="5DF44BB2">
            <w:pPr>
              <w:spacing w:line="360" w:lineRule="atLeast"/>
              <w:jc w:val="center"/>
              <w:rPr>
                <w:rFonts w:hint="eastAsia" w:ascii="宋体" w:hAnsi="宋体" w:eastAsia="宋体" w:cs="宋体"/>
              </w:rPr>
            </w:pPr>
          </w:p>
        </w:tc>
      </w:tr>
      <w:tr w14:paraId="336706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0107914">
            <w:pPr>
              <w:spacing w:line="360" w:lineRule="atLeast"/>
              <w:jc w:val="center"/>
              <w:rPr>
                <w:rFonts w:hint="eastAsia" w:ascii="宋体" w:hAnsi="宋体" w:eastAsia="宋体" w:cs="宋体"/>
              </w:rPr>
            </w:pPr>
          </w:p>
        </w:tc>
        <w:tc>
          <w:tcPr>
            <w:tcW w:w="2864" w:type="dxa"/>
            <w:gridSpan w:val="2"/>
            <w:vAlign w:val="center"/>
          </w:tcPr>
          <w:p w14:paraId="5350E5A4">
            <w:pPr>
              <w:spacing w:line="360" w:lineRule="atLeast"/>
              <w:jc w:val="center"/>
              <w:rPr>
                <w:rFonts w:hint="eastAsia" w:ascii="宋体" w:hAnsi="宋体" w:eastAsia="宋体" w:cs="宋体"/>
              </w:rPr>
            </w:pPr>
          </w:p>
        </w:tc>
        <w:tc>
          <w:tcPr>
            <w:tcW w:w="1404" w:type="dxa"/>
            <w:vAlign w:val="center"/>
          </w:tcPr>
          <w:p w14:paraId="75560880">
            <w:pPr>
              <w:spacing w:line="360" w:lineRule="atLeast"/>
              <w:jc w:val="center"/>
              <w:rPr>
                <w:rFonts w:hint="eastAsia" w:ascii="宋体" w:hAnsi="宋体" w:eastAsia="宋体" w:cs="宋体"/>
              </w:rPr>
            </w:pPr>
          </w:p>
        </w:tc>
        <w:tc>
          <w:tcPr>
            <w:tcW w:w="2203" w:type="dxa"/>
            <w:gridSpan w:val="2"/>
            <w:vAlign w:val="center"/>
          </w:tcPr>
          <w:p w14:paraId="55A96F9B">
            <w:pPr>
              <w:spacing w:line="360" w:lineRule="atLeast"/>
              <w:jc w:val="center"/>
              <w:rPr>
                <w:rFonts w:hint="eastAsia" w:ascii="宋体" w:hAnsi="宋体" w:eastAsia="宋体" w:cs="宋体"/>
              </w:rPr>
            </w:pPr>
          </w:p>
        </w:tc>
      </w:tr>
      <w:tr w14:paraId="1C498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9E67E22">
            <w:pPr>
              <w:spacing w:line="360" w:lineRule="atLeast"/>
              <w:jc w:val="center"/>
              <w:rPr>
                <w:rFonts w:hint="eastAsia" w:ascii="宋体" w:hAnsi="宋体" w:eastAsia="宋体" w:cs="宋体"/>
              </w:rPr>
            </w:pPr>
          </w:p>
        </w:tc>
        <w:tc>
          <w:tcPr>
            <w:tcW w:w="2864" w:type="dxa"/>
            <w:gridSpan w:val="2"/>
            <w:vAlign w:val="center"/>
          </w:tcPr>
          <w:p w14:paraId="3A62894F">
            <w:pPr>
              <w:spacing w:line="360" w:lineRule="atLeast"/>
              <w:jc w:val="center"/>
              <w:rPr>
                <w:rFonts w:hint="eastAsia" w:ascii="宋体" w:hAnsi="宋体" w:eastAsia="宋体" w:cs="宋体"/>
              </w:rPr>
            </w:pPr>
          </w:p>
        </w:tc>
        <w:tc>
          <w:tcPr>
            <w:tcW w:w="1404" w:type="dxa"/>
            <w:vAlign w:val="center"/>
          </w:tcPr>
          <w:p w14:paraId="4307121E">
            <w:pPr>
              <w:spacing w:line="360" w:lineRule="atLeast"/>
              <w:jc w:val="center"/>
              <w:rPr>
                <w:rFonts w:hint="eastAsia" w:ascii="宋体" w:hAnsi="宋体" w:eastAsia="宋体" w:cs="宋体"/>
              </w:rPr>
            </w:pPr>
          </w:p>
        </w:tc>
        <w:tc>
          <w:tcPr>
            <w:tcW w:w="2203" w:type="dxa"/>
            <w:gridSpan w:val="2"/>
            <w:vAlign w:val="center"/>
          </w:tcPr>
          <w:p w14:paraId="19E3E881">
            <w:pPr>
              <w:spacing w:line="360" w:lineRule="atLeast"/>
              <w:jc w:val="center"/>
              <w:rPr>
                <w:rFonts w:hint="eastAsia" w:ascii="宋体" w:hAnsi="宋体" w:eastAsia="宋体" w:cs="宋体"/>
              </w:rPr>
            </w:pPr>
          </w:p>
        </w:tc>
      </w:tr>
      <w:tr w14:paraId="2A080C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1311AFA">
            <w:pPr>
              <w:spacing w:line="360" w:lineRule="atLeast"/>
              <w:jc w:val="center"/>
              <w:rPr>
                <w:rFonts w:hint="eastAsia" w:ascii="宋体" w:hAnsi="宋体" w:eastAsia="宋体" w:cs="宋体"/>
              </w:rPr>
            </w:pPr>
          </w:p>
        </w:tc>
        <w:tc>
          <w:tcPr>
            <w:tcW w:w="2864" w:type="dxa"/>
            <w:gridSpan w:val="2"/>
            <w:vAlign w:val="center"/>
          </w:tcPr>
          <w:p w14:paraId="755E4147">
            <w:pPr>
              <w:spacing w:line="360" w:lineRule="atLeast"/>
              <w:jc w:val="center"/>
              <w:rPr>
                <w:rFonts w:hint="eastAsia" w:ascii="宋体" w:hAnsi="宋体" w:eastAsia="宋体" w:cs="宋体"/>
              </w:rPr>
            </w:pPr>
          </w:p>
        </w:tc>
        <w:tc>
          <w:tcPr>
            <w:tcW w:w="1404" w:type="dxa"/>
            <w:vAlign w:val="center"/>
          </w:tcPr>
          <w:p w14:paraId="27EA0AC1">
            <w:pPr>
              <w:spacing w:line="360" w:lineRule="atLeast"/>
              <w:jc w:val="center"/>
              <w:rPr>
                <w:rFonts w:hint="eastAsia" w:ascii="宋体" w:hAnsi="宋体" w:eastAsia="宋体" w:cs="宋体"/>
              </w:rPr>
            </w:pPr>
          </w:p>
        </w:tc>
        <w:tc>
          <w:tcPr>
            <w:tcW w:w="2203" w:type="dxa"/>
            <w:gridSpan w:val="2"/>
            <w:vAlign w:val="center"/>
          </w:tcPr>
          <w:p w14:paraId="16D5AC7D">
            <w:pPr>
              <w:spacing w:line="360" w:lineRule="atLeast"/>
              <w:jc w:val="center"/>
              <w:rPr>
                <w:rFonts w:hint="eastAsia" w:ascii="宋体" w:hAnsi="宋体" w:eastAsia="宋体" w:cs="宋体"/>
              </w:rPr>
            </w:pPr>
          </w:p>
        </w:tc>
      </w:tr>
      <w:tr w14:paraId="15344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34999D4">
            <w:pPr>
              <w:spacing w:line="360" w:lineRule="atLeast"/>
              <w:jc w:val="center"/>
              <w:rPr>
                <w:rFonts w:hint="eastAsia" w:ascii="宋体" w:hAnsi="宋体" w:eastAsia="宋体" w:cs="宋体"/>
              </w:rPr>
            </w:pPr>
          </w:p>
        </w:tc>
        <w:tc>
          <w:tcPr>
            <w:tcW w:w="2864" w:type="dxa"/>
            <w:gridSpan w:val="2"/>
            <w:vAlign w:val="center"/>
          </w:tcPr>
          <w:p w14:paraId="78E245EE">
            <w:pPr>
              <w:spacing w:line="360" w:lineRule="atLeast"/>
              <w:jc w:val="center"/>
              <w:rPr>
                <w:rFonts w:hint="eastAsia" w:ascii="宋体" w:hAnsi="宋体" w:eastAsia="宋体" w:cs="宋体"/>
              </w:rPr>
            </w:pPr>
          </w:p>
        </w:tc>
        <w:tc>
          <w:tcPr>
            <w:tcW w:w="1404" w:type="dxa"/>
            <w:vAlign w:val="center"/>
          </w:tcPr>
          <w:p w14:paraId="5CF9678E">
            <w:pPr>
              <w:spacing w:line="360" w:lineRule="atLeast"/>
              <w:jc w:val="center"/>
              <w:rPr>
                <w:rFonts w:hint="eastAsia" w:ascii="宋体" w:hAnsi="宋体" w:eastAsia="宋体" w:cs="宋体"/>
              </w:rPr>
            </w:pPr>
          </w:p>
        </w:tc>
        <w:tc>
          <w:tcPr>
            <w:tcW w:w="2203" w:type="dxa"/>
            <w:gridSpan w:val="2"/>
            <w:vAlign w:val="center"/>
          </w:tcPr>
          <w:p w14:paraId="0F9FE95E">
            <w:pPr>
              <w:spacing w:line="360" w:lineRule="atLeast"/>
              <w:jc w:val="center"/>
              <w:rPr>
                <w:rFonts w:hint="eastAsia" w:ascii="宋体" w:hAnsi="宋体" w:eastAsia="宋体" w:cs="宋体"/>
              </w:rPr>
            </w:pPr>
          </w:p>
        </w:tc>
      </w:tr>
      <w:tr w14:paraId="512B9A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9D1FE6">
            <w:pPr>
              <w:spacing w:line="360" w:lineRule="atLeast"/>
              <w:jc w:val="center"/>
              <w:rPr>
                <w:rFonts w:hint="eastAsia" w:ascii="宋体" w:hAnsi="宋体" w:eastAsia="宋体" w:cs="宋体"/>
              </w:rPr>
            </w:pPr>
          </w:p>
        </w:tc>
        <w:tc>
          <w:tcPr>
            <w:tcW w:w="2864" w:type="dxa"/>
            <w:gridSpan w:val="2"/>
            <w:vAlign w:val="center"/>
          </w:tcPr>
          <w:p w14:paraId="32E80054">
            <w:pPr>
              <w:spacing w:line="360" w:lineRule="atLeast"/>
              <w:jc w:val="center"/>
              <w:rPr>
                <w:rFonts w:hint="eastAsia" w:ascii="宋体" w:hAnsi="宋体" w:eastAsia="宋体" w:cs="宋体"/>
              </w:rPr>
            </w:pPr>
          </w:p>
        </w:tc>
        <w:tc>
          <w:tcPr>
            <w:tcW w:w="1404" w:type="dxa"/>
            <w:vAlign w:val="center"/>
          </w:tcPr>
          <w:p w14:paraId="1FBF2BA5">
            <w:pPr>
              <w:spacing w:line="360" w:lineRule="atLeast"/>
              <w:jc w:val="center"/>
              <w:rPr>
                <w:rFonts w:hint="eastAsia" w:ascii="宋体" w:hAnsi="宋体" w:eastAsia="宋体" w:cs="宋体"/>
              </w:rPr>
            </w:pPr>
          </w:p>
        </w:tc>
        <w:tc>
          <w:tcPr>
            <w:tcW w:w="2203" w:type="dxa"/>
            <w:gridSpan w:val="2"/>
            <w:vAlign w:val="center"/>
          </w:tcPr>
          <w:p w14:paraId="09ADB317">
            <w:pPr>
              <w:spacing w:line="360" w:lineRule="atLeast"/>
              <w:jc w:val="center"/>
              <w:rPr>
                <w:rFonts w:hint="eastAsia" w:ascii="宋体" w:hAnsi="宋体" w:eastAsia="宋体" w:cs="宋体"/>
              </w:rPr>
            </w:pPr>
          </w:p>
        </w:tc>
      </w:tr>
    </w:tbl>
    <w:p w14:paraId="70251088">
      <w:pPr>
        <w:rPr>
          <w:rFonts w:hint="eastAsia" w:ascii="宋体" w:hAnsi="宋体" w:eastAsia="宋体" w:cs="宋体"/>
          <w:szCs w:val="21"/>
        </w:rPr>
      </w:pPr>
    </w:p>
    <w:p w14:paraId="24ED6CF3">
      <w:pPr>
        <w:rPr>
          <w:rFonts w:hint="eastAsia" w:ascii="宋体" w:hAnsi="宋体" w:eastAsia="宋体" w:cs="宋体"/>
          <w:szCs w:val="21"/>
        </w:rPr>
      </w:pPr>
    </w:p>
    <w:p w14:paraId="2C36A97C">
      <w:pPr>
        <w:pStyle w:val="26"/>
        <w:adjustRightInd w:val="0"/>
        <w:snapToGrid w:val="0"/>
        <w:spacing w:line="360" w:lineRule="auto"/>
        <w:outlineLvl w:val="0"/>
        <w:rPr>
          <w:rFonts w:hint="eastAsia" w:ascii="宋体" w:hAnsi="宋体" w:eastAsia="宋体" w:cs="宋体"/>
          <w:bCs/>
          <w:sz w:val="21"/>
          <w:szCs w:val="21"/>
        </w:rPr>
      </w:pPr>
      <w:bookmarkStart w:id="73" w:name="_Toc15007"/>
      <w:r>
        <w:rPr>
          <w:rFonts w:hint="eastAsia" w:ascii="宋体" w:hAnsi="宋体" w:eastAsia="宋体" w:cs="宋体"/>
          <w:sz w:val="21"/>
          <w:szCs w:val="21"/>
        </w:rPr>
        <w:t>供应商名称：</w:t>
      </w:r>
      <w:bookmarkEnd w:id="73"/>
    </w:p>
    <w:p w14:paraId="6DFEFD75">
      <w:pPr>
        <w:adjustRightInd w:val="0"/>
        <w:snapToGrid w:val="0"/>
        <w:spacing w:line="360" w:lineRule="auto"/>
        <w:outlineLvl w:val="0"/>
        <w:rPr>
          <w:rFonts w:hint="eastAsia" w:ascii="宋体" w:hAnsi="宋体" w:eastAsia="宋体" w:cs="宋体"/>
          <w:szCs w:val="21"/>
          <w:lang w:val="en-US" w:eastAsia="zh-CN"/>
        </w:rPr>
      </w:pPr>
      <w:bookmarkStart w:id="74" w:name="_Toc18384"/>
      <w:r>
        <w:rPr>
          <w:rFonts w:hint="eastAsia" w:ascii="宋体" w:hAnsi="宋体" w:eastAsia="宋体" w:cs="宋体"/>
          <w:szCs w:val="21"/>
        </w:rPr>
        <w:t>法定代表人或其委托代理人(签字)：</w:t>
      </w:r>
      <w:r>
        <w:rPr>
          <w:rFonts w:hint="eastAsia" w:ascii="宋体" w:hAnsi="宋体" w:eastAsia="宋体" w:cs="宋体"/>
          <w:szCs w:val="21"/>
          <w:u w:val="single"/>
          <w:lang w:val="en-US" w:eastAsia="zh-CN"/>
        </w:rPr>
        <w:t xml:space="preserve">      </w:t>
      </w:r>
      <w:bookmarkEnd w:id="74"/>
      <w:r>
        <w:rPr>
          <w:rFonts w:hint="eastAsia" w:ascii="宋体" w:hAnsi="宋体" w:eastAsia="宋体" w:cs="宋体"/>
          <w:szCs w:val="21"/>
          <w:u w:val="single"/>
          <w:lang w:val="en-US" w:eastAsia="zh-CN"/>
        </w:rPr>
        <w:t xml:space="preserve">        </w:t>
      </w:r>
    </w:p>
    <w:p w14:paraId="3AD6B33A">
      <w:pPr>
        <w:spacing w:line="360" w:lineRule="exact"/>
        <w:rPr>
          <w:rFonts w:hint="eastAsia" w:ascii="宋体" w:hAnsi="宋体" w:eastAsia="宋体" w:cs="宋体"/>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058D0C31">
      <w:pPr>
        <w:pStyle w:val="62"/>
        <w:rPr>
          <w:rFonts w:hint="eastAsia" w:ascii="宋体" w:hAnsi="宋体" w:eastAsia="宋体" w:cs="宋体"/>
          <w:color w:val="auto"/>
          <w:kern w:val="0"/>
          <w:szCs w:val="21"/>
        </w:rPr>
      </w:pPr>
    </w:p>
    <w:p w14:paraId="73CD7A95">
      <w:pPr>
        <w:pStyle w:val="62"/>
        <w:rPr>
          <w:rFonts w:hint="eastAsia" w:ascii="宋体" w:hAnsi="宋体" w:eastAsia="宋体" w:cs="宋体"/>
          <w:color w:val="auto"/>
          <w:kern w:val="0"/>
          <w:szCs w:val="21"/>
        </w:rPr>
      </w:pPr>
    </w:p>
    <w:p w14:paraId="4565FF95">
      <w:pPr>
        <w:pStyle w:val="62"/>
        <w:rPr>
          <w:rFonts w:hint="eastAsia" w:ascii="宋体" w:hAnsi="宋体" w:eastAsia="宋体" w:cs="宋体"/>
          <w:color w:val="auto"/>
          <w:kern w:val="0"/>
          <w:szCs w:val="21"/>
        </w:rPr>
      </w:pPr>
    </w:p>
    <w:p w14:paraId="5585367C">
      <w:pPr>
        <w:pStyle w:val="62"/>
        <w:rPr>
          <w:rFonts w:hint="eastAsia" w:ascii="宋体" w:hAnsi="宋体" w:eastAsia="宋体" w:cs="宋体"/>
          <w:color w:val="auto"/>
          <w:kern w:val="0"/>
          <w:szCs w:val="21"/>
        </w:rPr>
      </w:pPr>
    </w:p>
    <w:p w14:paraId="077B3866">
      <w:pPr>
        <w:pStyle w:val="62"/>
        <w:rPr>
          <w:rFonts w:hint="eastAsia" w:ascii="宋体" w:hAnsi="宋体" w:eastAsia="宋体" w:cs="宋体"/>
          <w:color w:val="auto"/>
          <w:kern w:val="0"/>
          <w:szCs w:val="21"/>
        </w:rPr>
      </w:pPr>
    </w:p>
    <w:p w14:paraId="48CB2706">
      <w:pPr>
        <w:pStyle w:val="62"/>
        <w:rPr>
          <w:rFonts w:hint="eastAsia" w:ascii="宋体" w:hAnsi="宋体" w:eastAsia="宋体" w:cs="宋体"/>
          <w:color w:val="auto"/>
          <w:kern w:val="0"/>
          <w:szCs w:val="21"/>
        </w:rPr>
      </w:pPr>
    </w:p>
    <w:p w14:paraId="7C6A3AFE">
      <w:pPr>
        <w:pStyle w:val="62"/>
        <w:rPr>
          <w:rFonts w:hint="eastAsia" w:ascii="宋体" w:hAnsi="宋体" w:eastAsia="宋体" w:cs="宋体"/>
          <w:color w:val="auto"/>
          <w:kern w:val="0"/>
          <w:szCs w:val="21"/>
        </w:rPr>
      </w:pPr>
    </w:p>
    <w:p w14:paraId="7750618E">
      <w:pPr>
        <w:pStyle w:val="62"/>
        <w:rPr>
          <w:rFonts w:hint="eastAsia" w:ascii="宋体" w:hAnsi="宋体" w:eastAsia="宋体" w:cs="宋体"/>
          <w:color w:val="auto"/>
          <w:kern w:val="0"/>
          <w:szCs w:val="21"/>
        </w:rPr>
      </w:pPr>
    </w:p>
    <w:p w14:paraId="0C270D55">
      <w:pPr>
        <w:pStyle w:val="62"/>
        <w:rPr>
          <w:rFonts w:hint="eastAsia" w:ascii="宋体" w:hAnsi="宋体" w:eastAsia="宋体" w:cs="宋体"/>
          <w:color w:val="auto"/>
          <w:kern w:val="0"/>
          <w:szCs w:val="21"/>
        </w:rPr>
      </w:pPr>
    </w:p>
    <w:p w14:paraId="01EE8C1C">
      <w:pPr>
        <w:spacing w:line="360" w:lineRule="auto"/>
        <w:jc w:val="center"/>
        <w:outlineLvl w:val="1"/>
        <w:rPr>
          <w:rFonts w:hint="eastAsia" w:ascii="宋体" w:hAnsi="宋体" w:eastAsia="宋体" w:cs="宋体"/>
          <w:b/>
          <w:color w:val="auto"/>
          <w:sz w:val="32"/>
          <w:szCs w:val="32"/>
        </w:rPr>
      </w:pPr>
      <w:bookmarkStart w:id="75" w:name="_Toc11879757"/>
      <w:r>
        <w:rPr>
          <w:rFonts w:hint="eastAsia" w:ascii="宋体" w:hAnsi="宋体" w:eastAsia="宋体" w:cs="宋体"/>
          <w:b/>
          <w:color w:val="auto"/>
          <w:sz w:val="32"/>
          <w:szCs w:val="32"/>
        </w:rPr>
        <w:t>五、技术/商务响应与偏离表</w:t>
      </w:r>
      <w:bookmarkEnd w:id="75"/>
    </w:p>
    <w:p w14:paraId="31FCFC5F">
      <w:pPr>
        <w:adjustRightInd w:val="0"/>
        <w:snapToGrid w:val="0"/>
        <w:spacing w:line="360" w:lineRule="auto"/>
        <w:ind w:left="-88" w:leftChars="-42" w:firstLine="315" w:firstLineChars="150"/>
        <w:rPr>
          <w:rFonts w:hint="eastAsia" w:ascii="宋体" w:hAnsi="宋体" w:eastAsia="宋体" w:cs="宋体"/>
          <w:color w:val="auto"/>
          <w:szCs w:val="21"/>
          <w:u w:val="single"/>
        </w:rPr>
      </w:pPr>
    </w:p>
    <w:tbl>
      <w:tblPr>
        <w:tblStyle w:val="43"/>
        <w:tblW w:w="9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354367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7A0387C7">
            <w:pPr>
              <w:adjustRightInd w:val="0"/>
              <w:snapToGrid w:val="0"/>
              <w:spacing w:line="360" w:lineRule="auto"/>
              <w:ind w:left="-88" w:leftChars="-42"/>
              <w:jc w:val="center"/>
              <w:rPr>
                <w:rFonts w:hint="eastAsia" w:ascii="宋体" w:hAnsi="宋体" w:eastAsia="宋体" w:cs="宋体"/>
                <w:bCs/>
                <w:color w:val="auto"/>
                <w:szCs w:val="21"/>
              </w:rPr>
            </w:pPr>
            <w:r>
              <w:rPr>
                <w:rFonts w:hint="eastAsia" w:ascii="宋体" w:hAnsi="宋体" w:eastAsia="宋体" w:cs="宋体"/>
                <w:bCs/>
                <w:color w:val="auto"/>
                <w:szCs w:val="21"/>
              </w:rPr>
              <w:t>序号</w:t>
            </w:r>
          </w:p>
        </w:tc>
        <w:tc>
          <w:tcPr>
            <w:tcW w:w="1685" w:type="dxa"/>
            <w:noWrap w:val="0"/>
            <w:vAlign w:val="center"/>
          </w:tcPr>
          <w:p w14:paraId="715CA373">
            <w:pPr>
              <w:adjustRightInd w:val="0"/>
              <w:snapToGrid w:val="0"/>
              <w:spacing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磋商文件条目号</w:t>
            </w:r>
          </w:p>
        </w:tc>
        <w:tc>
          <w:tcPr>
            <w:tcW w:w="1948" w:type="dxa"/>
            <w:noWrap w:val="0"/>
            <w:vAlign w:val="center"/>
          </w:tcPr>
          <w:p w14:paraId="609AD599">
            <w:pPr>
              <w:adjustRightInd w:val="0"/>
              <w:snapToGrid w:val="0"/>
              <w:spacing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采购规格/商务条款</w:t>
            </w:r>
          </w:p>
        </w:tc>
        <w:tc>
          <w:tcPr>
            <w:tcW w:w="2600" w:type="dxa"/>
            <w:noWrap w:val="0"/>
            <w:vAlign w:val="center"/>
          </w:tcPr>
          <w:p w14:paraId="2A06E014">
            <w:pPr>
              <w:adjustRightInd w:val="0"/>
              <w:snapToGrid w:val="0"/>
              <w:spacing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响应文件的规格/商务条款</w:t>
            </w:r>
          </w:p>
        </w:tc>
        <w:tc>
          <w:tcPr>
            <w:tcW w:w="1517" w:type="dxa"/>
            <w:noWrap w:val="0"/>
            <w:vAlign w:val="center"/>
          </w:tcPr>
          <w:p w14:paraId="44FD438B">
            <w:pPr>
              <w:adjustRightInd w:val="0"/>
              <w:snapToGrid w:val="0"/>
              <w:spacing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响应与偏离</w:t>
            </w:r>
          </w:p>
        </w:tc>
        <w:tc>
          <w:tcPr>
            <w:tcW w:w="1119" w:type="dxa"/>
            <w:noWrap w:val="0"/>
            <w:vAlign w:val="center"/>
          </w:tcPr>
          <w:p w14:paraId="4A9237D1">
            <w:pPr>
              <w:adjustRightInd w:val="0"/>
              <w:snapToGrid w:val="0"/>
              <w:spacing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说明</w:t>
            </w:r>
          </w:p>
        </w:tc>
      </w:tr>
      <w:tr w14:paraId="01962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8B61F41">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3208DE9D">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1604667B">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16C55FDB">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4C4EFBC1">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2775A1FA">
            <w:pPr>
              <w:adjustRightInd w:val="0"/>
              <w:snapToGrid w:val="0"/>
              <w:spacing w:line="360" w:lineRule="auto"/>
              <w:ind w:left="-88" w:leftChars="-42"/>
              <w:jc w:val="center"/>
              <w:rPr>
                <w:rFonts w:hint="eastAsia" w:ascii="宋体" w:hAnsi="宋体" w:eastAsia="宋体" w:cs="宋体"/>
                <w:color w:val="auto"/>
                <w:szCs w:val="21"/>
              </w:rPr>
            </w:pPr>
          </w:p>
        </w:tc>
      </w:tr>
      <w:tr w14:paraId="3B63A7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A5682D0">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72CCBE95">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3456F122">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35C17CEC">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40528786">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0F0174DE">
            <w:pPr>
              <w:adjustRightInd w:val="0"/>
              <w:snapToGrid w:val="0"/>
              <w:spacing w:line="360" w:lineRule="auto"/>
              <w:ind w:left="-88" w:leftChars="-42"/>
              <w:jc w:val="center"/>
              <w:rPr>
                <w:rFonts w:hint="eastAsia" w:ascii="宋体" w:hAnsi="宋体" w:eastAsia="宋体" w:cs="宋体"/>
                <w:color w:val="auto"/>
                <w:szCs w:val="21"/>
              </w:rPr>
            </w:pPr>
          </w:p>
        </w:tc>
      </w:tr>
      <w:tr w14:paraId="457B4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7D6CD13">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147346E4">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73006655">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7A182CF4">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4DE332DB">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72CEE3D4">
            <w:pPr>
              <w:adjustRightInd w:val="0"/>
              <w:snapToGrid w:val="0"/>
              <w:spacing w:line="360" w:lineRule="auto"/>
              <w:ind w:left="-88" w:leftChars="-42"/>
              <w:jc w:val="center"/>
              <w:rPr>
                <w:rFonts w:hint="eastAsia" w:ascii="宋体" w:hAnsi="宋体" w:eastAsia="宋体" w:cs="宋体"/>
                <w:color w:val="auto"/>
                <w:szCs w:val="21"/>
              </w:rPr>
            </w:pPr>
          </w:p>
        </w:tc>
      </w:tr>
      <w:tr w14:paraId="06AF8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445CC87">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239BB15E">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7B12E8F7">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24EDBA13">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300F0A12">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2688B6FF">
            <w:pPr>
              <w:adjustRightInd w:val="0"/>
              <w:snapToGrid w:val="0"/>
              <w:spacing w:line="360" w:lineRule="auto"/>
              <w:ind w:left="-88" w:leftChars="-42"/>
              <w:jc w:val="center"/>
              <w:rPr>
                <w:rFonts w:hint="eastAsia" w:ascii="宋体" w:hAnsi="宋体" w:eastAsia="宋体" w:cs="宋体"/>
                <w:color w:val="auto"/>
                <w:szCs w:val="21"/>
              </w:rPr>
            </w:pPr>
          </w:p>
        </w:tc>
      </w:tr>
      <w:tr w14:paraId="4B80BC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5B914D9">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159C9697">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131C20D9">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668506C5">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16AE4D9B">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14A0DCA6">
            <w:pPr>
              <w:adjustRightInd w:val="0"/>
              <w:snapToGrid w:val="0"/>
              <w:spacing w:line="360" w:lineRule="auto"/>
              <w:ind w:left="-88" w:leftChars="-42"/>
              <w:jc w:val="center"/>
              <w:rPr>
                <w:rFonts w:hint="eastAsia" w:ascii="宋体" w:hAnsi="宋体" w:eastAsia="宋体" w:cs="宋体"/>
                <w:color w:val="auto"/>
                <w:szCs w:val="21"/>
              </w:rPr>
            </w:pPr>
          </w:p>
        </w:tc>
      </w:tr>
      <w:tr w14:paraId="3B0C0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CAD0F95">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228556C2">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21279FA6">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382C2341">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04A11475">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60F21115">
            <w:pPr>
              <w:adjustRightInd w:val="0"/>
              <w:snapToGrid w:val="0"/>
              <w:spacing w:line="360" w:lineRule="auto"/>
              <w:ind w:left="-88" w:leftChars="-42"/>
              <w:jc w:val="center"/>
              <w:rPr>
                <w:rFonts w:hint="eastAsia" w:ascii="宋体" w:hAnsi="宋体" w:eastAsia="宋体" w:cs="宋体"/>
                <w:color w:val="auto"/>
                <w:szCs w:val="21"/>
              </w:rPr>
            </w:pPr>
          </w:p>
        </w:tc>
      </w:tr>
      <w:tr w14:paraId="658E0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0687970">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44D9BC41">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65302312">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6F661651">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16882A17">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55004190">
            <w:pPr>
              <w:adjustRightInd w:val="0"/>
              <w:snapToGrid w:val="0"/>
              <w:spacing w:line="360" w:lineRule="auto"/>
              <w:ind w:left="-88" w:leftChars="-42"/>
              <w:jc w:val="center"/>
              <w:rPr>
                <w:rFonts w:hint="eastAsia" w:ascii="宋体" w:hAnsi="宋体" w:eastAsia="宋体" w:cs="宋体"/>
                <w:color w:val="auto"/>
                <w:szCs w:val="21"/>
              </w:rPr>
            </w:pPr>
          </w:p>
        </w:tc>
      </w:tr>
      <w:tr w14:paraId="581856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299D094">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74D70CB7">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52C3A56C">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584BB66B">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3818288B">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42203A11">
            <w:pPr>
              <w:adjustRightInd w:val="0"/>
              <w:snapToGrid w:val="0"/>
              <w:spacing w:line="360" w:lineRule="auto"/>
              <w:ind w:left="-88" w:leftChars="-42"/>
              <w:jc w:val="center"/>
              <w:rPr>
                <w:rFonts w:hint="eastAsia" w:ascii="宋体" w:hAnsi="宋体" w:eastAsia="宋体" w:cs="宋体"/>
                <w:color w:val="auto"/>
                <w:szCs w:val="21"/>
              </w:rPr>
            </w:pPr>
          </w:p>
        </w:tc>
      </w:tr>
      <w:tr w14:paraId="07539F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EA805A4">
            <w:pPr>
              <w:adjustRightInd w:val="0"/>
              <w:snapToGrid w:val="0"/>
              <w:spacing w:line="360" w:lineRule="auto"/>
              <w:ind w:left="-88" w:leftChars="-42"/>
              <w:jc w:val="center"/>
              <w:rPr>
                <w:rFonts w:hint="eastAsia" w:ascii="宋体" w:hAnsi="宋体" w:eastAsia="宋体" w:cs="宋体"/>
                <w:color w:val="auto"/>
                <w:szCs w:val="21"/>
              </w:rPr>
            </w:pPr>
          </w:p>
        </w:tc>
        <w:tc>
          <w:tcPr>
            <w:tcW w:w="1685" w:type="dxa"/>
            <w:noWrap w:val="0"/>
            <w:vAlign w:val="center"/>
          </w:tcPr>
          <w:p w14:paraId="24D2A91F">
            <w:pPr>
              <w:adjustRightInd w:val="0"/>
              <w:snapToGrid w:val="0"/>
              <w:spacing w:line="360" w:lineRule="auto"/>
              <w:ind w:left="-88" w:leftChars="-42"/>
              <w:jc w:val="center"/>
              <w:rPr>
                <w:rFonts w:hint="eastAsia" w:ascii="宋体" w:hAnsi="宋体" w:eastAsia="宋体" w:cs="宋体"/>
                <w:color w:val="auto"/>
                <w:szCs w:val="21"/>
              </w:rPr>
            </w:pPr>
          </w:p>
        </w:tc>
        <w:tc>
          <w:tcPr>
            <w:tcW w:w="1948" w:type="dxa"/>
            <w:noWrap w:val="0"/>
            <w:vAlign w:val="center"/>
          </w:tcPr>
          <w:p w14:paraId="30E2A25D">
            <w:pPr>
              <w:adjustRightInd w:val="0"/>
              <w:snapToGrid w:val="0"/>
              <w:spacing w:line="360" w:lineRule="auto"/>
              <w:ind w:left="-88" w:leftChars="-42"/>
              <w:jc w:val="center"/>
              <w:rPr>
                <w:rFonts w:hint="eastAsia" w:ascii="宋体" w:hAnsi="宋体" w:eastAsia="宋体" w:cs="宋体"/>
                <w:color w:val="auto"/>
                <w:szCs w:val="21"/>
              </w:rPr>
            </w:pPr>
          </w:p>
        </w:tc>
        <w:tc>
          <w:tcPr>
            <w:tcW w:w="2600" w:type="dxa"/>
            <w:noWrap w:val="0"/>
            <w:vAlign w:val="center"/>
          </w:tcPr>
          <w:p w14:paraId="431E934F">
            <w:pPr>
              <w:adjustRightInd w:val="0"/>
              <w:snapToGrid w:val="0"/>
              <w:spacing w:line="360" w:lineRule="auto"/>
              <w:ind w:left="-88" w:leftChars="-42"/>
              <w:jc w:val="center"/>
              <w:rPr>
                <w:rFonts w:hint="eastAsia" w:ascii="宋体" w:hAnsi="宋体" w:eastAsia="宋体" w:cs="宋体"/>
                <w:color w:val="auto"/>
                <w:szCs w:val="21"/>
              </w:rPr>
            </w:pPr>
          </w:p>
        </w:tc>
        <w:tc>
          <w:tcPr>
            <w:tcW w:w="1517" w:type="dxa"/>
            <w:noWrap w:val="0"/>
            <w:vAlign w:val="center"/>
          </w:tcPr>
          <w:p w14:paraId="289A86EC">
            <w:pPr>
              <w:adjustRightInd w:val="0"/>
              <w:snapToGrid w:val="0"/>
              <w:spacing w:line="360" w:lineRule="auto"/>
              <w:ind w:left="-88" w:leftChars="-42"/>
              <w:jc w:val="center"/>
              <w:rPr>
                <w:rFonts w:hint="eastAsia" w:ascii="宋体" w:hAnsi="宋体" w:eastAsia="宋体" w:cs="宋体"/>
                <w:color w:val="auto"/>
                <w:szCs w:val="21"/>
              </w:rPr>
            </w:pPr>
          </w:p>
        </w:tc>
        <w:tc>
          <w:tcPr>
            <w:tcW w:w="1119" w:type="dxa"/>
            <w:noWrap w:val="0"/>
            <w:vAlign w:val="center"/>
          </w:tcPr>
          <w:p w14:paraId="47B85968">
            <w:pPr>
              <w:adjustRightInd w:val="0"/>
              <w:snapToGrid w:val="0"/>
              <w:spacing w:line="360" w:lineRule="auto"/>
              <w:ind w:left="-88" w:leftChars="-42"/>
              <w:jc w:val="center"/>
              <w:rPr>
                <w:rFonts w:hint="eastAsia" w:ascii="宋体" w:hAnsi="宋体" w:eastAsia="宋体" w:cs="宋体"/>
                <w:color w:val="auto"/>
                <w:szCs w:val="21"/>
              </w:rPr>
            </w:pPr>
          </w:p>
        </w:tc>
      </w:tr>
    </w:tbl>
    <w:p w14:paraId="7EDF48D0">
      <w:pPr>
        <w:adjustRightInd w:val="0"/>
        <w:snapToGrid w:val="0"/>
        <w:spacing w:line="360" w:lineRule="auto"/>
        <w:ind w:left="-88" w:leftChars="-42"/>
        <w:rPr>
          <w:rFonts w:hint="eastAsia" w:ascii="宋体" w:hAnsi="宋体" w:eastAsia="宋体" w:cs="宋体"/>
          <w:color w:val="auto"/>
          <w:szCs w:val="21"/>
        </w:rPr>
      </w:pPr>
      <w:r>
        <w:rPr>
          <w:rFonts w:hint="eastAsia" w:ascii="宋体" w:hAnsi="宋体" w:eastAsia="宋体" w:cs="宋体"/>
          <w:color w:val="auto"/>
          <w:szCs w:val="21"/>
        </w:rPr>
        <w:t>说明：1、“响应与偏离”应注明“响应”或“偏离”。</w:t>
      </w:r>
    </w:p>
    <w:p w14:paraId="73D19A5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2、属磋商文件规定可能变动的内容在“说明”栏中注明。</w:t>
      </w:r>
    </w:p>
    <w:p w14:paraId="48DED5A6">
      <w:pPr>
        <w:pStyle w:val="26"/>
        <w:adjustRightInd w:val="0"/>
        <w:snapToGrid w:val="0"/>
        <w:spacing w:line="360" w:lineRule="auto"/>
        <w:outlineLvl w:val="0"/>
        <w:rPr>
          <w:rFonts w:hint="eastAsia" w:ascii="宋体" w:hAnsi="宋体" w:eastAsia="宋体" w:cs="宋体"/>
          <w:color w:val="auto"/>
          <w:sz w:val="21"/>
          <w:szCs w:val="21"/>
        </w:rPr>
      </w:pPr>
    </w:p>
    <w:p w14:paraId="4CF03A33">
      <w:pPr>
        <w:pStyle w:val="24"/>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供应商名称(盖单位章)：</w:t>
      </w:r>
    </w:p>
    <w:p w14:paraId="4C03E63B">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法定代表人或其委托代理人 (签字)：</w:t>
      </w:r>
      <w:r>
        <w:rPr>
          <w:rFonts w:hint="eastAsia" w:ascii="宋体" w:hAnsi="宋体" w:eastAsia="宋体" w:cs="宋体"/>
          <w:color w:val="auto"/>
          <w:szCs w:val="21"/>
          <w:u w:val="single"/>
        </w:rPr>
        <w:t xml:space="preserve">            </w:t>
      </w:r>
    </w:p>
    <w:p w14:paraId="15A0BA34">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363F008E">
      <w:pPr>
        <w:adjustRightInd w:val="0"/>
        <w:snapToGrid w:val="0"/>
        <w:spacing w:line="360" w:lineRule="auto"/>
        <w:rPr>
          <w:rFonts w:hint="eastAsia" w:ascii="宋体" w:hAnsi="宋体" w:eastAsia="宋体" w:cs="宋体"/>
          <w:color w:val="auto"/>
          <w:szCs w:val="21"/>
        </w:rPr>
      </w:pPr>
    </w:p>
    <w:p w14:paraId="012E2DE6">
      <w:p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color w:val="auto"/>
        </w:rPr>
        <w:br w:type="page"/>
      </w:r>
      <w:bookmarkStart w:id="76" w:name="_Toc11879758"/>
      <w:r>
        <w:rPr>
          <w:rFonts w:hint="eastAsia" w:ascii="宋体" w:hAnsi="宋体" w:eastAsia="宋体" w:cs="宋体"/>
          <w:b/>
          <w:color w:val="auto"/>
          <w:sz w:val="32"/>
          <w:szCs w:val="32"/>
        </w:rPr>
        <w:t>六、提供政府采购政策产品等证明材料</w:t>
      </w:r>
      <w:bookmarkEnd w:id="76"/>
    </w:p>
    <w:p w14:paraId="2CA63D4F">
      <w:pPr>
        <w:widowControl/>
        <w:adjustRightInd w:val="0"/>
        <w:snapToGrid w:val="0"/>
        <w:spacing w:line="360" w:lineRule="auto"/>
        <w:jc w:val="center"/>
        <w:rPr>
          <w:rFonts w:hint="eastAsia" w:ascii="宋体" w:hAnsi="宋体" w:eastAsia="宋体" w:cs="宋体"/>
          <w:color w:val="auto"/>
          <w:sz w:val="32"/>
          <w:szCs w:val="32"/>
        </w:rPr>
      </w:pPr>
    </w:p>
    <w:p w14:paraId="0BC73689">
      <w:pPr>
        <w:pStyle w:val="4"/>
        <w:jc w:val="both"/>
        <w:rPr>
          <w:rFonts w:hint="eastAsia" w:ascii="宋体" w:hAnsi="宋体" w:eastAsia="宋体" w:cs="宋体"/>
          <w:b/>
          <w:bCs w:val="0"/>
          <w:color w:val="auto"/>
          <w:kern w:val="2"/>
          <w:sz w:val="32"/>
          <w:szCs w:val="32"/>
          <w:lang w:val="en-US" w:eastAsia="zh-CN" w:bidi="ar-SA"/>
        </w:rPr>
      </w:pPr>
      <w:r>
        <w:rPr>
          <w:rFonts w:hint="eastAsia" w:ascii="宋体" w:hAnsi="宋体" w:eastAsia="宋体" w:cs="宋体"/>
          <w:color w:val="auto"/>
          <w:sz w:val="32"/>
          <w:szCs w:val="32"/>
        </w:rPr>
        <w:t>附件</w:t>
      </w:r>
      <w:r>
        <w:rPr>
          <w:rFonts w:hint="eastAsia" w:ascii="宋体" w:hAnsi="宋体" w:eastAsia="宋体" w:cs="宋体"/>
          <w:color w:val="auto"/>
          <w:sz w:val="32"/>
          <w:szCs w:val="32"/>
          <w:lang w:val="en-US" w:eastAsia="zh-CN"/>
        </w:rPr>
        <w:t xml:space="preserve">8   </w:t>
      </w:r>
      <w:r>
        <w:rPr>
          <w:rFonts w:hint="eastAsia" w:ascii="宋体" w:hAnsi="宋体" w:eastAsia="宋体" w:cs="宋体"/>
          <w:b/>
          <w:bCs w:val="0"/>
          <w:color w:val="auto"/>
          <w:kern w:val="2"/>
          <w:sz w:val="32"/>
          <w:szCs w:val="32"/>
          <w:lang w:val="en-US" w:eastAsia="zh-CN" w:bidi="ar-SA"/>
        </w:rPr>
        <w:t>提供政府采购政策产品等证明材料</w:t>
      </w:r>
    </w:p>
    <w:p w14:paraId="7A52A6B1">
      <w:pPr>
        <w:pStyle w:val="4"/>
        <w:jc w:val="center"/>
        <w:rPr>
          <w:rFonts w:hint="eastAsia" w:ascii="宋体" w:hAnsi="宋体" w:eastAsia="宋体" w:cs="宋体"/>
          <w:b/>
          <w:spacing w:val="6"/>
          <w:kern w:val="0"/>
          <w:sz w:val="30"/>
          <w:szCs w:val="30"/>
        </w:rPr>
      </w:pPr>
      <w:r>
        <w:rPr>
          <w:rFonts w:hint="eastAsia" w:ascii="宋体" w:hAnsi="宋体" w:eastAsia="宋体" w:cs="宋体"/>
          <w:b/>
          <w:bCs/>
          <w:spacing w:val="6"/>
          <w:kern w:val="0"/>
          <w:sz w:val="30"/>
          <w:szCs w:val="30"/>
        </w:rPr>
        <w:t>中小企业声明函</w:t>
      </w:r>
    </w:p>
    <w:p w14:paraId="6C2B8A53">
      <w:pPr>
        <w:widowControl/>
        <w:adjustRightInd w:val="0"/>
        <w:snapToGrid w:val="0"/>
        <w:spacing w:line="360" w:lineRule="auto"/>
        <w:ind w:firstLine="444" w:firstLineChars="200"/>
        <w:jc w:val="left"/>
        <w:rPr>
          <w:rFonts w:hint="eastAsia" w:ascii="宋体" w:hAnsi="宋体" w:eastAsia="宋体" w:cs="宋体"/>
          <w:spacing w:val="6"/>
          <w:kern w:val="0"/>
          <w:szCs w:val="21"/>
        </w:rPr>
      </w:pPr>
    </w:p>
    <w:p w14:paraId="3FC8BBBA">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 xml:space="preserve">    本公司（联合体）郑重声明，根据《政府采购促进中小企业发展管理办法》（财库﹝2020﹞46 号）的规定，本公司（联合体）参加 </w:t>
      </w:r>
      <w:r>
        <w:rPr>
          <w:rFonts w:hint="eastAsia" w:ascii="宋体" w:hAnsi="宋体" w:eastAsia="宋体" w:cs="宋体"/>
          <w:spacing w:val="6"/>
          <w:kern w:val="0"/>
          <w:szCs w:val="21"/>
          <w:u w:val="single"/>
        </w:rPr>
        <w:t>（单位名称）</w:t>
      </w:r>
      <w:r>
        <w:rPr>
          <w:rFonts w:hint="eastAsia" w:ascii="宋体" w:hAnsi="宋体" w:eastAsia="宋体" w:cs="宋体"/>
          <w:spacing w:val="6"/>
          <w:kern w:val="0"/>
          <w:szCs w:val="21"/>
        </w:rPr>
        <w:t xml:space="preserve"> 的</w:t>
      </w:r>
      <w:r>
        <w:rPr>
          <w:rFonts w:hint="eastAsia" w:ascii="宋体" w:hAnsi="宋体" w:eastAsia="宋体" w:cs="宋体"/>
          <w:spacing w:val="6"/>
          <w:kern w:val="0"/>
          <w:szCs w:val="21"/>
          <w:u w:val="single"/>
        </w:rPr>
        <w:t xml:space="preserve"> （项目名称） </w:t>
      </w:r>
      <w:r>
        <w:rPr>
          <w:rFonts w:hint="eastAsia" w:ascii="宋体" w:hAnsi="宋体" w:eastAsia="宋体" w:cs="宋体"/>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2C8865CE">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1.</w:t>
      </w:r>
      <w:r>
        <w:rPr>
          <w:rFonts w:hint="eastAsia" w:ascii="宋体" w:hAnsi="宋体" w:cs="宋体"/>
          <w:spacing w:val="6"/>
          <w:kern w:val="0"/>
          <w:szCs w:val="21"/>
          <w:u w:val="single"/>
          <w:lang w:eastAsia="zh-CN"/>
        </w:rPr>
        <w:t>岳阳县第一中学学生宿舍及教学楼建设项目（一期）代建制服务</w:t>
      </w:r>
      <w:r>
        <w:rPr>
          <w:rFonts w:hint="eastAsia" w:ascii="宋体" w:hAnsi="宋体" w:eastAsia="宋体" w:cs="宋体"/>
          <w:spacing w:val="6"/>
          <w:kern w:val="0"/>
          <w:szCs w:val="21"/>
        </w:rPr>
        <w:t xml:space="preserve"> ，属于</w:t>
      </w:r>
      <w:r>
        <w:rPr>
          <w:rFonts w:hint="eastAsia" w:ascii="宋体" w:hAnsi="宋体" w:eastAsia="宋体" w:cs="宋体"/>
          <w:spacing w:val="6"/>
          <w:kern w:val="0"/>
          <w:szCs w:val="21"/>
          <w:u w:val="single"/>
        </w:rPr>
        <w:t xml:space="preserve"> （采购文件中明确的所属行业） </w:t>
      </w:r>
      <w:r>
        <w:rPr>
          <w:rFonts w:hint="eastAsia" w:ascii="宋体" w:hAnsi="宋体" w:eastAsia="宋体" w:cs="宋体"/>
          <w:spacing w:val="6"/>
          <w:kern w:val="0"/>
          <w:szCs w:val="21"/>
        </w:rPr>
        <w:t>；承建（承接）企业为</w:t>
      </w:r>
      <w:r>
        <w:rPr>
          <w:rFonts w:hint="eastAsia" w:ascii="宋体" w:hAnsi="宋体" w:eastAsia="宋体" w:cs="宋体"/>
          <w:spacing w:val="6"/>
          <w:kern w:val="0"/>
          <w:szCs w:val="21"/>
          <w:u w:val="single"/>
        </w:rPr>
        <w:t xml:space="preserve"> （企业名称） </w:t>
      </w:r>
      <w:r>
        <w:rPr>
          <w:rFonts w:hint="eastAsia" w:ascii="宋体" w:hAnsi="宋体" w:eastAsia="宋体" w:cs="宋体"/>
          <w:spacing w:val="6"/>
          <w:kern w:val="0"/>
          <w:szCs w:val="21"/>
        </w:rPr>
        <w:t>，从业人员人，营业收入为万元，资产总额为万元，属于</w:t>
      </w:r>
      <w:r>
        <w:rPr>
          <w:rFonts w:hint="eastAsia" w:ascii="宋体" w:hAnsi="宋体" w:eastAsia="宋体" w:cs="宋体"/>
          <w:spacing w:val="6"/>
          <w:kern w:val="0"/>
          <w:szCs w:val="21"/>
          <w:u w:val="single"/>
        </w:rPr>
        <w:t xml:space="preserve"> （中型企业、小型企业、微型企业） </w:t>
      </w:r>
      <w:r>
        <w:rPr>
          <w:rFonts w:hint="eastAsia" w:ascii="宋体" w:hAnsi="宋体" w:eastAsia="宋体" w:cs="宋体"/>
          <w:spacing w:val="6"/>
          <w:kern w:val="0"/>
          <w:szCs w:val="21"/>
        </w:rPr>
        <w:t>；</w:t>
      </w:r>
    </w:p>
    <w:p w14:paraId="245AD00D">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2.</w:t>
      </w:r>
      <w:r>
        <w:rPr>
          <w:rFonts w:hint="eastAsia" w:ascii="宋体" w:hAnsi="宋体" w:eastAsia="宋体" w:cs="宋体"/>
          <w:spacing w:val="6"/>
          <w:kern w:val="0"/>
          <w:szCs w:val="21"/>
          <w:u w:val="single"/>
          <w:lang w:eastAsia="zh-CN"/>
        </w:rPr>
        <w:t>（标的名称）</w:t>
      </w:r>
      <w:r>
        <w:rPr>
          <w:rFonts w:hint="eastAsia" w:ascii="宋体" w:hAnsi="宋体" w:eastAsia="宋体" w:cs="宋体"/>
          <w:spacing w:val="6"/>
          <w:kern w:val="0"/>
          <w:szCs w:val="21"/>
        </w:rPr>
        <w:t>，属于</w:t>
      </w:r>
      <w:r>
        <w:rPr>
          <w:rFonts w:hint="eastAsia" w:ascii="宋体" w:hAnsi="宋体" w:eastAsia="宋体" w:cs="宋体"/>
          <w:spacing w:val="6"/>
          <w:kern w:val="0"/>
          <w:szCs w:val="21"/>
          <w:u w:val="single"/>
        </w:rPr>
        <w:t>（采购文件中明确的所属行业）</w:t>
      </w:r>
      <w:r>
        <w:rPr>
          <w:rFonts w:hint="eastAsia" w:ascii="宋体" w:hAnsi="宋体" w:eastAsia="宋体" w:cs="宋体"/>
          <w:spacing w:val="6"/>
          <w:kern w:val="0"/>
          <w:szCs w:val="21"/>
        </w:rPr>
        <w:t>；承建（承接）企业为</w:t>
      </w:r>
      <w:r>
        <w:rPr>
          <w:rFonts w:hint="eastAsia" w:ascii="宋体" w:hAnsi="宋体" w:eastAsia="宋体" w:cs="宋体"/>
          <w:spacing w:val="6"/>
          <w:kern w:val="0"/>
          <w:szCs w:val="21"/>
          <w:u w:val="single"/>
        </w:rPr>
        <w:t>（企业名称）</w:t>
      </w:r>
      <w:r>
        <w:rPr>
          <w:rFonts w:hint="eastAsia" w:ascii="宋体" w:hAnsi="宋体" w:eastAsia="宋体" w:cs="宋体"/>
          <w:spacing w:val="6"/>
          <w:kern w:val="0"/>
          <w:szCs w:val="21"/>
        </w:rPr>
        <w:t xml:space="preserve"> ，从业人员人，营业收入为万元，资产总额为万元，属于</w:t>
      </w:r>
      <w:r>
        <w:rPr>
          <w:rFonts w:hint="eastAsia" w:ascii="宋体" w:hAnsi="宋体" w:eastAsia="宋体" w:cs="宋体"/>
          <w:spacing w:val="6"/>
          <w:kern w:val="0"/>
          <w:szCs w:val="21"/>
          <w:u w:val="single"/>
        </w:rPr>
        <w:t>（中型企业、小型企业、微型企业）</w:t>
      </w:r>
      <w:r>
        <w:rPr>
          <w:rFonts w:hint="eastAsia" w:ascii="宋体" w:hAnsi="宋体" w:eastAsia="宋体" w:cs="宋体"/>
          <w:spacing w:val="6"/>
          <w:kern w:val="0"/>
          <w:szCs w:val="21"/>
        </w:rPr>
        <w:t>；</w:t>
      </w:r>
    </w:p>
    <w:p w14:paraId="47800EB3">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w:t>
      </w:r>
    </w:p>
    <w:p w14:paraId="6941FEF8">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以上企业，不属于大企业的分支机构，不存在控股股东为大企业的情形，也不存在与大企业的负责人为同一人的情形。</w:t>
      </w:r>
    </w:p>
    <w:p w14:paraId="5D1108A6">
      <w:pPr>
        <w:widowControl/>
        <w:adjustRightInd w:val="0"/>
        <w:snapToGrid w:val="0"/>
        <w:spacing w:line="360" w:lineRule="auto"/>
        <w:ind w:firstLine="444" w:firstLineChars="200"/>
        <w:jc w:val="left"/>
        <w:rPr>
          <w:rFonts w:hint="eastAsia" w:ascii="宋体" w:hAnsi="宋体" w:eastAsia="宋体" w:cs="宋体"/>
          <w:spacing w:val="6"/>
          <w:kern w:val="0"/>
          <w:szCs w:val="21"/>
        </w:rPr>
      </w:pPr>
      <w:r>
        <w:rPr>
          <w:rFonts w:hint="eastAsia" w:ascii="宋体" w:hAnsi="宋体" w:eastAsia="宋体" w:cs="宋体"/>
          <w:spacing w:val="6"/>
          <w:kern w:val="0"/>
          <w:szCs w:val="21"/>
        </w:rPr>
        <w:t>本企业对上述声明内容的真实性负责。如有虚假，将依法承担相应责任。</w:t>
      </w:r>
    </w:p>
    <w:p w14:paraId="2F604C5D">
      <w:pPr>
        <w:widowControl/>
        <w:adjustRightInd w:val="0"/>
        <w:snapToGrid w:val="0"/>
        <w:spacing w:line="360" w:lineRule="auto"/>
        <w:ind w:firstLine="444" w:firstLineChars="200"/>
        <w:jc w:val="left"/>
        <w:rPr>
          <w:rFonts w:hint="eastAsia" w:ascii="宋体" w:hAnsi="宋体" w:eastAsia="宋体" w:cs="宋体"/>
          <w:spacing w:val="6"/>
          <w:kern w:val="0"/>
          <w:szCs w:val="21"/>
        </w:rPr>
      </w:pPr>
    </w:p>
    <w:p w14:paraId="3A0C70A8">
      <w:pPr>
        <w:widowControl/>
        <w:adjustRightInd w:val="0"/>
        <w:snapToGrid w:val="0"/>
        <w:spacing w:line="360" w:lineRule="auto"/>
        <w:ind w:firstLine="444" w:firstLineChars="200"/>
        <w:jc w:val="left"/>
        <w:rPr>
          <w:rFonts w:hint="eastAsia" w:ascii="宋体" w:hAnsi="宋体" w:eastAsia="宋体" w:cs="宋体"/>
          <w:spacing w:val="6"/>
          <w:kern w:val="0"/>
          <w:szCs w:val="21"/>
        </w:rPr>
      </w:pPr>
    </w:p>
    <w:p w14:paraId="685F70B9">
      <w:pPr>
        <w:widowControl/>
        <w:adjustRightInd w:val="0"/>
        <w:snapToGrid w:val="0"/>
        <w:spacing w:line="360" w:lineRule="auto"/>
        <w:ind w:firstLine="444" w:firstLineChars="200"/>
        <w:jc w:val="left"/>
        <w:rPr>
          <w:rFonts w:hint="eastAsia" w:ascii="宋体" w:hAnsi="宋体" w:eastAsia="宋体" w:cs="宋体"/>
          <w:spacing w:val="6"/>
          <w:kern w:val="0"/>
          <w:szCs w:val="21"/>
        </w:rPr>
      </w:pPr>
    </w:p>
    <w:p w14:paraId="34FD9505">
      <w:pPr>
        <w:widowControl/>
        <w:adjustRightInd w:val="0"/>
        <w:snapToGrid w:val="0"/>
        <w:spacing w:line="360" w:lineRule="auto"/>
        <w:ind w:firstLine="444" w:firstLineChars="200"/>
        <w:jc w:val="right"/>
        <w:rPr>
          <w:rFonts w:hint="eastAsia" w:ascii="宋体" w:hAnsi="宋体" w:eastAsia="宋体" w:cs="宋体"/>
          <w:spacing w:val="6"/>
          <w:kern w:val="0"/>
          <w:szCs w:val="21"/>
          <w:u w:val="single"/>
        </w:rPr>
      </w:pPr>
      <w:r>
        <w:rPr>
          <w:rFonts w:hint="eastAsia" w:ascii="宋体" w:hAnsi="宋体" w:eastAsia="宋体" w:cs="宋体"/>
          <w:spacing w:val="6"/>
          <w:kern w:val="0"/>
          <w:szCs w:val="21"/>
        </w:rPr>
        <w:t xml:space="preserve">                      供应商名称（盖单位公章）：</w:t>
      </w:r>
    </w:p>
    <w:p w14:paraId="40A9B5E7">
      <w:pPr>
        <w:spacing w:line="360" w:lineRule="auto"/>
        <w:jc w:val="right"/>
        <w:rPr>
          <w:rFonts w:hint="eastAsia" w:ascii="宋体" w:hAnsi="宋体" w:eastAsia="宋体" w:cs="宋体"/>
        </w:rPr>
      </w:pPr>
      <w:r>
        <w:rPr>
          <w:rFonts w:hint="eastAsia" w:ascii="宋体" w:hAnsi="宋体" w:eastAsia="宋体" w:cs="宋体"/>
          <w:spacing w:val="6"/>
          <w:kern w:val="0"/>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日</w:t>
      </w:r>
    </w:p>
    <w:p w14:paraId="6E6F0F5D">
      <w:pPr>
        <w:adjustRightInd w:val="0"/>
        <w:snapToGrid w:val="0"/>
        <w:spacing w:before="50" w:line="360" w:lineRule="auto"/>
        <w:jc w:val="center"/>
        <w:rPr>
          <w:rFonts w:hint="eastAsia" w:ascii="宋体" w:hAnsi="宋体" w:eastAsia="宋体" w:cs="宋体"/>
          <w:b/>
          <w:color w:val="auto"/>
          <w:sz w:val="28"/>
          <w:szCs w:val="28"/>
        </w:rPr>
      </w:pPr>
    </w:p>
    <w:p w14:paraId="7C2F7624">
      <w:pPr>
        <w:spacing w:line="360" w:lineRule="auto"/>
        <w:jc w:val="center"/>
        <w:outlineLvl w:val="1"/>
        <w:rPr>
          <w:rFonts w:hint="eastAsia" w:ascii="宋体" w:hAnsi="宋体" w:eastAsia="宋体" w:cs="宋体"/>
          <w:b/>
          <w:bCs/>
          <w:color w:val="auto"/>
          <w:sz w:val="32"/>
          <w:szCs w:val="32"/>
        </w:rPr>
      </w:pPr>
    </w:p>
    <w:p w14:paraId="50282EB1">
      <w:pPr>
        <w:spacing w:line="360" w:lineRule="auto"/>
        <w:jc w:val="center"/>
        <w:outlineLvl w:val="1"/>
        <w:rPr>
          <w:rFonts w:hint="eastAsia" w:ascii="宋体" w:hAnsi="宋体" w:eastAsia="宋体" w:cs="宋体"/>
          <w:b/>
          <w:bCs/>
          <w:color w:val="auto"/>
          <w:sz w:val="32"/>
          <w:szCs w:val="32"/>
        </w:rPr>
      </w:pPr>
    </w:p>
    <w:p w14:paraId="33D4AE5F">
      <w:pPr>
        <w:spacing w:line="360" w:lineRule="auto"/>
        <w:jc w:val="center"/>
        <w:outlineLvl w:val="1"/>
        <w:rPr>
          <w:rFonts w:hint="eastAsia" w:ascii="宋体" w:hAnsi="宋体" w:eastAsia="宋体" w:cs="宋体"/>
          <w:b/>
          <w:bCs/>
          <w:color w:val="auto"/>
          <w:sz w:val="32"/>
          <w:szCs w:val="32"/>
        </w:rPr>
      </w:pPr>
    </w:p>
    <w:p w14:paraId="7BB764DD">
      <w:pPr>
        <w:spacing w:line="360" w:lineRule="auto"/>
        <w:jc w:val="center"/>
        <w:outlineLvl w:val="1"/>
        <w:rPr>
          <w:rFonts w:hint="eastAsia" w:ascii="宋体" w:hAnsi="宋体" w:eastAsia="宋体" w:cs="宋体"/>
          <w:b/>
          <w:bCs/>
          <w:color w:val="auto"/>
          <w:sz w:val="32"/>
          <w:szCs w:val="32"/>
        </w:rPr>
      </w:pPr>
    </w:p>
    <w:p w14:paraId="47F49847">
      <w:pPr>
        <w:adjustRightInd w:val="0"/>
        <w:snapToGrid w:val="0"/>
        <w:spacing w:line="360" w:lineRule="auto"/>
        <w:jc w:val="both"/>
        <w:rPr>
          <w:rFonts w:hint="eastAsia" w:ascii="宋体" w:hAnsi="宋体" w:eastAsia="宋体" w:cs="宋体"/>
          <w:b/>
          <w:color w:val="auto"/>
          <w:spacing w:val="6"/>
          <w:sz w:val="28"/>
          <w:szCs w:val="28"/>
          <w:highlight w:val="none"/>
        </w:rPr>
      </w:pPr>
    </w:p>
    <w:p w14:paraId="351BD635">
      <w:pPr>
        <w:pStyle w:val="62"/>
        <w:ind w:left="0" w:leftChars="0" w:firstLine="0" w:firstLineChars="0"/>
        <w:rPr>
          <w:rFonts w:hint="eastAsia" w:ascii="宋体" w:hAnsi="宋体" w:eastAsia="宋体" w:cs="宋体"/>
          <w:b/>
          <w:color w:val="auto"/>
          <w:spacing w:val="6"/>
          <w:sz w:val="28"/>
          <w:szCs w:val="28"/>
          <w:highlight w:val="none"/>
        </w:rPr>
      </w:pPr>
    </w:p>
    <w:p w14:paraId="5EF56730">
      <w:pPr>
        <w:adjustRightInd w:val="0"/>
        <w:snapToGrid w:val="0"/>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32F3A1E8">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(不属于残疾人福利性单位的无需填写)</w:t>
      </w:r>
    </w:p>
    <w:p w14:paraId="17C17C80">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6FFE7BB4">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CFBA103">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4637A309">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627C9918">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0C82D39A">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单位名称（盖章）：</w:t>
      </w:r>
    </w:p>
    <w:p w14:paraId="2A90C947">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日  期：</w:t>
      </w:r>
    </w:p>
    <w:p w14:paraId="6C1AE621">
      <w:pPr>
        <w:widowControl/>
        <w:adjustRightInd w:val="0"/>
        <w:snapToGrid w:val="0"/>
        <w:spacing w:line="360" w:lineRule="auto"/>
        <w:jc w:val="left"/>
        <w:rPr>
          <w:rFonts w:hint="eastAsia" w:ascii="宋体" w:hAnsi="宋体" w:eastAsia="宋体" w:cs="宋体"/>
          <w:color w:val="auto"/>
          <w:kern w:val="0"/>
          <w:szCs w:val="21"/>
          <w:highlight w:val="none"/>
        </w:rPr>
      </w:pPr>
    </w:p>
    <w:p w14:paraId="42C5E07C">
      <w:pPr>
        <w:keepNext/>
        <w:keepLines/>
        <w:spacing w:before="260" w:after="260" w:line="416" w:lineRule="auto"/>
        <w:outlineLvl w:val="2"/>
        <w:rPr>
          <w:rFonts w:hint="eastAsia" w:ascii="宋体" w:hAnsi="宋体" w:eastAsia="宋体" w:cs="宋体"/>
          <w:b/>
          <w:bCs/>
          <w:color w:val="auto"/>
          <w:szCs w:val="21"/>
          <w:highlight w:val="none"/>
        </w:rPr>
      </w:pPr>
    </w:p>
    <w:p w14:paraId="1290F6B1">
      <w:pPr>
        <w:adjustRightInd w:val="0"/>
        <w:snapToGrid w:val="0"/>
        <w:spacing w:line="360" w:lineRule="auto"/>
        <w:jc w:val="center"/>
        <w:rPr>
          <w:rFonts w:hint="eastAsia" w:ascii="宋体" w:hAnsi="宋体" w:eastAsia="宋体" w:cs="宋体"/>
          <w:b/>
          <w:color w:val="auto"/>
          <w:sz w:val="28"/>
          <w:szCs w:val="28"/>
          <w:highlight w:val="none"/>
        </w:rPr>
      </w:pPr>
    </w:p>
    <w:p w14:paraId="6B745151">
      <w:pPr>
        <w:adjustRightInd w:val="0"/>
        <w:snapToGrid w:val="0"/>
        <w:spacing w:line="360" w:lineRule="auto"/>
        <w:jc w:val="center"/>
        <w:rPr>
          <w:rFonts w:hint="eastAsia" w:ascii="宋体" w:hAnsi="宋体" w:eastAsia="宋体" w:cs="宋体"/>
          <w:b/>
          <w:color w:val="auto"/>
          <w:sz w:val="28"/>
          <w:szCs w:val="28"/>
          <w:highlight w:val="none"/>
        </w:rPr>
      </w:pPr>
    </w:p>
    <w:p w14:paraId="311E8844">
      <w:pPr>
        <w:adjustRightInd w:val="0"/>
        <w:snapToGrid w:val="0"/>
        <w:spacing w:line="360" w:lineRule="auto"/>
        <w:jc w:val="center"/>
        <w:rPr>
          <w:rFonts w:hint="eastAsia" w:ascii="宋体" w:hAnsi="宋体" w:eastAsia="宋体" w:cs="宋体"/>
          <w:b/>
          <w:color w:val="auto"/>
          <w:sz w:val="28"/>
          <w:szCs w:val="28"/>
          <w:highlight w:val="none"/>
        </w:rPr>
      </w:pPr>
    </w:p>
    <w:p w14:paraId="251E1A07">
      <w:pPr>
        <w:adjustRightInd w:val="0"/>
        <w:snapToGrid w:val="0"/>
        <w:spacing w:line="360" w:lineRule="auto"/>
        <w:jc w:val="center"/>
        <w:rPr>
          <w:rFonts w:hint="eastAsia" w:ascii="宋体" w:hAnsi="宋体" w:eastAsia="宋体" w:cs="宋体"/>
          <w:b/>
          <w:color w:val="auto"/>
          <w:sz w:val="28"/>
          <w:szCs w:val="28"/>
          <w:highlight w:val="none"/>
        </w:rPr>
      </w:pPr>
    </w:p>
    <w:p w14:paraId="13654A8C">
      <w:pPr>
        <w:adjustRightInd w:val="0"/>
        <w:snapToGrid w:val="0"/>
        <w:spacing w:line="360" w:lineRule="auto"/>
        <w:jc w:val="center"/>
        <w:rPr>
          <w:rFonts w:hint="eastAsia" w:ascii="宋体" w:hAnsi="宋体" w:eastAsia="宋体" w:cs="宋体"/>
          <w:b/>
          <w:color w:val="auto"/>
          <w:sz w:val="28"/>
          <w:szCs w:val="28"/>
          <w:highlight w:val="none"/>
        </w:rPr>
      </w:pPr>
    </w:p>
    <w:p w14:paraId="580DB4F3">
      <w:pPr>
        <w:adjustRightInd w:val="0"/>
        <w:snapToGrid w:val="0"/>
        <w:spacing w:line="360" w:lineRule="auto"/>
        <w:jc w:val="center"/>
        <w:rPr>
          <w:rFonts w:hint="eastAsia" w:ascii="宋体" w:hAnsi="宋体" w:eastAsia="宋体" w:cs="宋体"/>
          <w:b/>
          <w:color w:val="auto"/>
          <w:sz w:val="28"/>
          <w:szCs w:val="28"/>
          <w:highlight w:val="none"/>
        </w:rPr>
      </w:pPr>
    </w:p>
    <w:p w14:paraId="4CA4340F">
      <w:pPr>
        <w:adjustRightInd w:val="0"/>
        <w:snapToGrid w:val="0"/>
        <w:spacing w:line="360" w:lineRule="auto"/>
        <w:jc w:val="center"/>
        <w:rPr>
          <w:rFonts w:hint="eastAsia" w:ascii="宋体" w:hAnsi="宋体" w:eastAsia="宋体" w:cs="宋体"/>
          <w:b/>
          <w:color w:val="auto"/>
          <w:sz w:val="28"/>
          <w:szCs w:val="28"/>
          <w:highlight w:val="none"/>
        </w:rPr>
      </w:pPr>
    </w:p>
    <w:p w14:paraId="644E10CA">
      <w:pPr>
        <w:adjustRightInd w:val="0"/>
        <w:snapToGrid w:val="0"/>
        <w:spacing w:line="360" w:lineRule="auto"/>
        <w:jc w:val="center"/>
        <w:rPr>
          <w:rFonts w:hint="eastAsia" w:ascii="宋体" w:hAnsi="宋体" w:eastAsia="宋体" w:cs="宋体"/>
          <w:b/>
          <w:color w:val="auto"/>
          <w:sz w:val="28"/>
          <w:szCs w:val="28"/>
          <w:highlight w:val="none"/>
        </w:rPr>
      </w:pPr>
    </w:p>
    <w:p w14:paraId="685191AF">
      <w:pPr>
        <w:adjustRightInd w:val="0"/>
        <w:snapToGrid w:val="0"/>
        <w:spacing w:line="360" w:lineRule="auto"/>
        <w:jc w:val="center"/>
        <w:rPr>
          <w:rFonts w:hint="eastAsia" w:ascii="宋体" w:hAnsi="宋体" w:eastAsia="宋体" w:cs="宋体"/>
          <w:b/>
          <w:color w:val="auto"/>
          <w:sz w:val="28"/>
          <w:szCs w:val="28"/>
          <w:highlight w:val="none"/>
        </w:rPr>
      </w:pPr>
    </w:p>
    <w:p w14:paraId="11954234">
      <w:pPr>
        <w:adjustRightInd w:val="0"/>
        <w:snapToGrid w:val="0"/>
        <w:spacing w:line="360" w:lineRule="auto"/>
        <w:jc w:val="center"/>
        <w:rPr>
          <w:rFonts w:hint="eastAsia" w:ascii="宋体" w:hAnsi="宋体" w:eastAsia="宋体" w:cs="宋体"/>
          <w:b/>
          <w:color w:val="auto"/>
          <w:sz w:val="28"/>
          <w:szCs w:val="28"/>
          <w:highlight w:val="none"/>
        </w:rPr>
      </w:pPr>
    </w:p>
    <w:p w14:paraId="6D610D75">
      <w:pPr>
        <w:adjustRightInd w:val="0"/>
        <w:snapToGrid w:val="0"/>
        <w:spacing w:line="360" w:lineRule="auto"/>
        <w:jc w:val="center"/>
        <w:rPr>
          <w:rFonts w:hint="eastAsia" w:ascii="宋体" w:hAnsi="宋体" w:eastAsia="宋体" w:cs="宋体"/>
          <w:b/>
          <w:color w:val="auto"/>
          <w:sz w:val="28"/>
          <w:szCs w:val="28"/>
          <w:highlight w:val="none"/>
        </w:rPr>
      </w:pPr>
    </w:p>
    <w:p w14:paraId="69FCCDF7">
      <w:pPr>
        <w:adjustRightInd w:val="0"/>
        <w:snapToGrid w:val="0"/>
        <w:spacing w:line="360" w:lineRule="auto"/>
        <w:jc w:val="center"/>
        <w:rPr>
          <w:rFonts w:hint="eastAsia" w:ascii="宋体" w:hAnsi="宋体" w:eastAsia="宋体" w:cs="宋体"/>
          <w:b/>
          <w:color w:val="auto"/>
          <w:sz w:val="28"/>
          <w:szCs w:val="28"/>
          <w:highlight w:val="none"/>
        </w:rPr>
      </w:pPr>
    </w:p>
    <w:p w14:paraId="47080106">
      <w:pPr>
        <w:adjustRightInd w:val="0"/>
        <w:snapToGrid w:val="0"/>
        <w:spacing w:line="360" w:lineRule="auto"/>
        <w:jc w:val="center"/>
        <w:rPr>
          <w:rFonts w:hint="eastAsia" w:ascii="宋体" w:hAnsi="宋体" w:eastAsia="宋体" w:cs="宋体"/>
          <w:b/>
          <w:color w:val="auto"/>
          <w:sz w:val="28"/>
          <w:szCs w:val="28"/>
          <w:highlight w:val="none"/>
        </w:rPr>
      </w:pPr>
    </w:p>
    <w:p w14:paraId="09EA6C6C">
      <w:pPr>
        <w:adjustRightInd w:val="0"/>
        <w:snapToGrid w:val="0"/>
        <w:spacing w:line="360" w:lineRule="auto"/>
        <w:jc w:val="center"/>
        <w:rPr>
          <w:rFonts w:hint="eastAsia" w:ascii="宋体" w:hAnsi="宋体" w:eastAsia="宋体" w:cs="宋体"/>
          <w:b/>
          <w:color w:val="auto"/>
          <w:sz w:val="28"/>
          <w:szCs w:val="28"/>
          <w:highlight w:val="none"/>
        </w:rPr>
      </w:pPr>
    </w:p>
    <w:p w14:paraId="3FDB45E7">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57B34706">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(不属于监狱企业的无需提供)</w:t>
      </w:r>
    </w:p>
    <w:p w14:paraId="6F0C3488">
      <w:pPr>
        <w:adjustRightInd w:val="0"/>
        <w:snapToGrid w:val="0"/>
        <w:spacing w:line="360" w:lineRule="auto"/>
        <w:rPr>
          <w:rFonts w:hint="eastAsia" w:ascii="宋体" w:hAnsi="宋体" w:eastAsia="宋体" w:cs="宋体"/>
          <w:color w:val="auto"/>
          <w:szCs w:val="21"/>
          <w:highlight w:val="none"/>
        </w:rPr>
      </w:pPr>
    </w:p>
    <w:p w14:paraId="64AD7CE8">
      <w:pPr>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0CADB711">
      <w:pPr>
        <w:adjustRightInd w:val="0"/>
        <w:snapToGrid w:val="0"/>
        <w:spacing w:before="50" w:line="360" w:lineRule="auto"/>
        <w:jc w:val="both"/>
        <w:rPr>
          <w:rFonts w:hint="eastAsia" w:ascii="宋体" w:hAnsi="宋体" w:eastAsia="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2520030E">
      <w:pPr>
        <w:adjustRightInd w:val="0"/>
        <w:snapToGrid w:val="0"/>
        <w:spacing w:line="360" w:lineRule="auto"/>
        <w:ind w:right="420"/>
        <w:jc w:val="center"/>
        <w:outlineLvl w:val="2"/>
        <w:rPr>
          <w:rFonts w:hint="eastAsia" w:ascii="宋体" w:hAnsi="宋体" w:eastAsia="宋体" w:cs="宋体"/>
          <w:b/>
          <w:bCs/>
          <w:color w:val="auto"/>
          <w:sz w:val="28"/>
          <w:szCs w:val="28"/>
          <w:highlight w:val="none"/>
        </w:rPr>
      </w:pPr>
      <w:bookmarkStart w:id="77" w:name="_Toc80861940"/>
      <w:bookmarkStart w:id="78" w:name="_Toc28981"/>
      <w:r>
        <w:rPr>
          <w:rFonts w:hint="eastAsia" w:ascii="宋体" w:hAnsi="宋体" w:eastAsia="宋体" w:cs="宋体"/>
          <w:b/>
          <w:bCs/>
          <w:color w:val="auto"/>
          <w:sz w:val="28"/>
          <w:szCs w:val="28"/>
          <w:highlight w:val="none"/>
        </w:rPr>
        <w:t>提供节能产品、环境标志产品清单</w:t>
      </w:r>
      <w:bookmarkEnd w:id="77"/>
      <w:bookmarkEnd w:id="78"/>
    </w:p>
    <w:p w14:paraId="2B58BF39">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采购代理机构编号: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4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60642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0B70797B">
            <w:pPr>
              <w:widowControl/>
              <w:spacing w:line="320" w:lineRule="exact"/>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本公司对本表的真实性负责。如有虚假，将依法承担相应责任。</w:t>
            </w:r>
          </w:p>
        </w:tc>
      </w:tr>
      <w:tr w14:paraId="1AAC24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46C86BC0">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noWrap w:val="0"/>
            <w:vAlign w:val="center"/>
          </w:tcPr>
          <w:p w14:paraId="44B1CEBD">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709" w:type="dxa"/>
            <w:noWrap w:val="0"/>
            <w:vAlign w:val="center"/>
          </w:tcPr>
          <w:p w14:paraId="6832F82E">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850" w:type="dxa"/>
            <w:noWrap w:val="0"/>
            <w:vAlign w:val="center"/>
          </w:tcPr>
          <w:p w14:paraId="1B46D1F5">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993" w:type="dxa"/>
            <w:noWrap w:val="0"/>
            <w:vAlign w:val="center"/>
          </w:tcPr>
          <w:p w14:paraId="6AF4FFB1">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984" w:type="dxa"/>
            <w:noWrap w:val="0"/>
            <w:vAlign w:val="center"/>
          </w:tcPr>
          <w:p w14:paraId="4AD5F3EC">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1843" w:type="dxa"/>
            <w:noWrap w:val="0"/>
            <w:vAlign w:val="center"/>
          </w:tcPr>
          <w:p w14:paraId="464D7021">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r>
      <w:tr w14:paraId="7DF83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25518437">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noWrap w:val="0"/>
            <w:vAlign w:val="center"/>
          </w:tcPr>
          <w:p w14:paraId="07BC52CC">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709" w:type="dxa"/>
            <w:noWrap w:val="0"/>
            <w:vAlign w:val="center"/>
          </w:tcPr>
          <w:p w14:paraId="2136C38D">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850" w:type="dxa"/>
            <w:noWrap w:val="0"/>
            <w:vAlign w:val="center"/>
          </w:tcPr>
          <w:p w14:paraId="360A2B4D">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单价</w:t>
            </w:r>
          </w:p>
        </w:tc>
        <w:tc>
          <w:tcPr>
            <w:tcW w:w="993" w:type="dxa"/>
            <w:noWrap w:val="0"/>
            <w:vAlign w:val="center"/>
          </w:tcPr>
          <w:p w14:paraId="7A5C6AB0">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总额</w:t>
            </w:r>
          </w:p>
        </w:tc>
        <w:tc>
          <w:tcPr>
            <w:tcW w:w="1984" w:type="dxa"/>
            <w:noWrap w:val="0"/>
            <w:vAlign w:val="center"/>
          </w:tcPr>
          <w:p w14:paraId="228CB18C">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noWrap w:val="0"/>
            <w:vAlign w:val="center"/>
          </w:tcPr>
          <w:p w14:paraId="4A200A51">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6CD0FA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976401B">
            <w:pPr>
              <w:spacing w:line="3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065AEA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A44CC51">
            <w:pPr>
              <w:spacing w:line="320" w:lineRule="exact"/>
              <w:jc w:val="center"/>
              <w:rPr>
                <w:rFonts w:hint="eastAsia" w:ascii="宋体" w:hAnsi="宋体" w:eastAsia="宋体" w:cs="宋体"/>
                <w:b/>
                <w:color w:val="auto"/>
                <w:szCs w:val="21"/>
                <w:highlight w:val="none"/>
              </w:rPr>
            </w:pPr>
          </w:p>
        </w:tc>
        <w:tc>
          <w:tcPr>
            <w:tcW w:w="1739" w:type="dxa"/>
            <w:noWrap w:val="0"/>
            <w:vAlign w:val="center"/>
          </w:tcPr>
          <w:p w14:paraId="5DCD06FC">
            <w:pPr>
              <w:spacing w:line="320" w:lineRule="exact"/>
              <w:jc w:val="center"/>
              <w:rPr>
                <w:rFonts w:hint="eastAsia" w:ascii="宋体" w:hAnsi="宋体" w:eastAsia="宋体" w:cs="宋体"/>
                <w:b/>
                <w:color w:val="auto"/>
                <w:szCs w:val="21"/>
                <w:highlight w:val="none"/>
              </w:rPr>
            </w:pPr>
          </w:p>
        </w:tc>
        <w:tc>
          <w:tcPr>
            <w:tcW w:w="709" w:type="dxa"/>
            <w:noWrap w:val="0"/>
            <w:vAlign w:val="center"/>
          </w:tcPr>
          <w:p w14:paraId="628F5552">
            <w:pPr>
              <w:spacing w:line="320" w:lineRule="exact"/>
              <w:jc w:val="center"/>
              <w:rPr>
                <w:rFonts w:hint="eastAsia" w:ascii="宋体" w:hAnsi="宋体" w:eastAsia="宋体" w:cs="宋体"/>
                <w:b/>
                <w:color w:val="auto"/>
                <w:szCs w:val="21"/>
                <w:highlight w:val="none"/>
              </w:rPr>
            </w:pPr>
          </w:p>
        </w:tc>
        <w:tc>
          <w:tcPr>
            <w:tcW w:w="850" w:type="dxa"/>
            <w:noWrap w:val="0"/>
            <w:vAlign w:val="center"/>
          </w:tcPr>
          <w:p w14:paraId="10EFFABA">
            <w:pPr>
              <w:spacing w:line="320" w:lineRule="exact"/>
              <w:jc w:val="center"/>
              <w:rPr>
                <w:rFonts w:hint="eastAsia" w:ascii="宋体" w:hAnsi="宋体" w:eastAsia="宋体" w:cs="宋体"/>
                <w:b/>
                <w:color w:val="auto"/>
                <w:szCs w:val="21"/>
                <w:highlight w:val="none"/>
              </w:rPr>
            </w:pPr>
          </w:p>
        </w:tc>
        <w:tc>
          <w:tcPr>
            <w:tcW w:w="993" w:type="dxa"/>
            <w:noWrap w:val="0"/>
            <w:vAlign w:val="center"/>
          </w:tcPr>
          <w:p w14:paraId="27B0495E">
            <w:pPr>
              <w:spacing w:line="320" w:lineRule="exact"/>
              <w:jc w:val="center"/>
              <w:rPr>
                <w:rFonts w:hint="eastAsia" w:ascii="宋体" w:hAnsi="宋体" w:eastAsia="宋体" w:cs="宋体"/>
                <w:b/>
                <w:color w:val="auto"/>
                <w:szCs w:val="21"/>
                <w:highlight w:val="none"/>
              </w:rPr>
            </w:pPr>
          </w:p>
        </w:tc>
        <w:tc>
          <w:tcPr>
            <w:tcW w:w="1984" w:type="dxa"/>
            <w:noWrap w:val="0"/>
            <w:vAlign w:val="center"/>
          </w:tcPr>
          <w:p w14:paraId="45033347">
            <w:pPr>
              <w:spacing w:line="320" w:lineRule="exact"/>
              <w:jc w:val="center"/>
              <w:rPr>
                <w:rFonts w:hint="eastAsia" w:ascii="宋体" w:hAnsi="宋体" w:eastAsia="宋体" w:cs="宋体"/>
                <w:b/>
                <w:color w:val="auto"/>
                <w:szCs w:val="21"/>
                <w:highlight w:val="none"/>
              </w:rPr>
            </w:pPr>
          </w:p>
        </w:tc>
        <w:tc>
          <w:tcPr>
            <w:tcW w:w="1843" w:type="dxa"/>
            <w:noWrap w:val="0"/>
            <w:vAlign w:val="center"/>
          </w:tcPr>
          <w:p w14:paraId="01219E55">
            <w:pPr>
              <w:spacing w:line="320" w:lineRule="exact"/>
              <w:jc w:val="center"/>
              <w:rPr>
                <w:rFonts w:hint="eastAsia" w:ascii="宋体" w:hAnsi="宋体" w:eastAsia="宋体" w:cs="宋体"/>
                <w:b/>
                <w:color w:val="auto"/>
                <w:szCs w:val="21"/>
                <w:highlight w:val="none"/>
              </w:rPr>
            </w:pPr>
          </w:p>
        </w:tc>
      </w:tr>
      <w:tr w14:paraId="35C1D0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B94463A">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2076DA8F">
            <w:pPr>
              <w:spacing w:line="320" w:lineRule="exact"/>
              <w:jc w:val="center"/>
              <w:rPr>
                <w:rFonts w:hint="eastAsia" w:ascii="宋体" w:hAnsi="宋体" w:eastAsia="宋体" w:cs="宋体"/>
                <w:color w:val="auto"/>
                <w:szCs w:val="21"/>
                <w:highlight w:val="none"/>
              </w:rPr>
            </w:pPr>
          </w:p>
        </w:tc>
        <w:tc>
          <w:tcPr>
            <w:tcW w:w="709" w:type="dxa"/>
            <w:noWrap w:val="0"/>
            <w:vAlign w:val="center"/>
          </w:tcPr>
          <w:p w14:paraId="16D72C72">
            <w:pPr>
              <w:spacing w:line="320" w:lineRule="exact"/>
              <w:jc w:val="center"/>
              <w:rPr>
                <w:rFonts w:hint="eastAsia" w:ascii="宋体" w:hAnsi="宋体" w:eastAsia="宋体" w:cs="宋体"/>
                <w:color w:val="auto"/>
                <w:szCs w:val="21"/>
                <w:highlight w:val="none"/>
              </w:rPr>
            </w:pPr>
          </w:p>
        </w:tc>
        <w:tc>
          <w:tcPr>
            <w:tcW w:w="850" w:type="dxa"/>
            <w:noWrap w:val="0"/>
            <w:vAlign w:val="center"/>
          </w:tcPr>
          <w:p w14:paraId="1BF09CAB">
            <w:pPr>
              <w:spacing w:line="320" w:lineRule="exact"/>
              <w:jc w:val="center"/>
              <w:rPr>
                <w:rFonts w:hint="eastAsia" w:ascii="宋体" w:hAnsi="宋体" w:eastAsia="宋体" w:cs="宋体"/>
                <w:color w:val="auto"/>
                <w:szCs w:val="21"/>
                <w:highlight w:val="none"/>
              </w:rPr>
            </w:pPr>
          </w:p>
        </w:tc>
        <w:tc>
          <w:tcPr>
            <w:tcW w:w="993" w:type="dxa"/>
            <w:noWrap w:val="0"/>
            <w:vAlign w:val="center"/>
          </w:tcPr>
          <w:p w14:paraId="14BC81E2">
            <w:pPr>
              <w:spacing w:line="320" w:lineRule="exact"/>
              <w:jc w:val="center"/>
              <w:rPr>
                <w:rFonts w:hint="eastAsia" w:ascii="宋体" w:hAnsi="宋体" w:eastAsia="宋体" w:cs="宋体"/>
                <w:color w:val="auto"/>
                <w:szCs w:val="21"/>
                <w:highlight w:val="none"/>
              </w:rPr>
            </w:pPr>
          </w:p>
        </w:tc>
        <w:tc>
          <w:tcPr>
            <w:tcW w:w="1984" w:type="dxa"/>
            <w:noWrap w:val="0"/>
            <w:vAlign w:val="center"/>
          </w:tcPr>
          <w:p w14:paraId="6B450D43">
            <w:pPr>
              <w:spacing w:line="320" w:lineRule="exact"/>
              <w:jc w:val="center"/>
              <w:rPr>
                <w:rFonts w:hint="eastAsia" w:ascii="宋体" w:hAnsi="宋体" w:eastAsia="宋体" w:cs="宋体"/>
                <w:color w:val="auto"/>
                <w:szCs w:val="21"/>
                <w:highlight w:val="none"/>
              </w:rPr>
            </w:pPr>
          </w:p>
        </w:tc>
        <w:tc>
          <w:tcPr>
            <w:tcW w:w="1843" w:type="dxa"/>
            <w:noWrap w:val="0"/>
            <w:vAlign w:val="center"/>
          </w:tcPr>
          <w:p w14:paraId="55024A27">
            <w:pPr>
              <w:spacing w:line="320" w:lineRule="exact"/>
              <w:jc w:val="center"/>
              <w:rPr>
                <w:rFonts w:hint="eastAsia" w:ascii="宋体" w:hAnsi="宋体" w:eastAsia="宋体" w:cs="宋体"/>
                <w:color w:val="auto"/>
                <w:szCs w:val="21"/>
                <w:highlight w:val="none"/>
              </w:rPr>
            </w:pPr>
          </w:p>
        </w:tc>
      </w:tr>
      <w:tr w14:paraId="1D07BB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2412D9B6">
            <w:pPr>
              <w:spacing w:line="3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0AE818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B752BE3">
            <w:pPr>
              <w:spacing w:line="320" w:lineRule="exact"/>
              <w:jc w:val="center"/>
              <w:rPr>
                <w:rFonts w:hint="eastAsia" w:ascii="宋体" w:hAnsi="宋体" w:eastAsia="宋体" w:cs="宋体"/>
                <w:b/>
                <w:color w:val="auto"/>
                <w:szCs w:val="21"/>
                <w:highlight w:val="none"/>
              </w:rPr>
            </w:pPr>
          </w:p>
        </w:tc>
        <w:tc>
          <w:tcPr>
            <w:tcW w:w="1739" w:type="dxa"/>
            <w:noWrap w:val="0"/>
            <w:vAlign w:val="center"/>
          </w:tcPr>
          <w:p w14:paraId="24F043CD">
            <w:pPr>
              <w:spacing w:line="320" w:lineRule="exact"/>
              <w:jc w:val="center"/>
              <w:rPr>
                <w:rFonts w:hint="eastAsia" w:ascii="宋体" w:hAnsi="宋体" w:eastAsia="宋体" w:cs="宋体"/>
                <w:b/>
                <w:color w:val="auto"/>
                <w:szCs w:val="21"/>
                <w:highlight w:val="none"/>
              </w:rPr>
            </w:pPr>
          </w:p>
        </w:tc>
        <w:tc>
          <w:tcPr>
            <w:tcW w:w="709" w:type="dxa"/>
            <w:noWrap w:val="0"/>
            <w:vAlign w:val="center"/>
          </w:tcPr>
          <w:p w14:paraId="248BD29D">
            <w:pPr>
              <w:spacing w:line="320" w:lineRule="exact"/>
              <w:jc w:val="center"/>
              <w:rPr>
                <w:rFonts w:hint="eastAsia" w:ascii="宋体" w:hAnsi="宋体" w:eastAsia="宋体" w:cs="宋体"/>
                <w:b/>
                <w:color w:val="auto"/>
                <w:szCs w:val="21"/>
                <w:highlight w:val="none"/>
              </w:rPr>
            </w:pPr>
          </w:p>
        </w:tc>
        <w:tc>
          <w:tcPr>
            <w:tcW w:w="850" w:type="dxa"/>
            <w:noWrap w:val="0"/>
            <w:vAlign w:val="center"/>
          </w:tcPr>
          <w:p w14:paraId="55762A64">
            <w:pPr>
              <w:spacing w:line="320" w:lineRule="exact"/>
              <w:jc w:val="center"/>
              <w:rPr>
                <w:rFonts w:hint="eastAsia" w:ascii="宋体" w:hAnsi="宋体" w:eastAsia="宋体" w:cs="宋体"/>
                <w:b/>
                <w:color w:val="auto"/>
                <w:szCs w:val="21"/>
                <w:highlight w:val="none"/>
              </w:rPr>
            </w:pPr>
          </w:p>
        </w:tc>
        <w:tc>
          <w:tcPr>
            <w:tcW w:w="993" w:type="dxa"/>
            <w:noWrap w:val="0"/>
            <w:vAlign w:val="center"/>
          </w:tcPr>
          <w:p w14:paraId="438F45C3">
            <w:pPr>
              <w:spacing w:line="320" w:lineRule="exact"/>
              <w:jc w:val="center"/>
              <w:rPr>
                <w:rFonts w:hint="eastAsia" w:ascii="宋体" w:hAnsi="宋体" w:eastAsia="宋体" w:cs="宋体"/>
                <w:b/>
                <w:color w:val="auto"/>
                <w:szCs w:val="21"/>
                <w:highlight w:val="none"/>
              </w:rPr>
            </w:pPr>
          </w:p>
        </w:tc>
        <w:tc>
          <w:tcPr>
            <w:tcW w:w="1984" w:type="dxa"/>
            <w:noWrap w:val="0"/>
            <w:vAlign w:val="center"/>
          </w:tcPr>
          <w:p w14:paraId="5F41D222">
            <w:pPr>
              <w:spacing w:line="320" w:lineRule="exact"/>
              <w:jc w:val="center"/>
              <w:rPr>
                <w:rFonts w:hint="eastAsia" w:ascii="宋体" w:hAnsi="宋体" w:eastAsia="宋体" w:cs="宋体"/>
                <w:b/>
                <w:color w:val="auto"/>
                <w:szCs w:val="21"/>
                <w:highlight w:val="none"/>
              </w:rPr>
            </w:pPr>
          </w:p>
        </w:tc>
        <w:tc>
          <w:tcPr>
            <w:tcW w:w="1843" w:type="dxa"/>
            <w:noWrap w:val="0"/>
            <w:vAlign w:val="center"/>
          </w:tcPr>
          <w:p w14:paraId="1554B887">
            <w:pPr>
              <w:spacing w:line="320" w:lineRule="exact"/>
              <w:jc w:val="center"/>
              <w:rPr>
                <w:rFonts w:hint="eastAsia" w:ascii="宋体" w:hAnsi="宋体" w:eastAsia="宋体" w:cs="宋体"/>
                <w:b/>
                <w:color w:val="auto"/>
                <w:szCs w:val="21"/>
                <w:highlight w:val="none"/>
              </w:rPr>
            </w:pPr>
          </w:p>
        </w:tc>
      </w:tr>
      <w:tr w14:paraId="2AE5E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0B51216">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32C45189">
            <w:pPr>
              <w:spacing w:line="320" w:lineRule="exact"/>
              <w:jc w:val="center"/>
              <w:rPr>
                <w:rFonts w:hint="eastAsia" w:ascii="宋体" w:hAnsi="宋体" w:eastAsia="宋体" w:cs="宋体"/>
                <w:color w:val="auto"/>
                <w:szCs w:val="21"/>
                <w:highlight w:val="none"/>
              </w:rPr>
            </w:pPr>
          </w:p>
        </w:tc>
        <w:tc>
          <w:tcPr>
            <w:tcW w:w="709" w:type="dxa"/>
            <w:noWrap w:val="0"/>
            <w:vAlign w:val="center"/>
          </w:tcPr>
          <w:p w14:paraId="4621B381">
            <w:pPr>
              <w:spacing w:line="320" w:lineRule="exact"/>
              <w:jc w:val="center"/>
              <w:rPr>
                <w:rFonts w:hint="eastAsia" w:ascii="宋体" w:hAnsi="宋体" w:eastAsia="宋体" w:cs="宋体"/>
                <w:color w:val="auto"/>
                <w:szCs w:val="21"/>
                <w:highlight w:val="none"/>
              </w:rPr>
            </w:pPr>
          </w:p>
        </w:tc>
        <w:tc>
          <w:tcPr>
            <w:tcW w:w="850" w:type="dxa"/>
            <w:noWrap w:val="0"/>
            <w:vAlign w:val="center"/>
          </w:tcPr>
          <w:p w14:paraId="0898CC1A">
            <w:pPr>
              <w:spacing w:line="320" w:lineRule="exact"/>
              <w:jc w:val="center"/>
              <w:rPr>
                <w:rFonts w:hint="eastAsia" w:ascii="宋体" w:hAnsi="宋体" w:eastAsia="宋体" w:cs="宋体"/>
                <w:color w:val="auto"/>
                <w:szCs w:val="21"/>
                <w:highlight w:val="none"/>
              </w:rPr>
            </w:pPr>
          </w:p>
        </w:tc>
        <w:tc>
          <w:tcPr>
            <w:tcW w:w="993" w:type="dxa"/>
            <w:noWrap w:val="0"/>
            <w:vAlign w:val="center"/>
          </w:tcPr>
          <w:p w14:paraId="6A1A2425">
            <w:pPr>
              <w:spacing w:line="320" w:lineRule="exact"/>
              <w:jc w:val="center"/>
              <w:rPr>
                <w:rFonts w:hint="eastAsia" w:ascii="宋体" w:hAnsi="宋体" w:eastAsia="宋体" w:cs="宋体"/>
                <w:color w:val="auto"/>
                <w:szCs w:val="21"/>
                <w:highlight w:val="none"/>
              </w:rPr>
            </w:pPr>
          </w:p>
        </w:tc>
        <w:tc>
          <w:tcPr>
            <w:tcW w:w="1984" w:type="dxa"/>
            <w:noWrap w:val="0"/>
            <w:vAlign w:val="center"/>
          </w:tcPr>
          <w:p w14:paraId="2273EEFF">
            <w:pPr>
              <w:spacing w:line="320" w:lineRule="exact"/>
              <w:jc w:val="center"/>
              <w:rPr>
                <w:rFonts w:hint="eastAsia" w:ascii="宋体" w:hAnsi="宋体" w:eastAsia="宋体" w:cs="宋体"/>
                <w:color w:val="auto"/>
                <w:szCs w:val="21"/>
                <w:highlight w:val="none"/>
              </w:rPr>
            </w:pPr>
          </w:p>
        </w:tc>
        <w:tc>
          <w:tcPr>
            <w:tcW w:w="1843" w:type="dxa"/>
            <w:noWrap w:val="0"/>
            <w:vAlign w:val="center"/>
          </w:tcPr>
          <w:p w14:paraId="3C0237D4">
            <w:pPr>
              <w:spacing w:line="320" w:lineRule="exact"/>
              <w:jc w:val="center"/>
              <w:rPr>
                <w:rFonts w:hint="eastAsia" w:ascii="宋体" w:hAnsi="宋体" w:eastAsia="宋体" w:cs="宋体"/>
                <w:color w:val="auto"/>
                <w:szCs w:val="21"/>
                <w:highlight w:val="none"/>
              </w:rPr>
            </w:pPr>
          </w:p>
        </w:tc>
      </w:tr>
    </w:tbl>
    <w:p w14:paraId="56DC626F">
      <w:pPr>
        <w:adjustRightInd w:val="0"/>
        <w:snapToGrid w:val="0"/>
        <w:spacing w:before="120" w:beforeLines="50" w:after="120" w:afterLines="50"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bCs/>
          <w:color w:val="auto"/>
          <w:szCs w:val="21"/>
          <w:highlight w:val="none"/>
        </w:rPr>
        <w:t>1、</w:t>
      </w:r>
      <w:r>
        <w:rPr>
          <w:rFonts w:hint="eastAsia" w:ascii="宋体" w:hAnsi="宋体" w:eastAsia="宋体" w:cs="宋体"/>
          <w:color w:val="auto"/>
          <w:szCs w:val="21"/>
          <w:highlight w:val="none"/>
        </w:rPr>
        <w:t>本表用于计算节能产品、环境标志产品应享受的政策功能加分。</w:t>
      </w:r>
    </w:p>
    <w:p w14:paraId="4F7BA147">
      <w:pPr>
        <w:adjustRightInd w:val="0"/>
        <w:snapToGrid w:val="0"/>
        <w:spacing w:before="120" w:beforeLines="50" w:after="120" w:afterLines="50" w:line="320" w:lineRule="exact"/>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2、栏目7“政策功能编码”是指货物的中国环境标志认证证书编号、节能标志认证证书号、编号(货物同时属于节能产品、环境标志产品的，只填写一种)。</w:t>
      </w:r>
    </w:p>
    <w:p w14:paraId="191AFD01">
      <w:pPr>
        <w:adjustRightInd w:val="0"/>
        <w:snapToGrid w:val="0"/>
        <w:spacing w:before="120" w:beforeLines="50" w:after="120" w:afterLines="50" w:line="320" w:lineRule="exact"/>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3、栏目4“单价”为综合单价，包含货物所有隐含的内容，如运输费、保险费、管理费和利润等。</w:t>
      </w:r>
    </w:p>
    <w:p w14:paraId="7E8FF3C8">
      <w:pPr>
        <w:adjustRightInd w:val="0"/>
        <w:snapToGrid w:val="0"/>
        <w:spacing w:before="120" w:beforeLines="50" w:after="120" w:afterLines="50" w:line="320" w:lineRule="exact"/>
        <w:ind w:firstLine="630" w:firstLineChars="3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4、未按上述要求提供、</w:t>
      </w:r>
      <w:r>
        <w:rPr>
          <w:rFonts w:hint="eastAsia" w:ascii="宋体" w:hAnsi="宋体" w:eastAsia="宋体" w:cs="宋体"/>
          <w:color w:val="auto"/>
          <w:szCs w:val="21"/>
          <w:highlight w:val="none"/>
        </w:rPr>
        <w:t>填写，或者提供的内容不真实的，</w:t>
      </w:r>
      <w:r>
        <w:rPr>
          <w:rFonts w:hint="eastAsia" w:ascii="宋体" w:hAnsi="宋体" w:eastAsia="宋体" w:cs="宋体"/>
          <w:bCs/>
          <w:color w:val="auto"/>
          <w:szCs w:val="21"/>
          <w:highlight w:val="none"/>
        </w:rPr>
        <w:t>评审时本表所有优惠不予以考虑。</w:t>
      </w:r>
    </w:p>
    <w:p w14:paraId="5FB3464F">
      <w:pPr>
        <w:adjustRightInd w:val="0"/>
        <w:snapToGrid w:val="0"/>
        <w:spacing w:line="360" w:lineRule="auto"/>
        <w:ind w:firstLine="630" w:firstLineChars="300"/>
        <w:rPr>
          <w:rFonts w:hint="eastAsia" w:ascii="宋体" w:hAnsi="宋体" w:eastAsia="宋体" w:cs="宋体"/>
          <w:bCs/>
          <w:color w:val="auto"/>
          <w:szCs w:val="21"/>
          <w:highlight w:val="none"/>
        </w:rPr>
      </w:pPr>
    </w:p>
    <w:p w14:paraId="0672C7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供应商名称（单位章）：</w:t>
      </w:r>
    </w:p>
    <w:p w14:paraId="2CEEFBE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法定代表人或其委托代理人（签字）：</w:t>
      </w:r>
      <w:r>
        <w:rPr>
          <w:rFonts w:hint="eastAsia" w:ascii="宋体" w:hAnsi="宋体" w:eastAsia="宋体" w:cs="宋体"/>
          <w:color w:val="auto"/>
          <w:szCs w:val="21"/>
          <w:highlight w:val="none"/>
          <w:u w:val="single"/>
        </w:rPr>
        <w:t xml:space="preserve">       </w:t>
      </w:r>
    </w:p>
    <w:p w14:paraId="703781F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34223B8">
      <w:pPr>
        <w:adjustRightInd w:val="0"/>
        <w:snapToGrid w:val="0"/>
        <w:spacing w:line="360" w:lineRule="auto"/>
        <w:ind w:firstLine="422" w:firstLineChars="200"/>
        <w:rPr>
          <w:rFonts w:hint="eastAsia" w:ascii="宋体" w:hAnsi="宋体" w:eastAsia="宋体" w:cs="宋体"/>
          <w:b/>
          <w:color w:val="auto"/>
          <w:szCs w:val="21"/>
          <w:highlight w:val="none"/>
        </w:rPr>
      </w:pPr>
    </w:p>
    <w:p w14:paraId="35E3EC29">
      <w:pPr>
        <w:bidi w:val="0"/>
        <w:jc w:val="center"/>
        <w:rPr>
          <w:rFonts w:hint="eastAsia" w:ascii="宋体" w:hAnsi="宋体" w:eastAsia="宋体" w:cs="宋体"/>
          <w:b/>
          <w:color w:val="auto"/>
          <w:sz w:val="32"/>
          <w:szCs w:val="32"/>
        </w:rPr>
      </w:pPr>
      <w:r>
        <w:rPr>
          <w:rFonts w:hint="eastAsia" w:ascii="宋体" w:hAnsi="宋体" w:eastAsia="宋体" w:cs="宋体"/>
          <w:b/>
          <w:bCs/>
          <w:color w:val="auto"/>
          <w:sz w:val="32"/>
          <w:szCs w:val="32"/>
        </w:rPr>
        <w:br w:type="page"/>
      </w:r>
      <w:bookmarkStart w:id="79" w:name="_Toc11879759"/>
      <w:r>
        <w:rPr>
          <w:rFonts w:hint="eastAsia" w:ascii="宋体" w:hAnsi="宋体" w:eastAsia="宋体" w:cs="宋体"/>
          <w:b/>
          <w:color w:val="auto"/>
          <w:sz w:val="32"/>
          <w:szCs w:val="32"/>
        </w:rPr>
        <w:t>七、报价一览表及报价文件</w:t>
      </w:r>
      <w:bookmarkEnd w:id="79"/>
    </w:p>
    <w:p w14:paraId="48EE1404">
      <w:pPr>
        <w:pStyle w:val="5"/>
        <w:rPr>
          <w:rFonts w:hint="eastAsia" w:ascii="宋体" w:hAnsi="宋体" w:eastAsia="宋体" w:cs="宋体"/>
          <w:sz w:val="21"/>
          <w:szCs w:val="21"/>
          <w:lang w:val="en-US" w:eastAsia="zh-CN"/>
        </w:rPr>
      </w:pPr>
      <w:r>
        <w:rPr>
          <w:rFonts w:hint="eastAsia" w:ascii="宋体" w:hAnsi="宋体" w:eastAsia="宋体" w:cs="宋体"/>
          <w:color w:val="auto"/>
          <w:sz w:val="28"/>
          <w:szCs w:val="28"/>
        </w:rPr>
        <w:t>附件</w:t>
      </w:r>
      <w:r>
        <w:rPr>
          <w:rFonts w:hint="eastAsia" w:ascii="宋体" w:hAnsi="宋体" w:eastAsia="宋体" w:cs="宋体"/>
          <w:color w:val="auto"/>
          <w:sz w:val="28"/>
          <w:szCs w:val="28"/>
          <w:lang w:val="en-US" w:eastAsia="zh-CN"/>
        </w:rPr>
        <w:t>9</w:t>
      </w:r>
    </w:p>
    <w:p w14:paraId="4C29A4B2">
      <w:pPr>
        <w:tabs>
          <w:tab w:val="left" w:pos="3600"/>
        </w:tabs>
        <w:adjustRightInd w:val="0"/>
        <w:snapToGrid w:val="0"/>
        <w:jc w:val="center"/>
        <w:rPr>
          <w:rFonts w:hint="eastAsia" w:ascii="宋体" w:hAnsi="宋体" w:eastAsia="宋体" w:cs="宋体"/>
          <w:b/>
          <w:bCs w:val="0"/>
          <w:spacing w:val="6"/>
          <w:kern w:val="0"/>
          <w:sz w:val="30"/>
          <w:szCs w:val="30"/>
        </w:rPr>
      </w:pPr>
      <w:r>
        <w:rPr>
          <w:rFonts w:hint="eastAsia" w:ascii="宋体" w:hAnsi="宋体" w:eastAsia="宋体" w:cs="宋体"/>
          <w:b/>
          <w:bCs w:val="0"/>
          <w:spacing w:val="6"/>
          <w:kern w:val="0"/>
          <w:sz w:val="30"/>
          <w:szCs w:val="30"/>
        </w:rPr>
        <w:t>报价一览表</w:t>
      </w:r>
    </w:p>
    <w:tbl>
      <w:tblPr>
        <w:tblStyle w:val="43"/>
        <w:tblpPr w:leftFromText="180" w:rightFromText="180" w:vertAnchor="text" w:horzAnchor="page" w:tblpX="1487" w:tblpY="412"/>
        <w:tblOverlap w:val="never"/>
        <w:tblW w:w="8920" w:type="dxa"/>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699"/>
        <w:gridCol w:w="2034"/>
        <w:gridCol w:w="1841"/>
      </w:tblGrid>
      <w:tr w14:paraId="1291794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194A6376">
            <w:pPr>
              <w:ind w:right="23" w:rightChars="11"/>
              <w:jc w:val="center"/>
              <w:rPr>
                <w:rFonts w:hint="eastAsia" w:ascii="宋体" w:hAnsi="宋体" w:eastAsia="宋体" w:cs="宋体"/>
                <w:szCs w:val="21"/>
              </w:rPr>
            </w:pPr>
            <w:r>
              <w:rPr>
                <w:rFonts w:hint="eastAsia" w:ascii="宋体" w:hAnsi="宋体" w:eastAsia="宋体" w:cs="宋体"/>
                <w:szCs w:val="21"/>
              </w:rPr>
              <w:t>项目名称</w:t>
            </w:r>
          </w:p>
        </w:tc>
        <w:tc>
          <w:tcPr>
            <w:tcW w:w="2699" w:type="dxa"/>
            <w:vMerge w:val="restart"/>
            <w:tcBorders>
              <w:top w:val="double" w:color="auto" w:sz="4" w:space="0"/>
              <w:left w:val="single" w:color="auto" w:sz="4" w:space="0"/>
              <w:bottom w:val="single" w:color="auto" w:sz="4" w:space="0"/>
              <w:right w:val="single" w:color="auto" w:sz="4" w:space="0"/>
            </w:tcBorders>
            <w:noWrap w:val="0"/>
            <w:vAlign w:val="center"/>
          </w:tcPr>
          <w:p w14:paraId="663F40CA">
            <w:pPr>
              <w:ind w:right="23" w:rightChars="11"/>
              <w:jc w:val="center"/>
              <w:rPr>
                <w:rFonts w:hint="eastAsia" w:ascii="宋体" w:hAnsi="宋体" w:eastAsia="宋体" w:cs="宋体"/>
                <w:szCs w:val="21"/>
              </w:rPr>
            </w:pPr>
          </w:p>
        </w:tc>
        <w:tc>
          <w:tcPr>
            <w:tcW w:w="2034" w:type="dxa"/>
            <w:tcBorders>
              <w:top w:val="double" w:color="auto" w:sz="4" w:space="0"/>
              <w:left w:val="single" w:color="auto" w:sz="4" w:space="0"/>
              <w:bottom w:val="single" w:color="auto" w:sz="4" w:space="0"/>
              <w:right w:val="single" w:color="auto" w:sz="4" w:space="0"/>
            </w:tcBorders>
            <w:noWrap w:val="0"/>
            <w:vAlign w:val="center"/>
          </w:tcPr>
          <w:p w14:paraId="3432125A">
            <w:pPr>
              <w:ind w:right="23" w:rightChars="11"/>
              <w:jc w:val="center"/>
              <w:rPr>
                <w:rFonts w:hint="eastAsia" w:ascii="宋体" w:hAnsi="宋体" w:eastAsia="宋体" w:cs="宋体"/>
                <w:szCs w:val="21"/>
                <w:lang w:eastAsia="zh-CN"/>
              </w:rPr>
            </w:pPr>
            <w:r>
              <w:rPr>
                <w:rFonts w:hint="eastAsia" w:ascii="宋体" w:hAnsi="宋体" w:cs="宋体"/>
                <w:szCs w:val="21"/>
                <w:lang w:eastAsia="zh-CN"/>
              </w:rPr>
              <w:t>政府采购编号</w:t>
            </w:r>
          </w:p>
        </w:tc>
        <w:tc>
          <w:tcPr>
            <w:tcW w:w="1841" w:type="dxa"/>
            <w:tcBorders>
              <w:top w:val="double" w:color="auto" w:sz="4" w:space="0"/>
              <w:left w:val="single" w:color="auto" w:sz="4" w:space="0"/>
              <w:bottom w:val="single" w:color="auto" w:sz="4" w:space="0"/>
              <w:right w:val="double" w:color="auto" w:sz="4" w:space="0"/>
            </w:tcBorders>
            <w:noWrap w:val="0"/>
            <w:vAlign w:val="center"/>
          </w:tcPr>
          <w:p w14:paraId="70DA8323">
            <w:pPr>
              <w:ind w:right="23" w:rightChars="11"/>
              <w:jc w:val="center"/>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w:t>
            </w:r>
          </w:p>
        </w:tc>
      </w:tr>
      <w:tr w14:paraId="39B8F603">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7EC28090">
            <w:pPr>
              <w:ind w:right="23" w:rightChars="11"/>
              <w:jc w:val="center"/>
              <w:rPr>
                <w:rFonts w:hint="eastAsia" w:ascii="宋体" w:hAnsi="宋体" w:eastAsia="宋体" w:cs="宋体"/>
                <w:szCs w:val="21"/>
              </w:rPr>
            </w:pPr>
          </w:p>
        </w:tc>
        <w:tc>
          <w:tcPr>
            <w:tcW w:w="2699" w:type="dxa"/>
            <w:vMerge w:val="continue"/>
            <w:tcBorders>
              <w:top w:val="single" w:color="auto" w:sz="4" w:space="0"/>
              <w:left w:val="single" w:color="auto" w:sz="4" w:space="0"/>
              <w:bottom w:val="single" w:color="auto" w:sz="4" w:space="0"/>
              <w:right w:val="single" w:color="auto" w:sz="4" w:space="0"/>
            </w:tcBorders>
            <w:noWrap w:val="0"/>
            <w:vAlign w:val="center"/>
          </w:tcPr>
          <w:p w14:paraId="37BE5BFD">
            <w:pPr>
              <w:ind w:right="23" w:rightChars="11"/>
              <w:jc w:val="center"/>
              <w:rPr>
                <w:rFonts w:hint="eastAsia" w:ascii="宋体" w:hAnsi="宋体" w:eastAsia="宋体" w:cs="宋体"/>
                <w:szCs w:val="21"/>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244A48E8">
            <w:pPr>
              <w:ind w:right="23" w:rightChars="11"/>
              <w:jc w:val="center"/>
              <w:rPr>
                <w:rFonts w:hint="eastAsia" w:ascii="宋体" w:hAnsi="宋体" w:eastAsia="宋体" w:cs="宋体"/>
                <w:szCs w:val="21"/>
                <w:lang w:eastAsia="zh-CN"/>
              </w:rPr>
            </w:pPr>
            <w:r>
              <w:rPr>
                <w:rFonts w:hint="eastAsia" w:ascii="宋体" w:hAnsi="宋体" w:cs="宋体"/>
                <w:szCs w:val="21"/>
                <w:lang w:eastAsia="zh-CN"/>
              </w:rPr>
              <w:t>采购项目编号</w:t>
            </w:r>
          </w:p>
        </w:tc>
        <w:tc>
          <w:tcPr>
            <w:tcW w:w="1841" w:type="dxa"/>
            <w:tcBorders>
              <w:top w:val="single" w:color="auto" w:sz="4" w:space="0"/>
              <w:left w:val="single" w:color="auto" w:sz="4" w:space="0"/>
              <w:bottom w:val="single" w:color="auto" w:sz="4" w:space="0"/>
              <w:right w:val="double" w:color="auto" w:sz="4" w:space="0"/>
            </w:tcBorders>
            <w:noWrap w:val="0"/>
            <w:vAlign w:val="center"/>
          </w:tcPr>
          <w:p w14:paraId="0A450F4C">
            <w:pPr>
              <w:ind w:right="23" w:rightChars="11"/>
              <w:jc w:val="center"/>
              <w:rPr>
                <w:rFonts w:hint="eastAsia" w:ascii="宋体" w:hAnsi="宋体" w:eastAsia="宋体" w:cs="宋体"/>
                <w:szCs w:val="21"/>
              </w:rPr>
            </w:pPr>
          </w:p>
        </w:tc>
      </w:tr>
      <w:tr w14:paraId="0A50E82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3DBCB1C6">
            <w:pPr>
              <w:ind w:right="23" w:rightChars="11"/>
              <w:jc w:val="center"/>
              <w:rPr>
                <w:rFonts w:hint="eastAsia" w:ascii="宋体" w:hAnsi="宋体" w:eastAsia="宋体" w:cs="宋体"/>
                <w:szCs w:val="21"/>
              </w:rPr>
            </w:pPr>
            <w:r>
              <w:rPr>
                <w:rFonts w:hint="eastAsia" w:ascii="宋体" w:hAnsi="宋体" w:eastAsia="宋体" w:cs="宋体"/>
                <w:szCs w:val="21"/>
              </w:rPr>
              <w:t>品目代码</w:t>
            </w:r>
          </w:p>
        </w:tc>
        <w:tc>
          <w:tcPr>
            <w:tcW w:w="6574" w:type="dxa"/>
            <w:gridSpan w:val="3"/>
            <w:tcBorders>
              <w:top w:val="single" w:color="auto" w:sz="4" w:space="0"/>
              <w:left w:val="single" w:color="auto" w:sz="4" w:space="0"/>
              <w:bottom w:val="single" w:color="auto" w:sz="4" w:space="0"/>
              <w:right w:val="double" w:color="auto" w:sz="4" w:space="0"/>
            </w:tcBorders>
            <w:shd w:val="clear" w:color="auto" w:fill="auto"/>
            <w:noWrap w:val="0"/>
            <w:vAlign w:val="center"/>
          </w:tcPr>
          <w:p w14:paraId="06A524BF">
            <w:pPr>
              <w:widowControl/>
              <w:spacing w:line="300" w:lineRule="exact"/>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2"/>
                <w:sz w:val="21"/>
                <w:szCs w:val="21"/>
                <w:lang w:val="en-US" w:eastAsia="zh-CN" w:bidi="ar-SA"/>
              </w:rPr>
              <w:t>C99000000-其他服务</w:t>
            </w:r>
            <w:r>
              <w:rPr>
                <w:rFonts w:hint="eastAsia" w:ascii="宋体" w:hAnsi="宋体" w:cs="宋体"/>
                <w:szCs w:val="21"/>
                <w:lang w:val="en-US" w:eastAsia="zh-CN"/>
              </w:rPr>
              <w:t xml:space="preserve"> </w:t>
            </w:r>
          </w:p>
        </w:tc>
      </w:tr>
      <w:tr w14:paraId="731C079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73E6B46E">
            <w:pPr>
              <w:ind w:right="23" w:rightChars="11"/>
              <w:jc w:val="center"/>
              <w:rPr>
                <w:rFonts w:hint="eastAsia" w:ascii="宋体" w:hAnsi="宋体" w:eastAsia="宋体" w:cs="宋体"/>
                <w:szCs w:val="21"/>
                <w:lang w:eastAsia="zh-CN"/>
              </w:rPr>
            </w:pPr>
            <w:r>
              <w:rPr>
                <w:rFonts w:hint="eastAsia" w:ascii="宋体" w:hAnsi="宋体" w:eastAsia="宋体" w:cs="宋体"/>
                <w:szCs w:val="21"/>
              </w:rPr>
              <w:t>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4DA02234">
            <w:pPr>
              <w:spacing w:line="360" w:lineRule="auto"/>
              <w:ind w:right="23" w:rightChars="11"/>
              <w:rPr>
                <w:rFonts w:hint="eastAsia" w:ascii="宋体" w:hAnsi="宋体" w:eastAsia="宋体" w:cs="宋体"/>
                <w:szCs w:val="21"/>
              </w:rPr>
            </w:pPr>
            <w:r>
              <w:rPr>
                <w:rFonts w:hint="eastAsia" w:ascii="宋体" w:hAnsi="宋体" w:eastAsia="宋体" w:cs="宋体"/>
                <w:szCs w:val="21"/>
              </w:rPr>
              <w:t>大写：</w:t>
            </w:r>
            <w:r>
              <w:rPr>
                <w:rFonts w:hint="eastAsia" w:ascii="宋体" w:hAnsi="宋体" w:eastAsia="宋体" w:cs="宋体"/>
                <w:szCs w:val="21"/>
                <w:u w:val="single"/>
              </w:rPr>
              <w:t xml:space="preserve">                    </w:t>
            </w:r>
            <w:r>
              <w:rPr>
                <w:rFonts w:hint="eastAsia" w:ascii="宋体" w:hAnsi="宋体" w:eastAsia="宋体" w:cs="宋体"/>
                <w:szCs w:val="21"/>
              </w:rPr>
              <w:t>元人民币整</w:t>
            </w:r>
          </w:p>
          <w:p w14:paraId="2710E867">
            <w:pPr>
              <w:spacing w:line="360" w:lineRule="auto"/>
              <w:ind w:right="23" w:rightChars="11"/>
              <w:rPr>
                <w:rFonts w:hint="eastAsia" w:ascii="宋体" w:hAnsi="宋体" w:eastAsia="宋体" w:cs="宋体"/>
                <w:szCs w:val="21"/>
              </w:rPr>
            </w:pP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元人民币整</w:t>
            </w:r>
          </w:p>
        </w:tc>
      </w:tr>
      <w:tr w14:paraId="1741CE7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61246EAD">
            <w:pPr>
              <w:ind w:right="23" w:rightChars="11"/>
              <w:jc w:val="center"/>
              <w:rPr>
                <w:rFonts w:hint="eastAsia" w:ascii="宋体" w:hAnsi="宋体" w:eastAsia="宋体" w:cs="宋体"/>
                <w:szCs w:val="21"/>
              </w:rPr>
            </w:pPr>
            <w:r>
              <w:rPr>
                <w:rFonts w:hint="eastAsia" w:ascii="宋体" w:hAnsi="宋体" w:eastAsia="宋体" w:cs="宋体"/>
                <w:szCs w:val="21"/>
                <w:lang w:eastAsia="zh-CN"/>
              </w:rPr>
              <w:t>服务</w:t>
            </w:r>
            <w:r>
              <w:rPr>
                <w:rFonts w:hint="eastAsia" w:ascii="宋体" w:hAnsi="宋体" w:eastAsia="宋体" w:cs="宋体"/>
                <w:szCs w:val="21"/>
              </w:rPr>
              <w:t>期</w:t>
            </w:r>
            <w:r>
              <w:rPr>
                <w:rFonts w:hint="eastAsia" w:ascii="宋体" w:hAnsi="宋体" w:eastAsia="宋体" w:cs="宋体"/>
                <w:szCs w:val="21"/>
                <w:lang w:eastAsia="zh-CN"/>
              </w:rPr>
              <w:t>限</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7E5956DB">
            <w:pPr>
              <w:ind w:right="23" w:rightChars="11"/>
              <w:jc w:val="center"/>
              <w:rPr>
                <w:rFonts w:hint="eastAsia" w:ascii="宋体" w:hAnsi="宋体" w:eastAsia="宋体" w:cs="宋体"/>
                <w:szCs w:val="21"/>
                <w:lang w:val="en-US" w:eastAsia="zh-CN"/>
              </w:rPr>
            </w:pPr>
          </w:p>
        </w:tc>
      </w:tr>
      <w:tr w14:paraId="2CC0115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04488464">
            <w:pPr>
              <w:ind w:right="23" w:rightChars="11"/>
              <w:jc w:val="center"/>
              <w:rPr>
                <w:rFonts w:hint="eastAsia" w:ascii="宋体" w:hAnsi="宋体" w:eastAsia="宋体" w:cs="宋体"/>
                <w:szCs w:val="21"/>
              </w:rPr>
            </w:pPr>
            <w:r>
              <w:rPr>
                <w:rFonts w:hint="eastAsia" w:ascii="宋体" w:hAnsi="宋体" w:eastAsia="宋体" w:cs="宋体"/>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6F7DA21A">
            <w:pPr>
              <w:ind w:right="23" w:rightChars="11"/>
              <w:jc w:val="center"/>
              <w:rPr>
                <w:rFonts w:hint="eastAsia" w:ascii="宋体" w:hAnsi="宋体" w:eastAsia="宋体" w:cs="宋体"/>
                <w:szCs w:val="21"/>
              </w:rPr>
            </w:pPr>
          </w:p>
        </w:tc>
      </w:tr>
    </w:tbl>
    <w:p w14:paraId="222BABEC">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eastAsia" w:ascii="宋体" w:hAnsi="宋体" w:eastAsia="宋体" w:cs="宋体"/>
          <w:sz w:val="20"/>
          <w:szCs w:val="21"/>
        </w:rPr>
      </w:pPr>
      <w:r>
        <w:rPr>
          <w:rFonts w:hint="eastAsia" w:ascii="宋体" w:hAnsi="宋体" w:eastAsia="宋体" w:cs="宋体"/>
          <w:sz w:val="20"/>
          <w:szCs w:val="21"/>
        </w:rPr>
        <w:t>说明：“品目代码”栏按《政府采购品目分类目录》规定填写，如B0303拆除工程。</w:t>
      </w:r>
    </w:p>
    <w:p w14:paraId="6E0BB48D">
      <w:pPr>
        <w:adjustRightInd w:val="0"/>
        <w:snapToGrid w:val="0"/>
        <w:spacing w:line="360" w:lineRule="auto"/>
        <w:rPr>
          <w:rFonts w:hint="eastAsia" w:ascii="宋体" w:hAnsi="宋体" w:eastAsia="宋体" w:cs="宋体"/>
          <w:sz w:val="20"/>
        </w:rPr>
      </w:pPr>
    </w:p>
    <w:p w14:paraId="5DA08ABC">
      <w:pPr>
        <w:adjustRightInd w:val="0"/>
        <w:snapToGrid w:val="0"/>
        <w:spacing w:line="360" w:lineRule="auto"/>
        <w:rPr>
          <w:rFonts w:hint="eastAsia" w:ascii="宋体" w:hAnsi="宋体" w:eastAsia="宋体" w:cs="宋体"/>
          <w:sz w:val="20"/>
        </w:rPr>
      </w:pPr>
    </w:p>
    <w:p w14:paraId="270F2A49">
      <w:pPr>
        <w:pStyle w:val="26"/>
        <w:adjustRightInd w:val="0"/>
        <w:snapToGrid w:val="0"/>
        <w:spacing w:line="480" w:lineRule="auto"/>
        <w:outlineLvl w:val="0"/>
        <w:rPr>
          <w:rFonts w:hint="eastAsia" w:ascii="宋体" w:hAnsi="宋体" w:eastAsia="宋体" w:cs="宋体"/>
          <w:sz w:val="21"/>
          <w:szCs w:val="21"/>
        </w:rPr>
      </w:pPr>
      <w:bookmarkStart w:id="80" w:name="_Toc15460"/>
      <w:r>
        <w:rPr>
          <w:rFonts w:hint="eastAsia" w:ascii="宋体" w:hAnsi="宋体" w:eastAsia="宋体" w:cs="宋体"/>
          <w:sz w:val="21"/>
          <w:szCs w:val="21"/>
        </w:rPr>
        <w:t>供应商（盖单位章）：</w:t>
      </w:r>
      <w:bookmarkEnd w:id="80"/>
    </w:p>
    <w:p w14:paraId="44B109C8">
      <w:pPr>
        <w:pStyle w:val="26"/>
        <w:adjustRightInd w:val="0"/>
        <w:snapToGrid w:val="0"/>
        <w:spacing w:line="480" w:lineRule="auto"/>
        <w:outlineLvl w:val="0"/>
        <w:rPr>
          <w:rFonts w:hint="eastAsia" w:ascii="宋体" w:hAnsi="宋体" w:eastAsia="宋体" w:cs="宋体"/>
          <w:sz w:val="21"/>
          <w:szCs w:val="21"/>
          <w:u w:val="single"/>
        </w:rPr>
      </w:pPr>
      <w:bookmarkStart w:id="81" w:name="_Toc1862"/>
      <w:r>
        <w:rPr>
          <w:rFonts w:hint="eastAsia" w:ascii="宋体" w:hAnsi="宋体" w:eastAsia="宋体" w:cs="宋体"/>
          <w:sz w:val="21"/>
          <w:szCs w:val="21"/>
        </w:rPr>
        <w:t>法定代表人或其委托代理人签字：</w:t>
      </w:r>
      <w:bookmarkEnd w:id="81"/>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p>
    <w:p w14:paraId="13EFF175">
      <w:pPr>
        <w:spacing w:line="360" w:lineRule="auto"/>
        <w:rPr>
          <w:rFonts w:hint="eastAsia" w:ascii="宋体" w:hAnsi="宋体" w:eastAsia="宋体" w:cs="宋体"/>
        </w:rPr>
      </w:pPr>
      <w:r>
        <w:rPr>
          <w:rFonts w:hint="eastAsia" w:ascii="宋体" w:hAnsi="宋体" w:eastAsia="宋体" w:cs="宋体"/>
          <w:spacing w:val="6"/>
          <w:kern w:val="0"/>
          <w:szCs w:val="21"/>
        </w:rPr>
        <w:t>日  期：</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日</w:t>
      </w:r>
    </w:p>
    <w:p w14:paraId="5890D04D">
      <w:pPr>
        <w:adjustRightInd w:val="0"/>
        <w:snapToGrid w:val="0"/>
        <w:jc w:val="both"/>
        <w:outlineLvl w:val="0"/>
        <w:rPr>
          <w:rFonts w:hint="eastAsia" w:ascii="宋体" w:hAnsi="宋体" w:eastAsia="宋体" w:cs="宋体"/>
          <w:bCs/>
          <w:color w:val="000000"/>
          <w:sz w:val="28"/>
          <w:szCs w:val="28"/>
        </w:rPr>
      </w:pPr>
      <w:r>
        <w:rPr>
          <w:rFonts w:hint="eastAsia" w:ascii="宋体" w:hAnsi="宋体" w:eastAsia="宋体" w:cs="宋体"/>
          <w:b/>
          <w:color w:val="auto"/>
        </w:rPr>
        <w:br w:type="page"/>
      </w:r>
      <w:r>
        <w:rPr>
          <w:rFonts w:hint="eastAsia" w:ascii="宋体" w:hAnsi="宋体" w:eastAsia="宋体" w:cs="宋体"/>
          <w:b/>
          <w:bCs/>
          <w:color w:val="auto"/>
          <w:kern w:val="2"/>
          <w:sz w:val="28"/>
          <w:szCs w:val="28"/>
          <w:lang w:val="en-US" w:eastAsia="zh-CN" w:bidi="ar-SA"/>
        </w:rPr>
        <w:t>附件10</w:t>
      </w:r>
      <w:r>
        <w:rPr>
          <w:rFonts w:hint="eastAsia" w:ascii="宋体" w:hAnsi="宋体" w:eastAsia="宋体" w:cs="宋体"/>
          <w:b/>
          <w:bCs/>
          <w:color w:val="000000"/>
          <w:sz w:val="28"/>
          <w:szCs w:val="28"/>
        </w:rPr>
        <w:t xml:space="preserve">   </w:t>
      </w:r>
      <w:bookmarkStart w:id="82" w:name="_Toc29902"/>
      <w:bookmarkStart w:id="83" w:name="_Toc11879760"/>
    </w:p>
    <w:p w14:paraId="7F24C9BB">
      <w:pPr>
        <w:tabs>
          <w:tab w:val="left" w:pos="3600"/>
        </w:tabs>
        <w:adjustRightInd w:val="0"/>
        <w:snapToGrid w:val="0"/>
        <w:jc w:val="center"/>
        <w:rPr>
          <w:rFonts w:hint="eastAsia" w:ascii="宋体" w:hAnsi="宋体" w:eastAsia="宋体" w:cs="宋体"/>
          <w:b/>
          <w:bCs w:val="0"/>
          <w:spacing w:val="6"/>
          <w:kern w:val="0"/>
          <w:sz w:val="30"/>
          <w:szCs w:val="30"/>
        </w:rPr>
      </w:pPr>
      <w:r>
        <w:rPr>
          <w:rFonts w:hint="eastAsia" w:ascii="宋体" w:hAnsi="宋体" w:eastAsia="宋体" w:cs="宋体"/>
          <w:b/>
          <w:bCs w:val="0"/>
          <w:spacing w:val="6"/>
          <w:kern w:val="0"/>
          <w:sz w:val="30"/>
          <w:szCs w:val="30"/>
        </w:rPr>
        <w:t>分项价格表</w:t>
      </w:r>
      <w:bookmarkEnd w:id="82"/>
    </w:p>
    <w:p w14:paraId="1F74DD85">
      <w:pPr>
        <w:adjustRightInd w:val="0"/>
        <w:snapToGrid w:val="0"/>
        <w:jc w:val="both"/>
        <w:rPr>
          <w:rFonts w:hint="eastAsia" w:ascii="宋体" w:hAnsi="宋体" w:eastAsia="宋体" w:cs="宋体"/>
          <w:b/>
          <w:bCs/>
          <w:sz w:val="22"/>
          <w:szCs w:val="22"/>
          <w:lang w:val="en-US" w:eastAsia="zh-CN"/>
        </w:rPr>
      </w:pPr>
    </w:p>
    <w:p w14:paraId="4EA1816B">
      <w:pPr>
        <w:widowControl/>
        <w:kinsoku w:val="0"/>
        <w:autoSpaceDE w:val="0"/>
        <w:autoSpaceDN w:val="0"/>
        <w:adjustRightInd w:val="0"/>
        <w:snapToGrid w:val="0"/>
        <w:spacing w:before="203" w:line="227" w:lineRule="auto"/>
        <w:ind w:left="20"/>
        <w:jc w:val="left"/>
        <w:textAlignment w:val="baseline"/>
        <w:rPr>
          <w:rFonts w:ascii="宋体" w:hAnsi="宋体" w:eastAsia="宋体" w:cs="宋体"/>
          <w:snapToGrid w:val="0"/>
          <w:color w:val="000000"/>
          <w:kern w:val="0"/>
          <w:sz w:val="20"/>
          <w:szCs w:val="20"/>
          <w:lang w:eastAsia="en-US"/>
        </w:rPr>
      </w:pPr>
      <w:r>
        <w:rPr>
          <w:rFonts w:hint="eastAsia" w:ascii="宋体" w:hAnsi="宋体" w:eastAsia="宋体" w:cs="宋体"/>
          <w:snapToGrid w:val="0"/>
          <w:color w:val="000000"/>
          <w:spacing w:val="4"/>
          <w:kern w:val="0"/>
          <w:sz w:val="20"/>
          <w:szCs w:val="20"/>
          <w:lang w:eastAsia="zh-CN"/>
        </w:rPr>
        <w:t>采购项目编号</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4"/>
          <w:kern w:val="0"/>
          <w:sz w:val="20"/>
          <w:szCs w:val="20"/>
          <w:lang w:eastAsia="en-US"/>
        </w:rPr>
        <w:t xml:space="preserve">                       项目名称：</w:t>
      </w:r>
      <w:r>
        <w:rPr>
          <w:rFonts w:ascii="宋体" w:hAnsi="宋体" w:eastAsia="宋体" w:cs="宋体"/>
          <w:snapToGrid w:val="0"/>
          <w:color w:val="000000"/>
          <w:spacing w:val="4"/>
          <w:kern w:val="0"/>
          <w:sz w:val="20"/>
          <w:szCs w:val="20"/>
          <w:u w:val="single" w:color="auto"/>
          <w:lang w:eastAsia="en-US"/>
        </w:rPr>
        <w:t xml:space="preserve">                </w:t>
      </w:r>
    </w:p>
    <w:p w14:paraId="3219D88F">
      <w:pPr>
        <w:widowControl/>
        <w:kinsoku w:val="0"/>
        <w:autoSpaceDE w:val="0"/>
        <w:autoSpaceDN w:val="0"/>
        <w:adjustRightInd w:val="0"/>
        <w:snapToGrid w:val="0"/>
        <w:spacing w:before="162" w:line="229" w:lineRule="auto"/>
        <w:ind w:left="21"/>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包号：</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snapToGrid w:val="0"/>
          <w:color w:val="000000"/>
          <w:spacing w:val="5"/>
          <w:kern w:val="0"/>
          <w:sz w:val="20"/>
          <w:szCs w:val="20"/>
          <w:lang w:eastAsia="en-US"/>
        </w:rPr>
        <w:t>包名称：</w:t>
      </w:r>
      <w:r>
        <w:rPr>
          <w:rFonts w:ascii="宋体" w:hAnsi="宋体" w:eastAsia="宋体" w:cs="宋体"/>
          <w:snapToGrid w:val="0"/>
          <w:color w:val="000000"/>
          <w:kern w:val="0"/>
          <w:sz w:val="20"/>
          <w:szCs w:val="20"/>
          <w:u w:val="single" w:color="auto"/>
          <w:lang w:eastAsia="en-US"/>
        </w:rPr>
        <w:t xml:space="preserve">                  </w:t>
      </w:r>
    </w:p>
    <w:p w14:paraId="3B1DB114">
      <w:pPr>
        <w:adjustRightInd w:val="0"/>
        <w:snapToGrid w:val="0"/>
        <w:jc w:val="both"/>
        <w:rPr>
          <w:rFonts w:hint="eastAsia" w:ascii="宋体" w:hAnsi="宋体" w:eastAsia="宋体" w:cs="宋体"/>
          <w:b/>
          <w:bCs/>
          <w:sz w:val="22"/>
          <w:szCs w:val="22"/>
          <w:lang w:val="en-US" w:eastAsia="zh-CN"/>
        </w:rPr>
      </w:pPr>
    </w:p>
    <w:p w14:paraId="1631CD03">
      <w:pPr>
        <w:adjustRightInd w:val="0"/>
        <w:snapToGrid w:val="0"/>
        <w:jc w:val="both"/>
        <w:rPr>
          <w:rFonts w:hint="eastAsia" w:ascii="宋体" w:hAnsi="宋体" w:eastAsia="宋体" w:cs="宋体"/>
          <w:b/>
          <w:bCs/>
          <w:sz w:val="22"/>
          <w:szCs w:val="22"/>
          <w:lang w:val="en-US" w:eastAsia="zh-CN"/>
        </w:rPr>
      </w:pPr>
    </w:p>
    <w:tbl>
      <w:tblPr>
        <w:tblStyle w:val="304"/>
        <w:tblW w:w="90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4"/>
        <w:gridCol w:w="3669"/>
        <w:gridCol w:w="1065"/>
        <w:gridCol w:w="783"/>
        <w:gridCol w:w="1265"/>
        <w:gridCol w:w="998"/>
      </w:tblGrid>
      <w:tr w14:paraId="6A657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294" w:type="dxa"/>
            <w:vMerge w:val="restart"/>
            <w:tcBorders>
              <w:bottom w:val="nil"/>
            </w:tcBorders>
            <w:vAlign w:val="top"/>
          </w:tcPr>
          <w:p w14:paraId="51C1AA26">
            <w:pPr>
              <w:widowControl/>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lang w:eastAsia="en-US"/>
              </w:rPr>
            </w:pPr>
          </w:p>
          <w:p w14:paraId="29BD0D4D">
            <w:pPr>
              <w:kinsoku w:val="0"/>
              <w:autoSpaceDE w:val="0"/>
              <w:autoSpaceDN w:val="0"/>
              <w:adjustRightInd w:val="0"/>
              <w:snapToGrid w:val="0"/>
              <w:spacing w:before="65" w:line="228" w:lineRule="auto"/>
              <w:ind w:left="25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669" w:type="dxa"/>
            <w:vMerge w:val="restart"/>
            <w:tcBorders>
              <w:bottom w:val="nil"/>
            </w:tcBorders>
            <w:vAlign w:val="top"/>
          </w:tcPr>
          <w:p w14:paraId="36F61428">
            <w:pPr>
              <w:widowControl/>
              <w:kinsoku w:val="0"/>
              <w:autoSpaceDE w:val="0"/>
              <w:autoSpaceDN w:val="0"/>
              <w:adjustRightInd w:val="0"/>
              <w:snapToGrid w:val="0"/>
              <w:spacing w:line="410" w:lineRule="auto"/>
              <w:jc w:val="left"/>
              <w:textAlignment w:val="baseline"/>
              <w:rPr>
                <w:rFonts w:ascii="Arial" w:hAnsi="Arial" w:eastAsia="Arial" w:cs="Arial"/>
                <w:snapToGrid w:val="0"/>
                <w:color w:val="000000"/>
                <w:kern w:val="0"/>
                <w:sz w:val="21"/>
                <w:szCs w:val="21"/>
                <w:lang w:eastAsia="en-US"/>
              </w:rPr>
            </w:pPr>
          </w:p>
          <w:p w14:paraId="2DFA844E">
            <w:pPr>
              <w:kinsoku w:val="0"/>
              <w:autoSpaceDE w:val="0"/>
              <w:autoSpaceDN w:val="0"/>
              <w:adjustRightInd w:val="0"/>
              <w:snapToGrid w:val="0"/>
              <w:spacing w:before="65" w:line="228" w:lineRule="auto"/>
              <w:ind w:left="142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服务要求</w:t>
            </w:r>
          </w:p>
        </w:tc>
        <w:tc>
          <w:tcPr>
            <w:tcW w:w="1065" w:type="dxa"/>
            <w:vMerge w:val="restart"/>
            <w:tcBorders>
              <w:bottom w:val="nil"/>
            </w:tcBorders>
            <w:vAlign w:val="top"/>
          </w:tcPr>
          <w:p w14:paraId="33CDB054">
            <w:pPr>
              <w:widowControl/>
              <w:kinsoku w:val="0"/>
              <w:autoSpaceDE w:val="0"/>
              <w:autoSpaceDN w:val="0"/>
              <w:adjustRightInd w:val="0"/>
              <w:snapToGrid w:val="0"/>
              <w:spacing w:line="410" w:lineRule="auto"/>
              <w:jc w:val="left"/>
              <w:textAlignment w:val="baseline"/>
              <w:rPr>
                <w:rFonts w:ascii="Arial" w:hAnsi="Arial" w:eastAsia="Arial" w:cs="Arial"/>
                <w:snapToGrid w:val="0"/>
                <w:color w:val="000000"/>
                <w:kern w:val="0"/>
                <w:sz w:val="21"/>
                <w:szCs w:val="21"/>
                <w:lang w:eastAsia="en-US"/>
              </w:rPr>
            </w:pPr>
          </w:p>
          <w:p w14:paraId="55900466">
            <w:pPr>
              <w:kinsoku w:val="0"/>
              <w:autoSpaceDE w:val="0"/>
              <w:autoSpaceDN w:val="0"/>
              <w:adjustRightInd w:val="0"/>
              <w:snapToGrid w:val="0"/>
              <w:spacing w:before="65" w:line="228" w:lineRule="auto"/>
              <w:ind w:left="7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数量/单位</w:t>
            </w:r>
          </w:p>
        </w:tc>
        <w:tc>
          <w:tcPr>
            <w:tcW w:w="2048" w:type="dxa"/>
            <w:gridSpan w:val="2"/>
            <w:vAlign w:val="top"/>
          </w:tcPr>
          <w:p w14:paraId="156686E8">
            <w:pPr>
              <w:kinsoku w:val="0"/>
              <w:autoSpaceDE w:val="0"/>
              <w:autoSpaceDN w:val="0"/>
              <w:adjustRightInd w:val="0"/>
              <w:snapToGrid w:val="0"/>
              <w:spacing w:before="55" w:line="228" w:lineRule="auto"/>
              <w:ind w:left="51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金额（元）</w:t>
            </w:r>
          </w:p>
        </w:tc>
        <w:tc>
          <w:tcPr>
            <w:tcW w:w="998" w:type="dxa"/>
            <w:vMerge w:val="restart"/>
            <w:tcBorders>
              <w:bottom w:val="nil"/>
            </w:tcBorders>
            <w:vAlign w:val="top"/>
          </w:tcPr>
          <w:p w14:paraId="068A8E80">
            <w:pPr>
              <w:widowControl/>
              <w:kinsoku w:val="0"/>
              <w:autoSpaceDE w:val="0"/>
              <w:autoSpaceDN w:val="0"/>
              <w:adjustRightInd w:val="0"/>
              <w:snapToGrid w:val="0"/>
              <w:spacing w:line="410" w:lineRule="auto"/>
              <w:jc w:val="left"/>
              <w:textAlignment w:val="baseline"/>
              <w:rPr>
                <w:rFonts w:ascii="Arial" w:hAnsi="Arial" w:eastAsia="Arial" w:cs="Arial"/>
                <w:snapToGrid w:val="0"/>
                <w:color w:val="000000"/>
                <w:kern w:val="0"/>
                <w:sz w:val="21"/>
                <w:szCs w:val="21"/>
                <w:lang w:eastAsia="en-US"/>
              </w:rPr>
            </w:pPr>
          </w:p>
          <w:p w14:paraId="32EF54C0">
            <w:pPr>
              <w:kinsoku w:val="0"/>
              <w:autoSpaceDE w:val="0"/>
              <w:autoSpaceDN w:val="0"/>
              <w:adjustRightInd w:val="0"/>
              <w:snapToGrid w:val="0"/>
              <w:spacing w:before="65" w:line="229" w:lineRule="auto"/>
              <w:ind w:left="40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备注</w:t>
            </w:r>
          </w:p>
        </w:tc>
      </w:tr>
      <w:tr w14:paraId="20981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1294" w:type="dxa"/>
            <w:vMerge w:val="continue"/>
            <w:tcBorders>
              <w:top w:val="nil"/>
            </w:tcBorders>
            <w:vAlign w:val="top"/>
          </w:tcPr>
          <w:p w14:paraId="44B84A2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669" w:type="dxa"/>
            <w:vMerge w:val="continue"/>
            <w:tcBorders>
              <w:top w:val="nil"/>
            </w:tcBorders>
            <w:vAlign w:val="top"/>
          </w:tcPr>
          <w:p w14:paraId="10D8F29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65" w:type="dxa"/>
            <w:vMerge w:val="continue"/>
            <w:tcBorders>
              <w:top w:val="nil"/>
            </w:tcBorders>
            <w:vAlign w:val="top"/>
          </w:tcPr>
          <w:p w14:paraId="61865F1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783" w:type="dxa"/>
            <w:vAlign w:val="top"/>
          </w:tcPr>
          <w:p w14:paraId="0DE2F515">
            <w:pPr>
              <w:kinsoku w:val="0"/>
              <w:autoSpaceDE w:val="0"/>
              <w:autoSpaceDN w:val="0"/>
              <w:adjustRightInd w:val="0"/>
              <w:snapToGrid w:val="0"/>
              <w:spacing w:before="258" w:line="226" w:lineRule="auto"/>
              <w:ind w:left="19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单价</w:t>
            </w:r>
          </w:p>
        </w:tc>
        <w:tc>
          <w:tcPr>
            <w:tcW w:w="1265" w:type="dxa"/>
            <w:vAlign w:val="top"/>
          </w:tcPr>
          <w:p w14:paraId="7F04DB14">
            <w:pPr>
              <w:kinsoku w:val="0"/>
              <w:autoSpaceDE w:val="0"/>
              <w:autoSpaceDN w:val="0"/>
              <w:adjustRightInd w:val="0"/>
              <w:snapToGrid w:val="0"/>
              <w:spacing w:before="258" w:line="229" w:lineRule="auto"/>
              <w:ind w:left="44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998" w:type="dxa"/>
            <w:vMerge w:val="continue"/>
            <w:tcBorders>
              <w:top w:val="nil"/>
            </w:tcBorders>
            <w:vAlign w:val="top"/>
          </w:tcPr>
          <w:p w14:paraId="1EF15D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2B2A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294" w:type="dxa"/>
            <w:vAlign w:val="top"/>
          </w:tcPr>
          <w:p w14:paraId="413D16D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669" w:type="dxa"/>
            <w:vAlign w:val="top"/>
          </w:tcPr>
          <w:p w14:paraId="19B5E3F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65" w:type="dxa"/>
            <w:vAlign w:val="top"/>
          </w:tcPr>
          <w:p w14:paraId="0B1CE63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783" w:type="dxa"/>
            <w:vAlign w:val="top"/>
          </w:tcPr>
          <w:p w14:paraId="429F81E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265" w:type="dxa"/>
            <w:vAlign w:val="top"/>
          </w:tcPr>
          <w:p w14:paraId="09D2494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98" w:type="dxa"/>
            <w:vAlign w:val="top"/>
          </w:tcPr>
          <w:p w14:paraId="6DA64BB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A75E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294" w:type="dxa"/>
            <w:vAlign w:val="top"/>
          </w:tcPr>
          <w:p w14:paraId="17CE543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669" w:type="dxa"/>
            <w:vAlign w:val="top"/>
          </w:tcPr>
          <w:p w14:paraId="4251AE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65" w:type="dxa"/>
            <w:vAlign w:val="top"/>
          </w:tcPr>
          <w:p w14:paraId="1C44D36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783" w:type="dxa"/>
            <w:vAlign w:val="top"/>
          </w:tcPr>
          <w:p w14:paraId="78605DF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265" w:type="dxa"/>
            <w:vAlign w:val="top"/>
          </w:tcPr>
          <w:p w14:paraId="3BC7B38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98" w:type="dxa"/>
            <w:vAlign w:val="top"/>
          </w:tcPr>
          <w:p w14:paraId="7ADD5ED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D528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1294" w:type="dxa"/>
            <w:vAlign w:val="top"/>
          </w:tcPr>
          <w:p w14:paraId="68B1689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669" w:type="dxa"/>
            <w:vAlign w:val="top"/>
          </w:tcPr>
          <w:p w14:paraId="59859CA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65" w:type="dxa"/>
            <w:vAlign w:val="top"/>
          </w:tcPr>
          <w:p w14:paraId="1B00920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783" w:type="dxa"/>
            <w:vAlign w:val="top"/>
          </w:tcPr>
          <w:p w14:paraId="3A8CF59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265" w:type="dxa"/>
            <w:vAlign w:val="top"/>
          </w:tcPr>
          <w:p w14:paraId="76DF447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98" w:type="dxa"/>
            <w:vAlign w:val="top"/>
          </w:tcPr>
          <w:p w14:paraId="441609B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3CEC3E8C">
      <w:pPr>
        <w:pStyle w:val="30"/>
        <w:ind w:left="0" w:leftChars="0"/>
        <w:rPr>
          <w:rFonts w:hint="eastAsia" w:ascii="宋体" w:hAnsi="宋体" w:eastAsia="宋体" w:cs="宋体"/>
        </w:rPr>
      </w:pPr>
    </w:p>
    <w:p w14:paraId="6DE8FFED">
      <w:pPr>
        <w:widowControl/>
        <w:kinsoku w:val="0"/>
        <w:autoSpaceDE w:val="0"/>
        <w:autoSpaceDN w:val="0"/>
        <w:adjustRightInd w:val="0"/>
        <w:snapToGrid w:val="0"/>
        <w:spacing w:line="240" w:lineRule="auto"/>
        <w:ind w:left="0" w:firstLine="0" w:firstLineChars="0"/>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（1）不得填写“免费</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6"/>
          <w:kern w:val="0"/>
          <w:sz w:val="20"/>
          <w:szCs w:val="20"/>
          <w:lang w:eastAsia="en-US"/>
        </w:rPr>
        <w:t>”或“赠予</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6"/>
          <w:kern w:val="0"/>
          <w:sz w:val="20"/>
          <w:szCs w:val="20"/>
          <w:lang w:eastAsia="en-US"/>
        </w:rPr>
        <w:t>”，也不得进行“零</w:t>
      </w:r>
      <w:r>
        <w:rPr>
          <w:rFonts w:ascii="宋体" w:hAnsi="宋体" w:eastAsia="宋体" w:cs="宋体"/>
          <w:snapToGrid w:val="0"/>
          <w:color w:val="000000"/>
          <w:spacing w:val="-72"/>
          <w:kern w:val="0"/>
          <w:sz w:val="20"/>
          <w:szCs w:val="20"/>
          <w:lang w:eastAsia="en-US"/>
        </w:rPr>
        <w:t xml:space="preserve"> </w:t>
      </w:r>
      <w:r>
        <w:rPr>
          <w:rFonts w:ascii="宋体" w:hAnsi="宋体" w:eastAsia="宋体" w:cs="宋体"/>
          <w:snapToGrid w:val="0"/>
          <w:color w:val="000000"/>
          <w:spacing w:val="6"/>
          <w:kern w:val="0"/>
          <w:sz w:val="20"/>
          <w:szCs w:val="20"/>
          <w:lang w:eastAsia="en-US"/>
        </w:rPr>
        <w:t>”报价，否则</w:t>
      </w:r>
      <w:r>
        <w:rPr>
          <w:rFonts w:ascii="宋体" w:hAnsi="宋体" w:eastAsia="宋体" w:cs="宋体"/>
          <w:b/>
          <w:bCs/>
          <w:snapToGrid w:val="0"/>
          <w:color w:val="000000"/>
          <w:spacing w:val="6"/>
          <w:kern w:val="0"/>
          <w:sz w:val="20"/>
          <w:szCs w:val="20"/>
          <w:lang w:eastAsia="en-US"/>
        </w:rPr>
        <w:t>响应无效</w:t>
      </w:r>
      <w:r>
        <w:rPr>
          <w:rFonts w:ascii="宋体" w:hAnsi="宋体" w:eastAsia="宋体" w:cs="宋体"/>
          <w:snapToGrid w:val="0"/>
          <w:color w:val="000000"/>
          <w:spacing w:val="6"/>
          <w:kern w:val="0"/>
          <w:sz w:val="20"/>
          <w:szCs w:val="20"/>
          <w:lang w:eastAsia="en-US"/>
        </w:rPr>
        <w:t>。</w:t>
      </w:r>
    </w:p>
    <w:p w14:paraId="3051F445">
      <w:pPr>
        <w:adjustRightInd w:val="0"/>
        <w:snapToGrid w:val="0"/>
        <w:spacing w:line="240" w:lineRule="auto"/>
        <w:ind w:left="0" w:firstLine="0" w:firstLineChars="0"/>
        <w:rPr>
          <w:rFonts w:hint="eastAsia" w:ascii="宋体" w:hAnsi="宋体" w:eastAsia="宋体" w:cs="宋体"/>
          <w:szCs w:val="21"/>
        </w:rPr>
      </w:pPr>
      <w:r>
        <w:rPr>
          <w:rFonts w:ascii="宋体" w:hAnsi="宋体" w:eastAsia="宋体" w:cs="宋体"/>
          <w:spacing w:val="8"/>
          <w:sz w:val="20"/>
          <w:szCs w:val="20"/>
        </w:rPr>
        <w:t>（2）报价不能超过最高限价，否则</w:t>
      </w:r>
      <w:r>
        <w:rPr>
          <w:rFonts w:ascii="宋体" w:hAnsi="宋体" w:eastAsia="宋体" w:cs="宋体"/>
          <w:b/>
          <w:bCs/>
          <w:spacing w:val="8"/>
          <w:sz w:val="20"/>
          <w:szCs w:val="20"/>
        </w:rPr>
        <w:t>响应无效</w:t>
      </w:r>
      <w:r>
        <w:rPr>
          <w:rFonts w:ascii="宋体" w:hAnsi="宋体" w:eastAsia="宋体" w:cs="宋体"/>
          <w:spacing w:val="8"/>
          <w:sz w:val="20"/>
          <w:szCs w:val="20"/>
        </w:rPr>
        <w:t>。</w:t>
      </w:r>
    </w:p>
    <w:p w14:paraId="3D626556">
      <w:pPr>
        <w:widowControl w:val="0"/>
        <w:adjustRightInd w:val="0"/>
        <w:snapToGrid w:val="0"/>
        <w:spacing w:line="480" w:lineRule="auto"/>
        <w:jc w:val="both"/>
        <w:outlineLvl w:val="0"/>
        <w:rPr>
          <w:rFonts w:hint="eastAsia" w:ascii="宋体" w:hAnsi="宋体" w:eastAsia="宋体" w:cs="宋体"/>
          <w:kern w:val="2"/>
          <w:sz w:val="21"/>
          <w:szCs w:val="21"/>
          <w:lang w:val="en-US" w:eastAsia="zh-CN" w:bidi="ar-SA"/>
        </w:rPr>
      </w:pPr>
    </w:p>
    <w:p w14:paraId="2D57DF2E">
      <w:pPr>
        <w:widowControl w:val="0"/>
        <w:adjustRightInd w:val="0"/>
        <w:snapToGrid w:val="0"/>
        <w:spacing w:line="480" w:lineRule="auto"/>
        <w:jc w:val="both"/>
        <w:outlineLvl w:val="0"/>
        <w:rPr>
          <w:rFonts w:hint="eastAsia" w:ascii="宋体" w:hAnsi="宋体" w:eastAsia="宋体" w:cs="宋体"/>
          <w:kern w:val="2"/>
          <w:sz w:val="21"/>
          <w:szCs w:val="21"/>
          <w:lang w:val="en-US" w:eastAsia="zh-CN" w:bidi="ar-SA"/>
        </w:rPr>
      </w:pPr>
    </w:p>
    <w:p w14:paraId="3E119938">
      <w:pPr>
        <w:widowControl w:val="0"/>
        <w:adjustRightInd w:val="0"/>
        <w:snapToGrid w:val="0"/>
        <w:spacing w:line="480" w:lineRule="auto"/>
        <w:jc w:val="both"/>
        <w:outlineLvl w:val="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供应商（盖单位章）：</w:t>
      </w:r>
    </w:p>
    <w:p w14:paraId="3C498F3A">
      <w:pPr>
        <w:widowControl w:val="0"/>
        <w:adjustRightInd w:val="0"/>
        <w:snapToGrid w:val="0"/>
        <w:spacing w:line="480" w:lineRule="auto"/>
        <w:jc w:val="both"/>
        <w:outlineLvl w:val="0"/>
        <w:rPr>
          <w:rFonts w:hint="eastAsia"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 xml:space="preserve">法定代表人或其委托代理人签字： </w:t>
      </w:r>
      <w:r>
        <w:rPr>
          <w:rFonts w:hint="eastAsia" w:ascii="宋体" w:hAnsi="宋体" w:eastAsia="宋体" w:cs="宋体"/>
          <w:kern w:val="2"/>
          <w:sz w:val="21"/>
          <w:szCs w:val="21"/>
          <w:u w:val="single"/>
          <w:lang w:val="en-US" w:eastAsia="zh-CN" w:bidi="ar-SA"/>
        </w:rPr>
        <w:t xml:space="preserve">      </w:t>
      </w:r>
    </w:p>
    <w:p w14:paraId="3B3D0617">
      <w:pPr>
        <w:spacing w:line="360" w:lineRule="auto"/>
        <w:rPr>
          <w:rFonts w:hint="eastAsia" w:ascii="宋体" w:hAnsi="宋体" w:eastAsia="宋体" w:cs="宋体"/>
        </w:rPr>
      </w:pPr>
      <w:r>
        <w:rPr>
          <w:rFonts w:hint="eastAsia" w:ascii="宋体" w:hAnsi="宋体" w:eastAsia="宋体" w:cs="宋体"/>
          <w:spacing w:val="6"/>
          <w:kern w:val="0"/>
          <w:szCs w:val="21"/>
        </w:rPr>
        <w:t>日  期：</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日</w:t>
      </w:r>
    </w:p>
    <w:p w14:paraId="799E717D">
      <w:pPr>
        <w:spacing w:line="360" w:lineRule="auto"/>
        <w:jc w:val="center"/>
        <w:outlineLvl w:val="1"/>
        <w:rPr>
          <w:rFonts w:hint="eastAsia" w:ascii="宋体" w:hAnsi="宋体" w:eastAsia="宋体" w:cs="宋体"/>
          <w:b/>
          <w:color w:val="auto"/>
          <w:sz w:val="32"/>
          <w:szCs w:val="32"/>
        </w:rPr>
      </w:pPr>
    </w:p>
    <w:p w14:paraId="372480F4">
      <w:pPr>
        <w:spacing w:line="360" w:lineRule="auto"/>
        <w:jc w:val="center"/>
        <w:outlineLvl w:val="1"/>
        <w:rPr>
          <w:rFonts w:hint="eastAsia" w:ascii="宋体" w:hAnsi="宋体" w:eastAsia="宋体" w:cs="宋体"/>
          <w:b/>
          <w:color w:val="auto"/>
          <w:sz w:val="32"/>
          <w:szCs w:val="32"/>
        </w:rPr>
      </w:pPr>
    </w:p>
    <w:p w14:paraId="650F95DA">
      <w:pPr>
        <w:spacing w:line="360" w:lineRule="auto"/>
        <w:jc w:val="center"/>
        <w:outlineLvl w:val="1"/>
        <w:rPr>
          <w:rFonts w:hint="eastAsia" w:ascii="宋体" w:hAnsi="宋体" w:eastAsia="宋体" w:cs="宋体"/>
          <w:b/>
          <w:color w:val="auto"/>
          <w:sz w:val="32"/>
          <w:szCs w:val="32"/>
        </w:rPr>
      </w:pPr>
    </w:p>
    <w:p w14:paraId="69C70D4B">
      <w:pPr>
        <w:spacing w:line="360" w:lineRule="auto"/>
        <w:jc w:val="center"/>
        <w:outlineLvl w:val="1"/>
        <w:rPr>
          <w:rFonts w:hint="eastAsia" w:ascii="宋体" w:hAnsi="宋体" w:eastAsia="宋体" w:cs="宋体"/>
          <w:b/>
          <w:color w:val="auto"/>
          <w:sz w:val="32"/>
          <w:szCs w:val="32"/>
        </w:rPr>
      </w:pPr>
    </w:p>
    <w:p w14:paraId="7ECB81BF">
      <w:pPr>
        <w:spacing w:line="360" w:lineRule="auto"/>
        <w:jc w:val="center"/>
        <w:outlineLvl w:val="1"/>
        <w:rPr>
          <w:rFonts w:hint="eastAsia" w:ascii="宋体" w:hAnsi="宋体" w:eastAsia="宋体" w:cs="宋体"/>
          <w:b/>
          <w:color w:val="auto"/>
          <w:sz w:val="32"/>
          <w:szCs w:val="32"/>
        </w:rPr>
      </w:pPr>
    </w:p>
    <w:p w14:paraId="6A305B2A">
      <w:pPr>
        <w:spacing w:line="360" w:lineRule="auto"/>
        <w:jc w:val="center"/>
        <w:outlineLvl w:val="1"/>
        <w:rPr>
          <w:rFonts w:hint="eastAsia" w:ascii="宋体" w:hAnsi="宋体" w:eastAsia="宋体" w:cs="宋体"/>
          <w:b/>
          <w:color w:val="auto"/>
          <w:sz w:val="32"/>
          <w:szCs w:val="32"/>
        </w:rPr>
      </w:pPr>
    </w:p>
    <w:p w14:paraId="5BB4F172">
      <w:pPr>
        <w:spacing w:line="360" w:lineRule="auto"/>
        <w:jc w:val="center"/>
        <w:outlineLvl w:val="1"/>
        <w:rPr>
          <w:rFonts w:hint="eastAsia" w:ascii="宋体" w:hAnsi="宋体" w:eastAsia="宋体" w:cs="宋体"/>
          <w:b/>
          <w:color w:val="auto"/>
          <w:sz w:val="32"/>
          <w:szCs w:val="32"/>
        </w:rPr>
      </w:pPr>
    </w:p>
    <w:p w14:paraId="6CA9ED4E">
      <w:pPr>
        <w:spacing w:line="360" w:lineRule="auto"/>
        <w:jc w:val="center"/>
        <w:outlineLvl w:val="1"/>
        <w:rPr>
          <w:rFonts w:hint="eastAsia" w:ascii="宋体" w:hAnsi="宋体" w:eastAsia="宋体" w:cs="宋体"/>
          <w:b/>
          <w:color w:val="auto"/>
          <w:sz w:val="32"/>
          <w:szCs w:val="32"/>
        </w:rPr>
      </w:pPr>
    </w:p>
    <w:p w14:paraId="55DD7F57">
      <w:pPr>
        <w:spacing w:line="360" w:lineRule="auto"/>
        <w:jc w:val="center"/>
        <w:outlineLvl w:val="1"/>
        <w:rPr>
          <w:rFonts w:hint="eastAsia" w:ascii="宋体" w:hAnsi="宋体" w:eastAsia="宋体" w:cs="宋体"/>
          <w:b/>
          <w:color w:val="auto"/>
          <w:sz w:val="32"/>
          <w:szCs w:val="32"/>
        </w:rPr>
      </w:pPr>
    </w:p>
    <w:p w14:paraId="0DA4D235">
      <w:pPr>
        <w:numPr>
          <w:ilvl w:val="0"/>
          <w:numId w:val="0"/>
        </w:numPr>
        <w:spacing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lang w:eastAsia="zh-CN"/>
        </w:rPr>
        <w:t>八、</w:t>
      </w:r>
      <w:r>
        <w:rPr>
          <w:rFonts w:hint="eastAsia" w:ascii="宋体" w:hAnsi="宋体" w:eastAsia="宋体" w:cs="宋体"/>
          <w:b/>
          <w:color w:val="auto"/>
          <w:sz w:val="32"/>
          <w:szCs w:val="32"/>
        </w:rPr>
        <w:t>供应商认为需要提供的其它资料</w:t>
      </w:r>
      <w:bookmarkEnd w:id="83"/>
    </w:p>
    <w:p w14:paraId="516B214E">
      <w:pPr>
        <w:adjustRightInd w:val="0"/>
        <w:snapToGrid w:val="0"/>
        <w:spacing w:beforeLines="50" w:line="360" w:lineRule="auto"/>
        <w:rPr>
          <w:rFonts w:hint="eastAsia" w:ascii="宋体" w:hAnsi="宋体" w:eastAsia="宋体" w:cs="宋体"/>
        </w:rPr>
      </w:pPr>
      <w:r>
        <w:rPr>
          <w:rFonts w:hint="eastAsia" w:ascii="宋体" w:hAnsi="宋体" w:eastAsia="宋体" w:cs="宋体"/>
        </w:rPr>
        <w:t>备注：</w:t>
      </w:r>
      <w:r>
        <w:rPr>
          <w:rFonts w:hint="eastAsia" w:ascii="宋体" w:hAnsi="宋体" w:eastAsia="宋体" w:cs="宋体"/>
          <w:lang w:val="en-US" w:eastAsia="zh-CN"/>
        </w:rPr>
        <w:t>供应商</w:t>
      </w:r>
      <w:r>
        <w:rPr>
          <w:rFonts w:hint="eastAsia" w:ascii="宋体" w:hAnsi="宋体" w:eastAsia="宋体" w:cs="宋体"/>
        </w:rPr>
        <w:t>认为需提供的其他资料</w:t>
      </w:r>
    </w:p>
    <w:p w14:paraId="1D69747B">
      <w:pPr>
        <w:adjustRightInd w:val="0"/>
        <w:snapToGrid w:val="0"/>
        <w:spacing w:line="360" w:lineRule="auto"/>
        <w:ind w:left="-88" w:leftChars="-42"/>
        <w:jc w:val="both"/>
        <w:rPr>
          <w:rFonts w:hint="eastAsia" w:ascii="宋体" w:hAnsi="宋体" w:eastAsia="宋体" w:cs="宋体"/>
          <w:color w:val="auto"/>
          <w:sz w:val="28"/>
          <w:szCs w:val="28"/>
        </w:rPr>
      </w:pPr>
    </w:p>
    <w:p w14:paraId="6E51DDA1">
      <w:pPr>
        <w:spacing w:line="360" w:lineRule="auto"/>
        <w:jc w:val="center"/>
        <w:outlineLvl w:val="1"/>
        <w:rPr>
          <w:rFonts w:hint="eastAsia" w:ascii="宋体" w:hAnsi="宋体" w:eastAsia="宋体" w:cs="宋体"/>
          <w:b/>
          <w:color w:val="auto"/>
          <w:sz w:val="32"/>
          <w:szCs w:val="32"/>
        </w:rPr>
      </w:pPr>
      <w:bookmarkStart w:id="84" w:name="_Toc11879761"/>
      <w:r>
        <w:rPr>
          <w:rFonts w:hint="eastAsia" w:ascii="宋体" w:hAnsi="宋体" w:eastAsia="宋体" w:cs="宋体"/>
          <w:b/>
          <w:color w:val="auto"/>
          <w:sz w:val="32"/>
          <w:szCs w:val="32"/>
        </w:rPr>
        <w:br w:type="page"/>
      </w:r>
      <w:r>
        <w:rPr>
          <w:rFonts w:hint="eastAsia" w:ascii="宋体" w:hAnsi="宋体" w:eastAsia="宋体" w:cs="宋体"/>
          <w:b/>
          <w:color w:val="auto"/>
          <w:sz w:val="32"/>
          <w:szCs w:val="32"/>
          <w:lang w:eastAsia="zh-CN"/>
        </w:rPr>
        <w:t>九</w:t>
      </w:r>
      <w:r>
        <w:rPr>
          <w:rFonts w:hint="eastAsia" w:ascii="宋体" w:hAnsi="宋体" w:eastAsia="宋体" w:cs="宋体"/>
          <w:b/>
          <w:color w:val="auto"/>
          <w:sz w:val="32"/>
          <w:szCs w:val="32"/>
        </w:rPr>
        <w:t>、最后报价</w:t>
      </w:r>
      <w:bookmarkEnd w:id="84"/>
    </w:p>
    <w:p w14:paraId="32A08016">
      <w:pPr>
        <w:spacing w:line="360" w:lineRule="auto"/>
        <w:jc w:val="center"/>
        <w:outlineLvl w:val="1"/>
        <w:rPr>
          <w:rFonts w:hint="eastAsia" w:ascii="宋体" w:hAnsi="宋体" w:eastAsia="宋体" w:cs="宋体"/>
          <w:b/>
          <w:color w:val="auto"/>
          <w:sz w:val="32"/>
          <w:szCs w:val="32"/>
          <w:lang w:val="en-US" w:eastAsia="zh-CN"/>
        </w:rPr>
      </w:pPr>
    </w:p>
    <w:p w14:paraId="0C369271">
      <w:pPr>
        <w:tabs>
          <w:tab w:val="left" w:pos="3600"/>
        </w:tabs>
        <w:adjustRightInd w:val="0"/>
        <w:snapToGrid w:val="0"/>
        <w:jc w:val="center"/>
        <w:rPr>
          <w:rFonts w:hint="eastAsia" w:ascii="宋体" w:hAnsi="宋体" w:eastAsia="宋体" w:cs="宋体"/>
          <w:b/>
          <w:bCs w:val="0"/>
          <w:spacing w:val="6"/>
          <w:kern w:val="0"/>
          <w:sz w:val="30"/>
          <w:szCs w:val="30"/>
        </w:rPr>
      </w:pPr>
      <w:r>
        <w:rPr>
          <w:rFonts w:hint="eastAsia" w:ascii="宋体" w:hAnsi="宋体" w:eastAsia="宋体" w:cs="宋体"/>
          <w:b/>
          <w:bCs w:val="0"/>
          <w:spacing w:val="6"/>
          <w:kern w:val="0"/>
          <w:sz w:val="30"/>
          <w:szCs w:val="30"/>
        </w:rPr>
        <w:t>报价一览表</w:t>
      </w:r>
    </w:p>
    <w:tbl>
      <w:tblPr>
        <w:tblStyle w:val="43"/>
        <w:tblpPr w:leftFromText="180" w:rightFromText="180" w:vertAnchor="text" w:horzAnchor="page" w:tblpX="1487" w:tblpY="412"/>
        <w:tblOverlap w:val="never"/>
        <w:tblW w:w="8920" w:type="dxa"/>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699"/>
        <w:gridCol w:w="2034"/>
        <w:gridCol w:w="1841"/>
      </w:tblGrid>
      <w:tr w14:paraId="68B540A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163E8BAA">
            <w:pPr>
              <w:ind w:right="23" w:rightChars="11"/>
              <w:jc w:val="center"/>
              <w:rPr>
                <w:rFonts w:hint="eastAsia" w:ascii="宋体" w:hAnsi="宋体" w:eastAsia="宋体" w:cs="宋体"/>
                <w:szCs w:val="21"/>
              </w:rPr>
            </w:pPr>
            <w:r>
              <w:rPr>
                <w:rFonts w:hint="eastAsia" w:ascii="宋体" w:hAnsi="宋体" w:eastAsia="宋体" w:cs="宋体"/>
                <w:szCs w:val="21"/>
              </w:rPr>
              <w:t>项目名称</w:t>
            </w:r>
          </w:p>
        </w:tc>
        <w:tc>
          <w:tcPr>
            <w:tcW w:w="2699" w:type="dxa"/>
            <w:vMerge w:val="restart"/>
            <w:tcBorders>
              <w:top w:val="double" w:color="auto" w:sz="4" w:space="0"/>
              <w:left w:val="single" w:color="auto" w:sz="4" w:space="0"/>
              <w:bottom w:val="single" w:color="auto" w:sz="4" w:space="0"/>
              <w:right w:val="single" w:color="auto" w:sz="4" w:space="0"/>
            </w:tcBorders>
            <w:noWrap w:val="0"/>
            <w:vAlign w:val="center"/>
          </w:tcPr>
          <w:p w14:paraId="2BC83A03">
            <w:pPr>
              <w:ind w:right="23" w:rightChars="11"/>
              <w:jc w:val="center"/>
              <w:rPr>
                <w:rFonts w:hint="eastAsia" w:ascii="宋体" w:hAnsi="宋体" w:eastAsia="宋体" w:cs="宋体"/>
                <w:szCs w:val="21"/>
              </w:rPr>
            </w:pPr>
          </w:p>
        </w:tc>
        <w:tc>
          <w:tcPr>
            <w:tcW w:w="2034" w:type="dxa"/>
            <w:tcBorders>
              <w:top w:val="double" w:color="auto" w:sz="4" w:space="0"/>
              <w:left w:val="single" w:color="auto" w:sz="4" w:space="0"/>
              <w:bottom w:val="single" w:color="auto" w:sz="4" w:space="0"/>
              <w:right w:val="single" w:color="auto" w:sz="4" w:space="0"/>
            </w:tcBorders>
            <w:noWrap w:val="0"/>
            <w:vAlign w:val="center"/>
          </w:tcPr>
          <w:p w14:paraId="74CA802E">
            <w:pPr>
              <w:ind w:right="23" w:rightChars="11"/>
              <w:jc w:val="center"/>
              <w:rPr>
                <w:rFonts w:hint="eastAsia" w:ascii="宋体" w:hAnsi="宋体" w:eastAsia="宋体" w:cs="宋体"/>
                <w:szCs w:val="21"/>
                <w:lang w:eastAsia="zh-CN"/>
              </w:rPr>
            </w:pPr>
            <w:r>
              <w:rPr>
                <w:rFonts w:hint="eastAsia" w:ascii="宋体" w:hAnsi="宋体" w:cs="宋体"/>
                <w:szCs w:val="21"/>
                <w:lang w:eastAsia="zh-CN"/>
              </w:rPr>
              <w:t>政府采购编号</w:t>
            </w:r>
          </w:p>
        </w:tc>
        <w:tc>
          <w:tcPr>
            <w:tcW w:w="1841" w:type="dxa"/>
            <w:tcBorders>
              <w:top w:val="double" w:color="auto" w:sz="4" w:space="0"/>
              <w:left w:val="single" w:color="auto" w:sz="4" w:space="0"/>
              <w:bottom w:val="single" w:color="auto" w:sz="4" w:space="0"/>
              <w:right w:val="double" w:color="auto" w:sz="4" w:space="0"/>
            </w:tcBorders>
            <w:noWrap w:val="0"/>
            <w:vAlign w:val="center"/>
          </w:tcPr>
          <w:p w14:paraId="30D0032A">
            <w:pPr>
              <w:ind w:right="23" w:rightChars="11"/>
              <w:jc w:val="center"/>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w:t>
            </w:r>
          </w:p>
        </w:tc>
      </w:tr>
      <w:tr w14:paraId="0219608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5AD9E6AD">
            <w:pPr>
              <w:ind w:right="23" w:rightChars="11"/>
              <w:jc w:val="center"/>
              <w:rPr>
                <w:rFonts w:hint="eastAsia" w:ascii="宋体" w:hAnsi="宋体" w:eastAsia="宋体" w:cs="宋体"/>
                <w:szCs w:val="21"/>
              </w:rPr>
            </w:pPr>
          </w:p>
        </w:tc>
        <w:tc>
          <w:tcPr>
            <w:tcW w:w="2699" w:type="dxa"/>
            <w:vMerge w:val="continue"/>
            <w:tcBorders>
              <w:top w:val="single" w:color="auto" w:sz="4" w:space="0"/>
              <w:left w:val="single" w:color="auto" w:sz="4" w:space="0"/>
              <w:bottom w:val="single" w:color="auto" w:sz="4" w:space="0"/>
              <w:right w:val="single" w:color="auto" w:sz="4" w:space="0"/>
            </w:tcBorders>
            <w:noWrap w:val="0"/>
            <w:vAlign w:val="center"/>
          </w:tcPr>
          <w:p w14:paraId="05F3387E">
            <w:pPr>
              <w:ind w:right="23" w:rightChars="11"/>
              <w:jc w:val="center"/>
              <w:rPr>
                <w:rFonts w:hint="eastAsia" w:ascii="宋体" w:hAnsi="宋体" w:eastAsia="宋体" w:cs="宋体"/>
                <w:szCs w:val="21"/>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51A2E693">
            <w:pPr>
              <w:ind w:right="23" w:rightChars="11"/>
              <w:jc w:val="center"/>
              <w:rPr>
                <w:rFonts w:hint="eastAsia" w:ascii="宋体" w:hAnsi="宋体" w:eastAsia="宋体" w:cs="宋体"/>
                <w:szCs w:val="21"/>
                <w:lang w:eastAsia="zh-CN"/>
              </w:rPr>
            </w:pPr>
            <w:r>
              <w:rPr>
                <w:rFonts w:hint="eastAsia" w:ascii="宋体" w:hAnsi="宋体" w:cs="宋体"/>
                <w:szCs w:val="21"/>
                <w:lang w:eastAsia="zh-CN"/>
              </w:rPr>
              <w:t>采购项目编号</w:t>
            </w:r>
          </w:p>
        </w:tc>
        <w:tc>
          <w:tcPr>
            <w:tcW w:w="1841" w:type="dxa"/>
            <w:tcBorders>
              <w:top w:val="single" w:color="auto" w:sz="4" w:space="0"/>
              <w:left w:val="single" w:color="auto" w:sz="4" w:space="0"/>
              <w:bottom w:val="single" w:color="auto" w:sz="4" w:space="0"/>
              <w:right w:val="double" w:color="auto" w:sz="4" w:space="0"/>
            </w:tcBorders>
            <w:noWrap w:val="0"/>
            <w:vAlign w:val="center"/>
          </w:tcPr>
          <w:p w14:paraId="68EBB8F5">
            <w:pPr>
              <w:ind w:right="23" w:rightChars="11"/>
              <w:jc w:val="center"/>
              <w:rPr>
                <w:rFonts w:hint="eastAsia" w:ascii="宋体" w:hAnsi="宋体" w:eastAsia="宋体" w:cs="宋体"/>
                <w:szCs w:val="21"/>
              </w:rPr>
            </w:pPr>
          </w:p>
        </w:tc>
      </w:tr>
      <w:tr w14:paraId="30704A3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top"/>
          </w:tcPr>
          <w:p w14:paraId="3EFDC138">
            <w:pPr>
              <w:pStyle w:val="307"/>
              <w:spacing w:before="6" w:line="216" w:lineRule="auto"/>
              <w:ind w:left="375" w:leftChars="0" w:firstLine="210" w:firstLineChars="100"/>
              <w:jc w:val="left"/>
              <w:outlineLvl w:val="0"/>
              <w:rPr>
                <w:rFonts w:hint="eastAsia" w:ascii="宋体" w:hAnsi="宋体" w:eastAsia="宋体" w:cs="宋体"/>
                <w:kern w:val="2"/>
                <w:sz w:val="21"/>
                <w:szCs w:val="21"/>
                <w:lang w:val="en-US" w:eastAsia="zh-CN" w:bidi="ar-SA"/>
              </w:rPr>
            </w:pPr>
          </w:p>
          <w:p w14:paraId="1C2229E3">
            <w:pPr>
              <w:pStyle w:val="307"/>
              <w:spacing w:before="6" w:line="216" w:lineRule="auto"/>
              <w:ind w:left="375" w:leftChars="0" w:firstLine="210" w:firstLineChars="100"/>
              <w:jc w:val="left"/>
              <w:outlineLvl w:val="0"/>
              <w:rPr>
                <w:rFonts w:hint="eastAsia" w:ascii="宋体" w:hAnsi="宋体" w:eastAsia="宋体" w:cs="宋体"/>
                <w:szCs w:val="21"/>
              </w:rPr>
            </w:pPr>
            <w:r>
              <w:rPr>
                <w:rFonts w:hint="eastAsia" w:ascii="宋体" w:hAnsi="宋体" w:eastAsia="宋体" w:cs="宋体"/>
                <w:kern w:val="2"/>
                <w:sz w:val="21"/>
                <w:szCs w:val="21"/>
                <w:lang w:val="en-US" w:eastAsia="zh-CN" w:bidi="ar-SA"/>
              </w:rPr>
              <w:t>品目代码</w:t>
            </w:r>
          </w:p>
        </w:tc>
        <w:tc>
          <w:tcPr>
            <w:tcW w:w="6574" w:type="dxa"/>
            <w:gridSpan w:val="3"/>
            <w:tcBorders>
              <w:top w:val="single" w:color="auto" w:sz="4" w:space="0"/>
              <w:left w:val="single" w:color="auto" w:sz="4" w:space="0"/>
              <w:bottom w:val="single" w:color="auto" w:sz="4" w:space="0"/>
              <w:right w:val="double" w:color="auto" w:sz="4" w:space="0"/>
            </w:tcBorders>
            <w:shd w:val="clear" w:color="auto" w:fill="auto"/>
            <w:noWrap w:val="0"/>
            <w:vAlign w:val="top"/>
          </w:tcPr>
          <w:p w14:paraId="35EC356A">
            <w:pPr>
              <w:pStyle w:val="307"/>
              <w:spacing w:before="17" w:line="205" w:lineRule="auto"/>
              <w:jc w:val="center"/>
              <w:outlineLvl w:val="0"/>
              <w:rPr>
                <w:rFonts w:hint="eastAsia" w:ascii="宋体" w:hAnsi="宋体" w:eastAsia="宋体" w:cs="宋体"/>
                <w:kern w:val="0"/>
                <w:sz w:val="24"/>
                <w:szCs w:val="24"/>
                <w:highlight w:val="none"/>
                <w:lang w:val="en-US" w:eastAsia="zh-CN" w:bidi="ar-SA"/>
              </w:rPr>
            </w:pPr>
            <w:r>
              <w:rPr>
                <w:rFonts w:hint="eastAsia" w:ascii="宋体" w:hAnsi="宋体" w:eastAsia="宋体" w:cs="宋体"/>
                <w:kern w:val="2"/>
                <w:sz w:val="21"/>
                <w:szCs w:val="21"/>
                <w:lang w:val="en-US" w:eastAsia="zh-CN" w:bidi="ar-SA"/>
              </w:rPr>
              <w:t>C99000000-其他服务</w:t>
            </w:r>
          </w:p>
        </w:tc>
      </w:tr>
      <w:tr w14:paraId="4FB3A51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260692F3">
            <w:pPr>
              <w:ind w:right="23" w:rightChars="11"/>
              <w:jc w:val="center"/>
              <w:rPr>
                <w:rFonts w:hint="eastAsia" w:ascii="宋体" w:hAnsi="宋体" w:eastAsia="宋体" w:cs="宋体"/>
                <w:szCs w:val="21"/>
                <w:lang w:eastAsia="zh-CN"/>
              </w:rPr>
            </w:pPr>
            <w:r>
              <w:rPr>
                <w:rFonts w:hint="eastAsia" w:ascii="宋体" w:hAnsi="宋体" w:eastAsia="宋体" w:cs="宋体"/>
                <w:szCs w:val="21"/>
              </w:rPr>
              <w:t>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600315A9">
            <w:pPr>
              <w:spacing w:line="360" w:lineRule="auto"/>
              <w:ind w:right="23" w:rightChars="11"/>
              <w:rPr>
                <w:rFonts w:hint="eastAsia" w:ascii="宋体" w:hAnsi="宋体" w:eastAsia="宋体" w:cs="宋体"/>
                <w:szCs w:val="21"/>
              </w:rPr>
            </w:pPr>
            <w:r>
              <w:rPr>
                <w:rFonts w:hint="eastAsia" w:ascii="宋体" w:hAnsi="宋体" w:eastAsia="宋体" w:cs="宋体"/>
                <w:szCs w:val="21"/>
              </w:rPr>
              <w:t>大写：</w:t>
            </w:r>
            <w:r>
              <w:rPr>
                <w:rFonts w:hint="eastAsia" w:ascii="宋体" w:hAnsi="宋体" w:eastAsia="宋体" w:cs="宋体"/>
                <w:szCs w:val="21"/>
                <w:u w:val="single"/>
              </w:rPr>
              <w:t xml:space="preserve">                    </w:t>
            </w:r>
            <w:r>
              <w:rPr>
                <w:rFonts w:hint="eastAsia" w:ascii="宋体" w:hAnsi="宋体" w:eastAsia="宋体" w:cs="宋体"/>
                <w:szCs w:val="21"/>
              </w:rPr>
              <w:t>元人民币整</w:t>
            </w:r>
          </w:p>
          <w:p w14:paraId="53B1E52E">
            <w:pPr>
              <w:spacing w:line="360" w:lineRule="auto"/>
              <w:ind w:right="23" w:rightChars="11"/>
              <w:rPr>
                <w:rFonts w:hint="eastAsia" w:ascii="宋体" w:hAnsi="宋体" w:eastAsia="宋体" w:cs="宋体"/>
                <w:szCs w:val="21"/>
              </w:rPr>
            </w:pP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元人民币整</w:t>
            </w:r>
          </w:p>
        </w:tc>
      </w:tr>
      <w:tr w14:paraId="63F0C38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9A62657">
            <w:pPr>
              <w:ind w:right="23" w:rightChars="11"/>
              <w:jc w:val="center"/>
              <w:rPr>
                <w:rFonts w:hint="eastAsia" w:ascii="宋体" w:hAnsi="宋体" w:eastAsia="宋体" w:cs="宋体"/>
                <w:szCs w:val="21"/>
              </w:rPr>
            </w:pPr>
            <w:r>
              <w:rPr>
                <w:rFonts w:hint="eastAsia" w:ascii="宋体" w:hAnsi="宋体" w:eastAsia="宋体" w:cs="宋体"/>
                <w:szCs w:val="21"/>
                <w:lang w:eastAsia="zh-CN"/>
              </w:rPr>
              <w:t>服务</w:t>
            </w:r>
            <w:r>
              <w:rPr>
                <w:rFonts w:hint="eastAsia" w:ascii="宋体" w:hAnsi="宋体" w:eastAsia="宋体" w:cs="宋体"/>
                <w:szCs w:val="21"/>
              </w:rPr>
              <w:t>期</w:t>
            </w:r>
            <w:r>
              <w:rPr>
                <w:rFonts w:hint="eastAsia" w:ascii="宋体" w:hAnsi="宋体" w:eastAsia="宋体" w:cs="宋体"/>
                <w:szCs w:val="21"/>
                <w:lang w:eastAsia="zh-CN"/>
              </w:rPr>
              <w:t>限</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2B00AE77">
            <w:pPr>
              <w:ind w:right="23" w:rightChars="11"/>
              <w:jc w:val="center"/>
              <w:rPr>
                <w:rFonts w:hint="eastAsia" w:ascii="宋体" w:hAnsi="宋体" w:eastAsia="宋体" w:cs="宋体"/>
                <w:szCs w:val="21"/>
                <w:lang w:val="en-US" w:eastAsia="zh-CN"/>
              </w:rPr>
            </w:pPr>
          </w:p>
        </w:tc>
      </w:tr>
      <w:tr w14:paraId="212667A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157DAC6A">
            <w:pPr>
              <w:ind w:right="23" w:rightChars="11"/>
              <w:jc w:val="center"/>
              <w:rPr>
                <w:rFonts w:hint="eastAsia" w:ascii="宋体" w:hAnsi="宋体" w:eastAsia="宋体" w:cs="宋体"/>
                <w:szCs w:val="21"/>
              </w:rPr>
            </w:pPr>
            <w:r>
              <w:rPr>
                <w:rFonts w:hint="eastAsia" w:ascii="宋体" w:hAnsi="宋体" w:eastAsia="宋体" w:cs="宋体"/>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69FDCC1F">
            <w:pPr>
              <w:ind w:right="23" w:rightChars="11"/>
              <w:jc w:val="center"/>
              <w:rPr>
                <w:rFonts w:hint="eastAsia" w:ascii="宋体" w:hAnsi="宋体" w:eastAsia="宋体" w:cs="宋体"/>
                <w:szCs w:val="21"/>
              </w:rPr>
            </w:pPr>
          </w:p>
        </w:tc>
      </w:tr>
    </w:tbl>
    <w:p w14:paraId="328A8441">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eastAsia" w:ascii="宋体" w:hAnsi="宋体" w:eastAsia="宋体" w:cs="宋体"/>
          <w:sz w:val="20"/>
          <w:szCs w:val="21"/>
        </w:rPr>
      </w:pPr>
      <w:r>
        <w:rPr>
          <w:rFonts w:hint="eastAsia" w:ascii="宋体" w:hAnsi="宋体" w:eastAsia="宋体" w:cs="宋体"/>
          <w:sz w:val="20"/>
          <w:szCs w:val="21"/>
        </w:rPr>
        <w:t>说明：“品目代码”栏按《政府采购品目分类目录》规定填写，如B0303拆除工程。</w:t>
      </w:r>
    </w:p>
    <w:p w14:paraId="264263C7">
      <w:pPr>
        <w:adjustRightInd w:val="0"/>
        <w:snapToGrid w:val="0"/>
        <w:spacing w:line="360" w:lineRule="auto"/>
        <w:rPr>
          <w:rFonts w:hint="eastAsia" w:ascii="宋体" w:hAnsi="宋体" w:eastAsia="宋体" w:cs="宋体"/>
          <w:sz w:val="20"/>
        </w:rPr>
      </w:pPr>
    </w:p>
    <w:p w14:paraId="23BF9079">
      <w:pPr>
        <w:adjustRightInd w:val="0"/>
        <w:snapToGrid w:val="0"/>
        <w:spacing w:line="360" w:lineRule="auto"/>
        <w:rPr>
          <w:rFonts w:hint="eastAsia" w:ascii="宋体" w:hAnsi="宋体" w:eastAsia="宋体" w:cs="宋体"/>
          <w:sz w:val="20"/>
        </w:rPr>
      </w:pPr>
    </w:p>
    <w:p w14:paraId="272B2DB1">
      <w:pPr>
        <w:pStyle w:val="26"/>
        <w:adjustRightInd w:val="0"/>
        <w:snapToGrid w:val="0"/>
        <w:spacing w:line="480" w:lineRule="auto"/>
        <w:outlineLvl w:val="0"/>
        <w:rPr>
          <w:rFonts w:hint="eastAsia" w:ascii="宋体" w:hAnsi="宋体" w:eastAsia="宋体" w:cs="宋体"/>
          <w:sz w:val="21"/>
          <w:szCs w:val="21"/>
        </w:rPr>
      </w:pPr>
      <w:r>
        <w:rPr>
          <w:rFonts w:hint="eastAsia" w:ascii="宋体" w:hAnsi="宋体" w:eastAsia="宋体" w:cs="宋体"/>
          <w:sz w:val="21"/>
          <w:szCs w:val="21"/>
        </w:rPr>
        <w:t>供应商（盖单位章）：</w:t>
      </w:r>
    </w:p>
    <w:p w14:paraId="73DEBDD2">
      <w:pPr>
        <w:pStyle w:val="26"/>
        <w:adjustRightInd w:val="0"/>
        <w:snapToGrid w:val="0"/>
        <w:spacing w:line="480" w:lineRule="auto"/>
        <w:outlineLvl w:val="0"/>
        <w:rPr>
          <w:rFonts w:hint="eastAsia" w:ascii="宋体" w:hAnsi="宋体" w:eastAsia="宋体" w:cs="宋体"/>
          <w:sz w:val="21"/>
          <w:szCs w:val="21"/>
          <w:u w:val="single"/>
        </w:rPr>
      </w:pPr>
      <w:r>
        <w:rPr>
          <w:rFonts w:hint="eastAsia" w:ascii="宋体" w:hAnsi="宋体" w:eastAsia="宋体" w:cs="宋体"/>
          <w:sz w:val="21"/>
          <w:szCs w:val="21"/>
        </w:rPr>
        <w:t xml:space="preserve">法定代表人或其委托代理人签字： </w:t>
      </w:r>
      <w:r>
        <w:rPr>
          <w:rFonts w:hint="eastAsia" w:ascii="宋体" w:hAnsi="宋体" w:eastAsia="宋体" w:cs="宋体"/>
          <w:sz w:val="21"/>
          <w:szCs w:val="21"/>
          <w:u w:val="single"/>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u w:val="single"/>
        </w:rPr>
        <w:t xml:space="preserve">    </w:t>
      </w:r>
    </w:p>
    <w:p w14:paraId="0DC49D8C">
      <w:pPr>
        <w:spacing w:line="360" w:lineRule="auto"/>
        <w:rPr>
          <w:rFonts w:hint="eastAsia" w:ascii="宋体" w:hAnsi="宋体" w:eastAsia="宋体" w:cs="宋体"/>
        </w:rPr>
      </w:pPr>
      <w:r>
        <w:rPr>
          <w:rFonts w:hint="eastAsia" w:ascii="宋体" w:hAnsi="宋体" w:eastAsia="宋体" w:cs="宋体"/>
          <w:spacing w:val="6"/>
          <w:kern w:val="0"/>
          <w:szCs w:val="21"/>
        </w:rPr>
        <w:t>日  期：</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rPr>
        <w:t>日</w:t>
      </w:r>
    </w:p>
    <w:p w14:paraId="6E479CBA">
      <w:pPr>
        <w:rPr>
          <w:rFonts w:hint="eastAsia" w:ascii="宋体" w:hAnsi="宋体" w:eastAsia="宋体" w:cs="宋体"/>
          <w:b/>
          <w:bCs/>
          <w:color w:val="auto"/>
          <w:highlight w:val="none"/>
          <w:lang w:eastAsia="zh-CN"/>
        </w:rPr>
      </w:pPr>
    </w:p>
    <w:p w14:paraId="78E732A8">
      <w:pPr>
        <w:rPr>
          <w:rFonts w:hint="eastAsia" w:ascii="宋体" w:hAnsi="宋体" w:eastAsia="宋体" w:cs="宋体"/>
          <w:b/>
          <w:bCs/>
          <w:color w:val="auto"/>
          <w:highlight w:val="none"/>
          <w:lang w:eastAsia="zh-CN"/>
        </w:rPr>
      </w:pPr>
    </w:p>
    <w:p w14:paraId="5EABFA58">
      <w:pPr>
        <w:spacing w:line="360" w:lineRule="auto"/>
        <w:ind w:firstLine="182" w:firstLineChars="100"/>
        <w:rPr>
          <w:rFonts w:hint="eastAsia" w:ascii="宋体" w:hAnsi="宋体" w:eastAsia="宋体" w:cs="宋体"/>
          <w:color w:val="auto"/>
          <w:spacing w:val="-14"/>
          <w:szCs w:val="21"/>
        </w:rPr>
      </w:pPr>
    </w:p>
    <w:p w14:paraId="45F7E062">
      <w:pPr>
        <w:adjustRightInd w:val="0"/>
        <w:snapToGrid w:val="0"/>
        <w:spacing w:line="400" w:lineRule="exact"/>
        <w:rPr>
          <w:rFonts w:hint="eastAsia" w:ascii="宋体" w:hAnsi="宋体" w:eastAsia="宋体" w:cs="宋体"/>
          <w:color w:val="auto"/>
          <w:szCs w:val="21"/>
        </w:rPr>
      </w:pPr>
    </w:p>
    <w:p w14:paraId="1D5D61F9">
      <w:pPr>
        <w:pStyle w:val="62"/>
        <w:rPr>
          <w:rFonts w:hint="eastAsia" w:ascii="宋体" w:hAnsi="宋体" w:eastAsia="宋体" w:cs="宋体"/>
          <w:color w:val="auto"/>
          <w:szCs w:val="21"/>
        </w:rPr>
      </w:pPr>
    </w:p>
    <w:p w14:paraId="0572BDAB">
      <w:pPr>
        <w:pStyle w:val="62"/>
        <w:ind w:left="0" w:leftChars="0" w:firstLine="0" w:firstLineChars="0"/>
        <w:rPr>
          <w:rFonts w:hint="eastAsia" w:ascii="宋体" w:hAnsi="宋体" w:eastAsia="宋体" w:cs="宋体"/>
          <w:color w:val="auto"/>
          <w:szCs w:val="21"/>
        </w:rPr>
      </w:pPr>
    </w:p>
    <w:p w14:paraId="0B3AE7AE">
      <w:pPr>
        <w:pStyle w:val="62"/>
        <w:rPr>
          <w:rFonts w:hint="eastAsia" w:ascii="宋体" w:hAnsi="宋体" w:eastAsia="宋体" w:cs="宋体"/>
          <w:color w:val="auto"/>
          <w:szCs w:val="21"/>
        </w:rPr>
      </w:pPr>
    </w:p>
    <w:p w14:paraId="066972A9">
      <w:pPr>
        <w:pStyle w:val="62"/>
        <w:ind w:left="0" w:leftChars="0" w:firstLine="0" w:firstLineChars="0"/>
        <w:rPr>
          <w:rFonts w:hint="eastAsia" w:ascii="宋体" w:hAnsi="宋体" w:eastAsia="宋体" w:cs="宋体"/>
          <w:color w:val="auto"/>
          <w:szCs w:val="21"/>
        </w:rPr>
      </w:pPr>
    </w:p>
    <w:p w14:paraId="05F273C5">
      <w:pPr>
        <w:pStyle w:val="62"/>
        <w:rPr>
          <w:rFonts w:hint="eastAsia" w:ascii="宋体" w:hAnsi="宋体" w:eastAsia="宋体" w:cs="宋体"/>
          <w:color w:val="auto"/>
          <w:szCs w:val="21"/>
        </w:rPr>
      </w:pPr>
    </w:p>
    <w:p w14:paraId="6E31241A">
      <w:pPr>
        <w:pStyle w:val="62"/>
        <w:rPr>
          <w:rFonts w:hint="eastAsia" w:ascii="宋体" w:hAnsi="宋体" w:eastAsia="宋体" w:cs="宋体"/>
          <w:color w:val="auto"/>
          <w:szCs w:val="21"/>
        </w:rPr>
      </w:pPr>
    </w:p>
    <w:p w14:paraId="3CDE6622">
      <w:pPr>
        <w:adjustRightInd w:val="0"/>
        <w:snapToGrid w:val="0"/>
        <w:spacing w:line="360" w:lineRule="auto"/>
        <w:ind w:left="-88" w:leftChars="-42" w:firstLine="527" w:firstLineChars="250"/>
        <w:rPr>
          <w:rFonts w:hint="eastAsia" w:ascii="宋体" w:hAnsi="宋体" w:eastAsia="宋体" w:cs="宋体"/>
          <w:color w:val="auto"/>
          <w:szCs w:val="21"/>
        </w:rPr>
      </w:pPr>
      <w:r>
        <w:rPr>
          <w:rFonts w:hint="eastAsia" w:ascii="宋体" w:hAnsi="宋体" w:eastAsia="宋体" w:cs="宋体"/>
          <w:b/>
          <w:bCs/>
          <w:color w:val="auto"/>
          <w:kern w:val="0"/>
          <w:szCs w:val="21"/>
          <w:lang w:val="en-US" w:eastAsia="zh-CN"/>
        </w:rPr>
        <w:t>说明</w:t>
      </w:r>
      <w:r>
        <w:rPr>
          <w:rFonts w:hint="eastAsia" w:ascii="宋体" w:hAnsi="宋体" w:eastAsia="宋体" w:cs="宋体"/>
          <w:b/>
          <w:bCs/>
          <w:color w:val="auto"/>
          <w:kern w:val="0"/>
          <w:szCs w:val="21"/>
        </w:rPr>
        <w:t>：最后报价</w:t>
      </w:r>
      <w:r>
        <w:rPr>
          <w:rFonts w:hint="eastAsia" w:ascii="宋体" w:hAnsi="宋体" w:eastAsia="宋体" w:cs="宋体"/>
          <w:b/>
          <w:bCs/>
          <w:color w:val="auto"/>
          <w:kern w:val="0"/>
          <w:szCs w:val="21"/>
          <w:lang w:val="en-US" w:eastAsia="zh-CN"/>
        </w:rPr>
        <w:t>相关内容和</w:t>
      </w:r>
      <w:r>
        <w:rPr>
          <w:rFonts w:hint="eastAsia" w:ascii="宋体" w:hAnsi="宋体" w:eastAsia="宋体" w:cs="宋体"/>
          <w:b/>
          <w:bCs/>
          <w:color w:val="auto"/>
          <w:kern w:val="0"/>
          <w:szCs w:val="21"/>
        </w:rPr>
        <w:t>表格不得装订在响应文件中，供应商需单独准备，谈判现场进行最后报价</w:t>
      </w:r>
      <w:r>
        <w:rPr>
          <w:rFonts w:hint="eastAsia" w:ascii="宋体" w:hAnsi="宋体" w:eastAsia="宋体" w:cs="宋体"/>
          <w:color w:val="auto"/>
          <w:kern w:val="0"/>
          <w:szCs w:val="21"/>
        </w:rPr>
        <w:t>。</w:t>
      </w:r>
    </w:p>
    <w:sectPr>
      <w:headerReference r:id="rId14" w:type="first"/>
      <w:headerReference r:id="rId12" w:type="default"/>
      <w:headerReference r:id="rId13" w:type="even"/>
      <w:footerReference r:id="rId15"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010FD26-3498-4C72-BB89-7D2E31EB803A}"/>
  </w:font>
  <w:font w:name="Arial">
    <w:panose1 w:val="020B0604020202020204"/>
    <w:charset w:val="01"/>
    <w:family w:val="swiss"/>
    <w:pitch w:val="default"/>
    <w:sig w:usb0="E0002AFF" w:usb1="C0007843" w:usb2="00000009" w:usb3="00000000" w:csb0="400001FF" w:csb1="FFFF0000"/>
    <w:embedRegular r:id="rId2" w:fontKey="{68FB2574-B46E-4D1C-9731-0271B7C73460}"/>
  </w:font>
  <w:font w:name="黑体">
    <w:panose1 w:val="02010609060101010101"/>
    <w:charset w:val="86"/>
    <w:family w:val="auto"/>
    <w:pitch w:val="default"/>
    <w:sig w:usb0="800002BF" w:usb1="38CF7CFA" w:usb2="00000016" w:usb3="00000000" w:csb0="00040001" w:csb1="00000000"/>
    <w:embedRegular r:id="rId3" w:fontKey="{692AC221-7EFB-45FE-A04D-2548A6FC2109}"/>
  </w:font>
  <w:font w:name="Courier New">
    <w:panose1 w:val="02070309020205020404"/>
    <w:charset w:val="01"/>
    <w:family w:val="modern"/>
    <w:pitch w:val="default"/>
    <w:sig w:usb0="E0002AFF" w:usb1="C0007843" w:usb2="00000009" w:usb3="00000000" w:csb0="400001FF" w:csb1="FFFF0000"/>
    <w:embedRegular r:id="rId4" w:fontKey="{EACF0B56-A535-43F2-B777-653469848CB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5" w:fontKey="{22F164CA-4879-4897-953C-0CF7FDF002E9}"/>
  </w:font>
  <w:font w:name="仿宋_GB2312">
    <w:altName w:val="仿宋"/>
    <w:panose1 w:val="02010609030101010101"/>
    <w:charset w:val="86"/>
    <w:family w:val="auto"/>
    <w:pitch w:val="default"/>
    <w:sig w:usb0="00000000" w:usb1="00000000" w:usb2="00000000" w:usb3="00000000" w:csb0="00040000" w:csb1="00000000"/>
    <w:embedRegular r:id="rId6" w:fontKey="{1D9D9A83-3E6A-42CC-AB81-99EEB03B8638}"/>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embedRegular r:id="rId7" w:fontKey="{5E6BF676-C19D-4F99-99AF-280EF29A8AF5}"/>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auto"/>
    <w:pitch w:val="default"/>
    <w:sig w:usb0="00000000" w:usb1="00000000" w:usb2="00000000" w:usb3="00000000" w:csb0="80000000" w:csb1="00000000"/>
    <w:embedRegular r:id="rId8" w:fontKey="{CD34C73C-36B7-4D59-92AB-5FCB8E266D42}"/>
  </w:font>
  <w:font w:name="汉仪书宋二KW">
    <w:altName w:val="宋体"/>
    <w:panose1 w:val="00000000000000000000"/>
    <w:charset w:val="00"/>
    <w:family w:val="auto"/>
    <w:pitch w:val="default"/>
    <w:sig w:usb0="00000000" w:usb1="00000000" w:usb2="00000000" w:usb3="00000000" w:csb0="00000000" w:csb1="00000000"/>
    <w:embedRegular r:id="rId9" w:fontKey="{0A49C744-AE14-4A9E-A882-723F9747D6AA}"/>
  </w:font>
  <w:font w:name="MS Gothic">
    <w:panose1 w:val="020B0609070205080204"/>
    <w:charset w:val="86"/>
    <w:family w:val="auto"/>
    <w:pitch w:val="default"/>
    <w:sig w:usb0="E00002FF" w:usb1="6AC7FDFB" w:usb2="00000012" w:usb3="00000000" w:csb0="4002009F" w:csb1="DFD70000"/>
    <w:embedRegular r:id="rId10" w:fontKey="{F38F3883-9CC1-4F50-9B20-D92A746EE677}"/>
  </w:font>
  <w:font w:name="WPSEMBED1">
    <w:panose1 w:val="050201020105070707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CD5FA">
    <w:pPr>
      <w:pStyle w:val="29"/>
      <w:jc w:val="right"/>
    </w:pPr>
  </w:p>
  <w:p w14:paraId="75BBF847">
    <w:pPr>
      <w:pStyle w:val="29"/>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9B546">
    <w:pPr>
      <w:pStyle w:val="29"/>
      <w:framePr w:wrap="around" w:vAnchor="text" w:hAnchor="margin" w:xAlign="right" w:y="1"/>
      <w:rPr>
        <w:rStyle w:val="47"/>
      </w:rPr>
    </w:pPr>
    <w:r>
      <w:fldChar w:fldCharType="begin"/>
    </w:r>
    <w:r>
      <w:rPr>
        <w:rStyle w:val="47"/>
      </w:rPr>
      <w:instrText xml:space="preserve">PAGE  </w:instrText>
    </w:r>
    <w:r>
      <w:fldChar w:fldCharType="end"/>
    </w:r>
  </w:p>
  <w:p w14:paraId="788CC4F3">
    <w:pPr>
      <w:pStyle w:val="2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A657C">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C4082">
    <w:pPr>
      <w:pStyle w:val="29"/>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26755">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126755">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EC5EBF5">
    <w:pPr>
      <w:pStyle w:val="29"/>
      <w:ind w:right="24"/>
      <w:jc w:val="center"/>
      <w:rPr>
        <w:sz w:val="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C764F">
    <w:pPr>
      <w:spacing w:line="240" w:lineRule="auto"/>
      <w:ind w:left="567" w:right="210" w:rightChars="100"/>
      <w:jc w:val="right"/>
      <w:rPr>
        <w:rFonts w:ascii="微软雅黑" w:hAnsi="微软雅黑" w:eastAsia="微软雅黑" w:cs="微软雅黑"/>
        <w:sz w:val="28"/>
        <w:szCs w:val="28"/>
      </w:rPr>
    </w:pP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 xml:space="preserve"> PAGE  \* MERGEFORMAT </w:instrText>
    </w:r>
    <w:r>
      <w:rPr>
        <w:rFonts w:ascii="Times New Roman" w:hAnsi="Times New Roman"/>
        <w:sz w:val="28"/>
      </w:rPr>
      <w:fldChar w:fldCharType="separate"/>
    </w:r>
    <w:r>
      <w:rPr>
        <w:rFonts w:ascii="Times New Roman" w:hAnsi="Times New Roman"/>
        <w:sz w:val="28"/>
      </w:rPr>
      <w:t>111</w:t>
    </w:r>
    <w:r>
      <w:rPr>
        <w:rFonts w:ascii="Times New Roman" w:hAnsi="Times New Roman"/>
        <w:sz w:val="28"/>
      </w:rPr>
      <w:fldChar w:fldCharType="end"/>
    </w:r>
    <w:r>
      <w:rPr>
        <w:rFonts w:ascii="Times New Roman" w:hAnsi="Times New Roman"/>
        <w:sz w:val="2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DFA29">
    <w:pPr>
      <w:spacing w:line="181" w:lineRule="auto"/>
      <w:ind w:left="7299"/>
      <w:rPr>
        <w:rFonts w:ascii="Times New Roman" w:hAnsi="Times New Roman" w:eastAsia="Times New Roman" w:cs="Times New Roman"/>
        <w:sz w:val="28"/>
        <w:szCs w:val="28"/>
      </w:rPr>
    </w:pPr>
    <w:r>
      <w:rPr>
        <w:sz w:val="2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BAECA5">
                          <w:pPr>
                            <w:pStyle w:val="29"/>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nLlg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5y5YMQIAAGUEAAAOAAAAAAAAAAEAIAAAAB8BAABkcnMvZTJvRG9jLnhtbFBLBQYA&#10;AAAABgAGAFkBAADCBQAAAAA=&#10;">
              <v:fill on="f" focussize="0,0"/>
              <v:stroke on="f" weight="0.5pt"/>
              <v:imagedata o:title=""/>
              <o:lock v:ext="edit" aspectratio="f"/>
              <v:textbox inset="0mm,0mm,0mm,0mm" style="mso-fit-shape-to-text:t;">
                <w:txbxContent>
                  <w:p w14:paraId="26BAECA5">
                    <w:pPr>
                      <w:pStyle w:val="29"/>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AF9DE">
    <w:pPr>
      <w:widowControl/>
      <w:kinsoku w:val="0"/>
      <w:autoSpaceDE w:val="0"/>
      <w:autoSpaceDN w:val="0"/>
      <w:adjustRightInd w:val="0"/>
      <w:snapToGrid w:val="0"/>
      <w:spacing w:line="213" w:lineRule="auto"/>
      <w:ind w:left="36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9224A">
                          <w:pPr>
                            <w:pStyle w:val="29"/>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1B9224A">
                    <w:pPr>
                      <w:pStyle w:val="29"/>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2380">
    <w:pPr>
      <w:pStyle w:val="29"/>
      <w:framePr w:wrap="around" w:vAnchor="text" w:hAnchor="margin" w:xAlign="right" w:y="1"/>
      <w:rPr>
        <w:rStyle w:val="47"/>
      </w:rPr>
    </w:pPr>
    <w:r>
      <w:fldChar w:fldCharType="begin"/>
    </w:r>
    <w:r>
      <w:rPr>
        <w:rStyle w:val="47"/>
      </w:rPr>
      <w:instrText xml:space="preserve">PAGE  </w:instrText>
    </w:r>
    <w:r>
      <w:fldChar w:fldCharType="end"/>
    </w:r>
  </w:p>
  <w:p w14:paraId="0B9EEC74">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6D5E">
    <w:pPr>
      <w:pStyle w:val="2"/>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DFF33">
    <w:pPr>
      <w:pStyle w:val="2"/>
      <w:jc w:val="left"/>
      <w:rPr>
        <w:rFonts w:hint="eastAsia" w:eastAsia="宋体"/>
        <w:lang w:eastAsia="zh-CN"/>
      </w:rPr>
    </w:pPr>
    <w:r>
      <w:rPr>
        <w:rFonts w:hint="eastAsia" w:ascii="宋体" w:hAnsi="宋体" w:cs="宋体"/>
        <w:i w:val="0"/>
        <w:iCs w:val="0"/>
        <w:caps w:val="0"/>
        <w:color w:val="000000"/>
        <w:spacing w:val="0"/>
        <w:sz w:val="18"/>
        <w:szCs w:val="18"/>
        <w:shd w:val="clear" w:color="auto" w:fill="FFFFFF"/>
        <w:lang w:eastAsia="zh-CN"/>
      </w:rPr>
      <w:t>S206线K115+200-K127+400、K127+600-K130+631交通安全精细化提升工程</w:t>
    </w:r>
    <w:r>
      <w:rPr>
        <w:rFonts w:hint="eastAsia"/>
        <w:lang w:val="en-US" w:eastAsia="zh-CN"/>
      </w:rPr>
      <w:t xml:space="preserve">                                    磋商</w:t>
    </w:r>
    <w:r>
      <w:rPr>
        <w:rFonts w:hint="eastAsia"/>
        <w:lang w:eastAsia="zh-CN"/>
      </w:rPr>
      <w:t>文件</w:t>
    </w:r>
    <w:r>
      <w:rPr>
        <w:rFonts w:hint="eastAsia"/>
        <w:lang w:val="en-US" w:eastAsia="zh-CN"/>
      </w:rPr>
      <w:t xml:space="preserve">                     </w:t>
    </w:r>
  </w:p>
  <w:p w14:paraId="7FF129A4">
    <w:pPr>
      <w:pStyle w:val="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D97D0">
    <w:pPr>
      <w:pStyle w:val="2"/>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E1BD">
    <w:pPr>
      <w:pStyle w:val="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16B02">
    <w:pPr>
      <w:pStyle w:val="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DE86F"/>
    <w:multiLevelType w:val="singleLevel"/>
    <w:tmpl w:val="D83DE86F"/>
    <w:lvl w:ilvl="0" w:tentative="0">
      <w:start w:val="4"/>
      <w:numFmt w:val="chineseCounting"/>
      <w:suff w:val="nothing"/>
      <w:lvlText w:val="%1、"/>
      <w:lvlJc w:val="left"/>
      <w:rPr>
        <w:rFonts w:hint="eastAsia"/>
      </w:rPr>
    </w:lvl>
  </w:abstractNum>
  <w:abstractNum w:abstractNumId="1">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CFFD3F9"/>
    <w:multiLevelType w:val="singleLevel"/>
    <w:tmpl w:val="2CFFD3F9"/>
    <w:lvl w:ilvl="0" w:tentative="0">
      <w:start w:val="1"/>
      <w:numFmt w:val="chineseCounting"/>
      <w:suff w:val="space"/>
      <w:lvlText w:val="第%1节"/>
      <w:lvlJc w:val="left"/>
      <w:rPr>
        <w:rFonts w:hint="eastAsia"/>
      </w:rPr>
    </w:lvl>
  </w:abstractNum>
  <w:abstractNum w:abstractNumId="5">
    <w:nsid w:val="45D21466"/>
    <w:multiLevelType w:val="singleLevel"/>
    <w:tmpl w:val="45D21466"/>
    <w:lvl w:ilvl="0" w:tentative="0">
      <w:start w:val="1"/>
      <w:numFmt w:val="chineseCounting"/>
      <w:suff w:val="space"/>
      <w:lvlText w:val="第%1章"/>
      <w:lvlJc w:val="left"/>
      <w:rPr>
        <w:rFonts w:hint="eastAsia"/>
      </w:rPr>
    </w:lvl>
  </w:abstractNum>
  <w:abstractNum w:abstractNumId="6">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6824A60"/>
    <w:multiLevelType w:val="singleLevel"/>
    <w:tmpl w:val="66824A60"/>
    <w:lvl w:ilvl="0" w:tentative="0">
      <w:start w:val="8"/>
      <w:numFmt w:val="chineseCounting"/>
      <w:suff w:val="nothing"/>
      <w:lvlText w:val="%1、"/>
      <w:lvlJc w:val="left"/>
      <w:rPr>
        <w:rFonts w:hint="eastAsia"/>
      </w:rPr>
    </w:lvl>
  </w:abstractNum>
  <w:abstractNum w:abstractNumId="8">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357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A45A081"/>
    <w:multiLevelType w:val="singleLevel"/>
    <w:tmpl w:val="7A45A081"/>
    <w:lvl w:ilvl="0" w:tentative="0">
      <w:start w:val="1"/>
      <w:numFmt w:val="decimal"/>
      <w:lvlText w:val="%1."/>
      <w:lvlJc w:val="left"/>
      <w:pPr>
        <w:tabs>
          <w:tab w:val="left" w:pos="312"/>
        </w:tabs>
      </w:pPr>
    </w:lvl>
  </w:abstractNum>
  <w:num w:numId="1">
    <w:abstractNumId w:val="5"/>
  </w:num>
  <w:num w:numId="2">
    <w:abstractNumId w:val="6"/>
  </w:num>
  <w:num w:numId="3">
    <w:abstractNumId w:val="9"/>
  </w:num>
  <w:num w:numId="4">
    <w:abstractNumId w:val="3"/>
  </w:num>
  <w:num w:numId="5">
    <w:abstractNumId w:val="1"/>
  </w:num>
  <w:num w:numId="6">
    <w:abstractNumId w:val="2"/>
  </w:num>
  <w:num w:numId="7">
    <w:abstractNumId w:val="8"/>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zMwZDhmNWQwNTE4YjM4MGEyMmNlNWYxYTFjNm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45991"/>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EF7950"/>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0F7FF3"/>
    <w:rsid w:val="01207B0A"/>
    <w:rsid w:val="01214A40"/>
    <w:rsid w:val="01552D48"/>
    <w:rsid w:val="015E74E9"/>
    <w:rsid w:val="01967670"/>
    <w:rsid w:val="01B27A87"/>
    <w:rsid w:val="01C30C4F"/>
    <w:rsid w:val="01C471B6"/>
    <w:rsid w:val="01F00DE6"/>
    <w:rsid w:val="01F92423"/>
    <w:rsid w:val="023040DB"/>
    <w:rsid w:val="025C1016"/>
    <w:rsid w:val="026F2B60"/>
    <w:rsid w:val="02D23086"/>
    <w:rsid w:val="02DA6184"/>
    <w:rsid w:val="0325553B"/>
    <w:rsid w:val="033C2BF5"/>
    <w:rsid w:val="038D16A3"/>
    <w:rsid w:val="039D2179"/>
    <w:rsid w:val="03A12CFC"/>
    <w:rsid w:val="03A367D0"/>
    <w:rsid w:val="03BB7608"/>
    <w:rsid w:val="03F90AE6"/>
    <w:rsid w:val="03F9762E"/>
    <w:rsid w:val="03FA0B5C"/>
    <w:rsid w:val="040F766F"/>
    <w:rsid w:val="0430313A"/>
    <w:rsid w:val="04396AB7"/>
    <w:rsid w:val="046C2747"/>
    <w:rsid w:val="04814D63"/>
    <w:rsid w:val="0484209A"/>
    <w:rsid w:val="049031F8"/>
    <w:rsid w:val="04B6097E"/>
    <w:rsid w:val="04D42843"/>
    <w:rsid w:val="04EB042F"/>
    <w:rsid w:val="04F217BD"/>
    <w:rsid w:val="04F9570C"/>
    <w:rsid w:val="055B3806"/>
    <w:rsid w:val="05644F36"/>
    <w:rsid w:val="061C1C70"/>
    <w:rsid w:val="062956B3"/>
    <w:rsid w:val="0632492C"/>
    <w:rsid w:val="063E0A32"/>
    <w:rsid w:val="0669364B"/>
    <w:rsid w:val="06715BBD"/>
    <w:rsid w:val="06B60A23"/>
    <w:rsid w:val="06CF2C64"/>
    <w:rsid w:val="06D55CFD"/>
    <w:rsid w:val="06E60D57"/>
    <w:rsid w:val="06F4757A"/>
    <w:rsid w:val="07023B06"/>
    <w:rsid w:val="071F4910"/>
    <w:rsid w:val="073109D6"/>
    <w:rsid w:val="07314DB1"/>
    <w:rsid w:val="07653449"/>
    <w:rsid w:val="0775613A"/>
    <w:rsid w:val="07BE010C"/>
    <w:rsid w:val="07CF5DE6"/>
    <w:rsid w:val="07D94EB6"/>
    <w:rsid w:val="07E01DA1"/>
    <w:rsid w:val="07E6312F"/>
    <w:rsid w:val="080C074C"/>
    <w:rsid w:val="081809AE"/>
    <w:rsid w:val="08186E7E"/>
    <w:rsid w:val="0858402D"/>
    <w:rsid w:val="0865499C"/>
    <w:rsid w:val="08844E22"/>
    <w:rsid w:val="08846E71"/>
    <w:rsid w:val="08A82846"/>
    <w:rsid w:val="08CB7027"/>
    <w:rsid w:val="09044B1F"/>
    <w:rsid w:val="09143A3A"/>
    <w:rsid w:val="09642144"/>
    <w:rsid w:val="096B512B"/>
    <w:rsid w:val="09974B66"/>
    <w:rsid w:val="09F61D50"/>
    <w:rsid w:val="0A01640B"/>
    <w:rsid w:val="0A091E88"/>
    <w:rsid w:val="0A402FCB"/>
    <w:rsid w:val="0A4F2875"/>
    <w:rsid w:val="0A5847B8"/>
    <w:rsid w:val="0A7F6132"/>
    <w:rsid w:val="0AAA7619"/>
    <w:rsid w:val="0ADD081A"/>
    <w:rsid w:val="0AF02C43"/>
    <w:rsid w:val="0AF33B8B"/>
    <w:rsid w:val="0B1961A5"/>
    <w:rsid w:val="0B2047BD"/>
    <w:rsid w:val="0B264E3C"/>
    <w:rsid w:val="0B3A5C6C"/>
    <w:rsid w:val="0B3E55EB"/>
    <w:rsid w:val="0B3E64D2"/>
    <w:rsid w:val="0BB04180"/>
    <w:rsid w:val="0BC87366"/>
    <w:rsid w:val="0C0344C3"/>
    <w:rsid w:val="0C3D0E88"/>
    <w:rsid w:val="0C402B5F"/>
    <w:rsid w:val="0C43416E"/>
    <w:rsid w:val="0C5C7E64"/>
    <w:rsid w:val="0C7F7D35"/>
    <w:rsid w:val="0CA17E5F"/>
    <w:rsid w:val="0CA4611A"/>
    <w:rsid w:val="0CD37BE3"/>
    <w:rsid w:val="0CD82C1A"/>
    <w:rsid w:val="0CDC1BD8"/>
    <w:rsid w:val="0D026C5D"/>
    <w:rsid w:val="0D042C2D"/>
    <w:rsid w:val="0D1407DA"/>
    <w:rsid w:val="0D1B66B8"/>
    <w:rsid w:val="0D2546FA"/>
    <w:rsid w:val="0D346713"/>
    <w:rsid w:val="0D3D7AE9"/>
    <w:rsid w:val="0D561634"/>
    <w:rsid w:val="0D674D12"/>
    <w:rsid w:val="0D6D4624"/>
    <w:rsid w:val="0D7C723F"/>
    <w:rsid w:val="0D7F321E"/>
    <w:rsid w:val="0DA11FD2"/>
    <w:rsid w:val="0E0545C3"/>
    <w:rsid w:val="0E370A51"/>
    <w:rsid w:val="0E52151F"/>
    <w:rsid w:val="0E6D2AA6"/>
    <w:rsid w:val="0E7C659C"/>
    <w:rsid w:val="0E8A0CB9"/>
    <w:rsid w:val="0E90320B"/>
    <w:rsid w:val="0EA8446D"/>
    <w:rsid w:val="0EAB24A9"/>
    <w:rsid w:val="0EDB1514"/>
    <w:rsid w:val="0EE505E5"/>
    <w:rsid w:val="0EEA5BFB"/>
    <w:rsid w:val="0EEF7A6E"/>
    <w:rsid w:val="0F024CF3"/>
    <w:rsid w:val="0F0A004B"/>
    <w:rsid w:val="0F0F72EA"/>
    <w:rsid w:val="0F1A028E"/>
    <w:rsid w:val="0F227143"/>
    <w:rsid w:val="0F2E76D7"/>
    <w:rsid w:val="0F692FC4"/>
    <w:rsid w:val="0F902D46"/>
    <w:rsid w:val="0F9F3719"/>
    <w:rsid w:val="0FA1275E"/>
    <w:rsid w:val="0FA52405"/>
    <w:rsid w:val="0FAC1578"/>
    <w:rsid w:val="0FB81265"/>
    <w:rsid w:val="0FDE794A"/>
    <w:rsid w:val="100F3B6B"/>
    <w:rsid w:val="10110C5E"/>
    <w:rsid w:val="101412B1"/>
    <w:rsid w:val="10160A4F"/>
    <w:rsid w:val="10191CD0"/>
    <w:rsid w:val="107054B0"/>
    <w:rsid w:val="10722060"/>
    <w:rsid w:val="1090336C"/>
    <w:rsid w:val="10A83CAA"/>
    <w:rsid w:val="10B476F6"/>
    <w:rsid w:val="10BC5375"/>
    <w:rsid w:val="10E326D9"/>
    <w:rsid w:val="10EF740C"/>
    <w:rsid w:val="110F7B9B"/>
    <w:rsid w:val="11286567"/>
    <w:rsid w:val="112A036E"/>
    <w:rsid w:val="11823EC9"/>
    <w:rsid w:val="118C3EC9"/>
    <w:rsid w:val="11CB3AC2"/>
    <w:rsid w:val="11DC6C7B"/>
    <w:rsid w:val="11F04FA2"/>
    <w:rsid w:val="120001C7"/>
    <w:rsid w:val="120B30DA"/>
    <w:rsid w:val="120B3EBE"/>
    <w:rsid w:val="12135469"/>
    <w:rsid w:val="12266F4A"/>
    <w:rsid w:val="12413D84"/>
    <w:rsid w:val="12415B32"/>
    <w:rsid w:val="12955E7E"/>
    <w:rsid w:val="12A87227"/>
    <w:rsid w:val="12D101A4"/>
    <w:rsid w:val="12DF1A75"/>
    <w:rsid w:val="12E01EC9"/>
    <w:rsid w:val="12E0359D"/>
    <w:rsid w:val="131C70A4"/>
    <w:rsid w:val="13637D2A"/>
    <w:rsid w:val="13A445CA"/>
    <w:rsid w:val="13B85AD2"/>
    <w:rsid w:val="13C06F2A"/>
    <w:rsid w:val="141D548D"/>
    <w:rsid w:val="144B0B25"/>
    <w:rsid w:val="146A3360"/>
    <w:rsid w:val="147541B9"/>
    <w:rsid w:val="14A406DB"/>
    <w:rsid w:val="14B22D17"/>
    <w:rsid w:val="14BE16BC"/>
    <w:rsid w:val="14BF1A72"/>
    <w:rsid w:val="14CF78C6"/>
    <w:rsid w:val="14DB04C0"/>
    <w:rsid w:val="14DF1632"/>
    <w:rsid w:val="14F72620"/>
    <w:rsid w:val="15121510"/>
    <w:rsid w:val="15245486"/>
    <w:rsid w:val="1531371E"/>
    <w:rsid w:val="1536056D"/>
    <w:rsid w:val="15406575"/>
    <w:rsid w:val="155D2FC9"/>
    <w:rsid w:val="156A0474"/>
    <w:rsid w:val="156A7B4C"/>
    <w:rsid w:val="1578154F"/>
    <w:rsid w:val="157F7CFD"/>
    <w:rsid w:val="159A5C6B"/>
    <w:rsid w:val="15A05293"/>
    <w:rsid w:val="15AE56B2"/>
    <w:rsid w:val="15DD6946"/>
    <w:rsid w:val="15EF14CE"/>
    <w:rsid w:val="161274BF"/>
    <w:rsid w:val="16326940"/>
    <w:rsid w:val="165C771F"/>
    <w:rsid w:val="165E3157"/>
    <w:rsid w:val="16632759"/>
    <w:rsid w:val="16685D83"/>
    <w:rsid w:val="168801D3"/>
    <w:rsid w:val="16881F81"/>
    <w:rsid w:val="16AB161F"/>
    <w:rsid w:val="16EB2510"/>
    <w:rsid w:val="16FE3FF2"/>
    <w:rsid w:val="170557A0"/>
    <w:rsid w:val="172A60D8"/>
    <w:rsid w:val="176779D4"/>
    <w:rsid w:val="17862F11"/>
    <w:rsid w:val="17AC7042"/>
    <w:rsid w:val="17C56C02"/>
    <w:rsid w:val="17CF5457"/>
    <w:rsid w:val="17E7058F"/>
    <w:rsid w:val="17FD11F8"/>
    <w:rsid w:val="18055854"/>
    <w:rsid w:val="18082FC5"/>
    <w:rsid w:val="18134CDC"/>
    <w:rsid w:val="1816068A"/>
    <w:rsid w:val="182D317E"/>
    <w:rsid w:val="183761D1"/>
    <w:rsid w:val="185F3EA1"/>
    <w:rsid w:val="18626802"/>
    <w:rsid w:val="18814EDA"/>
    <w:rsid w:val="18A230A3"/>
    <w:rsid w:val="18C612C6"/>
    <w:rsid w:val="18CC0C41"/>
    <w:rsid w:val="18D03B32"/>
    <w:rsid w:val="19225DDF"/>
    <w:rsid w:val="19757717"/>
    <w:rsid w:val="1A1100E6"/>
    <w:rsid w:val="1A1F3CA6"/>
    <w:rsid w:val="1A293A99"/>
    <w:rsid w:val="1A2C0840"/>
    <w:rsid w:val="1A2F0C5C"/>
    <w:rsid w:val="1A5B211B"/>
    <w:rsid w:val="1A6E1403"/>
    <w:rsid w:val="1A7D797B"/>
    <w:rsid w:val="1A807414"/>
    <w:rsid w:val="1AA73AB7"/>
    <w:rsid w:val="1AA869C4"/>
    <w:rsid w:val="1AAC0F98"/>
    <w:rsid w:val="1ADC6D40"/>
    <w:rsid w:val="1AF05B27"/>
    <w:rsid w:val="1B0102BD"/>
    <w:rsid w:val="1B1606F3"/>
    <w:rsid w:val="1B284CAF"/>
    <w:rsid w:val="1B66610F"/>
    <w:rsid w:val="1B7900EB"/>
    <w:rsid w:val="1B7E1BA5"/>
    <w:rsid w:val="1B917B2A"/>
    <w:rsid w:val="1B972C67"/>
    <w:rsid w:val="1BA333BA"/>
    <w:rsid w:val="1BB47375"/>
    <w:rsid w:val="1BE82DAB"/>
    <w:rsid w:val="1C0025BA"/>
    <w:rsid w:val="1C033E58"/>
    <w:rsid w:val="1C4A4564"/>
    <w:rsid w:val="1CA34506"/>
    <w:rsid w:val="1D24352B"/>
    <w:rsid w:val="1D491D3F"/>
    <w:rsid w:val="1D56202D"/>
    <w:rsid w:val="1D8D2573"/>
    <w:rsid w:val="1DAC014C"/>
    <w:rsid w:val="1DBB00F0"/>
    <w:rsid w:val="1E11344D"/>
    <w:rsid w:val="1E3471B4"/>
    <w:rsid w:val="1E5E181A"/>
    <w:rsid w:val="1E6A556D"/>
    <w:rsid w:val="1E780237"/>
    <w:rsid w:val="1E7828DC"/>
    <w:rsid w:val="1EA70877"/>
    <w:rsid w:val="1EAC5942"/>
    <w:rsid w:val="1EB300AC"/>
    <w:rsid w:val="1EBD29E4"/>
    <w:rsid w:val="1F1A3993"/>
    <w:rsid w:val="1F3F13C5"/>
    <w:rsid w:val="1F4E7AE0"/>
    <w:rsid w:val="1F5F69CB"/>
    <w:rsid w:val="1F62306E"/>
    <w:rsid w:val="1F667DEB"/>
    <w:rsid w:val="1F851C35"/>
    <w:rsid w:val="1F9D0554"/>
    <w:rsid w:val="1FA616CA"/>
    <w:rsid w:val="1FAB0A8F"/>
    <w:rsid w:val="1FD75D28"/>
    <w:rsid w:val="1FE73FC8"/>
    <w:rsid w:val="20045E79"/>
    <w:rsid w:val="20112870"/>
    <w:rsid w:val="202251F5"/>
    <w:rsid w:val="20390790"/>
    <w:rsid w:val="205E246C"/>
    <w:rsid w:val="2082681F"/>
    <w:rsid w:val="20827A42"/>
    <w:rsid w:val="209F4628"/>
    <w:rsid w:val="20A6791E"/>
    <w:rsid w:val="20AA07B4"/>
    <w:rsid w:val="20C938C2"/>
    <w:rsid w:val="20CF38A2"/>
    <w:rsid w:val="20CF69FF"/>
    <w:rsid w:val="20F36B91"/>
    <w:rsid w:val="21172F2B"/>
    <w:rsid w:val="21486EDD"/>
    <w:rsid w:val="215366BB"/>
    <w:rsid w:val="2162159E"/>
    <w:rsid w:val="21D02A2F"/>
    <w:rsid w:val="21D249F9"/>
    <w:rsid w:val="21D267A7"/>
    <w:rsid w:val="221B5E32"/>
    <w:rsid w:val="227B40CA"/>
    <w:rsid w:val="22AF6AE8"/>
    <w:rsid w:val="22D327D6"/>
    <w:rsid w:val="22DF73CD"/>
    <w:rsid w:val="22E701A1"/>
    <w:rsid w:val="22EC3898"/>
    <w:rsid w:val="22F369D5"/>
    <w:rsid w:val="233E1DDF"/>
    <w:rsid w:val="23447230"/>
    <w:rsid w:val="234E1262"/>
    <w:rsid w:val="23810484"/>
    <w:rsid w:val="238C48B5"/>
    <w:rsid w:val="239A13CC"/>
    <w:rsid w:val="23A710EC"/>
    <w:rsid w:val="23BF6269"/>
    <w:rsid w:val="23CE4603"/>
    <w:rsid w:val="23DD3E04"/>
    <w:rsid w:val="242552B4"/>
    <w:rsid w:val="2446522A"/>
    <w:rsid w:val="249A75CE"/>
    <w:rsid w:val="24C26FA6"/>
    <w:rsid w:val="24F24F18"/>
    <w:rsid w:val="24FD1D8D"/>
    <w:rsid w:val="2519685C"/>
    <w:rsid w:val="2533755C"/>
    <w:rsid w:val="25537BFE"/>
    <w:rsid w:val="256213CA"/>
    <w:rsid w:val="25626093"/>
    <w:rsid w:val="257302A1"/>
    <w:rsid w:val="25876A34"/>
    <w:rsid w:val="25B07409"/>
    <w:rsid w:val="25CB1E8B"/>
    <w:rsid w:val="25CC0A26"/>
    <w:rsid w:val="25DA20CE"/>
    <w:rsid w:val="265254F9"/>
    <w:rsid w:val="265A102C"/>
    <w:rsid w:val="265E7AF1"/>
    <w:rsid w:val="268D7140"/>
    <w:rsid w:val="26A1340E"/>
    <w:rsid w:val="26BE3397"/>
    <w:rsid w:val="27080E8E"/>
    <w:rsid w:val="27280C88"/>
    <w:rsid w:val="275212DF"/>
    <w:rsid w:val="27573D6E"/>
    <w:rsid w:val="275A1718"/>
    <w:rsid w:val="275F37C6"/>
    <w:rsid w:val="280108C4"/>
    <w:rsid w:val="28031D5F"/>
    <w:rsid w:val="281D5329"/>
    <w:rsid w:val="281F64BE"/>
    <w:rsid w:val="282020C5"/>
    <w:rsid w:val="283C1F74"/>
    <w:rsid w:val="283F5009"/>
    <w:rsid w:val="284952E9"/>
    <w:rsid w:val="28592B4A"/>
    <w:rsid w:val="287A657C"/>
    <w:rsid w:val="28C931FC"/>
    <w:rsid w:val="28D17B5A"/>
    <w:rsid w:val="28DD4250"/>
    <w:rsid w:val="28ED036A"/>
    <w:rsid w:val="290A00B5"/>
    <w:rsid w:val="291E0585"/>
    <w:rsid w:val="29341F98"/>
    <w:rsid w:val="29510270"/>
    <w:rsid w:val="29541EF3"/>
    <w:rsid w:val="296610C7"/>
    <w:rsid w:val="296E24BE"/>
    <w:rsid w:val="29883BEF"/>
    <w:rsid w:val="29A24289"/>
    <w:rsid w:val="29D169ED"/>
    <w:rsid w:val="29E67293"/>
    <w:rsid w:val="29EB31D6"/>
    <w:rsid w:val="29F179E6"/>
    <w:rsid w:val="29F65A9D"/>
    <w:rsid w:val="29FA7CB0"/>
    <w:rsid w:val="2A4F26D6"/>
    <w:rsid w:val="2A6A759C"/>
    <w:rsid w:val="2A6D73F4"/>
    <w:rsid w:val="2A8047E1"/>
    <w:rsid w:val="2A811540"/>
    <w:rsid w:val="2A9027A1"/>
    <w:rsid w:val="2A922F77"/>
    <w:rsid w:val="2A9A62D0"/>
    <w:rsid w:val="2A9B1922"/>
    <w:rsid w:val="2AAF3B29"/>
    <w:rsid w:val="2AC9370A"/>
    <w:rsid w:val="2AD01CF1"/>
    <w:rsid w:val="2B195446"/>
    <w:rsid w:val="2B204993"/>
    <w:rsid w:val="2B367DA6"/>
    <w:rsid w:val="2B51310F"/>
    <w:rsid w:val="2B522F91"/>
    <w:rsid w:val="2B62123C"/>
    <w:rsid w:val="2B77216D"/>
    <w:rsid w:val="2B8365A2"/>
    <w:rsid w:val="2B8925CC"/>
    <w:rsid w:val="2B8F282B"/>
    <w:rsid w:val="2B90195F"/>
    <w:rsid w:val="2BAE2033"/>
    <w:rsid w:val="2BCA4992"/>
    <w:rsid w:val="2BEE645D"/>
    <w:rsid w:val="2C00260B"/>
    <w:rsid w:val="2C007E18"/>
    <w:rsid w:val="2C153E60"/>
    <w:rsid w:val="2C1927E2"/>
    <w:rsid w:val="2C31056E"/>
    <w:rsid w:val="2C316F33"/>
    <w:rsid w:val="2C3A6CD6"/>
    <w:rsid w:val="2C3D33B6"/>
    <w:rsid w:val="2C474131"/>
    <w:rsid w:val="2C602C01"/>
    <w:rsid w:val="2C644C73"/>
    <w:rsid w:val="2C685D2A"/>
    <w:rsid w:val="2C6D5A4A"/>
    <w:rsid w:val="2C9F6073"/>
    <w:rsid w:val="2CA66B22"/>
    <w:rsid w:val="2CAA5840"/>
    <w:rsid w:val="2CAD55F1"/>
    <w:rsid w:val="2CB230DE"/>
    <w:rsid w:val="2CBD6AA5"/>
    <w:rsid w:val="2CD55CAB"/>
    <w:rsid w:val="2CD60140"/>
    <w:rsid w:val="2CDB2CB6"/>
    <w:rsid w:val="2CE56FDF"/>
    <w:rsid w:val="2CE61358"/>
    <w:rsid w:val="2CFB31EB"/>
    <w:rsid w:val="2D596312"/>
    <w:rsid w:val="2D7C1CBC"/>
    <w:rsid w:val="2D992AB2"/>
    <w:rsid w:val="2DC61F3F"/>
    <w:rsid w:val="2DCA6FC8"/>
    <w:rsid w:val="2DE17A0B"/>
    <w:rsid w:val="2DF67CC1"/>
    <w:rsid w:val="2E2760CC"/>
    <w:rsid w:val="2E4F4014"/>
    <w:rsid w:val="2E732D33"/>
    <w:rsid w:val="2E7B63A8"/>
    <w:rsid w:val="2E821554"/>
    <w:rsid w:val="2E8224EA"/>
    <w:rsid w:val="2E913546"/>
    <w:rsid w:val="2EAF2074"/>
    <w:rsid w:val="2EB3170E"/>
    <w:rsid w:val="2EC61441"/>
    <w:rsid w:val="2EDA1AF3"/>
    <w:rsid w:val="2EDC3DB6"/>
    <w:rsid w:val="2F1403FE"/>
    <w:rsid w:val="2F1B1819"/>
    <w:rsid w:val="2F2074F1"/>
    <w:rsid w:val="2F3769D8"/>
    <w:rsid w:val="2F4B5532"/>
    <w:rsid w:val="2F6629B6"/>
    <w:rsid w:val="2F837332"/>
    <w:rsid w:val="2F8D1F5F"/>
    <w:rsid w:val="2F92720B"/>
    <w:rsid w:val="2FA8139B"/>
    <w:rsid w:val="2FB925A3"/>
    <w:rsid w:val="2FFB520E"/>
    <w:rsid w:val="300A35B0"/>
    <w:rsid w:val="30197C97"/>
    <w:rsid w:val="302F2A08"/>
    <w:rsid w:val="30336435"/>
    <w:rsid w:val="30365A12"/>
    <w:rsid w:val="304940D8"/>
    <w:rsid w:val="304C0704"/>
    <w:rsid w:val="305A506F"/>
    <w:rsid w:val="308271F8"/>
    <w:rsid w:val="308710A4"/>
    <w:rsid w:val="30D27161"/>
    <w:rsid w:val="30EF7BC3"/>
    <w:rsid w:val="31176B43"/>
    <w:rsid w:val="311F4444"/>
    <w:rsid w:val="312863E3"/>
    <w:rsid w:val="315E6490"/>
    <w:rsid w:val="31745184"/>
    <w:rsid w:val="319421D1"/>
    <w:rsid w:val="31BB5C4E"/>
    <w:rsid w:val="31F86466"/>
    <w:rsid w:val="320209E2"/>
    <w:rsid w:val="3203475A"/>
    <w:rsid w:val="32094B56"/>
    <w:rsid w:val="3209533A"/>
    <w:rsid w:val="32311E18"/>
    <w:rsid w:val="327F0285"/>
    <w:rsid w:val="32930D50"/>
    <w:rsid w:val="33155F30"/>
    <w:rsid w:val="332B785F"/>
    <w:rsid w:val="33483792"/>
    <w:rsid w:val="336A460C"/>
    <w:rsid w:val="3381002D"/>
    <w:rsid w:val="33813B89"/>
    <w:rsid w:val="3392223A"/>
    <w:rsid w:val="339C3F4D"/>
    <w:rsid w:val="33AD7074"/>
    <w:rsid w:val="33FA502B"/>
    <w:rsid w:val="343B0E54"/>
    <w:rsid w:val="343C6D6F"/>
    <w:rsid w:val="343D03F7"/>
    <w:rsid w:val="346946C0"/>
    <w:rsid w:val="346A0AC1"/>
    <w:rsid w:val="346B13C7"/>
    <w:rsid w:val="34790D04"/>
    <w:rsid w:val="34880F47"/>
    <w:rsid w:val="34A92A40"/>
    <w:rsid w:val="34AB6DC6"/>
    <w:rsid w:val="34BF0E0C"/>
    <w:rsid w:val="34D81ECE"/>
    <w:rsid w:val="34DF51D1"/>
    <w:rsid w:val="34F47327"/>
    <w:rsid w:val="34FE766A"/>
    <w:rsid w:val="353C420B"/>
    <w:rsid w:val="35747CA7"/>
    <w:rsid w:val="357E373B"/>
    <w:rsid w:val="35C425C5"/>
    <w:rsid w:val="35F516AA"/>
    <w:rsid w:val="35FC496B"/>
    <w:rsid w:val="36031576"/>
    <w:rsid w:val="360B29CC"/>
    <w:rsid w:val="36101366"/>
    <w:rsid w:val="36154A5C"/>
    <w:rsid w:val="363F1B12"/>
    <w:rsid w:val="36583240"/>
    <w:rsid w:val="365D5939"/>
    <w:rsid w:val="36686B71"/>
    <w:rsid w:val="36805F38"/>
    <w:rsid w:val="3686095E"/>
    <w:rsid w:val="36A858D0"/>
    <w:rsid w:val="36AC53C0"/>
    <w:rsid w:val="36BB5CBE"/>
    <w:rsid w:val="36FE230D"/>
    <w:rsid w:val="370F4546"/>
    <w:rsid w:val="37102DD3"/>
    <w:rsid w:val="372B09DB"/>
    <w:rsid w:val="372C07F7"/>
    <w:rsid w:val="37460DC6"/>
    <w:rsid w:val="374C7F17"/>
    <w:rsid w:val="374E6478"/>
    <w:rsid w:val="37A56D79"/>
    <w:rsid w:val="37AC319E"/>
    <w:rsid w:val="37B7226F"/>
    <w:rsid w:val="37BF2ED1"/>
    <w:rsid w:val="37C5786B"/>
    <w:rsid w:val="37EE2A39"/>
    <w:rsid w:val="384652FD"/>
    <w:rsid w:val="386650B1"/>
    <w:rsid w:val="38743292"/>
    <w:rsid w:val="38763106"/>
    <w:rsid w:val="388D2FD0"/>
    <w:rsid w:val="38BA2855"/>
    <w:rsid w:val="38E56968"/>
    <w:rsid w:val="38FA1BB8"/>
    <w:rsid w:val="39111E53"/>
    <w:rsid w:val="391B4D92"/>
    <w:rsid w:val="392456E2"/>
    <w:rsid w:val="39453A08"/>
    <w:rsid w:val="395B6CBF"/>
    <w:rsid w:val="39617BEF"/>
    <w:rsid w:val="396C60C6"/>
    <w:rsid w:val="397C1E1E"/>
    <w:rsid w:val="39B45AD8"/>
    <w:rsid w:val="39B51C74"/>
    <w:rsid w:val="39EE5CF0"/>
    <w:rsid w:val="3A502507"/>
    <w:rsid w:val="3A7F20DE"/>
    <w:rsid w:val="3A9B0E14"/>
    <w:rsid w:val="3AB25E2E"/>
    <w:rsid w:val="3AB369E9"/>
    <w:rsid w:val="3ACC4217"/>
    <w:rsid w:val="3AFF0275"/>
    <w:rsid w:val="3B0963FE"/>
    <w:rsid w:val="3B5D4EDB"/>
    <w:rsid w:val="3B72004A"/>
    <w:rsid w:val="3B8E5A4D"/>
    <w:rsid w:val="3BAF53C7"/>
    <w:rsid w:val="3BB90A36"/>
    <w:rsid w:val="3BDC2F36"/>
    <w:rsid w:val="3BE527D5"/>
    <w:rsid w:val="3BE61128"/>
    <w:rsid w:val="3C055FFC"/>
    <w:rsid w:val="3C0B0DDB"/>
    <w:rsid w:val="3C5F6A31"/>
    <w:rsid w:val="3C6B073B"/>
    <w:rsid w:val="3C7F0E81"/>
    <w:rsid w:val="3C806DE9"/>
    <w:rsid w:val="3CCE688D"/>
    <w:rsid w:val="3CE62050"/>
    <w:rsid w:val="3CF224DE"/>
    <w:rsid w:val="3D2832C7"/>
    <w:rsid w:val="3D2E476F"/>
    <w:rsid w:val="3DA45043"/>
    <w:rsid w:val="3DC97655"/>
    <w:rsid w:val="3DD11BB1"/>
    <w:rsid w:val="3DE816D3"/>
    <w:rsid w:val="3DE818EA"/>
    <w:rsid w:val="3E2B1CC9"/>
    <w:rsid w:val="3E4917F3"/>
    <w:rsid w:val="3E740EBA"/>
    <w:rsid w:val="3E774506"/>
    <w:rsid w:val="3E8F00BF"/>
    <w:rsid w:val="3EBE38A6"/>
    <w:rsid w:val="3EC83B16"/>
    <w:rsid w:val="3ED04DFC"/>
    <w:rsid w:val="3F1251C0"/>
    <w:rsid w:val="3F1C22A4"/>
    <w:rsid w:val="3F2226C4"/>
    <w:rsid w:val="3FA12578"/>
    <w:rsid w:val="3FDB0AC5"/>
    <w:rsid w:val="3FE93FB0"/>
    <w:rsid w:val="40074BC3"/>
    <w:rsid w:val="40190D64"/>
    <w:rsid w:val="40460F8B"/>
    <w:rsid w:val="40480A7D"/>
    <w:rsid w:val="405E1538"/>
    <w:rsid w:val="40AD7F45"/>
    <w:rsid w:val="40D479EE"/>
    <w:rsid w:val="40E62262"/>
    <w:rsid w:val="40E85247"/>
    <w:rsid w:val="40E909CF"/>
    <w:rsid w:val="40F86F23"/>
    <w:rsid w:val="41190C4A"/>
    <w:rsid w:val="412344D1"/>
    <w:rsid w:val="41620087"/>
    <w:rsid w:val="418A3F4F"/>
    <w:rsid w:val="419302A8"/>
    <w:rsid w:val="419D24D5"/>
    <w:rsid w:val="41A5138A"/>
    <w:rsid w:val="41D852BC"/>
    <w:rsid w:val="41F93484"/>
    <w:rsid w:val="42413ED0"/>
    <w:rsid w:val="42653BF5"/>
    <w:rsid w:val="427076FB"/>
    <w:rsid w:val="42791889"/>
    <w:rsid w:val="427C3947"/>
    <w:rsid w:val="42B15CE1"/>
    <w:rsid w:val="42CA2701"/>
    <w:rsid w:val="42EA1386"/>
    <w:rsid w:val="42EF6626"/>
    <w:rsid w:val="43031D71"/>
    <w:rsid w:val="430B4942"/>
    <w:rsid w:val="431A58F3"/>
    <w:rsid w:val="434767B8"/>
    <w:rsid w:val="434A1005"/>
    <w:rsid w:val="434F5A51"/>
    <w:rsid w:val="4364222A"/>
    <w:rsid w:val="43C2407B"/>
    <w:rsid w:val="43C373C2"/>
    <w:rsid w:val="43D56C0B"/>
    <w:rsid w:val="440305EA"/>
    <w:rsid w:val="443A1FAD"/>
    <w:rsid w:val="44881163"/>
    <w:rsid w:val="44900BE5"/>
    <w:rsid w:val="449412F5"/>
    <w:rsid w:val="449A634B"/>
    <w:rsid w:val="44A21FC7"/>
    <w:rsid w:val="44A56B3C"/>
    <w:rsid w:val="44E116F6"/>
    <w:rsid w:val="44EC0221"/>
    <w:rsid w:val="45294080"/>
    <w:rsid w:val="45472AED"/>
    <w:rsid w:val="4550160D"/>
    <w:rsid w:val="45513D03"/>
    <w:rsid w:val="45594965"/>
    <w:rsid w:val="457C44F7"/>
    <w:rsid w:val="45A76BC4"/>
    <w:rsid w:val="45AC537D"/>
    <w:rsid w:val="45B91596"/>
    <w:rsid w:val="45CB1E22"/>
    <w:rsid w:val="45CE07A3"/>
    <w:rsid w:val="463A4797"/>
    <w:rsid w:val="466A7048"/>
    <w:rsid w:val="467D28D5"/>
    <w:rsid w:val="46804174"/>
    <w:rsid w:val="46863D53"/>
    <w:rsid w:val="468910A1"/>
    <w:rsid w:val="4698326B"/>
    <w:rsid w:val="469F45FA"/>
    <w:rsid w:val="46AB6E6A"/>
    <w:rsid w:val="46AF3EBD"/>
    <w:rsid w:val="46B1257F"/>
    <w:rsid w:val="46CF6AB9"/>
    <w:rsid w:val="46D9362B"/>
    <w:rsid w:val="46E27D65"/>
    <w:rsid w:val="470152B5"/>
    <w:rsid w:val="47095F17"/>
    <w:rsid w:val="471425D5"/>
    <w:rsid w:val="4728084F"/>
    <w:rsid w:val="477F2472"/>
    <w:rsid w:val="478D08F6"/>
    <w:rsid w:val="47AE7C1C"/>
    <w:rsid w:val="47C307BC"/>
    <w:rsid w:val="47E52B9F"/>
    <w:rsid w:val="47E604F0"/>
    <w:rsid w:val="47EB3D8E"/>
    <w:rsid w:val="47F120E4"/>
    <w:rsid w:val="48336171"/>
    <w:rsid w:val="483376F0"/>
    <w:rsid w:val="483D40CA"/>
    <w:rsid w:val="487E4998"/>
    <w:rsid w:val="48AC2FFE"/>
    <w:rsid w:val="48B16866"/>
    <w:rsid w:val="48BD385C"/>
    <w:rsid w:val="48BF0F83"/>
    <w:rsid w:val="48BF71D5"/>
    <w:rsid w:val="48F66A6F"/>
    <w:rsid w:val="490D43C0"/>
    <w:rsid w:val="49313BA0"/>
    <w:rsid w:val="49396F88"/>
    <w:rsid w:val="496A7BA5"/>
    <w:rsid w:val="49920446"/>
    <w:rsid w:val="49A523EA"/>
    <w:rsid w:val="49D04500"/>
    <w:rsid w:val="49DE18DD"/>
    <w:rsid w:val="4A0649B5"/>
    <w:rsid w:val="4A0977B8"/>
    <w:rsid w:val="4A2117CA"/>
    <w:rsid w:val="4A410842"/>
    <w:rsid w:val="4A4A2ACF"/>
    <w:rsid w:val="4A627B7A"/>
    <w:rsid w:val="4A82670C"/>
    <w:rsid w:val="4A8368DC"/>
    <w:rsid w:val="4A883622"/>
    <w:rsid w:val="4A8F328C"/>
    <w:rsid w:val="4AA82AB9"/>
    <w:rsid w:val="4AB663B6"/>
    <w:rsid w:val="4AC565F9"/>
    <w:rsid w:val="4AE915F1"/>
    <w:rsid w:val="4B101F6A"/>
    <w:rsid w:val="4B11183E"/>
    <w:rsid w:val="4B22149B"/>
    <w:rsid w:val="4B296B88"/>
    <w:rsid w:val="4B311060"/>
    <w:rsid w:val="4B4C1468"/>
    <w:rsid w:val="4B5043BE"/>
    <w:rsid w:val="4B5C6F5D"/>
    <w:rsid w:val="4B660F17"/>
    <w:rsid w:val="4B78366B"/>
    <w:rsid w:val="4B9656D2"/>
    <w:rsid w:val="4B983D0E"/>
    <w:rsid w:val="4BBA1ED6"/>
    <w:rsid w:val="4BC15B88"/>
    <w:rsid w:val="4BC44B03"/>
    <w:rsid w:val="4BF93DBB"/>
    <w:rsid w:val="4BFE6267"/>
    <w:rsid w:val="4C0031B8"/>
    <w:rsid w:val="4C0A4C0B"/>
    <w:rsid w:val="4C100092"/>
    <w:rsid w:val="4C3A2F6D"/>
    <w:rsid w:val="4C577725"/>
    <w:rsid w:val="4C5F34F9"/>
    <w:rsid w:val="4C8A7AFA"/>
    <w:rsid w:val="4C9A2FAF"/>
    <w:rsid w:val="4CAC03DB"/>
    <w:rsid w:val="4D221D16"/>
    <w:rsid w:val="4D224DF1"/>
    <w:rsid w:val="4D461C73"/>
    <w:rsid w:val="4DAE0697"/>
    <w:rsid w:val="4DD00887"/>
    <w:rsid w:val="4DEE6A92"/>
    <w:rsid w:val="4E116B2A"/>
    <w:rsid w:val="4E4D7C9E"/>
    <w:rsid w:val="4EED0CCD"/>
    <w:rsid w:val="4EF94AC3"/>
    <w:rsid w:val="4EFD6AD1"/>
    <w:rsid w:val="4F19773A"/>
    <w:rsid w:val="4F2A2ECF"/>
    <w:rsid w:val="4F500644"/>
    <w:rsid w:val="4F735988"/>
    <w:rsid w:val="4F8B1BBF"/>
    <w:rsid w:val="4F950C90"/>
    <w:rsid w:val="4F9A229A"/>
    <w:rsid w:val="4F9F1B0F"/>
    <w:rsid w:val="4FB8672C"/>
    <w:rsid w:val="4FF3477D"/>
    <w:rsid w:val="4FFD05E3"/>
    <w:rsid w:val="500129CE"/>
    <w:rsid w:val="50485641"/>
    <w:rsid w:val="504B57F2"/>
    <w:rsid w:val="504D3319"/>
    <w:rsid w:val="50983FC7"/>
    <w:rsid w:val="50A35379"/>
    <w:rsid w:val="51167BAE"/>
    <w:rsid w:val="512971C8"/>
    <w:rsid w:val="513056A5"/>
    <w:rsid w:val="51371E3F"/>
    <w:rsid w:val="513C79B1"/>
    <w:rsid w:val="515B6A67"/>
    <w:rsid w:val="515F3303"/>
    <w:rsid w:val="517F7502"/>
    <w:rsid w:val="51C21AE4"/>
    <w:rsid w:val="51E732E7"/>
    <w:rsid w:val="51FC0576"/>
    <w:rsid w:val="52177A45"/>
    <w:rsid w:val="52750905"/>
    <w:rsid w:val="528B3FB4"/>
    <w:rsid w:val="52B64270"/>
    <w:rsid w:val="52BC3A33"/>
    <w:rsid w:val="52EB0BC7"/>
    <w:rsid w:val="52FC2DD4"/>
    <w:rsid w:val="52FC5E01"/>
    <w:rsid w:val="53061FB1"/>
    <w:rsid w:val="53314173"/>
    <w:rsid w:val="536A2433"/>
    <w:rsid w:val="536D7844"/>
    <w:rsid w:val="536E5A80"/>
    <w:rsid w:val="538F1988"/>
    <w:rsid w:val="539574B0"/>
    <w:rsid w:val="53AA3914"/>
    <w:rsid w:val="53BA0CC5"/>
    <w:rsid w:val="53EA2779"/>
    <w:rsid w:val="53EB6D2C"/>
    <w:rsid w:val="53F02939"/>
    <w:rsid w:val="53F614DC"/>
    <w:rsid w:val="53FD5056"/>
    <w:rsid w:val="54097C5B"/>
    <w:rsid w:val="54393867"/>
    <w:rsid w:val="543D5452"/>
    <w:rsid w:val="544607AB"/>
    <w:rsid w:val="54797D28"/>
    <w:rsid w:val="54BB7B6C"/>
    <w:rsid w:val="54BF571A"/>
    <w:rsid w:val="54CD3907"/>
    <w:rsid w:val="54CF2F50"/>
    <w:rsid w:val="54D975B7"/>
    <w:rsid w:val="55020B76"/>
    <w:rsid w:val="5512068D"/>
    <w:rsid w:val="55297F8E"/>
    <w:rsid w:val="552C3FAA"/>
    <w:rsid w:val="553A019F"/>
    <w:rsid w:val="553B7BE4"/>
    <w:rsid w:val="55425731"/>
    <w:rsid w:val="55445790"/>
    <w:rsid w:val="556E7FB9"/>
    <w:rsid w:val="557E3EB0"/>
    <w:rsid w:val="5590305C"/>
    <w:rsid w:val="55BB0D24"/>
    <w:rsid w:val="55CA71B9"/>
    <w:rsid w:val="55D94803"/>
    <w:rsid w:val="55F06C20"/>
    <w:rsid w:val="55F70296"/>
    <w:rsid w:val="55FA2ABD"/>
    <w:rsid w:val="560650D6"/>
    <w:rsid w:val="56102237"/>
    <w:rsid w:val="562055C8"/>
    <w:rsid w:val="56215ECB"/>
    <w:rsid w:val="568D5FA3"/>
    <w:rsid w:val="56A33547"/>
    <w:rsid w:val="56A4724D"/>
    <w:rsid w:val="56AE61F7"/>
    <w:rsid w:val="56B74DA6"/>
    <w:rsid w:val="56E16569"/>
    <w:rsid w:val="56E322E1"/>
    <w:rsid w:val="56E878F7"/>
    <w:rsid w:val="57154464"/>
    <w:rsid w:val="572A6A71"/>
    <w:rsid w:val="574C432A"/>
    <w:rsid w:val="57527466"/>
    <w:rsid w:val="57BD12C8"/>
    <w:rsid w:val="57CD0917"/>
    <w:rsid w:val="57D63BF4"/>
    <w:rsid w:val="57D80096"/>
    <w:rsid w:val="57FE679B"/>
    <w:rsid w:val="582E3A30"/>
    <w:rsid w:val="583948A0"/>
    <w:rsid w:val="584119B5"/>
    <w:rsid w:val="584E7C2E"/>
    <w:rsid w:val="588F6FE2"/>
    <w:rsid w:val="589D465C"/>
    <w:rsid w:val="58B7165E"/>
    <w:rsid w:val="58CA4B39"/>
    <w:rsid w:val="58D26AB1"/>
    <w:rsid w:val="58ED78F7"/>
    <w:rsid w:val="596A5D01"/>
    <w:rsid w:val="599975CF"/>
    <w:rsid w:val="59BE6DD9"/>
    <w:rsid w:val="59F111B9"/>
    <w:rsid w:val="59F9185B"/>
    <w:rsid w:val="59FB3DE5"/>
    <w:rsid w:val="5A160C1F"/>
    <w:rsid w:val="5A1C638C"/>
    <w:rsid w:val="5A460081"/>
    <w:rsid w:val="5A53777D"/>
    <w:rsid w:val="5A5F4374"/>
    <w:rsid w:val="5A9A35FE"/>
    <w:rsid w:val="5AA4622B"/>
    <w:rsid w:val="5AA638FA"/>
    <w:rsid w:val="5B323837"/>
    <w:rsid w:val="5B3A6E21"/>
    <w:rsid w:val="5B6258C7"/>
    <w:rsid w:val="5B6A150C"/>
    <w:rsid w:val="5B856492"/>
    <w:rsid w:val="5BA125E6"/>
    <w:rsid w:val="5BD40D92"/>
    <w:rsid w:val="5BD55A1D"/>
    <w:rsid w:val="5BD82630"/>
    <w:rsid w:val="5BE64A40"/>
    <w:rsid w:val="5BE77BED"/>
    <w:rsid w:val="5C0A6562"/>
    <w:rsid w:val="5C130CF3"/>
    <w:rsid w:val="5C1B42CB"/>
    <w:rsid w:val="5C381321"/>
    <w:rsid w:val="5C7B2FBB"/>
    <w:rsid w:val="5C974299"/>
    <w:rsid w:val="5C9F3BA7"/>
    <w:rsid w:val="5CA02167"/>
    <w:rsid w:val="5CAE15E3"/>
    <w:rsid w:val="5D0247F9"/>
    <w:rsid w:val="5D027239"/>
    <w:rsid w:val="5D096819"/>
    <w:rsid w:val="5D2915A3"/>
    <w:rsid w:val="5D2E6280"/>
    <w:rsid w:val="5D7103C7"/>
    <w:rsid w:val="5D711F81"/>
    <w:rsid w:val="5D756F91"/>
    <w:rsid w:val="5D7A3273"/>
    <w:rsid w:val="5D885990"/>
    <w:rsid w:val="5D8B722E"/>
    <w:rsid w:val="5DB449D7"/>
    <w:rsid w:val="5DC163D3"/>
    <w:rsid w:val="5DCA59BF"/>
    <w:rsid w:val="5DF474C9"/>
    <w:rsid w:val="5E0848C3"/>
    <w:rsid w:val="5E227CED"/>
    <w:rsid w:val="5E3002DA"/>
    <w:rsid w:val="5E327D03"/>
    <w:rsid w:val="5E3E3AB2"/>
    <w:rsid w:val="5E532442"/>
    <w:rsid w:val="5E620D41"/>
    <w:rsid w:val="5EA42CFB"/>
    <w:rsid w:val="5F0C439F"/>
    <w:rsid w:val="5F105C3D"/>
    <w:rsid w:val="5F1856E3"/>
    <w:rsid w:val="5F2B2E5A"/>
    <w:rsid w:val="5F3758C0"/>
    <w:rsid w:val="5F544C91"/>
    <w:rsid w:val="5F5B52E1"/>
    <w:rsid w:val="5F677827"/>
    <w:rsid w:val="5F6A335E"/>
    <w:rsid w:val="5F7E2B66"/>
    <w:rsid w:val="5F97635E"/>
    <w:rsid w:val="5F9819D0"/>
    <w:rsid w:val="5F9F6E96"/>
    <w:rsid w:val="5FC131EA"/>
    <w:rsid w:val="5FDE1325"/>
    <w:rsid w:val="5FEF2037"/>
    <w:rsid w:val="5FFA5DE9"/>
    <w:rsid w:val="60580E8B"/>
    <w:rsid w:val="6077073B"/>
    <w:rsid w:val="60AB3119"/>
    <w:rsid w:val="60B70620"/>
    <w:rsid w:val="60E74CD5"/>
    <w:rsid w:val="60EB6E01"/>
    <w:rsid w:val="610203F7"/>
    <w:rsid w:val="610442D2"/>
    <w:rsid w:val="61201F18"/>
    <w:rsid w:val="61627906"/>
    <w:rsid w:val="617A7224"/>
    <w:rsid w:val="61920AD0"/>
    <w:rsid w:val="61C176C2"/>
    <w:rsid w:val="61ED3F08"/>
    <w:rsid w:val="626D33A6"/>
    <w:rsid w:val="626F711E"/>
    <w:rsid w:val="627A1305"/>
    <w:rsid w:val="6280757E"/>
    <w:rsid w:val="62820EA3"/>
    <w:rsid w:val="629D501D"/>
    <w:rsid w:val="62C14E11"/>
    <w:rsid w:val="62D41677"/>
    <w:rsid w:val="62E31235"/>
    <w:rsid w:val="62F37D50"/>
    <w:rsid w:val="63021D41"/>
    <w:rsid w:val="631358E0"/>
    <w:rsid w:val="63330069"/>
    <w:rsid w:val="6350611A"/>
    <w:rsid w:val="635F53E5"/>
    <w:rsid w:val="638259C1"/>
    <w:rsid w:val="638A4549"/>
    <w:rsid w:val="63950E07"/>
    <w:rsid w:val="63CE5BCA"/>
    <w:rsid w:val="63D76BA4"/>
    <w:rsid w:val="64155AA4"/>
    <w:rsid w:val="6417181C"/>
    <w:rsid w:val="641B52CD"/>
    <w:rsid w:val="642226B2"/>
    <w:rsid w:val="6453770E"/>
    <w:rsid w:val="646E5859"/>
    <w:rsid w:val="647826EF"/>
    <w:rsid w:val="64801AB7"/>
    <w:rsid w:val="649048D3"/>
    <w:rsid w:val="64AE4274"/>
    <w:rsid w:val="64AF0506"/>
    <w:rsid w:val="64D75A79"/>
    <w:rsid w:val="64E060B2"/>
    <w:rsid w:val="64E06C78"/>
    <w:rsid w:val="64E831B8"/>
    <w:rsid w:val="6507733F"/>
    <w:rsid w:val="652F51CB"/>
    <w:rsid w:val="653140AA"/>
    <w:rsid w:val="65842EE1"/>
    <w:rsid w:val="6587477F"/>
    <w:rsid w:val="65C679C6"/>
    <w:rsid w:val="65FA13F5"/>
    <w:rsid w:val="6609506E"/>
    <w:rsid w:val="66195D1F"/>
    <w:rsid w:val="663A7A43"/>
    <w:rsid w:val="666A0329"/>
    <w:rsid w:val="6695111E"/>
    <w:rsid w:val="66B31330"/>
    <w:rsid w:val="66BB59E2"/>
    <w:rsid w:val="66FA39C2"/>
    <w:rsid w:val="66FD5837"/>
    <w:rsid w:val="67982C74"/>
    <w:rsid w:val="67CC2DEE"/>
    <w:rsid w:val="67CC40BC"/>
    <w:rsid w:val="67DB7004"/>
    <w:rsid w:val="67E92B29"/>
    <w:rsid w:val="680D45C3"/>
    <w:rsid w:val="6844456E"/>
    <w:rsid w:val="685E5C6B"/>
    <w:rsid w:val="686231A1"/>
    <w:rsid w:val="6874548F"/>
    <w:rsid w:val="68762C1A"/>
    <w:rsid w:val="68830949"/>
    <w:rsid w:val="68CD0EE5"/>
    <w:rsid w:val="68DF39A7"/>
    <w:rsid w:val="69135668"/>
    <w:rsid w:val="69280291"/>
    <w:rsid w:val="693D07DD"/>
    <w:rsid w:val="69450E38"/>
    <w:rsid w:val="696202B1"/>
    <w:rsid w:val="696E645E"/>
    <w:rsid w:val="697A62A6"/>
    <w:rsid w:val="69AC5BBE"/>
    <w:rsid w:val="69CC6419"/>
    <w:rsid w:val="69DD52B6"/>
    <w:rsid w:val="69E642E7"/>
    <w:rsid w:val="69FD14B4"/>
    <w:rsid w:val="6A246A40"/>
    <w:rsid w:val="6A256A40"/>
    <w:rsid w:val="6A2D7B8B"/>
    <w:rsid w:val="6A4E6005"/>
    <w:rsid w:val="6A6432E1"/>
    <w:rsid w:val="6A8B0D8C"/>
    <w:rsid w:val="6A937C86"/>
    <w:rsid w:val="6AAB53B4"/>
    <w:rsid w:val="6AF40B09"/>
    <w:rsid w:val="6AFF6A89"/>
    <w:rsid w:val="6B0F5943"/>
    <w:rsid w:val="6B162A3F"/>
    <w:rsid w:val="6B9208AD"/>
    <w:rsid w:val="6BAA566B"/>
    <w:rsid w:val="6BB11905"/>
    <w:rsid w:val="6BB32772"/>
    <w:rsid w:val="6BC009EB"/>
    <w:rsid w:val="6BC77FCB"/>
    <w:rsid w:val="6BCB4591"/>
    <w:rsid w:val="6BEB3BCF"/>
    <w:rsid w:val="6BEC6D2D"/>
    <w:rsid w:val="6BF07522"/>
    <w:rsid w:val="6BF65572"/>
    <w:rsid w:val="6C1B2DF3"/>
    <w:rsid w:val="6C1E53BC"/>
    <w:rsid w:val="6C223454"/>
    <w:rsid w:val="6C2F6311"/>
    <w:rsid w:val="6C506213"/>
    <w:rsid w:val="6C53505A"/>
    <w:rsid w:val="6C5D32F3"/>
    <w:rsid w:val="6C66743F"/>
    <w:rsid w:val="6CB44CEF"/>
    <w:rsid w:val="6CC05F09"/>
    <w:rsid w:val="6CC12743"/>
    <w:rsid w:val="6CE32BE3"/>
    <w:rsid w:val="6CE93F71"/>
    <w:rsid w:val="6D0F1C2A"/>
    <w:rsid w:val="6D1C7C42"/>
    <w:rsid w:val="6D2356D5"/>
    <w:rsid w:val="6D505D9E"/>
    <w:rsid w:val="6D617FAC"/>
    <w:rsid w:val="6D6E7F9B"/>
    <w:rsid w:val="6D7D5C34"/>
    <w:rsid w:val="6D9B387C"/>
    <w:rsid w:val="6DAC1227"/>
    <w:rsid w:val="6E134625"/>
    <w:rsid w:val="6E380A90"/>
    <w:rsid w:val="6E6B7334"/>
    <w:rsid w:val="6E703C2D"/>
    <w:rsid w:val="6E7C509D"/>
    <w:rsid w:val="6E7F7210"/>
    <w:rsid w:val="6E8A7701"/>
    <w:rsid w:val="6EAC5256"/>
    <w:rsid w:val="6EDE40FC"/>
    <w:rsid w:val="6EEB5D7F"/>
    <w:rsid w:val="6F7C48B9"/>
    <w:rsid w:val="6F8858E4"/>
    <w:rsid w:val="6FA9648E"/>
    <w:rsid w:val="6FD827A7"/>
    <w:rsid w:val="6FE8494E"/>
    <w:rsid w:val="6FEC0000"/>
    <w:rsid w:val="6FFE6CA5"/>
    <w:rsid w:val="701B6F23"/>
    <w:rsid w:val="70205EFC"/>
    <w:rsid w:val="70381498"/>
    <w:rsid w:val="70495453"/>
    <w:rsid w:val="704A36C8"/>
    <w:rsid w:val="704A37D5"/>
    <w:rsid w:val="70581BE0"/>
    <w:rsid w:val="70B4671B"/>
    <w:rsid w:val="70B56644"/>
    <w:rsid w:val="70D94A29"/>
    <w:rsid w:val="70DC55EB"/>
    <w:rsid w:val="70DE39B5"/>
    <w:rsid w:val="7108651A"/>
    <w:rsid w:val="712D08D1"/>
    <w:rsid w:val="713559D7"/>
    <w:rsid w:val="713C2A5F"/>
    <w:rsid w:val="714646CD"/>
    <w:rsid w:val="715F5AC3"/>
    <w:rsid w:val="716948ED"/>
    <w:rsid w:val="71715206"/>
    <w:rsid w:val="72086C48"/>
    <w:rsid w:val="72312642"/>
    <w:rsid w:val="72582388"/>
    <w:rsid w:val="726C00F1"/>
    <w:rsid w:val="72722170"/>
    <w:rsid w:val="727704A3"/>
    <w:rsid w:val="729A7BA5"/>
    <w:rsid w:val="72BB7B42"/>
    <w:rsid w:val="72C3445A"/>
    <w:rsid w:val="72DB610A"/>
    <w:rsid w:val="73282699"/>
    <w:rsid w:val="7349576A"/>
    <w:rsid w:val="736F3422"/>
    <w:rsid w:val="73A535DE"/>
    <w:rsid w:val="73E6120B"/>
    <w:rsid w:val="73EF3172"/>
    <w:rsid w:val="73FD6A59"/>
    <w:rsid w:val="740D49E9"/>
    <w:rsid w:val="74275965"/>
    <w:rsid w:val="7443040B"/>
    <w:rsid w:val="74550646"/>
    <w:rsid w:val="74900445"/>
    <w:rsid w:val="74A54C22"/>
    <w:rsid w:val="74A86D6D"/>
    <w:rsid w:val="74BF0723"/>
    <w:rsid w:val="74E17075"/>
    <w:rsid w:val="74EA5148"/>
    <w:rsid w:val="750B717B"/>
    <w:rsid w:val="751205C6"/>
    <w:rsid w:val="75167346"/>
    <w:rsid w:val="75253BDD"/>
    <w:rsid w:val="75385D85"/>
    <w:rsid w:val="75392D36"/>
    <w:rsid w:val="75871F4C"/>
    <w:rsid w:val="75A373B3"/>
    <w:rsid w:val="75D7705D"/>
    <w:rsid w:val="75D77242"/>
    <w:rsid w:val="75E83018"/>
    <w:rsid w:val="7629386E"/>
    <w:rsid w:val="76481D09"/>
    <w:rsid w:val="76505383"/>
    <w:rsid w:val="76695D14"/>
    <w:rsid w:val="76790114"/>
    <w:rsid w:val="76793892"/>
    <w:rsid w:val="769A6A08"/>
    <w:rsid w:val="76A96C4B"/>
    <w:rsid w:val="76CC6DB8"/>
    <w:rsid w:val="76CE66B2"/>
    <w:rsid w:val="76D03860"/>
    <w:rsid w:val="76DD713C"/>
    <w:rsid w:val="76EA2DC0"/>
    <w:rsid w:val="76F37772"/>
    <w:rsid w:val="77046443"/>
    <w:rsid w:val="774C7495"/>
    <w:rsid w:val="77640DC4"/>
    <w:rsid w:val="77770AF7"/>
    <w:rsid w:val="778F1F4F"/>
    <w:rsid w:val="779167EC"/>
    <w:rsid w:val="77A21C84"/>
    <w:rsid w:val="77EC3DA8"/>
    <w:rsid w:val="78454BD9"/>
    <w:rsid w:val="78591FAB"/>
    <w:rsid w:val="788B056B"/>
    <w:rsid w:val="78B900EB"/>
    <w:rsid w:val="78E21FA1"/>
    <w:rsid w:val="79770282"/>
    <w:rsid w:val="798017B9"/>
    <w:rsid w:val="798715FB"/>
    <w:rsid w:val="79A60DF4"/>
    <w:rsid w:val="79AB4A88"/>
    <w:rsid w:val="79AF0269"/>
    <w:rsid w:val="79C56655"/>
    <w:rsid w:val="79C97604"/>
    <w:rsid w:val="79CE69C9"/>
    <w:rsid w:val="79D932D2"/>
    <w:rsid w:val="79DC5A75"/>
    <w:rsid w:val="7A127C5C"/>
    <w:rsid w:val="7A1330A4"/>
    <w:rsid w:val="7A212F9C"/>
    <w:rsid w:val="7A2E4075"/>
    <w:rsid w:val="7A835505"/>
    <w:rsid w:val="7AAA3908"/>
    <w:rsid w:val="7AAD748E"/>
    <w:rsid w:val="7AC202DC"/>
    <w:rsid w:val="7AD2191E"/>
    <w:rsid w:val="7AE75F94"/>
    <w:rsid w:val="7AFC675C"/>
    <w:rsid w:val="7B042AD9"/>
    <w:rsid w:val="7B09415C"/>
    <w:rsid w:val="7B220D7A"/>
    <w:rsid w:val="7B2A52B1"/>
    <w:rsid w:val="7B30793B"/>
    <w:rsid w:val="7B4E629F"/>
    <w:rsid w:val="7B694BFB"/>
    <w:rsid w:val="7BB41B36"/>
    <w:rsid w:val="7BB50301"/>
    <w:rsid w:val="7BC85163"/>
    <w:rsid w:val="7BD607E1"/>
    <w:rsid w:val="7BEA18F4"/>
    <w:rsid w:val="7BFF730D"/>
    <w:rsid w:val="7C6E138E"/>
    <w:rsid w:val="7C703D67"/>
    <w:rsid w:val="7C91743B"/>
    <w:rsid w:val="7C9E6B26"/>
    <w:rsid w:val="7C9F6BE9"/>
    <w:rsid w:val="7CB2661D"/>
    <w:rsid w:val="7CB71996"/>
    <w:rsid w:val="7CF404F4"/>
    <w:rsid w:val="7D0015F4"/>
    <w:rsid w:val="7D0D7808"/>
    <w:rsid w:val="7D1D50FB"/>
    <w:rsid w:val="7D496557"/>
    <w:rsid w:val="7D5F237C"/>
    <w:rsid w:val="7D6B6773"/>
    <w:rsid w:val="7D961B9A"/>
    <w:rsid w:val="7DBB6070"/>
    <w:rsid w:val="7DED63D0"/>
    <w:rsid w:val="7E1020AF"/>
    <w:rsid w:val="7E1A3F8B"/>
    <w:rsid w:val="7E2D6AC2"/>
    <w:rsid w:val="7E3F4BCD"/>
    <w:rsid w:val="7E503278"/>
    <w:rsid w:val="7E690D35"/>
    <w:rsid w:val="7E926217"/>
    <w:rsid w:val="7E956954"/>
    <w:rsid w:val="7EA651C1"/>
    <w:rsid w:val="7EAD481B"/>
    <w:rsid w:val="7ECA59B1"/>
    <w:rsid w:val="7EEC1DCB"/>
    <w:rsid w:val="7F0A0524"/>
    <w:rsid w:val="7F1E1594"/>
    <w:rsid w:val="7F4B6E66"/>
    <w:rsid w:val="7F871AF4"/>
    <w:rsid w:val="7F87589E"/>
    <w:rsid w:val="7F983D01"/>
    <w:rsid w:val="7FAA57E2"/>
    <w:rsid w:val="7FBA34AC"/>
    <w:rsid w:val="7FC66FE8"/>
    <w:rsid w:val="7FF015C4"/>
    <w:rsid w:val="7FF11926"/>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9"/>
    <w:qFormat/>
    <w:uiPriority w:val="0"/>
    <w:pPr>
      <w:keepNext/>
      <w:jc w:val="center"/>
      <w:outlineLvl w:val="0"/>
    </w:pPr>
    <w:rPr>
      <w:b/>
      <w:bCs/>
      <w:sz w:val="24"/>
      <w:szCs w:val="20"/>
    </w:rPr>
  </w:style>
  <w:style w:type="paragraph" w:styleId="4">
    <w:name w:val="heading 2"/>
    <w:basedOn w:val="1"/>
    <w:next w:val="1"/>
    <w:link w:val="70"/>
    <w:qFormat/>
    <w:uiPriority w:val="0"/>
    <w:pPr>
      <w:keepNext/>
      <w:keepLines/>
      <w:spacing w:line="360" w:lineRule="auto"/>
      <w:outlineLvl w:val="1"/>
    </w:pPr>
    <w:rPr>
      <w:rFonts w:ascii="Arial" w:hAnsi="Arial"/>
      <w:b/>
      <w:bCs/>
      <w:sz w:val="24"/>
      <w:szCs w:val="32"/>
    </w:rPr>
  </w:style>
  <w:style w:type="paragraph" w:styleId="5">
    <w:name w:val="heading 3"/>
    <w:basedOn w:val="1"/>
    <w:next w:val="1"/>
    <w:link w:val="71"/>
    <w:qFormat/>
    <w:uiPriority w:val="0"/>
    <w:pPr>
      <w:keepNext/>
      <w:keepLines/>
      <w:spacing w:before="260" w:after="260" w:line="416" w:lineRule="auto"/>
      <w:outlineLvl w:val="2"/>
    </w:pPr>
    <w:rPr>
      <w:b/>
      <w:bCs/>
      <w:sz w:val="32"/>
      <w:szCs w:val="32"/>
    </w:rPr>
  </w:style>
  <w:style w:type="paragraph" w:styleId="6">
    <w:name w:val="heading 4"/>
    <w:basedOn w:val="1"/>
    <w:next w:val="1"/>
    <w:link w:val="7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73"/>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74"/>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5"/>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6"/>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5">
    <w:name w:val="Default Paragraph Font"/>
    <w:semiHidden/>
    <w:qFormat/>
    <w:uiPriority w:val="0"/>
  </w:style>
  <w:style w:type="table" w:default="1" w:styleId="43">
    <w:name w:val="Normal Table"/>
    <w:semiHidden/>
    <w:qFormat/>
    <w:uiPriority w:val="0"/>
    <w:tblPr>
      <w:tblCellMar>
        <w:top w:w="0" w:type="dxa"/>
        <w:left w:w="108" w:type="dxa"/>
        <w:bottom w:w="0" w:type="dxa"/>
        <w:right w:w="108" w:type="dxa"/>
      </w:tblCellMar>
    </w:tblPr>
  </w:style>
  <w:style w:type="paragraph" w:styleId="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12">
    <w:name w:val="toc 7"/>
    <w:basedOn w:val="1"/>
    <w:next w:val="1"/>
    <w:qFormat/>
    <w:uiPriority w:val="0"/>
    <w:pPr>
      <w:ind w:left="2520" w:leftChars="1200"/>
    </w:pPr>
    <w:rPr>
      <w:rFonts w:ascii="Calibri" w:hAnsi="Calibri"/>
      <w:szCs w:val="22"/>
    </w:rPr>
  </w:style>
  <w:style w:type="paragraph" w:styleId="13">
    <w:name w:val="Normal Indent"/>
    <w:basedOn w:val="1"/>
    <w:qFormat/>
    <w:uiPriority w:val="0"/>
    <w:pPr>
      <w:widowControl/>
      <w:ind w:firstLine="420"/>
      <w:jc w:val="left"/>
    </w:pPr>
    <w:rPr>
      <w:kern w:val="0"/>
      <w:sz w:val="20"/>
      <w:szCs w:val="20"/>
    </w:rPr>
  </w:style>
  <w:style w:type="paragraph" w:styleId="14">
    <w:name w:val="Document Map"/>
    <w:basedOn w:val="1"/>
    <w:semiHidden/>
    <w:qFormat/>
    <w:uiPriority w:val="0"/>
    <w:pPr>
      <w:shd w:val="clear" w:color="auto" w:fill="000080"/>
    </w:pPr>
  </w:style>
  <w:style w:type="paragraph" w:styleId="15">
    <w:name w:val="annotation text"/>
    <w:basedOn w:val="1"/>
    <w:link w:val="77"/>
    <w:qFormat/>
    <w:uiPriority w:val="0"/>
    <w:pPr>
      <w:jc w:val="left"/>
    </w:pPr>
  </w:style>
  <w:style w:type="paragraph" w:styleId="16">
    <w:name w:val="Salutation"/>
    <w:basedOn w:val="1"/>
    <w:next w:val="1"/>
    <w:qFormat/>
    <w:uiPriority w:val="0"/>
    <w:rPr>
      <w:rFonts w:ascii="仿宋_GB2312" w:eastAsia="仿宋_GB2312"/>
      <w:sz w:val="24"/>
    </w:rPr>
  </w:style>
  <w:style w:type="paragraph" w:styleId="17">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qFormat/>
    <w:uiPriority w:val="0"/>
    <w:pPr>
      <w:spacing w:after="120"/>
    </w:pPr>
  </w:style>
  <w:style w:type="paragraph" w:styleId="19">
    <w:name w:val="Body Text Indent"/>
    <w:basedOn w:val="1"/>
    <w:next w:val="20"/>
    <w:link w:val="78"/>
    <w:qFormat/>
    <w:uiPriority w:val="99"/>
    <w:pPr>
      <w:spacing w:after="120"/>
      <w:ind w:left="420" w:leftChars="200"/>
    </w:pPr>
  </w:style>
  <w:style w:type="paragraph" w:styleId="20">
    <w:name w:val="annotation subject"/>
    <w:basedOn w:val="15"/>
    <w:next w:val="1"/>
    <w:link w:val="86"/>
    <w:qFormat/>
    <w:uiPriority w:val="0"/>
    <w:rPr>
      <w:b/>
      <w:bCs/>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0"/>
    <w:pPr>
      <w:ind w:left="1680" w:leftChars="800"/>
    </w:pPr>
    <w:rPr>
      <w:rFonts w:ascii="Calibri" w:hAnsi="Calibri"/>
      <w:szCs w:val="22"/>
    </w:rPr>
  </w:style>
  <w:style w:type="paragraph" w:styleId="23">
    <w:name w:val="toc 3"/>
    <w:basedOn w:val="1"/>
    <w:next w:val="1"/>
    <w:qFormat/>
    <w:uiPriority w:val="0"/>
    <w:pPr>
      <w:ind w:left="840" w:leftChars="400"/>
    </w:pPr>
  </w:style>
  <w:style w:type="paragraph" w:styleId="24">
    <w:name w:val="Plain Text"/>
    <w:basedOn w:val="1"/>
    <w:link w:val="80"/>
    <w:qFormat/>
    <w:uiPriority w:val="0"/>
    <w:rPr>
      <w:rFonts w:ascii="宋体" w:hAnsi="Courier New" w:cs="Courier New"/>
      <w:szCs w:val="21"/>
    </w:rPr>
  </w:style>
  <w:style w:type="paragraph" w:styleId="25">
    <w:name w:val="toc 8"/>
    <w:basedOn w:val="1"/>
    <w:next w:val="1"/>
    <w:qFormat/>
    <w:uiPriority w:val="0"/>
    <w:pPr>
      <w:ind w:left="2940" w:leftChars="1400"/>
    </w:pPr>
    <w:rPr>
      <w:rFonts w:ascii="Calibri" w:hAnsi="Calibri"/>
      <w:szCs w:val="22"/>
    </w:rPr>
  </w:style>
  <w:style w:type="paragraph" w:styleId="26">
    <w:name w:val="Date"/>
    <w:basedOn w:val="1"/>
    <w:next w:val="1"/>
    <w:link w:val="8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link w:val="82"/>
    <w:qFormat/>
    <w:uiPriority w:val="0"/>
    <w:rPr>
      <w:sz w:val="18"/>
      <w:szCs w:val="18"/>
    </w:rPr>
  </w:style>
  <w:style w:type="paragraph" w:styleId="29">
    <w:name w:val="footer"/>
    <w:basedOn w:val="1"/>
    <w:link w:val="83"/>
    <w:qFormat/>
    <w:uiPriority w:val="0"/>
    <w:pPr>
      <w:tabs>
        <w:tab w:val="center" w:pos="4153"/>
        <w:tab w:val="right" w:pos="8306"/>
      </w:tabs>
      <w:snapToGrid w:val="0"/>
      <w:jc w:val="left"/>
    </w:pPr>
    <w:rPr>
      <w:sz w:val="18"/>
      <w:szCs w:val="18"/>
    </w:rPr>
  </w:style>
  <w:style w:type="paragraph" w:styleId="30">
    <w:name w:val="toc 4"/>
    <w:basedOn w:val="1"/>
    <w:next w:val="1"/>
    <w:qFormat/>
    <w:uiPriority w:val="0"/>
    <w:pPr>
      <w:ind w:left="1260" w:leftChars="600"/>
    </w:pPr>
  </w:style>
  <w:style w:type="paragraph" w:styleId="31">
    <w:name w:val="footnote text"/>
    <w:basedOn w:val="1"/>
    <w:qFormat/>
    <w:uiPriority w:val="0"/>
    <w:pPr>
      <w:snapToGrid w:val="0"/>
      <w:jc w:val="left"/>
    </w:pPr>
    <w:rPr>
      <w:sz w:val="18"/>
      <w:szCs w:val="18"/>
    </w:rPr>
  </w:style>
  <w:style w:type="paragraph" w:styleId="32">
    <w:name w:val="toc 6"/>
    <w:basedOn w:val="1"/>
    <w:next w:val="1"/>
    <w:qFormat/>
    <w:uiPriority w:val="0"/>
    <w:pPr>
      <w:ind w:left="2100" w:leftChars="1000"/>
    </w:pPr>
    <w:rPr>
      <w:rFonts w:ascii="Calibri" w:hAnsi="Calibri"/>
      <w:szCs w:val="22"/>
    </w:rPr>
  </w:style>
  <w:style w:type="paragraph" w:styleId="33">
    <w:name w:val="Body Text Indent 3"/>
    <w:basedOn w:val="1"/>
    <w:next w:val="1"/>
    <w:link w:val="79"/>
    <w:qFormat/>
    <w:uiPriority w:val="0"/>
    <w:pPr>
      <w:spacing w:after="120"/>
      <w:ind w:left="420" w:leftChars="200"/>
    </w:pPr>
    <w:rPr>
      <w:sz w:val="16"/>
      <w:szCs w:val="16"/>
    </w:rPr>
  </w:style>
  <w:style w:type="paragraph" w:styleId="34">
    <w:name w:val="toc 2"/>
    <w:basedOn w:val="1"/>
    <w:next w:val="1"/>
    <w:qFormat/>
    <w:uiPriority w:val="0"/>
    <w:pPr>
      <w:ind w:left="420" w:leftChars="200"/>
    </w:pPr>
  </w:style>
  <w:style w:type="paragraph" w:styleId="35">
    <w:name w:val="toc 9"/>
    <w:basedOn w:val="1"/>
    <w:next w:val="1"/>
    <w:qFormat/>
    <w:uiPriority w:val="0"/>
    <w:pPr>
      <w:ind w:left="3360" w:leftChars="1600"/>
    </w:pPr>
    <w:rPr>
      <w:rFonts w:ascii="Calibri" w:hAnsi="Calibri"/>
      <w:szCs w:val="22"/>
    </w:rPr>
  </w:style>
  <w:style w:type="paragraph" w:styleId="36">
    <w:name w:val="Body Text 2"/>
    <w:basedOn w:val="1"/>
    <w:next w:val="1"/>
    <w:link w:val="85"/>
    <w:qFormat/>
    <w:uiPriority w:val="0"/>
    <w:pPr>
      <w:spacing w:after="120" w:line="480" w:lineRule="auto"/>
    </w:p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qFormat/>
    <w:uiPriority w:val="0"/>
    <w:pPr>
      <w:spacing w:before="240" w:after="60"/>
      <w:jc w:val="center"/>
      <w:outlineLvl w:val="0"/>
    </w:pPr>
    <w:rPr>
      <w:rFonts w:ascii="Cambria" w:hAnsi="Cambria"/>
      <w:b/>
      <w:sz w:val="32"/>
    </w:rPr>
  </w:style>
  <w:style w:type="paragraph" w:styleId="41">
    <w:name w:val="Body Text First Indent"/>
    <w:basedOn w:val="18"/>
    <w:qFormat/>
    <w:uiPriority w:val="0"/>
    <w:pPr>
      <w:spacing w:line="360" w:lineRule="auto"/>
      <w:ind w:firstLine="309" w:firstLineChars="100"/>
      <w:outlineLvl w:val="0"/>
    </w:pPr>
    <w:rPr>
      <w:bCs/>
      <w:color w:val="000000"/>
      <w:kern w:val="28"/>
      <w:szCs w:val="21"/>
    </w:rPr>
  </w:style>
  <w:style w:type="paragraph" w:styleId="42">
    <w:name w:val="Body Text First Indent 2"/>
    <w:basedOn w:val="19"/>
    <w:next w:val="13"/>
    <w:link w:val="87"/>
    <w:unhideWhenUsed/>
    <w:qFormat/>
    <w:uiPriority w:val="99"/>
    <w:pPr>
      <w:autoSpaceDE w:val="0"/>
      <w:autoSpaceDN w:val="0"/>
      <w:adjustRightInd w:val="0"/>
      <w:ind w:firstLine="420"/>
      <w:jc w:val="left"/>
    </w:pPr>
    <w:rPr>
      <w:rFonts w:ascii="Calibri" w:hAnsi="Calibri" w:eastAsia="宋体" w:cs="Times New Roman"/>
      <w:kern w:val="0"/>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basedOn w:val="45"/>
    <w:qFormat/>
    <w:uiPriority w:val="99"/>
    <w:rPr>
      <w:color w:val="2C2C2C"/>
      <w:u w:val="none"/>
    </w:rPr>
  </w:style>
  <w:style w:type="character" w:styleId="49">
    <w:name w:val="Emphasis"/>
    <w:qFormat/>
    <w:uiPriority w:val="0"/>
    <w:rPr>
      <w:rFonts w:ascii="Times New Roman" w:hAnsi="Times New Roman" w:eastAsia="宋体"/>
    </w:rPr>
  </w:style>
  <w:style w:type="character" w:styleId="50">
    <w:name w:val="HTML Definition"/>
    <w:qFormat/>
    <w:uiPriority w:val="0"/>
    <w:rPr>
      <w:rFonts w:ascii="Times New Roman" w:hAnsi="Times New Roman" w:eastAsia="宋体"/>
    </w:rPr>
  </w:style>
  <w:style w:type="character" w:styleId="51">
    <w:name w:val="HTML Typewriter"/>
    <w:basedOn w:val="45"/>
    <w:qFormat/>
    <w:uiPriority w:val="0"/>
    <w:rPr>
      <w:rFonts w:hint="default" w:ascii="monospace" w:hAnsi="monospace" w:eastAsia="monospace" w:cs="monospace"/>
      <w:sz w:val="20"/>
    </w:rPr>
  </w:style>
  <w:style w:type="character" w:styleId="52">
    <w:name w:val="HTML Acronym"/>
    <w:basedOn w:val="45"/>
    <w:qFormat/>
    <w:uiPriority w:val="0"/>
  </w:style>
  <w:style w:type="character" w:styleId="53">
    <w:name w:val="HTML Variable"/>
    <w:qFormat/>
    <w:uiPriority w:val="0"/>
    <w:rPr>
      <w:rFonts w:ascii="Times New Roman" w:hAnsi="Times New Roman" w:eastAsia="宋体"/>
    </w:rPr>
  </w:style>
  <w:style w:type="character" w:styleId="54">
    <w:name w:val="Hyperlink"/>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paragraph" w:customStyle="1" w:styleId="6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1">
    <w:name w:val="首行缩进"/>
    <w:basedOn w:val="1"/>
    <w:qFormat/>
    <w:uiPriority w:val="0"/>
    <w:pPr>
      <w:ind w:firstLine="480" w:firstLineChars="200"/>
    </w:pPr>
    <w:rPr>
      <w:lang w:val="zh-CN"/>
    </w:rPr>
  </w:style>
  <w:style w:type="paragraph" w:customStyle="1" w:styleId="62">
    <w:name w:val="列出段落1"/>
    <w:basedOn w:val="1"/>
    <w:qFormat/>
    <w:uiPriority w:val="0"/>
    <w:pPr>
      <w:ind w:firstLine="420" w:firstLineChars="200"/>
    </w:pPr>
    <w:rPr>
      <w:rFonts w:ascii="Calibri" w:hAnsi="Calibri"/>
    </w:rPr>
  </w:style>
  <w:style w:type="paragraph" w:customStyle="1" w:styleId="63">
    <w:name w:val="正文格式"/>
    <w:basedOn w:val="18"/>
    <w:next w:val="18"/>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4">
    <w:name w:val="一级条标题"/>
    <w:basedOn w:val="65"/>
    <w:next w:val="66"/>
    <w:qFormat/>
    <w:uiPriority w:val="0"/>
    <w:pPr>
      <w:spacing w:line="240" w:lineRule="auto"/>
      <w:ind w:left="420"/>
      <w:outlineLvl w:val="2"/>
    </w:pPr>
  </w:style>
  <w:style w:type="paragraph" w:customStyle="1" w:styleId="65">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6">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7">
    <w:name w:val="正文1"/>
    <w:basedOn w:val="1"/>
    <w:qFormat/>
    <w:uiPriority w:val="0"/>
    <w:pPr>
      <w:spacing w:line="360" w:lineRule="auto"/>
      <w:ind w:firstLine="480" w:firstLineChars="200"/>
    </w:pPr>
    <w:rPr>
      <w:sz w:val="24"/>
    </w:rPr>
  </w:style>
  <w:style w:type="character" w:customStyle="1" w:styleId="68">
    <w:name w:val="标题 6 Char1"/>
    <w:link w:val="8"/>
    <w:qFormat/>
    <w:uiPriority w:val="0"/>
    <w:rPr>
      <w:rFonts w:ascii="Arial" w:hAnsi="Arial" w:eastAsia="黑体"/>
      <w:b/>
      <w:bCs/>
      <w:sz w:val="24"/>
      <w:szCs w:val="24"/>
      <w:lang w:val="en-US" w:eastAsia="zh-CN" w:bidi="ar-SA"/>
    </w:rPr>
  </w:style>
  <w:style w:type="character" w:customStyle="1" w:styleId="69">
    <w:name w:val="标题 1 Char1"/>
    <w:link w:val="3"/>
    <w:qFormat/>
    <w:uiPriority w:val="0"/>
    <w:rPr>
      <w:rFonts w:eastAsia="宋体"/>
      <w:b/>
      <w:bCs/>
      <w:kern w:val="2"/>
      <w:sz w:val="24"/>
      <w:lang w:val="en-US" w:eastAsia="zh-CN" w:bidi="ar-SA"/>
    </w:rPr>
  </w:style>
  <w:style w:type="character" w:customStyle="1" w:styleId="70">
    <w:name w:val="标题 2 Char1"/>
    <w:link w:val="4"/>
    <w:qFormat/>
    <w:uiPriority w:val="0"/>
    <w:rPr>
      <w:rFonts w:ascii="Arial" w:hAnsi="Arial" w:eastAsia="宋体"/>
      <w:b/>
      <w:bCs/>
      <w:kern w:val="2"/>
      <w:sz w:val="24"/>
      <w:szCs w:val="32"/>
      <w:lang w:val="en-US" w:eastAsia="zh-CN" w:bidi="ar-SA"/>
    </w:rPr>
  </w:style>
  <w:style w:type="character" w:customStyle="1" w:styleId="71">
    <w:name w:val="标题 3 Char1"/>
    <w:link w:val="5"/>
    <w:qFormat/>
    <w:uiPriority w:val="0"/>
    <w:rPr>
      <w:rFonts w:eastAsia="宋体"/>
      <w:b/>
      <w:bCs/>
      <w:kern w:val="2"/>
      <w:sz w:val="32"/>
      <w:szCs w:val="32"/>
      <w:lang w:val="en-US" w:eastAsia="zh-CN" w:bidi="ar-SA"/>
    </w:rPr>
  </w:style>
  <w:style w:type="character" w:customStyle="1" w:styleId="72">
    <w:name w:val="标题 4 Char1"/>
    <w:link w:val="6"/>
    <w:qFormat/>
    <w:uiPriority w:val="0"/>
    <w:rPr>
      <w:rFonts w:ascii="Arial" w:hAnsi="Arial" w:eastAsia="黑体"/>
      <w:b/>
      <w:bCs/>
      <w:kern w:val="2"/>
      <w:sz w:val="28"/>
      <w:szCs w:val="28"/>
      <w:lang w:val="en-US" w:eastAsia="zh-CN" w:bidi="ar-SA"/>
    </w:rPr>
  </w:style>
  <w:style w:type="character" w:customStyle="1" w:styleId="73">
    <w:name w:val="标题 5 Char1"/>
    <w:link w:val="7"/>
    <w:qFormat/>
    <w:uiPriority w:val="0"/>
    <w:rPr>
      <w:rFonts w:eastAsia="宋体"/>
      <w:b/>
      <w:bCs/>
      <w:sz w:val="28"/>
      <w:szCs w:val="28"/>
      <w:lang w:val="en-US" w:eastAsia="zh-CN" w:bidi="ar-SA"/>
    </w:rPr>
  </w:style>
  <w:style w:type="character" w:customStyle="1" w:styleId="74">
    <w:name w:val="标题 7 Char1"/>
    <w:link w:val="9"/>
    <w:qFormat/>
    <w:uiPriority w:val="0"/>
    <w:rPr>
      <w:rFonts w:eastAsia="宋体"/>
      <w:b/>
      <w:bCs/>
      <w:sz w:val="24"/>
      <w:szCs w:val="24"/>
      <w:lang w:val="en-US" w:eastAsia="zh-CN" w:bidi="ar-SA"/>
    </w:rPr>
  </w:style>
  <w:style w:type="character" w:customStyle="1" w:styleId="75">
    <w:name w:val="标题 8 Char1"/>
    <w:link w:val="10"/>
    <w:qFormat/>
    <w:uiPriority w:val="0"/>
    <w:rPr>
      <w:rFonts w:ascii="Arial" w:hAnsi="Arial" w:eastAsia="黑体"/>
      <w:sz w:val="24"/>
      <w:szCs w:val="24"/>
      <w:lang w:val="en-US" w:eastAsia="zh-CN" w:bidi="ar-SA"/>
    </w:rPr>
  </w:style>
  <w:style w:type="character" w:customStyle="1" w:styleId="76">
    <w:name w:val="标题 9 Char1"/>
    <w:link w:val="11"/>
    <w:qFormat/>
    <w:uiPriority w:val="0"/>
    <w:rPr>
      <w:rFonts w:ascii="Arial" w:hAnsi="Arial" w:eastAsia="黑体"/>
      <w:sz w:val="21"/>
      <w:szCs w:val="21"/>
      <w:lang w:val="en-US" w:eastAsia="zh-CN" w:bidi="ar-SA"/>
    </w:rPr>
  </w:style>
  <w:style w:type="character" w:customStyle="1" w:styleId="77">
    <w:name w:val="批注文字 Char1"/>
    <w:link w:val="15"/>
    <w:qFormat/>
    <w:uiPriority w:val="0"/>
    <w:rPr>
      <w:rFonts w:eastAsia="宋体"/>
      <w:kern w:val="2"/>
      <w:sz w:val="21"/>
      <w:szCs w:val="24"/>
      <w:lang w:val="en-US" w:eastAsia="zh-CN" w:bidi="ar-SA"/>
    </w:rPr>
  </w:style>
  <w:style w:type="character" w:customStyle="1" w:styleId="78">
    <w:name w:val="正文文本缩进 Char"/>
    <w:link w:val="19"/>
    <w:qFormat/>
    <w:uiPriority w:val="99"/>
    <w:rPr>
      <w:rFonts w:eastAsia="宋体"/>
      <w:kern w:val="2"/>
      <w:sz w:val="21"/>
      <w:szCs w:val="24"/>
      <w:lang w:val="en-US" w:eastAsia="zh-CN" w:bidi="ar-SA"/>
    </w:rPr>
  </w:style>
  <w:style w:type="character" w:customStyle="1" w:styleId="79">
    <w:name w:val="正文文本缩进 3 Char1"/>
    <w:link w:val="33"/>
    <w:qFormat/>
    <w:uiPriority w:val="0"/>
    <w:rPr>
      <w:rFonts w:eastAsia="宋体"/>
      <w:kern w:val="2"/>
      <w:sz w:val="16"/>
      <w:szCs w:val="16"/>
      <w:lang w:val="en-US" w:eastAsia="zh-CN" w:bidi="ar-SA"/>
    </w:rPr>
  </w:style>
  <w:style w:type="character" w:customStyle="1" w:styleId="80">
    <w:name w:val="纯文本 Char"/>
    <w:link w:val="24"/>
    <w:qFormat/>
    <w:locked/>
    <w:uiPriority w:val="0"/>
    <w:rPr>
      <w:rFonts w:ascii="宋体" w:hAnsi="Courier New" w:eastAsia="宋体" w:cs="Courier New"/>
      <w:kern w:val="2"/>
      <w:sz w:val="21"/>
      <w:szCs w:val="21"/>
      <w:lang w:val="en-US" w:eastAsia="zh-CN" w:bidi="ar-SA"/>
    </w:rPr>
  </w:style>
  <w:style w:type="character" w:customStyle="1" w:styleId="81">
    <w:name w:val="日期 Char1"/>
    <w:link w:val="26"/>
    <w:qFormat/>
    <w:uiPriority w:val="0"/>
    <w:rPr>
      <w:rFonts w:eastAsia="宋体"/>
      <w:kern w:val="2"/>
      <w:sz w:val="24"/>
      <w:lang w:val="en-US" w:eastAsia="zh-CN" w:bidi="ar-SA"/>
    </w:rPr>
  </w:style>
  <w:style w:type="character" w:customStyle="1" w:styleId="82">
    <w:name w:val="批注框文本 Char1"/>
    <w:link w:val="28"/>
    <w:semiHidden/>
    <w:qFormat/>
    <w:locked/>
    <w:uiPriority w:val="0"/>
    <w:rPr>
      <w:rFonts w:ascii="Calibri" w:hAnsi="Calibri" w:eastAsia="宋体"/>
      <w:kern w:val="2"/>
      <w:sz w:val="18"/>
      <w:szCs w:val="18"/>
      <w:lang w:val="en-US" w:eastAsia="zh-CN" w:bidi="ar-SA"/>
    </w:rPr>
  </w:style>
  <w:style w:type="character" w:customStyle="1" w:styleId="83">
    <w:name w:val="页脚 Char1"/>
    <w:link w:val="29"/>
    <w:qFormat/>
    <w:uiPriority w:val="0"/>
    <w:rPr>
      <w:rFonts w:eastAsia="宋体"/>
      <w:kern w:val="2"/>
      <w:sz w:val="18"/>
      <w:szCs w:val="18"/>
      <w:lang w:val="en-US" w:eastAsia="zh-CN" w:bidi="ar-SA"/>
    </w:rPr>
  </w:style>
  <w:style w:type="character" w:customStyle="1" w:styleId="84">
    <w:name w:val="页眉 Char1"/>
    <w:link w:val="2"/>
    <w:qFormat/>
    <w:uiPriority w:val="0"/>
    <w:rPr>
      <w:rFonts w:eastAsia="宋体"/>
      <w:kern w:val="2"/>
      <w:sz w:val="18"/>
      <w:szCs w:val="18"/>
      <w:lang w:val="en-US" w:eastAsia="zh-CN" w:bidi="ar-SA"/>
    </w:rPr>
  </w:style>
  <w:style w:type="character" w:customStyle="1" w:styleId="85">
    <w:name w:val="正文文本 2 Char"/>
    <w:link w:val="36"/>
    <w:qFormat/>
    <w:locked/>
    <w:uiPriority w:val="0"/>
    <w:rPr>
      <w:kern w:val="2"/>
      <w:sz w:val="21"/>
      <w:szCs w:val="24"/>
    </w:rPr>
  </w:style>
  <w:style w:type="character" w:customStyle="1" w:styleId="86">
    <w:name w:val="批注主题 Char1"/>
    <w:link w:val="20"/>
    <w:qFormat/>
    <w:uiPriority w:val="0"/>
    <w:rPr>
      <w:rFonts w:eastAsia="宋体"/>
      <w:b/>
      <w:bCs/>
      <w:kern w:val="2"/>
      <w:sz w:val="21"/>
      <w:szCs w:val="24"/>
      <w:lang w:val="en-US" w:eastAsia="zh-CN" w:bidi="ar-SA"/>
    </w:rPr>
  </w:style>
  <w:style w:type="character" w:customStyle="1" w:styleId="87">
    <w:name w:val="正文首行缩进 2 Char"/>
    <w:basedOn w:val="78"/>
    <w:link w:val="42"/>
    <w:qFormat/>
    <w:uiPriority w:val="99"/>
    <w:rPr>
      <w:rFonts w:ascii="Calibri" w:hAnsi="Calibri"/>
    </w:rPr>
  </w:style>
  <w:style w:type="character" w:customStyle="1" w:styleId="88">
    <w:name w:val="sidecatalog-dot"/>
    <w:qFormat/>
    <w:uiPriority w:val="0"/>
    <w:rPr>
      <w:rFonts w:ascii="Times New Roman" w:hAnsi="Times New Roman" w:eastAsia="宋体"/>
    </w:rPr>
  </w:style>
  <w:style w:type="character" w:customStyle="1" w:styleId="89">
    <w:name w:val="sort"/>
    <w:qFormat/>
    <w:uiPriority w:val="0"/>
    <w:rPr>
      <w:rFonts w:ascii="Times New Roman" w:hAnsi="Times New Roman" w:eastAsia="宋体"/>
      <w:color w:val="FFFFFF"/>
      <w:bdr w:val="single" w:color="auto" w:sz="24" w:space="0"/>
    </w:rPr>
  </w:style>
  <w:style w:type="character" w:customStyle="1" w:styleId="90">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91">
    <w:name w:val="Font Style94"/>
    <w:unhideWhenUsed/>
    <w:qFormat/>
    <w:uiPriority w:val="0"/>
    <w:rPr>
      <w:rFonts w:hint="eastAsia" w:ascii="Times New Roman" w:hAnsi="Times New Roman" w:eastAsia="Times New Roman"/>
      <w:sz w:val="28"/>
    </w:rPr>
  </w:style>
  <w:style w:type="character" w:customStyle="1" w:styleId="92">
    <w:name w:val="Font Style86"/>
    <w:unhideWhenUsed/>
    <w:qFormat/>
    <w:uiPriority w:val="0"/>
    <w:rPr>
      <w:rFonts w:hint="eastAsia" w:ascii="黑体" w:hAnsi="黑体" w:eastAsia="黑体"/>
      <w:spacing w:val="10"/>
      <w:sz w:val="30"/>
    </w:rPr>
  </w:style>
  <w:style w:type="character" w:customStyle="1" w:styleId="93">
    <w:name w:val="标题 6 Char"/>
    <w:qFormat/>
    <w:uiPriority w:val="0"/>
    <w:rPr>
      <w:rFonts w:ascii="Arial" w:hAnsi="Arial" w:eastAsia="黑体"/>
      <w:b/>
      <w:bCs/>
      <w:sz w:val="24"/>
      <w:szCs w:val="24"/>
    </w:rPr>
  </w:style>
  <w:style w:type="character" w:customStyle="1" w:styleId="94">
    <w:name w:val="polysemyred"/>
    <w:qFormat/>
    <w:uiPriority w:val="0"/>
    <w:rPr>
      <w:rFonts w:ascii="Times New Roman" w:hAnsi="Times New Roman" w:eastAsia="宋体"/>
      <w:color w:val="FF6666"/>
      <w:sz w:val="18"/>
      <w:szCs w:val="18"/>
    </w:rPr>
  </w:style>
  <w:style w:type="character" w:customStyle="1" w:styleId="95">
    <w:name w:val="批注文字 Char"/>
    <w:qFormat/>
    <w:uiPriority w:val="0"/>
    <w:rPr>
      <w:kern w:val="2"/>
      <w:sz w:val="21"/>
      <w:szCs w:val="24"/>
    </w:rPr>
  </w:style>
  <w:style w:type="character" w:customStyle="1" w:styleId="96">
    <w:name w:val="标题 Char"/>
    <w:qFormat/>
    <w:uiPriority w:val="0"/>
    <w:rPr>
      <w:rFonts w:ascii="Cambria" w:hAnsi="Cambria"/>
      <w:b/>
      <w:kern w:val="2"/>
      <w:sz w:val="32"/>
      <w:szCs w:val="24"/>
    </w:rPr>
  </w:style>
  <w:style w:type="character" w:customStyle="1" w:styleId="97">
    <w:name w:val="p0 Char Char"/>
    <w:qFormat/>
    <w:uiPriority w:val="0"/>
    <w:rPr>
      <w:rFonts w:eastAsia="宋体"/>
      <w:kern w:val="2"/>
      <w:sz w:val="21"/>
      <w:szCs w:val="21"/>
      <w:lang w:val="en-US" w:eastAsia="zh-CN" w:bidi="ar-SA"/>
    </w:rPr>
  </w:style>
  <w:style w:type="character" w:customStyle="1" w:styleId="98">
    <w:name w:val="标题 4 Char Char"/>
    <w:qFormat/>
    <w:uiPriority w:val="0"/>
    <w:rPr>
      <w:rFonts w:ascii="Arial" w:hAnsi="Arial" w:eastAsia="宋体"/>
      <w:b/>
      <w:bCs/>
      <w:kern w:val="2"/>
      <w:sz w:val="21"/>
      <w:szCs w:val="28"/>
      <w:lang w:val="en-US" w:eastAsia="zh-CN" w:bidi="ar-SA"/>
    </w:rPr>
  </w:style>
  <w:style w:type="character" w:customStyle="1" w:styleId="99">
    <w:name w:val="正文文本缩进 3 Char"/>
    <w:qFormat/>
    <w:uiPriority w:val="0"/>
    <w:rPr>
      <w:rFonts w:ascii="宋体" w:hAnsi="MS Sans Serif"/>
      <w:color w:val="000000"/>
      <w:sz w:val="24"/>
    </w:rPr>
  </w:style>
  <w:style w:type="character" w:customStyle="1" w:styleId="100">
    <w:name w:val="p0 Char"/>
    <w:link w:val="101"/>
    <w:qFormat/>
    <w:uiPriority w:val="0"/>
    <w:rPr>
      <w:rFonts w:eastAsia="宋体"/>
      <w:sz w:val="21"/>
      <w:szCs w:val="21"/>
      <w:lang w:val="en-US" w:eastAsia="zh-CN" w:bidi="ar-SA"/>
    </w:rPr>
  </w:style>
  <w:style w:type="paragraph" w:customStyle="1" w:styleId="101">
    <w:name w:val="p0"/>
    <w:basedOn w:val="1"/>
    <w:link w:val="100"/>
    <w:qFormat/>
    <w:uiPriority w:val="0"/>
    <w:pPr>
      <w:widowControl/>
    </w:pPr>
    <w:rPr>
      <w:kern w:val="0"/>
      <w:szCs w:val="21"/>
    </w:rPr>
  </w:style>
  <w:style w:type="character" w:customStyle="1" w:styleId="102">
    <w:name w:val="Font Style115"/>
    <w:unhideWhenUsed/>
    <w:qFormat/>
    <w:uiPriority w:val="0"/>
    <w:rPr>
      <w:rFonts w:hint="eastAsia" w:ascii="Times New Roman" w:hAnsi="Times New Roman" w:eastAsia="Times New Roman"/>
      <w:sz w:val="16"/>
    </w:rPr>
  </w:style>
  <w:style w:type="character" w:customStyle="1" w:styleId="103">
    <w:name w:val="页眉 Char"/>
    <w:qFormat/>
    <w:uiPriority w:val="0"/>
    <w:rPr>
      <w:kern w:val="2"/>
      <w:sz w:val="18"/>
      <w:szCs w:val="18"/>
    </w:rPr>
  </w:style>
  <w:style w:type="character" w:customStyle="1" w:styleId="104">
    <w:name w:val="bds_more10"/>
    <w:qFormat/>
    <w:uiPriority w:val="0"/>
    <w:rPr>
      <w:rFonts w:ascii="Times New Roman" w:hAnsi="Times New Roman" w:eastAsia="宋体"/>
    </w:rPr>
  </w:style>
  <w:style w:type="character" w:customStyle="1" w:styleId="105">
    <w:name w:val="bds_more9"/>
    <w:qFormat/>
    <w:uiPriority w:val="0"/>
    <w:rPr>
      <w:rFonts w:ascii="Times New Roman" w:hAnsi="Times New Roman" w:eastAsia="宋体"/>
    </w:rPr>
  </w:style>
  <w:style w:type="character" w:customStyle="1" w:styleId="106">
    <w:name w:val="bds_more7"/>
    <w:qFormat/>
    <w:uiPriority w:val="0"/>
    <w:rPr>
      <w:rFonts w:ascii="Times New Roman" w:hAnsi="Times New Roman" w:eastAsia="宋体"/>
    </w:rPr>
  </w:style>
  <w:style w:type="character" w:customStyle="1" w:styleId="107">
    <w:name w:val="bds_more6"/>
    <w:qFormat/>
    <w:uiPriority w:val="0"/>
    <w:rPr>
      <w:rFonts w:hint="eastAsia" w:ascii="宋体" w:hAnsi="宋体" w:eastAsia="宋体" w:cs="宋体"/>
    </w:rPr>
  </w:style>
  <w:style w:type="character" w:customStyle="1" w:styleId="108">
    <w:name w:val="Font Style134"/>
    <w:unhideWhenUsed/>
    <w:qFormat/>
    <w:uiPriority w:val="0"/>
    <w:rPr>
      <w:rFonts w:hint="eastAsia" w:ascii="宋体" w:hAnsi="宋体" w:eastAsia="宋体"/>
      <w:spacing w:val="20"/>
      <w:sz w:val="22"/>
    </w:rPr>
  </w:style>
  <w:style w:type="character" w:customStyle="1" w:styleId="109">
    <w:name w:val="bds_nopic1"/>
    <w:qFormat/>
    <w:uiPriority w:val="0"/>
    <w:rPr>
      <w:rFonts w:ascii="Times New Roman" w:hAnsi="Times New Roman" w:eastAsia="宋体"/>
    </w:rPr>
  </w:style>
  <w:style w:type="character" w:customStyle="1" w:styleId="110">
    <w:name w:val="sort1"/>
    <w:qFormat/>
    <w:uiPriority w:val="0"/>
    <w:rPr>
      <w:rFonts w:ascii="Times New Roman" w:hAnsi="Times New Roman" w:eastAsia="宋体"/>
    </w:rPr>
  </w:style>
  <w:style w:type="character" w:customStyle="1" w:styleId="111">
    <w:name w:val="sidecatalog-index1"/>
    <w:qFormat/>
    <w:uiPriority w:val="0"/>
    <w:rPr>
      <w:rFonts w:ascii="Arial" w:hAnsi="Arial" w:eastAsia="宋体" w:cs="Arial"/>
      <w:b/>
      <w:color w:val="999999"/>
      <w:sz w:val="21"/>
      <w:szCs w:val="21"/>
    </w:rPr>
  </w:style>
  <w:style w:type="character" w:customStyle="1" w:styleId="112">
    <w:name w:val="标题 2 Char"/>
    <w:qFormat/>
    <w:uiPriority w:val="0"/>
    <w:rPr>
      <w:rFonts w:ascii="Cambria" w:hAnsi="Cambria" w:eastAsia="宋体" w:cs="Times New Roman"/>
      <w:b/>
      <w:bCs/>
      <w:kern w:val="2"/>
      <w:sz w:val="32"/>
      <w:szCs w:val="32"/>
    </w:rPr>
  </w:style>
  <w:style w:type="character" w:customStyle="1" w:styleId="113">
    <w:name w:val="Font Style117"/>
    <w:unhideWhenUsed/>
    <w:qFormat/>
    <w:uiPriority w:val="0"/>
    <w:rPr>
      <w:rFonts w:hint="eastAsia" w:ascii="宋体" w:hAnsi="宋体" w:eastAsia="宋体"/>
      <w:spacing w:val="20"/>
      <w:sz w:val="24"/>
    </w:rPr>
  </w:style>
  <w:style w:type="character" w:customStyle="1" w:styleId="114">
    <w:name w:val="Font Style133"/>
    <w:unhideWhenUsed/>
    <w:qFormat/>
    <w:uiPriority w:val="0"/>
    <w:rPr>
      <w:rFonts w:hint="eastAsia" w:ascii="宋体" w:hAnsi="宋体" w:eastAsia="宋体"/>
      <w:spacing w:val="30"/>
      <w:sz w:val="24"/>
    </w:rPr>
  </w:style>
  <w:style w:type="character" w:customStyle="1" w:styleId="115">
    <w:name w:val=" Char Char15"/>
    <w:qFormat/>
    <w:uiPriority w:val="0"/>
    <w:rPr>
      <w:b/>
      <w:bCs/>
      <w:sz w:val="24"/>
      <w:szCs w:val="24"/>
    </w:rPr>
  </w:style>
  <w:style w:type="character" w:customStyle="1" w:styleId="116">
    <w:name w:val="Font Style128"/>
    <w:unhideWhenUsed/>
    <w:qFormat/>
    <w:uiPriority w:val="0"/>
    <w:rPr>
      <w:rFonts w:hint="eastAsia" w:ascii="Times New Roman" w:hAnsi="Times New Roman" w:eastAsia="Times New Roman"/>
      <w:sz w:val="16"/>
    </w:rPr>
  </w:style>
  <w:style w:type="character" w:customStyle="1" w:styleId="117">
    <w:name w:val="Font Style122"/>
    <w:unhideWhenUsed/>
    <w:qFormat/>
    <w:uiPriority w:val="0"/>
    <w:rPr>
      <w:rFonts w:hint="eastAsia" w:ascii="宋体" w:hAnsi="宋体" w:eastAsia="宋体"/>
      <w:spacing w:val="20"/>
      <w:sz w:val="24"/>
    </w:rPr>
  </w:style>
  <w:style w:type="character" w:customStyle="1" w:styleId="118">
    <w:name w:val="Font Style105"/>
    <w:unhideWhenUsed/>
    <w:qFormat/>
    <w:uiPriority w:val="0"/>
    <w:rPr>
      <w:rFonts w:hint="eastAsia" w:ascii="Times New Roman" w:hAnsi="Times New Roman" w:eastAsia="Times New Roman"/>
      <w:w w:val="60"/>
      <w:sz w:val="26"/>
    </w:rPr>
  </w:style>
  <w:style w:type="character" w:customStyle="1" w:styleId="119">
    <w:name w:val="bds_more8"/>
    <w:qFormat/>
    <w:uiPriority w:val="0"/>
    <w:rPr>
      <w:rFonts w:ascii="Times New Roman" w:hAnsi="Times New Roman" w:eastAsia="宋体"/>
    </w:rPr>
  </w:style>
  <w:style w:type="character" w:customStyle="1" w:styleId="120">
    <w:name w:val="Font Style123"/>
    <w:unhideWhenUsed/>
    <w:qFormat/>
    <w:uiPriority w:val="0"/>
    <w:rPr>
      <w:rFonts w:hint="eastAsia" w:ascii="宋体" w:hAnsi="宋体" w:eastAsia="宋体"/>
      <w:b/>
      <w:sz w:val="32"/>
    </w:rPr>
  </w:style>
  <w:style w:type="character" w:customStyle="1" w:styleId="121">
    <w:name w:val="Font Style119"/>
    <w:unhideWhenUsed/>
    <w:qFormat/>
    <w:uiPriority w:val="0"/>
    <w:rPr>
      <w:rFonts w:hint="eastAsia" w:ascii="宋体" w:hAnsi="宋体" w:eastAsia="宋体"/>
      <w:sz w:val="24"/>
    </w:rPr>
  </w:style>
  <w:style w:type="character" w:customStyle="1" w:styleId="122">
    <w:name w:val="批注文字 Char Char"/>
    <w:qFormat/>
    <w:uiPriority w:val="0"/>
    <w:rPr>
      <w:kern w:val="2"/>
      <w:sz w:val="21"/>
      <w:szCs w:val="24"/>
      <w:lang w:bidi="ar-SA"/>
    </w:rPr>
  </w:style>
  <w:style w:type="character" w:customStyle="1" w:styleId="123">
    <w:name w:val="bds_nopic2"/>
    <w:qFormat/>
    <w:uiPriority w:val="0"/>
    <w:rPr>
      <w:rFonts w:ascii="Times New Roman" w:hAnsi="Times New Roman" w:eastAsia="宋体"/>
    </w:rPr>
  </w:style>
  <w:style w:type="character" w:customStyle="1" w:styleId="124">
    <w:name w:val="desc"/>
    <w:qFormat/>
    <w:uiPriority w:val="0"/>
    <w:rPr>
      <w:rFonts w:ascii="Times New Roman" w:hAnsi="Times New Roman" w:eastAsia="宋体"/>
      <w:color w:val="000000"/>
      <w:sz w:val="18"/>
      <w:szCs w:val="18"/>
    </w:rPr>
  </w:style>
  <w:style w:type="character" w:customStyle="1" w:styleId="125">
    <w:name w:val="Font Style126"/>
    <w:unhideWhenUsed/>
    <w:qFormat/>
    <w:uiPriority w:val="0"/>
    <w:rPr>
      <w:rFonts w:hint="eastAsia" w:ascii="宋体" w:hAnsi="宋体" w:eastAsia="宋体"/>
      <w:b/>
      <w:spacing w:val="-30"/>
      <w:sz w:val="28"/>
    </w:rPr>
  </w:style>
  <w:style w:type="character" w:customStyle="1" w:styleId="126">
    <w:name w:val="Font Style104"/>
    <w:unhideWhenUsed/>
    <w:qFormat/>
    <w:uiPriority w:val="0"/>
    <w:rPr>
      <w:rFonts w:hint="eastAsia" w:ascii="宋体" w:hAnsi="宋体" w:eastAsia="宋体"/>
      <w:spacing w:val="30"/>
      <w:sz w:val="18"/>
    </w:rPr>
  </w:style>
  <w:style w:type="character" w:customStyle="1" w:styleId="127">
    <w:name w:val="标题 3 Char"/>
    <w:qFormat/>
    <w:uiPriority w:val="0"/>
    <w:rPr>
      <w:b/>
      <w:bCs/>
      <w:sz w:val="24"/>
      <w:szCs w:val="24"/>
    </w:rPr>
  </w:style>
  <w:style w:type="character" w:customStyle="1" w:styleId="128">
    <w:name w:val="日期 Char2"/>
    <w:qFormat/>
    <w:uiPriority w:val="0"/>
    <w:rPr>
      <w:rFonts w:eastAsia="宋体"/>
      <w:kern w:val="2"/>
      <w:sz w:val="24"/>
      <w:lang w:val="en-US" w:eastAsia="zh-CN" w:bidi="ar-SA"/>
    </w:rPr>
  </w:style>
  <w:style w:type="character" w:customStyle="1" w:styleId="129">
    <w:name w:val=" Char Char6"/>
    <w:qFormat/>
    <w:uiPriority w:val="0"/>
    <w:rPr>
      <w:rFonts w:ascii="Arial" w:hAnsi="Arial" w:eastAsia="黑体"/>
      <w:sz w:val="24"/>
      <w:szCs w:val="24"/>
      <w:lang w:val="en-US" w:eastAsia="zh-CN" w:bidi="ar-SA"/>
    </w:rPr>
  </w:style>
  <w:style w:type="character" w:customStyle="1" w:styleId="130">
    <w:name w:val="纯文本 字符"/>
    <w:qFormat/>
    <w:locked/>
    <w:uiPriority w:val="0"/>
    <w:rPr>
      <w:rFonts w:ascii="宋体" w:hAnsi="Courier New" w:eastAsia="宋体" w:cs="Courier New"/>
      <w:szCs w:val="21"/>
    </w:rPr>
  </w:style>
  <w:style w:type="character" w:customStyle="1" w:styleId="131">
    <w:name w:val="bds_nopic"/>
    <w:qFormat/>
    <w:uiPriority w:val="0"/>
    <w:rPr>
      <w:rFonts w:ascii="Times New Roman" w:hAnsi="Times New Roman" w:eastAsia="宋体"/>
    </w:rPr>
  </w:style>
  <w:style w:type="character" w:customStyle="1" w:styleId="132">
    <w:name w:val="页脚 Char"/>
    <w:qFormat/>
    <w:uiPriority w:val="99"/>
    <w:rPr>
      <w:kern w:val="2"/>
      <w:sz w:val="18"/>
      <w:szCs w:val="18"/>
    </w:rPr>
  </w:style>
  <w:style w:type="character" w:customStyle="1" w:styleId="133">
    <w:name w:val="日期 Char"/>
    <w:qFormat/>
    <w:uiPriority w:val="0"/>
    <w:rPr>
      <w:kern w:val="2"/>
      <w:sz w:val="21"/>
      <w:szCs w:val="24"/>
    </w:rPr>
  </w:style>
  <w:style w:type="character" w:customStyle="1" w:styleId="134">
    <w:name w:val="lemmatitleh12"/>
    <w:qFormat/>
    <w:uiPriority w:val="0"/>
    <w:rPr>
      <w:rFonts w:ascii="Times New Roman" w:hAnsi="Times New Roman" w:eastAsia="宋体"/>
    </w:rPr>
  </w:style>
  <w:style w:type="character" w:customStyle="1" w:styleId="135">
    <w:name w:val="标题 1 Char"/>
    <w:qFormat/>
    <w:uiPriority w:val="0"/>
    <w:rPr>
      <w:rFonts w:ascii="Cambria" w:hAnsi="Cambria"/>
      <w:b/>
      <w:bCs/>
      <w:kern w:val="32"/>
      <w:sz w:val="32"/>
      <w:szCs w:val="32"/>
    </w:rPr>
  </w:style>
  <w:style w:type="character" w:customStyle="1" w:styleId="136">
    <w:name w:val="polysemyexp"/>
    <w:qFormat/>
    <w:uiPriority w:val="0"/>
    <w:rPr>
      <w:rFonts w:ascii="Times New Roman" w:hAnsi="Times New Roman" w:eastAsia="宋体"/>
      <w:color w:val="AAAAAA"/>
      <w:sz w:val="18"/>
      <w:szCs w:val="18"/>
    </w:rPr>
  </w:style>
  <w:style w:type="character" w:customStyle="1" w:styleId="137">
    <w:name w:val="正文文本缩进 3 Char2"/>
    <w:qFormat/>
    <w:uiPriority w:val="0"/>
    <w:rPr>
      <w:rFonts w:eastAsia="宋体"/>
      <w:kern w:val="2"/>
      <w:sz w:val="16"/>
      <w:szCs w:val="16"/>
      <w:lang w:val="en-US" w:eastAsia="zh-CN" w:bidi="ar-SA"/>
    </w:rPr>
  </w:style>
  <w:style w:type="character" w:customStyle="1" w:styleId="138">
    <w:name w:val="标题 9 Char"/>
    <w:qFormat/>
    <w:uiPriority w:val="0"/>
    <w:rPr>
      <w:rFonts w:ascii="Arial" w:hAnsi="Arial" w:eastAsia="黑体"/>
      <w:sz w:val="21"/>
      <w:szCs w:val="21"/>
    </w:rPr>
  </w:style>
  <w:style w:type="character" w:customStyle="1" w:styleId="139">
    <w:name w:val="Font Style124"/>
    <w:unhideWhenUsed/>
    <w:qFormat/>
    <w:uiPriority w:val="0"/>
    <w:rPr>
      <w:rFonts w:hint="eastAsia" w:ascii="宋体" w:hAnsi="宋体" w:eastAsia="宋体"/>
      <w:spacing w:val="30"/>
      <w:sz w:val="24"/>
    </w:rPr>
  </w:style>
  <w:style w:type="character" w:customStyle="1" w:styleId="140">
    <w:name w:val="selected"/>
    <w:basedOn w:val="45"/>
    <w:qFormat/>
    <w:uiPriority w:val="0"/>
  </w:style>
  <w:style w:type="character" w:customStyle="1" w:styleId="141">
    <w:name w:val=" Char Char17"/>
    <w:qFormat/>
    <w:uiPriority w:val="0"/>
    <w:rPr>
      <w:rFonts w:ascii="宋体" w:hAnsi="Times New Roman" w:eastAsia="宋体"/>
      <w:b/>
      <w:sz w:val="28"/>
      <w:lang w:val="en-US" w:eastAsia="zh-CN" w:bidi="ar-SA"/>
    </w:rPr>
  </w:style>
  <w:style w:type="character" w:customStyle="1" w:styleId="142">
    <w:name w:val="hover7"/>
    <w:basedOn w:val="45"/>
    <w:qFormat/>
    <w:uiPriority w:val="0"/>
    <w:rPr>
      <w:color w:val="000000"/>
      <w:shd w:val="clear" w:color="auto" w:fill="FFFFFF"/>
    </w:rPr>
  </w:style>
  <w:style w:type="character" w:customStyle="1" w:styleId="143">
    <w:name w:val=" Char Char14"/>
    <w:qFormat/>
    <w:uiPriority w:val="0"/>
    <w:rPr>
      <w:rFonts w:ascii="Arial" w:hAnsi="Arial" w:eastAsia="黑体"/>
      <w:b/>
      <w:bCs/>
      <w:sz w:val="28"/>
      <w:szCs w:val="28"/>
      <w:lang w:val="en-US" w:eastAsia="zh-CN" w:bidi="ar-SA"/>
    </w:rPr>
  </w:style>
  <w:style w:type="character" w:customStyle="1" w:styleId="144">
    <w:name w:val="标题 5 Char"/>
    <w:qFormat/>
    <w:uiPriority w:val="0"/>
    <w:rPr>
      <w:b/>
      <w:bCs/>
      <w:kern w:val="2"/>
      <w:sz w:val="28"/>
      <w:szCs w:val="28"/>
    </w:rPr>
  </w:style>
  <w:style w:type="character" w:customStyle="1" w:styleId="145">
    <w:name w:val="Font Style90"/>
    <w:unhideWhenUsed/>
    <w:qFormat/>
    <w:uiPriority w:val="0"/>
    <w:rPr>
      <w:rFonts w:hint="eastAsia" w:ascii="宋体" w:hAnsi="宋体" w:eastAsia="宋体"/>
      <w:b/>
      <w:spacing w:val="-20"/>
      <w:sz w:val="40"/>
    </w:rPr>
  </w:style>
  <w:style w:type="character" w:customStyle="1" w:styleId="146">
    <w:name w:val="Font Style121"/>
    <w:unhideWhenUsed/>
    <w:qFormat/>
    <w:uiPriority w:val="0"/>
    <w:rPr>
      <w:rFonts w:hint="eastAsia" w:ascii="宋体" w:hAnsi="宋体" w:eastAsia="宋体"/>
      <w:spacing w:val="-10"/>
      <w:sz w:val="30"/>
    </w:rPr>
  </w:style>
  <w:style w:type="character" w:customStyle="1" w:styleId="147">
    <w:name w:val="wx-space1"/>
    <w:basedOn w:val="45"/>
    <w:qFormat/>
    <w:uiPriority w:val="0"/>
  </w:style>
  <w:style w:type="character" w:customStyle="1" w:styleId="148">
    <w:name w:val="morelink-item"/>
    <w:qFormat/>
    <w:uiPriority w:val="0"/>
    <w:rPr>
      <w:rFonts w:ascii="Times New Roman" w:hAnsi="Times New Roman" w:eastAsia="宋体"/>
    </w:rPr>
  </w:style>
  <w:style w:type="character" w:customStyle="1" w:styleId="149">
    <w:name w:val="Font Style131"/>
    <w:unhideWhenUsed/>
    <w:qFormat/>
    <w:uiPriority w:val="0"/>
    <w:rPr>
      <w:rFonts w:hint="eastAsia" w:ascii="Times New Roman" w:hAnsi="Times New Roman" w:eastAsia="Times New Roman"/>
      <w:sz w:val="18"/>
    </w:rPr>
  </w:style>
  <w:style w:type="character" w:customStyle="1" w:styleId="150">
    <w:name w:val=" Char Char16"/>
    <w:qFormat/>
    <w:uiPriority w:val="0"/>
    <w:rPr>
      <w:rFonts w:ascii="宋体" w:hAnsi="Times New Roman" w:eastAsia="宋体"/>
      <w:b/>
      <w:sz w:val="24"/>
      <w:lang w:val="en-US" w:eastAsia="zh-CN" w:bidi="ar-SA"/>
    </w:rPr>
  </w:style>
  <w:style w:type="character" w:customStyle="1" w:styleId="151">
    <w:name w:val="批注主题 Char"/>
    <w:qFormat/>
    <w:uiPriority w:val="0"/>
    <w:rPr>
      <w:b/>
      <w:bCs/>
      <w:kern w:val="2"/>
      <w:sz w:val="21"/>
      <w:szCs w:val="24"/>
    </w:rPr>
  </w:style>
  <w:style w:type="character" w:customStyle="1" w:styleId="152">
    <w:name w:val="批注框文本 Char"/>
    <w:qFormat/>
    <w:uiPriority w:val="0"/>
    <w:rPr>
      <w:kern w:val="2"/>
      <w:sz w:val="18"/>
      <w:szCs w:val="18"/>
    </w:rPr>
  </w:style>
  <w:style w:type="character" w:customStyle="1" w:styleId="153">
    <w:name w:val="bsharetext"/>
    <w:basedOn w:val="45"/>
    <w:qFormat/>
    <w:uiPriority w:val="0"/>
  </w:style>
  <w:style w:type="character" w:customStyle="1" w:styleId="154">
    <w:name w:val="sidecatalog-dot1"/>
    <w:qFormat/>
    <w:uiPriority w:val="0"/>
    <w:rPr>
      <w:rFonts w:ascii="Times New Roman" w:hAnsi="Times New Roman" w:eastAsia="宋体"/>
    </w:rPr>
  </w:style>
  <w:style w:type="character" w:customStyle="1" w:styleId="155">
    <w:name w:val="sidecatalog-index2"/>
    <w:qFormat/>
    <w:uiPriority w:val="0"/>
    <w:rPr>
      <w:rFonts w:ascii="Arail" w:hAnsi="Arail" w:eastAsia="Arail" w:cs="Arail"/>
      <w:color w:val="999999"/>
      <w:sz w:val="21"/>
      <w:szCs w:val="21"/>
    </w:rPr>
  </w:style>
  <w:style w:type="character" w:customStyle="1" w:styleId="156">
    <w:name w:val="mini-outputtext1"/>
    <w:basedOn w:val="45"/>
    <w:qFormat/>
    <w:uiPriority w:val="0"/>
  </w:style>
  <w:style w:type="character" w:customStyle="1" w:styleId="157">
    <w:name w:val="标题 Char1"/>
    <w:qFormat/>
    <w:uiPriority w:val="0"/>
    <w:rPr>
      <w:rFonts w:ascii="Cambria" w:hAnsi="Cambria" w:eastAsia="宋体" w:cs="Times New Roman"/>
      <w:b/>
      <w:bCs/>
      <w:sz w:val="32"/>
      <w:szCs w:val="32"/>
    </w:rPr>
  </w:style>
  <w:style w:type="character" w:customStyle="1" w:styleId="158">
    <w:name w:val="Font Style116"/>
    <w:unhideWhenUsed/>
    <w:qFormat/>
    <w:uiPriority w:val="0"/>
    <w:rPr>
      <w:rFonts w:hint="eastAsia" w:ascii="宋体" w:hAnsi="宋体" w:eastAsia="宋体"/>
      <w:spacing w:val="-20"/>
      <w:sz w:val="24"/>
    </w:rPr>
  </w:style>
  <w:style w:type="character" w:customStyle="1" w:styleId="159">
    <w:name w:val="样式2 Char Char"/>
    <w:qFormat/>
    <w:uiPriority w:val="0"/>
    <w:rPr>
      <w:rFonts w:eastAsia="宋体"/>
      <w:kern w:val="2"/>
      <w:sz w:val="18"/>
      <w:szCs w:val="18"/>
      <w:lang w:val="en-US" w:eastAsia="zh-CN" w:bidi="ar-SA"/>
    </w:rPr>
  </w:style>
  <w:style w:type="character" w:customStyle="1" w:styleId="160">
    <w:name w:val="wx-space"/>
    <w:basedOn w:val="45"/>
    <w:qFormat/>
    <w:uiPriority w:val="0"/>
  </w:style>
  <w:style w:type="character" w:customStyle="1" w:styleId="161">
    <w:name w:val="selected1"/>
    <w:basedOn w:val="45"/>
    <w:qFormat/>
    <w:uiPriority w:val="0"/>
  </w:style>
  <w:style w:type="character" w:customStyle="1" w:styleId="162">
    <w:name w:val="纯文本 Char2"/>
    <w:qFormat/>
    <w:uiPriority w:val="0"/>
    <w:rPr>
      <w:rFonts w:ascii="宋体" w:hAnsi="Courier New" w:eastAsia="宋体"/>
      <w:kern w:val="2"/>
      <w:sz w:val="21"/>
      <w:szCs w:val="21"/>
      <w:lang w:val="en-US" w:eastAsia="zh-CN" w:bidi="ar-SA"/>
    </w:rPr>
  </w:style>
  <w:style w:type="character" w:customStyle="1" w:styleId="163">
    <w:name w:val="标题 7 Char"/>
    <w:qFormat/>
    <w:uiPriority w:val="0"/>
    <w:rPr>
      <w:b/>
      <w:bCs/>
      <w:sz w:val="24"/>
      <w:szCs w:val="24"/>
    </w:rPr>
  </w:style>
  <w:style w:type="character" w:customStyle="1" w:styleId="164">
    <w:name w:val="标题 8 Char"/>
    <w:qFormat/>
    <w:uiPriority w:val="0"/>
    <w:rPr>
      <w:rFonts w:ascii="Arial" w:hAnsi="Arial" w:eastAsia="黑体"/>
      <w:sz w:val="24"/>
      <w:szCs w:val="24"/>
    </w:rPr>
  </w:style>
  <w:style w:type="character" w:customStyle="1" w:styleId="165">
    <w:name w:val="plus"/>
    <w:qFormat/>
    <w:uiPriority w:val="0"/>
    <w:rPr>
      <w:rFonts w:ascii="Times New Roman" w:hAnsi="Times New Roman" w:eastAsia="宋体"/>
      <w:b/>
      <w:vanish/>
      <w:color w:val="1F8DEF"/>
      <w:sz w:val="24"/>
      <w:szCs w:val="24"/>
    </w:rPr>
  </w:style>
  <w:style w:type="character" w:customStyle="1" w:styleId="166">
    <w:name w:val="Font Style127"/>
    <w:unhideWhenUsed/>
    <w:qFormat/>
    <w:uiPriority w:val="0"/>
    <w:rPr>
      <w:rFonts w:hint="eastAsia" w:ascii="Times New Roman" w:hAnsi="Times New Roman" w:eastAsia="Times New Roman"/>
      <w:sz w:val="20"/>
    </w:rPr>
  </w:style>
  <w:style w:type="character" w:customStyle="1" w:styleId="167">
    <w:name w:val="标题 4 Char"/>
    <w:qFormat/>
    <w:uiPriority w:val="0"/>
    <w:rPr>
      <w:rFonts w:ascii="Arial" w:hAnsi="Arial" w:eastAsia="宋体" w:cs="Times New Roman"/>
      <w:b/>
      <w:bCs/>
      <w:szCs w:val="28"/>
    </w:rPr>
  </w:style>
  <w:style w:type="character" w:customStyle="1" w:styleId="168">
    <w:name w:val="Font Style125"/>
    <w:unhideWhenUsed/>
    <w:qFormat/>
    <w:uiPriority w:val="0"/>
    <w:rPr>
      <w:rFonts w:hint="eastAsia" w:ascii="宋体" w:hAnsi="宋体" w:eastAsia="宋体"/>
      <w:b/>
      <w:sz w:val="26"/>
    </w:rPr>
  </w:style>
  <w:style w:type="paragraph" w:customStyle="1" w:styleId="169">
    <w:name w:val="Style47"/>
    <w:basedOn w:val="1"/>
    <w:unhideWhenUsed/>
    <w:qFormat/>
    <w:uiPriority w:val="0"/>
  </w:style>
  <w:style w:type="paragraph" w:customStyle="1" w:styleId="170">
    <w:name w:val="Style80"/>
    <w:basedOn w:val="1"/>
    <w:unhideWhenUsed/>
    <w:qFormat/>
    <w:uiPriority w:val="0"/>
  </w:style>
  <w:style w:type="paragraph" w:customStyle="1" w:styleId="171">
    <w:name w:val="Style74"/>
    <w:basedOn w:val="1"/>
    <w:unhideWhenUsed/>
    <w:qFormat/>
    <w:uiPriority w:val="0"/>
    <w:pPr>
      <w:spacing w:line="437" w:lineRule="exact"/>
    </w:pPr>
  </w:style>
  <w:style w:type="paragraph" w:customStyle="1" w:styleId="172">
    <w:name w:val="Char1 Char Char Char 字元 Char Char 字元 Char 字元 Char1 Char Char Char"/>
    <w:basedOn w:val="1"/>
    <w:qFormat/>
    <w:uiPriority w:val="0"/>
    <w:rPr>
      <w:szCs w:val="20"/>
    </w:rPr>
  </w:style>
  <w:style w:type="paragraph" w:customStyle="1" w:styleId="173">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4">
    <w:name w:val="Style53"/>
    <w:basedOn w:val="1"/>
    <w:unhideWhenUsed/>
    <w:qFormat/>
    <w:uiPriority w:val="0"/>
    <w:pPr>
      <w:spacing w:line="533" w:lineRule="exact"/>
      <w:ind w:firstLine="581"/>
    </w:pPr>
  </w:style>
  <w:style w:type="paragraph" w:customStyle="1" w:styleId="175">
    <w:name w:val="Style61"/>
    <w:basedOn w:val="1"/>
    <w:unhideWhenUsed/>
    <w:qFormat/>
    <w:uiPriority w:val="0"/>
  </w:style>
  <w:style w:type="paragraph" w:customStyle="1" w:styleId="176">
    <w:name w:val="Style12"/>
    <w:basedOn w:val="1"/>
    <w:unhideWhenUsed/>
    <w:qFormat/>
    <w:uiPriority w:val="0"/>
    <w:pPr>
      <w:spacing w:line="564" w:lineRule="exact"/>
      <w:ind w:hanging="115"/>
    </w:pPr>
  </w:style>
  <w:style w:type="paragraph" w:customStyle="1" w:styleId="177">
    <w:name w:val="NO3"/>
    <w:basedOn w:val="1"/>
    <w:qFormat/>
    <w:uiPriority w:val="0"/>
    <w:pPr>
      <w:tabs>
        <w:tab w:val="left" w:pos="907"/>
      </w:tabs>
      <w:spacing w:line="360" w:lineRule="auto"/>
    </w:pPr>
    <w:rPr>
      <w:rFonts w:ascii="宋体" w:hAnsi="宋体"/>
      <w:sz w:val="24"/>
    </w:rPr>
  </w:style>
  <w:style w:type="paragraph" w:customStyle="1" w:styleId="178">
    <w:name w:val="Char"/>
    <w:basedOn w:val="1"/>
    <w:qFormat/>
    <w:uiPriority w:val="0"/>
    <w:pPr>
      <w:tabs>
        <w:tab w:val="left" w:pos="360"/>
      </w:tabs>
      <w:ind w:left="360" w:hanging="360" w:hangingChars="200"/>
    </w:pPr>
    <w:rPr>
      <w:sz w:val="24"/>
    </w:rPr>
  </w:style>
  <w:style w:type="paragraph" w:customStyle="1" w:styleId="179">
    <w:name w:val="1 Char Char Char Char"/>
    <w:basedOn w:val="1"/>
    <w:qFormat/>
    <w:uiPriority w:val="0"/>
  </w:style>
  <w:style w:type="paragraph" w:customStyle="1" w:styleId="180">
    <w:name w:val="p16"/>
    <w:basedOn w:val="1"/>
    <w:qFormat/>
    <w:uiPriority w:val="0"/>
    <w:pPr>
      <w:widowControl/>
      <w:jc w:val="left"/>
    </w:pPr>
    <w:rPr>
      <w:kern w:val="0"/>
      <w:szCs w:val="21"/>
    </w:rPr>
  </w:style>
  <w:style w:type="paragraph" w:customStyle="1" w:styleId="181">
    <w:name w:val="Style69"/>
    <w:basedOn w:val="1"/>
    <w:unhideWhenUsed/>
    <w:qFormat/>
    <w:uiPriority w:val="0"/>
    <w:pPr>
      <w:spacing w:line="557" w:lineRule="exact"/>
      <w:ind w:firstLine="1666"/>
    </w:pPr>
  </w:style>
  <w:style w:type="paragraph" w:customStyle="1" w:styleId="182">
    <w:name w:val="标题3"/>
    <w:basedOn w:val="3"/>
    <w:qFormat/>
    <w:uiPriority w:val="0"/>
    <w:pPr>
      <w:spacing w:before="156" w:beforeLines="50" w:after="156" w:afterLines="50" w:line="400" w:lineRule="exact"/>
      <w:jc w:val="both"/>
    </w:pPr>
    <w:rPr>
      <w:rFonts w:ascii="宋体" w:hAnsi="宋体"/>
      <w:kern w:val="32"/>
      <w:szCs w:val="32"/>
    </w:rPr>
  </w:style>
  <w:style w:type="paragraph" w:customStyle="1" w:styleId="18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4">
    <w:name w:val="Style9"/>
    <w:basedOn w:val="1"/>
    <w:unhideWhenUsed/>
    <w:qFormat/>
    <w:uiPriority w:val="0"/>
  </w:style>
  <w:style w:type="paragraph" w:customStyle="1" w:styleId="185">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6">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87">
    <w:name w:val="Style5"/>
    <w:basedOn w:val="1"/>
    <w:unhideWhenUsed/>
    <w:qFormat/>
    <w:uiPriority w:val="0"/>
  </w:style>
  <w:style w:type="paragraph" w:customStyle="1" w:styleId="188">
    <w:name w:val="表格文字"/>
    <w:basedOn w:val="1"/>
    <w:qFormat/>
    <w:uiPriority w:val="0"/>
    <w:pPr>
      <w:spacing w:before="25" w:after="25"/>
      <w:jc w:val="left"/>
    </w:pPr>
    <w:rPr>
      <w:spacing w:val="10"/>
      <w:kern w:val="0"/>
      <w:sz w:val="24"/>
      <w:szCs w:val="24"/>
    </w:rPr>
  </w:style>
  <w:style w:type="paragraph" w:customStyle="1" w:styleId="189">
    <w:name w:val="Style34"/>
    <w:basedOn w:val="1"/>
    <w:unhideWhenUsed/>
    <w:qFormat/>
    <w:uiPriority w:val="0"/>
    <w:pPr>
      <w:spacing w:line="375" w:lineRule="exact"/>
    </w:pPr>
  </w:style>
  <w:style w:type="paragraph" w:customStyle="1" w:styleId="190">
    <w:name w:val="Style27"/>
    <w:basedOn w:val="1"/>
    <w:unhideWhenUsed/>
    <w:qFormat/>
    <w:uiPriority w:val="0"/>
  </w:style>
  <w:style w:type="paragraph" w:customStyle="1" w:styleId="191">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2">
    <w:name w:val="Style62"/>
    <w:basedOn w:val="1"/>
    <w:unhideWhenUsed/>
    <w:qFormat/>
    <w:uiPriority w:val="0"/>
  </w:style>
  <w:style w:type="paragraph" w:customStyle="1" w:styleId="193">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4">
    <w:name w:val="Style64"/>
    <w:basedOn w:val="1"/>
    <w:unhideWhenUsed/>
    <w:qFormat/>
    <w:uiPriority w:val="0"/>
  </w:style>
  <w:style w:type="paragraph" w:customStyle="1" w:styleId="195">
    <w:name w:val="Style71"/>
    <w:basedOn w:val="1"/>
    <w:unhideWhenUsed/>
    <w:qFormat/>
    <w:uiPriority w:val="0"/>
    <w:pPr>
      <w:spacing w:line="538" w:lineRule="exact"/>
      <w:ind w:firstLine="101"/>
    </w:pPr>
  </w:style>
  <w:style w:type="paragraph" w:customStyle="1" w:styleId="196">
    <w:name w:val="Style54"/>
    <w:basedOn w:val="1"/>
    <w:unhideWhenUsed/>
    <w:qFormat/>
    <w:uiPriority w:val="0"/>
  </w:style>
  <w:style w:type="paragraph" w:styleId="197">
    <w:name w:val="List Paragraph"/>
    <w:basedOn w:val="1"/>
    <w:qFormat/>
    <w:uiPriority w:val="0"/>
    <w:pPr>
      <w:ind w:firstLine="420" w:firstLineChars="200"/>
    </w:pPr>
    <w:rPr>
      <w:rFonts w:ascii="Calibri" w:hAnsi="Calibri"/>
      <w:szCs w:val="22"/>
    </w:rPr>
  </w:style>
  <w:style w:type="paragraph" w:customStyle="1" w:styleId="198">
    <w:name w:val="Style4"/>
    <w:basedOn w:val="1"/>
    <w:unhideWhenUsed/>
    <w:qFormat/>
    <w:uiPriority w:val="0"/>
  </w:style>
  <w:style w:type="paragraph" w:customStyle="1" w:styleId="199">
    <w:name w:val="Style59"/>
    <w:basedOn w:val="1"/>
    <w:unhideWhenUsed/>
    <w:qFormat/>
    <w:uiPriority w:val="0"/>
  </w:style>
  <w:style w:type="paragraph" w:customStyle="1" w:styleId="200">
    <w:name w:val="Style42"/>
    <w:basedOn w:val="1"/>
    <w:unhideWhenUsed/>
    <w:qFormat/>
    <w:uiPriority w:val="0"/>
    <w:pPr>
      <w:spacing w:line="542" w:lineRule="exact"/>
      <w:ind w:firstLine="547"/>
    </w:pPr>
  </w:style>
  <w:style w:type="paragraph" w:customStyle="1" w:styleId="201">
    <w:name w:val="Style10"/>
    <w:basedOn w:val="1"/>
    <w:unhideWhenUsed/>
    <w:qFormat/>
    <w:uiPriority w:val="0"/>
    <w:pPr>
      <w:spacing w:line="538" w:lineRule="exact"/>
    </w:pPr>
  </w:style>
  <w:style w:type="paragraph" w:customStyle="1" w:styleId="202">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3">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5">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6">
    <w:name w:val="Style24"/>
    <w:basedOn w:val="1"/>
    <w:unhideWhenUsed/>
    <w:qFormat/>
    <w:uiPriority w:val="0"/>
  </w:style>
  <w:style w:type="paragraph" w:customStyle="1" w:styleId="20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67"/>
    <w:basedOn w:val="1"/>
    <w:unhideWhenUsed/>
    <w:qFormat/>
    <w:uiPriority w:val="0"/>
    <w:pPr>
      <w:spacing w:line="566" w:lineRule="exact"/>
      <w:ind w:firstLine="552"/>
    </w:pPr>
  </w:style>
  <w:style w:type="paragraph" w:customStyle="1" w:styleId="209">
    <w:name w:val="Style56"/>
    <w:basedOn w:val="1"/>
    <w:unhideWhenUsed/>
    <w:qFormat/>
    <w:uiPriority w:val="0"/>
  </w:style>
  <w:style w:type="paragraph" w:customStyle="1" w:styleId="210">
    <w:name w:val="Style23"/>
    <w:basedOn w:val="1"/>
    <w:unhideWhenUsed/>
    <w:qFormat/>
    <w:uiPriority w:val="0"/>
  </w:style>
  <w:style w:type="paragraph" w:customStyle="1" w:styleId="211">
    <w:name w:val="Style13"/>
    <w:basedOn w:val="1"/>
    <w:unhideWhenUsed/>
    <w:qFormat/>
    <w:uiPriority w:val="0"/>
  </w:style>
  <w:style w:type="paragraph" w:customStyle="1" w:styleId="212">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13">
    <w:name w:val="Style46"/>
    <w:basedOn w:val="1"/>
    <w:unhideWhenUsed/>
    <w:qFormat/>
    <w:uiPriority w:val="0"/>
    <w:pPr>
      <w:spacing w:line="672" w:lineRule="exact"/>
    </w:pPr>
  </w:style>
  <w:style w:type="paragraph" w:customStyle="1" w:styleId="214">
    <w:name w:val="Style48"/>
    <w:basedOn w:val="1"/>
    <w:unhideWhenUsed/>
    <w:qFormat/>
    <w:uiPriority w:val="0"/>
    <w:pPr>
      <w:spacing w:line="542" w:lineRule="exact"/>
      <w:jc w:val="right"/>
    </w:pPr>
  </w:style>
  <w:style w:type="paragraph" w:customStyle="1" w:styleId="215">
    <w:name w:val="Style29"/>
    <w:basedOn w:val="1"/>
    <w:unhideWhenUsed/>
    <w:qFormat/>
    <w:uiPriority w:val="0"/>
    <w:pPr>
      <w:spacing w:line="547" w:lineRule="exact"/>
      <w:ind w:firstLine="547"/>
    </w:pPr>
  </w:style>
  <w:style w:type="paragraph" w:customStyle="1" w:styleId="216">
    <w:name w:val="1"/>
    <w:basedOn w:val="1"/>
    <w:qFormat/>
    <w:uiPriority w:val="0"/>
    <w:pPr>
      <w:spacing w:after="156" w:afterLines="50" w:line="360" w:lineRule="auto"/>
    </w:pPr>
    <w:rPr>
      <w:rFonts w:ascii="宋体" w:hAnsi="宋体"/>
      <w:b/>
      <w:sz w:val="30"/>
      <w:szCs w:val="21"/>
    </w:rPr>
  </w:style>
  <w:style w:type="paragraph" w:customStyle="1" w:styleId="217">
    <w:name w:val="Style45"/>
    <w:basedOn w:val="1"/>
    <w:unhideWhenUsed/>
    <w:qFormat/>
    <w:uiPriority w:val="0"/>
  </w:style>
  <w:style w:type="paragraph" w:customStyle="1" w:styleId="218">
    <w:name w:val="Style41"/>
    <w:basedOn w:val="1"/>
    <w:unhideWhenUsed/>
    <w:qFormat/>
    <w:uiPriority w:val="0"/>
    <w:pPr>
      <w:spacing w:line="542" w:lineRule="exact"/>
      <w:ind w:firstLine="125"/>
    </w:pPr>
  </w:style>
  <w:style w:type="paragraph" w:customStyle="1" w:styleId="219">
    <w:name w:val=" Char Char Char"/>
    <w:basedOn w:val="1"/>
    <w:qFormat/>
    <w:uiPriority w:val="0"/>
    <w:rPr>
      <w:rFonts w:ascii="宋体" w:hAnsi="宋体"/>
      <w:b/>
      <w:sz w:val="28"/>
      <w:szCs w:val="28"/>
    </w:rPr>
  </w:style>
  <w:style w:type="paragraph" w:customStyle="1" w:styleId="220">
    <w:name w:val="样式1 Char Char"/>
    <w:basedOn w:val="1"/>
    <w:next w:val="24"/>
    <w:qFormat/>
    <w:uiPriority w:val="0"/>
    <w:pPr>
      <w:spacing w:line="360" w:lineRule="auto"/>
      <w:ind w:firstLine="516" w:firstLineChars="215"/>
    </w:pPr>
    <w:rPr>
      <w:rFonts w:ascii="Calibri" w:hAnsi="Calibri"/>
      <w:sz w:val="24"/>
    </w:rPr>
  </w:style>
  <w:style w:type="paragraph" w:customStyle="1" w:styleId="221">
    <w:name w:val=" Char1 Char Char Char"/>
    <w:basedOn w:val="1"/>
    <w:qFormat/>
    <w:uiPriority w:val="0"/>
    <w:pPr>
      <w:widowControl/>
      <w:spacing w:after="160" w:line="240" w:lineRule="exact"/>
      <w:jc w:val="left"/>
    </w:pPr>
    <w:rPr>
      <w:kern w:val="0"/>
      <w:sz w:val="24"/>
      <w:szCs w:val="20"/>
    </w:rPr>
  </w:style>
  <w:style w:type="paragraph" w:customStyle="1" w:styleId="222">
    <w:name w:val="Char Char1 Char Char Char Char Char Char Char"/>
    <w:basedOn w:val="1"/>
    <w:qFormat/>
    <w:uiPriority w:val="0"/>
    <w:pPr>
      <w:widowControl/>
      <w:spacing w:after="160" w:line="240" w:lineRule="exact"/>
      <w:jc w:val="left"/>
    </w:pPr>
  </w:style>
  <w:style w:type="paragraph" w:customStyle="1" w:styleId="22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Style28"/>
    <w:basedOn w:val="1"/>
    <w:unhideWhenUsed/>
    <w:qFormat/>
    <w:uiPriority w:val="0"/>
    <w:pPr>
      <w:spacing w:line="552" w:lineRule="exact"/>
      <w:ind w:firstLine="547"/>
    </w:pPr>
  </w:style>
  <w:style w:type="paragraph" w:customStyle="1" w:styleId="225">
    <w:name w:val="_Style 221"/>
    <w:qFormat/>
    <w:uiPriority w:val="0"/>
    <w:rPr>
      <w:rFonts w:ascii="Times New Roman" w:hAnsi="Times New Roman" w:eastAsia="宋体" w:cs="Times New Roman"/>
      <w:kern w:val="2"/>
      <w:sz w:val="21"/>
      <w:szCs w:val="24"/>
      <w:lang w:val="en-US" w:eastAsia="zh-CN" w:bidi="ar-SA"/>
    </w:rPr>
  </w:style>
  <w:style w:type="paragraph" w:customStyle="1" w:styleId="226">
    <w:name w:val="Style78"/>
    <w:basedOn w:val="1"/>
    <w:unhideWhenUsed/>
    <w:qFormat/>
    <w:uiPriority w:val="0"/>
  </w:style>
  <w:style w:type="paragraph" w:customStyle="1" w:styleId="227">
    <w:name w:val="Style72"/>
    <w:basedOn w:val="1"/>
    <w:unhideWhenUsed/>
    <w:qFormat/>
    <w:uiPriority w:val="0"/>
  </w:style>
  <w:style w:type="paragraph" w:customStyle="1" w:styleId="228">
    <w:name w:val="Style65"/>
    <w:basedOn w:val="1"/>
    <w:unhideWhenUsed/>
    <w:qFormat/>
    <w:uiPriority w:val="0"/>
  </w:style>
  <w:style w:type="paragraph" w:customStyle="1" w:styleId="229">
    <w:name w:val="Style44"/>
    <w:basedOn w:val="1"/>
    <w:unhideWhenUsed/>
    <w:qFormat/>
    <w:uiPriority w:val="0"/>
  </w:style>
  <w:style w:type="paragraph" w:customStyle="1" w:styleId="230">
    <w:name w:val="附录标识"/>
    <w:basedOn w:val="203"/>
    <w:qFormat/>
    <w:uiPriority w:val="0"/>
    <w:pPr>
      <w:tabs>
        <w:tab w:val="left" w:pos="6405"/>
        <w:tab w:val="clear" w:pos="360"/>
      </w:tabs>
      <w:spacing w:after="200"/>
    </w:pPr>
    <w:rPr>
      <w:sz w:val="21"/>
    </w:rPr>
  </w:style>
  <w:style w:type="paragraph" w:customStyle="1" w:styleId="231">
    <w:name w:val="Style36"/>
    <w:basedOn w:val="1"/>
    <w:unhideWhenUsed/>
    <w:qFormat/>
    <w:uiPriority w:val="0"/>
  </w:style>
  <w:style w:type="paragraph" w:customStyle="1" w:styleId="232">
    <w:name w:val="Style73"/>
    <w:basedOn w:val="1"/>
    <w:unhideWhenUsed/>
    <w:qFormat/>
    <w:uiPriority w:val="0"/>
    <w:pPr>
      <w:spacing w:line="538" w:lineRule="exact"/>
      <w:ind w:firstLine="533"/>
    </w:pPr>
  </w:style>
  <w:style w:type="paragraph" w:customStyle="1" w:styleId="233">
    <w:name w:val="Style50"/>
    <w:basedOn w:val="1"/>
    <w:unhideWhenUsed/>
    <w:qFormat/>
    <w:uiPriority w:val="0"/>
  </w:style>
  <w:style w:type="paragraph" w:customStyle="1" w:styleId="234">
    <w:name w:val="Style77"/>
    <w:basedOn w:val="1"/>
    <w:unhideWhenUsed/>
    <w:qFormat/>
    <w:uiPriority w:val="0"/>
  </w:style>
  <w:style w:type="paragraph" w:customStyle="1" w:styleId="235">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36">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37">
    <w:name w:val="Style63"/>
    <w:basedOn w:val="1"/>
    <w:unhideWhenUsed/>
    <w:qFormat/>
    <w:uiPriority w:val="0"/>
    <w:pPr>
      <w:spacing w:line="564" w:lineRule="exact"/>
      <w:ind w:firstLine="682"/>
    </w:pPr>
  </w:style>
  <w:style w:type="paragraph" w:customStyle="1" w:styleId="238">
    <w:name w:val="Style68"/>
    <w:basedOn w:val="1"/>
    <w:unhideWhenUsed/>
    <w:qFormat/>
    <w:uiPriority w:val="0"/>
    <w:pPr>
      <w:spacing w:line="547" w:lineRule="exact"/>
    </w:pPr>
  </w:style>
  <w:style w:type="paragraph" w:customStyle="1" w:styleId="239">
    <w:name w:val="Char Char1 Char Char Char"/>
    <w:basedOn w:val="1"/>
    <w:qFormat/>
    <w:uiPriority w:val="0"/>
    <w:rPr>
      <w:kern w:val="0"/>
      <w:sz w:val="20"/>
      <w:szCs w:val="20"/>
    </w:rPr>
  </w:style>
  <w:style w:type="paragraph" w:customStyle="1" w:styleId="240">
    <w:name w:val="Style26"/>
    <w:basedOn w:val="1"/>
    <w:unhideWhenUsed/>
    <w:qFormat/>
    <w:uiPriority w:val="0"/>
  </w:style>
  <w:style w:type="paragraph" w:customStyle="1" w:styleId="24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4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3">
    <w:name w:val="_Style 39"/>
    <w:basedOn w:val="223"/>
    <w:qFormat/>
    <w:uiPriority w:val="0"/>
  </w:style>
  <w:style w:type="paragraph" w:customStyle="1" w:styleId="244">
    <w:name w:val="Style58"/>
    <w:basedOn w:val="1"/>
    <w:unhideWhenUsed/>
    <w:qFormat/>
    <w:uiPriority w:val="0"/>
    <w:pPr>
      <w:spacing w:line="413" w:lineRule="exact"/>
    </w:pPr>
  </w:style>
  <w:style w:type="paragraph" w:customStyle="1" w:styleId="245">
    <w:name w:val="Style52"/>
    <w:basedOn w:val="1"/>
    <w:unhideWhenUsed/>
    <w:qFormat/>
    <w:uiPriority w:val="0"/>
    <w:pPr>
      <w:spacing w:line="682" w:lineRule="exact"/>
      <w:ind w:firstLine="557"/>
    </w:pPr>
  </w:style>
  <w:style w:type="paragraph" w:customStyle="1" w:styleId="246">
    <w:name w:val="Char Char1 Char Char Char Char Char1 Char Char Char Char"/>
    <w:basedOn w:val="14"/>
    <w:qFormat/>
    <w:uiPriority w:val="0"/>
    <w:rPr>
      <w:rFonts w:ascii="Tahoma" w:hAnsi="Tahoma"/>
    </w:rPr>
  </w:style>
  <w:style w:type="paragraph" w:customStyle="1" w:styleId="247">
    <w:name w:val="Style8"/>
    <w:basedOn w:val="1"/>
    <w:unhideWhenUsed/>
    <w:qFormat/>
    <w:uiPriority w:val="0"/>
    <w:pPr>
      <w:spacing w:line="566" w:lineRule="exact"/>
      <w:jc w:val="center"/>
    </w:pPr>
  </w:style>
  <w:style w:type="paragraph" w:customStyle="1" w:styleId="248">
    <w:name w:val="Style15"/>
    <w:basedOn w:val="1"/>
    <w:unhideWhenUsed/>
    <w:qFormat/>
    <w:uiPriority w:val="0"/>
    <w:pPr>
      <w:spacing w:line="557" w:lineRule="exact"/>
      <w:ind w:firstLine="672"/>
    </w:pPr>
  </w:style>
  <w:style w:type="paragraph" w:customStyle="1" w:styleId="249">
    <w:name w:val="Style21"/>
    <w:basedOn w:val="1"/>
    <w:unhideWhenUsed/>
    <w:qFormat/>
    <w:uiPriority w:val="0"/>
    <w:pPr>
      <w:spacing w:line="566" w:lineRule="exact"/>
      <w:ind w:firstLine="682"/>
    </w:pPr>
  </w:style>
  <w:style w:type="paragraph" w:customStyle="1" w:styleId="250">
    <w:name w:val="Style76"/>
    <w:basedOn w:val="1"/>
    <w:unhideWhenUsed/>
    <w:qFormat/>
    <w:uiPriority w:val="0"/>
  </w:style>
  <w:style w:type="paragraph" w:customStyle="1" w:styleId="251">
    <w:name w:val=" Char1 Char Char Char Char Char Char Char Char Char"/>
    <w:basedOn w:val="1"/>
    <w:qFormat/>
    <w:uiPriority w:val="0"/>
    <w:rPr>
      <w:szCs w:val="20"/>
    </w:rPr>
  </w:style>
  <w:style w:type="paragraph" w:customStyle="1" w:styleId="252">
    <w:name w:val="标题 1 +"/>
    <w:basedOn w:val="3"/>
    <w:next w:val="1"/>
    <w:qFormat/>
    <w:uiPriority w:val="0"/>
    <w:pPr>
      <w:keepLines/>
      <w:spacing w:line="600" w:lineRule="auto"/>
    </w:pPr>
    <w:rPr>
      <w:rFonts w:eastAsia="黑体"/>
      <w:kern w:val="0"/>
      <w:sz w:val="32"/>
      <w:szCs w:val="32"/>
    </w:rPr>
  </w:style>
  <w:style w:type="paragraph" w:customStyle="1" w:styleId="253">
    <w:name w:val="Style70"/>
    <w:basedOn w:val="1"/>
    <w:unhideWhenUsed/>
    <w:qFormat/>
    <w:uiPriority w:val="0"/>
    <w:pPr>
      <w:spacing w:line="549" w:lineRule="exact"/>
      <w:ind w:firstLine="686"/>
    </w:pPr>
  </w:style>
  <w:style w:type="paragraph" w:customStyle="1" w:styleId="254">
    <w:name w:val="Style60"/>
    <w:basedOn w:val="1"/>
    <w:unhideWhenUsed/>
    <w:qFormat/>
    <w:uiPriority w:val="0"/>
    <w:pPr>
      <w:spacing w:line="566" w:lineRule="exact"/>
    </w:pPr>
  </w:style>
  <w:style w:type="paragraph" w:customStyle="1" w:styleId="255">
    <w:name w:val="标题2"/>
    <w:basedOn w:val="40"/>
    <w:qFormat/>
    <w:uiPriority w:val="0"/>
    <w:pPr>
      <w:spacing w:after="240"/>
      <w:jc w:val="left"/>
    </w:pPr>
    <w:rPr>
      <w:sz w:val="30"/>
    </w:rPr>
  </w:style>
  <w:style w:type="paragraph" w:customStyle="1" w:styleId="256">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5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58">
    <w:name w:val="表格内容"/>
    <w:basedOn w:val="18"/>
    <w:qFormat/>
    <w:uiPriority w:val="0"/>
    <w:pPr>
      <w:suppressLineNumbers/>
      <w:suppressAutoHyphens/>
      <w:jc w:val="left"/>
    </w:pPr>
    <w:rPr>
      <w:rFonts w:cs="Tahoma"/>
      <w:kern w:val="0"/>
      <w:sz w:val="24"/>
    </w:rPr>
  </w:style>
  <w:style w:type="paragraph" w:customStyle="1" w:styleId="259">
    <w:name w:val="默认段落字体 Para Char Char Char Char Char Char Char Char Char Char Char Char Char Char Char Char Char Char Char"/>
    <w:basedOn w:val="1"/>
    <w:qFormat/>
    <w:uiPriority w:val="0"/>
  </w:style>
  <w:style w:type="paragraph" w:customStyle="1" w:styleId="260">
    <w:name w:val="Style11"/>
    <w:basedOn w:val="1"/>
    <w:unhideWhenUsed/>
    <w:qFormat/>
    <w:uiPriority w:val="0"/>
    <w:pPr>
      <w:spacing w:line="559" w:lineRule="exact"/>
      <w:ind w:firstLine="590"/>
    </w:pPr>
  </w:style>
  <w:style w:type="paragraph" w:customStyle="1" w:styleId="261">
    <w:name w:val="Style81"/>
    <w:basedOn w:val="1"/>
    <w:unhideWhenUsed/>
    <w:qFormat/>
    <w:uiPriority w:val="0"/>
    <w:pPr>
      <w:spacing w:line="547" w:lineRule="exact"/>
    </w:pPr>
  </w:style>
  <w:style w:type="paragraph" w:customStyle="1" w:styleId="262">
    <w:name w:val="List Paragraph1"/>
    <w:basedOn w:val="1"/>
    <w:qFormat/>
    <w:uiPriority w:val="0"/>
    <w:pPr>
      <w:ind w:firstLine="420" w:firstLineChars="200"/>
    </w:pPr>
    <w:rPr>
      <w:rFonts w:ascii="Calibri" w:hAnsi="Calibri" w:cs="Calibri"/>
      <w:szCs w:val="21"/>
    </w:rPr>
  </w:style>
  <w:style w:type="paragraph" w:customStyle="1" w:styleId="263">
    <w:name w:val="Style16"/>
    <w:basedOn w:val="1"/>
    <w:unhideWhenUsed/>
    <w:qFormat/>
    <w:uiPriority w:val="0"/>
    <w:pPr>
      <w:jc w:val="right"/>
    </w:pPr>
  </w:style>
  <w:style w:type="paragraph" w:customStyle="1" w:styleId="264">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5">
    <w:name w:val="DAS正文"/>
    <w:basedOn w:val="1"/>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6">
    <w:name w:val="15"/>
    <w:basedOn w:val="45"/>
    <w:qFormat/>
    <w:uiPriority w:val="0"/>
    <w:rPr>
      <w:rFonts w:hint="default" w:ascii="Times New Roman" w:hAnsi="Times New Roman" w:cs="Times New Roman"/>
      <w:color w:val="0563C1"/>
      <w:sz w:val="20"/>
      <w:szCs w:val="20"/>
      <w:u w:val="single"/>
    </w:rPr>
  </w:style>
  <w:style w:type="paragraph" w:customStyle="1" w:styleId="267">
    <w:name w:val="Normal_33"/>
    <w:qFormat/>
    <w:uiPriority w:val="0"/>
    <w:pPr>
      <w:widowControl w:val="0"/>
      <w:jc w:val="both"/>
    </w:pPr>
    <w:rPr>
      <w:rFonts w:ascii="Calibri" w:hAnsi="Calibri" w:eastAsia="宋体" w:cs="Times New Roman"/>
      <w:lang w:val="en-US" w:eastAsia="zh-CN" w:bidi="ar-SA"/>
    </w:rPr>
  </w:style>
  <w:style w:type="paragraph" w:customStyle="1" w:styleId="268">
    <w:name w:val="Normal_34"/>
    <w:qFormat/>
    <w:uiPriority w:val="0"/>
    <w:pPr>
      <w:widowControl w:val="0"/>
      <w:jc w:val="both"/>
    </w:pPr>
    <w:rPr>
      <w:rFonts w:ascii="Calibri" w:hAnsi="Calibri" w:eastAsia="宋体" w:cs="Times New Roman"/>
      <w:lang w:val="en-US" w:eastAsia="zh-CN" w:bidi="ar-SA"/>
    </w:rPr>
  </w:style>
  <w:style w:type="paragraph" w:customStyle="1" w:styleId="269">
    <w:name w:val="Normal_35"/>
    <w:qFormat/>
    <w:uiPriority w:val="0"/>
    <w:pPr>
      <w:widowControl w:val="0"/>
      <w:jc w:val="both"/>
    </w:pPr>
    <w:rPr>
      <w:rFonts w:ascii="Calibri" w:hAnsi="Calibri" w:eastAsia="宋体" w:cs="Times New Roman"/>
      <w:lang w:val="en-US" w:eastAsia="zh-CN" w:bidi="ar-SA"/>
    </w:rPr>
  </w:style>
  <w:style w:type="paragraph" w:customStyle="1" w:styleId="270">
    <w:name w:val="Normal_36"/>
    <w:qFormat/>
    <w:uiPriority w:val="0"/>
    <w:pPr>
      <w:widowControl w:val="0"/>
      <w:jc w:val="both"/>
    </w:pPr>
    <w:rPr>
      <w:rFonts w:ascii="Calibri" w:hAnsi="Calibri" w:eastAsia="宋体" w:cs="Times New Roman"/>
      <w:lang w:val="en-US" w:eastAsia="zh-CN" w:bidi="ar-SA"/>
    </w:rPr>
  </w:style>
  <w:style w:type="paragraph" w:customStyle="1" w:styleId="271">
    <w:name w:val="Normal_37"/>
    <w:qFormat/>
    <w:uiPriority w:val="0"/>
    <w:pPr>
      <w:widowControl w:val="0"/>
      <w:jc w:val="both"/>
    </w:pPr>
    <w:rPr>
      <w:rFonts w:ascii="Calibri" w:hAnsi="Calibri" w:eastAsia="宋体" w:cs="Times New Roman"/>
      <w:lang w:val="en-US" w:eastAsia="zh-CN" w:bidi="ar-SA"/>
    </w:rPr>
  </w:style>
  <w:style w:type="paragraph" w:customStyle="1" w:styleId="272">
    <w:name w:val="Normal_38"/>
    <w:qFormat/>
    <w:uiPriority w:val="0"/>
    <w:pPr>
      <w:widowControl w:val="0"/>
      <w:jc w:val="both"/>
    </w:pPr>
    <w:rPr>
      <w:rFonts w:ascii="Calibri" w:hAnsi="Calibri" w:eastAsia="宋体" w:cs="Times New Roman"/>
      <w:lang w:val="en-US" w:eastAsia="zh-CN" w:bidi="ar-SA"/>
    </w:rPr>
  </w:style>
  <w:style w:type="paragraph" w:customStyle="1" w:styleId="273">
    <w:name w:val="Normal_39"/>
    <w:qFormat/>
    <w:uiPriority w:val="0"/>
    <w:pPr>
      <w:widowControl w:val="0"/>
      <w:jc w:val="both"/>
    </w:pPr>
    <w:rPr>
      <w:rFonts w:ascii="Calibri" w:hAnsi="Calibri" w:eastAsia="宋体" w:cs="Times New Roman"/>
      <w:lang w:val="en-US" w:eastAsia="zh-CN" w:bidi="ar-SA"/>
    </w:rPr>
  </w:style>
  <w:style w:type="paragraph" w:customStyle="1" w:styleId="274">
    <w:name w:val="Normal_40"/>
    <w:qFormat/>
    <w:uiPriority w:val="0"/>
    <w:pPr>
      <w:widowControl w:val="0"/>
      <w:jc w:val="both"/>
    </w:pPr>
    <w:rPr>
      <w:rFonts w:ascii="Calibri" w:hAnsi="Calibri" w:eastAsia="宋体" w:cs="Times New Roman"/>
      <w:lang w:val="en-US" w:eastAsia="zh-CN" w:bidi="ar-SA"/>
    </w:rPr>
  </w:style>
  <w:style w:type="paragraph" w:customStyle="1" w:styleId="275">
    <w:name w:val="Normal_41"/>
    <w:qFormat/>
    <w:uiPriority w:val="0"/>
    <w:pPr>
      <w:widowControl w:val="0"/>
      <w:jc w:val="both"/>
    </w:pPr>
    <w:rPr>
      <w:rFonts w:ascii="Calibri" w:hAnsi="Calibri" w:eastAsia="宋体" w:cs="Times New Roman"/>
      <w:lang w:val="en-US" w:eastAsia="zh-CN" w:bidi="ar-SA"/>
    </w:rPr>
  </w:style>
  <w:style w:type="paragraph" w:customStyle="1" w:styleId="276">
    <w:name w:val="Normal_42"/>
    <w:qFormat/>
    <w:uiPriority w:val="0"/>
    <w:pPr>
      <w:widowControl w:val="0"/>
      <w:jc w:val="both"/>
    </w:pPr>
    <w:rPr>
      <w:rFonts w:ascii="Calibri" w:hAnsi="Calibri" w:eastAsia="宋体" w:cs="Times New Roman"/>
      <w:lang w:val="en-US" w:eastAsia="zh-CN" w:bidi="ar-SA"/>
    </w:rPr>
  </w:style>
  <w:style w:type="paragraph" w:customStyle="1" w:styleId="277">
    <w:name w:val="Normal_43"/>
    <w:qFormat/>
    <w:uiPriority w:val="0"/>
    <w:pPr>
      <w:widowControl w:val="0"/>
      <w:jc w:val="both"/>
    </w:pPr>
    <w:rPr>
      <w:rFonts w:ascii="Calibri" w:hAnsi="Calibri" w:eastAsia="宋体" w:cs="Times New Roman"/>
      <w:lang w:val="en-US" w:eastAsia="zh-CN" w:bidi="ar-SA"/>
    </w:rPr>
  </w:style>
  <w:style w:type="paragraph" w:customStyle="1" w:styleId="278">
    <w:name w:val="Normal_44"/>
    <w:qFormat/>
    <w:uiPriority w:val="0"/>
    <w:pPr>
      <w:widowControl w:val="0"/>
      <w:jc w:val="both"/>
    </w:pPr>
    <w:rPr>
      <w:rFonts w:ascii="Calibri" w:hAnsi="Calibri" w:eastAsia="宋体" w:cs="Times New Roman"/>
      <w:lang w:val="en-US" w:eastAsia="zh-CN" w:bidi="ar-SA"/>
    </w:rPr>
  </w:style>
  <w:style w:type="paragraph" w:customStyle="1" w:styleId="279">
    <w:name w:val="Normal_45"/>
    <w:qFormat/>
    <w:uiPriority w:val="0"/>
    <w:pPr>
      <w:widowControl w:val="0"/>
      <w:jc w:val="both"/>
    </w:pPr>
    <w:rPr>
      <w:rFonts w:ascii="Calibri" w:hAnsi="Calibri" w:eastAsia="宋体" w:cs="Times New Roman"/>
      <w:lang w:val="en-US" w:eastAsia="zh-CN" w:bidi="ar-SA"/>
    </w:rPr>
  </w:style>
  <w:style w:type="paragraph" w:customStyle="1" w:styleId="280">
    <w:name w:val="Normal_46"/>
    <w:qFormat/>
    <w:uiPriority w:val="0"/>
    <w:pPr>
      <w:widowControl w:val="0"/>
      <w:jc w:val="both"/>
    </w:pPr>
    <w:rPr>
      <w:rFonts w:ascii="Calibri" w:hAnsi="Calibri" w:eastAsia="宋体" w:cs="Times New Roman"/>
      <w:lang w:val="en-US" w:eastAsia="zh-CN" w:bidi="ar-SA"/>
    </w:rPr>
  </w:style>
  <w:style w:type="paragraph" w:customStyle="1" w:styleId="281">
    <w:name w:val="Normal_47"/>
    <w:qFormat/>
    <w:uiPriority w:val="0"/>
    <w:pPr>
      <w:widowControl w:val="0"/>
      <w:jc w:val="both"/>
    </w:pPr>
    <w:rPr>
      <w:rFonts w:ascii="Calibri" w:hAnsi="Calibri" w:eastAsia="宋体" w:cs="Times New Roman"/>
      <w:lang w:val="en-US" w:eastAsia="zh-CN" w:bidi="ar-SA"/>
    </w:rPr>
  </w:style>
  <w:style w:type="paragraph" w:customStyle="1" w:styleId="282">
    <w:name w:val="Normal_48"/>
    <w:qFormat/>
    <w:uiPriority w:val="0"/>
    <w:pPr>
      <w:widowControl w:val="0"/>
      <w:jc w:val="both"/>
    </w:pPr>
    <w:rPr>
      <w:rFonts w:ascii="Calibri" w:hAnsi="Calibri" w:eastAsia="宋体" w:cs="Times New Roman"/>
      <w:lang w:val="en-US" w:eastAsia="zh-CN" w:bidi="ar-SA"/>
    </w:rPr>
  </w:style>
  <w:style w:type="paragraph" w:customStyle="1" w:styleId="283">
    <w:name w:val="Normal_49"/>
    <w:qFormat/>
    <w:uiPriority w:val="0"/>
    <w:pPr>
      <w:widowControl w:val="0"/>
      <w:jc w:val="both"/>
    </w:pPr>
    <w:rPr>
      <w:rFonts w:ascii="Calibri" w:hAnsi="Calibri" w:eastAsia="宋体" w:cs="Times New Roman"/>
      <w:lang w:val="en-US" w:eastAsia="zh-CN" w:bidi="ar-SA"/>
    </w:rPr>
  </w:style>
  <w:style w:type="paragraph" w:customStyle="1" w:styleId="284">
    <w:name w:val="Normal_50"/>
    <w:qFormat/>
    <w:uiPriority w:val="0"/>
    <w:pPr>
      <w:widowControl w:val="0"/>
      <w:jc w:val="both"/>
    </w:pPr>
    <w:rPr>
      <w:rFonts w:ascii="Calibri" w:hAnsi="Calibri" w:eastAsia="宋体" w:cs="Times New Roman"/>
      <w:lang w:val="en-US" w:eastAsia="zh-CN" w:bidi="ar-SA"/>
    </w:rPr>
  </w:style>
  <w:style w:type="paragraph" w:customStyle="1" w:styleId="285">
    <w:name w:val="Normal_51"/>
    <w:qFormat/>
    <w:uiPriority w:val="0"/>
    <w:pPr>
      <w:widowControl w:val="0"/>
      <w:jc w:val="both"/>
    </w:pPr>
    <w:rPr>
      <w:rFonts w:ascii="Calibri" w:hAnsi="Calibri" w:eastAsia="宋体" w:cs="Times New Roman"/>
      <w:lang w:val="en-US" w:eastAsia="zh-CN" w:bidi="ar-SA"/>
    </w:rPr>
  </w:style>
  <w:style w:type="paragraph" w:customStyle="1" w:styleId="286">
    <w:name w:val="Normal_52"/>
    <w:qFormat/>
    <w:uiPriority w:val="0"/>
    <w:pPr>
      <w:widowControl w:val="0"/>
      <w:jc w:val="both"/>
    </w:pPr>
    <w:rPr>
      <w:rFonts w:ascii="Calibri" w:hAnsi="Calibri" w:eastAsia="宋体" w:cs="Times New Roman"/>
      <w:lang w:val="en-US" w:eastAsia="zh-CN" w:bidi="ar-SA"/>
    </w:rPr>
  </w:style>
  <w:style w:type="paragraph" w:customStyle="1" w:styleId="287">
    <w:name w:val="Normal_53"/>
    <w:qFormat/>
    <w:uiPriority w:val="0"/>
    <w:pPr>
      <w:widowControl w:val="0"/>
      <w:jc w:val="both"/>
    </w:pPr>
    <w:rPr>
      <w:rFonts w:ascii="Calibri" w:hAnsi="Calibri" w:eastAsia="宋体" w:cs="Times New Roman"/>
      <w:lang w:val="en-US" w:eastAsia="zh-CN" w:bidi="ar-SA"/>
    </w:rPr>
  </w:style>
  <w:style w:type="paragraph" w:customStyle="1" w:styleId="288">
    <w:name w:val="Normal_54"/>
    <w:qFormat/>
    <w:uiPriority w:val="0"/>
    <w:pPr>
      <w:widowControl w:val="0"/>
      <w:jc w:val="both"/>
    </w:pPr>
    <w:rPr>
      <w:rFonts w:ascii="Calibri" w:hAnsi="Calibri" w:eastAsia="宋体" w:cs="Times New Roman"/>
      <w:lang w:val="en-US" w:eastAsia="zh-CN" w:bidi="ar-SA"/>
    </w:rPr>
  </w:style>
  <w:style w:type="paragraph" w:customStyle="1" w:styleId="289">
    <w:name w:val="Normal_55"/>
    <w:qFormat/>
    <w:uiPriority w:val="0"/>
    <w:pPr>
      <w:widowControl w:val="0"/>
      <w:jc w:val="both"/>
    </w:pPr>
    <w:rPr>
      <w:rFonts w:ascii="Calibri" w:hAnsi="Calibri" w:eastAsia="宋体" w:cs="Times New Roman"/>
      <w:lang w:val="en-US" w:eastAsia="zh-CN" w:bidi="ar-SA"/>
    </w:rPr>
  </w:style>
  <w:style w:type="paragraph" w:customStyle="1" w:styleId="290">
    <w:name w:val="Normal_56"/>
    <w:qFormat/>
    <w:uiPriority w:val="0"/>
    <w:pPr>
      <w:widowControl w:val="0"/>
      <w:jc w:val="both"/>
    </w:pPr>
    <w:rPr>
      <w:rFonts w:ascii="Calibri" w:hAnsi="Calibri" w:eastAsia="宋体" w:cs="Times New Roman"/>
      <w:lang w:val="en-US" w:eastAsia="zh-CN" w:bidi="ar-SA"/>
    </w:rPr>
  </w:style>
  <w:style w:type="paragraph" w:customStyle="1" w:styleId="291">
    <w:name w:val="Normal_57"/>
    <w:qFormat/>
    <w:uiPriority w:val="0"/>
    <w:pPr>
      <w:widowControl w:val="0"/>
      <w:jc w:val="both"/>
    </w:pPr>
    <w:rPr>
      <w:rFonts w:ascii="Calibri" w:hAnsi="Calibri" w:eastAsia="宋体" w:cs="Times New Roman"/>
      <w:lang w:val="en-US" w:eastAsia="zh-CN" w:bidi="ar-SA"/>
    </w:rPr>
  </w:style>
  <w:style w:type="paragraph" w:customStyle="1" w:styleId="292">
    <w:name w:val="Normal_58"/>
    <w:qFormat/>
    <w:uiPriority w:val="0"/>
    <w:pPr>
      <w:widowControl w:val="0"/>
      <w:jc w:val="both"/>
    </w:pPr>
    <w:rPr>
      <w:rFonts w:ascii="Calibri" w:hAnsi="Calibri" w:eastAsia="宋体" w:cs="Times New Roman"/>
      <w:lang w:val="en-US" w:eastAsia="zh-CN" w:bidi="ar-SA"/>
    </w:rPr>
  </w:style>
  <w:style w:type="paragraph" w:customStyle="1" w:styleId="293">
    <w:name w:val="Normal_59"/>
    <w:qFormat/>
    <w:uiPriority w:val="0"/>
    <w:pPr>
      <w:widowControl w:val="0"/>
      <w:jc w:val="both"/>
    </w:pPr>
    <w:rPr>
      <w:rFonts w:ascii="Calibri" w:hAnsi="Calibri" w:eastAsia="宋体" w:cs="Times New Roman"/>
      <w:lang w:val="en-US" w:eastAsia="zh-CN" w:bidi="ar-SA"/>
    </w:rPr>
  </w:style>
  <w:style w:type="paragraph" w:customStyle="1" w:styleId="294">
    <w:name w:val="Normal_60"/>
    <w:qFormat/>
    <w:uiPriority w:val="0"/>
    <w:pPr>
      <w:widowControl w:val="0"/>
      <w:jc w:val="both"/>
    </w:pPr>
    <w:rPr>
      <w:rFonts w:ascii="Calibri" w:hAnsi="Calibri" w:eastAsia="宋体" w:cs="Times New Roman"/>
      <w:lang w:val="en-US" w:eastAsia="zh-CN" w:bidi="ar-SA"/>
    </w:rPr>
  </w:style>
  <w:style w:type="character" w:customStyle="1" w:styleId="295">
    <w:name w:val="l-btn-icon-left"/>
    <w:basedOn w:val="45"/>
    <w:qFormat/>
    <w:uiPriority w:val="0"/>
  </w:style>
  <w:style w:type="character" w:customStyle="1" w:styleId="296">
    <w:name w:val="l-btn-left"/>
    <w:basedOn w:val="45"/>
    <w:qFormat/>
    <w:uiPriority w:val="0"/>
  </w:style>
  <w:style w:type="character" w:customStyle="1" w:styleId="297">
    <w:name w:val="l-btn-left1"/>
    <w:basedOn w:val="45"/>
    <w:qFormat/>
    <w:uiPriority w:val="0"/>
  </w:style>
  <w:style w:type="character" w:customStyle="1" w:styleId="298">
    <w:name w:val="l-btn-left2"/>
    <w:basedOn w:val="45"/>
    <w:qFormat/>
    <w:uiPriority w:val="0"/>
  </w:style>
  <w:style w:type="character" w:customStyle="1" w:styleId="299">
    <w:name w:val="l-btn-left3"/>
    <w:basedOn w:val="45"/>
    <w:qFormat/>
    <w:uiPriority w:val="0"/>
  </w:style>
  <w:style w:type="character" w:customStyle="1" w:styleId="300">
    <w:name w:val="l-btn-text"/>
    <w:basedOn w:val="45"/>
    <w:qFormat/>
    <w:uiPriority w:val="0"/>
    <w:rPr>
      <w:sz w:val="18"/>
      <w:szCs w:val="18"/>
      <w:vertAlign w:val="baseline"/>
    </w:rPr>
  </w:style>
  <w:style w:type="character" w:customStyle="1" w:styleId="301">
    <w:name w:val="l-btn-icon-right"/>
    <w:basedOn w:val="45"/>
    <w:qFormat/>
    <w:uiPriority w:val="0"/>
  </w:style>
  <w:style w:type="character" w:customStyle="1" w:styleId="302">
    <w:name w:val="l-btn-empty"/>
    <w:basedOn w:val="45"/>
    <w:qFormat/>
    <w:uiPriority w:val="0"/>
  </w:style>
  <w:style w:type="paragraph" w:customStyle="1" w:styleId="303">
    <w:name w:val="目录 81"/>
    <w:basedOn w:val="1"/>
    <w:next w:val="1"/>
    <w:qFormat/>
    <w:uiPriority w:val="0"/>
    <w:pPr>
      <w:ind w:left="2940"/>
    </w:pPr>
    <w:rPr>
      <w:rFonts w:ascii="Calibri"/>
    </w:rPr>
  </w:style>
  <w:style w:type="table" w:customStyle="1" w:styleId="304">
    <w:name w:val="Table Normal"/>
    <w:semiHidden/>
    <w:unhideWhenUsed/>
    <w:qFormat/>
    <w:uiPriority w:val="0"/>
    <w:tblPr>
      <w:tblCellMar>
        <w:top w:w="0" w:type="dxa"/>
        <w:left w:w="0" w:type="dxa"/>
        <w:bottom w:w="0" w:type="dxa"/>
        <w:right w:w="0" w:type="dxa"/>
      </w:tblCellMar>
    </w:tblPr>
  </w:style>
  <w:style w:type="paragraph" w:customStyle="1" w:styleId="305">
    <w:name w:val="列出段落4"/>
    <w:basedOn w:val="1"/>
    <w:qFormat/>
    <w:uiPriority w:val="34"/>
    <w:pPr>
      <w:ind w:firstLine="420" w:firstLineChars="200"/>
    </w:pPr>
    <w:rPr>
      <w:rFonts w:ascii="Calibri" w:hAnsi="Calibri"/>
      <w:szCs w:val="22"/>
    </w:rPr>
  </w:style>
  <w:style w:type="paragraph" w:customStyle="1" w:styleId="306">
    <w:name w:val="Normal (Web)"/>
    <w:qFormat/>
    <w:uiPriority w:val="0"/>
    <w:pPr>
      <w:widowControl/>
      <w:spacing w:line="300" w:lineRule="auto"/>
      <w:ind w:left="420" w:hanging="420"/>
      <w:jc w:val="left"/>
    </w:pPr>
    <w:rPr>
      <w:rFonts w:ascii="宋体" w:hAnsi="宋体" w:eastAsia="宋体" w:cs="Times New Roman"/>
      <w:kern w:val="0"/>
      <w:sz w:val="24"/>
      <w:szCs w:val="20"/>
      <w:lang w:val="en-US" w:eastAsia="zh-CN" w:bidi="ar-SA"/>
    </w:rPr>
  </w:style>
  <w:style w:type="paragraph" w:customStyle="1" w:styleId="307">
    <w:name w:val="Table Text"/>
    <w:basedOn w:val="1"/>
    <w:semiHidden/>
    <w:qFormat/>
    <w:uiPriority w:val="0"/>
    <w:rPr>
      <w:rFonts w:ascii="仿宋" w:hAnsi="仿宋" w:eastAsia="仿宋" w:cs="仿宋"/>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94</Pages>
  <Words>6273</Words>
  <Characters>6730</Characters>
  <Lines>270</Lines>
  <Paragraphs>76</Paragraphs>
  <TotalTime>288</TotalTime>
  <ScaleCrop>false</ScaleCrop>
  <LinksUpToDate>false</LinksUpToDate>
  <CharactersWithSpaces>6942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陈卓</cp:lastModifiedBy>
  <cp:lastPrinted>2026-09-17T08:35:00Z</cp:lastPrinted>
  <dcterms:modified xsi:type="dcterms:W3CDTF">2026-09-21T06:39:54Z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457C5F84625A44AD827A3C874F48AF56_13</vt:lpwstr>
  </property>
  <property fmtid="{D5CDD505-2E9C-101B-9397-08002B2CF9AE}" pid="4" name="KSOTemplateDocerSaveRecord">
    <vt:lpwstr>eyJoZGlkIjoiNjk0ODMxZjdiNjg2YjdlNzVkOGIxZWJkYWY2ZjllYTkiLCJ1c2VySWQiOiI1NDU1NDE5NDgifQ==</vt:lpwstr>
  </property>
</Properties>
</file>