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89175">
      <w:pPr>
        <w:pStyle w:val="23"/>
        <w:adjustRightInd w:val="0"/>
        <w:snapToGrid w:val="0"/>
        <w:spacing w:line="240" w:lineRule="atLeast"/>
        <w:jc w:val="center"/>
        <w:rPr>
          <w:rFonts w:hAnsi="宋体"/>
        </w:rPr>
      </w:pPr>
    </w:p>
    <w:p w14:paraId="66EA65F0">
      <w:pPr>
        <w:pStyle w:val="23"/>
        <w:adjustRightInd w:val="0"/>
        <w:snapToGrid w:val="0"/>
        <w:spacing w:line="240" w:lineRule="atLeast"/>
        <w:jc w:val="center"/>
        <w:rPr>
          <w:rFonts w:hAnsi="宋体"/>
        </w:rPr>
      </w:pPr>
    </w:p>
    <w:p w14:paraId="68BD1CD8">
      <w:pPr>
        <w:pStyle w:val="23"/>
        <w:adjustRightInd w:val="0"/>
        <w:snapToGrid w:val="0"/>
        <w:spacing w:line="240" w:lineRule="atLeast"/>
        <w:jc w:val="center"/>
        <w:rPr>
          <w:rFonts w:hAnsi="宋体"/>
        </w:rPr>
      </w:pPr>
    </w:p>
    <w:p w14:paraId="77A9D2E2">
      <w:pPr>
        <w:pStyle w:val="23"/>
        <w:adjustRightInd w:val="0"/>
        <w:snapToGrid w:val="0"/>
        <w:spacing w:line="240" w:lineRule="atLeast"/>
        <w:jc w:val="right"/>
        <w:rPr>
          <w:rFonts w:hAnsi="宋体"/>
        </w:rPr>
      </w:pPr>
    </w:p>
    <w:p w14:paraId="02BEB380">
      <w:pPr>
        <w:pStyle w:val="23"/>
        <w:adjustRightInd w:val="0"/>
        <w:snapToGrid w:val="0"/>
        <w:spacing w:line="240" w:lineRule="atLeast"/>
        <w:jc w:val="center"/>
        <w:rPr>
          <w:rFonts w:ascii="黑体" w:hAnsi="黑体" w:eastAsia="黑体" w:cs="黑体"/>
          <w:bCs/>
          <w:sz w:val="56"/>
          <w:szCs w:val="56"/>
        </w:rPr>
      </w:pPr>
      <w:r>
        <w:rPr>
          <w:rFonts w:hint="eastAsia" w:ascii="黑体" w:hAnsi="黑体" w:eastAsia="黑体" w:cs="黑体"/>
          <w:bCs/>
          <w:sz w:val="56"/>
          <w:szCs w:val="56"/>
        </w:rPr>
        <w:t>【郴州】政府采购</w:t>
      </w:r>
    </w:p>
    <w:p w14:paraId="6E3B5D4C">
      <w:pPr>
        <w:pStyle w:val="23"/>
        <w:adjustRightInd w:val="0"/>
        <w:snapToGrid w:val="0"/>
        <w:spacing w:line="240" w:lineRule="atLeast"/>
        <w:jc w:val="center"/>
        <w:rPr>
          <w:rFonts w:ascii="黑体" w:hAnsi="黑体" w:eastAsia="黑体" w:cs="黑体"/>
          <w:bCs/>
          <w:sz w:val="56"/>
          <w:szCs w:val="56"/>
        </w:rPr>
      </w:pPr>
    </w:p>
    <w:p w14:paraId="5C4D1992">
      <w:pPr>
        <w:pStyle w:val="23"/>
        <w:adjustRightInd w:val="0"/>
        <w:snapToGrid w:val="0"/>
        <w:spacing w:line="240" w:lineRule="atLeast"/>
        <w:jc w:val="center"/>
        <w:rPr>
          <w:rFonts w:hint="eastAsia" w:ascii="黑体" w:hAnsi="黑体" w:eastAsia="黑体" w:cs="黑体"/>
          <w:b/>
          <w:bCs/>
          <w:sz w:val="48"/>
          <w:szCs w:val="48"/>
        </w:rPr>
      </w:pPr>
      <w:r>
        <w:rPr>
          <w:rFonts w:hint="eastAsia" w:ascii="黑体" w:hAnsi="黑体" w:eastAsia="黑体" w:cs="黑体"/>
          <w:b/>
          <w:bCs/>
          <w:sz w:val="48"/>
          <w:szCs w:val="48"/>
        </w:rPr>
        <w:t>公开招标文件服务类综合评分法</w:t>
      </w:r>
    </w:p>
    <w:p w14:paraId="5B2F6478">
      <w:pPr>
        <w:pStyle w:val="23"/>
        <w:adjustRightInd w:val="0"/>
        <w:snapToGrid w:val="0"/>
        <w:spacing w:line="240" w:lineRule="atLeast"/>
        <w:jc w:val="center"/>
        <w:rPr>
          <w:rFonts w:ascii="黑体" w:hAnsi="黑体" w:eastAsia="黑体" w:cs="黑体"/>
          <w:b/>
          <w:bCs/>
          <w:sz w:val="48"/>
          <w:szCs w:val="48"/>
        </w:rPr>
      </w:pPr>
      <w:r>
        <w:rPr>
          <w:rFonts w:hint="eastAsia" w:ascii="黑体" w:hAnsi="黑体" w:eastAsia="黑体" w:cs="黑体"/>
          <w:b/>
          <w:bCs/>
          <w:sz w:val="48"/>
          <w:szCs w:val="48"/>
        </w:rPr>
        <w:t>（电子标）</w:t>
      </w:r>
    </w:p>
    <w:p w14:paraId="187AECA3">
      <w:pPr>
        <w:pStyle w:val="23"/>
        <w:adjustRightInd w:val="0"/>
        <w:snapToGrid w:val="0"/>
        <w:spacing w:line="240" w:lineRule="atLeast"/>
        <w:jc w:val="center"/>
        <w:rPr>
          <w:rFonts w:ascii="黑体" w:hAnsi="黑体" w:eastAsia="黑体" w:cs="黑体"/>
          <w:b/>
          <w:bCs/>
          <w:sz w:val="48"/>
          <w:szCs w:val="48"/>
        </w:rPr>
      </w:pPr>
    </w:p>
    <w:p w14:paraId="3777C85F">
      <w:pPr>
        <w:pStyle w:val="23"/>
        <w:adjustRightInd w:val="0"/>
        <w:snapToGrid w:val="0"/>
        <w:spacing w:line="240" w:lineRule="atLeast"/>
        <w:jc w:val="center"/>
        <w:rPr>
          <w:rFonts w:ascii="华文中宋" w:hAnsi="华文中宋" w:eastAsia="华文中宋"/>
          <w:b/>
          <w:bCs/>
          <w:sz w:val="28"/>
          <w:szCs w:val="28"/>
        </w:rPr>
      </w:pPr>
    </w:p>
    <w:p w14:paraId="12668710">
      <w:pPr>
        <w:pStyle w:val="23"/>
        <w:adjustRightInd w:val="0"/>
        <w:snapToGrid w:val="0"/>
        <w:spacing w:line="240" w:lineRule="atLeast"/>
        <w:jc w:val="center"/>
        <w:rPr>
          <w:rFonts w:ascii="楷体" w:hAnsi="楷体" w:eastAsia="楷体" w:cs="楷体"/>
          <w:b/>
          <w:bCs/>
          <w:sz w:val="28"/>
          <w:szCs w:val="28"/>
        </w:rPr>
      </w:pPr>
    </w:p>
    <w:p w14:paraId="707D5002">
      <w:pPr>
        <w:pStyle w:val="23"/>
        <w:adjustRightInd w:val="0"/>
        <w:snapToGrid w:val="0"/>
        <w:spacing w:line="240" w:lineRule="atLeast"/>
        <w:jc w:val="center"/>
        <w:rPr>
          <w:rFonts w:ascii="华文中宋" w:hAnsi="华文中宋" w:eastAsia="华文中宋"/>
          <w:b/>
          <w:bCs/>
          <w:sz w:val="40"/>
          <w:szCs w:val="40"/>
        </w:rPr>
      </w:pPr>
    </w:p>
    <w:p w14:paraId="209452EF">
      <w:pPr>
        <w:pStyle w:val="23"/>
        <w:adjustRightInd w:val="0"/>
        <w:snapToGrid w:val="0"/>
        <w:spacing w:line="240" w:lineRule="atLeast"/>
        <w:jc w:val="center"/>
        <w:rPr>
          <w:rFonts w:ascii="华文中宋" w:hAnsi="华文中宋" w:eastAsia="华文中宋"/>
          <w:bCs/>
          <w:sz w:val="20"/>
          <w:szCs w:val="20"/>
        </w:rPr>
      </w:pPr>
    </w:p>
    <w:p w14:paraId="5CFCD786">
      <w:pPr>
        <w:adjustRightInd w:val="0"/>
        <w:snapToGrid w:val="0"/>
        <w:spacing w:line="360" w:lineRule="auto"/>
        <w:ind w:firstLine="984" w:firstLineChars="350"/>
        <w:rPr>
          <w:rFonts w:hint="eastAsia" w:eastAsia="宋体"/>
          <w:b/>
          <w:sz w:val="20"/>
          <w:szCs w:val="20"/>
          <w:lang w:eastAsia="zh-CN"/>
        </w:rPr>
      </w:pPr>
      <w:r>
        <w:rPr>
          <w:rFonts w:hint="eastAsia" w:hAnsi="宋体"/>
          <w:b/>
          <w:sz w:val="28"/>
          <w:szCs w:val="28"/>
        </w:rPr>
        <w:t>采购项目名称：</w:t>
      </w:r>
      <w:r>
        <w:rPr>
          <w:rFonts w:hint="eastAsia" w:hAnsi="宋体"/>
          <w:b/>
          <w:sz w:val="28"/>
          <w:szCs w:val="28"/>
          <w:u w:val="single"/>
          <w:lang w:eastAsia="zh-CN"/>
        </w:rPr>
        <w:t>郴州市2026年度视频专网组网租赁项目</w:t>
      </w:r>
    </w:p>
    <w:p w14:paraId="544C0547">
      <w:pPr>
        <w:adjustRightInd w:val="0"/>
        <w:snapToGrid w:val="0"/>
        <w:spacing w:line="360" w:lineRule="auto"/>
        <w:ind w:firstLine="984" w:firstLineChars="350"/>
        <w:rPr>
          <w:rFonts w:hint="eastAsia" w:hAnsi="宋体"/>
          <w:b/>
          <w:sz w:val="28"/>
          <w:szCs w:val="28"/>
          <w:u w:val="single"/>
          <w:lang w:val="en-US" w:eastAsia="zh-CN"/>
        </w:rPr>
      </w:pPr>
      <w:r>
        <w:rPr>
          <w:rFonts w:hint="eastAsia" w:hAnsi="宋体"/>
          <w:b/>
          <w:sz w:val="28"/>
          <w:szCs w:val="28"/>
        </w:rPr>
        <w:t>政府采购计划编号：</w:t>
      </w:r>
      <w:r>
        <w:rPr>
          <w:rFonts w:hint="eastAsia" w:hAnsi="宋体"/>
          <w:b/>
          <w:sz w:val="28"/>
          <w:szCs w:val="28"/>
          <w:u w:val="single"/>
          <w:lang w:val="en-US" w:eastAsia="zh-CN"/>
        </w:rPr>
        <w:t xml:space="preserve"> (2026)431000000179-1 </w:t>
      </w:r>
    </w:p>
    <w:p w14:paraId="1B251846">
      <w:pPr>
        <w:adjustRightInd w:val="0"/>
        <w:snapToGrid w:val="0"/>
        <w:spacing w:line="360" w:lineRule="auto"/>
        <w:ind w:firstLine="984" w:firstLineChars="350"/>
        <w:rPr>
          <w:rFonts w:hint="eastAsia" w:hAnsi="宋体" w:eastAsia="宋体"/>
          <w:b/>
          <w:sz w:val="28"/>
          <w:szCs w:val="28"/>
          <w:u w:val="single"/>
          <w:lang w:eastAsia="zh-CN"/>
        </w:rPr>
      </w:pPr>
      <w:r>
        <w:rPr>
          <w:rFonts w:hint="eastAsia" w:hAnsi="宋体"/>
          <w:b/>
          <w:sz w:val="28"/>
          <w:szCs w:val="28"/>
        </w:rPr>
        <w:t>委托代理编号：</w:t>
      </w:r>
      <w:r>
        <w:rPr>
          <w:rFonts w:hint="eastAsia" w:hAnsi="宋体"/>
          <w:b/>
          <w:sz w:val="28"/>
          <w:szCs w:val="28"/>
          <w:u w:val="single"/>
          <w:lang w:eastAsia="zh-CN"/>
        </w:rPr>
        <w:t>LYZC-CZ-2026027</w:t>
      </w:r>
    </w:p>
    <w:p w14:paraId="5639594B">
      <w:pPr>
        <w:adjustRightInd w:val="0"/>
        <w:snapToGrid w:val="0"/>
        <w:spacing w:line="360" w:lineRule="auto"/>
        <w:ind w:firstLine="984" w:firstLineChars="350"/>
        <w:rPr>
          <w:rFonts w:hint="eastAsia" w:hAnsi="宋体" w:eastAsia="宋体"/>
          <w:b/>
          <w:sz w:val="28"/>
          <w:szCs w:val="28"/>
          <w:lang w:eastAsia="zh-CN"/>
        </w:rPr>
      </w:pPr>
      <w:r>
        <w:rPr>
          <w:rFonts w:hint="eastAsia" w:hAnsi="宋体"/>
          <w:b/>
          <w:sz w:val="28"/>
          <w:szCs w:val="28"/>
        </w:rPr>
        <w:t>采</w:t>
      </w:r>
      <w:r>
        <w:rPr>
          <w:rFonts w:hAnsi="宋体"/>
          <w:b/>
          <w:sz w:val="28"/>
          <w:szCs w:val="28"/>
        </w:rPr>
        <w:t xml:space="preserve">   </w:t>
      </w:r>
      <w:r>
        <w:rPr>
          <w:rFonts w:hint="eastAsia" w:hAnsi="宋体"/>
          <w:b/>
          <w:sz w:val="28"/>
          <w:szCs w:val="28"/>
        </w:rPr>
        <w:t>购</w:t>
      </w:r>
      <w:r>
        <w:rPr>
          <w:rFonts w:hAnsi="宋体"/>
          <w:b/>
          <w:sz w:val="28"/>
          <w:szCs w:val="28"/>
        </w:rPr>
        <w:t xml:space="preserve">   </w:t>
      </w:r>
      <w:r>
        <w:rPr>
          <w:rFonts w:hint="eastAsia" w:hAnsi="宋体"/>
          <w:b/>
          <w:sz w:val="28"/>
          <w:szCs w:val="28"/>
        </w:rPr>
        <w:t>人：</w:t>
      </w:r>
      <w:r>
        <w:rPr>
          <w:rFonts w:hint="eastAsia" w:hAnsi="宋体"/>
          <w:b/>
          <w:sz w:val="28"/>
          <w:szCs w:val="28"/>
          <w:u w:val="single"/>
          <w:lang w:eastAsia="zh-CN"/>
        </w:rPr>
        <w:t>郴州市数据局</w:t>
      </w:r>
    </w:p>
    <w:p w14:paraId="4927D350">
      <w:pPr>
        <w:adjustRightInd w:val="0"/>
        <w:snapToGrid w:val="0"/>
        <w:spacing w:line="360" w:lineRule="auto"/>
        <w:ind w:firstLine="984" w:firstLineChars="350"/>
        <w:rPr>
          <w:rFonts w:hint="eastAsia" w:ascii="宋体" w:eastAsia="宋体"/>
          <w:b/>
          <w:sz w:val="28"/>
          <w:szCs w:val="20"/>
          <w:lang w:eastAsia="zh-CN"/>
        </w:rPr>
      </w:pPr>
      <w:r>
        <w:rPr>
          <w:rFonts w:hint="eastAsia" w:ascii="宋体"/>
          <w:b/>
          <w:sz w:val="28"/>
          <w:szCs w:val="20"/>
        </w:rPr>
        <w:t>采购代理机构：</w:t>
      </w:r>
      <w:r>
        <w:rPr>
          <w:rFonts w:hint="eastAsia" w:ascii="宋体"/>
          <w:b/>
          <w:sz w:val="28"/>
          <w:szCs w:val="20"/>
          <w:u w:val="single"/>
          <w:lang w:eastAsia="zh-CN"/>
        </w:rPr>
        <w:t>湖南凌云咨询集团有限公司</w:t>
      </w:r>
    </w:p>
    <w:p w14:paraId="16E85388">
      <w:pPr>
        <w:pStyle w:val="23"/>
        <w:adjustRightInd w:val="0"/>
        <w:snapToGrid w:val="0"/>
        <w:spacing w:line="360" w:lineRule="auto"/>
        <w:jc w:val="center"/>
        <w:rPr>
          <w:rFonts w:hAnsi="宋体"/>
          <w:bCs/>
          <w:sz w:val="28"/>
          <w:szCs w:val="28"/>
        </w:rPr>
      </w:pPr>
    </w:p>
    <w:p w14:paraId="413A975B">
      <w:pPr>
        <w:pStyle w:val="23"/>
        <w:adjustRightInd w:val="0"/>
        <w:snapToGrid w:val="0"/>
        <w:spacing w:line="240" w:lineRule="atLeast"/>
        <w:jc w:val="center"/>
        <w:rPr>
          <w:rFonts w:hAnsi="宋体"/>
          <w:bCs/>
          <w:sz w:val="28"/>
          <w:szCs w:val="28"/>
        </w:rPr>
      </w:pPr>
    </w:p>
    <w:p w14:paraId="4D7A2E62">
      <w:pPr>
        <w:pStyle w:val="23"/>
        <w:adjustRightInd w:val="0"/>
        <w:snapToGrid w:val="0"/>
        <w:spacing w:line="240" w:lineRule="atLeast"/>
        <w:jc w:val="center"/>
        <w:rPr>
          <w:rFonts w:hAnsi="宋体"/>
          <w:bCs/>
          <w:sz w:val="28"/>
          <w:szCs w:val="28"/>
        </w:rPr>
      </w:pPr>
    </w:p>
    <w:p w14:paraId="158A4ECE">
      <w:pPr>
        <w:pStyle w:val="23"/>
        <w:adjustRightInd w:val="0"/>
        <w:snapToGrid w:val="0"/>
        <w:spacing w:line="240" w:lineRule="atLeast"/>
        <w:jc w:val="center"/>
        <w:rPr>
          <w:rFonts w:hAnsi="宋体"/>
          <w:bCs/>
          <w:sz w:val="28"/>
          <w:szCs w:val="28"/>
        </w:rPr>
      </w:pPr>
    </w:p>
    <w:p w14:paraId="1B774341">
      <w:pPr>
        <w:pStyle w:val="23"/>
        <w:adjustRightInd w:val="0"/>
        <w:snapToGrid w:val="0"/>
        <w:spacing w:line="240" w:lineRule="atLeast"/>
        <w:jc w:val="center"/>
        <w:rPr>
          <w:rFonts w:hAnsi="宋体"/>
          <w:bCs/>
          <w:sz w:val="28"/>
          <w:szCs w:val="28"/>
        </w:rPr>
      </w:pPr>
    </w:p>
    <w:p w14:paraId="4529B278">
      <w:pPr>
        <w:pStyle w:val="23"/>
        <w:adjustRightInd w:val="0"/>
        <w:snapToGrid w:val="0"/>
        <w:spacing w:line="240" w:lineRule="atLeast"/>
        <w:jc w:val="center"/>
        <w:rPr>
          <w:rFonts w:hAnsi="宋体"/>
          <w:bCs/>
          <w:sz w:val="28"/>
          <w:szCs w:val="28"/>
        </w:rPr>
      </w:pPr>
    </w:p>
    <w:p w14:paraId="24E3A749">
      <w:pPr>
        <w:pStyle w:val="23"/>
        <w:adjustRightInd w:val="0"/>
        <w:snapToGrid w:val="0"/>
        <w:spacing w:line="240" w:lineRule="atLeast"/>
        <w:jc w:val="center"/>
        <w:rPr>
          <w:rFonts w:hAnsi="宋体"/>
          <w:b/>
          <w:bCs/>
          <w:sz w:val="28"/>
          <w:szCs w:val="28"/>
        </w:rPr>
      </w:pPr>
      <w:r>
        <w:rPr>
          <w:rFonts w:hint="eastAsia" w:hAnsi="宋体"/>
          <w:b/>
          <w:sz w:val="28"/>
          <w:szCs w:val="20"/>
        </w:rPr>
        <w:t xml:space="preserve"> 202</w:t>
      </w:r>
      <w:r>
        <w:rPr>
          <w:rFonts w:hint="eastAsia" w:hAnsi="宋体"/>
          <w:b/>
          <w:sz w:val="28"/>
          <w:szCs w:val="20"/>
          <w:lang w:val="en-US" w:eastAsia="zh-CN"/>
        </w:rPr>
        <w:t>6</w:t>
      </w:r>
      <w:r>
        <w:rPr>
          <w:rFonts w:hint="eastAsia" w:hAnsi="宋体"/>
          <w:b/>
          <w:sz w:val="28"/>
          <w:szCs w:val="20"/>
        </w:rPr>
        <w:t>年0</w:t>
      </w:r>
      <w:r>
        <w:rPr>
          <w:rFonts w:hint="eastAsia" w:hAnsi="宋体"/>
          <w:b/>
          <w:sz w:val="28"/>
          <w:szCs w:val="20"/>
          <w:lang w:val="en-US" w:eastAsia="zh-CN"/>
        </w:rPr>
        <w:t>8</w:t>
      </w:r>
      <w:r>
        <w:rPr>
          <w:rFonts w:hint="eastAsia" w:hAnsi="宋体"/>
          <w:b/>
          <w:sz w:val="28"/>
          <w:szCs w:val="20"/>
        </w:rPr>
        <w:t>月</w:t>
      </w:r>
    </w:p>
    <w:p w14:paraId="184C38EC">
      <w:pPr>
        <w:pStyle w:val="23"/>
        <w:adjustRightInd w:val="0"/>
        <w:snapToGrid w:val="0"/>
        <w:spacing w:line="240" w:lineRule="atLeast"/>
        <w:jc w:val="center"/>
        <w:rPr>
          <w:rFonts w:hAnsi="宋体"/>
          <w:b/>
          <w:bCs/>
          <w:sz w:val="32"/>
          <w:szCs w:val="32"/>
        </w:rPr>
      </w:pPr>
    </w:p>
    <w:p w14:paraId="2F343A3D">
      <w:pPr>
        <w:pStyle w:val="23"/>
        <w:adjustRightInd w:val="0"/>
        <w:snapToGrid w:val="0"/>
        <w:spacing w:line="240" w:lineRule="atLeast"/>
        <w:jc w:val="center"/>
        <w:rPr>
          <w:rFonts w:hAnsi="宋体"/>
          <w:b/>
          <w:bCs/>
          <w:sz w:val="32"/>
          <w:szCs w:val="32"/>
        </w:rPr>
        <w:sectPr>
          <w:headerReference r:id="rId3" w:type="default"/>
          <w:pgSz w:w="11906" w:h="16838"/>
          <w:pgMar w:top="1440" w:right="1588" w:bottom="1440" w:left="1588" w:header="851" w:footer="992" w:gutter="0"/>
          <w:pgNumType w:fmt="numberInDash"/>
          <w:cols w:space="720" w:num="1"/>
          <w:docGrid w:type="lines" w:linePitch="312" w:charSpace="0"/>
        </w:sectPr>
      </w:pPr>
    </w:p>
    <w:p w14:paraId="6EA42BC4">
      <w:pPr>
        <w:pStyle w:val="23"/>
        <w:adjustRightInd w:val="0"/>
        <w:snapToGrid w:val="0"/>
        <w:spacing w:line="360" w:lineRule="auto"/>
        <w:jc w:val="center"/>
        <w:rPr>
          <w:rFonts w:ascii="华文中宋" w:hAnsi="华文中宋" w:eastAsia="华文中宋"/>
          <w:b/>
          <w:spacing w:val="160"/>
          <w:sz w:val="36"/>
          <w:szCs w:val="36"/>
        </w:rPr>
      </w:pPr>
      <w:r>
        <w:rPr>
          <w:rFonts w:hint="eastAsia" w:ascii="华文中宋" w:hAnsi="华文中宋" w:eastAsia="华文中宋"/>
          <w:b/>
          <w:spacing w:val="160"/>
          <w:sz w:val="36"/>
          <w:szCs w:val="36"/>
        </w:rPr>
        <w:t>目录</w:t>
      </w:r>
    </w:p>
    <w:p w14:paraId="6FF80EEE">
      <w:pPr>
        <w:pStyle w:val="31"/>
        <w:tabs>
          <w:tab w:val="right" w:leader="dot" w:pos="8834"/>
        </w:tabs>
        <w:rPr>
          <w:rFonts w:asciiTheme="minorHAnsi" w:hAnsiTheme="minorHAnsi" w:cstheme="minorBidi"/>
          <w:b w:val="0"/>
          <w:sz w:val="21"/>
          <w:szCs w:val="22"/>
        </w:rPr>
      </w:pPr>
      <w:r>
        <w:rPr>
          <w:rStyle w:val="48"/>
          <w:b w:val="0"/>
        </w:rPr>
        <w:fldChar w:fldCharType="begin"/>
      </w:r>
      <w:r>
        <w:rPr>
          <w:rStyle w:val="48"/>
          <w:b w:val="0"/>
        </w:rPr>
        <w:instrText xml:space="preserve"> TOC \o "1-4" \h \z \u </w:instrText>
      </w:r>
      <w:r>
        <w:rPr>
          <w:rStyle w:val="48"/>
          <w:b w:val="0"/>
        </w:rPr>
        <w:fldChar w:fldCharType="separate"/>
      </w:r>
      <w:r>
        <w:fldChar w:fldCharType="begin"/>
      </w:r>
      <w:r>
        <w:instrText xml:space="preserve"> HYPERLINK \l "_Toc172716638" </w:instrText>
      </w:r>
      <w:r>
        <w:fldChar w:fldCharType="separate"/>
      </w:r>
      <w:r>
        <w:rPr>
          <w:rStyle w:val="53"/>
          <w:rFonts w:hint="eastAsia" w:ascii="黑体" w:hAnsi="华文中宋" w:eastAsia="黑体"/>
          <w:color w:val="auto"/>
        </w:rPr>
        <w:t>第一章</w:t>
      </w:r>
      <w:r>
        <w:rPr>
          <w:rStyle w:val="53"/>
          <w:rFonts w:ascii="黑体" w:hAnsi="华文中宋" w:eastAsia="黑体"/>
          <w:color w:val="auto"/>
        </w:rPr>
        <w:t xml:space="preserve"> </w:t>
      </w:r>
      <w:r>
        <w:rPr>
          <w:rStyle w:val="53"/>
          <w:rFonts w:hint="eastAsia" w:ascii="黑体" w:hAnsi="华文中宋" w:eastAsia="黑体"/>
          <w:color w:val="auto"/>
        </w:rPr>
        <w:t>投标邀请</w:t>
      </w:r>
      <w:r>
        <w:tab/>
      </w:r>
      <w:r>
        <w:fldChar w:fldCharType="begin"/>
      </w:r>
      <w:r>
        <w:instrText xml:space="preserve"> PAGEREF _Toc172716638 \h </w:instrText>
      </w:r>
      <w:r>
        <w:fldChar w:fldCharType="separate"/>
      </w:r>
      <w:r>
        <w:t>- 5 -</w:t>
      </w:r>
      <w:r>
        <w:fldChar w:fldCharType="end"/>
      </w:r>
      <w:r>
        <w:fldChar w:fldCharType="end"/>
      </w:r>
    </w:p>
    <w:p w14:paraId="5EC4A74F">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"_Toc172716639" </w:instrText>
      </w:r>
      <w:r>
        <w:fldChar w:fldCharType="separate"/>
      </w:r>
      <w:r>
        <w:rPr>
          <w:rStyle w:val="53"/>
          <w:rFonts w:hint="eastAsia"/>
          <w:color w:val="auto"/>
        </w:rPr>
        <w:t>一、采购项目基本信息</w:t>
      </w:r>
      <w:r>
        <w:tab/>
      </w:r>
      <w:r>
        <w:fldChar w:fldCharType="begin"/>
      </w:r>
      <w:r>
        <w:instrText xml:space="preserve"> PAGEREF _Toc172716639 \h </w:instrText>
      </w:r>
      <w:r>
        <w:fldChar w:fldCharType="separate"/>
      </w:r>
      <w:r>
        <w:t>- 5 -</w:t>
      </w:r>
      <w:r>
        <w:fldChar w:fldCharType="end"/>
      </w:r>
      <w:r>
        <w:fldChar w:fldCharType="end"/>
      </w:r>
    </w:p>
    <w:p w14:paraId="402448D9">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"_Toc172716640" </w:instrText>
      </w:r>
      <w:r>
        <w:fldChar w:fldCharType="separate"/>
      </w:r>
      <w:r>
        <w:rPr>
          <w:rStyle w:val="53"/>
          <w:rFonts w:hint="eastAsia"/>
          <w:color w:val="auto"/>
        </w:rPr>
        <w:t>二、采购人的采购需求（按包）</w:t>
      </w:r>
      <w:r>
        <w:tab/>
      </w:r>
      <w:r>
        <w:fldChar w:fldCharType="begin"/>
      </w:r>
      <w:r>
        <w:instrText xml:space="preserve"> PAGEREF _Toc172716640 \h </w:instrText>
      </w:r>
      <w:r>
        <w:fldChar w:fldCharType="separate"/>
      </w:r>
      <w:r>
        <w:t>- 5 -</w:t>
      </w:r>
      <w:r>
        <w:fldChar w:fldCharType="end"/>
      </w:r>
      <w:r>
        <w:fldChar w:fldCharType="end"/>
      </w:r>
    </w:p>
    <w:p w14:paraId="51C0C6A1">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"_Toc172716641" </w:instrText>
      </w:r>
      <w:r>
        <w:fldChar w:fldCharType="separate"/>
      </w:r>
      <w:r>
        <w:rPr>
          <w:rStyle w:val="53"/>
          <w:rFonts w:hint="eastAsia"/>
          <w:color w:val="auto"/>
        </w:rPr>
        <w:t>三、采购项目需落实的政府采购政策：</w:t>
      </w:r>
      <w:r>
        <w:rPr>
          <w:rStyle w:val="53"/>
          <w:rFonts w:asciiTheme="minorEastAsia" w:hAnsiTheme="minorEastAsia"/>
          <w:color w:val="auto"/>
        </w:rPr>
        <w:t>(</w:t>
      </w:r>
      <w:r>
        <w:rPr>
          <w:rStyle w:val="53"/>
          <w:rFonts w:hint="eastAsia" w:asciiTheme="minorEastAsia" w:hAnsiTheme="minorEastAsia"/>
          <w:color w:val="auto"/>
        </w:rPr>
        <w:t>说明：应根据采购项目特点选择以下内容</w:t>
      </w:r>
      <w:r>
        <w:rPr>
          <w:rStyle w:val="53"/>
          <w:rFonts w:asciiTheme="minorEastAsia" w:hAnsiTheme="minorEastAsia"/>
          <w:color w:val="auto"/>
        </w:rPr>
        <w:t>)</w:t>
      </w:r>
      <w:r>
        <w:rPr>
          <w:rStyle w:val="53"/>
          <w:rFonts w:hint="eastAsia" w:asciiTheme="minorEastAsia" w:hAnsiTheme="minorEastAsia"/>
          <w:color w:val="auto"/>
        </w:rPr>
        <w:t>：</w:t>
      </w:r>
      <w:r>
        <w:tab/>
      </w:r>
      <w:r>
        <w:fldChar w:fldCharType="begin"/>
      </w:r>
      <w:r>
        <w:instrText xml:space="preserve"> PAGEREF _Toc172716641 \h </w:instrText>
      </w:r>
      <w:r>
        <w:fldChar w:fldCharType="separate"/>
      </w:r>
      <w:r>
        <w:t>- 6 -</w:t>
      </w:r>
      <w:r>
        <w:fldChar w:fldCharType="end"/>
      </w:r>
      <w:r>
        <w:fldChar w:fldCharType="end"/>
      </w:r>
    </w:p>
    <w:p w14:paraId="012AC75E">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"_Toc172716642" </w:instrText>
      </w:r>
      <w:r>
        <w:fldChar w:fldCharType="separate"/>
      </w:r>
      <w:r>
        <w:rPr>
          <w:rStyle w:val="53"/>
          <w:rFonts w:hint="eastAsia"/>
          <w:color w:val="auto"/>
        </w:rPr>
        <w:t>四、投标人的资格要求：</w:t>
      </w:r>
      <w:r>
        <w:tab/>
      </w:r>
      <w:r>
        <w:fldChar w:fldCharType="begin"/>
      </w:r>
      <w:r>
        <w:instrText xml:space="preserve"> PAGEREF _Toc172716642 \h </w:instrText>
      </w:r>
      <w:r>
        <w:fldChar w:fldCharType="separate"/>
      </w:r>
      <w:r>
        <w:t>- 6 -</w:t>
      </w:r>
      <w:r>
        <w:fldChar w:fldCharType="end"/>
      </w:r>
      <w:r>
        <w:fldChar w:fldCharType="end"/>
      </w:r>
    </w:p>
    <w:p w14:paraId="50B9FAEE">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"_Toc172716643" </w:instrText>
      </w:r>
      <w:r>
        <w:fldChar w:fldCharType="separate"/>
      </w:r>
      <w:r>
        <w:rPr>
          <w:rStyle w:val="53"/>
          <w:rFonts w:hint="eastAsia"/>
          <w:color w:val="auto"/>
        </w:rPr>
        <w:t>五、获取电子招标文件的时间、期限、方式</w:t>
      </w:r>
      <w:r>
        <w:tab/>
      </w:r>
      <w:r>
        <w:fldChar w:fldCharType="begin"/>
      </w:r>
      <w:r>
        <w:instrText xml:space="preserve"> PAGEREF _Toc172716643 \h </w:instrText>
      </w:r>
      <w:r>
        <w:fldChar w:fldCharType="separate"/>
      </w:r>
      <w:r>
        <w:t>- 7 -</w:t>
      </w:r>
      <w:r>
        <w:fldChar w:fldCharType="end"/>
      </w:r>
      <w:r>
        <w:fldChar w:fldCharType="end"/>
      </w:r>
    </w:p>
    <w:p w14:paraId="7698FB4F">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"_Toc172716644" </w:instrText>
      </w:r>
      <w:r>
        <w:fldChar w:fldCharType="separate"/>
      </w:r>
      <w:r>
        <w:rPr>
          <w:rStyle w:val="53"/>
          <w:rFonts w:hint="eastAsia"/>
          <w:color w:val="auto"/>
        </w:rPr>
        <w:t>六、投标截止时间、开标时间、开标地点</w:t>
      </w:r>
      <w:r>
        <w:tab/>
      </w:r>
      <w:r>
        <w:fldChar w:fldCharType="begin"/>
      </w:r>
      <w:r>
        <w:instrText xml:space="preserve"> PAGEREF _Toc172716644 \h </w:instrText>
      </w:r>
      <w:r>
        <w:fldChar w:fldCharType="separate"/>
      </w:r>
      <w:r>
        <w:t>- 7 -</w:t>
      </w:r>
      <w:r>
        <w:fldChar w:fldCharType="end"/>
      </w:r>
      <w:r>
        <w:fldChar w:fldCharType="end"/>
      </w:r>
    </w:p>
    <w:p w14:paraId="3ACEBA55">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"_Toc172716645" </w:instrText>
      </w:r>
      <w:r>
        <w:fldChar w:fldCharType="separate"/>
      </w:r>
      <w:r>
        <w:rPr>
          <w:rStyle w:val="53"/>
          <w:rFonts w:hint="eastAsia"/>
          <w:color w:val="auto"/>
        </w:rPr>
        <w:t>七、招标文件公告期限：</w:t>
      </w:r>
      <w:r>
        <w:tab/>
      </w:r>
      <w:r>
        <w:fldChar w:fldCharType="begin"/>
      </w:r>
      <w:r>
        <w:instrText xml:space="preserve"> PAGEREF _Toc172716645 \h </w:instrText>
      </w:r>
      <w:r>
        <w:fldChar w:fldCharType="separate"/>
      </w:r>
      <w:r>
        <w:t>- 8 -</w:t>
      </w:r>
      <w:r>
        <w:fldChar w:fldCharType="end"/>
      </w:r>
      <w:r>
        <w:fldChar w:fldCharType="end"/>
      </w:r>
    </w:p>
    <w:p w14:paraId="29096FA4">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"_Toc172716646" </w:instrText>
      </w:r>
      <w:r>
        <w:fldChar w:fldCharType="separate"/>
      </w:r>
      <w:r>
        <w:rPr>
          <w:rStyle w:val="53"/>
          <w:rFonts w:hint="eastAsia" w:asciiTheme="minorEastAsia" w:hAnsiTheme="minorEastAsia"/>
          <w:color w:val="auto"/>
        </w:rPr>
        <w:t>八、疑问及质疑：</w:t>
      </w:r>
      <w:r>
        <w:tab/>
      </w:r>
      <w:r>
        <w:fldChar w:fldCharType="begin"/>
      </w:r>
      <w:r>
        <w:instrText xml:space="preserve"> PAGEREF _Toc172716646 \h </w:instrText>
      </w:r>
      <w:r>
        <w:fldChar w:fldCharType="separate"/>
      </w:r>
      <w:r>
        <w:t>- 8 -</w:t>
      </w:r>
      <w:r>
        <w:fldChar w:fldCharType="end"/>
      </w:r>
      <w:r>
        <w:fldChar w:fldCharType="end"/>
      </w:r>
    </w:p>
    <w:p w14:paraId="17B9AD82">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"_Toc172716647" </w:instrText>
      </w:r>
      <w:r>
        <w:fldChar w:fldCharType="separate"/>
      </w:r>
      <w:r>
        <w:rPr>
          <w:rStyle w:val="53"/>
          <w:rFonts w:hint="eastAsia"/>
          <w:color w:val="auto"/>
        </w:rPr>
        <w:t>九、对本次招标提出询问，请按以下方式联系</w:t>
      </w:r>
      <w:r>
        <w:tab/>
      </w:r>
      <w:r>
        <w:fldChar w:fldCharType="begin"/>
      </w:r>
      <w:r>
        <w:instrText xml:space="preserve"> PAGEREF _Toc172716647 \h </w:instrText>
      </w:r>
      <w:r>
        <w:fldChar w:fldCharType="separate"/>
      </w:r>
      <w:r>
        <w:t>- 8 -</w:t>
      </w:r>
      <w:r>
        <w:fldChar w:fldCharType="end"/>
      </w:r>
      <w:r>
        <w:fldChar w:fldCharType="end"/>
      </w:r>
    </w:p>
    <w:p w14:paraId="570A921F">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"_Toc172716648" </w:instrText>
      </w:r>
      <w:r>
        <w:fldChar w:fldCharType="separate"/>
      </w:r>
      <w:r>
        <w:rPr>
          <w:rStyle w:val="53"/>
          <w:rFonts w:hint="eastAsia"/>
          <w:color w:val="auto"/>
        </w:rPr>
        <w:t>十、其它补充事宜</w:t>
      </w:r>
      <w:r>
        <w:tab/>
      </w:r>
      <w:r>
        <w:fldChar w:fldCharType="begin"/>
      </w:r>
      <w:r>
        <w:instrText xml:space="preserve"> PAGEREF _Toc172716648 \h </w:instrText>
      </w:r>
      <w:r>
        <w:fldChar w:fldCharType="separate"/>
      </w:r>
      <w:r>
        <w:t>- 9 -</w:t>
      </w:r>
      <w:r>
        <w:fldChar w:fldCharType="end"/>
      </w:r>
      <w:r>
        <w:fldChar w:fldCharType="end"/>
      </w:r>
    </w:p>
    <w:p w14:paraId="23A42C61">
      <w:pPr>
        <w:pStyle w:val="31"/>
        <w:tabs>
          <w:tab w:val="right" w:leader="dot" w:pos="8834"/>
        </w:tabs>
        <w:rPr>
          <w:rFonts w:asciiTheme="minorHAnsi" w:hAnsiTheme="minorHAnsi" w:cstheme="minorBidi"/>
          <w:b w:val="0"/>
          <w:sz w:val="21"/>
          <w:szCs w:val="22"/>
        </w:rPr>
      </w:pPr>
      <w:r>
        <w:fldChar w:fldCharType="begin"/>
      </w:r>
      <w:r>
        <w:instrText xml:space="preserve"> HYPERLINK \l "_Toc172716649" </w:instrText>
      </w:r>
      <w:r>
        <w:fldChar w:fldCharType="separate"/>
      </w:r>
      <w:r>
        <w:rPr>
          <w:rStyle w:val="53"/>
          <w:rFonts w:hint="eastAsia" w:ascii="黑体" w:hAnsi="华文中宋" w:eastAsia="黑体"/>
          <w:color w:val="auto"/>
        </w:rPr>
        <w:t>第二章</w:t>
      </w:r>
      <w:r>
        <w:rPr>
          <w:rStyle w:val="53"/>
          <w:rFonts w:ascii="黑体" w:hAnsi="华文中宋" w:eastAsia="黑体"/>
          <w:color w:val="auto"/>
        </w:rPr>
        <w:t xml:space="preserve"> </w:t>
      </w:r>
      <w:r>
        <w:rPr>
          <w:rStyle w:val="53"/>
          <w:rFonts w:hint="eastAsia" w:ascii="黑体" w:hAnsi="华文中宋" w:eastAsia="黑体"/>
          <w:color w:val="auto"/>
        </w:rPr>
        <w:t>投标须知</w:t>
      </w:r>
      <w:r>
        <w:tab/>
      </w:r>
      <w:r>
        <w:fldChar w:fldCharType="begin"/>
      </w:r>
      <w:r>
        <w:instrText xml:space="preserve"> PAGEREF _Toc172716649 \h </w:instrText>
      </w:r>
      <w:r>
        <w:fldChar w:fldCharType="separate"/>
      </w:r>
      <w:r>
        <w:t>- 11 -</w:t>
      </w:r>
      <w:r>
        <w:fldChar w:fldCharType="end"/>
      </w:r>
      <w:r>
        <w:fldChar w:fldCharType="end"/>
      </w:r>
    </w:p>
    <w:p w14:paraId="1DE39A4B">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"_Toc172716650" </w:instrText>
      </w:r>
      <w:r>
        <w:fldChar w:fldCharType="separate"/>
      </w:r>
      <w:r>
        <w:rPr>
          <w:rStyle w:val="53"/>
          <w:rFonts w:hint="eastAsia"/>
          <w:color w:val="auto"/>
        </w:rPr>
        <w:t>第一节</w:t>
      </w:r>
      <w:r>
        <w:rPr>
          <w:rStyle w:val="53"/>
          <w:color w:val="auto"/>
        </w:rPr>
        <w:t xml:space="preserve"> </w:t>
      </w:r>
      <w:r>
        <w:rPr>
          <w:rStyle w:val="53"/>
          <w:rFonts w:hint="eastAsia"/>
          <w:color w:val="auto"/>
        </w:rPr>
        <w:t>投标须知前附表</w:t>
      </w:r>
      <w:r>
        <w:tab/>
      </w:r>
      <w:r>
        <w:fldChar w:fldCharType="begin"/>
      </w:r>
      <w:r>
        <w:instrText xml:space="preserve"> PAGEREF _Toc172716650 \h </w:instrText>
      </w:r>
      <w:r>
        <w:fldChar w:fldCharType="separate"/>
      </w:r>
      <w:r>
        <w:t>- 11 -</w:t>
      </w:r>
      <w:r>
        <w:fldChar w:fldCharType="end"/>
      </w:r>
      <w:r>
        <w:fldChar w:fldCharType="end"/>
      </w:r>
    </w:p>
    <w:p w14:paraId="08733E8E">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"_Toc172716651" </w:instrText>
      </w:r>
      <w:r>
        <w:fldChar w:fldCharType="separate"/>
      </w:r>
      <w:r>
        <w:rPr>
          <w:rStyle w:val="53"/>
          <w:rFonts w:hint="eastAsia" w:ascii="黑体" w:hAnsi="黑体" w:eastAsia="黑体"/>
          <w:color w:val="auto"/>
        </w:rPr>
        <w:t>第二节</w:t>
      </w:r>
      <w:r>
        <w:rPr>
          <w:rStyle w:val="53"/>
          <w:rFonts w:ascii="黑体" w:hAnsi="黑体" w:eastAsia="黑体"/>
          <w:color w:val="auto"/>
        </w:rPr>
        <w:t xml:space="preserve"> </w:t>
      </w:r>
      <w:r>
        <w:rPr>
          <w:rStyle w:val="53"/>
          <w:rFonts w:hint="eastAsia" w:ascii="黑体" w:hAnsi="黑体" w:eastAsia="黑体"/>
          <w:color w:val="auto"/>
        </w:rPr>
        <w:t>投标须知</w:t>
      </w:r>
      <w:r>
        <w:tab/>
      </w:r>
      <w:r>
        <w:fldChar w:fldCharType="begin"/>
      </w:r>
      <w:r>
        <w:instrText xml:space="preserve"> PAGEREF _Toc172716651 \h </w:instrText>
      </w:r>
      <w:r>
        <w:fldChar w:fldCharType="separate"/>
      </w:r>
      <w:r>
        <w:t>- 16 -</w:t>
      </w:r>
      <w:r>
        <w:fldChar w:fldCharType="end"/>
      </w:r>
      <w:r>
        <w:fldChar w:fldCharType="end"/>
      </w:r>
    </w:p>
    <w:p w14:paraId="7651ACFC">
      <w:pPr>
        <w:pStyle w:val="22"/>
        <w:tabs>
          <w:tab w:val="right" w:leader="dot" w:pos="8834"/>
        </w:tabs>
        <w:ind w:left="840"/>
        <w:rPr>
          <w:rFonts w:asciiTheme="minorHAnsi" w:hAnsiTheme="minorHAnsi" w:cstheme="minorBidi"/>
          <w:b w:val="0"/>
          <w:szCs w:val="22"/>
        </w:rPr>
      </w:pPr>
      <w:r>
        <w:fldChar w:fldCharType="begin"/>
      </w:r>
      <w:r>
        <w:instrText xml:space="preserve"> HYPERLINK \l "_Toc172716652" </w:instrText>
      </w:r>
      <w:r>
        <w:fldChar w:fldCharType="separate"/>
      </w:r>
      <w:r>
        <w:rPr>
          <w:rStyle w:val="53"/>
          <w:rFonts w:hint="eastAsia" w:ascii="黑体" w:hAnsi="黑体" w:eastAsia="黑体"/>
          <w:color w:val="auto"/>
        </w:rPr>
        <w:t>一、总则</w:t>
      </w:r>
      <w:r>
        <w:tab/>
      </w:r>
      <w:r>
        <w:fldChar w:fldCharType="begin"/>
      </w:r>
      <w:r>
        <w:instrText xml:space="preserve"> PAGEREF _Toc172716652 \h </w:instrText>
      </w:r>
      <w:r>
        <w:fldChar w:fldCharType="separate"/>
      </w:r>
      <w:r>
        <w:t>- 16 -</w:t>
      </w:r>
      <w:r>
        <w:fldChar w:fldCharType="end"/>
      </w:r>
      <w:r>
        <w:fldChar w:fldCharType="end"/>
      </w:r>
    </w:p>
    <w:p w14:paraId="1AAB0740">
      <w:pPr>
        <w:pStyle w:val="22"/>
        <w:tabs>
          <w:tab w:val="right" w:leader="dot" w:pos="8834"/>
        </w:tabs>
        <w:ind w:left="840"/>
        <w:rPr>
          <w:rFonts w:asciiTheme="minorHAnsi" w:hAnsiTheme="minorHAnsi" w:cstheme="minorBidi"/>
          <w:b w:val="0"/>
          <w:szCs w:val="22"/>
        </w:rPr>
      </w:pPr>
      <w:r>
        <w:fldChar w:fldCharType="begin"/>
      </w:r>
      <w:r>
        <w:instrText xml:space="preserve"> HYPERLINK \l "_Toc172716653" </w:instrText>
      </w:r>
      <w:r>
        <w:fldChar w:fldCharType="separate"/>
      </w:r>
      <w:r>
        <w:rPr>
          <w:rStyle w:val="53"/>
          <w:rFonts w:hint="eastAsia" w:ascii="黑体" w:hAnsi="黑体" w:eastAsia="黑体"/>
          <w:color w:val="auto"/>
        </w:rPr>
        <w:t>二、招标文件</w:t>
      </w:r>
      <w:r>
        <w:tab/>
      </w:r>
      <w:r>
        <w:fldChar w:fldCharType="begin"/>
      </w:r>
      <w:r>
        <w:instrText xml:space="preserve"> PAGEREF _Toc172716653 \h </w:instrText>
      </w:r>
      <w:r>
        <w:fldChar w:fldCharType="separate"/>
      </w:r>
      <w:r>
        <w:t>- 17 -</w:t>
      </w:r>
      <w:r>
        <w:fldChar w:fldCharType="end"/>
      </w:r>
      <w:r>
        <w:fldChar w:fldCharType="end"/>
      </w:r>
    </w:p>
    <w:p w14:paraId="20181610">
      <w:pPr>
        <w:pStyle w:val="22"/>
        <w:tabs>
          <w:tab w:val="right" w:leader="dot" w:pos="8834"/>
        </w:tabs>
        <w:ind w:left="840"/>
        <w:rPr>
          <w:rFonts w:asciiTheme="minorHAnsi" w:hAnsiTheme="minorHAnsi" w:cstheme="minorBidi"/>
          <w:b w:val="0"/>
          <w:szCs w:val="22"/>
        </w:rPr>
      </w:pPr>
      <w:r>
        <w:fldChar w:fldCharType="begin"/>
      </w:r>
      <w:r>
        <w:instrText xml:space="preserve"> HYPERLINK \l "_Toc172716654" </w:instrText>
      </w:r>
      <w:r>
        <w:fldChar w:fldCharType="separate"/>
      </w:r>
      <w:r>
        <w:rPr>
          <w:rStyle w:val="53"/>
          <w:rFonts w:hint="eastAsia" w:ascii="黑体" w:hAnsi="黑体" w:eastAsia="黑体"/>
          <w:color w:val="auto"/>
        </w:rPr>
        <w:t>三、投标文件</w:t>
      </w:r>
      <w:r>
        <w:tab/>
      </w:r>
      <w:r>
        <w:fldChar w:fldCharType="begin"/>
      </w:r>
      <w:r>
        <w:instrText xml:space="preserve"> PAGEREF _Toc172716654 \h </w:instrText>
      </w:r>
      <w:r>
        <w:fldChar w:fldCharType="separate"/>
      </w:r>
      <w:r>
        <w:t>- 18 -</w:t>
      </w:r>
      <w:r>
        <w:fldChar w:fldCharType="end"/>
      </w:r>
      <w:r>
        <w:fldChar w:fldCharType="end"/>
      </w:r>
    </w:p>
    <w:p w14:paraId="7073961C">
      <w:pPr>
        <w:pStyle w:val="22"/>
        <w:tabs>
          <w:tab w:val="right" w:leader="dot" w:pos="8834"/>
        </w:tabs>
        <w:ind w:left="840"/>
        <w:rPr>
          <w:rFonts w:asciiTheme="minorHAnsi" w:hAnsiTheme="minorHAnsi" w:cstheme="minorBidi"/>
          <w:b w:val="0"/>
          <w:szCs w:val="22"/>
        </w:rPr>
      </w:pPr>
      <w:r>
        <w:fldChar w:fldCharType="begin"/>
      </w:r>
      <w:r>
        <w:instrText xml:space="preserve"> HYPERLINK \l "_Toc172716655" </w:instrText>
      </w:r>
      <w:r>
        <w:fldChar w:fldCharType="separate"/>
      </w:r>
      <w:r>
        <w:rPr>
          <w:rStyle w:val="53"/>
          <w:rFonts w:hint="eastAsia" w:ascii="黑体" w:hAnsi="黑体" w:eastAsia="黑体"/>
          <w:color w:val="auto"/>
        </w:rPr>
        <w:t>四、 投标</w:t>
      </w:r>
      <w:r>
        <w:tab/>
      </w:r>
      <w:r>
        <w:fldChar w:fldCharType="begin"/>
      </w:r>
      <w:r>
        <w:instrText xml:space="preserve"> PAGEREF _Toc172716655 \h </w:instrText>
      </w:r>
      <w:r>
        <w:fldChar w:fldCharType="separate"/>
      </w:r>
      <w:r>
        <w:t>- 22 -</w:t>
      </w:r>
      <w:r>
        <w:fldChar w:fldCharType="end"/>
      </w:r>
      <w:r>
        <w:fldChar w:fldCharType="end"/>
      </w:r>
    </w:p>
    <w:p w14:paraId="002D8FA2">
      <w:pPr>
        <w:pStyle w:val="22"/>
        <w:tabs>
          <w:tab w:val="right" w:leader="dot" w:pos="8834"/>
        </w:tabs>
        <w:ind w:left="840"/>
        <w:rPr>
          <w:rFonts w:asciiTheme="minorHAnsi" w:hAnsiTheme="minorHAnsi" w:cstheme="minorBidi"/>
          <w:b w:val="0"/>
          <w:szCs w:val="22"/>
        </w:rPr>
      </w:pPr>
      <w:r>
        <w:fldChar w:fldCharType="begin"/>
      </w:r>
      <w:r>
        <w:instrText xml:space="preserve"> HYPERLINK \l "_Toc172716656" </w:instrText>
      </w:r>
      <w:r>
        <w:fldChar w:fldCharType="separate"/>
      </w:r>
      <w:r>
        <w:rPr>
          <w:rStyle w:val="53"/>
          <w:rFonts w:hint="eastAsia" w:ascii="黑体" w:hAnsi="黑体" w:eastAsia="黑体"/>
          <w:color w:val="auto"/>
        </w:rPr>
        <w:t>五、开标，资格审查和评标</w:t>
      </w:r>
      <w:r>
        <w:tab/>
      </w:r>
      <w:r>
        <w:fldChar w:fldCharType="begin"/>
      </w:r>
      <w:r>
        <w:instrText xml:space="preserve"> PAGEREF _Toc172716656 \h </w:instrText>
      </w:r>
      <w:r>
        <w:fldChar w:fldCharType="separate"/>
      </w:r>
      <w:r>
        <w:t>- 23 -</w:t>
      </w:r>
      <w:r>
        <w:fldChar w:fldCharType="end"/>
      </w:r>
      <w:r>
        <w:fldChar w:fldCharType="end"/>
      </w:r>
    </w:p>
    <w:p w14:paraId="66F9B209">
      <w:pPr>
        <w:pStyle w:val="22"/>
        <w:tabs>
          <w:tab w:val="right" w:leader="dot" w:pos="8834"/>
        </w:tabs>
        <w:ind w:left="840"/>
        <w:rPr>
          <w:rFonts w:asciiTheme="minorHAnsi" w:hAnsiTheme="minorHAnsi" w:cstheme="minorBidi"/>
          <w:b w:val="0"/>
          <w:szCs w:val="22"/>
        </w:rPr>
      </w:pPr>
      <w:r>
        <w:fldChar w:fldCharType="begin"/>
      </w:r>
      <w:r>
        <w:instrText xml:space="preserve"> HYPERLINK \l "_Toc172716657" </w:instrText>
      </w:r>
      <w:r>
        <w:fldChar w:fldCharType="separate"/>
      </w:r>
      <w:r>
        <w:rPr>
          <w:rStyle w:val="53"/>
          <w:rFonts w:hint="eastAsia" w:ascii="黑体" w:hAnsi="黑体" w:eastAsia="黑体"/>
          <w:color w:val="auto"/>
        </w:rPr>
        <w:t>六、中标信息公布</w:t>
      </w:r>
      <w:r>
        <w:tab/>
      </w:r>
      <w:r>
        <w:fldChar w:fldCharType="begin"/>
      </w:r>
      <w:r>
        <w:instrText xml:space="preserve"> PAGEREF _Toc172716657 \h </w:instrText>
      </w:r>
      <w:r>
        <w:fldChar w:fldCharType="separate"/>
      </w:r>
      <w:r>
        <w:t>- 25 -</w:t>
      </w:r>
      <w:r>
        <w:fldChar w:fldCharType="end"/>
      </w:r>
      <w:r>
        <w:fldChar w:fldCharType="end"/>
      </w:r>
    </w:p>
    <w:p w14:paraId="551496EA">
      <w:pPr>
        <w:pStyle w:val="22"/>
        <w:tabs>
          <w:tab w:val="right" w:leader="dot" w:pos="8834"/>
        </w:tabs>
        <w:ind w:left="840"/>
        <w:rPr>
          <w:rFonts w:asciiTheme="minorHAnsi" w:hAnsiTheme="minorHAnsi" w:cstheme="minorBidi"/>
          <w:b w:val="0"/>
          <w:szCs w:val="22"/>
        </w:rPr>
      </w:pPr>
      <w:r>
        <w:fldChar w:fldCharType="begin"/>
      </w:r>
      <w:r>
        <w:instrText xml:space="preserve"> HYPERLINK \l "_Toc172716658" </w:instrText>
      </w:r>
      <w:r>
        <w:fldChar w:fldCharType="separate"/>
      </w:r>
      <w:r>
        <w:rPr>
          <w:rStyle w:val="53"/>
          <w:rFonts w:hint="eastAsia" w:ascii="黑体" w:hAnsi="黑体" w:eastAsia="黑体"/>
          <w:color w:val="auto"/>
        </w:rPr>
        <w:t>七、合同签订</w:t>
      </w:r>
      <w:r>
        <w:tab/>
      </w:r>
      <w:r>
        <w:fldChar w:fldCharType="begin"/>
      </w:r>
      <w:r>
        <w:instrText xml:space="preserve"> PAGEREF _Toc172716658 \h </w:instrText>
      </w:r>
      <w:r>
        <w:fldChar w:fldCharType="separate"/>
      </w:r>
      <w:r>
        <w:t>- 26 -</w:t>
      </w:r>
      <w:r>
        <w:fldChar w:fldCharType="end"/>
      </w:r>
      <w:r>
        <w:fldChar w:fldCharType="end"/>
      </w:r>
    </w:p>
    <w:p w14:paraId="2112E76C">
      <w:pPr>
        <w:pStyle w:val="22"/>
        <w:tabs>
          <w:tab w:val="right" w:leader="dot" w:pos="8834"/>
        </w:tabs>
        <w:ind w:left="840"/>
        <w:rPr>
          <w:rFonts w:asciiTheme="minorHAnsi" w:hAnsiTheme="minorHAnsi" w:cstheme="minorBidi"/>
          <w:b w:val="0"/>
          <w:szCs w:val="22"/>
        </w:rPr>
      </w:pPr>
      <w:r>
        <w:fldChar w:fldCharType="begin"/>
      </w:r>
      <w:r>
        <w:instrText xml:space="preserve"> HYPERLINK \l "_Toc172716659" </w:instrText>
      </w:r>
      <w:r>
        <w:fldChar w:fldCharType="separate"/>
      </w:r>
      <w:r>
        <w:rPr>
          <w:rStyle w:val="53"/>
          <w:rFonts w:hint="eastAsia" w:ascii="黑体" w:hAnsi="黑体" w:eastAsia="黑体"/>
          <w:color w:val="auto"/>
        </w:rPr>
        <w:t>八、政府采购政策</w:t>
      </w:r>
      <w:r>
        <w:tab/>
      </w:r>
      <w:r>
        <w:fldChar w:fldCharType="begin"/>
      </w:r>
      <w:r>
        <w:instrText xml:space="preserve"> PAGEREF _Toc172716659 \h </w:instrText>
      </w:r>
      <w:r>
        <w:fldChar w:fldCharType="separate"/>
      </w:r>
      <w:r>
        <w:t>- 26 -</w:t>
      </w:r>
      <w:r>
        <w:fldChar w:fldCharType="end"/>
      </w:r>
      <w:r>
        <w:fldChar w:fldCharType="end"/>
      </w:r>
    </w:p>
    <w:p w14:paraId="78DFF165">
      <w:pPr>
        <w:pStyle w:val="22"/>
        <w:tabs>
          <w:tab w:val="right" w:leader="dot" w:pos="8834"/>
        </w:tabs>
        <w:ind w:left="840"/>
        <w:rPr>
          <w:rFonts w:asciiTheme="minorHAnsi" w:hAnsiTheme="minorHAnsi" w:cstheme="minorBidi"/>
          <w:b w:val="0"/>
          <w:szCs w:val="22"/>
        </w:rPr>
      </w:pPr>
      <w:r>
        <w:fldChar w:fldCharType="begin"/>
      </w:r>
      <w:r>
        <w:instrText xml:space="preserve"> HYPERLINK \l "_Toc172716660" </w:instrText>
      </w:r>
      <w:r>
        <w:fldChar w:fldCharType="separate"/>
      </w:r>
      <w:r>
        <w:rPr>
          <w:rStyle w:val="53"/>
          <w:rFonts w:hint="eastAsia" w:ascii="黑体" w:hAnsi="黑体" w:eastAsia="黑体"/>
          <w:color w:val="auto"/>
        </w:rPr>
        <w:t>九、其他规定</w:t>
      </w:r>
      <w:r>
        <w:tab/>
      </w:r>
      <w:r>
        <w:fldChar w:fldCharType="begin"/>
      </w:r>
      <w:r>
        <w:instrText xml:space="preserve"> PAGEREF _Toc172716660 \h </w:instrText>
      </w:r>
      <w:r>
        <w:fldChar w:fldCharType="separate"/>
      </w:r>
      <w:r>
        <w:t>- 28 -</w:t>
      </w:r>
      <w:r>
        <w:fldChar w:fldCharType="end"/>
      </w:r>
      <w:r>
        <w:fldChar w:fldCharType="end"/>
      </w:r>
    </w:p>
    <w:p w14:paraId="15EFA67F">
      <w:pPr>
        <w:pStyle w:val="31"/>
        <w:tabs>
          <w:tab w:val="right" w:leader="dot" w:pos="8834"/>
        </w:tabs>
        <w:rPr>
          <w:rFonts w:asciiTheme="minorHAnsi" w:hAnsiTheme="minorHAnsi" w:cstheme="minorBidi"/>
          <w:b w:val="0"/>
          <w:sz w:val="21"/>
          <w:szCs w:val="22"/>
        </w:rPr>
      </w:pPr>
      <w:r>
        <w:fldChar w:fldCharType="begin"/>
      </w:r>
      <w:r>
        <w:instrText xml:space="preserve"> HYPERLINK \l "_Toc172716661" </w:instrText>
      </w:r>
      <w:r>
        <w:fldChar w:fldCharType="separate"/>
      </w:r>
      <w:r>
        <w:rPr>
          <w:rStyle w:val="53"/>
          <w:rFonts w:hint="eastAsia" w:ascii="黑体" w:hAnsi="华文中宋" w:eastAsia="黑体"/>
          <w:color w:val="auto"/>
        </w:rPr>
        <w:t>第三章</w:t>
      </w:r>
      <w:r>
        <w:rPr>
          <w:rStyle w:val="53"/>
          <w:rFonts w:ascii="黑体" w:hAnsi="华文中宋" w:eastAsia="黑体"/>
          <w:color w:val="auto"/>
        </w:rPr>
        <w:t xml:space="preserve"> </w:t>
      </w:r>
      <w:r>
        <w:rPr>
          <w:rStyle w:val="53"/>
          <w:rFonts w:hint="eastAsia" w:ascii="黑体" w:hAnsi="华文中宋" w:eastAsia="黑体"/>
          <w:color w:val="auto"/>
        </w:rPr>
        <w:t>资格审查</w:t>
      </w:r>
      <w:r>
        <w:tab/>
      </w:r>
      <w:r>
        <w:fldChar w:fldCharType="begin"/>
      </w:r>
      <w:r>
        <w:instrText xml:space="preserve"> PAGEREF _Toc172716661 \h </w:instrText>
      </w:r>
      <w:r>
        <w:fldChar w:fldCharType="separate"/>
      </w:r>
      <w:r>
        <w:t>- 30 -</w:t>
      </w:r>
      <w:r>
        <w:fldChar w:fldCharType="end"/>
      </w:r>
      <w:r>
        <w:fldChar w:fldCharType="end"/>
      </w:r>
    </w:p>
    <w:p w14:paraId="7F8D4E59">
      <w:pPr>
        <w:pStyle w:val="31"/>
        <w:tabs>
          <w:tab w:val="right" w:leader="dot" w:pos="8834"/>
        </w:tabs>
        <w:rPr>
          <w:rFonts w:asciiTheme="minorHAnsi" w:hAnsiTheme="minorHAnsi" w:cstheme="minorBidi"/>
          <w:b w:val="0"/>
          <w:sz w:val="21"/>
          <w:szCs w:val="22"/>
        </w:rPr>
      </w:pPr>
      <w:r>
        <w:fldChar w:fldCharType="begin"/>
      </w:r>
      <w:r>
        <w:instrText xml:space="preserve"> HYPERLINK \l "_Toc172716668" </w:instrText>
      </w:r>
      <w:r>
        <w:fldChar w:fldCharType="separate"/>
      </w:r>
      <w:r>
        <w:rPr>
          <w:rStyle w:val="53"/>
          <w:rFonts w:hint="eastAsia" w:ascii="黑体" w:hAnsi="华文中宋" w:eastAsia="黑体"/>
          <w:color w:val="auto"/>
        </w:rPr>
        <w:t>第四章</w:t>
      </w:r>
      <w:r>
        <w:rPr>
          <w:rStyle w:val="53"/>
          <w:rFonts w:ascii="黑体" w:hAnsi="华文中宋" w:eastAsia="黑体"/>
          <w:color w:val="auto"/>
        </w:rPr>
        <w:t xml:space="preserve"> </w:t>
      </w:r>
      <w:r>
        <w:rPr>
          <w:rStyle w:val="53"/>
          <w:rFonts w:hint="eastAsia" w:ascii="黑体" w:hAnsi="华文中宋" w:eastAsia="黑体"/>
          <w:color w:val="auto"/>
        </w:rPr>
        <w:t>评标方法及标准（综合评分法）</w:t>
      </w:r>
      <w:r>
        <w:tab/>
      </w:r>
      <w:r>
        <w:fldChar w:fldCharType="begin"/>
      </w:r>
      <w:r>
        <w:instrText xml:space="preserve"> PAGEREF _Toc172716668 \h </w:instrText>
      </w:r>
      <w:r>
        <w:fldChar w:fldCharType="separate"/>
      </w:r>
      <w:r>
        <w:t>- 36 -</w:t>
      </w:r>
      <w:r>
        <w:fldChar w:fldCharType="end"/>
      </w:r>
      <w:r>
        <w:fldChar w:fldCharType="end"/>
      </w:r>
    </w:p>
    <w:p w14:paraId="0E6E225F">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"_Toc172716669" </w:instrText>
      </w:r>
      <w:r>
        <w:fldChar w:fldCharType="separate"/>
      </w:r>
      <w:r>
        <w:rPr>
          <w:rStyle w:val="53"/>
          <w:rFonts w:hint="eastAsia" w:ascii="黑体" w:hAnsi="华文中宋" w:eastAsia="黑体"/>
          <w:color w:val="auto"/>
        </w:rPr>
        <w:t>第一节</w:t>
      </w:r>
      <w:r>
        <w:rPr>
          <w:rStyle w:val="53"/>
          <w:rFonts w:ascii="黑体" w:hAnsi="华文中宋" w:eastAsia="黑体"/>
          <w:color w:val="auto"/>
        </w:rPr>
        <w:t xml:space="preserve"> </w:t>
      </w:r>
      <w:r>
        <w:rPr>
          <w:rStyle w:val="53"/>
          <w:rFonts w:hint="eastAsia" w:ascii="黑体" w:hAnsi="华文中宋" w:eastAsia="黑体"/>
          <w:color w:val="auto"/>
        </w:rPr>
        <w:t>评标方法及标准前附表</w:t>
      </w:r>
      <w:r>
        <w:tab/>
      </w:r>
      <w:r>
        <w:fldChar w:fldCharType="begin"/>
      </w:r>
      <w:r>
        <w:instrText xml:space="preserve"> PAGEREF _Toc172716669 \h </w:instrText>
      </w:r>
      <w:r>
        <w:fldChar w:fldCharType="separate"/>
      </w:r>
      <w:r>
        <w:t>- 36 -</w:t>
      </w:r>
      <w:r>
        <w:fldChar w:fldCharType="end"/>
      </w:r>
      <w:r>
        <w:fldChar w:fldCharType="end"/>
      </w:r>
    </w:p>
    <w:p w14:paraId="671649DC">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"_Toc172716670" </w:instrText>
      </w:r>
      <w:r>
        <w:fldChar w:fldCharType="separate"/>
      </w:r>
      <w:r>
        <w:rPr>
          <w:rStyle w:val="53"/>
          <w:rFonts w:hint="eastAsia" w:ascii="黑体" w:hAnsi="华文中宋" w:eastAsia="黑体"/>
          <w:color w:val="auto"/>
        </w:rPr>
        <w:t>第二节</w:t>
      </w:r>
      <w:r>
        <w:rPr>
          <w:rStyle w:val="53"/>
          <w:rFonts w:ascii="黑体" w:hAnsi="华文中宋" w:eastAsia="黑体"/>
          <w:color w:val="auto"/>
        </w:rPr>
        <w:t xml:space="preserve"> </w:t>
      </w:r>
      <w:r>
        <w:rPr>
          <w:rStyle w:val="53"/>
          <w:rFonts w:hint="eastAsia" w:ascii="黑体" w:hAnsi="华文中宋" w:eastAsia="黑体"/>
          <w:color w:val="auto"/>
        </w:rPr>
        <w:t>评标方法及标准</w:t>
      </w:r>
      <w:r>
        <w:tab/>
      </w:r>
      <w:r>
        <w:fldChar w:fldCharType="begin"/>
      </w:r>
      <w:r>
        <w:instrText xml:space="preserve"> PAGEREF _Toc172716670 \h </w:instrText>
      </w:r>
      <w:r>
        <w:fldChar w:fldCharType="separate"/>
      </w:r>
      <w:r>
        <w:t>- 37 -</w:t>
      </w:r>
      <w:r>
        <w:fldChar w:fldCharType="end"/>
      </w:r>
      <w:r>
        <w:fldChar w:fldCharType="end"/>
      </w:r>
    </w:p>
    <w:p w14:paraId="223170D7">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"_Toc172716682" </w:instrText>
      </w:r>
      <w:r>
        <w:fldChar w:fldCharType="separate"/>
      </w:r>
      <w:r>
        <w:rPr>
          <w:rStyle w:val="53"/>
          <w:rFonts w:hint="eastAsia" w:ascii="黑体" w:hAnsi="华文中宋" w:eastAsia="黑体"/>
          <w:color w:val="auto"/>
        </w:rPr>
        <w:t>第三节</w:t>
      </w:r>
      <w:r>
        <w:rPr>
          <w:rStyle w:val="53"/>
          <w:rFonts w:ascii="黑体" w:hAnsi="华文中宋" w:eastAsia="黑体"/>
          <w:color w:val="auto"/>
        </w:rPr>
        <w:t xml:space="preserve"> </w:t>
      </w:r>
      <w:r>
        <w:rPr>
          <w:rStyle w:val="53"/>
          <w:rFonts w:hint="eastAsia" w:ascii="黑体" w:hAnsi="华文中宋" w:eastAsia="黑体"/>
          <w:color w:val="auto"/>
        </w:rPr>
        <w:t>投标文件的符合性审查</w:t>
      </w:r>
      <w:r>
        <w:tab/>
      </w:r>
      <w:r>
        <w:fldChar w:fldCharType="begin"/>
      </w:r>
      <w:r>
        <w:instrText xml:space="preserve"> PAGEREF _Toc172716682 \h </w:instrText>
      </w:r>
      <w:r>
        <w:fldChar w:fldCharType="separate"/>
      </w:r>
      <w:r>
        <w:t>- 41 -</w:t>
      </w:r>
      <w:r>
        <w:fldChar w:fldCharType="end"/>
      </w:r>
      <w:r>
        <w:fldChar w:fldCharType="end"/>
      </w:r>
    </w:p>
    <w:p w14:paraId="659B2366">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"_Toc172716686" </w:instrText>
      </w:r>
      <w:r>
        <w:fldChar w:fldCharType="separate"/>
      </w:r>
      <w:r>
        <w:rPr>
          <w:rStyle w:val="53"/>
          <w:rFonts w:hint="eastAsia" w:ascii="黑体" w:hAnsi="华文中宋" w:eastAsia="黑体"/>
          <w:color w:val="auto"/>
        </w:rPr>
        <w:t>第四节</w:t>
      </w:r>
      <w:r>
        <w:rPr>
          <w:rStyle w:val="53"/>
          <w:rFonts w:ascii="黑体" w:hAnsi="华文中宋" w:eastAsia="黑体"/>
          <w:color w:val="auto"/>
        </w:rPr>
        <w:t xml:space="preserve"> </w:t>
      </w:r>
      <w:r>
        <w:rPr>
          <w:rStyle w:val="53"/>
          <w:rFonts w:hint="eastAsia" w:ascii="黑体" w:hAnsi="华文中宋" w:eastAsia="黑体"/>
          <w:color w:val="auto"/>
        </w:rPr>
        <w:t>投标文件的比较与评价</w:t>
      </w:r>
      <w:r>
        <w:tab/>
      </w:r>
      <w:r>
        <w:fldChar w:fldCharType="begin"/>
      </w:r>
      <w:r>
        <w:instrText xml:space="preserve"> PAGEREF _Toc172716686 \h </w:instrText>
      </w:r>
      <w:r>
        <w:fldChar w:fldCharType="separate"/>
      </w:r>
      <w:r>
        <w:t>- 45 -</w:t>
      </w:r>
      <w:r>
        <w:fldChar w:fldCharType="end"/>
      </w:r>
      <w:r>
        <w:fldChar w:fldCharType="end"/>
      </w:r>
    </w:p>
    <w:p w14:paraId="043D9BAB">
      <w:pPr>
        <w:pStyle w:val="31"/>
        <w:tabs>
          <w:tab w:val="right" w:leader="dot" w:pos="8834"/>
        </w:tabs>
        <w:rPr>
          <w:rFonts w:asciiTheme="minorHAnsi" w:hAnsiTheme="minorHAnsi" w:eastAsiaTheme="minorEastAsia" w:cstheme="minorBidi"/>
          <w:b w:val="0"/>
          <w:szCs w:val="22"/>
        </w:rPr>
      </w:pPr>
      <w:r>
        <w:fldChar w:fldCharType="begin"/>
      </w:r>
      <w:r>
        <w:instrText xml:space="preserve"> HYPERLINK \l "_Toc172716688" </w:instrText>
      </w:r>
      <w:r>
        <w:fldChar w:fldCharType="separate"/>
      </w:r>
      <w:r>
        <w:rPr>
          <w:rStyle w:val="53"/>
          <w:rFonts w:hint="eastAsia" w:ascii="黑体" w:hAnsi="华文中宋" w:eastAsia="黑体"/>
          <w:color w:val="auto"/>
        </w:rPr>
        <w:t>第五章</w:t>
      </w:r>
      <w:r>
        <w:rPr>
          <w:rStyle w:val="53"/>
          <w:rFonts w:ascii="黑体" w:hAnsi="华文中宋" w:eastAsia="黑体"/>
          <w:color w:val="auto"/>
        </w:rPr>
        <w:t xml:space="preserve"> </w:t>
      </w:r>
      <w:r>
        <w:rPr>
          <w:rStyle w:val="53"/>
          <w:rFonts w:hint="eastAsia" w:ascii="黑体" w:hAnsi="华文中宋" w:eastAsia="黑体"/>
          <w:color w:val="auto"/>
        </w:rPr>
        <w:t>采购需求</w:t>
      </w:r>
      <w:r>
        <w:tab/>
      </w:r>
      <w:r>
        <w:fldChar w:fldCharType="begin"/>
      </w:r>
      <w:r>
        <w:instrText xml:space="preserve"> PAGEREF _Toc172716688 \h </w:instrText>
      </w:r>
      <w:r>
        <w:fldChar w:fldCharType="separate"/>
      </w:r>
      <w:r>
        <w:t>- 51 -</w:t>
      </w:r>
      <w:r>
        <w:fldChar w:fldCharType="end"/>
      </w:r>
      <w:r>
        <w:fldChar w:fldCharType="end"/>
      </w:r>
    </w:p>
    <w:p w14:paraId="3C032123">
      <w:pPr>
        <w:pStyle w:val="31"/>
        <w:tabs>
          <w:tab w:val="right" w:leader="dot" w:pos="8834"/>
        </w:tabs>
        <w:rPr>
          <w:rFonts w:asciiTheme="minorHAnsi" w:hAnsiTheme="minorHAnsi" w:cstheme="minorBidi"/>
          <w:b w:val="0"/>
          <w:sz w:val="21"/>
          <w:szCs w:val="22"/>
        </w:rPr>
      </w:pPr>
      <w:r>
        <w:fldChar w:fldCharType="begin"/>
      </w:r>
      <w:r>
        <w:instrText xml:space="preserve"> HYPERLINK \l "_Toc172716780" </w:instrText>
      </w:r>
      <w:r>
        <w:fldChar w:fldCharType="separate"/>
      </w:r>
      <w:r>
        <w:rPr>
          <w:rStyle w:val="53"/>
          <w:rFonts w:hint="eastAsia" w:ascii="黑体" w:hAnsi="华文中宋" w:eastAsia="黑体"/>
          <w:color w:val="auto"/>
        </w:rPr>
        <w:t>第六章</w:t>
      </w:r>
      <w:r>
        <w:rPr>
          <w:rStyle w:val="53"/>
          <w:rFonts w:ascii="黑体" w:hAnsi="华文中宋" w:eastAsia="黑体"/>
          <w:color w:val="auto"/>
        </w:rPr>
        <w:t xml:space="preserve"> </w:t>
      </w:r>
      <w:r>
        <w:rPr>
          <w:rStyle w:val="53"/>
          <w:rFonts w:hint="eastAsia" w:ascii="黑体" w:hAnsi="华文中宋" w:eastAsia="黑体"/>
          <w:color w:val="auto"/>
        </w:rPr>
        <w:t>政府采购合同</w:t>
      </w:r>
      <w:r>
        <w:tab/>
      </w:r>
      <w:r>
        <w:fldChar w:fldCharType="begin"/>
      </w:r>
      <w:r>
        <w:instrText xml:space="preserve"> PAGEREF _Toc172716780 \h </w:instrText>
      </w:r>
      <w:r>
        <w:fldChar w:fldCharType="separate"/>
      </w:r>
      <w:r>
        <w:t>- 125 -</w:t>
      </w:r>
      <w:r>
        <w:fldChar w:fldCharType="end"/>
      </w:r>
      <w:r>
        <w:fldChar w:fldCharType="end"/>
      </w:r>
    </w:p>
    <w:p w14:paraId="3671EE1C">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"_Toc172716781" </w:instrText>
      </w:r>
      <w:r>
        <w:fldChar w:fldCharType="separate"/>
      </w:r>
      <w:r>
        <w:rPr>
          <w:rStyle w:val="53"/>
          <w:rFonts w:hint="eastAsia" w:ascii="黑体" w:hAnsi="华文中宋" w:eastAsia="黑体"/>
          <w:color w:val="auto"/>
        </w:rPr>
        <w:t>第一节</w:t>
      </w:r>
      <w:r>
        <w:rPr>
          <w:rStyle w:val="53"/>
          <w:rFonts w:ascii="黑体" w:hAnsi="华文中宋" w:eastAsia="黑体"/>
          <w:color w:val="auto"/>
        </w:rPr>
        <w:t xml:space="preserve"> </w:t>
      </w:r>
      <w:r>
        <w:rPr>
          <w:rStyle w:val="53"/>
          <w:rFonts w:hint="eastAsia" w:ascii="黑体" w:hAnsi="华文中宋" w:eastAsia="黑体"/>
          <w:color w:val="auto"/>
        </w:rPr>
        <w:t>政府采购合同协议书</w:t>
      </w:r>
      <w:r>
        <w:tab/>
      </w:r>
      <w:r>
        <w:fldChar w:fldCharType="begin"/>
      </w:r>
      <w:r>
        <w:instrText xml:space="preserve"> PAGEREF _Toc172716781 \h </w:instrText>
      </w:r>
      <w:r>
        <w:fldChar w:fldCharType="separate"/>
      </w:r>
      <w:r>
        <w:t>- 125 -</w:t>
      </w:r>
      <w:r>
        <w:fldChar w:fldCharType="end"/>
      </w:r>
      <w:r>
        <w:fldChar w:fldCharType="end"/>
      </w:r>
    </w:p>
    <w:p w14:paraId="5CC3A6FD">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"_Toc172716794" </w:instrText>
      </w:r>
      <w:r>
        <w:fldChar w:fldCharType="separate"/>
      </w:r>
      <w:r>
        <w:rPr>
          <w:rStyle w:val="53"/>
          <w:rFonts w:hint="eastAsia" w:ascii="黑体" w:hAnsi="黑体" w:eastAsia="黑体"/>
          <w:color w:val="auto"/>
        </w:rPr>
        <w:t>第二节</w:t>
      </w:r>
      <w:r>
        <w:rPr>
          <w:rStyle w:val="53"/>
          <w:rFonts w:ascii="黑体" w:hAnsi="黑体" w:eastAsia="黑体"/>
          <w:color w:val="auto"/>
        </w:rPr>
        <w:t xml:space="preserve"> </w:t>
      </w:r>
      <w:r>
        <w:rPr>
          <w:rStyle w:val="53"/>
          <w:rFonts w:hint="eastAsia" w:ascii="黑体" w:hAnsi="黑体" w:eastAsia="黑体"/>
          <w:color w:val="auto"/>
        </w:rPr>
        <w:t>政府采购合同通用条款</w:t>
      </w:r>
      <w:r>
        <w:tab/>
      </w:r>
      <w:r>
        <w:fldChar w:fldCharType="begin"/>
      </w:r>
      <w:r>
        <w:instrText xml:space="preserve"> PAGEREF _Toc172716794 \h </w:instrText>
      </w:r>
      <w:r>
        <w:fldChar w:fldCharType="separate"/>
      </w:r>
      <w:r>
        <w:t>- 133 -</w:t>
      </w:r>
      <w:r>
        <w:fldChar w:fldCharType="end"/>
      </w:r>
      <w:r>
        <w:fldChar w:fldCharType="end"/>
      </w:r>
    </w:p>
    <w:p w14:paraId="6D3803AC">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"_Toc172716795" </w:instrText>
      </w:r>
      <w:r>
        <w:fldChar w:fldCharType="separate"/>
      </w:r>
      <w:r>
        <w:rPr>
          <w:rStyle w:val="53"/>
          <w:rFonts w:hint="eastAsia" w:ascii="黑体" w:hAnsi="黑体" w:eastAsia="黑体" w:cs="黑体"/>
          <w:color w:val="auto"/>
        </w:rPr>
        <w:t>第三节</w:t>
      </w:r>
      <w:r>
        <w:rPr>
          <w:rStyle w:val="53"/>
          <w:rFonts w:ascii="黑体" w:hAnsi="黑体" w:eastAsia="黑体" w:cs="黑体"/>
          <w:color w:val="auto"/>
        </w:rPr>
        <w:t xml:space="preserve"> </w:t>
      </w:r>
      <w:r>
        <w:rPr>
          <w:rStyle w:val="53"/>
          <w:rFonts w:hint="eastAsia" w:ascii="黑体" w:hAnsi="黑体" w:eastAsia="黑体" w:cs="黑体"/>
          <w:color w:val="auto"/>
        </w:rPr>
        <w:t>政府采购合同专用条款</w:t>
      </w:r>
      <w:r>
        <w:tab/>
      </w:r>
      <w:r>
        <w:fldChar w:fldCharType="begin"/>
      </w:r>
      <w:r>
        <w:instrText xml:space="preserve"> PAGEREF _Toc172716795 \h </w:instrText>
      </w:r>
      <w:r>
        <w:fldChar w:fldCharType="separate"/>
      </w:r>
      <w:r>
        <w:t>- 140 -</w:t>
      </w:r>
      <w:r>
        <w:fldChar w:fldCharType="end"/>
      </w:r>
      <w:r>
        <w:fldChar w:fldCharType="end"/>
      </w:r>
    </w:p>
    <w:p w14:paraId="73D1F37E">
      <w:pPr>
        <w:pStyle w:val="31"/>
        <w:tabs>
          <w:tab w:val="right" w:leader="dot" w:pos="8834"/>
        </w:tabs>
        <w:rPr>
          <w:rFonts w:asciiTheme="minorHAnsi" w:hAnsiTheme="minorHAnsi" w:cstheme="minorBidi"/>
          <w:b w:val="0"/>
          <w:sz w:val="21"/>
          <w:szCs w:val="22"/>
        </w:rPr>
      </w:pPr>
      <w:r>
        <w:fldChar w:fldCharType="begin"/>
      </w:r>
      <w:r>
        <w:instrText xml:space="preserve"> HYPERLINK \l "_Toc172716796" </w:instrText>
      </w:r>
      <w:r>
        <w:fldChar w:fldCharType="separate"/>
      </w:r>
      <w:r>
        <w:rPr>
          <w:rStyle w:val="53"/>
          <w:rFonts w:hint="eastAsia" w:ascii="黑体" w:hAnsi="华文中宋" w:eastAsia="黑体"/>
          <w:color w:val="auto"/>
        </w:rPr>
        <w:t>第七章</w:t>
      </w:r>
      <w:r>
        <w:rPr>
          <w:rStyle w:val="53"/>
          <w:rFonts w:ascii="黑体" w:hAnsi="华文中宋" w:eastAsia="黑体"/>
          <w:color w:val="auto"/>
        </w:rPr>
        <w:t xml:space="preserve"> </w:t>
      </w:r>
      <w:r>
        <w:rPr>
          <w:rStyle w:val="53"/>
          <w:rFonts w:hint="eastAsia" w:ascii="黑体" w:hAnsi="华文中宋" w:eastAsia="黑体"/>
          <w:color w:val="auto"/>
        </w:rPr>
        <w:t>投标文件的组成</w:t>
      </w:r>
      <w:r>
        <w:tab/>
      </w:r>
      <w:r>
        <w:fldChar w:fldCharType="begin"/>
      </w:r>
      <w:r>
        <w:instrText xml:space="preserve"> PAGEREF _Toc172716796 \h </w:instrText>
      </w:r>
      <w:r>
        <w:fldChar w:fldCharType="separate"/>
      </w:r>
      <w:r>
        <w:t>- 141 -</w:t>
      </w:r>
      <w:r>
        <w:fldChar w:fldCharType="end"/>
      </w:r>
      <w:r>
        <w:fldChar w:fldCharType="end"/>
      </w:r>
    </w:p>
    <w:p w14:paraId="0BEB789F">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"_Toc172716797" </w:instrText>
      </w:r>
      <w:r>
        <w:fldChar w:fldCharType="separate"/>
      </w:r>
      <w:r>
        <w:rPr>
          <w:rStyle w:val="53"/>
          <w:rFonts w:hint="eastAsia" w:ascii="黑体" w:hAnsi="黑体" w:eastAsia="黑体"/>
          <w:color w:val="auto"/>
        </w:rPr>
        <w:t>第一部分</w:t>
      </w:r>
      <w:r>
        <w:rPr>
          <w:rStyle w:val="53"/>
          <w:rFonts w:ascii="黑体" w:hAnsi="黑体" w:eastAsia="黑体"/>
          <w:color w:val="auto"/>
        </w:rPr>
        <w:t xml:space="preserve"> </w:t>
      </w:r>
      <w:r>
        <w:rPr>
          <w:rStyle w:val="53"/>
          <w:rFonts w:hint="eastAsia" w:ascii="黑体" w:hAnsi="黑体" w:eastAsia="黑体"/>
          <w:color w:val="auto"/>
        </w:rPr>
        <w:t>资格证明文件</w:t>
      </w:r>
      <w:r>
        <w:tab/>
      </w:r>
      <w:r>
        <w:fldChar w:fldCharType="begin"/>
      </w:r>
      <w:r>
        <w:instrText xml:space="preserve"> PAGEREF _Toc172716797 \h </w:instrText>
      </w:r>
      <w:r>
        <w:fldChar w:fldCharType="separate"/>
      </w:r>
      <w:r>
        <w:t>- 142 -</w:t>
      </w:r>
      <w:r>
        <w:fldChar w:fldCharType="end"/>
      </w:r>
      <w:r>
        <w:fldChar w:fldCharType="end"/>
      </w:r>
    </w:p>
    <w:p w14:paraId="70654D1B">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"_Toc172716807" </w:instrText>
      </w:r>
      <w:r>
        <w:fldChar w:fldCharType="separate"/>
      </w:r>
      <w:r>
        <w:rPr>
          <w:rStyle w:val="53"/>
          <w:rFonts w:hint="eastAsia" w:ascii="黑体" w:hAnsi="黑体" w:eastAsia="黑体"/>
          <w:color w:val="auto"/>
        </w:rPr>
        <w:t>第二部分</w:t>
      </w:r>
      <w:r>
        <w:rPr>
          <w:rStyle w:val="53"/>
          <w:rFonts w:ascii="黑体" w:hAnsi="黑体" w:eastAsia="黑体"/>
          <w:color w:val="auto"/>
        </w:rPr>
        <w:t xml:space="preserve"> </w:t>
      </w:r>
      <w:r>
        <w:rPr>
          <w:rStyle w:val="53"/>
          <w:rFonts w:hint="eastAsia" w:ascii="黑体" w:hAnsi="黑体" w:eastAsia="黑体"/>
          <w:color w:val="auto"/>
        </w:rPr>
        <w:t>商务技术文件</w:t>
      </w:r>
      <w:r>
        <w:tab/>
      </w:r>
      <w:r>
        <w:fldChar w:fldCharType="begin"/>
      </w:r>
      <w:r>
        <w:instrText xml:space="preserve"> PAGEREF _Toc172716807 \h </w:instrText>
      </w:r>
      <w:r>
        <w:fldChar w:fldCharType="separate"/>
      </w:r>
      <w:r>
        <w:t>- 153 -</w:t>
      </w:r>
      <w:r>
        <w:fldChar w:fldCharType="end"/>
      </w:r>
      <w:r>
        <w:fldChar w:fldCharType="end"/>
      </w:r>
    </w:p>
    <w:p w14:paraId="483D39C4">
      <w:pPr>
        <w:pStyle w:val="22"/>
        <w:tabs>
          <w:tab w:val="right" w:leader="dot" w:pos="8834"/>
        </w:tabs>
        <w:ind w:left="840"/>
        <w:rPr>
          <w:rFonts w:asciiTheme="minorHAnsi" w:hAnsiTheme="minorHAnsi" w:cstheme="minorBidi"/>
          <w:b w:val="0"/>
          <w:szCs w:val="22"/>
        </w:rPr>
      </w:pPr>
      <w:r>
        <w:fldChar w:fldCharType="begin"/>
      </w:r>
      <w:r>
        <w:instrText xml:space="preserve"> HYPERLINK \l "_Toc172716808" </w:instrText>
      </w:r>
      <w:r>
        <w:fldChar w:fldCharType="separate"/>
      </w:r>
      <w:r>
        <w:rPr>
          <w:rStyle w:val="53"/>
          <w:rFonts w:hint="eastAsia" w:ascii="黑体" w:hAnsi="宋体" w:eastAsia="黑体"/>
          <w:color w:val="auto"/>
        </w:rPr>
        <w:t>五、投标函</w:t>
      </w:r>
      <w:r>
        <w:tab/>
      </w:r>
      <w:r>
        <w:fldChar w:fldCharType="begin"/>
      </w:r>
      <w:r>
        <w:instrText xml:space="preserve"> PAGEREF _Toc172716808 \h </w:instrText>
      </w:r>
      <w:r>
        <w:fldChar w:fldCharType="separate"/>
      </w:r>
      <w:r>
        <w:t>- 154 -</w:t>
      </w:r>
      <w:r>
        <w:fldChar w:fldCharType="end"/>
      </w:r>
      <w:r>
        <w:fldChar w:fldCharType="end"/>
      </w:r>
    </w:p>
    <w:p w14:paraId="7D4A621A">
      <w:pPr>
        <w:pStyle w:val="22"/>
        <w:tabs>
          <w:tab w:val="right" w:leader="dot" w:pos="8834"/>
        </w:tabs>
        <w:ind w:left="840"/>
        <w:rPr>
          <w:rFonts w:asciiTheme="minorHAnsi" w:hAnsiTheme="minorHAnsi" w:cstheme="minorBidi"/>
          <w:b w:val="0"/>
          <w:szCs w:val="22"/>
        </w:rPr>
      </w:pPr>
      <w:r>
        <w:fldChar w:fldCharType="begin"/>
      </w:r>
      <w:r>
        <w:instrText xml:space="preserve"> HYPERLINK \l "_Toc172716809" </w:instrText>
      </w:r>
      <w:r>
        <w:fldChar w:fldCharType="separate"/>
      </w:r>
      <w:r>
        <w:rPr>
          <w:rStyle w:val="53"/>
          <w:rFonts w:hint="eastAsia" w:ascii="黑体" w:hAnsi="宋体" w:eastAsia="黑体"/>
          <w:color w:val="auto"/>
        </w:rPr>
        <w:t>六、分项报价</w:t>
      </w:r>
      <w:r>
        <w:tab/>
      </w:r>
      <w:r>
        <w:fldChar w:fldCharType="begin"/>
      </w:r>
      <w:r>
        <w:instrText xml:space="preserve"> PAGEREF _Toc172716809 \h </w:instrText>
      </w:r>
      <w:r>
        <w:fldChar w:fldCharType="separate"/>
      </w:r>
      <w:r>
        <w:t>- 156 -</w:t>
      </w:r>
      <w:r>
        <w:fldChar w:fldCharType="end"/>
      </w:r>
      <w:r>
        <w:fldChar w:fldCharType="end"/>
      </w:r>
    </w:p>
    <w:p w14:paraId="3CA52307">
      <w:pPr>
        <w:pStyle w:val="22"/>
        <w:tabs>
          <w:tab w:val="right" w:leader="dot" w:pos="8834"/>
        </w:tabs>
        <w:ind w:left="840"/>
        <w:rPr>
          <w:rFonts w:asciiTheme="minorHAnsi" w:hAnsiTheme="minorHAnsi" w:cstheme="minorBidi"/>
          <w:b w:val="0"/>
          <w:szCs w:val="22"/>
        </w:rPr>
      </w:pPr>
      <w:r>
        <w:fldChar w:fldCharType="begin"/>
      </w:r>
      <w:r>
        <w:instrText xml:space="preserve"> HYPERLINK \l "_Toc172716812" </w:instrText>
      </w:r>
      <w:r>
        <w:fldChar w:fldCharType="separate"/>
      </w:r>
      <w:r>
        <w:rPr>
          <w:rStyle w:val="53"/>
          <w:rFonts w:hint="eastAsia" w:ascii="黑体" w:hAnsi="宋体" w:eastAsia="黑体"/>
          <w:color w:val="auto"/>
        </w:rPr>
        <w:t>七、采购需求响应</w:t>
      </w:r>
      <w:r>
        <w:tab/>
      </w:r>
      <w:r>
        <w:fldChar w:fldCharType="begin"/>
      </w:r>
      <w:r>
        <w:instrText xml:space="preserve"> PAGEREF _Toc172716812 \h </w:instrText>
      </w:r>
      <w:r>
        <w:fldChar w:fldCharType="separate"/>
      </w:r>
      <w:r>
        <w:t>- 157 -</w:t>
      </w:r>
      <w:r>
        <w:fldChar w:fldCharType="end"/>
      </w:r>
      <w:r>
        <w:fldChar w:fldCharType="end"/>
      </w:r>
    </w:p>
    <w:p w14:paraId="42756DB2">
      <w:pPr>
        <w:pStyle w:val="22"/>
        <w:tabs>
          <w:tab w:val="right" w:leader="dot" w:pos="8834"/>
        </w:tabs>
        <w:ind w:left="840"/>
        <w:rPr>
          <w:rFonts w:asciiTheme="minorHAnsi" w:hAnsiTheme="minorHAnsi" w:cstheme="minorBidi"/>
          <w:b w:val="0"/>
          <w:szCs w:val="22"/>
        </w:rPr>
      </w:pPr>
      <w:r>
        <w:fldChar w:fldCharType="begin"/>
      </w:r>
      <w:r>
        <w:instrText xml:space="preserve"> HYPERLINK \l "_Toc172716814" </w:instrText>
      </w:r>
      <w:r>
        <w:fldChar w:fldCharType="separate"/>
      </w:r>
      <w:r>
        <w:rPr>
          <w:rStyle w:val="53"/>
          <w:rFonts w:hint="eastAsia" w:ascii="黑体" w:hAnsi="黑体" w:eastAsia="黑体"/>
          <w:color w:val="auto"/>
        </w:rPr>
        <w:t>八、商务、合同条款偏离表</w:t>
      </w:r>
      <w:r>
        <w:tab/>
      </w:r>
      <w:r>
        <w:fldChar w:fldCharType="begin"/>
      </w:r>
      <w:r>
        <w:instrText xml:space="preserve"> PAGEREF _Toc172716814 \h </w:instrText>
      </w:r>
      <w:r>
        <w:fldChar w:fldCharType="separate"/>
      </w:r>
      <w:r>
        <w:t>- 158 -</w:t>
      </w:r>
      <w:r>
        <w:fldChar w:fldCharType="end"/>
      </w:r>
      <w:r>
        <w:fldChar w:fldCharType="end"/>
      </w:r>
    </w:p>
    <w:p w14:paraId="3D4670DE">
      <w:pPr>
        <w:pStyle w:val="22"/>
        <w:tabs>
          <w:tab w:val="right" w:leader="dot" w:pos="8834"/>
        </w:tabs>
        <w:ind w:left="840"/>
        <w:rPr>
          <w:rFonts w:asciiTheme="minorHAnsi" w:hAnsiTheme="minorHAnsi" w:cstheme="minorBidi"/>
          <w:b w:val="0"/>
          <w:szCs w:val="22"/>
        </w:rPr>
      </w:pPr>
      <w:r>
        <w:fldChar w:fldCharType="begin"/>
      </w:r>
      <w:r>
        <w:instrText xml:space="preserve"> HYPERLINK \l "_Toc172716815" </w:instrText>
      </w:r>
      <w:r>
        <w:fldChar w:fldCharType="separate"/>
      </w:r>
      <w:r>
        <w:rPr>
          <w:rStyle w:val="53"/>
          <w:rFonts w:hint="eastAsia" w:ascii="黑体" w:hAnsi="宋体" w:eastAsia="黑体"/>
          <w:color w:val="auto"/>
        </w:rPr>
        <w:t>九、采购需求（技术、商务）偏离表</w:t>
      </w:r>
      <w:r>
        <w:tab/>
      </w:r>
      <w:r>
        <w:fldChar w:fldCharType="begin"/>
      </w:r>
      <w:r>
        <w:instrText xml:space="preserve"> PAGEREF _Toc172716815 \h </w:instrText>
      </w:r>
      <w:r>
        <w:fldChar w:fldCharType="separate"/>
      </w:r>
      <w:r>
        <w:t>- 159 -</w:t>
      </w:r>
      <w:r>
        <w:fldChar w:fldCharType="end"/>
      </w:r>
      <w:r>
        <w:fldChar w:fldCharType="end"/>
      </w:r>
    </w:p>
    <w:p w14:paraId="5AEE96C8">
      <w:pPr>
        <w:pStyle w:val="22"/>
        <w:tabs>
          <w:tab w:val="right" w:leader="dot" w:pos="8834"/>
        </w:tabs>
        <w:ind w:left="840"/>
        <w:rPr>
          <w:rFonts w:asciiTheme="minorHAnsi" w:hAnsiTheme="minorHAnsi" w:cstheme="minorBidi"/>
          <w:b w:val="0"/>
          <w:szCs w:val="22"/>
        </w:rPr>
      </w:pPr>
      <w:r>
        <w:fldChar w:fldCharType="begin"/>
      </w:r>
      <w:r>
        <w:instrText xml:space="preserve"> HYPERLINK \l "_Toc172716816" </w:instrText>
      </w:r>
      <w:r>
        <w:fldChar w:fldCharType="separate"/>
      </w:r>
      <w:r>
        <w:rPr>
          <w:rStyle w:val="53"/>
          <w:rFonts w:hint="eastAsia" w:ascii="宋体" w:hAnsi="宋体"/>
          <w:color w:val="auto"/>
        </w:rPr>
        <w:t>十</w:t>
      </w:r>
      <w:r>
        <w:rPr>
          <w:rStyle w:val="53"/>
          <w:rFonts w:hint="eastAsia" w:ascii="黑体" w:hAnsi="宋体" w:eastAsia="黑体"/>
          <w:color w:val="auto"/>
        </w:rPr>
        <w:t>、享受政府采购政策优惠的证明资料</w:t>
      </w:r>
      <w:r>
        <w:tab/>
      </w:r>
      <w:r>
        <w:fldChar w:fldCharType="begin"/>
      </w:r>
      <w:r>
        <w:instrText xml:space="preserve"> PAGEREF _Toc172716816 \h </w:instrText>
      </w:r>
      <w:r>
        <w:fldChar w:fldCharType="separate"/>
      </w:r>
      <w:r>
        <w:t>- 160 -</w:t>
      </w:r>
      <w:r>
        <w:fldChar w:fldCharType="end"/>
      </w:r>
      <w:r>
        <w:fldChar w:fldCharType="end"/>
      </w:r>
    </w:p>
    <w:p w14:paraId="13C16176">
      <w:pPr>
        <w:pStyle w:val="22"/>
        <w:tabs>
          <w:tab w:val="right" w:leader="dot" w:pos="8834"/>
        </w:tabs>
        <w:ind w:left="840"/>
        <w:rPr>
          <w:rFonts w:asciiTheme="minorHAnsi" w:hAnsiTheme="minorHAnsi" w:cstheme="minorBidi"/>
          <w:b w:val="0"/>
          <w:szCs w:val="22"/>
        </w:rPr>
      </w:pPr>
      <w:r>
        <w:fldChar w:fldCharType="begin"/>
      </w:r>
      <w:r>
        <w:instrText xml:space="preserve"> HYPERLINK \l "_Toc172716822" </w:instrText>
      </w:r>
      <w:r>
        <w:fldChar w:fldCharType="separate"/>
      </w:r>
      <w:r>
        <w:rPr>
          <w:rStyle w:val="53"/>
          <w:rFonts w:hint="eastAsia" w:ascii="黑体" w:hAnsi="宋体" w:eastAsia="黑体"/>
          <w:color w:val="auto"/>
        </w:rPr>
        <w:t>十一、投标服务符合招标文件规定的证明文件</w:t>
      </w:r>
      <w:r>
        <w:tab/>
      </w:r>
      <w:r>
        <w:fldChar w:fldCharType="begin"/>
      </w:r>
      <w:r>
        <w:instrText xml:space="preserve"> PAGEREF _Toc172716822 \h </w:instrText>
      </w:r>
      <w:r>
        <w:fldChar w:fldCharType="separate"/>
      </w:r>
      <w:r>
        <w:t>- 166 -</w:t>
      </w:r>
      <w:r>
        <w:fldChar w:fldCharType="end"/>
      </w:r>
      <w:r>
        <w:fldChar w:fldCharType="end"/>
      </w:r>
    </w:p>
    <w:p w14:paraId="551D45CB">
      <w:pPr>
        <w:pStyle w:val="22"/>
        <w:tabs>
          <w:tab w:val="right" w:leader="dot" w:pos="8834"/>
        </w:tabs>
        <w:ind w:left="840"/>
        <w:rPr>
          <w:rFonts w:asciiTheme="minorHAnsi" w:hAnsiTheme="minorHAnsi" w:cstheme="minorBidi"/>
          <w:b w:val="0"/>
          <w:szCs w:val="22"/>
        </w:rPr>
      </w:pPr>
      <w:r>
        <w:fldChar w:fldCharType="begin"/>
      </w:r>
      <w:r>
        <w:instrText xml:space="preserve"> HYPERLINK \l "_Toc172716823" </w:instrText>
      </w:r>
      <w:r>
        <w:fldChar w:fldCharType="separate"/>
      </w:r>
      <w:r>
        <w:rPr>
          <w:rStyle w:val="53"/>
          <w:rFonts w:hint="eastAsia" w:ascii="黑体" w:hAnsi="宋体" w:eastAsia="黑体"/>
          <w:color w:val="auto"/>
        </w:rPr>
        <w:t>十二、投标人认为需提供的其他资料</w:t>
      </w:r>
      <w:r>
        <w:tab/>
      </w:r>
      <w:r>
        <w:fldChar w:fldCharType="begin"/>
      </w:r>
      <w:r>
        <w:instrText xml:space="preserve"> PAGEREF _Toc172716823 \h </w:instrText>
      </w:r>
      <w:r>
        <w:fldChar w:fldCharType="separate"/>
      </w:r>
      <w:r>
        <w:t>- 167 -</w:t>
      </w:r>
      <w:r>
        <w:fldChar w:fldCharType="end"/>
      </w:r>
      <w:r>
        <w:fldChar w:fldCharType="end"/>
      </w:r>
    </w:p>
    <w:p w14:paraId="4BFE5453">
      <w:r>
        <w:rPr>
          <w:rFonts w:asciiTheme="minorEastAsia" w:hAnsiTheme="minorEastAsia" w:eastAsiaTheme="minorEastAsia"/>
        </w:rPr>
        <w:fldChar w:fldCharType="end"/>
      </w:r>
      <w:r>
        <w:t xml:space="preserve"> </w:t>
      </w:r>
    </w:p>
    <w:p w14:paraId="7762252C">
      <w:pPr>
        <w:adjustRightInd w:val="0"/>
        <w:snapToGrid w:val="0"/>
        <w:spacing w:line="240" w:lineRule="atLeast"/>
        <w:ind w:firstLine="840" w:firstLineChars="400"/>
        <w:rPr>
          <w:rFonts w:ascii="宋体" w:hAnsi="宋体"/>
          <w:szCs w:val="21"/>
        </w:rPr>
      </w:pPr>
    </w:p>
    <w:p w14:paraId="42B080BC">
      <w:pPr>
        <w:pStyle w:val="3"/>
        <w:sectPr>
          <w:headerReference r:id="rId4" w:type="default"/>
          <w:footerReference r:id="rId5" w:type="default"/>
          <w:pgSz w:w="11906" w:h="16838"/>
          <w:pgMar w:top="1474" w:right="1474" w:bottom="1474" w:left="1588" w:header="851" w:footer="992" w:gutter="0"/>
          <w:pgNumType w:fmt="numberInDash" w:start="1"/>
          <w:cols w:space="720" w:num="1"/>
          <w:docGrid w:type="lines" w:linePitch="312" w:charSpace="0"/>
        </w:sectPr>
      </w:pPr>
    </w:p>
    <w:p w14:paraId="409BE371">
      <w:pPr>
        <w:spacing w:line="360" w:lineRule="auto"/>
        <w:jc w:val="center"/>
        <w:rPr>
          <w:rFonts w:ascii="宋体" w:hAnsi="宋体" w:cs="宋体"/>
          <w:sz w:val="44"/>
          <w:szCs w:val="44"/>
          <w:highlight w:val="white"/>
        </w:rPr>
      </w:pPr>
      <w:bookmarkStart w:id="0" w:name="_Toc29913893"/>
      <w:r>
        <w:rPr>
          <w:rFonts w:hint="eastAsia" w:ascii="宋体" w:hAnsi="宋体" w:cs="宋体"/>
          <w:sz w:val="44"/>
          <w:szCs w:val="44"/>
          <w:highlight w:val="white"/>
        </w:rPr>
        <w:t>电子招投标相关规定</w:t>
      </w:r>
    </w:p>
    <w:p w14:paraId="69DD0B13">
      <w:pPr>
        <w:spacing w:line="360" w:lineRule="auto"/>
        <w:ind w:firstLine="420" w:firstLineChars="200"/>
        <w:rPr>
          <w:rFonts w:ascii="等线" w:hAnsi="等线" w:eastAsia="等线"/>
          <w:szCs w:val="21"/>
          <w:highlight w:val="white"/>
        </w:rPr>
      </w:pPr>
    </w:p>
    <w:p w14:paraId="5EFE995A">
      <w:pPr>
        <w:numPr>
          <w:ilvl w:val="0"/>
          <w:numId w:val="5"/>
        </w:numPr>
        <w:adjustRightInd w:val="0"/>
        <w:snapToGrid w:val="0"/>
        <w:spacing w:line="360" w:lineRule="auto"/>
        <w:ind w:firstLine="560" w:firstLineChars="200"/>
        <w:rPr>
          <w:rFonts w:ascii="仿宋" w:hAnsi="仿宋" w:eastAsia="仿宋" w:cs="仿宋"/>
          <w:sz w:val="28"/>
          <w:szCs w:val="28"/>
          <w:highlight w:val="white"/>
        </w:rPr>
      </w:pPr>
      <w:r>
        <w:rPr>
          <w:rFonts w:hint="eastAsia" w:ascii="仿宋" w:hAnsi="仿宋" w:eastAsia="仿宋" w:cs="仿宋"/>
          <w:sz w:val="28"/>
          <w:szCs w:val="28"/>
          <w:highlight w:val="white"/>
        </w:rPr>
        <w:t>本项目采用电子招投标方式，招标文件的下载、上传、解密，开评标均通过互联网操作，电子招标文件免费提供。</w:t>
      </w:r>
    </w:p>
    <w:p w14:paraId="6BCB6648">
      <w:pPr>
        <w:adjustRightInd w:val="0"/>
        <w:snapToGrid w:val="0"/>
        <w:spacing w:line="500" w:lineRule="exact"/>
        <w:ind w:firstLine="560" w:firstLineChars="200"/>
        <w:jc w:val="left"/>
        <w:rPr>
          <w:rFonts w:asciiTheme="minorEastAsia" w:hAnsiTheme="minorEastAsia" w:eastAsiaTheme="minorEastAsia"/>
          <w:sz w:val="24"/>
        </w:rPr>
      </w:pPr>
      <w:r>
        <w:rPr>
          <w:rFonts w:hint="eastAsia" w:ascii="仿宋" w:hAnsi="仿宋" w:eastAsia="仿宋" w:cs="仿宋"/>
          <w:kern w:val="0"/>
          <w:sz w:val="28"/>
          <w:szCs w:val="28"/>
        </w:rPr>
        <w:t>招标文件在湖南省政府采购网(www.ccgp-hunan.gov.cn)和</w:t>
      </w:r>
      <w:r>
        <w:rPr>
          <w:rFonts w:hint="eastAsia" w:ascii="仿宋" w:hAnsi="仿宋" w:eastAsia="仿宋" w:cs="仿宋"/>
          <w:sz w:val="28"/>
          <w:szCs w:val="28"/>
          <w:highlight w:val="white"/>
        </w:rPr>
        <w:t>郴州市公共资源交易中心(http://czggzy.czs.gov.cn/)上</w:t>
      </w:r>
      <w:r>
        <w:rPr>
          <w:rFonts w:hint="eastAsia" w:ascii="仿宋" w:hAnsi="仿宋" w:eastAsia="仿宋" w:cs="仿宋"/>
          <w:kern w:val="0"/>
          <w:sz w:val="28"/>
          <w:szCs w:val="28"/>
        </w:rPr>
        <w:t>发布。</w:t>
      </w:r>
      <w:r>
        <w:rPr>
          <w:rFonts w:hint="eastAsia" w:ascii="仿宋" w:hAnsi="仿宋" w:eastAsia="仿宋" w:cs="仿宋"/>
          <w:sz w:val="28"/>
          <w:szCs w:val="28"/>
          <w:highlight w:val="white"/>
        </w:rPr>
        <w:t>投标人应仔细阅读本招标文件第二章《投标须知》，并在“郴州市公共资源交易中心(http://czggzy.czs.gov.cn/) 办事指南 --招投标相关”）进行学习，操作手册下载地址：</w:t>
      </w:r>
      <w:r>
        <w:rPr>
          <w:rFonts w:hint="eastAsia" w:ascii="仿宋" w:hAnsi="仿宋" w:eastAsia="仿宋" w:cs="仿宋"/>
          <w:sz w:val="28"/>
          <w:szCs w:val="28"/>
          <w:highlight w:val="white"/>
          <w:lang w:eastAsia="zh-CN"/>
        </w:rPr>
        <w:t>http://www.czggzyzx.cn/TPBidder</w:t>
      </w:r>
      <w:r>
        <w:rPr>
          <w:rFonts w:hint="eastAsia" w:ascii="仿宋" w:hAnsi="仿宋" w:eastAsia="仿宋" w:cs="仿宋"/>
          <w:sz w:val="28"/>
          <w:szCs w:val="28"/>
          <w:highlight w:val="white"/>
        </w:rPr>
        <w:t>/pages/customframe4bid/DownLoad/郴州市公共资源交易中心交易系统操作手册.zip</w:t>
      </w:r>
    </w:p>
    <w:p w14:paraId="00094650">
      <w:pPr>
        <w:widowControl/>
        <w:numPr>
          <w:ilvl w:val="0"/>
          <w:numId w:val="5"/>
        </w:numPr>
        <w:tabs>
          <w:tab w:val="left" w:pos="3500"/>
        </w:tabs>
        <w:autoSpaceDE w:val="0"/>
        <w:autoSpaceDN w:val="0"/>
        <w:adjustRightInd w:val="0"/>
        <w:snapToGrid w:val="0"/>
        <w:spacing w:line="360" w:lineRule="auto"/>
        <w:ind w:firstLine="560" w:firstLineChars="200"/>
        <w:jc w:val="left"/>
        <w:rPr>
          <w:rFonts w:ascii="仿宋" w:hAnsi="仿宋" w:eastAsia="仿宋" w:cs="仿宋"/>
          <w:sz w:val="28"/>
          <w:szCs w:val="28"/>
          <w:highlight w:val="white"/>
        </w:rPr>
      </w:pPr>
      <w:r>
        <w:rPr>
          <w:rFonts w:hint="eastAsia" w:ascii="仿宋" w:hAnsi="仿宋" w:eastAsia="仿宋" w:cs="仿宋"/>
          <w:sz w:val="28"/>
          <w:szCs w:val="28"/>
          <w:highlight w:val="white"/>
        </w:rPr>
        <w:t>投标人使用电子投标遇到问题时，请及时向软件公司咨询，联系方式：客服电话4009980000。</w:t>
      </w:r>
    </w:p>
    <w:p w14:paraId="5DAE16EC">
      <w:pPr>
        <w:numPr>
          <w:ilvl w:val="0"/>
          <w:numId w:val="5"/>
        </w:numPr>
        <w:adjustRightInd w:val="0"/>
        <w:snapToGrid w:val="0"/>
        <w:spacing w:line="360" w:lineRule="auto"/>
        <w:ind w:firstLine="560" w:firstLineChars="200"/>
        <w:rPr>
          <w:rFonts w:ascii="仿宋" w:hAnsi="仿宋" w:eastAsia="仿宋" w:cs="仿宋"/>
          <w:sz w:val="28"/>
          <w:szCs w:val="28"/>
          <w:highlight w:val="white"/>
        </w:rPr>
      </w:pPr>
      <w:r>
        <w:rPr>
          <w:rFonts w:hint="eastAsia" w:ascii="仿宋" w:hAnsi="仿宋" w:eastAsia="仿宋" w:cs="仿宋"/>
          <w:sz w:val="28"/>
          <w:szCs w:val="28"/>
          <w:highlight w:val="white"/>
        </w:rPr>
        <w:t>湖南省政府采购网和郴州市公共资源交易中心网上办事系统均需使用数字证书登陆进行操作。</w:t>
      </w:r>
    </w:p>
    <w:p w14:paraId="3EFF5282">
      <w:pPr>
        <w:numPr>
          <w:ilvl w:val="255"/>
          <w:numId w:val="0"/>
        </w:numPr>
        <w:adjustRightInd w:val="0"/>
        <w:snapToGrid w:val="0"/>
        <w:spacing w:line="360" w:lineRule="auto"/>
        <w:ind w:firstLine="560" w:firstLineChars="200"/>
        <w:rPr>
          <w:rFonts w:ascii="仿宋" w:hAnsi="仿宋" w:eastAsia="仿宋" w:cs="仿宋"/>
          <w:sz w:val="28"/>
          <w:szCs w:val="28"/>
          <w:highlight w:val="white"/>
        </w:rPr>
      </w:pPr>
      <w:r>
        <w:rPr>
          <w:rFonts w:hint="eastAsia" w:ascii="仿宋" w:hAnsi="仿宋" w:eastAsia="仿宋" w:cs="仿宋"/>
          <w:sz w:val="28"/>
          <w:szCs w:val="28"/>
          <w:highlight w:val="white"/>
        </w:rPr>
        <w:t>四、本项目采用“不见面开标”模式，是指将传统的开标场所移到互联网,招标人在不见面开标大厅组织线上开标,投标人通过互联网远程参加开标,并共同完成交易文件解密、唱标、异议和答复、开标确认、交流互动等开标活动。</w:t>
      </w:r>
    </w:p>
    <w:p w14:paraId="781D79EC">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五、</w:t>
      </w:r>
      <w:r>
        <w:rPr>
          <w:rFonts w:hint="eastAsia" w:ascii="仿宋" w:hAnsi="仿宋" w:eastAsia="仿宋" w:cs="仿宋"/>
          <w:sz w:val="28"/>
          <w:szCs w:val="28"/>
          <w:highlight w:val="white"/>
        </w:rPr>
        <w:t>网上开标系统登录地址为</w:t>
      </w:r>
      <w:r>
        <w:rPr>
          <w:rFonts w:hint="eastAsia" w:ascii="仿宋" w:hAnsi="仿宋" w:eastAsia="仿宋" w:cs="仿宋"/>
          <w:sz w:val="28"/>
          <w:szCs w:val="28"/>
          <w:highlight w:val="white"/>
          <w:lang w:eastAsia="zh-CN"/>
        </w:rPr>
        <w:t>http://www.czggzyzx.cn/BidOpening</w:t>
      </w:r>
      <w:r>
        <w:rPr>
          <w:rFonts w:hint="eastAsia" w:ascii="仿宋" w:hAnsi="仿宋" w:eastAsia="仿宋" w:cs="仿宋"/>
          <w:sz w:val="28"/>
          <w:szCs w:val="28"/>
          <w:highlight w:val="white"/>
        </w:rPr>
        <w:t>，郴州市公共资源交易中心网上办事系统的“开标签到解密”模块（</w:t>
      </w:r>
      <w:r>
        <w:rPr>
          <w:rFonts w:hint="eastAsia" w:ascii="仿宋" w:hAnsi="仿宋" w:eastAsia="仿宋" w:cs="仿宋"/>
          <w:sz w:val="28"/>
          <w:szCs w:val="28"/>
          <w:highlight w:val="white"/>
          <w:lang w:eastAsia="zh-CN"/>
        </w:rPr>
        <w:t>http://www.czggzyzx.cn/BidOpening</w:t>
      </w:r>
      <w:r>
        <w:rPr>
          <w:rFonts w:hint="eastAsia" w:ascii="仿宋" w:hAnsi="仿宋" w:eastAsia="仿宋" w:cs="仿宋"/>
          <w:sz w:val="28"/>
          <w:szCs w:val="28"/>
          <w:highlight w:val="white"/>
        </w:rPr>
        <w:t>）。</w:t>
      </w:r>
    </w:p>
    <w:p w14:paraId="1A0E378B">
      <w:pPr>
        <w:adjustRightInd w:val="0"/>
        <w:snapToGrid w:val="0"/>
        <w:spacing w:line="360" w:lineRule="auto"/>
        <w:ind w:firstLine="560" w:firstLineChars="200"/>
        <w:rPr>
          <w:rFonts w:ascii="仿宋" w:hAnsi="仿宋" w:eastAsia="仿宋" w:cs="仿宋"/>
          <w:sz w:val="28"/>
          <w:szCs w:val="28"/>
          <w:highlight w:val="white"/>
        </w:rPr>
      </w:pPr>
      <w:r>
        <w:rPr>
          <w:rFonts w:hint="eastAsia" w:ascii="仿宋" w:hAnsi="仿宋" w:eastAsia="仿宋" w:cs="仿宋"/>
          <w:sz w:val="28"/>
          <w:szCs w:val="28"/>
          <w:highlight w:val="white"/>
        </w:rPr>
        <w:t>六、投标人应在投标截止时间之前使用数字证书(CA)，自备具有上网卡和音视频功能的电脑自行登录网上不见面开标大厅（郴州市公共资源交易中心网上办事系统的“开标签到解密”模块（</w:t>
      </w:r>
      <w:r>
        <w:rPr>
          <w:rFonts w:hint="eastAsia" w:ascii="仿宋" w:hAnsi="仿宋" w:eastAsia="仿宋" w:cs="仿宋"/>
          <w:sz w:val="28"/>
          <w:szCs w:val="28"/>
          <w:highlight w:val="white"/>
          <w:lang w:eastAsia="zh-CN"/>
        </w:rPr>
        <w:t>http://www.czggzyzx.cn/BidOpening</w:t>
      </w:r>
      <w:r>
        <w:rPr>
          <w:rFonts w:hint="eastAsia" w:ascii="仿宋" w:hAnsi="仿宋" w:eastAsia="仿宋" w:cs="仿宋"/>
          <w:sz w:val="28"/>
          <w:szCs w:val="28"/>
          <w:highlight w:val="white"/>
        </w:rPr>
        <w:t>）,在线等待开标,</w:t>
      </w:r>
      <w:r>
        <w:rPr>
          <w:rFonts w:hint="eastAsia" w:ascii="仿宋" w:hAnsi="仿宋" w:eastAsia="仿宋" w:cs="仿宋"/>
          <w:sz w:val="28"/>
          <w:szCs w:val="28"/>
        </w:rPr>
        <w:t>并在开标期间保持通讯畅通。开标期间，投标人在开标大厅与招标人进行相关操作、音视频及文字交互，各电脑终端上的所有操作、音视频及文字交互均被视为各交易主体的行为。</w:t>
      </w:r>
      <w:r>
        <w:rPr>
          <w:rFonts w:hint="eastAsia" w:ascii="仿宋" w:hAnsi="仿宋" w:eastAsia="仿宋" w:cs="仿宋"/>
          <w:sz w:val="28"/>
          <w:szCs w:val="28"/>
          <w:highlight w:val="white"/>
        </w:rPr>
        <w:t>未按时加入开标会议区并完成CA或账号密码登录操作的或未能在开标会议区内全程参与交互的，视为放弃交互和放弃对开评标全过程提出疑问的权利，投标人将无法看到解密指令、开标、唱标等实时情况，投标人自行承担由此导致的一切后果。</w:t>
      </w:r>
    </w:p>
    <w:p w14:paraId="0F7F0241">
      <w:pPr>
        <w:adjustRightInd w:val="0"/>
        <w:snapToGrid w:val="0"/>
        <w:spacing w:line="360" w:lineRule="auto"/>
        <w:ind w:firstLine="560" w:firstLineChars="200"/>
        <w:rPr>
          <w:rFonts w:ascii="仿宋" w:hAnsi="仿宋" w:eastAsia="仿宋" w:cs="仿宋"/>
          <w:sz w:val="28"/>
          <w:szCs w:val="28"/>
          <w:highlight w:val="white"/>
        </w:rPr>
      </w:pPr>
      <w:r>
        <w:rPr>
          <w:rFonts w:hint="eastAsia" w:ascii="仿宋" w:hAnsi="仿宋" w:eastAsia="仿宋" w:cs="仿宋"/>
          <w:sz w:val="28"/>
          <w:szCs w:val="28"/>
        </w:rPr>
        <w:t>七、</w:t>
      </w:r>
      <w:r>
        <w:rPr>
          <w:rFonts w:hint="eastAsia" w:ascii="仿宋" w:hAnsi="仿宋" w:eastAsia="仿宋" w:cs="仿宋"/>
          <w:sz w:val="28"/>
          <w:szCs w:val="28"/>
          <w:highlight w:val="white"/>
        </w:rPr>
        <w:t>开评标全过程中，投标人参与远程交互的授权委托人或法人代表应始终为同一个人，中途不得更换，在废标、澄清、提疑、传送文件等特殊情况下需要交互时，投标人一端参与交互的人员将均被视为是投标人的授权委托人或法人代表，投标人不得以不承认交互人员的资格或身份等为借口抵赖推脱，投标人自行承担随意更换人员所导致的一切后果。</w:t>
      </w:r>
    </w:p>
    <w:p w14:paraId="68641882">
      <w:pPr>
        <w:adjustRightInd w:val="0"/>
        <w:snapToGrid w:val="0"/>
        <w:spacing w:line="360" w:lineRule="auto"/>
        <w:ind w:firstLine="560" w:firstLineChars="200"/>
        <w:rPr>
          <w:rFonts w:ascii="仿宋" w:hAnsi="仿宋" w:eastAsia="仿宋" w:cs="仿宋"/>
          <w:sz w:val="28"/>
          <w:szCs w:val="28"/>
          <w:highlight w:val="white"/>
        </w:rPr>
      </w:pPr>
    </w:p>
    <w:p w14:paraId="3D30610B">
      <w:pPr>
        <w:adjustRightInd w:val="0"/>
        <w:snapToGrid w:val="0"/>
        <w:spacing w:line="360" w:lineRule="auto"/>
        <w:ind w:firstLine="560" w:firstLineChars="200"/>
        <w:rPr>
          <w:rFonts w:ascii="仿宋" w:hAnsi="仿宋" w:eastAsia="仿宋" w:cs="仿宋"/>
          <w:sz w:val="28"/>
          <w:szCs w:val="28"/>
          <w:highlight w:val="white"/>
        </w:rPr>
      </w:pPr>
    </w:p>
    <w:p w14:paraId="7C272DB9">
      <w:pPr>
        <w:adjustRightInd w:val="0"/>
        <w:snapToGrid w:val="0"/>
        <w:spacing w:line="360" w:lineRule="auto"/>
        <w:ind w:firstLine="560" w:firstLineChars="200"/>
        <w:rPr>
          <w:rFonts w:ascii="仿宋" w:hAnsi="仿宋" w:eastAsia="仿宋" w:cs="仿宋"/>
          <w:sz w:val="28"/>
          <w:szCs w:val="28"/>
          <w:highlight w:val="white"/>
        </w:rPr>
      </w:pPr>
    </w:p>
    <w:p w14:paraId="18E3FC2E">
      <w:pPr>
        <w:adjustRightInd w:val="0"/>
        <w:snapToGrid w:val="0"/>
        <w:spacing w:line="360" w:lineRule="auto"/>
        <w:ind w:firstLine="560" w:firstLineChars="200"/>
        <w:rPr>
          <w:rFonts w:ascii="仿宋" w:hAnsi="仿宋" w:eastAsia="仿宋" w:cs="仿宋"/>
          <w:sz w:val="28"/>
          <w:szCs w:val="28"/>
          <w:highlight w:val="white"/>
        </w:rPr>
      </w:pPr>
    </w:p>
    <w:p w14:paraId="7FC0CD49">
      <w:pPr>
        <w:adjustRightInd w:val="0"/>
        <w:snapToGrid w:val="0"/>
        <w:spacing w:line="360" w:lineRule="auto"/>
        <w:ind w:firstLine="560" w:firstLineChars="200"/>
        <w:rPr>
          <w:rFonts w:ascii="仿宋" w:hAnsi="仿宋" w:eastAsia="仿宋" w:cs="仿宋"/>
          <w:sz w:val="28"/>
          <w:szCs w:val="28"/>
          <w:highlight w:val="white"/>
        </w:rPr>
      </w:pPr>
    </w:p>
    <w:p w14:paraId="222F56FF">
      <w:pPr>
        <w:adjustRightInd w:val="0"/>
        <w:snapToGrid w:val="0"/>
        <w:spacing w:line="360" w:lineRule="auto"/>
        <w:ind w:firstLine="560" w:firstLineChars="200"/>
        <w:rPr>
          <w:rFonts w:ascii="仿宋" w:hAnsi="仿宋" w:eastAsia="仿宋" w:cs="仿宋"/>
          <w:sz w:val="28"/>
          <w:szCs w:val="28"/>
          <w:highlight w:val="white"/>
        </w:rPr>
      </w:pPr>
    </w:p>
    <w:p w14:paraId="4BE0872A">
      <w:pPr>
        <w:adjustRightInd w:val="0"/>
        <w:snapToGrid w:val="0"/>
        <w:spacing w:line="360" w:lineRule="auto"/>
        <w:ind w:firstLine="560" w:firstLineChars="200"/>
        <w:rPr>
          <w:rFonts w:ascii="仿宋" w:hAnsi="仿宋" w:eastAsia="仿宋" w:cs="仿宋"/>
          <w:sz w:val="28"/>
          <w:szCs w:val="28"/>
          <w:highlight w:val="white"/>
        </w:rPr>
      </w:pPr>
    </w:p>
    <w:p w14:paraId="034DDCC3">
      <w:pPr>
        <w:adjustRightInd w:val="0"/>
        <w:snapToGrid w:val="0"/>
        <w:spacing w:line="360" w:lineRule="auto"/>
        <w:ind w:firstLine="560" w:firstLineChars="200"/>
        <w:rPr>
          <w:rFonts w:ascii="仿宋" w:hAnsi="仿宋" w:eastAsia="仿宋" w:cs="仿宋"/>
          <w:sz w:val="28"/>
          <w:szCs w:val="28"/>
          <w:highlight w:val="white"/>
        </w:rPr>
      </w:pPr>
    </w:p>
    <w:p w14:paraId="67B48466">
      <w:pPr>
        <w:adjustRightInd w:val="0"/>
        <w:snapToGrid w:val="0"/>
        <w:spacing w:line="360" w:lineRule="auto"/>
        <w:ind w:firstLine="560" w:firstLineChars="200"/>
        <w:rPr>
          <w:rFonts w:ascii="仿宋" w:hAnsi="仿宋" w:eastAsia="仿宋" w:cs="仿宋"/>
          <w:sz w:val="28"/>
          <w:szCs w:val="28"/>
          <w:highlight w:val="white"/>
        </w:rPr>
      </w:pPr>
    </w:p>
    <w:p w14:paraId="58E0649F">
      <w:pPr>
        <w:adjustRightInd w:val="0"/>
        <w:snapToGrid w:val="0"/>
        <w:spacing w:line="360" w:lineRule="auto"/>
        <w:ind w:firstLine="560" w:firstLineChars="200"/>
        <w:rPr>
          <w:rFonts w:ascii="仿宋" w:hAnsi="仿宋" w:eastAsia="仿宋" w:cs="仿宋"/>
          <w:sz w:val="28"/>
          <w:szCs w:val="28"/>
          <w:highlight w:val="white"/>
        </w:rPr>
      </w:pPr>
    </w:p>
    <w:p w14:paraId="52C1074E">
      <w:pPr>
        <w:adjustRightInd w:val="0"/>
        <w:snapToGrid w:val="0"/>
        <w:spacing w:line="360" w:lineRule="auto"/>
        <w:ind w:firstLine="560" w:firstLineChars="200"/>
        <w:rPr>
          <w:rFonts w:ascii="仿宋" w:hAnsi="仿宋" w:eastAsia="仿宋" w:cs="仿宋"/>
          <w:sz w:val="28"/>
          <w:szCs w:val="28"/>
          <w:highlight w:val="white"/>
        </w:rPr>
      </w:pPr>
    </w:p>
    <w:p w14:paraId="3FD2A651">
      <w:pPr>
        <w:numPr>
          <w:ilvl w:val="255"/>
          <w:numId w:val="0"/>
        </w:numPr>
        <w:adjustRightInd w:val="0"/>
        <w:snapToGrid w:val="0"/>
        <w:spacing w:line="360" w:lineRule="auto"/>
        <w:rPr>
          <w:rFonts w:ascii="仿宋" w:hAnsi="仿宋" w:eastAsia="仿宋" w:cs="仿宋"/>
          <w:sz w:val="28"/>
          <w:szCs w:val="28"/>
          <w:highlight w:val="white"/>
        </w:rPr>
      </w:pPr>
    </w:p>
    <w:p w14:paraId="3FE03105">
      <w:pPr>
        <w:pStyle w:val="3"/>
        <w:ind w:left="1215"/>
        <w:rPr>
          <w:rFonts w:ascii="黑体" w:hAnsi="华文中宋" w:eastAsia="黑体"/>
          <w:sz w:val="32"/>
          <w:szCs w:val="32"/>
        </w:rPr>
      </w:pPr>
      <w:bookmarkStart w:id="1" w:name="_Toc21937"/>
      <w:bookmarkStart w:id="2" w:name="_Toc172716638"/>
      <w:r>
        <w:rPr>
          <w:rFonts w:hint="eastAsia" w:ascii="黑体" w:hAnsi="华文中宋" w:eastAsia="黑体"/>
          <w:sz w:val="32"/>
          <w:szCs w:val="32"/>
        </w:rPr>
        <w:t>第一章 投标邀请</w:t>
      </w:r>
      <w:bookmarkEnd w:id="0"/>
      <w:bookmarkEnd w:id="1"/>
      <w:bookmarkEnd w:id="2"/>
    </w:p>
    <w:p w14:paraId="609222A5"/>
    <w:p w14:paraId="235C6E79">
      <w:pPr>
        <w:spacing w:line="360" w:lineRule="auto"/>
        <w:jc w:val="center"/>
        <w:rPr>
          <w:b/>
          <w:sz w:val="24"/>
        </w:rPr>
      </w:pPr>
      <w:r>
        <w:rPr>
          <w:rFonts w:hint="eastAsia" w:ascii="宋体" w:hAnsi="宋体"/>
          <w:b/>
          <w:bCs/>
          <w:sz w:val="24"/>
          <w:u w:val="single"/>
          <w:lang w:eastAsia="zh-CN"/>
        </w:rPr>
        <w:t>郴州市2026年度视频专网组网租赁项目</w:t>
      </w:r>
      <w:r>
        <w:rPr>
          <w:rFonts w:hint="eastAsia" w:ascii="宋体" w:hAnsi="宋体"/>
          <w:b/>
          <w:bCs/>
          <w:sz w:val="24"/>
        </w:rPr>
        <w:t>招标公告</w:t>
      </w:r>
    </w:p>
    <w:p w14:paraId="7957D26B">
      <w:pPr>
        <w:adjustRightInd w:val="0"/>
        <w:snapToGrid w:val="0"/>
        <w:spacing w:line="500" w:lineRule="exact"/>
        <w:ind w:firstLine="480" w:firstLineChars="200"/>
        <w:rPr>
          <w:rFonts w:asciiTheme="minorEastAsia" w:hAnsiTheme="minorEastAsia" w:eastAsiaTheme="minorEastAsia"/>
          <w:sz w:val="24"/>
        </w:rPr>
      </w:pPr>
      <w:bookmarkStart w:id="3" w:name="OLE_LINK2"/>
      <w:bookmarkStart w:id="4" w:name="OLE_LINK1"/>
      <w:r>
        <w:rPr>
          <w:rFonts w:hint="eastAsia" w:asciiTheme="minorEastAsia" w:hAnsiTheme="minorEastAsia" w:eastAsiaTheme="minorEastAsia"/>
          <w:sz w:val="24"/>
          <w:lang w:eastAsia="zh-CN"/>
        </w:rPr>
        <w:t>郴州市数据局</w:t>
      </w:r>
      <w:r>
        <w:rPr>
          <w:rFonts w:hint="eastAsia" w:asciiTheme="minorEastAsia" w:hAnsiTheme="minorEastAsia" w:eastAsiaTheme="minorEastAsia"/>
          <w:sz w:val="24"/>
        </w:rPr>
        <w:t>的</w:t>
      </w:r>
      <w:r>
        <w:rPr>
          <w:rFonts w:hint="eastAsia" w:asciiTheme="minorEastAsia" w:hAnsiTheme="minorEastAsia" w:eastAsiaTheme="minorEastAsia"/>
          <w:sz w:val="24"/>
          <w:lang w:eastAsia="zh-CN"/>
        </w:rPr>
        <w:t>郴州市2026年度视频专网组网租赁项目</w:t>
      </w:r>
      <w:r>
        <w:rPr>
          <w:rFonts w:hint="eastAsia" w:asciiTheme="minorEastAsia" w:hAnsiTheme="minorEastAsia" w:eastAsiaTheme="minorEastAsia"/>
          <w:sz w:val="24"/>
        </w:rPr>
        <w:t>进行公开招标采购，现邀请合格投标人参加投标。</w:t>
      </w:r>
    </w:p>
    <w:p w14:paraId="474D5278">
      <w:pPr>
        <w:pStyle w:val="4"/>
      </w:pPr>
      <w:bookmarkStart w:id="5" w:name="_Toc172716639"/>
      <w:r>
        <w:rPr>
          <w:rFonts w:hint="eastAsia"/>
        </w:rPr>
        <w:t>一、采购项目基本信息</w:t>
      </w:r>
      <w:bookmarkEnd w:id="5"/>
    </w:p>
    <w:p w14:paraId="7FA01B37">
      <w:pPr>
        <w:adjustRightInd w:val="0"/>
        <w:snapToGrid w:val="0"/>
        <w:spacing w:line="500" w:lineRule="exact"/>
        <w:ind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rPr>
        <w:t>1、采购项目名称：</w:t>
      </w:r>
      <w:r>
        <w:rPr>
          <w:rFonts w:hint="eastAsia" w:asciiTheme="minorEastAsia" w:hAnsiTheme="minorEastAsia" w:eastAsiaTheme="minorEastAsia"/>
          <w:sz w:val="24"/>
          <w:lang w:eastAsia="zh-CN"/>
        </w:rPr>
        <w:t>郴州市2026年度视频专网组网租赁项目</w:t>
      </w:r>
    </w:p>
    <w:p w14:paraId="27BADF6F">
      <w:pPr>
        <w:adjustRightInd w:val="0"/>
        <w:snapToGrid w:val="0"/>
        <w:spacing w:line="500" w:lineRule="exact"/>
        <w:ind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rPr>
        <w:t>2、政府采购计划编号：(2026)431000000179-1</w:t>
      </w:r>
      <w:r>
        <w:rPr>
          <w:rFonts w:hint="eastAsia" w:asciiTheme="minorEastAsia" w:hAnsiTheme="minorEastAsia" w:eastAsiaTheme="minorEastAsia"/>
          <w:sz w:val="24"/>
          <w:lang w:val="en-US" w:eastAsia="zh-CN"/>
        </w:rPr>
        <w:t xml:space="preserve"> </w:t>
      </w:r>
    </w:p>
    <w:p w14:paraId="56BED552">
      <w:pPr>
        <w:adjustRightInd w:val="0"/>
        <w:snapToGrid w:val="0"/>
        <w:spacing w:line="500" w:lineRule="exact"/>
        <w:ind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rPr>
        <w:t>3、委托代理编号：</w:t>
      </w:r>
      <w:r>
        <w:rPr>
          <w:rFonts w:hint="eastAsia" w:asciiTheme="minorEastAsia" w:hAnsiTheme="minorEastAsia" w:eastAsiaTheme="minorEastAsia"/>
          <w:sz w:val="24"/>
          <w:lang w:eastAsia="zh-CN"/>
        </w:rPr>
        <w:t>LYZC-CZ-2026027</w:t>
      </w:r>
    </w:p>
    <w:p w14:paraId="7BC53712">
      <w:pPr>
        <w:adjustRightInd w:val="0"/>
        <w:snapToGrid w:val="0"/>
        <w:spacing w:line="50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4、采购项目预算：¥10760640.00元</w:t>
      </w:r>
    </w:p>
    <w:p w14:paraId="3AA54232">
      <w:pPr>
        <w:adjustRightInd w:val="0"/>
        <w:snapToGrid w:val="0"/>
        <w:spacing w:line="500" w:lineRule="exact"/>
        <w:ind w:firstLine="720" w:firstLineChars="300"/>
        <w:rPr>
          <w:rFonts w:asciiTheme="minorEastAsia" w:hAnsiTheme="minorEastAsia" w:eastAsiaTheme="minorEastAsia"/>
          <w:sz w:val="24"/>
        </w:rPr>
      </w:pP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支持预付款，预付比例：____</w:t>
      </w:r>
      <w:r>
        <w:rPr>
          <w:rFonts w:hint="eastAsia" w:asciiTheme="minorEastAsia" w:hAnsiTheme="minorEastAsia" w:eastAsiaTheme="minorEastAsia"/>
          <w:sz w:val="24"/>
          <w:u w:val="single"/>
        </w:rPr>
        <w:t>/</w:t>
      </w:r>
      <w:r>
        <w:rPr>
          <w:rFonts w:hint="eastAsia" w:asciiTheme="minorEastAsia" w:hAnsiTheme="minorEastAsia" w:eastAsiaTheme="minorEastAsia"/>
          <w:sz w:val="24"/>
        </w:rPr>
        <w:t>____</w:t>
      </w:r>
    </w:p>
    <w:p w14:paraId="09CD61A1">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5、本项目对应的中小企业划分标准所属行业：信息传输业、软件和信息技术服务业。</w:t>
      </w:r>
    </w:p>
    <w:p w14:paraId="483E183A">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6、评标方法：</w:t>
      </w:r>
      <w:r>
        <w:rPr>
          <w:rFonts w:hint="eastAsia"/>
        </w:rPr>
        <w:sym w:font="Wingdings" w:char="00FE"/>
      </w:r>
      <w:r>
        <w:rPr>
          <w:rFonts w:hint="eastAsia" w:asciiTheme="minorEastAsia" w:hAnsiTheme="minorEastAsia" w:eastAsiaTheme="minorEastAsia"/>
          <w:sz w:val="24"/>
        </w:rPr>
        <w:t xml:space="preserve">综合评分法 </w:t>
      </w: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最低评标价法</w:t>
      </w:r>
    </w:p>
    <w:p w14:paraId="073CB1AC">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7、合同定价方式：</w:t>
      </w:r>
      <w:r>
        <w:rPr>
          <w:rFonts w:hint="eastAsia"/>
        </w:rPr>
        <w:sym w:font="Wingdings" w:char="00FE"/>
      </w:r>
      <w:r>
        <w:rPr>
          <w:rFonts w:hint="eastAsia" w:asciiTheme="minorEastAsia" w:hAnsiTheme="minorEastAsia" w:eastAsiaTheme="minorEastAsia"/>
          <w:sz w:val="24"/>
        </w:rPr>
        <w:t xml:space="preserve">固定总价 </w:t>
      </w:r>
      <w:r>
        <w:rPr>
          <w:rFonts w:hint="eastAsia"/>
        </w:rPr>
        <w:sym w:font="Wingdings" w:char="00FE"/>
      </w:r>
      <w:r>
        <w:rPr>
          <w:rFonts w:hint="eastAsia" w:asciiTheme="minorEastAsia" w:hAnsiTheme="minorEastAsia" w:eastAsiaTheme="minorEastAsia"/>
          <w:sz w:val="24"/>
        </w:rPr>
        <w:t xml:space="preserve">固定单价 </w:t>
      </w: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 xml:space="preserve">成本补偿 </w:t>
      </w: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绩效激励</w:t>
      </w:r>
    </w:p>
    <w:p w14:paraId="3A393D5F">
      <w:pPr>
        <w:adjustRightInd w:val="0"/>
        <w:snapToGrid w:val="0"/>
        <w:spacing w:line="500" w:lineRule="exact"/>
        <w:ind w:firstLine="480" w:firstLineChars="200"/>
        <w:rPr>
          <w:rFonts w:asciiTheme="minorEastAsia" w:hAnsiTheme="minorEastAsia" w:eastAsiaTheme="minorEastAsia"/>
          <w:sz w:val="24"/>
          <w:u w:val="single"/>
        </w:rPr>
      </w:pPr>
      <w:r>
        <w:rPr>
          <w:rFonts w:hint="eastAsia" w:asciiTheme="minorEastAsia" w:hAnsiTheme="minorEastAsia" w:eastAsiaTheme="minorEastAsia"/>
          <w:sz w:val="24"/>
        </w:rPr>
        <w:t>8、合同履行期限：</w:t>
      </w:r>
      <w:r>
        <w:rPr>
          <w:rFonts w:hint="eastAsia" w:asciiTheme="minorEastAsia" w:hAnsiTheme="minorEastAsia" w:eastAsiaTheme="minorEastAsia"/>
          <w:sz w:val="24"/>
          <w:u w:val="single"/>
        </w:rPr>
        <w:t>详见采购需求</w:t>
      </w:r>
    </w:p>
    <w:p w14:paraId="0AC7721C">
      <w:pPr>
        <w:adjustRightInd w:val="0"/>
        <w:snapToGrid w:val="0"/>
        <w:spacing w:line="500" w:lineRule="exact"/>
        <w:ind w:firstLine="482" w:firstLineChars="200"/>
        <w:rPr>
          <w:rFonts w:asciiTheme="minorEastAsia" w:hAnsiTheme="minorEastAsia" w:eastAsiaTheme="minorEastAsia"/>
          <w:b/>
          <w:bCs/>
          <w:sz w:val="24"/>
        </w:rPr>
      </w:pPr>
      <w:r>
        <w:rPr>
          <w:rFonts w:hint="eastAsia" w:asciiTheme="minorEastAsia" w:hAnsiTheme="minorEastAsia" w:eastAsiaTheme="minorEastAsia"/>
          <w:b/>
          <w:bCs/>
          <w:sz w:val="24"/>
        </w:rPr>
        <w:t>9、根据《关于进一步优化政府采购领域营商环境的通知》郴财采资〔2024〕6号文件精神，本项目取消投标保证金及履约保证金。</w:t>
      </w:r>
    </w:p>
    <w:p w14:paraId="45D364FC">
      <w:pPr>
        <w:pStyle w:val="4"/>
      </w:pPr>
      <w:bookmarkStart w:id="6" w:name="_Toc172716640"/>
      <w:r>
        <w:rPr>
          <w:rFonts w:hint="eastAsia"/>
        </w:rPr>
        <w:t>二、采购人的采购需求（按包）</w:t>
      </w:r>
      <w:bookmarkEnd w:id="6"/>
    </w:p>
    <w:tbl>
      <w:tblPr>
        <w:tblStyle w:val="45"/>
        <w:tblW w:w="10020" w:type="dxa"/>
        <w:tblInd w:w="-743"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
        <w:gridCol w:w="2411"/>
        <w:gridCol w:w="1134"/>
        <w:gridCol w:w="708"/>
        <w:gridCol w:w="1985"/>
        <w:gridCol w:w="1736"/>
        <w:gridCol w:w="750"/>
        <w:gridCol w:w="729"/>
      </w:tblGrid>
      <w:tr w14:paraId="4C1065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cantSplit/>
          <w:trHeight w:val="1022" w:hRule="atLeast"/>
        </w:trPr>
        <w:tc>
          <w:tcPr>
            <w:tcW w:w="567" w:type="dxa"/>
            <w:vAlign w:val="center"/>
          </w:tcPr>
          <w:p w14:paraId="4B2CE555">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 xml:space="preserve">包号 </w:t>
            </w:r>
          </w:p>
        </w:tc>
        <w:tc>
          <w:tcPr>
            <w:tcW w:w="2411" w:type="dxa"/>
            <w:vAlign w:val="center"/>
          </w:tcPr>
          <w:p w14:paraId="205CE260">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标的名称</w:t>
            </w:r>
          </w:p>
        </w:tc>
        <w:tc>
          <w:tcPr>
            <w:tcW w:w="1134" w:type="dxa"/>
            <w:tcBorders>
              <w:left w:val="single" w:color="auto" w:sz="4" w:space="0"/>
            </w:tcBorders>
            <w:vAlign w:val="center"/>
          </w:tcPr>
          <w:p w14:paraId="7DC62774">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简要技术要求</w:t>
            </w:r>
          </w:p>
        </w:tc>
        <w:tc>
          <w:tcPr>
            <w:tcW w:w="708" w:type="dxa"/>
            <w:tcBorders>
              <w:left w:val="single" w:color="auto" w:sz="4" w:space="0"/>
            </w:tcBorders>
            <w:vAlign w:val="center"/>
          </w:tcPr>
          <w:p w14:paraId="2834ABE8">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数量</w:t>
            </w:r>
          </w:p>
        </w:tc>
        <w:tc>
          <w:tcPr>
            <w:tcW w:w="1985" w:type="dxa"/>
            <w:vAlign w:val="center"/>
          </w:tcPr>
          <w:p w14:paraId="3CF56827">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标的预算（元）</w:t>
            </w:r>
          </w:p>
        </w:tc>
        <w:tc>
          <w:tcPr>
            <w:tcW w:w="1736" w:type="dxa"/>
            <w:vAlign w:val="center"/>
          </w:tcPr>
          <w:p w14:paraId="0F71F847">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最高限价（元）</w:t>
            </w:r>
          </w:p>
        </w:tc>
        <w:tc>
          <w:tcPr>
            <w:tcW w:w="750" w:type="dxa"/>
            <w:vAlign w:val="center"/>
          </w:tcPr>
          <w:p w14:paraId="714D5761">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节能产品</w:t>
            </w:r>
          </w:p>
        </w:tc>
        <w:tc>
          <w:tcPr>
            <w:tcW w:w="729" w:type="dxa"/>
            <w:vAlign w:val="center"/>
          </w:tcPr>
          <w:p w14:paraId="3A4EC89C">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进口产品</w:t>
            </w:r>
          </w:p>
        </w:tc>
      </w:tr>
      <w:tr w14:paraId="6DB9FC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7" w:hRule="atLeast"/>
        </w:trPr>
        <w:tc>
          <w:tcPr>
            <w:tcW w:w="567" w:type="dxa"/>
          </w:tcPr>
          <w:p w14:paraId="01F28B46">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w:t>
            </w:r>
          </w:p>
        </w:tc>
        <w:tc>
          <w:tcPr>
            <w:tcW w:w="2411" w:type="dxa"/>
          </w:tcPr>
          <w:p w14:paraId="2A00EFCA">
            <w:pPr>
              <w:widowControl/>
              <w:adjustRightInd w:val="0"/>
              <w:snapToGrid w:val="0"/>
              <w:spacing w:line="500" w:lineRule="exact"/>
              <w:jc w:val="center"/>
              <w:rPr>
                <w:rFonts w:hint="eastAsia" w:cs="宋体" w:asciiTheme="minorEastAsia" w:hAnsiTheme="minorEastAsia" w:eastAsiaTheme="minorEastAsia"/>
                <w:color w:val="auto"/>
                <w:kern w:val="0"/>
                <w:sz w:val="24"/>
                <w:lang w:eastAsia="zh-CN"/>
              </w:rPr>
            </w:pPr>
            <w:r>
              <w:rPr>
                <w:rFonts w:hint="eastAsia" w:cs="宋体" w:asciiTheme="minorEastAsia" w:hAnsiTheme="minorEastAsia" w:eastAsiaTheme="minorEastAsia"/>
                <w:color w:val="auto"/>
                <w:kern w:val="0"/>
                <w:sz w:val="24"/>
                <w:lang w:eastAsia="zh-CN"/>
              </w:rPr>
              <w:t>郴州市2026年度视频专网组网租赁项目</w:t>
            </w:r>
          </w:p>
        </w:tc>
        <w:tc>
          <w:tcPr>
            <w:tcW w:w="1134" w:type="dxa"/>
            <w:tcBorders>
              <w:left w:val="single" w:color="auto" w:sz="4" w:space="0"/>
            </w:tcBorders>
          </w:tcPr>
          <w:p w14:paraId="3D027F87">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详见第五章</w:t>
            </w:r>
          </w:p>
        </w:tc>
        <w:tc>
          <w:tcPr>
            <w:tcW w:w="708" w:type="dxa"/>
            <w:tcBorders>
              <w:left w:val="single" w:color="auto" w:sz="4" w:space="0"/>
            </w:tcBorders>
          </w:tcPr>
          <w:p w14:paraId="164395DA">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1项</w:t>
            </w:r>
          </w:p>
        </w:tc>
        <w:tc>
          <w:tcPr>
            <w:tcW w:w="1985" w:type="dxa"/>
            <w:vAlign w:val="center"/>
          </w:tcPr>
          <w:p w14:paraId="53A29997">
            <w:pPr>
              <w:widowControl/>
              <w:adjustRightInd w:val="0"/>
              <w:snapToGrid w:val="0"/>
              <w:spacing w:line="500" w:lineRule="exact"/>
              <w:jc w:val="center"/>
              <w:rPr>
                <w:rFonts w:hint="eastAsia" w:cs="宋体" w:asciiTheme="minorEastAsia" w:hAnsiTheme="minorEastAsia" w:eastAsiaTheme="minorEastAsia"/>
                <w:color w:val="auto"/>
                <w:kern w:val="0"/>
                <w:sz w:val="24"/>
                <w:lang w:eastAsia="zh-CN"/>
              </w:rPr>
            </w:pPr>
            <w:r>
              <w:rPr>
                <w:rFonts w:hint="eastAsia" w:asciiTheme="minorEastAsia" w:hAnsiTheme="minorEastAsia" w:eastAsiaTheme="minorEastAsia"/>
                <w:color w:val="auto"/>
                <w:sz w:val="24"/>
                <w:lang w:val="en-US" w:eastAsia="zh-CN"/>
              </w:rPr>
              <w:t xml:space="preserve"> </w:t>
            </w:r>
            <w:r>
              <w:rPr>
                <w:rFonts w:hint="eastAsia" w:asciiTheme="minorEastAsia" w:hAnsiTheme="minorEastAsia" w:eastAsiaTheme="minorEastAsia"/>
                <w:color w:val="auto"/>
                <w:sz w:val="24"/>
              </w:rPr>
              <w:t>10760640.00</w:t>
            </w:r>
          </w:p>
        </w:tc>
        <w:tc>
          <w:tcPr>
            <w:tcW w:w="1736" w:type="dxa"/>
            <w:vAlign w:val="center"/>
          </w:tcPr>
          <w:p w14:paraId="490B6CE3">
            <w:pPr>
              <w:widowControl/>
              <w:adjustRightInd w:val="0"/>
              <w:snapToGrid w:val="0"/>
              <w:spacing w:line="500" w:lineRule="exact"/>
              <w:jc w:val="center"/>
              <w:rPr>
                <w:rFonts w:hint="eastAsia" w:cs="宋体" w:asciiTheme="minorEastAsia" w:hAnsiTheme="minorEastAsia" w:eastAsiaTheme="minorEastAsia"/>
                <w:color w:val="auto"/>
                <w:kern w:val="0"/>
                <w:sz w:val="24"/>
                <w:lang w:eastAsia="zh-CN"/>
              </w:rPr>
            </w:pPr>
            <w:r>
              <w:rPr>
                <w:rFonts w:hint="eastAsia" w:asciiTheme="minorEastAsia" w:hAnsiTheme="minorEastAsia" w:eastAsiaTheme="minorEastAsia"/>
                <w:color w:val="auto"/>
                <w:sz w:val="24"/>
              </w:rPr>
              <w:t>10760640.00</w:t>
            </w:r>
          </w:p>
        </w:tc>
        <w:tc>
          <w:tcPr>
            <w:tcW w:w="750" w:type="dxa"/>
          </w:tcPr>
          <w:p w14:paraId="5EF4663F">
            <w:pPr>
              <w:widowControl/>
              <w:adjustRightInd w:val="0"/>
              <w:snapToGrid w:val="0"/>
              <w:spacing w:line="500" w:lineRule="exact"/>
              <w:jc w:val="center"/>
              <w:rPr>
                <w:rFonts w:cs="宋体" w:asciiTheme="minorEastAsia" w:hAnsiTheme="minorEastAsia" w:eastAsiaTheme="minorEastAsia"/>
                <w:color w:val="auto"/>
                <w:kern w:val="0"/>
                <w:sz w:val="24"/>
              </w:rPr>
            </w:pPr>
          </w:p>
        </w:tc>
        <w:tc>
          <w:tcPr>
            <w:tcW w:w="729" w:type="dxa"/>
          </w:tcPr>
          <w:p w14:paraId="16FA8A5D">
            <w:pPr>
              <w:widowControl/>
              <w:adjustRightInd w:val="0"/>
              <w:snapToGrid w:val="0"/>
              <w:spacing w:line="500" w:lineRule="exact"/>
              <w:jc w:val="center"/>
              <w:rPr>
                <w:rFonts w:cs="宋体" w:asciiTheme="minorEastAsia" w:hAnsiTheme="minorEastAsia" w:eastAsiaTheme="minorEastAsia"/>
                <w:color w:val="auto"/>
                <w:kern w:val="0"/>
                <w:sz w:val="24"/>
              </w:rPr>
            </w:pPr>
          </w:p>
        </w:tc>
      </w:tr>
      <w:tr w14:paraId="75E696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7" w:hRule="atLeast"/>
        </w:trPr>
        <w:tc>
          <w:tcPr>
            <w:tcW w:w="10020" w:type="dxa"/>
            <w:gridSpan w:val="8"/>
          </w:tcPr>
          <w:p w14:paraId="3C555B48">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代理服务收费最高限价（元人民币）：¥</w:t>
            </w:r>
            <w:r>
              <w:rPr>
                <w:rFonts w:hint="eastAsia" w:cs="宋体" w:asciiTheme="minorEastAsia" w:hAnsiTheme="minorEastAsia" w:eastAsiaTheme="minorEastAsia"/>
                <w:color w:val="auto"/>
                <w:kern w:val="0"/>
                <w:sz w:val="24"/>
                <w:lang w:eastAsia="zh-CN"/>
              </w:rPr>
              <w:t>17820.30</w:t>
            </w:r>
            <w:r>
              <w:rPr>
                <w:rFonts w:hint="eastAsia" w:cs="宋体" w:asciiTheme="minorEastAsia" w:hAnsiTheme="minorEastAsia" w:eastAsiaTheme="minorEastAsia"/>
                <w:color w:val="auto"/>
                <w:kern w:val="0"/>
                <w:sz w:val="24"/>
              </w:rPr>
              <w:t>元</w:t>
            </w:r>
          </w:p>
        </w:tc>
      </w:tr>
    </w:tbl>
    <w:p w14:paraId="5A389852">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说明：</w:t>
      </w:r>
    </w:p>
    <w:p w14:paraId="293F0010">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1.节能产品实行强制采购的，需提供国家认证机构出具的、处于有效期内的节能产品证书。</w:t>
      </w:r>
    </w:p>
    <w:p w14:paraId="7E76FCF7">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2.同意购买进口产品的，不限制满足采购需求的国内产品参与投标。</w:t>
      </w:r>
    </w:p>
    <w:p w14:paraId="7FE90E03">
      <w:pPr>
        <w:pStyle w:val="4"/>
        <w:rPr>
          <w:rFonts w:asciiTheme="minorEastAsia" w:hAnsiTheme="minorEastAsia" w:eastAsiaTheme="minorEastAsia"/>
        </w:rPr>
      </w:pPr>
      <w:bookmarkStart w:id="7" w:name="_Toc172716641"/>
      <w:r>
        <w:rPr>
          <w:rFonts w:hint="eastAsia"/>
        </w:rPr>
        <w:t>三、采购项目需落实的政府采购政策：</w:t>
      </w:r>
      <w:r>
        <w:rPr>
          <w:rFonts w:hint="eastAsia" w:asciiTheme="minorEastAsia" w:hAnsiTheme="minorEastAsia" w:eastAsiaTheme="minorEastAsia"/>
          <w:b w:val="0"/>
          <w:bCs w:val="0"/>
        </w:rPr>
        <w:t>(说明：应根据采购项目特点选择以下内容)：</w:t>
      </w:r>
      <w:bookmarkEnd w:id="7"/>
    </w:p>
    <w:p w14:paraId="0F19F29C">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□强制采购：政府采购实行强制采购的节能产品。</w:t>
      </w:r>
    </w:p>
    <w:p w14:paraId="5B8E6E25">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□优先采购：政府采购鼓励采购节能环保产品。</w:t>
      </w:r>
    </w:p>
    <w:p w14:paraId="67E52CA5">
      <w:pPr>
        <w:adjustRightInd w:val="0"/>
        <w:snapToGrid w:val="0"/>
        <w:spacing w:line="500" w:lineRule="exact"/>
        <w:ind w:firstLine="420" w:firstLineChars="200"/>
        <w:rPr>
          <w:rFonts w:asciiTheme="minorEastAsia" w:hAnsiTheme="minorEastAsia" w:eastAsiaTheme="minorEastAsia"/>
          <w:sz w:val="24"/>
        </w:rPr>
      </w:pPr>
      <w:r>
        <w:rPr>
          <w:rFonts w:hint="eastAsia"/>
        </w:rPr>
        <w:sym w:font="Wingdings" w:char="00FE"/>
      </w:r>
      <w:r>
        <w:rPr>
          <w:rFonts w:hint="eastAsia" w:asciiTheme="minorEastAsia" w:hAnsiTheme="minorEastAsia" w:eastAsiaTheme="minorEastAsia"/>
          <w:sz w:val="24"/>
        </w:rPr>
        <w:t>价格评审优惠：政府采购促进小微企业发展（包括政府采购支持监狱企业发展、政府采购促进残疾人就业）。</w:t>
      </w:r>
    </w:p>
    <w:p w14:paraId="6865D198">
      <w:pPr>
        <w:pStyle w:val="4"/>
      </w:pPr>
      <w:bookmarkStart w:id="8" w:name="_Toc172716642"/>
      <w:r>
        <w:rPr>
          <w:rFonts w:hint="eastAsia"/>
        </w:rPr>
        <w:t>四、投标人的资格要求：</w:t>
      </w:r>
      <w:bookmarkEnd w:id="8"/>
    </w:p>
    <w:p w14:paraId="59793B60">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1、投标人的基本资格条件：投标人必须是在中华人民共和国境内注册登记的法人、其他组织或者自然人，且应当符合《政府采购法》第二十二条第一款的规定，即：</w:t>
      </w:r>
    </w:p>
    <w:p w14:paraId="41CAD29D">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（1）具有独立承担民事责任的能力；</w:t>
      </w:r>
    </w:p>
    <w:p w14:paraId="357A0618">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（2）具有良好的商业信誉和健全的财务会计制度；</w:t>
      </w:r>
    </w:p>
    <w:p w14:paraId="23D9A9EB">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（3）具有履行合同所必需的设备和专业技术能力；</w:t>
      </w:r>
    </w:p>
    <w:p w14:paraId="6DD6EC77">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（4）有依法缴纳税收和社会保障资金的良好记录；</w:t>
      </w:r>
    </w:p>
    <w:p w14:paraId="513F5E9B">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（5）参加政府采购活动前三年内，在经营活动中没有重大违法记录；</w:t>
      </w:r>
    </w:p>
    <w:p w14:paraId="518F9E32">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（6）法律、行政法规规定的其他条件。</w:t>
      </w:r>
    </w:p>
    <w:p w14:paraId="205FF046">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被“信用中国”“信用湖南”“信用郴州”网站列入失信被执行人和重大税收违法案件当事人名单的、被“中国政府采购网”“湖南省政府采购网”网站列入政府采购严重违法失信行为记录名单（处罚期限尚未届满的），不得参与本项目的政府采购活动。</w:t>
      </w:r>
    </w:p>
    <w:p w14:paraId="5B095D65">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3、落实政府采购政策需满足的资格要求：</w:t>
      </w:r>
    </w:p>
    <w:p w14:paraId="6B258A8B">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w:t>
      </w: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专门面向：</w:t>
      </w: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 xml:space="preserve">中小企业  </w:t>
      </w: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 xml:space="preserve">小微企业 </w:t>
      </w: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 xml:space="preserve">监狱企业 </w:t>
      </w: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福利性单位。</w:t>
      </w:r>
    </w:p>
    <w:p w14:paraId="580934C6">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w:t>
      </w: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强制分包：大型企业应将采购份额的</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%分包给中小企业。</w:t>
      </w:r>
    </w:p>
    <w:p w14:paraId="0E3F5DCC">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4、单位负责人为同一人或者存在直接控股、管理关系的不同投标人，不得参加同一合同项下的政府采购活动。</w:t>
      </w:r>
    </w:p>
    <w:p w14:paraId="39F446DA">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5、为本采购项目提供整体设计、规范编制或者项目管理、监理、检测等服务的，不得再参加此项目的其他招标采购活动。</w:t>
      </w:r>
    </w:p>
    <w:p w14:paraId="1F6FFCBA">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6、联合体投标。本次招标</w:t>
      </w:r>
      <w:r>
        <w:rPr>
          <w:rFonts w:hint="eastAsia" w:asciiTheme="minorEastAsia" w:hAnsiTheme="minorEastAsia" w:eastAsiaTheme="minorEastAsia"/>
          <w:sz w:val="24"/>
          <w:u w:val="single"/>
        </w:rPr>
        <w:t xml:space="preserve"> 不接受 </w:t>
      </w:r>
      <w:r>
        <w:rPr>
          <w:rFonts w:hint="eastAsia" w:asciiTheme="minorEastAsia" w:hAnsiTheme="minorEastAsia" w:eastAsiaTheme="minorEastAsia"/>
          <w:sz w:val="24"/>
        </w:rPr>
        <w:t>联合体投标。</w:t>
      </w:r>
    </w:p>
    <w:p w14:paraId="367A6744">
      <w:pPr>
        <w:adjustRightInd w:val="0"/>
        <w:snapToGrid w:val="0"/>
        <w:spacing w:line="500" w:lineRule="exact"/>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7、特定资格条件：</w:t>
      </w:r>
    </w:p>
    <w:p w14:paraId="753CE13B">
      <w:pPr>
        <w:adjustRightInd w:val="0"/>
        <w:snapToGrid w:val="0"/>
        <w:spacing w:line="500" w:lineRule="exact"/>
        <w:ind w:firstLine="480" w:firstLineChars="200"/>
        <w:rPr>
          <w:rFonts w:hint="eastAsia" w:asciiTheme="minorEastAsia" w:hAnsiTheme="minorEastAsia" w:eastAsiaTheme="minorEastAsia"/>
          <w:b/>
          <w:sz w:val="24"/>
        </w:rPr>
      </w:pPr>
      <w:r>
        <w:rPr>
          <w:rFonts w:hint="eastAsia" w:asciiTheme="minorEastAsia" w:hAnsiTheme="minorEastAsia" w:eastAsiaTheme="minorEastAsia"/>
          <w:sz w:val="24"/>
          <w:lang w:val="en-US" w:eastAsia="zh-CN"/>
        </w:rPr>
        <w:t>1、</w:t>
      </w:r>
      <w:r>
        <w:rPr>
          <w:rFonts w:hint="eastAsia" w:asciiTheme="minorEastAsia" w:hAnsiTheme="minorEastAsia" w:eastAsiaTheme="minorEastAsia"/>
          <w:b/>
          <w:sz w:val="24"/>
        </w:rPr>
        <w:t>要求投标人提供有效的工信部颁发的基础电信业务或增值电信业务经营许可证明。</w:t>
      </w:r>
    </w:p>
    <w:p w14:paraId="60C8FDAF">
      <w:pPr>
        <w:adjustRightInd w:val="0"/>
        <w:snapToGrid w:val="0"/>
        <w:spacing w:line="500" w:lineRule="exact"/>
        <w:ind w:firstLine="480" w:firstLineChars="200"/>
        <w:rPr>
          <w:rFonts w:hint="eastAsia" w:asciiTheme="minorEastAsia" w:hAnsiTheme="minorEastAsia" w:eastAsiaTheme="minorEastAsia"/>
          <w:b w:val="0"/>
          <w:bCs/>
          <w:sz w:val="24"/>
          <w:lang w:val="en-US" w:eastAsia="zh-CN"/>
        </w:rPr>
      </w:pPr>
      <w:r>
        <w:rPr>
          <w:rFonts w:hint="eastAsia" w:asciiTheme="minorEastAsia" w:hAnsiTheme="minorEastAsia" w:eastAsiaTheme="minorEastAsia"/>
          <w:b w:val="0"/>
          <w:bCs/>
          <w:sz w:val="24"/>
          <w:lang w:val="en-US" w:eastAsia="zh-CN"/>
        </w:rPr>
        <w:t>2、</w:t>
      </w:r>
      <w:r>
        <w:rPr>
          <w:rFonts w:hint="eastAsia" w:asciiTheme="minorEastAsia" w:hAnsiTheme="minorEastAsia" w:eastAsiaTheme="minorEastAsia"/>
          <w:b/>
          <w:bCs w:val="0"/>
          <w:sz w:val="24"/>
          <w:lang w:val="en-US" w:eastAsia="zh-CN"/>
        </w:rPr>
        <w:t>根据《政府采购法实施条例》释义，银行、保险、石油石化、电力、电信等有行业特殊情况的，取得营业执照的分支机构可以分公司的名义直接参与投标。本项目允许以分支机构的身份参加政府采购活动的，须持有总公司有效授权文件，否则其投标无效。经总公司授权后的分公司参与投标，其一切法律责任由所属总公司承担(同一公司只能授权一家分公司参加本项目投标，若同时出现同一公司的不同分公司参加本项目投标，则全部按无效投标处理)。</w:t>
      </w:r>
    </w:p>
    <w:p w14:paraId="07D6E00A">
      <w:pPr>
        <w:pStyle w:val="4"/>
      </w:pPr>
      <w:bookmarkStart w:id="9" w:name="_Toc172716643"/>
      <w:r>
        <w:rPr>
          <w:rFonts w:hint="eastAsia"/>
        </w:rPr>
        <w:t>五、获取电子招标文件的时间、期限、方式</w:t>
      </w:r>
      <w:bookmarkEnd w:id="9"/>
    </w:p>
    <w:p w14:paraId="2F06EAD8">
      <w:pPr>
        <w:tabs>
          <w:tab w:val="left" w:pos="3500"/>
        </w:tabs>
        <w:autoSpaceDE w:val="0"/>
        <w:autoSpaceDN w:val="0"/>
        <w:adjustRightInd w:val="0"/>
        <w:snapToGrid w:val="0"/>
        <w:spacing w:line="500" w:lineRule="exact"/>
        <w:ind w:firstLine="480" w:firstLineChars="200"/>
        <w:jc w:val="left"/>
        <w:rPr>
          <w:rFonts w:asciiTheme="minorEastAsia" w:hAnsiTheme="minorEastAsia" w:eastAsiaTheme="minorEastAsia"/>
          <w:kern w:val="0"/>
          <w:sz w:val="24"/>
        </w:rPr>
      </w:pPr>
      <w:r>
        <w:rPr>
          <w:rFonts w:hint="eastAsia" w:asciiTheme="minorEastAsia" w:hAnsiTheme="minorEastAsia" w:eastAsiaTheme="minorEastAsia"/>
          <w:kern w:val="0"/>
          <w:sz w:val="24"/>
        </w:rPr>
        <w:t>1. 凡符</w:t>
      </w:r>
      <w:r>
        <w:rPr>
          <w:rFonts w:hint="eastAsia" w:asciiTheme="minorEastAsia" w:hAnsiTheme="minorEastAsia" w:eastAsiaTheme="minorEastAsia"/>
          <w:sz w:val="24"/>
        </w:rPr>
        <w:t>合投标资格要求并有意参加投标者，可在公告发布之日起至提交投标文件截止之日通过郴州</w:t>
      </w:r>
      <w:r>
        <w:rPr>
          <w:rFonts w:hint="eastAsia" w:asciiTheme="minorEastAsia" w:hAnsiTheme="minorEastAsia" w:eastAsiaTheme="minorEastAsia"/>
          <w:kern w:val="0"/>
          <w:sz w:val="24"/>
        </w:rPr>
        <w:t>市公共资源交易中心(</w:t>
      </w:r>
      <w:r>
        <w:rPr>
          <w:rFonts w:asciiTheme="minorEastAsia" w:hAnsiTheme="minorEastAsia" w:eastAsiaTheme="minorEastAsia"/>
          <w:kern w:val="0"/>
          <w:sz w:val="24"/>
        </w:rPr>
        <w:t>http://czggzy.czs.gov.cn/</w:t>
      </w:r>
      <w:r>
        <w:rPr>
          <w:rFonts w:hint="eastAsia" w:asciiTheme="minorEastAsia" w:hAnsiTheme="minorEastAsia" w:eastAsiaTheme="minorEastAsia"/>
          <w:kern w:val="0"/>
          <w:sz w:val="24"/>
        </w:rPr>
        <w:t>)免费获取电子招标文件。</w:t>
      </w:r>
    </w:p>
    <w:p w14:paraId="4178FEB4">
      <w:pPr>
        <w:tabs>
          <w:tab w:val="left" w:pos="3500"/>
        </w:tabs>
        <w:autoSpaceDE w:val="0"/>
        <w:autoSpaceDN w:val="0"/>
        <w:adjustRightInd w:val="0"/>
        <w:snapToGrid w:val="0"/>
        <w:spacing w:line="500" w:lineRule="exact"/>
        <w:ind w:firstLine="480" w:firstLineChars="200"/>
        <w:jc w:val="left"/>
        <w:rPr>
          <w:rFonts w:ascii="宋体" w:hAnsi="宋体"/>
          <w:sz w:val="24"/>
        </w:rPr>
      </w:pPr>
      <w:r>
        <w:rPr>
          <w:rFonts w:hint="eastAsia" w:asciiTheme="minorEastAsia" w:hAnsiTheme="minorEastAsia" w:eastAsiaTheme="minorEastAsia"/>
          <w:kern w:val="0"/>
          <w:sz w:val="24"/>
        </w:rPr>
        <w:t>2、公开招标文件及修改、澄清文件获取方式:投标人应在本项目获取招标文件截止时间前登录郴州市公共资源交易中心(</w:t>
      </w:r>
      <w:r>
        <w:rPr>
          <w:rFonts w:asciiTheme="minorEastAsia" w:hAnsiTheme="minorEastAsia" w:eastAsiaTheme="minorEastAsia"/>
          <w:kern w:val="0"/>
          <w:sz w:val="24"/>
        </w:rPr>
        <w:t>http://czggzy.czs.gov.cn/</w:t>
      </w:r>
      <w:r>
        <w:rPr>
          <w:rFonts w:hint="eastAsia" w:asciiTheme="minorEastAsia" w:hAnsiTheme="minorEastAsia" w:eastAsiaTheme="minorEastAsia"/>
          <w:kern w:val="0"/>
          <w:sz w:val="24"/>
        </w:rPr>
        <w:t>)中进入"政府采购交易系统进行“用户登录”“我要投标”“下载文件”操作，逾期将不能获取文件。修改、澄清后的招标文件请投标人</w:t>
      </w:r>
      <w:r>
        <w:rPr>
          <w:rFonts w:hint="eastAsia" w:asciiTheme="minorEastAsia" w:hAnsiTheme="minorEastAsia"/>
          <w:kern w:val="0"/>
          <w:sz w:val="24"/>
        </w:rPr>
        <w:t>自行在以上网站下载或查阅</w:t>
      </w:r>
      <w:r>
        <w:rPr>
          <w:rFonts w:hint="eastAsia" w:asciiTheme="minorEastAsia" w:hAnsiTheme="minorEastAsia" w:eastAsiaTheme="minorEastAsia"/>
          <w:kern w:val="0"/>
          <w:sz w:val="24"/>
        </w:rPr>
        <w:t>,恕不另行通知，如有遗漏投标人自行承担全部责任。</w:t>
      </w:r>
    </w:p>
    <w:p w14:paraId="6EF1684D">
      <w:pPr>
        <w:tabs>
          <w:tab w:val="left" w:pos="3500"/>
        </w:tabs>
        <w:autoSpaceDE w:val="0"/>
        <w:autoSpaceDN w:val="0"/>
        <w:adjustRightInd w:val="0"/>
        <w:snapToGrid w:val="0"/>
        <w:spacing w:line="500" w:lineRule="exact"/>
        <w:ind w:firstLine="480" w:firstLineChars="200"/>
        <w:jc w:val="left"/>
        <w:rPr>
          <w:rFonts w:ascii="宋体" w:hAnsi="宋体"/>
          <w:sz w:val="24"/>
        </w:rPr>
      </w:pPr>
      <w:r>
        <w:rPr>
          <w:rFonts w:hint="eastAsia" w:asciiTheme="minorEastAsia" w:hAnsiTheme="minorEastAsia" w:eastAsiaTheme="minorEastAsia"/>
          <w:kern w:val="0"/>
          <w:sz w:val="24"/>
        </w:rPr>
        <w:t>3、</w:t>
      </w:r>
      <w:r>
        <w:rPr>
          <w:rFonts w:hint="eastAsia" w:ascii="宋体" w:hAnsi="宋体"/>
          <w:sz w:val="24"/>
        </w:rPr>
        <w:t>通过网络下载，其招标文件与备案的书面招标文件具有同等法律效力。投标人应及时关注网上相关招标信息，如有遗漏（包括但不限于文件未下载或下载不完整）招标人概不负责，所造成的投标失败或损失由投标人自行负责。</w:t>
      </w:r>
    </w:p>
    <w:p w14:paraId="4BB920F6">
      <w:pPr>
        <w:pStyle w:val="4"/>
      </w:pPr>
      <w:bookmarkStart w:id="10" w:name="_Toc172716644"/>
      <w:r>
        <w:rPr>
          <w:rFonts w:hint="eastAsia"/>
        </w:rPr>
        <w:t>六、投标截止时间、开标时间、开标地点</w:t>
      </w:r>
      <w:bookmarkEnd w:id="10"/>
    </w:p>
    <w:p w14:paraId="5A9D4D45">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1、提交投标文件的截止时间：202</w:t>
      </w:r>
      <w:r>
        <w:rPr>
          <w:rFonts w:hint="eastAsia" w:asciiTheme="minorEastAsia" w:hAnsiTheme="minorEastAsia" w:eastAsiaTheme="minorEastAsia"/>
          <w:sz w:val="24"/>
          <w:lang w:val="en-US" w:eastAsia="zh-CN"/>
        </w:rPr>
        <w:t>6</w:t>
      </w:r>
      <w:r>
        <w:rPr>
          <w:rFonts w:hint="eastAsia" w:asciiTheme="minorEastAsia" w:hAnsiTheme="minorEastAsia" w:eastAsiaTheme="minorEastAsia"/>
          <w:sz w:val="24"/>
        </w:rPr>
        <w:t>年</w:t>
      </w:r>
      <w:r>
        <w:rPr>
          <w:rFonts w:hint="eastAsia" w:asciiTheme="minorEastAsia" w:hAnsiTheme="minorEastAsia" w:eastAsiaTheme="minorEastAsia"/>
          <w:sz w:val="24"/>
          <w:lang w:val="en-US" w:eastAsia="zh-CN"/>
        </w:rPr>
        <w:t>10</w:t>
      </w:r>
      <w:r>
        <w:rPr>
          <w:rFonts w:hint="eastAsia" w:asciiTheme="minorEastAsia" w:hAnsiTheme="minorEastAsia" w:eastAsiaTheme="minorEastAsia"/>
          <w:sz w:val="24"/>
        </w:rPr>
        <w:t>月</w:t>
      </w:r>
      <w:r>
        <w:rPr>
          <w:rFonts w:hint="eastAsia" w:asciiTheme="minorEastAsia" w:hAnsiTheme="minorEastAsia" w:eastAsiaTheme="minorEastAsia"/>
          <w:sz w:val="24"/>
          <w:lang w:val="en-US" w:eastAsia="zh-CN"/>
        </w:rPr>
        <w:t>9</w:t>
      </w:r>
      <w:r>
        <w:rPr>
          <w:rFonts w:hint="eastAsia" w:asciiTheme="minorEastAsia" w:hAnsiTheme="minorEastAsia" w:eastAsiaTheme="minorEastAsia"/>
          <w:sz w:val="24"/>
        </w:rPr>
        <w:t>日09时30分（北京时间），</w:t>
      </w:r>
      <w:r>
        <w:rPr>
          <w:rFonts w:hint="eastAsia" w:ascii="宋体" w:hAnsi="宋体"/>
          <w:sz w:val="24"/>
        </w:rPr>
        <w:t>超过截止时间的投标将被拒绝。</w:t>
      </w:r>
    </w:p>
    <w:p w14:paraId="38EEBD1E">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2、开标时间：202</w:t>
      </w:r>
      <w:r>
        <w:rPr>
          <w:rFonts w:hint="eastAsia" w:asciiTheme="minorEastAsia" w:hAnsiTheme="minorEastAsia" w:eastAsiaTheme="minorEastAsia"/>
          <w:sz w:val="24"/>
          <w:lang w:val="en-US" w:eastAsia="zh-CN"/>
        </w:rPr>
        <w:t>6</w:t>
      </w:r>
      <w:r>
        <w:rPr>
          <w:rFonts w:hint="eastAsia" w:asciiTheme="minorEastAsia" w:hAnsiTheme="minorEastAsia" w:eastAsiaTheme="minorEastAsia"/>
          <w:sz w:val="24"/>
        </w:rPr>
        <w:t>年</w:t>
      </w:r>
      <w:r>
        <w:rPr>
          <w:rFonts w:hint="eastAsia" w:asciiTheme="minorEastAsia" w:hAnsiTheme="minorEastAsia" w:eastAsiaTheme="minorEastAsia"/>
          <w:sz w:val="24"/>
          <w:lang w:val="en-US" w:eastAsia="zh-CN"/>
        </w:rPr>
        <w:t>10</w:t>
      </w:r>
      <w:r>
        <w:rPr>
          <w:rFonts w:hint="eastAsia" w:asciiTheme="minorEastAsia" w:hAnsiTheme="minorEastAsia" w:eastAsiaTheme="minorEastAsia"/>
          <w:sz w:val="24"/>
        </w:rPr>
        <w:t>月</w:t>
      </w:r>
      <w:r>
        <w:rPr>
          <w:rFonts w:hint="eastAsia" w:asciiTheme="minorEastAsia" w:hAnsiTheme="minorEastAsia" w:eastAsiaTheme="minorEastAsia"/>
          <w:sz w:val="24"/>
          <w:lang w:val="en-US" w:eastAsia="zh-CN"/>
        </w:rPr>
        <w:t>9</w:t>
      </w:r>
      <w:r>
        <w:rPr>
          <w:rFonts w:hint="eastAsia" w:asciiTheme="minorEastAsia" w:hAnsiTheme="minorEastAsia" w:eastAsiaTheme="minorEastAsia"/>
          <w:sz w:val="24"/>
        </w:rPr>
        <w:t>日09时30分（北京时间）</w:t>
      </w:r>
    </w:p>
    <w:p w14:paraId="3100D3DF">
      <w:pPr>
        <w:adjustRightInd w:val="0"/>
        <w:snapToGrid w:val="0"/>
        <w:spacing w:line="500" w:lineRule="exact"/>
        <w:ind w:firstLine="480" w:firstLineChars="200"/>
        <w:rPr>
          <w:rFonts w:asciiTheme="minorEastAsia" w:hAnsiTheme="minorEastAsia" w:eastAsiaTheme="minorEastAsia"/>
          <w:sz w:val="24"/>
          <w:u w:val="single"/>
        </w:rPr>
      </w:pPr>
      <w:r>
        <w:rPr>
          <w:rFonts w:hint="eastAsia" w:asciiTheme="minorEastAsia" w:hAnsiTheme="minorEastAsia" w:eastAsiaTheme="minorEastAsia"/>
          <w:sz w:val="24"/>
        </w:rPr>
        <w:t>3、开标地点：</w:t>
      </w:r>
      <w:r>
        <w:rPr>
          <w:rFonts w:hint="eastAsia" w:ascii="宋体" w:hAnsi="宋体"/>
          <w:sz w:val="24"/>
          <w:u w:val="single"/>
        </w:rPr>
        <w:t>郴州市市民服务中心</w:t>
      </w:r>
      <w:r>
        <w:rPr>
          <w:rFonts w:hint="eastAsia" w:ascii="宋体" w:hAnsi="宋体"/>
          <w:sz w:val="24"/>
          <w:u w:val="single"/>
          <w:lang w:val="en-US" w:eastAsia="zh-CN"/>
        </w:rPr>
        <w:t>3</w:t>
      </w:r>
      <w:r>
        <w:rPr>
          <w:rFonts w:hint="eastAsia" w:ascii="宋体" w:hAnsi="宋体"/>
          <w:sz w:val="24"/>
          <w:u w:val="single"/>
        </w:rPr>
        <w:t>楼市公共资源交易中心第</w:t>
      </w:r>
      <w:r>
        <w:rPr>
          <w:rFonts w:hint="eastAsia" w:ascii="宋体" w:hAnsi="宋体"/>
          <w:sz w:val="24"/>
          <w:u w:val="single"/>
          <w:lang w:val="en-US" w:eastAsia="zh-CN"/>
        </w:rPr>
        <w:t>11</w:t>
      </w:r>
      <w:bookmarkStart w:id="315" w:name="_GoBack"/>
      <w:bookmarkEnd w:id="315"/>
      <w:r>
        <w:rPr>
          <w:rFonts w:hint="eastAsia" w:ascii="宋体" w:hAnsi="宋体"/>
          <w:sz w:val="24"/>
          <w:u w:val="single"/>
        </w:rPr>
        <w:t>开标室</w:t>
      </w:r>
    </w:p>
    <w:p w14:paraId="350466FD">
      <w:pPr>
        <w:wordWrap w:val="0"/>
        <w:topLinePunct/>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4、电子标项目实行网上投标及解密，具体操作为投标人在“郴州市公共资源交易中心”登录“政府采购交易系统”（</w:t>
      </w:r>
      <w:r>
        <w:rPr>
          <w:rFonts w:hint="eastAsia" w:asciiTheme="minorEastAsia" w:hAnsiTheme="minorEastAsia" w:eastAsiaTheme="minorEastAsia"/>
          <w:sz w:val="24"/>
          <w:lang w:eastAsia="zh-CN"/>
        </w:rPr>
        <w:t>http://www.czggzyzx.cn/TPBidder</w:t>
      </w:r>
      <w:r>
        <w:rPr>
          <w:rFonts w:hint="eastAsia" w:asciiTheme="minorEastAsia" w:hAnsiTheme="minorEastAsia" w:eastAsiaTheme="minorEastAsia"/>
          <w:sz w:val="24"/>
        </w:rPr>
        <w:t>），</w:t>
      </w:r>
      <w:r>
        <w:rPr>
          <w:rFonts w:hint="eastAsia"/>
          <w:sz w:val="24"/>
        </w:rPr>
        <w:t>上传电子投标文件，登录“不见面开标大厅”</w:t>
      </w:r>
      <w:r>
        <w:rPr>
          <w:rFonts w:hint="eastAsia" w:asciiTheme="minorEastAsia" w:hAnsiTheme="minorEastAsia" w:eastAsiaTheme="minorEastAsia"/>
          <w:sz w:val="24"/>
        </w:rPr>
        <w:t>（</w:t>
      </w:r>
      <w:r>
        <w:rPr>
          <w:rFonts w:hint="eastAsia" w:asciiTheme="minorEastAsia" w:hAnsiTheme="minorEastAsia" w:eastAsiaTheme="minorEastAsia"/>
          <w:sz w:val="24"/>
          <w:lang w:eastAsia="zh-CN"/>
        </w:rPr>
        <w:t>http://www.czggzyzx.cn/BidOpening</w:t>
      </w:r>
      <w:r>
        <w:rPr>
          <w:rFonts w:hint="eastAsia" w:asciiTheme="minorEastAsia" w:hAnsiTheme="minorEastAsia" w:eastAsiaTheme="minorEastAsia"/>
          <w:sz w:val="24"/>
        </w:rPr>
        <w:t>）在规定时间自行远程解密参加网上开标活动。建议投标人上传电子投标文件容量为200MB以内。</w:t>
      </w:r>
    </w:p>
    <w:p w14:paraId="025BEC07">
      <w:pPr>
        <w:wordWrap w:val="0"/>
        <w:topLinePunct/>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5、电子投标文件解密时限：30分钟</w:t>
      </w:r>
    </w:p>
    <w:p w14:paraId="4E13E7AF">
      <w:pPr>
        <w:adjustRightInd w:val="0"/>
        <w:snapToGrid w:val="0"/>
        <w:spacing w:line="500" w:lineRule="exact"/>
        <w:ind w:firstLine="480" w:firstLineChars="200"/>
        <w:jc w:val="left"/>
        <w:rPr>
          <w:rFonts w:asciiTheme="minorEastAsia" w:hAnsiTheme="minorEastAsia" w:eastAsiaTheme="minorEastAsia"/>
          <w:sz w:val="24"/>
        </w:rPr>
      </w:pPr>
    </w:p>
    <w:p w14:paraId="1A983BA7">
      <w:pPr>
        <w:pStyle w:val="4"/>
      </w:pPr>
      <w:bookmarkStart w:id="11" w:name="_Toc172716645"/>
      <w:r>
        <w:rPr>
          <w:rFonts w:hint="eastAsia"/>
        </w:rPr>
        <w:t>七、招标文件公告期限：</w:t>
      </w:r>
      <w:bookmarkEnd w:id="11"/>
    </w:p>
    <w:p w14:paraId="3A5508AC">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1、招标文件公告期限：</w:t>
      </w:r>
      <w:r>
        <w:rPr>
          <w:rFonts w:hint="eastAsia" w:asciiTheme="minorEastAsia" w:hAnsiTheme="minorEastAsia" w:eastAsiaTheme="minorEastAsia"/>
          <w:sz w:val="24"/>
          <w:u w:val="single"/>
        </w:rPr>
        <w:t>202</w:t>
      </w:r>
      <w:r>
        <w:rPr>
          <w:rFonts w:hint="eastAsia" w:asciiTheme="minorEastAsia" w:hAnsiTheme="minorEastAsia" w:eastAsiaTheme="minorEastAsia"/>
          <w:sz w:val="24"/>
          <w:u w:val="single"/>
          <w:lang w:val="en-US" w:eastAsia="zh-CN"/>
        </w:rPr>
        <w:t>6</w:t>
      </w:r>
      <w:r>
        <w:rPr>
          <w:rFonts w:hint="eastAsia" w:asciiTheme="minorEastAsia" w:hAnsiTheme="minorEastAsia" w:eastAsiaTheme="minorEastAsia"/>
          <w:sz w:val="24"/>
          <w:u w:val="single"/>
        </w:rPr>
        <w:t>年</w:t>
      </w:r>
      <w:r>
        <w:rPr>
          <w:rFonts w:hint="eastAsia" w:asciiTheme="minorEastAsia" w:hAnsiTheme="minorEastAsia" w:eastAsiaTheme="minorEastAsia"/>
          <w:sz w:val="24"/>
          <w:u w:val="single"/>
          <w:lang w:val="en-US" w:eastAsia="zh-CN"/>
        </w:rPr>
        <w:t>9</w:t>
      </w:r>
      <w:r>
        <w:rPr>
          <w:rFonts w:hint="eastAsia" w:asciiTheme="minorEastAsia" w:hAnsiTheme="minorEastAsia" w:eastAsiaTheme="minorEastAsia"/>
          <w:sz w:val="24"/>
          <w:u w:val="single"/>
        </w:rPr>
        <w:t>月</w:t>
      </w:r>
      <w:r>
        <w:rPr>
          <w:rFonts w:hint="eastAsia" w:asciiTheme="minorEastAsia" w:hAnsiTheme="minorEastAsia" w:eastAsiaTheme="minorEastAsia"/>
          <w:sz w:val="24"/>
          <w:u w:val="single"/>
          <w:lang w:val="en-US" w:eastAsia="zh-CN"/>
        </w:rPr>
        <w:t>10</w:t>
      </w:r>
      <w:r>
        <w:rPr>
          <w:rFonts w:hint="eastAsia" w:asciiTheme="minorEastAsia" w:hAnsiTheme="minorEastAsia" w:eastAsiaTheme="minorEastAsia"/>
          <w:sz w:val="24"/>
          <w:u w:val="single"/>
        </w:rPr>
        <w:t>日09时00分至202</w:t>
      </w:r>
      <w:r>
        <w:rPr>
          <w:rFonts w:hint="eastAsia" w:asciiTheme="minorEastAsia" w:hAnsiTheme="minorEastAsia" w:eastAsiaTheme="minorEastAsia"/>
          <w:sz w:val="24"/>
          <w:u w:val="single"/>
          <w:lang w:val="en-US" w:eastAsia="zh-CN"/>
        </w:rPr>
        <w:t>6</w:t>
      </w:r>
      <w:r>
        <w:rPr>
          <w:rFonts w:hint="eastAsia" w:asciiTheme="minorEastAsia" w:hAnsiTheme="minorEastAsia" w:eastAsiaTheme="minorEastAsia"/>
          <w:sz w:val="24"/>
          <w:u w:val="single"/>
        </w:rPr>
        <w:t>年</w:t>
      </w:r>
      <w:r>
        <w:rPr>
          <w:rFonts w:hint="eastAsia" w:asciiTheme="minorEastAsia" w:hAnsiTheme="minorEastAsia" w:eastAsiaTheme="minorEastAsia"/>
          <w:sz w:val="24"/>
          <w:u w:val="single"/>
          <w:lang w:val="en-US" w:eastAsia="zh-CN"/>
        </w:rPr>
        <w:t>9</w:t>
      </w:r>
      <w:r>
        <w:rPr>
          <w:rFonts w:hint="eastAsia" w:asciiTheme="minorEastAsia" w:hAnsiTheme="minorEastAsia" w:eastAsiaTheme="minorEastAsia"/>
          <w:sz w:val="24"/>
          <w:u w:val="single"/>
        </w:rPr>
        <w:t>月</w:t>
      </w:r>
      <w:r>
        <w:rPr>
          <w:rFonts w:hint="eastAsia" w:asciiTheme="minorEastAsia" w:hAnsiTheme="minorEastAsia" w:eastAsiaTheme="minorEastAsia"/>
          <w:sz w:val="24"/>
          <w:u w:val="single"/>
          <w:lang w:val="en-US" w:eastAsia="zh-CN"/>
        </w:rPr>
        <w:t>16</w:t>
      </w:r>
      <w:r>
        <w:rPr>
          <w:rFonts w:hint="eastAsia" w:asciiTheme="minorEastAsia" w:hAnsiTheme="minorEastAsia" w:eastAsiaTheme="minorEastAsia"/>
          <w:sz w:val="24"/>
          <w:u w:val="single"/>
        </w:rPr>
        <w:t>日17时00分</w:t>
      </w:r>
      <w:r>
        <w:rPr>
          <w:rFonts w:hint="eastAsia" w:asciiTheme="minorEastAsia" w:hAnsiTheme="minorEastAsia" w:eastAsiaTheme="minorEastAsia"/>
          <w:sz w:val="24"/>
        </w:rPr>
        <w:t>止（5个工作日）。</w:t>
      </w:r>
    </w:p>
    <w:p w14:paraId="0FA6BF31">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2、本招标公告在中国湖南政府采购网（www.ccgp-hunan.gov.cn）、郴州市公共资源交易中心(</w:t>
      </w:r>
      <w:r>
        <w:rPr>
          <w:rFonts w:asciiTheme="minorEastAsia" w:hAnsiTheme="minorEastAsia" w:eastAsiaTheme="minorEastAsia"/>
          <w:sz w:val="24"/>
        </w:rPr>
        <w:t>http://czggzy.c</w:t>
      </w:r>
      <w:r>
        <w:rPr>
          <w:rFonts w:asciiTheme="minorEastAsia" w:hAnsiTheme="minorEastAsia" w:eastAsiaTheme="minorEastAsia"/>
          <w:kern w:val="0"/>
          <w:sz w:val="24"/>
        </w:rPr>
        <w:t>zs.gov.cn/</w:t>
      </w:r>
      <w:r>
        <w:rPr>
          <w:rFonts w:hint="eastAsia" w:asciiTheme="minorEastAsia" w:hAnsiTheme="minorEastAsia" w:eastAsiaTheme="minorEastAsia"/>
          <w:kern w:val="0"/>
          <w:sz w:val="24"/>
        </w:rPr>
        <w:t>)</w:t>
      </w:r>
      <w:r>
        <w:rPr>
          <w:rFonts w:hint="eastAsia" w:asciiTheme="minorEastAsia" w:hAnsiTheme="minorEastAsia" w:eastAsiaTheme="minorEastAsia"/>
          <w:sz w:val="24"/>
        </w:rPr>
        <w:t>发布。在其他媒体发布的招标公告，公告内容以本招标公告指定媒体发布的公告为准；公告期限自本招标公告指定媒体最先发布公告之日起算。</w:t>
      </w:r>
    </w:p>
    <w:p w14:paraId="3ADE005E">
      <w:pPr>
        <w:pStyle w:val="4"/>
        <w:rPr>
          <w:rFonts w:asciiTheme="minorEastAsia" w:hAnsiTheme="minorEastAsia" w:eastAsiaTheme="minorEastAsia"/>
        </w:rPr>
      </w:pPr>
      <w:bookmarkStart w:id="12" w:name="_Toc172716646"/>
      <w:r>
        <w:rPr>
          <w:rFonts w:hint="eastAsia" w:asciiTheme="minorEastAsia" w:hAnsiTheme="minorEastAsia" w:eastAsiaTheme="minorEastAsia"/>
        </w:rPr>
        <w:t>八、疑问及质疑：</w:t>
      </w:r>
      <w:bookmarkEnd w:id="12"/>
    </w:p>
    <w:p w14:paraId="70804D00">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1、投标人对政府采购活动事项如有疑问的，可以向采购人、采购代理机构提出询问。采购人、采购代理机构将在3个工作日内作出答复。</w:t>
      </w:r>
    </w:p>
    <w:p w14:paraId="678304A6">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2、潜在投标人认为招标文件或招标公告使自己的合法权益受到损害的，可以在获取招标文件之日或招标公告期限届满之日</w:t>
      </w:r>
      <w:r>
        <w:rPr>
          <w:rFonts w:hint="eastAsia" w:asciiTheme="minorEastAsia" w:hAnsiTheme="minorEastAsia" w:eastAsiaTheme="minorEastAsia"/>
          <w:b/>
          <w:sz w:val="24"/>
        </w:rPr>
        <w:t>（公告期限届满后获取采购文件的，以公告期限届满之日为准）</w:t>
      </w:r>
      <w:r>
        <w:rPr>
          <w:rFonts w:hint="eastAsia" w:asciiTheme="minorEastAsia" w:hAnsiTheme="minorEastAsia" w:eastAsiaTheme="minorEastAsia"/>
          <w:sz w:val="24"/>
        </w:rPr>
        <w:t>起7个工作日内，按《湖南省财政厅关于印发＜政府采购质疑答复和投诉处理操作规程＞的通知》(</w:t>
      </w:r>
      <w:r>
        <w:rPr>
          <w:rFonts w:hint="eastAsia" w:asciiTheme="minorEastAsia" w:hAnsiTheme="minorEastAsia" w:eastAsiaTheme="minorEastAsia"/>
          <w:sz w:val="24"/>
          <w:lang w:eastAsia="zh-CN"/>
        </w:rPr>
        <w:t>湘财购〔2024〕67号</w:t>
      </w:r>
      <w:r>
        <w:rPr>
          <w:rFonts w:hint="eastAsia" w:asciiTheme="minorEastAsia" w:hAnsiTheme="minorEastAsia" w:eastAsiaTheme="minorEastAsia"/>
          <w:sz w:val="24"/>
        </w:rPr>
        <w:t>)规定，以书面形式向采购人、采购代理机构提出质疑。</w:t>
      </w:r>
    </w:p>
    <w:p w14:paraId="4EF37FDD">
      <w:pPr>
        <w:pStyle w:val="4"/>
      </w:pPr>
      <w:bookmarkStart w:id="13" w:name="_Toc172716647"/>
      <w:r>
        <w:rPr>
          <w:rFonts w:hint="eastAsia"/>
        </w:rPr>
        <w:t>九、对本次招标提出询问，请按以下方式联系</w:t>
      </w:r>
      <w:bookmarkEnd w:id="13"/>
    </w:p>
    <w:p w14:paraId="2D7E658D">
      <w:pPr>
        <w:adjustRightInd w:val="0"/>
        <w:snapToGrid w:val="0"/>
        <w:spacing w:line="500" w:lineRule="exact"/>
        <w:ind w:firstLine="470" w:firstLineChars="196"/>
        <w:rPr>
          <w:rFonts w:asciiTheme="minorEastAsia" w:hAnsiTheme="minorEastAsia" w:eastAsiaTheme="minorEastAsia"/>
          <w:bCs/>
          <w:sz w:val="24"/>
        </w:rPr>
      </w:pPr>
      <w:r>
        <w:rPr>
          <w:rFonts w:hint="eastAsia" w:asciiTheme="minorEastAsia" w:hAnsiTheme="minorEastAsia" w:eastAsiaTheme="minorEastAsia"/>
          <w:bCs/>
          <w:sz w:val="24"/>
        </w:rPr>
        <w:t>1</w:t>
      </w:r>
      <w:r>
        <w:rPr>
          <w:rFonts w:hint="eastAsia" w:asciiTheme="minorEastAsia" w:hAnsiTheme="minorEastAsia" w:eastAsiaTheme="minorEastAsia"/>
          <w:sz w:val="24"/>
        </w:rPr>
        <w:t>、</w:t>
      </w:r>
      <w:r>
        <w:rPr>
          <w:rFonts w:hint="eastAsia" w:asciiTheme="minorEastAsia" w:hAnsiTheme="minorEastAsia" w:eastAsiaTheme="minorEastAsia"/>
          <w:bCs/>
          <w:sz w:val="24"/>
        </w:rPr>
        <w:t>采购人信息</w:t>
      </w:r>
    </w:p>
    <w:p w14:paraId="5EE433F2">
      <w:pPr>
        <w:adjustRightInd w:val="0"/>
        <w:snapToGrid w:val="0"/>
        <w:spacing w:line="500" w:lineRule="exact"/>
        <w:ind w:firstLine="470" w:firstLineChars="196"/>
        <w:rPr>
          <w:rFonts w:hint="eastAsia" w:asciiTheme="minorEastAsia" w:hAnsiTheme="minorEastAsia" w:eastAsiaTheme="minorEastAsia"/>
          <w:bCs/>
          <w:sz w:val="24"/>
          <w:lang w:eastAsia="zh-CN"/>
        </w:rPr>
      </w:pPr>
      <w:r>
        <w:rPr>
          <w:rFonts w:hint="eastAsia" w:asciiTheme="minorEastAsia" w:hAnsiTheme="minorEastAsia" w:eastAsiaTheme="minorEastAsia"/>
          <w:sz w:val="24"/>
        </w:rPr>
        <w:t>（1）</w:t>
      </w:r>
      <w:r>
        <w:rPr>
          <w:rFonts w:hint="eastAsia" w:asciiTheme="minorEastAsia" w:hAnsiTheme="minorEastAsia" w:eastAsiaTheme="minorEastAsia"/>
          <w:bCs/>
          <w:sz w:val="24"/>
        </w:rPr>
        <w:t>名  称：</w:t>
      </w:r>
      <w:r>
        <w:rPr>
          <w:rFonts w:hint="eastAsia" w:asciiTheme="minorEastAsia" w:hAnsiTheme="minorEastAsia" w:eastAsiaTheme="minorEastAsia"/>
          <w:bCs/>
          <w:sz w:val="24"/>
          <w:lang w:eastAsia="zh-CN"/>
        </w:rPr>
        <w:t>郴州市数据局</w:t>
      </w:r>
    </w:p>
    <w:p w14:paraId="06A22825">
      <w:pPr>
        <w:adjustRightInd w:val="0"/>
        <w:snapToGrid w:val="0"/>
        <w:spacing w:line="500" w:lineRule="exact"/>
        <w:ind w:firstLine="470" w:firstLineChars="196"/>
        <w:rPr>
          <w:rFonts w:asciiTheme="minorEastAsia" w:hAnsiTheme="minorEastAsia" w:eastAsiaTheme="minorEastAsia"/>
          <w:bCs/>
          <w:sz w:val="24"/>
        </w:rPr>
      </w:pPr>
      <w:r>
        <w:rPr>
          <w:rFonts w:hint="eastAsia" w:asciiTheme="minorEastAsia" w:hAnsiTheme="minorEastAsia" w:eastAsiaTheme="minorEastAsia"/>
          <w:bCs/>
          <w:sz w:val="24"/>
        </w:rPr>
        <w:t>（2）地  址：郴州市苏仙区青年大道下白水村城投大厦主楼</w:t>
      </w:r>
      <w:r>
        <w:rPr>
          <w:rFonts w:hint="eastAsia" w:asciiTheme="minorEastAsia" w:hAnsiTheme="minorEastAsia" w:eastAsiaTheme="minorEastAsia"/>
          <w:bCs/>
          <w:sz w:val="24"/>
          <w:lang w:val="en-US" w:eastAsia="zh-CN"/>
        </w:rPr>
        <w:t>223</w:t>
      </w:r>
      <w:r>
        <w:rPr>
          <w:rFonts w:hint="eastAsia" w:asciiTheme="minorEastAsia" w:hAnsiTheme="minorEastAsia" w:eastAsiaTheme="minorEastAsia"/>
          <w:bCs/>
          <w:sz w:val="24"/>
        </w:rPr>
        <w:t>办公室</w:t>
      </w:r>
    </w:p>
    <w:p w14:paraId="2BACC067">
      <w:pPr>
        <w:adjustRightInd w:val="0"/>
        <w:snapToGrid w:val="0"/>
        <w:spacing w:line="500" w:lineRule="exact"/>
        <w:ind w:firstLine="480" w:firstLineChars="2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（3）联系人：</w:t>
      </w:r>
      <w:r>
        <w:rPr>
          <w:rFonts w:hint="eastAsia" w:asciiTheme="minorEastAsia" w:hAnsiTheme="minorEastAsia" w:eastAsiaTheme="minorEastAsia"/>
          <w:bCs/>
          <w:sz w:val="24"/>
          <w:lang w:eastAsia="zh-CN"/>
        </w:rPr>
        <w:t>郭倩</w:t>
      </w:r>
    </w:p>
    <w:p w14:paraId="3B6E61DB">
      <w:pPr>
        <w:adjustRightInd w:val="0"/>
        <w:snapToGrid w:val="0"/>
        <w:spacing w:line="500" w:lineRule="exact"/>
        <w:ind w:firstLine="480" w:firstLineChars="2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（4）电  话：</w:t>
      </w:r>
      <w:r>
        <w:rPr>
          <w:rFonts w:hint="eastAsia" w:asciiTheme="minorEastAsia" w:hAnsiTheme="minorEastAsia" w:eastAsiaTheme="minorEastAsia"/>
          <w:bCs/>
          <w:sz w:val="24"/>
          <w:lang w:eastAsia="zh-CN"/>
        </w:rPr>
        <w:t>0735-2877238</w:t>
      </w:r>
    </w:p>
    <w:p w14:paraId="0C64F645">
      <w:pPr>
        <w:adjustRightInd w:val="0"/>
        <w:snapToGrid w:val="0"/>
        <w:spacing w:line="500" w:lineRule="exact"/>
        <w:ind w:firstLine="470" w:firstLineChars="196"/>
        <w:rPr>
          <w:rFonts w:asciiTheme="minorEastAsia" w:hAnsiTheme="minorEastAsia" w:eastAsiaTheme="minorEastAsia"/>
          <w:bCs/>
          <w:sz w:val="24"/>
        </w:rPr>
      </w:pPr>
      <w:r>
        <w:rPr>
          <w:rFonts w:hint="eastAsia" w:asciiTheme="minorEastAsia" w:hAnsiTheme="minorEastAsia" w:eastAsiaTheme="minorEastAsia"/>
          <w:bCs/>
          <w:sz w:val="24"/>
        </w:rPr>
        <w:t>2、采购代理机构信息</w:t>
      </w:r>
    </w:p>
    <w:p w14:paraId="56F49151">
      <w:pPr>
        <w:adjustRightInd w:val="0"/>
        <w:snapToGrid w:val="0"/>
        <w:spacing w:line="500" w:lineRule="exact"/>
        <w:ind w:firstLine="470" w:firstLineChars="196"/>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（1）名  称：</w:t>
      </w:r>
      <w:r>
        <w:rPr>
          <w:rFonts w:hint="eastAsia" w:asciiTheme="minorEastAsia" w:hAnsiTheme="minorEastAsia" w:eastAsiaTheme="minorEastAsia"/>
          <w:bCs/>
          <w:sz w:val="24"/>
          <w:lang w:eastAsia="zh-CN"/>
        </w:rPr>
        <w:t>湖南凌云咨询集团有限公司</w:t>
      </w:r>
    </w:p>
    <w:p w14:paraId="78B47127">
      <w:pPr>
        <w:adjustRightInd w:val="0"/>
        <w:snapToGrid w:val="0"/>
        <w:spacing w:line="500" w:lineRule="exact"/>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（2）地  址：郴州市青年大道11号湘南风情康居园19栋</w:t>
      </w:r>
    </w:p>
    <w:p w14:paraId="2D2FFF01">
      <w:pPr>
        <w:adjustRightInd w:val="0"/>
        <w:snapToGrid w:val="0"/>
        <w:spacing w:line="500" w:lineRule="exact"/>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（3）联系人：王海云</w:t>
      </w:r>
    </w:p>
    <w:p w14:paraId="1AA5A654">
      <w:pPr>
        <w:adjustRightInd w:val="0"/>
        <w:snapToGrid w:val="0"/>
        <w:spacing w:line="500" w:lineRule="exact"/>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 xml:space="preserve">（4）电  话：0735-8880904 </w:t>
      </w:r>
    </w:p>
    <w:p w14:paraId="0D6510C4">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3、电子交易平台服务机构信息</w:t>
      </w:r>
    </w:p>
    <w:p w14:paraId="474BDE78">
      <w:pPr>
        <w:adjustRightInd w:val="0"/>
        <w:snapToGrid w:val="0"/>
        <w:spacing w:line="500" w:lineRule="exact"/>
        <w:ind w:firstLine="470" w:firstLineChars="196"/>
        <w:rPr>
          <w:rFonts w:asciiTheme="minorEastAsia" w:hAnsiTheme="minorEastAsia" w:eastAsiaTheme="minorEastAsia"/>
          <w:sz w:val="24"/>
        </w:rPr>
      </w:pPr>
      <w:r>
        <w:rPr>
          <w:rFonts w:hint="eastAsia" w:asciiTheme="minorEastAsia" w:hAnsiTheme="minorEastAsia" w:eastAsiaTheme="minorEastAsia"/>
          <w:sz w:val="24"/>
        </w:rPr>
        <w:t>（1）</w:t>
      </w:r>
      <w:r>
        <w:rPr>
          <w:rFonts w:hint="eastAsia" w:asciiTheme="minorEastAsia" w:hAnsiTheme="minorEastAsia" w:eastAsiaTheme="minorEastAsia"/>
          <w:bCs/>
          <w:sz w:val="24"/>
        </w:rPr>
        <w:t>名  称：郴州市公共资源交易中心</w:t>
      </w:r>
    </w:p>
    <w:p w14:paraId="4BD0452B">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（2）地  址：</w:t>
      </w:r>
      <w:r>
        <w:rPr>
          <w:rFonts w:hint="eastAsia" w:ascii="宋体" w:hAnsi="宋体"/>
          <w:sz w:val="24"/>
        </w:rPr>
        <w:t>郴州市市民服务中心4楼市公共资源交易中心</w:t>
      </w:r>
    </w:p>
    <w:p w14:paraId="798A8DAC">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（3）联系人：政府采购科</w:t>
      </w:r>
    </w:p>
    <w:p w14:paraId="7586E3F5">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（4）电  话：0735-2299020</w:t>
      </w:r>
    </w:p>
    <w:p w14:paraId="1FD0CACB">
      <w:pPr>
        <w:pStyle w:val="4"/>
      </w:pPr>
      <w:bookmarkStart w:id="14" w:name="_Toc172716648"/>
      <w:r>
        <w:rPr>
          <w:rFonts w:hint="eastAsia"/>
        </w:rPr>
        <w:t>十、其它补充事宜</w:t>
      </w:r>
      <w:bookmarkEnd w:id="14"/>
    </w:p>
    <w:p w14:paraId="452AD8C9">
      <w:pPr>
        <w:adjustRightInd w:val="0"/>
        <w:snapToGrid w:val="0"/>
        <w:spacing w:line="500" w:lineRule="exact"/>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1、本公告选项：</w:t>
      </w:r>
      <w:r>
        <w:rPr>
          <w:rFonts w:hint="eastAsia"/>
        </w:rPr>
        <w:sym w:font="Wingdings" w:char="00FE"/>
      </w:r>
      <w:r>
        <w:rPr>
          <w:rFonts w:hint="eastAsia" w:asciiTheme="minorEastAsia" w:hAnsiTheme="minorEastAsia" w:eastAsiaTheme="minorEastAsia"/>
          <w:sz w:val="24"/>
        </w:rPr>
        <w:t xml:space="preserve">表示选择  </w:t>
      </w:r>
      <w:r>
        <w:rPr>
          <w:rFonts w:hint="eastAsia" w:asciiTheme="minorEastAsia" w:hAnsiTheme="minorEastAsia" w:eastAsiaTheme="minorEastAsia"/>
          <w:sz w:val="24"/>
        </w:rPr>
        <w:sym w:font="Wingdings 2" w:char="00A3"/>
      </w:r>
      <w:r>
        <w:rPr>
          <w:rFonts w:hint="eastAsia" w:asciiTheme="minorEastAsia" w:hAnsiTheme="minorEastAsia" w:eastAsiaTheme="minorEastAsia"/>
          <w:sz w:val="24"/>
        </w:rPr>
        <w:t>表示不选择</w:t>
      </w:r>
    </w:p>
    <w:p w14:paraId="5CB64096">
      <w:pPr>
        <w:adjustRightInd w:val="0"/>
        <w:snapToGrid w:val="0"/>
        <w:spacing w:line="500" w:lineRule="exact"/>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2、投标人参与政府采购活动，无需向采购人、代理机构、交易平台缴纳任何费用。</w:t>
      </w:r>
    </w:p>
    <w:p w14:paraId="2E7C9F3B">
      <w:pPr>
        <w:adjustRightInd w:val="0"/>
        <w:snapToGrid w:val="0"/>
        <w:spacing w:line="500" w:lineRule="exact"/>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3、招标代理服务费和专家评审费由</w:t>
      </w:r>
      <w:r>
        <w:rPr>
          <w:rFonts w:hint="eastAsia" w:asciiTheme="minorEastAsia" w:hAnsiTheme="minorEastAsia" w:eastAsiaTheme="minorEastAsia"/>
          <w:sz w:val="24"/>
          <w:u w:val="single"/>
        </w:rPr>
        <w:t>采购人</w:t>
      </w:r>
      <w:r>
        <w:rPr>
          <w:rFonts w:hint="eastAsia" w:asciiTheme="minorEastAsia" w:hAnsiTheme="minorEastAsia" w:eastAsiaTheme="minorEastAsia"/>
          <w:sz w:val="24"/>
        </w:rPr>
        <w:t>支付。</w:t>
      </w:r>
    </w:p>
    <w:p w14:paraId="5482307A">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4、请投标人在郴州市公共资源交易中心“下载中心”中及时下载安装最新版本“投标文件制作软件（湖南公共资源版）”、“湖南CA驱动”。参与投标的投标人需使用电子标书编制软件制作投标文件。操作手册下载地址：</w:t>
      </w:r>
      <w:r>
        <w:rPr>
          <w:rFonts w:hint="eastAsia" w:asciiTheme="minorEastAsia" w:hAnsiTheme="minorEastAsia" w:eastAsiaTheme="minorEastAsia"/>
          <w:sz w:val="24"/>
          <w:u w:val="single"/>
          <w:lang w:eastAsia="zh-CN"/>
        </w:rPr>
        <w:t>http://www.czggzyzx.cn/TPBidder</w:t>
      </w:r>
      <w:r>
        <w:rPr>
          <w:rFonts w:hint="eastAsia" w:asciiTheme="minorEastAsia" w:hAnsiTheme="minorEastAsia" w:eastAsiaTheme="minorEastAsia"/>
          <w:sz w:val="24"/>
          <w:u w:val="single"/>
        </w:rPr>
        <w:t>/pages/customframe4bid/DownLoad/郴州市公共资源交易中心交易系统操作手册.zip</w:t>
      </w:r>
    </w:p>
    <w:p w14:paraId="0E66254E">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5、 因电子招投标需要，投标人应及时办理CA数字证书（含电子签章）。移动CA数字证书（含电子签章）办理咨询电话：4009980000、0731-82817876，介质CA数字证书（含电子签章）办理地址：郴州市公共资源交易中心四楼大厅，咨询电话：4006682666、18175580110。</w:t>
      </w:r>
    </w:p>
    <w:p w14:paraId="72F75894">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6、由对网上招投标操作不熟悉或自身电脑、个人网络等原因导致不能在投标截止时间之前完成投标文件上传的，相应责任由投标人自行承担。建议各投标人在工作时间段内上传投标文件，选择IE11浏览器进行文件解密，在操作系统过程中有疑问或困难请及时进行咨询。</w:t>
      </w:r>
    </w:p>
    <w:p w14:paraId="7A3AE5DC">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7、如果开标时出现网络故障、技术故障等情形而影响招投标活动，招标人将</w:t>
      </w:r>
      <w:r>
        <w:rPr>
          <w:rFonts w:hint="eastAsia" w:asciiTheme="minorEastAsia" w:hAnsiTheme="minorEastAsia" w:eastAsiaTheme="minorEastAsia"/>
          <w:b/>
          <w:sz w:val="24"/>
        </w:rPr>
        <w:t>采取项目延期、延长投标文件解密时间</w:t>
      </w:r>
      <w:r>
        <w:rPr>
          <w:rFonts w:hint="eastAsia" w:asciiTheme="minorEastAsia" w:hAnsiTheme="minorEastAsia" w:eastAsiaTheme="minorEastAsia"/>
          <w:sz w:val="24"/>
        </w:rPr>
        <w:t>等相应措施，以保障招投标活动的公开、公平和公正，投标人不得对此持有异议。</w:t>
      </w:r>
    </w:p>
    <w:p w14:paraId="364F4B29">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8、交易平台技术支持联系方式</w:t>
      </w:r>
    </w:p>
    <w:p w14:paraId="58CE465D">
      <w:pPr>
        <w:adjustRightInd w:val="0"/>
        <w:snapToGrid w:val="0"/>
        <w:spacing w:line="500" w:lineRule="exact"/>
        <w:ind w:firstLine="480" w:firstLineChars="200"/>
        <w:rPr>
          <w:rFonts w:ascii="黑体" w:hAnsi="华文中宋" w:eastAsia="黑体"/>
          <w:b/>
          <w:sz w:val="32"/>
          <w:szCs w:val="32"/>
        </w:rPr>
      </w:pPr>
      <w:r>
        <w:rPr>
          <w:rFonts w:hint="eastAsia" w:asciiTheme="minorEastAsia" w:hAnsiTheme="minorEastAsia" w:eastAsiaTheme="minorEastAsia"/>
          <w:sz w:val="24"/>
        </w:rPr>
        <w:t>联系电话：4009980000</w:t>
      </w:r>
      <w:r>
        <w:rPr>
          <w:rFonts w:ascii="黑体" w:hAnsi="华文中宋" w:eastAsia="黑体"/>
          <w:b/>
          <w:sz w:val="32"/>
          <w:szCs w:val="32"/>
        </w:rPr>
        <w:br w:type="page"/>
      </w:r>
      <w:bookmarkEnd w:id="3"/>
      <w:bookmarkEnd w:id="4"/>
    </w:p>
    <w:p w14:paraId="5E87EC4C">
      <w:pPr>
        <w:pStyle w:val="23"/>
        <w:adjustRightInd w:val="0"/>
        <w:snapToGrid w:val="0"/>
        <w:spacing w:line="360" w:lineRule="auto"/>
        <w:jc w:val="center"/>
        <w:outlineLvl w:val="0"/>
        <w:rPr>
          <w:rFonts w:ascii="黑体" w:hAnsi="华文中宋" w:eastAsia="黑体"/>
          <w:b/>
          <w:spacing w:val="100"/>
          <w:sz w:val="32"/>
          <w:szCs w:val="32"/>
        </w:rPr>
      </w:pPr>
      <w:bookmarkStart w:id="15" w:name="_Toc29913894"/>
      <w:bookmarkStart w:id="16" w:name="_Toc11119"/>
      <w:bookmarkStart w:id="17" w:name="_Toc172716649"/>
      <w:r>
        <w:rPr>
          <w:rFonts w:hint="eastAsia" w:ascii="黑体" w:hAnsi="华文中宋" w:eastAsia="黑体"/>
          <w:b/>
          <w:sz w:val="32"/>
          <w:szCs w:val="32"/>
        </w:rPr>
        <w:t>第二章 投标须知</w:t>
      </w:r>
      <w:bookmarkEnd w:id="15"/>
      <w:bookmarkEnd w:id="16"/>
      <w:bookmarkEnd w:id="17"/>
    </w:p>
    <w:p w14:paraId="6F89439F">
      <w:pPr>
        <w:pStyle w:val="4"/>
        <w:jc w:val="center"/>
      </w:pPr>
      <w:bookmarkStart w:id="18" w:name="_Toc29913895"/>
      <w:bookmarkStart w:id="19" w:name="_Toc29942"/>
      <w:bookmarkStart w:id="20" w:name="_Toc172716650"/>
      <w:r>
        <w:rPr>
          <w:rFonts w:hint="eastAsia"/>
        </w:rPr>
        <w:t>第一节 投标须知前附表</w:t>
      </w:r>
      <w:bookmarkEnd w:id="18"/>
      <w:bookmarkEnd w:id="19"/>
      <w:bookmarkEnd w:id="20"/>
    </w:p>
    <w:tbl>
      <w:tblPr>
        <w:tblStyle w:val="45"/>
        <w:tblW w:w="8931"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2693"/>
        <w:gridCol w:w="4678"/>
      </w:tblGrid>
      <w:tr w14:paraId="742413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560" w:type="dxa"/>
            <w:vAlign w:val="center"/>
          </w:tcPr>
          <w:p w14:paraId="2DDC8048">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条款号</w:t>
            </w:r>
          </w:p>
        </w:tc>
        <w:tc>
          <w:tcPr>
            <w:tcW w:w="2693" w:type="dxa"/>
            <w:vAlign w:val="center"/>
          </w:tcPr>
          <w:p w14:paraId="47F0190B">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条款名称</w:t>
            </w:r>
          </w:p>
        </w:tc>
        <w:tc>
          <w:tcPr>
            <w:tcW w:w="4678" w:type="dxa"/>
            <w:vAlign w:val="center"/>
          </w:tcPr>
          <w:p w14:paraId="42DC7060">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编列内容规定</w:t>
            </w:r>
          </w:p>
        </w:tc>
      </w:tr>
      <w:tr w14:paraId="5E74B8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3"/>
            <w:vAlign w:val="center"/>
          </w:tcPr>
          <w:p w14:paraId="0903222A">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b/>
                <w:szCs w:val="21"/>
              </w:rPr>
              <w:t>一、说明</w:t>
            </w:r>
          </w:p>
        </w:tc>
      </w:tr>
      <w:tr w14:paraId="466137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C59F7E1">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第1.1款</w:t>
            </w:r>
          </w:p>
        </w:tc>
        <w:tc>
          <w:tcPr>
            <w:tcW w:w="2693" w:type="dxa"/>
            <w:vAlign w:val="center"/>
          </w:tcPr>
          <w:p w14:paraId="50F547ED">
            <w:pPr>
              <w:adjustRightInd w:val="0"/>
              <w:snapToGrid w:val="0"/>
              <w:spacing w:line="360" w:lineRule="auto"/>
              <w:rPr>
                <w:rFonts w:hAnsi="宋体"/>
                <w:szCs w:val="21"/>
              </w:rPr>
            </w:pPr>
            <w:r>
              <w:rPr>
                <w:rFonts w:hint="eastAsia" w:hAnsi="宋体"/>
                <w:szCs w:val="21"/>
              </w:rPr>
              <w:t>采购项目</w:t>
            </w:r>
          </w:p>
        </w:tc>
        <w:tc>
          <w:tcPr>
            <w:tcW w:w="4678" w:type="dxa"/>
            <w:vAlign w:val="center"/>
          </w:tcPr>
          <w:p w14:paraId="6C9F1ECE">
            <w:pPr>
              <w:adjustRightInd w:val="0"/>
              <w:snapToGrid w:val="0"/>
              <w:spacing w:line="420" w:lineRule="exact"/>
              <w:rPr>
                <w:rFonts w:hint="eastAsia" w:hAnsi="宋体" w:eastAsia="宋体"/>
                <w:szCs w:val="21"/>
                <w:u w:val="single"/>
                <w:lang w:eastAsia="zh-CN"/>
              </w:rPr>
            </w:pPr>
            <w:r>
              <w:rPr>
                <w:rFonts w:hint="eastAsia"/>
                <w:lang w:eastAsia="zh-CN"/>
              </w:rPr>
              <w:t>郴州市2026年度视频专网组网租赁项目</w:t>
            </w:r>
          </w:p>
        </w:tc>
      </w:tr>
      <w:tr w14:paraId="77724B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3BA3E20">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第1.2款</w:t>
            </w:r>
          </w:p>
        </w:tc>
        <w:tc>
          <w:tcPr>
            <w:tcW w:w="2693" w:type="dxa"/>
            <w:vAlign w:val="center"/>
          </w:tcPr>
          <w:p w14:paraId="28519741">
            <w:pPr>
              <w:adjustRightInd w:val="0"/>
              <w:snapToGrid w:val="0"/>
              <w:spacing w:line="360" w:lineRule="auto"/>
              <w:rPr>
                <w:rFonts w:hAnsi="宋体"/>
                <w:szCs w:val="21"/>
              </w:rPr>
            </w:pPr>
            <w:r>
              <w:rPr>
                <w:rFonts w:hint="eastAsia" w:hAnsi="宋体"/>
                <w:szCs w:val="21"/>
              </w:rPr>
              <w:t>专门面向中小企业采购</w:t>
            </w:r>
          </w:p>
        </w:tc>
        <w:tc>
          <w:tcPr>
            <w:tcW w:w="4678" w:type="dxa"/>
            <w:vAlign w:val="center"/>
          </w:tcPr>
          <w:p w14:paraId="66F8BAA3">
            <w:pPr>
              <w:adjustRightInd w:val="0"/>
              <w:snapToGrid w:val="0"/>
              <w:spacing w:line="420" w:lineRule="exact"/>
              <w:rPr>
                <w:rFonts w:hAnsi="宋体"/>
                <w:szCs w:val="21"/>
              </w:rPr>
            </w:pPr>
            <w:r>
              <w:rPr>
                <w:rFonts w:hint="eastAsia" w:ascii="宋体" w:hAnsi="宋体"/>
                <w:szCs w:val="21"/>
              </w:rPr>
              <w:t>□</w:t>
            </w:r>
            <w:r>
              <w:rPr>
                <w:rFonts w:hint="eastAsia" w:hAnsi="宋体"/>
                <w:szCs w:val="21"/>
              </w:rPr>
              <w:t>是</w:t>
            </w:r>
          </w:p>
          <w:p w14:paraId="2B8AD3B7">
            <w:pPr>
              <w:adjustRightInd w:val="0"/>
              <w:snapToGrid w:val="0"/>
              <w:spacing w:line="420" w:lineRule="exact"/>
              <w:rPr>
                <w:rFonts w:hAnsi="宋体"/>
                <w:szCs w:val="21"/>
              </w:rPr>
            </w:pPr>
            <w:r>
              <w:rPr>
                <w:rFonts w:hint="eastAsia"/>
              </w:rPr>
              <w:sym w:font="Wingdings 2" w:char="0052"/>
            </w:r>
            <w:r>
              <w:rPr>
                <w:rFonts w:hint="eastAsia" w:ascii="宋体" w:hAnsi="宋体"/>
                <w:szCs w:val="21"/>
              </w:rPr>
              <w:t>否</w:t>
            </w:r>
          </w:p>
        </w:tc>
      </w:tr>
      <w:tr w14:paraId="3DE7D0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BEFD449">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第2.1</w:t>
            </w:r>
            <w:r>
              <w:rPr>
                <w:rFonts w:hint="eastAsia" w:cs="宋体" w:asciiTheme="minorEastAsia" w:hAnsiTheme="minorEastAsia" w:eastAsiaTheme="minorEastAsia"/>
                <w:kern w:val="0"/>
                <w:szCs w:val="21"/>
                <w:lang w:val="zh-CN"/>
              </w:rPr>
              <w:t>款</w:t>
            </w:r>
          </w:p>
        </w:tc>
        <w:tc>
          <w:tcPr>
            <w:tcW w:w="2693" w:type="dxa"/>
          </w:tcPr>
          <w:p w14:paraId="27CC2E43">
            <w:pPr>
              <w:adjustRightInd w:val="0"/>
              <w:snapToGrid w:val="0"/>
              <w:spacing w:line="360" w:lineRule="auto"/>
              <w:rPr>
                <w:rFonts w:asciiTheme="minorEastAsia" w:hAnsiTheme="minorEastAsia" w:eastAsiaTheme="minorEastAsia"/>
                <w:szCs w:val="21"/>
              </w:rPr>
            </w:pPr>
            <w:r>
              <w:rPr>
                <w:rFonts w:hint="eastAsia" w:hAnsi="宋体"/>
                <w:szCs w:val="21"/>
              </w:rPr>
              <w:t>采购项目联系人姓名和电话</w:t>
            </w:r>
          </w:p>
        </w:tc>
        <w:tc>
          <w:tcPr>
            <w:tcW w:w="4678" w:type="dxa"/>
            <w:vAlign w:val="center"/>
          </w:tcPr>
          <w:p w14:paraId="475C7E22">
            <w:pPr>
              <w:adjustRightInd w:val="0"/>
              <w:snapToGrid w:val="0"/>
              <w:spacing w:line="420" w:lineRule="exact"/>
              <w:rPr>
                <w:rFonts w:hAnsi="宋体"/>
                <w:szCs w:val="21"/>
              </w:rPr>
            </w:pPr>
            <w:r>
              <w:rPr>
                <w:rFonts w:hint="eastAsia" w:hAnsi="宋体"/>
                <w:szCs w:val="21"/>
              </w:rPr>
              <w:t>详见第一章</w:t>
            </w:r>
            <w:r>
              <w:rPr>
                <w:rFonts w:hint="eastAsia" w:ascii="宋体" w:hAnsi="宋体"/>
                <w:szCs w:val="21"/>
              </w:rPr>
              <w:t>【</w:t>
            </w:r>
            <w:r>
              <w:rPr>
                <w:rFonts w:hint="eastAsia" w:hAnsi="宋体"/>
                <w:szCs w:val="21"/>
              </w:rPr>
              <w:t>投标邀请</w:t>
            </w:r>
            <w:r>
              <w:rPr>
                <w:rFonts w:hint="eastAsia" w:ascii="宋体" w:hAnsi="宋体"/>
                <w:szCs w:val="21"/>
              </w:rPr>
              <w:t>】</w:t>
            </w:r>
          </w:p>
        </w:tc>
      </w:tr>
      <w:tr w14:paraId="3F0E57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65219046">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第2.2</w:t>
            </w:r>
            <w:r>
              <w:rPr>
                <w:rFonts w:hint="eastAsia" w:cs="宋体" w:asciiTheme="minorEastAsia" w:hAnsiTheme="minorEastAsia" w:eastAsiaTheme="minorEastAsia"/>
                <w:kern w:val="0"/>
                <w:szCs w:val="21"/>
                <w:lang w:val="zh-CN"/>
              </w:rPr>
              <w:t>款</w:t>
            </w:r>
          </w:p>
        </w:tc>
        <w:tc>
          <w:tcPr>
            <w:tcW w:w="2693" w:type="dxa"/>
            <w:vAlign w:val="center"/>
          </w:tcPr>
          <w:p w14:paraId="79A82343">
            <w:pPr>
              <w:adjustRightInd w:val="0"/>
              <w:snapToGrid w:val="0"/>
              <w:spacing w:line="360" w:lineRule="auto"/>
              <w:jc w:val="left"/>
              <w:rPr>
                <w:rFonts w:asciiTheme="minorEastAsia" w:hAnsiTheme="minorEastAsia" w:eastAsiaTheme="minorEastAsia"/>
                <w:szCs w:val="21"/>
              </w:rPr>
            </w:pPr>
            <w:r>
              <w:rPr>
                <w:rFonts w:hint="eastAsia" w:hAnsi="宋体"/>
                <w:szCs w:val="21"/>
              </w:rPr>
              <w:t>采购人名称、地址、电话、联系人</w:t>
            </w:r>
          </w:p>
        </w:tc>
        <w:tc>
          <w:tcPr>
            <w:tcW w:w="4678" w:type="dxa"/>
            <w:vAlign w:val="center"/>
          </w:tcPr>
          <w:p w14:paraId="26CF6CE5">
            <w:pPr>
              <w:adjustRightInd w:val="0"/>
              <w:snapToGrid w:val="0"/>
              <w:spacing w:line="420" w:lineRule="exact"/>
              <w:rPr>
                <w:rFonts w:hAnsi="宋体"/>
                <w:szCs w:val="21"/>
              </w:rPr>
            </w:pPr>
            <w:r>
              <w:rPr>
                <w:rFonts w:hint="eastAsia" w:hAnsi="宋体"/>
                <w:szCs w:val="21"/>
              </w:rPr>
              <w:t>详见第一章</w:t>
            </w:r>
            <w:r>
              <w:rPr>
                <w:rFonts w:hint="eastAsia" w:ascii="宋体" w:hAnsi="宋体"/>
                <w:szCs w:val="21"/>
              </w:rPr>
              <w:t>【</w:t>
            </w:r>
            <w:r>
              <w:rPr>
                <w:rFonts w:hint="eastAsia" w:hAnsi="宋体"/>
                <w:szCs w:val="21"/>
              </w:rPr>
              <w:t>投标邀请</w:t>
            </w:r>
            <w:r>
              <w:rPr>
                <w:rFonts w:hint="eastAsia" w:ascii="宋体" w:hAnsi="宋体"/>
                <w:szCs w:val="21"/>
              </w:rPr>
              <w:t>】</w:t>
            </w:r>
          </w:p>
        </w:tc>
      </w:tr>
      <w:tr w14:paraId="5D959C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D621032">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第2.3</w:t>
            </w:r>
            <w:r>
              <w:rPr>
                <w:rFonts w:hint="eastAsia" w:cs="宋体" w:asciiTheme="minorEastAsia" w:hAnsiTheme="minorEastAsia" w:eastAsiaTheme="minorEastAsia"/>
                <w:kern w:val="0"/>
                <w:szCs w:val="21"/>
                <w:lang w:val="zh-CN"/>
              </w:rPr>
              <w:t>款</w:t>
            </w:r>
          </w:p>
        </w:tc>
        <w:tc>
          <w:tcPr>
            <w:tcW w:w="2693" w:type="dxa"/>
            <w:vAlign w:val="center"/>
          </w:tcPr>
          <w:p w14:paraId="5EAC1B7A">
            <w:pPr>
              <w:adjustRightInd w:val="0"/>
              <w:snapToGrid w:val="0"/>
              <w:spacing w:line="360" w:lineRule="auto"/>
              <w:jc w:val="left"/>
              <w:rPr>
                <w:rFonts w:asciiTheme="minorEastAsia" w:hAnsiTheme="minorEastAsia" w:eastAsiaTheme="minorEastAsia"/>
                <w:szCs w:val="21"/>
              </w:rPr>
            </w:pPr>
            <w:r>
              <w:rPr>
                <w:rFonts w:hint="eastAsia" w:hAnsi="宋体"/>
                <w:szCs w:val="21"/>
              </w:rPr>
              <w:t>采购代理机构名称、地址、电话、联系人</w:t>
            </w:r>
          </w:p>
        </w:tc>
        <w:tc>
          <w:tcPr>
            <w:tcW w:w="4678" w:type="dxa"/>
            <w:vAlign w:val="center"/>
          </w:tcPr>
          <w:p w14:paraId="4EB53171">
            <w:pPr>
              <w:adjustRightInd w:val="0"/>
              <w:snapToGrid w:val="0"/>
              <w:spacing w:line="420" w:lineRule="exact"/>
              <w:rPr>
                <w:rFonts w:hAnsi="宋体"/>
                <w:szCs w:val="21"/>
              </w:rPr>
            </w:pPr>
            <w:r>
              <w:rPr>
                <w:rFonts w:hint="eastAsia" w:hAnsi="宋体"/>
                <w:szCs w:val="21"/>
              </w:rPr>
              <w:t>详见第一章</w:t>
            </w:r>
            <w:r>
              <w:rPr>
                <w:rFonts w:hint="eastAsia" w:ascii="宋体" w:hAnsi="宋体"/>
                <w:szCs w:val="21"/>
              </w:rPr>
              <w:t>【</w:t>
            </w:r>
            <w:r>
              <w:rPr>
                <w:rFonts w:hint="eastAsia" w:hAnsi="宋体"/>
                <w:szCs w:val="21"/>
              </w:rPr>
              <w:t>投标邀请</w:t>
            </w:r>
            <w:r>
              <w:rPr>
                <w:rFonts w:hint="eastAsia" w:ascii="宋体" w:hAnsi="宋体"/>
                <w:szCs w:val="21"/>
              </w:rPr>
              <w:t>】</w:t>
            </w:r>
          </w:p>
        </w:tc>
      </w:tr>
      <w:tr w14:paraId="0DCBE4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E8E1555">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第2.5</w:t>
            </w:r>
            <w:r>
              <w:rPr>
                <w:rFonts w:hint="eastAsia" w:cs="宋体" w:asciiTheme="minorEastAsia" w:hAnsiTheme="minorEastAsia" w:eastAsiaTheme="minorEastAsia"/>
                <w:kern w:val="0"/>
                <w:szCs w:val="21"/>
                <w:lang w:val="zh-CN"/>
              </w:rPr>
              <w:t>款</w:t>
            </w:r>
          </w:p>
        </w:tc>
        <w:tc>
          <w:tcPr>
            <w:tcW w:w="2693" w:type="dxa"/>
            <w:vAlign w:val="center"/>
          </w:tcPr>
          <w:p w14:paraId="41AAF3AF">
            <w:pPr>
              <w:adjustRightInd w:val="0"/>
              <w:snapToGrid w:val="0"/>
              <w:spacing w:line="360" w:lineRule="auto"/>
              <w:jc w:val="left"/>
              <w:rPr>
                <w:rFonts w:hAnsi="宋体"/>
                <w:szCs w:val="21"/>
              </w:rPr>
            </w:pPr>
            <w:r>
              <w:rPr>
                <w:rFonts w:hint="eastAsia" w:hAnsi="宋体"/>
                <w:szCs w:val="21"/>
              </w:rPr>
              <w:t>采购进口产品</w:t>
            </w:r>
          </w:p>
        </w:tc>
        <w:tc>
          <w:tcPr>
            <w:tcW w:w="4678" w:type="dxa"/>
            <w:vAlign w:val="center"/>
          </w:tcPr>
          <w:p w14:paraId="0EABA052">
            <w:pPr>
              <w:adjustRightInd w:val="0"/>
              <w:snapToGrid w:val="0"/>
              <w:spacing w:line="420" w:lineRule="exact"/>
              <w:rPr>
                <w:rFonts w:ascii="楷体" w:hAnsi="楷体" w:eastAsia="楷体" w:cs="楷体"/>
                <w:szCs w:val="21"/>
              </w:rPr>
            </w:pPr>
            <w:r>
              <w:rPr>
                <w:rFonts w:hint="eastAsia" w:ascii="宋体" w:hAnsi="宋体" w:cs="宋体"/>
                <w:szCs w:val="21"/>
              </w:rPr>
              <w:t xml:space="preserve">□接受  </w:t>
            </w:r>
            <w:r>
              <w:rPr>
                <w:rFonts w:hint="eastAsia" w:ascii="楷体" w:hAnsi="楷体" w:eastAsia="楷体" w:cs="楷体"/>
                <w:szCs w:val="21"/>
              </w:rPr>
              <w:t>本项目已经财政部门审核同意购买进口产品</w:t>
            </w:r>
            <w:r>
              <w:rPr>
                <w:rFonts w:ascii="楷体" w:hAnsi="楷体" w:eastAsia="楷体" w:cs="楷体"/>
                <w:szCs w:val="21"/>
              </w:rPr>
              <w:t xml:space="preserve">  </w:t>
            </w:r>
          </w:p>
          <w:p w14:paraId="52DBC913">
            <w:pPr>
              <w:adjustRightInd w:val="0"/>
              <w:snapToGrid w:val="0"/>
              <w:spacing w:line="420" w:lineRule="exact"/>
              <w:rPr>
                <w:rFonts w:hAnsi="宋体"/>
                <w:szCs w:val="21"/>
              </w:rPr>
            </w:pPr>
            <w:r>
              <w:rPr>
                <w:rFonts w:hint="eastAsia"/>
              </w:rPr>
              <w:sym w:font="Wingdings 2" w:char="0052"/>
            </w:r>
            <w:r>
              <w:rPr>
                <w:rFonts w:hint="eastAsia" w:ascii="宋体" w:hAnsi="宋体" w:cs="宋体"/>
                <w:szCs w:val="21"/>
              </w:rPr>
              <w:t xml:space="preserve">拒绝   </w:t>
            </w:r>
            <w:r>
              <w:rPr>
                <w:rFonts w:hint="eastAsia" w:ascii="楷体" w:hAnsi="楷体" w:eastAsia="楷体" w:cs="楷体"/>
                <w:szCs w:val="21"/>
              </w:rPr>
              <w:t>本项目拒绝进口产品参加投标</w:t>
            </w:r>
          </w:p>
        </w:tc>
      </w:tr>
      <w:tr w14:paraId="67DDD4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0D91B2E">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第3.1</w:t>
            </w:r>
            <w:r>
              <w:rPr>
                <w:rFonts w:hint="eastAsia" w:cs="宋体" w:asciiTheme="minorEastAsia" w:hAnsiTheme="minorEastAsia" w:eastAsiaTheme="minorEastAsia"/>
                <w:kern w:val="0"/>
                <w:szCs w:val="21"/>
                <w:lang w:val="zh-CN"/>
              </w:rPr>
              <w:t>款</w:t>
            </w:r>
          </w:p>
        </w:tc>
        <w:tc>
          <w:tcPr>
            <w:tcW w:w="2693" w:type="dxa"/>
            <w:vAlign w:val="center"/>
          </w:tcPr>
          <w:p w14:paraId="2843553F">
            <w:pPr>
              <w:adjustRightInd w:val="0"/>
              <w:snapToGrid w:val="0"/>
              <w:spacing w:line="360" w:lineRule="auto"/>
              <w:jc w:val="left"/>
              <w:rPr>
                <w:rFonts w:hAnsi="宋体"/>
                <w:szCs w:val="21"/>
              </w:rPr>
            </w:pPr>
            <w:r>
              <w:rPr>
                <w:rFonts w:hint="eastAsia" w:asciiTheme="minorEastAsia" w:hAnsiTheme="minorEastAsia" w:eastAsiaTheme="minorEastAsia"/>
                <w:szCs w:val="21"/>
              </w:rPr>
              <w:t>投标人资格条件</w:t>
            </w:r>
          </w:p>
        </w:tc>
        <w:tc>
          <w:tcPr>
            <w:tcW w:w="4678" w:type="dxa"/>
            <w:vAlign w:val="center"/>
          </w:tcPr>
          <w:p w14:paraId="3A074D24">
            <w:pPr>
              <w:adjustRightInd w:val="0"/>
              <w:snapToGrid w:val="0"/>
              <w:spacing w:line="420" w:lineRule="exact"/>
              <w:rPr>
                <w:rFonts w:hAnsi="宋体"/>
                <w:szCs w:val="21"/>
              </w:rPr>
            </w:pPr>
            <w:r>
              <w:rPr>
                <w:rFonts w:hint="eastAsia" w:hAnsi="宋体"/>
                <w:szCs w:val="21"/>
              </w:rPr>
              <w:t>详见第一章</w:t>
            </w:r>
            <w:r>
              <w:rPr>
                <w:rFonts w:hint="eastAsia" w:ascii="宋体" w:hAnsi="宋体"/>
                <w:szCs w:val="21"/>
              </w:rPr>
              <w:t>【</w:t>
            </w:r>
            <w:r>
              <w:rPr>
                <w:rFonts w:hint="eastAsia" w:hAnsi="宋体"/>
                <w:szCs w:val="21"/>
              </w:rPr>
              <w:t>投标邀请</w:t>
            </w:r>
            <w:r>
              <w:rPr>
                <w:rFonts w:hint="eastAsia" w:ascii="宋体" w:hAnsi="宋体"/>
                <w:szCs w:val="21"/>
              </w:rPr>
              <w:t>】</w:t>
            </w:r>
          </w:p>
        </w:tc>
      </w:tr>
      <w:tr w14:paraId="7526E4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98D38F3">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第3.2</w:t>
            </w:r>
            <w:r>
              <w:rPr>
                <w:rFonts w:hint="eastAsia" w:cs="宋体" w:asciiTheme="minorEastAsia" w:hAnsiTheme="minorEastAsia" w:eastAsiaTheme="minorEastAsia"/>
                <w:kern w:val="0"/>
                <w:szCs w:val="21"/>
                <w:lang w:val="zh-CN"/>
              </w:rPr>
              <w:t>款</w:t>
            </w:r>
          </w:p>
        </w:tc>
        <w:tc>
          <w:tcPr>
            <w:tcW w:w="2693" w:type="dxa"/>
            <w:vAlign w:val="center"/>
          </w:tcPr>
          <w:p w14:paraId="48BBE2B8">
            <w:pPr>
              <w:adjustRightInd w:val="0"/>
              <w:snapToGrid w:val="0"/>
              <w:spacing w:line="360" w:lineRule="auto"/>
              <w:jc w:val="left"/>
              <w:rPr>
                <w:rFonts w:hAnsi="宋体"/>
                <w:szCs w:val="21"/>
              </w:rPr>
            </w:pPr>
            <w:r>
              <w:rPr>
                <w:rFonts w:hint="eastAsia" w:hAnsi="宋体"/>
                <w:szCs w:val="21"/>
              </w:rPr>
              <w:t>接受联合体形式投标</w:t>
            </w:r>
          </w:p>
        </w:tc>
        <w:tc>
          <w:tcPr>
            <w:tcW w:w="4678" w:type="dxa"/>
            <w:vAlign w:val="center"/>
          </w:tcPr>
          <w:p w14:paraId="2A304628">
            <w:pPr>
              <w:adjustRightInd w:val="0"/>
              <w:snapToGrid w:val="0"/>
              <w:spacing w:line="420" w:lineRule="exact"/>
              <w:rPr>
                <w:rFonts w:ascii="宋体" w:hAnsi="宋体" w:cs="宋体"/>
                <w:szCs w:val="21"/>
              </w:rPr>
            </w:pPr>
            <w:r>
              <w:rPr>
                <w:rFonts w:hint="eastAsia" w:ascii="宋体" w:hAnsi="宋体" w:cs="宋体"/>
                <w:szCs w:val="21"/>
              </w:rPr>
              <w:t>□接受</w:t>
            </w:r>
          </w:p>
          <w:p w14:paraId="2221028C">
            <w:pPr>
              <w:adjustRightInd w:val="0"/>
              <w:snapToGrid w:val="0"/>
              <w:spacing w:line="420" w:lineRule="exact"/>
              <w:rPr>
                <w:rFonts w:hAnsi="宋体"/>
                <w:szCs w:val="21"/>
              </w:rPr>
            </w:pPr>
            <w:r>
              <w:rPr>
                <w:rFonts w:hint="eastAsia"/>
              </w:rPr>
              <w:sym w:font="Wingdings 2" w:char="0052"/>
            </w:r>
            <w:r>
              <w:rPr>
                <w:rFonts w:hint="eastAsia" w:ascii="宋体" w:hAnsi="宋体" w:cs="宋体"/>
                <w:szCs w:val="21"/>
              </w:rPr>
              <w:t>不接受</w:t>
            </w:r>
          </w:p>
        </w:tc>
      </w:tr>
      <w:tr w14:paraId="618355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6BFD61F1">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第5.1</w:t>
            </w:r>
            <w:r>
              <w:rPr>
                <w:rFonts w:hint="eastAsia" w:cs="宋体" w:asciiTheme="minorEastAsia" w:hAnsiTheme="minorEastAsia" w:eastAsiaTheme="minorEastAsia"/>
                <w:kern w:val="0"/>
                <w:szCs w:val="21"/>
                <w:lang w:val="zh-CN"/>
              </w:rPr>
              <w:t>款</w:t>
            </w:r>
          </w:p>
        </w:tc>
        <w:tc>
          <w:tcPr>
            <w:tcW w:w="2693" w:type="dxa"/>
            <w:vAlign w:val="center"/>
          </w:tcPr>
          <w:p w14:paraId="3E204F77">
            <w:pPr>
              <w:adjustRightInd w:val="0"/>
              <w:snapToGrid w:val="0"/>
              <w:spacing w:line="360" w:lineRule="auto"/>
              <w:jc w:val="left"/>
              <w:rPr>
                <w:rFonts w:hAnsi="宋体"/>
                <w:szCs w:val="21"/>
              </w:rPr>
            </w:pPr>
            <w:r>
              <w:rPr>
                <w:rFonts w:hint="eastAsia" w:asciiTheme="minorEastAsia" w:hAnsiTheme="minorEastAsia" w:eastAsiaTheme="minorEastAsia"/>
                <w:szCs w:val="21"/>
              </w:rPr>
              <w:t>招标文件提供期限</w:t>
            </w:r>
          </w:p>
        </w:tc>
        <w:tc>
          <w:tcPr>
            <w:tcW w:w="4678" w:type="dxa"/>
            <w:vAlign w:val="center"/>
          </w:tcPr>
          <w:p w14:paraId="5C2435EC">
            <w:pPr>
              <w:adjustRightInd w:val="0"/>
              <w:snapToGrid w:val="0"/>
              <w:spacing w:line="420" w:lineRule="exact"/>
              <w:rPr>
                <w:rFonts w:hAnsi="宋体"/>
                <w:szCs w:val="21"/>
              </w:rPr>
            </w:pPr>
            <w:r>
              <w:rPr>
                <w:rFonts w:hint="eastAsia" w:hAnsi="宋体"/>
                <w:szCs w:val="21"/>
              </w:rPr>
              <w:t>详见第一章</w:t>
            </w:r>
            <w:r>
              <w:rPr>
                <w:rFonts w:hint="eastAsia" w:ascii="宋体" w:hAnsi="宋体"/>
                <w:szCs w:val="21"/>
              </w:rPr>
              <w:t>【</w:t>
            </w:r>
            <w:r>
              <w:rPr>
                <w:rFonts w:hint="eastAsia" w:hAnsi="宋体"/>
                <w:szCs w:val="21"/>
              </w:rPr>
              <w:t>投标邀请</w:t>
            </w:r>
            <w:r>
              <w:rPr>
                <w:rFonts w:hint="eastAsia" w:ascii="宋体" w:hAnsi="宋体"/>
                <w:szCs w:val="21"/>
              </w:rPr>
              <w:t>】</w:t>
            </w:r>
          </w:p>
        </w:tc>
      </w:tr>
      <w:tr w14:paraId="203BB0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9654F59">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第5.2</w:t>
            </w:r>
            <w:r>
              <w:rPr>
                <w:rFonts w:hint="eastAsia" w:cs="宋体" w:asciiTheme="minorEastAsia" w:hAnsiTheme="minorEastAsia" w:eastAsiaTheme="minorEastAsia"/>
                <w:kern w:val="0"/>
                <w:szCs w:val="21"/>
                <w:lang w:val="zh-CN"/>
              </w:rPr>
              <w:t>款</w:t>
            </w:r>
          </w:p>
        </w:tc>
        <w:tc>
          <w:tcPr>
            <w:tcW w:w="2693" w:type="dxa"/>
            <w:vAlign w:val="center"/>
          </w:tcPr>
          <w:p w14:paraId="39E57257">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组织现场考察或者召开答疑会</w:t>
            </w:r>
          </w:p>
        </w:tc>
        <w:tc>
          <w:tcPr>
            <w:tcW w:w="4678" w:type="dxa"/>
            <w:vAlign w:val="center"/>
          </w:tcPr>
          <w:p w14:paraId="03A942C7">
            <w:pPr>
              <w:adjustRightInd w:val="0"/>
              <w:snapToGrid w:val="0"/>
              <w:spacing w:line="360" w:lineRule="auto"/>
              <w:rPr>
                <w:rFonts w:ascii="宋体" w:hAnsi="宋体"/>
                <w:szCs w:val="21"/>
              </w:rPr>
            </w:pPr>
            <w:r>
              <w:rPr>
                <w:rFonts w:hint="eastAsia"/>
              </w:rPr>
              <w:sym w:font="Wingdings 2" w:char="0052"/>
            </w:r>
            <w:r>
              <w:rPr>
                <w:rFonts w:hint="eastAsia" w:ascii="宋体" w:hAnsi="宋体"/>
                <w:szCs w:val="21"/>
              </w:rPr>
              <w:t xml:space="preserve"> 不组织</w:t>
            </w:r>
          </w:p>
          <w:p w14:paraId="5A98F9B2">
            <w:pPr>
              <w:adjustRightInd w:val="0"/>
              <w:snapToGrid w:val="0"/>
              <w:spacing w:line="360" w:lineRule="auto"/>
              <w:rPr>
                <w:rFonts w:ascii="宋体" w:hAnsi="宋体"/>
                <w:szCs w:val="21"/>
              </w:rPr>
            </w:pPr>
            <w:r>
              <w:rPr>
                <w:rFonts w:hint="eastAsia" w:ascii="宋体" w:hAnsi="宋体"/>
                <w:szCs w:val="21"/>
              </w:rPr>
              <w:t>□ 组织</w:t>
            </w:r>
          </w:p>
          <w:p w14:paraId="6592B8F4">
            <w:pPr>
              <w:adjustRightInd w:val="0"/>
              <w:snapToGrid w:val="0"/>
              <w:spacing w:line="360" w:lineRule="auto"/>
              <w:rPr>
                <w:rFonts w:ascii="宋体" w:hAnsi="宋体"/>
                <w:szCs w:val="21"/>
              </w:rPr>
            </w:pPr>
            <w:r>
              <w:rPr>
                <w:rFonts w:hint="eastAsia" w:ascii="宋体" w:hAnsi="宋体"/>
                <w:szCs w:val="21"/>
              </w:rPr>
              <w:t xml:space="preserve">时间：         </w:t>
            </w:r>
          </w:p>
          <w:p w14:paraId="0278D427">
            <w:pPr>
              <w:adjustRightInd w:val="0"/>
              <w:snapToGrid w:val="0"/>
              <w:spacing w:line="360" w:lineRule="auto"/>
              <w:rPr>
                <w:rFonts w:ascii="宋体" w:hAnsi="宋体"/>
                <w:szCs w:val="21"/>
                <w:u w:val="single"/>
              </w:rPr>
            </w:pPr>
            <w:r>
              <w:rPr>
                <w:rFonts w:hint="eastAsia" w:ascii="宋体" w:hAnsi="宋体"/>
                <w:szCs w:val="21"/>
              </w:rPr>
              <w:t xml:space="preserve">地点：         </w:t>
            </w:r>
          </w:p>
          <w:p w14:paraId="40017EF4">
            <w:pPr>
              <w:adjustRightInd w:val="0"/>
              <w:snapToGrid w:val="0"/>
              <w:spacing w:line="360" w:lineRule="auto"/>
              <w:rPr>
                <w:rFonts w:ascii="宋体" w:hAnsi="宋体"/>
                <w:szCs w:val="21"/>
                <w:u w:val="single"/>
              </w:rPr>
            </w:pPr>
            <w:r>
              <w:rPr>
                <w:rFonts w:hint="eastAsia" w:ascii="宋体" w:hAnsi="宋体"/>
                <w:szCs w:val="21"/>
                <w:u w:val="single"/>
              </w:rPr>
              <w:t xml:space="preserve">联系人：        </w:t>
            </w:r>
          </w:p>
          <w:p w14:paraId="40678696">
            <w:pPr>
              <w:adjustRightInd w:val="0"/>
              <w:snapToGrid w:val="0"/>
              <w:spacing w:line="360" w:lineRule="auto"/>
              <w:rPr>
                <w:rFonts w:ascii="宋体" w:hAnsi="宋体"/>
                <w:szCs w:val="21"/>
                <w:u w:val="single"/>
              </w:rPr>
            </w:pPr>
            <w:r>
              <w:rPr>
                <w:rFonts w:hint="eastAsia" w:ascii="宋体" w:hAnsi="宋体"/>
                <w:szCs w:val="21"/>
                <w:u w:val="single"/>
              </w:rPr>
              <w:t xml:space="preserve">联系方式：      </w:t>
            </w:r>
          </w:p>
          <w:p w14:paraId="2269388B">
            <w:pPr>
              <w:adjustRightInd w:val="0"/>
              <w:snapToGrid w:val="0"/>
              <w:spacing w:line="360" w:lineRule="auto"/>
              <w:rPr>
                <w:rFonts w:ascii="宋体" w:hAnsi="宋体"/>
                <w:szCs w:val="21"/>
                <w:u w:val="single"/>
              </w:rPr>
            </w:pPr>
            <w:r>
              <w:rPr>
                <w:rFonts w:hint="eastAsia" w:ascii="宋体" w:hAnsi="宋体"/>
                <w:szCs w:val="21"/>
                <w:u w:val="single"/>
              </w:rPr>
              <w:t>说明事项：</w:t>
            </w:r>
          </w:p>
        </w:tc>
      </w:tr>
      <w:tr w14:paraId="453AE6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310B96FE">
            <w:pPr>
              <w:adjustRightInd w:val="0"/>
              <w:snapToGrid w:val="0"/>
              <w:spacing w:line="360" w:lineRule="auto"/>
              <w:rPr>
                <w:rFonts w:asciiTheme="minorEastAsia" w:hAnsiTheme="minorEastAsia" w:eastAsiaTheme="minorEastAsia"/>
                <w:b/>
                <w:szCs w:val="21"/>
              </w:rPr>
            </w:pPr>
            <w:r>
              <w:rPr>
                <w:rFonts w:hint="eastAsia" w:asciiTheme="minorEastAsia" w:hAnsiTheme="minorEastAsia" w:eastAsiaTheme="minorEastAsia"/>
                <w:b/>
                <w:szCs w:val="21"/>
              </w:rPr>
              <w:t>二、招标文件</w:t>
            </w:r>
          </w:p>
        </w:tc>
      </w:tr>
      <w:tr w14:paraId="7A60C0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F3496B9">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第7.4</w:t>
            </w:r>
            <w:r>
              <w:rPr>
                <w:rFonts w:hint="eastAsia" w:cs="宋体" w:asciiTheme="minorEastAsia" w:hAnsiTheme="minorEastAsia" w:eastAsiaTheme="minorEastAsia"/>
                <w:kern w:val="0"/>
                <w:szCs w:val="21"/>
                <w:lang w:val="zh-CN"/>
              </w:rPr>
              <w:t>款</w:t>
            </w:r>
          </w:p>
        </w:tc>
        <w:tc>
          <w:tcPr>
            <w:tcW w:w="2693" w:type="dxa"/>
            <w:vAlign w:val="center"/>
          </w:tcPr>
          <w:p w14:paraId="2736B5C5">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非实质性偏离的范围和幅度</w:t>
            </w:r>
          </w:p>
        </w:tc>
        <w:tc>
          <w:tcPr>
            <w:tcW w:w="4678" w:type="dxa"/>
            <w:vAlign w:val="center"/>
          </w:tcPr>
          <w:p w14:paraId="04979C88">
            <w:pPr>
              <w:adjustRightInd w:val="0"/>
              <w:snapToGrid w:val="0"/>
              <w:spacing w:line="360" w:lineRule="auto"/>
              <w:ind w:left="105" w:hanging="105" w:hangingChars="50"/>
              <w:jc w:val="left"/>
              <w:rPr>
                <w:rFonts w:asciiTheme="minorEastAsia" w:hAnsiTheme="minorEastAsia" w:eastAsiaTheme="minorEastAsia"/>
                <w:szCs w:val="21"/>
                <w:u w:val="single"/>
              </w:rPr>
            </w:pPr>
            <w:r>
              <w:rPr>
                <w:rFonts w:hint="eastAsia" w:asciiTheme="minorEastAsia" w:hAnsiTheme="minorEastAsia" w:eastAsiaTheme="minorEastAsia"/>
                <w:b/>
                <w:bCs/>
                <w:szCs w:val="21"/>
              </w:rPr>
              <w:t>招标文件第五章【采购需求】中条款偏离项数之和≥</w:t>
            </w:r>
            <w:r>
              <w:rPr>
                <w:rFonts w:hint="eastAsia" w:asciiTheme="minorEastAsia" w:hAnsiTheme="minorEastAsia" w:eastAsiaTheme="minorEastAsia"/>
                <w:b/>
                <w:bCs/>
                <w:szCs w:val="21"/>
                <w:u w:val="single"/>
              </w:rPr>
              <w:t xml:space="preserve"> 20 </w:t>
            </w:r>
            <w:r>
              <w:rPr>
                <w:rFonts w:hint="eastAsia" w:asciiTheme="minorEastAsia" w:hAnsiTheme="minorEastAsia" w:eastAsiaTheme="minorEastAsia"/>
                <w:b/>
                <w:bCs/>
                <w:szCs w:val="21"/>
              </w:rPr>
              <w:t>项将导致无效投标。</w:t>
            </w:r>
          </w:p>
        </w:tc>
      </w:tr>
      <w:tr w14:paraId="06619B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616608AC">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第9.1</w:t>
            </w:r>
            <w:r>
              <w:rPr>
                <w:rFonts w:hint="eastAsia" w:cs="宋体" w:asciiTheme="minorEastAsia" w:hAnsiTheme="minorEastAsia" w:eastAsiaTheme="minorEastAsia"/>
                <w:kern w:val="0"/>
                <w:szCs w:val="21"/>
                <w:lang w:val="zh-CN"/>
              </w:rPr>
              <w:t>款</w:t>
            </w:r>
          </w:p>
        </w:tc>
        <w:tc>
          <w:tcPr>
            <w:tcW w:w="2693" w:type="dxa"/>
            <w:vAlign w:val="center"/>
          </w:tcPr>
          <w:p w14:paraId="4B86B623">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招标公告指定媒体</w:t>
            </w:r>
          </w:p>
        </w:tc>
        <w:tc>
          <w:tcPr>
            <w:tcW w:w="4678" w:type="dxa"/>
            <w:vAlign w:val="center"/>
          </w:tcPr>
          <w:p w14:paraId="67D48E74">
            <w:pPr>
              <w:adjustRightInd w:val="0"/>
              <w:snapToGrid w:val="0"/>
              <w:spacing w:line="360" w:lineRule="auto"/>
              <w:ind w:left="105" w:hanging="105" w:hangingChars="50"/>
              <w:rPr>
                <w:rFonts w:hAnsi="宋体"/>
                <w:szCs w:val="21"/>
              </w:rPr>
            </w:pPr>
            <w:r>
              <w:rPr>
                <w:rFonts w:hint="eastAsia" w:asciiTheme="minorEastAsia" w:hAnsiTheme="minorEastAsia" w:eastAsiaTheme="minorEastAsia"/>
                <w:szCs w:val="21"/>
                <w:u w:val="single"/>
              </w:rPr>
              <w:t>湖南省政府采购网(www.ccgp-hunan.gov.cn)和郴州市公共资源交易中心(http://czggzy.czs.gov.cn/</w:t>
            </w:r>
          </w:p>
        </w:tc>
      </w:tr>
      <w:tr w14:paraId="6EDE21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3"/>
            <w:vAlign w:val="center"/>
          </w:tcPr>
          <w:p w14:paraId="6ACDB65D">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b/>
                <w:szCs w:val="21"/>
              </w:rPr>
              <w:t>三、投标文件</w:t>
            </w:r>
          </w:p>
        </w:tc>
      </w:tr>
      <w:tr w14:paraId="589F20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092D7ED">
            <w:pPr>
              <w:adjustRightInd w:val="0"/>
              <w:snapToGrid w:val="0"/>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第13.2</w:t>
            </w:r>
            <w:r>
              <w:rPr>
                <w:rFonts w:hint="eastAsia" w:cs="宋体" w:asciiTheme="minorEastAsia" w:hAnsiTheme="minorEastAsia" w:eastAsiaTheme="minorEastAsia"/>
                <w:color w:val="auto"/>
                <w:kern w:val="0"/>
                <w:szCs w:val="21"/>
                <w:lang w:val="zh-CN"/>
              </w:rPr>
              <w:t>款</w:t>
            </w:r>
          </w:p>
        </w:tc>
        <w:tc>
          <w:tcPr>
            <w:tcW w:w="2693" w:type="dxa"/>
            <w:vAlign w:val="center"/>
          </w:tcPr>
          <w:p w14:paraId="16BD055A">
            <w:pPr>
              <w:adjustRightInd w:val="0"/>
              <w:snapToGrid w:val="0"/>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采购预算、最高限价</w:t>
            </w:r>
          </w:p>
        </w:tc>
        <w:tc>
          <w:tcPr>
            <w:tcW w:w="4678" w:type="dxa"/>
            <w:vAlign w:val="center"/>
          </w:tcPr>
          <w:p w14:paraId="0FC10A87">
            <w:pPr>
              <w:adjustRightInd w:val="0"/>
              <w:snapToGrid w:val="0"/>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采购预算：</w:t>
            </w:r>
            <w:r>
              <w:rPr>
                <w:rFonts w:hint="eastAsia" w:asciiTheme="minorEastAsia" w:hAnsiTheme="minorEastAsia" w:eastAsiaTheme="minorEastAsia"/>
                <w:color w:val="auto"/>
                <w:szCs w:val="21"/>
                <w:u w:val="single"/>
              </w:rPr>
              <w:t>¥10760640.00元</w:t>
            </w:r>
            <w:r>
              <w:rPr>
                <w:rFonts w:hint="eastAsia" w:asciiTheme="minorEastAsia" w:hAnsiTheme="minorEastAsia" w:eastAsiaTheme="minorEastAsia"/>
                <w:color w:val="auto"/>
                <w:szCs w:val="21"/>
              </w:rPr>
              <w:t>，</w:t>
            </w:r>
          </w:p>
          <w:p w14:paraId="6DF07F35">
            <w:pPr>
              <w:adjustRightInd w:val="0"/>
              <w:snapToGrid w:val="0"/>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最高限价：</w:t>
            </w:r>
            <w:r>
              <w:rPr>
                <w:rFonts w:hint="eastAsia" w:asciiTheme="minorEastAsia" w:hAnsiTheme="minorEastAsia" w:eastAsiaTheme="minorEastAsia"/>
                <w:color w:val="auto"/>
                <w:szCs w:val="21"/>
                <w:u w:val="single"/>
              </w:rPr>
              <w:t>¥10760640.00元</w:t>
            </w:r>
            <w:r>
              <w:rPr>
                <w:rFonts w:hint="eastAsia" w:asciiTheme="minorEastAsia" w:hAnsiTheme="minorEastAsia" w:eastAsiaTheme="minorEastAsia"/>
                <w:color w:val="auto"/>
                <w:szCs w:val="21"/>
              </w:rPr>
              <w:t>。</w:t>
            </w:r>
          </w:p>
        </w:tc>
      </w:tr>
      <w:tr w14:paraId="39443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trPr>
        <w:tc>
          <w:tcPr>
            <w:tcW w:w="1560" w:type="dxa"/>
            <w:vAlign w:val="center"/>
          </w:tcPr>
          <w:p w14:paraId="6B3FBFE8">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第13.8款</w:t>
            </w:r>
          </w:p>
        </w:tc>
        <w:tc>
          <w:tcPr>
            <w:tcW w:w="2693" w:type="dxa"/>
            <w:vAlign w:val="center"/>
          </w:tcPr>
          <w:p w14:paraId="473F780C">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投标报价的其他要求</w:t>
            </w:r>
          </w:p>
        </w:tc>
        <w:tc>
          <w:tcPr>
            <w:tcW w:w="4678" w:type="dxa"/>
            <w:vAlign w:val="center"/>
          </w:tcPr>
          <w:p w14:paraId="40E5AD5C">
            <w:pPr>
              <w:adjustRightInd w:val="0"/>
              <w:snapToGrid w:val="0"/>
              <w:spacing w:line="360" w:lineRule="auto"/>
              <w:rPr>
                <w:rFonts w:asciiTheme="minorEastAsia" w:hAnsiTheme="minorEastAsia" w:eastAsiaTheme="minorEastAsia"/>
                <w:szCs w:val="21"/>
                <w:u w:val="single"/>
              </w:rPr>
            </w:pPr>
            <w:r>
              <w:rPr>
                <w:rFonts w:hint="eastAsia" w:asciiTheme="minorEastAsia" w:hAnsiTheme="minorEastAsia" w:eastAsiaTheme="minorEastAsia"/>
                <w:szCs w:val="21"/>
                <w:u w:val="single"/>
              </w:rPr>
              <w:t>投标报价不得超过最高限价</w:t>
            </w:r>
          </w:p>
        </w:tc>
      </w:tr>
      <w:tr w14:paraId="052870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F78AE56">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第14.1款</w:t>
            </w:r>
          </w:p>
        </w:tc>
        <w:tc>
          <w:tcPr>
            <w:tcW w:w="2693" w:type="dxa"/>
            <w:vAlign w:val="center"/>
          </w:tcPr>
          <w:p w14:paraId="2C097C29">
            <w:pPr>
              <w:adjustRightInd w:val="0"/>
              <w:snapToGrid w:val="0"/>
              <w:spacing w:line="360" w:lineRule="auto"/>
              <w:rPr>
                <w:rFonts w:asciiTheme="minorEastAsia" w:hAnsiTheme="minorEastAsia" w:eastAsiaTheme="minorEastAsia"/>
                <w:bCs/>
                <w:szCs w:val="21"/>
              </w:rPr>
            </w:pPr>
            <w:r>
              <w:rPr>
                <w:rFonts w:hint="eastAsia" w:asciiTheme="minorEastAsia" w:hAnsiTheme="minorEastAsia" w:eastAsiaTheme="minorEastAsia"/>
                <w:szCs w:val="21"/>
              </w:rPr>
              <w:t>投标人应提供资格审查资料</w:t>
            </w:r>
          </w:p>
        </w:tc>
        <w:tc>
          <w:tcPr>
            <w:tcW w:w="4678" w:type="dxa"/>
            <w:vAlign w:val="center"/>
          </w:tcPr>
          <w:p w14:paraId="69D28B4D">
            <w:pPr>
              <w:adjustRightInd w:val="0"/>
              <w:snapToGrid w:val="0"/>
              <w:spacing w:line="360" w:lineRule="auto"/>
              <w:rPr>
                <w:rFonts w:asciiTheme="minorEastAsia" w:hAnsiTheme="minorEastAsia" w:eastAsiaTheme="minorEastAsia"/>
                <w:szCs w:val="21"/>
              </w:rPr>
            </w:pPr>
            <w:r>
              <w:rPr>
                <w:rFonts w:hint="eastAsia"/>
              </w:rPr>
              <w:t>基本资格证明资料:详见第三章 资格审查</w:t>
            </w:r>
          </w:p>
        </w:tc>
      </w:tr>
      <w:tr w14:paraId="33734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3E402FB4">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第14.1(3)项</w:t>
            </w:r>
          </w:p>
        </w:tc>
        <w:tc>
          <w:tcPr>
            <w:tcW w:w="2693" w:type="dxa"/>
            <w:vAlign w:val="center"/>
          </w:tcPr>
          <w:p w14:paraId="4FAAB665">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特定资格条件应提供的资格审查资料</w:t>
            </w:r>
          </w:p>
        </w:tc>
        <w:tc>
          <w:tcPr>
            <w:tcW w:w="4678" w:type="dxa"/>
            <w:vAlign w:val="center"/>
          </w:tcPr>
          <w:p w14:paraId="791191C9">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特定资格证明材料: </w:t>
            </w:r>
          </w:p>
          <w:p w14:paraId="7757DAC1">
            <w:pPr>
              <w:adjustRightInd w:val="0"/>
              <w:snapToGrid w:val="0"/>
              <w:spacing w:line="360" w:lineRule="auto"/>
              <w:rPr>
                <w:rFonts w:hint="eastAsia" w:asciiTheme="minorEastAsia" w:hAnsiTheme="minorEastAsia" w:eastAsiaTheme="minorEastAsia"/>
                <w:szCs w:val="21"/>
                <w:u w:val="none"/>
              </w:rPr>
            </w:pPr>
            <w:r>
              <w:rPr>
                <w:rFonts w:hint="eastAsia" w:asciiTheme="minorEastAsia" w:hAnsiTheme="minorEastAsia" w:eastAsiaTheme="minorEastAsia"/>
                <w:szCs w:val="21"/>
                <w:u w:val="none"/>
              </w:rPr>
              <w:t>1、要求投标人提供有效的工信部颁发的基础电信业务或增值电信业务经营许可证明。</w:t>
            </w:r>
          </w:p>
          <w:p w14:paraId="3D787A91">
            <w:pPr>
              <w:adjustRightInd w:val="0"/>
              <w:snapToGrid w:val="0"/>
              <w:spacing w:line="360" w:lineRule="auto"/>
              <w:rPr>
                <w:rFonts w:asciiTheme="minorEastAsia" w:hAnsiTheme="minorEastAsia" w:eastAsiaTheme="minorEastAsia"/>
                <w:szCs w:val="21"/>
                <w:u w:val="single"/>
              </w:rPr>
            </w:pPr>
            <w:r>
              <w:rPr>
                <w:rFonts w:hint="eastAsia" w:asciiTheme="minorEastAsia" w:hAnsiTheme="minorEastAsia" w:eastAsiaTheme="minorEastAsia"/>
                <w:szCs w:val="21"/>
                <w:u w:val="none"/>
              </w:rPr>
              <w:t>2、根据《政府采购法实施条例》释义，银行、保险、石油石化、电力、电信等有行业特殊情况的，取得营业执照的分支机构可以分公司的名义直接参与投标。本项目允许以分支机构的身份参加政府采购活动的，须持有总公司有效授权文件，否则其投标无效。经总公司授权后的分公司参与投标，其一切法律责任由所属总公司承担(同一公司只能授权一家分公司参加本项目投标，若同时出现同一公司的不同分公司参加本项目投标，则全部按无效投标处理)。</w:t>
            </w:r>
          </w:p>
        </w:tc>
      </w:tr>
      <w:tr w14:paraId="41667B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33" w:hRule="atLeast"/>
        </w:trPr>
        <w:tc>
          <w:tcPr>
            <w:tcW w:w="1560" w:type="dxa"/>
            <w:vAlign w:val="center"/>
          </w:tcPr>
          <w:p w14:paraId="622927CB">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第15.3款</w:t>
            </w:r>
          </w:p>
        </w:tc>
        <w:tc>
          <w:tcPr>
            <w:tcW w:w="2693" w:type="dxa"/>
            <w:vAlign w:val="center"/>
          </w:tcPr>
          <w:p w14:paraId="5F50CAC0">
            <w:pPr>
              <w:adjustRightInd w:val="0"/>
              <w:snapToGrid w:val="0"/>
              <w:spacing w:line="360" w:lineRule="auto"/>
              <w:rPr>
                <w:rFonts w:asciiTheme="minorEastAsia" w:hAnsiTheme="minorEastAsia" w:eastAsiaTheme="minorEastAsia"/>
                <w:szCs w:val="21"/>
              </w:rPr>
            </w:pPr>
            <w:r>
              <w:rPr>
                <w:rFonts w:hint="eastAsia" w:ascii="宋体" w:hAnsi="宋体"/>
                <w:szCs w:val="21"/>
              </w:rPr>
              <w:t>样品提供的规定</w:t>
            </w:r>
          </w:p>
        </w:tc>
        <w:tc>
          <w:tcPr>
            <w:tcW w:w="4678" w:type="dxa"/>
            <w:vAlign w:val="center"/>
          </w:tcPr>
          <w:p w14:paraId="0C613CDE">
            <w:pPr>
              <w:adjustRightInd w:val="0"/>
              <w:snapToGrid w:val="0"/>
              <w:spacing w:beforeLines="50" w:line="360" w:lineRule="auto"/>
              <w:rPr>
                <w:rFonts w:ascii="宋体" w:hAnsi="宋体"/>
                <w:szCs w:val="21"/>
              </w:rPr>
            </w:pPr>
            <w:r>
              <w:rPr>
                <w:rFonts w:hint="eastAsia"/>
              </w:rPr>
              <w:sym w:font="Wingdings 2" w:char="0052"/>
            </w:r>
            <w:r>
              <w:rPr>
                <w:rFonts w:hint="eastAsia" w:ascii="宋体" w:hAnsi="宋体"/>
                <w:szCs w:val="21"/>
              </w:rPr>
              <w:t xml:space="preserve"> 不要求提供</w:t>
            </w:r>
          </w:p>
          <w:p w14:paraId="24C9AB49">
            <w:pPr>
              <w:adjustRightInd w:val="0"/>
              <w:snapToGrid w:val="0"/>
              <w:spacing w:beforeLines="50" w:line="360" w:lineRule="auto"/>
              <w:rPr>
                <w:rFonts w:ascii="宋体" w:hAnsi="宋体"/>
                <w:szCs w:val="21"/>
              </w:rPr>
            </w:pPr>
            <w:r>
              <w:rPr>
                <w:rFonts w:hint="eastAsia" w:ascii="宋体" w:hAnsi="宋体"/>
                <w:szCs w:val="21"/>
              </w:rPr>
              <w:t>□ 要求提供，提交的时间：</w:t>
            </w:r>
            <w:r>
              <w:rPr>
                <w:rFonts w:hint="eastAsia" w:ascii="宋体" w:hAnsi="宋体"/>
                <w:szCs w:val="21"/>
                <w:u w:val="single"/>
              </w:rPr>
              <w:t xml:space="preserve">           </w:t>
            </w:r>
            <w:r>
              <w:rPr>
                <w:rFonts w:hint="eastAsia" w:ascii="宋体" w:hAnsi="宋体"/>
                <w:szCs w:val="21"/>
              </w:rPr>
              <w:t xml:space="preserve"> 地点</w:t>
            </w:r>
            <w:r>
              <w:rPr>
                <w:rFonts w:hint="eastAsia" w:ascii="宋体" w:hAnsi="宋体"/>
                <w:szCs w:val="21"/>
                <w:u w:val="single"/>
              </w:rPr>
              <w:t xml:space="preserve">               </w:t>
            </w:r>
            <w:r>
              <w:rPr>
                <w:rFonts w:hint="eastAsia" w:ascii="宋体" w:hAnsi="宋体"/>
                <w:szCs w:val="21"/>
              </w:rPr>
              <w:t xml:space="preserve"> 。</w:t>
            </w:r>
          </w:p>
          <w:p w14:paraId="150360FD">
            <w:pPr>
              <w:adjustRightInd w:val="0"/>
              <w:snapToGrid w:val="0"/>
              <w:spacing w:beforeLines="50" w:line="360" w:lineRule="auto"/>
              <w:rPr>
                <w:rFonts w:ascii="宋体" w:hAnsi="宋体"/>
                <w:szCs w:val="21"/>
              </w:rPr>
            </w:pPr>
            <w:r>
              <w:rPr>
                <w:rFonts w:hint="eastAsia" w:ascii="宋体" w:hAnsi="宋体"/>
                <w:szCs w:val="21"/>
              </w:rPr>
              <w:t>1、样品制作的标准和要求、是否需要随样品提交相关检测报告、样品的评审方法以及评审标准详见第三章及第四章。</w:t>
            </w:r>
          </w:p>
          <w:p w14:paraId="06B20150">
            <w:pPr>
              <w:adjustRightInd w:val="0"/>
              <w:snapToGrid w:val="0"/>
              <w:spacing w:beforeLines="50" w:line="360" w:lineRule="auto"/>
              <w:rPr>
                <w:rFonts w:ascii="宋体" w:hAnsi="宋体"/>
                <w:szCs w:val="21"/>
              </w:rPr>
            </w:pPr>
            <w:r>
              <w:rPr>
                <w:rFonts w:hint="eastAsia" w:ascii="宋体" w:hAnsi="宋体"/>
                <w:szCs w:val="21"/>
              </w:rPr>
              <w:t>2、中标人提供的样品保管、封存规定：</w:t>
            </w:r>
          </w:p>
          <w:p w14:paraId="0034BA2F">
            <w:pPr>
              <w:adjustRightInd w:val="0"/>
              <w:snapToGrid w:val="0"/>
              <w:spacing w:line="360" w:lineRule="auto"/>
              <w:rPr>
                <w:rFonts w:asciiTheme="minorEastAsia" w:hAnsiTheme="minorEastAsia" w:eastAsiaTheme="minorEastAsia"/>
                <w:szCs w:val="21"/>
              </w:rPr>
            </w:pPr>
            <w:r>
              <w:rPr>
                <w:rFonts w:hint="eastAsia" w:ascii="宋体" w:hAnsi="宋体"/>
                <w:szCs w:val="21"/>
              </w:rPr>
              <w:t>__________________________________________</w:t>
            </w:r>
          </w:p>
        </w:tc>
      </w:tr>
      <w:tr w14:paraId="0BD9DA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DDA8703">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第16.1</w:t>
            </w:r>
            <w:r>
              <w:rPr>
                <w:rFonts w:hint="eastAsia" w:cs="宋体" w:asciiTheme="minorEastAsia" w:hAnsiTheme="minorEastAsia" w:eastAsiaTheme="minorEastAsia"/>
                <w:kern w:val="0"/>
                <w:szCs w:val="21"/>
                <w:lang w:val="zh-CN"/>
              </w:rPr>
              <w:t>款</w:t>
            </w:r>
          </w:p>
        </w:tc>
        <w:tc>
          <w:tcPr>
            <w:tcW w:w="2693" w:type="dxa"/>
            <w:vAlign w:val="center"/>
          </w:tcPr>
          <w:p w14:paraId="23D54C0B">
            <w:pPr>
              <w:adjustRightInd w:val="0"/>
              <w:snapToGrid w:val="0"/>
              <w:spacing w:line="360" w:lineRule="auto"/>
              <w:jc w:val="left"/>
              <w:rPr>
                <w:rFonts w:asciiTheme="minorEastAsia" w:hAnsiTheme="minorEastAsia" w:eastAsiaTheme="minorEastAsia"/>
                <w:bCs/>
                <w:szCs w:val="21"/>
              </w:rPr>
            </w:pPr>
            <w:r>
              <w:rPr>
                <w:rFonts w:hint="eastAsia" w:asciiTheme="minorEastAsia" w:hAnsiTheme="minorEastAsia" w:eastAsiaTheme="minorEastAsia"/>
                <w:bCs/>
                <w:szCs w:val="21"/>
              </w:rPr>
              <w:t>投标有效期</w:t>
            </w:r>
          </w:p>
        </w:tc>
        <w:tc>
          <w:tcPr>
            <w:tcW w:w="4678" w:type="dxa"/>
            <w:vAlign w:val="center"/>
          </w:tcPr>
          <w:p w14:paraId="11684EBE">
            <w:pPr>
              <w:adjustRightInd w:val="0"/>
              <w:snapToGrid w:val="0"/>
              <w:spacing w:line="360" w:lineRule="auto"/>
              <w:rPr>
                <w:rFonts w:asciiTheme="minorEastAsia" w:hAnsiTheme="minorEastAsia" w:eastAsiaTheme="minorEastAsia"/>
                <w:bCs/>
                <w:szCs w:val="21"/>
              </w:rPr>
            </w:pPr>
            <w:r>
              <w:rPr>
                <w:rFonts w:hint="eastAsia" w:asciiTheme="minorEastAsia" w:hAnsiTheme="minorEastAsia" w:eastAsiaTheme="minorEastAsia"/>
                <w:bCs/>
                <w:szCs w:val="21"/>
                <w:u w:val="single"/>
              </w:rPr>
              <w:t xml:space="preserve">  90  </w:t>
            </w:r>
            <w:r>
              <w:rPr>
                <w:rFonts w:hint="eastAsia" w:asciiTheme="minorEastAsia" w:hAnsiTheme="minorEastAsia" w:eastAsiaTheme="minorEastAsia"/>
                <w:bCs/>
                <w:szCs w:val="21"/>
              </w:rPr>
              <w:t>日（日历日），如投标有效期不足的，在评标时将视为无效投标。</w:t>
            </w:r>
          </w:p>
        </w:tc>
      </w:tr>
      <w:tr w14:paraId="6C1BED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963F37A">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第17.1</w:t>
            </w:r>
            <w:r>
              <w:rPr>
                <w:rFonts w:hint="eastAsia" w:cs="宋体" w:asciiTheme="minorEastAsia" w:hAnsiTheme="minorEastAsia" w:eastAsiaTheme="minorEastAsia"/>
                <w:kern w:val="0"/>
                <w:szCs w:val="21"/>
                <w:lang w:val="zh-CN"/>
              </w:rPr>
              <w:t>款</w:t>
            </w:r>
          </w:p>
        </w:tc>
        <w:tc>
          <w:tcPr>
            <w:tcW w:w="2693" w:type="dxa"/>
            <w:vAlign w:val="center"/>
          </w:tcPr>
          <w:p w14:paraId="1CAA6C3C">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bCs/>
                <w:szCs w:val="21"/>
              </w:rPr>
              <w:t>分包</w:t>
            </w:r>
          </w:p>
        </w:tc>
        <w:tc>
          <w:tcPr>
            <w:tcW w:w="4678" w:type="dxa"/>
            <w:vAlign w:val="center"/>
          </w:tcPr>
          <w:p w14:paraId="18B139FD">
            <w:pPr>
              <w:adjustRightInd w:val="0"/>
              <w:snapToGrid w:val="0"/>
              <w:spacing w:line="360" w:lineRule="auto"/>
              <w:rPr>
                <w:rFonts w:asciiTheme="minorEastAsia" w:hAnsiTheme="minorEastAsia" w:eastAsiaTheme="minorEastAsia"/>
                <w:b/>
                <w:bCs/>
                <w:szCs w:val="21"/>
              </w:rPr>
            </w:pPr>
            <w:r>
              <w:rPr>
                <w:rFonts w:hint="eastAsia" w:asciiTheme="minorEastAsia" w:hAnsiTheme="minorEastAsia" w:eastAsiaTheme="minorEastAsia"/>
                <w:bCs/>
                <w:szCs w:val="21"/>
                <w:highlight w:val="none"/>
              </w:rPr>
              <w:t>分包要求:</w:t>
            </w:r>
            <w:r>
              <w:rPr>
                <w:rFonts w:hint="eastAsia" w:asciiTheme="minorEastAsia" w:hAnsiTheme="minorEastAsia" w:eastAsiaTheme="minorEastAsia"/>
                <w:bCs/>
                <w:szCs w:val="21"/>
                <w:highlight w:val="none"/>
                <w:u w:val="single"/>
              </w:rPr>
              <w:t xml:space="preserve">  </w:t>
            </w:r>
            <w:r>
              <w:rPr>
                <w:rFonts w:hint="eastAsia" w:asciiTheme="minorEastAsia" w:hAnsiTheme="minorEastAsia" w:eastAsiaTheme="minorEastAsia"/>
                <w:bCs/>
                <w:szCs w:val="21"/>
                <w:highlight w:val="none"/>
                <w:u w:val="single"/>
                <w:lang w:val="en-US" w:eastAsia="zh-CN"/>
              </w:rPr>
              <w:t>不允许分包</w:t>
            </w:r>
            <w:r>
              <w:rPr>
                <w:rFonts w:hint="eastAsia" w:asciiTheme="minorEastAsia" w:hAnsiTheme="minorEastAsia" w:eastAsiaTheme="minorEastAsia"/>
                <w:bCs/>
                <w:szCs w:val="21"/>
                <w:highlight w:val="none"/>
                <w:u w:val="single"/>
              </w:rPr>
              <w:t xml:space="preserve">      </w:t>
            </w:r>
          </w:p>
        </w:tc>
      </w:tr>
      <w:tr w14:paraId="7A8F4A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763C4DF0">
            <w:pPr>
              <w:adjustRightInd w:val="0"/>
              <w:snapToGrid w:val="0"/>
              <w:spacing w:line="360" w:lineRule="auto"/>
              <w:rPr>
                <w:rFonts w:asciiTheme="minorEastAsia" w:hAnsiTheme="minorEastAsia" w:eastAsiaTheme="minorEastAsia"/>
                <w:b/>
                <w:bCs/>
                <w:szCs w:val="21"/>
              </w:rPr>
            </w:pPr>
            <w:r>
              <w:rPr>
                <w:rFonts w:hint="eastAsia" w:asciiTheme="minorEastAsia" w:hAnsiTheme="minorEastAsia" w:eastAsiaTheme="minorEastAsia"/>
                <w:b/>
                <w:szCs w:val="21"/>
              </w:rPr>
              <w:t>四、投标</w:t>
            </w:r>
          </w:p>
        </w:tc>
      </w:tr>
      <w:tr w14:paraId="4F6F80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CFBC4FA">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第19.1</w:t>
            </w:r>
            <w:r>
              <w:rPr>
                <w:rFonts w:hint="eastAsia" w:cs="宋体" w:asciiTheme="minorEastAsia" w:hAnsiTheme="minorEastAsia" w:eastAsiaTheme="minorEastAsia"/>
                <w:kern w:val="0"/>
                <w:szCs w:val="21"/>
                <w:lang w:val="zh-CN"/>
              </w:rPr>
              <w:t>款</w:t>
            </w:r>
          </w:p>
        </w:tc>
        <w:tc>
          <w:tcPr>
            <w:tcW w:w="2693" w:type="dxa"/>
            <w:vAlign w:val="center"/>
          </w:tcPr>
          <w:p w14:paraId="0CF57939">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投标截止时间（开标时间）</w:t>
            </w:r>
          </w:p>
        </w:tc>
        <w:tc>
          <w:tcPr>
            <w:tcW w:w="4678" w:type="dxa"/>
            <w:vAlign w:val="center"/>
          </w:tcPr>
          <w:p w14:paraId="76F0151A">
            <w:pPr>
              <w:adjustRightInd w:val="0"/>
              <w:snapToGrid w:val="0"/>
              <w:spacing w:line="360" w:lineRule="auto"/>
              <w:rPr>
                <w:rFonts w:asciiTheme="minorEastAsia" w:hAnsiTheme="minorEastAsia" w:eastAsiaTheme="minorEastAsia"/>
                <w:bCs/>
                <w:szCs w:val="21"/>
              </w:rPr>
            </w:pPr>
            <w:r>
              <w:rPr>
                <w:rFonts w:hint="eastAsia" w:hAnsi="宋体"/>
                <w:szCs w:val="21"/>
              </w:rPr>
              <w:t>详见第一章</w:t>
            </w:r>
            <w:r>
              <w:rPr>
                <w:rFonts w:hint="eastAsia" w:ascii="宋体" w:hAnsi="宋体"/>
                <w:szCs w:val="21"/>
              </w:rPr>
              <w:t>【</w:t>
            </w:r>
            <w:r>
              <w:rPr>
                <w:rFonts w:hint="eastAsia" w:hAnsi="宋体"/>
                <w:szCs w:val="21"/>
              </w:rPr>
              <w:t>投标邀请</w:t>
            </w:r>
            <w:r>
              <w:rPr>
                <w:rFonts w:hint="eastAsia" w:ascii="宋体" w:hAnsi="宋体"/>
                <w:szCs w:val="21"/>
              </w:rPr>
              <w:t>】</w:t>
            </w:r>
          </w:p>
        </w:tc>
      </w:tr>
      <w:tr w14:paraId="6535CF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5618E798">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b/>
                <w:bCs/>
                <w:szCs w:val="21"/>
              </w:rPr>
              <w:t>五、开标、资格审查和评标</w:t>
            </w:r>
          </w:p>
        </w:tc>
      </w:tr>
      <w:tr w14:paraId="09AE85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108A154">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第22.1款</w:t>
            </w:r>
          </w:p>
        </w:tc>
        <w:tc>
          <w:tcPr>
            <w:tcW w:w="2693" w:type="dxa"/>
            <w:vAlign w:val="center"/>
          </w:tcPr>
          <w:p w14:paraId="7E5A14B8">
            <w:pPr>
              <w:adjustRightInd w:val="0"/>
              <w:snapToGrid w:val="0"/>
              <w:spacing w:beforeLines="50" w:line="360" w:lineRule="auto"/>
              <w:rPr>
                <w:rFonts w:ascii="宋体"/>
                <w:szCs w:val="21"/>
              </w:rPr>
            </w:pPr>
            <w:r>
              <w:rPr>
                <w:rFonts w:hint="eastAsia" w:ascii="宋体" w:hAnsi="宋体" w:cs="宋体"/>
                <w:szCs w:val="21"/>
              </w:rPr>
              <w:t>解密电子投标文件时限及方式</w:t>
            </w:r>
          </w:p>
        </w:tc>
        <w:tc>
          <w:tcPr>
            <w:tcW w:w="4678" w:type="dxa"/>
            <w:vAlign w:val="center"/>
          </w:tcPr>
          <w:p w14:paraId="27EC5E9C">
            <w:pPr>
              <w:adjustRightInd w:val="0"/>
              <w:snapToGrid w:val="0"/>
              <w:spacing w:beforeLines="50" w:line="360" w:lineRule="auto"/>
              <w:rPr>
                <w:rFonts w:ascii="宋体"/>
                <w:szCs w:val="21"/>
              </w:rPr>
            </w:pPr>
            <w:r>
              <w:rPr>
                <w:rFonts w:hint="eastAsia" w:ascii="宋体" w:hAnsi="宋体" w:cs="宋体"/>
                <w:szCs w:val="21"/>
              </w:rPr>
              <w:t>投标人使用加密投标文件的CA数字证书在投标截止时间起</w:t>
            </w:r>
            <w:r>
              <w:rPr>
                <w:rFonts w:hint="eastAsia" w:ascii="宋体" w:hAnsi="宋体" w:cs="宋体"/>
                <w:szCs w:val="21"/>
                <w:u w:val="single"/>
              </w:rPr>
              <w:t xml:space="preserve"> 30 </w:t>
            </w:r>
            <w:r>
              <w:rPr>
                <w:rFonts w:hint="eastAsia" w:ascii="宋体" w:hAnsi="宋体" w:cs="宋体"/>
                <w:szCs w:val="21"/>
              </w:rPr>
              <w:t>分钟内完成投标文件的解密，投标文件在解密时限内未解密或解密失败，视为撤销其投标文件，开标继续进行。（如因交易平台出现系统故障，导致解密无法完成的，由采购人或采购代理机构酌情延长解密时间）</w:t>
            </w:r>
          </w:p>
        </w:tc>
      </w:tr>
      <w:tr w14:paraId="1AC639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1C23DE0A">
            <w:pPr>
              <w:adjustRightInd w:val="0"/>
              <w:snapToGrid w:val="0"/>
              <w:spacing w:line="360" w:lineRule="auto"/>
              <w:rPr>
                <w:rFonts w:asciiTheme="minorEastAsia" w:hAnsiTheme="minorEastAsia" w:eastAsiaTheme="minorEastAsia"/>
                <w:b/>
                <w:szCs w:val="21"/>
              </w:rPr>
            </w:pPr>
            <w:r>
              <w:rPr>
                <w:rFonts w:hint="eastAsia" w:asciiTheme="minorEastAsia" w:hAnsiTheme="minorEastAsia" w:eastAsiaTheme="minorEastAsia"/>
                <w:b/>
                <w:szCs w:val="21"/>
              </w:rPr>
              <w:t>六、中标信息公布</w:t>
            </w:r>
          </w:p>
        </w:tc>
      </w:tr>
      <w:tr w14:paraId="3D2604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BEF1878">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第26.2</w:t>
            </w:r>
            <w:r>
              <w:rPr>
                <w:rFonts w:hint="eastAsia" w:cs="宋体" w:asciiTheme="minorEastAsia" w:hAnsiTheme="minorEastAsia" w:eastAsiaTheme="minorEastAsia"/>
                <w:kern w:val="0"/>
                <w:szCs w:val="21"/>
                <w:lang w:val="zh-CN"/>
              </w:rPr>
              <w:t>款</w:t>
            </w:r>
          </w:p>
        </w:tc>
        <w:tc>
          <w:tcPr>
            <w:tcW w:w="2693" w:type="dxa"/>
            <w:vAlign w:val="center"/>
          </w:tcPr>
          <w:p w14:paraId="22FB40BB">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中标候选人并列的确定中标人的方式</w:t>
            </w:r>
          </w:p>
        </w:tc>
        <w:tc>
          <w:tcPr>
            <w:tcW w:w="4678" w:type="dxa"/>
            <w:vAlign w:val="center"/>
          </w:tcPr>
          <w:p w14:paraId="10BA610B">
            <w:pPr>
              <w:adjustRightInd w:val="0"/>
              <w:snapToGrid w:val="0"/>
              <w:spacing w:line="360" w:lineRule="auto"/>
              <w:rPr>
                <w:rFonts w:asciiTheme="minorEastAsia" w:hAnsiTheme="minorEastAsia" w:eastAsiaTheme="minorEastAsia"/>
                <w:szCs w:val="21"/>
                <w:u w:val="single"/>
              </w:rPr>
            </w:pPr>
            <w:r>
              <w:rPr>
                <w:rFonts w:hint="eastAsia"/>
              </w:rPr>
              <w:t>按评审后得分由高到低顺序排列，得分相同的，按投标报价由低到高顺序排列；得分且投标报价相同的，投标文件满足招标文件全部实质性要求，且按照技术评审得分最高的投标人为排名第一的中标候选人。</w:t>
            </w:r>
          </w:p>
        </w:tc>
      </w:tr>
      <w:tr w14:paraId="19F58C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7B9BA5C">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第27.3</w:t>
            </w:r>
            <w:r>
              <w:rPr>
                <w:rFonts w:hint="eastAsia" w:cs="宋体" w:asciiTheme="minorEastAsia" w:hAnsiTheme="minorEastAsia" w:eastAsiaTheme="minorEastAsia"/>
                <w:kern w:val="0"/>
                <w:szCs w:val="21"/>
                <w:lang w:val="zh-CN"/>
              </w:rPr>
              <w:t>款</w:t>
            </w:r>
          </w:p>
        </w:tc>
        <w:tc>
          <w:tcPr>
            <w:tcW w:w="2693" w:type="dxa"/>
            <w:vAlign w:val="center"/>
          </w:tcPr>
          <w:p w14:paraId="324E8270">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接收质疑函的联系部门、联系电话和通讯地址</w:t>
            </w:r>
          </w:p>
        </w:tc>
        <w:tc>
          <w:tcPr>
            <w:tcW w:w="4678" w:type="dxa"/>
            <w:vAlign w:val="center"/>
          </w:tcPr>
          <w:p w14:paraId="6F657016">
            <w:pPr>
              <w:widowControl/>
              <w:spacing w:line="360" w:lineRule="exact"/>
              <w:jc w:val="left"/>
              <w:rPr>
                <w:rFonts w:ascii="宋体" w:hAnsi="宋体"/>
                <w:kern w:val="0"/>
                <w:szCs w:val="21"/>
              </w:rPr>
            </w:pPr>
            <w:r>
              <w:rPr>
                <w:rFonts w:hint="eastAsia" w:ascii="宋体" w:hAnsi="宋体"/>
                <w:kern w:val="0"/>
                <w:szCs w:val="21"/>
              </w:rPr>
              <w:t>1、接收质疑函的方式：投标人应按照《湖南省</w:t>
            </w:r>
          </w:p>
          <w:p w14:paraId="58924565">
            <w:pPr>
              <w:widowControl/>
              <w:spacing w:line="360" w:lineRule="exact"/>
              <w:jc w:val="left"/>
              <w:rPr>
                <w:rFonts w:ascii="宋体" w:hAnsi="宋体"/>
                <w:kern w:val="0"/>
                <w:szCs w:val="21"/>
              </w:rPr>
            </w:pPr>
            <w:r>
              <w:rPr>
                <w:rFonts w:hint="eastAsia" w:ascii="宋体" w:hAnsi="宋体"/>
                <w:kern w:val="0"/>
                <w:szCs w:val="21"/>
              </w:rPr>
              <w:t>财政厅关于印发&lt;政府采购质疑答复和投诉处</w:t>
            </w:r>
          </w:p>
          <w:p w14:paraId="070EE03E">
            <w:pPr>
              <w:widowControl/>
              <w:spacing w:line="360" w:lineRule="exact"/>
              <w:jc w:val="left"/>
              <w:rPr>
                <w:rFonts w:ascii="宋体" w:hAnsi="宋体"/>
                <w:kern w:val="0"/>
                <w:szCs w:val="21"/>
              </w:rPr>
            </w:pPr>
            <w:r>
              <w:rPr>
                <w:rFonts w:hint="eastAsia" w:ascii="宋体" w:hAnsi="宋体"/>
                <w:kern w:val="0"/>
                <w:szCs w:val="21"/>
              </w:rPr>
              <w:t>理操作规程&gt;的通知》（</w:t>
            </w:r>
            <w:r>
              <w:rPr>
                <w:rFonts w:hint="eastAsia" w:ascii="宋体" w:hAnsi="宋体"/>
                <w:kern w:val="0"/>
                <w:szCs w:val="21"/>
                <w:lang w:eastAsia="zh-CN"/>
              </w:rPr>
              <w:t>湘财购〔2024〕67号</w:t>
            </w:r>
            <w:r>
              <w:rPr>
                <w:rFonts w:hint="eastAsia" w:ascii="宋体" w:hAnsi="宋体"/>
                <w:kern w:val="0"/>
                <w:szCs w:val="21"/>
              </w:rPr>
              <w:t>）</w:t>
            </w:r>
          </w:p>
          <w:p w14:paraId="39494DEB">
            <w:pPr>
              <w:widowControl/>
              <w:spacing w:line="360" w:lineRule="exact"/>
              <w:jc w:val="left"/>
              <w:rPr>
                <w:rFonts w:ascii="宋体" w:hAnsi="宋体"/>
                <w:kern w:val="0"/>
                <w:szCs w:val="21"/>
              </w:rPr>
            </w:pPr>
            <w:r>
              <w:rPr>
                <w:rFonts w:hint="eastAsia" w:ascii="宋体" w:hAnsi="宋体"/>
                <w:kern w:val="0"/>
                <w:szCs w:val="21"/>
              </w:rPr>
              <w:t>规定向采购人和采购代理机构一并提交书面质</w:t>
            </w:r>
          </w:p>
          <w:p w14:paraId="4BFF6062">
            <w:pPr>
              <w:widowControl/>
              <w:spacing w:line="360" w:lineRule="exact"/>
              <w:jc w:val="left"/>
              <w:rPr>
                <w:rFonts w:ascii="宋体" w:hAnsi="宋体"/>
                <w:kern w:val="0"/>
                <w:szCs w:val="21"/>
              </w:rPr>
            </w:pPr>
            <w:r>
              <w:rPr>
                <w:rFonts w:hint="eastAsia" w:ascii="宋体" w:hAnsi="宋体"/>
                <w:kern w:val="0"/>
                <w:szCs w:val="21"/>
              </w:rPr>
              <w:t>疑函及相关证明材料。</w:t>
            </w:r>
          </w:p>
          <w:p w14:paraId="17ABA7F6">
            <w:pPr>
              <w:widowControl/>
              <w:spacing w:line="360" w:lineRule="exact"/>
              <w:jc w:val="left"/>
              <w:rPr>
                <w:rFonts w:ascii="宋体" w:hAnsi="宋体"/>
                <w:kern w:val="0"/>
                <w:sz w:val="24"/>
                <w:szCs w:val="21"/>
              </w:rPr>
            </w:pPr>
            <w:r>
              <w:rPr>
                <w:rFonts w:hint="eastAsia" w:ascii="宋体" w:hAnsi="宋体"/>
                <w:kern w:val="0"/>
                <w:szCs w:val="21"/>
              </w:rPr>
              <w:t xml:space="preserve">2、接收质疑函的联系部门、联系电话和通讯地 </w:t>
            </w:r>
          </w:p>
          <w:p w14:paraId="77881FEB">
            <w:pPr>
              <w:widowControl/>
              <w:spacing w:line="360" w:lineRule="exact"/>
              <w:jc w:val="left"/>
              <w:rPr>
                <w:rFonts w:ascii="宋体" w:hAnsi="宋体"/>
                <w:kern w:val="0"/>
                <w:szCs w:val="21"/>
              </w:rPr>
            </w:pPr>
            <w:r>
              <w:rPr>
                <w:rFonts w:hint="eastAsia" w:ascii="宋体" w:hAnsi="宋体"/>
                <w:kern w:val="0"/>
                <w:szCs w:val="21"/>
              </w:rPr>
              <w:t>址：</w:t>
            </w:r>
          </w:p>
          <w:p w14:paraId="24622F6A">
            <w:pPr>
              <w:widowControl/>
              <w:spacing w:line="360" w:lineRule="exact"/>
              <w:jc w:val="left"/>
              <w:rPr>
                <w:rFonts w:hint="eastAsia" w:ascii="宋体" w:hAnsi="宋体" w:eastAsia="宋体"/>
                <w:kern w:val="0"/>
                <w:szCs w:val="21"/>
                <w:lang w:eastAsia="zh-CN"/>
              </w:rPr>
            </w:pPr>
            <w:r>
              <w:rPr>
                <w:rFonts w:hint="eastAsia" w:ascii="宋体" w:hAnsi="宋体"/>
                <w:kern w:val="0"/>
                <w:szCs w:val="21"/>
              </w:rPr>
              <w:t>联系部门：</w:t>
            </w:r>
            <w:r>
              <w:rPr>
                <w:rFonts w:hint="eastAsia" w:ascii="宋体" w:hAnsi="宋体"/>
                <w:kern w:val="0"/>
                <w:szCs w:val="21"/>
                <w:lang w:eastAsia="zh-CN"/>
              </w:rPr>
              <w:t>湖南凌云咨询集团有限公司</w:t>
            </w:r>
          </w:p>
          <w:p w14:paraId="026806B4">
            <w:pPr>
              <w:widowControl/>
              <w:spacing w:line="360" w:lineRule="exact"/>
              <w:jc w:val="left"/>
              <w:rPr>
                <w:rFonts w:hint="eastAsia" w:ascii="宋体" w:hAnsi="宋体"/>
                <w:kern w:val="0"/>
                <w:szCs w:val="21"/>
                <w:lang w:eastAsia="zh-CN"/>
              </w:rPr>
            </w:pPr>
            <w:r>
              <w:rPr>
                <w:rFonts w:hint="eastAsia" w:ascii="宋体" w:hAnsi="宋体"/>
                <w:kern w:val="0"/>
                <w:szCs w:val="21"/>
              </w:rPr>
              <w:t>通讯地址：</w:t>
            </w:r>
            <w:r>
              <w:rPr>
                <w:rFonts w:hint="eastAsia" w:ascii="宋体" w:hAnsi="宋体"/>
                <w:kern w:val="0"/>
                <w:szCs w:val="21"/>
                <w:lang w:eastAsia="zh-CN"/>
              </w:rPr>
              <w:t>郴州市青年大道11号湘南风情康居园19栋</w:t>
            </w:r>
          </w:p>
          <w:p w14:paraId="21EA533A">
            <w:pPr>
              <w:widowControl/>
              <w:spacing w:line="360" w:lineRule="exact"/>
              <w:jc w:val="left"/>
              <w:rPr>
                <w:rFonts w:ascii="宋体" w:hAnsi="宋体"/>
                <w:kern w:val="0"/>
                <w:szCs w:val="21"/>
              </w:rPr>
            </w:pPr>
            <w:r>
              <w:rPr>
                <w:rFonts w:hint="eastAsia" w:ascii="宋体" w:hAnsi="宋体"/>
                <w:kern w:val="0"/>
                <w:szCs w:val="21"/>
              </w:rPr>
              <w:t>联系电话：</w:t>
            </w:r>
            <w:r>
              <w:rPr>
                <w:rFonts w:hint="eastAsia" w:ascii="宋体" w:hAnsi="宋体" w:eastAsia="宋体" w:cs="Times New Roman"/>
                <w:color w:val="auto"/>
                <w:szCs w:val="21"/>
                <w:highlight w:val="none"/>
                <w:lang w:eastAsia="zh-CN"/>
              </w:rPr>
              <w:t>0735-8880904</w:t>
            </w:r>
            <w:r>
              <w:rPr>
                <w:rFonts w:hint="eastAsia" w:ascii="宋体" w:hAnsi="宋体" w:eastAsia="宋体" w:cs="Times New Roman"/>
                <w:color w:val="auto"/>
                <w:szCs w:val="21"/>
                <w:highlight w:val="none"/>
                <w:lang w:val="en-US" w:eastAsia="zh-CN"/>
              </w:rPr>
              <w:t xml:space="preserve"> </w:t>
            </w:r>
          </w:p>
          <w:p w14:paraId="6B709834">
            <w:pPr>
              <w:widowControl/>
              <w:spacing w:line="360" w:lineRule="exact"/>
              <w:jc w:val="left"/>
              <w:rPr>
                <w:rFonts w:hint="eastAsia" w:ascii="宋体" w:hAnsi="宋体" w:eastAsia="宋体"/>
                <w:kern w:val="0"/>
                <w:szCs w:val="21"/>
                <w:lang w:eastAsia="zh-CN"/>
              </w:rPr>
            </w:pPr>
            <w:r>
              <w:rPr>
                <w:rFonts w:hint="eastAsia" w:ascii="宋体" w:hAnsi="宋体"/>
                <w:kern w:val="0"/>
                <w:szCs w:val="21"/>
              </w:rPr>
              <w:t>联系部门：</w:t>
            </w:r>
            <w:r>
              <w:rPr>
                <w:rFonts w:hint="eastAsia" w:ascii="宋体" w:hAnsi="宋体"/>
                <w:kern w:val="0"/>
                <w:szCs w:val="21"/>
                <w:lang w:eastAsia="zh-CN"/>
              </w:rPr>
              <w:t>郴州市数据局</w:t>
            </w:r>
          </w:p>
          <w:p w14:paraId="367A7724">
            <w:pPr>
              <w:widowControl/>
              <w:spacing w:line="360" w:lineRule="exact"/>
              <w:jc w:val="left"/>
              <w:rPr>
                <w:rFonts w:ascii="宋体" w:hAnsi="宋体"/>
                <w:kern w:val="0"/>
                <w:szCs w:val="21"/>
              </w:rPr>
            </w:pPr>
            <w:r>
              <w:rPr>
                <w:rFonts w:hint="eastAsia" w:ascii="宋体" w:hAnsi="宋体"/>
                <w:kern w:val="0"/>
                <w:szCs w:val="21"/>
              </w:rPr>
              <w:t>通讯地址：郴州市苏仙区青年大道下白水村城投大厦主楼</w:t>
            </w:r>
            <w:r>
              <w:rPr>
                <w:rFonts w:hint="eastAsia" w:ascii="宋体" w:hAnsi="宋体"/>
                <w:kern w:val="0"/>
                <w:szCs w:val="21"/>
                <w:lang w:val="en-US" w:eastAsia="zh-CN"/>
              </w:rPr>
              <w:t>223</w:t>
            </w:r>
            <w:r>
              <w:rPr>
                <w:rFonts w:hint="eastAsia" w:ascii="宋体" w:hAnsi="宋体"/>
                <w:kern w:val="0"/>
                <w:szCs w:val="21"/>
              </w:rPr>
              <w:t>办公室</w:t>
            </w:r>
          </w:p>
          <w:p w14:paraId="639A2D42">
            <w:pPr>
              <w:widowControl/>
              <w:spacing w:line="360" w:lineRule="exact"/>
              <w:jc w:val="left"/>
              <w:rPr>
                <w:rFonts w:hint="eastAsia" w:eastAsia="宋体" w:asciiTheme="minorEastAsia" w:hAnsiTheme="minorEastAsia"/>
                <w:szCs w:val="21"/>
                <w:lang w:eastAsia="zh-CN"/>
              </w:rPr>
            </w:pPr>
            <w:r>
              <w:rPr>
                <w:rFonts w:hint="eastAsia" w:ascii="宋体" w:hAnsi="宋体"/>
                <w:kern w:val="0"/>
                <w:szCs w:val="21"/>
              </w:rPr>
              <w:t>联系电话：</w:t>
            </w:r>
            <w:r>
              <w:rPr>
                <w:rFonts w:hint="eastAsia" w:ascii="宋体" w:hAnsi="宋体"/>
                <w:kern w:val="0"/>
                <w:szCs w:val="21"/>
                <w:lang w:eastAsia="zh-CN"/>
              </w:rPr>
              <w:t>0735-2877238</w:t>
            </w:r>
          </w:p>
        </w:tc>
      </w:tr>
      <w:tr w14:paraId="727230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6BBBDAC5">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b/>
                <w:szCs w:val="21"/>
              </w:rPr>
              <w:t>七、其他规定</w:t>
            </w:r>
          </w:p>
        </w:tc>
      </w:tr>
      <w:tr w14:paraId="0D2B64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85BC698">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第32.1</w:t>
            </w:r>
            <w:r>
              <w:rPr>
                <w:rFonts w:hint="eastAsia" w:cs="宋体" w:asciiTheme="minorEastAsia" w:hAnsiTheme="minorEastAsia" w:eastAsiaTheme="minorEastAsia"/>
                <w:kern w:val="0"/>
                <w:szCs w:val="21"/>
                <w:lang w:val="zh-CN"/>
              </w:rPr>
              <w:t>款</w:t>
            </w:r>
          </w:p>
        </w:tc>
        <w:tc>
          <w:tcPr>
            <w:tcW w:w="2693" w:type="dxa"/>
            <w:vAlign w:val="center"/>
          </w:tcPr>
          <w:p w14:paraId="04B4520B">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招标代理服务费</w:t>
            </w:r>
          </w:p>
        </w:tc>
        <w:tc>
          <w:tcPr>
            <w:tcW w:w="4678" w:type="dxa"/>
            <w:vAlign w:val="center"/>
          </w:tcPr>
          <w:p w14:paraId="53D52A38">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□集中采购机构不收代理服务费。</w:t>
            </w:r>
          </w:p>
          <w:p w14:paraId="6936A6BA">
            <w:pPr>
              <w:adjustRightInd w:val="0"/>
              <w:snapToGrid w:val="0"/>
              <w:spacing w:line="360" w:lineRule="auto"/>
              <w:rPr>
                <w:rFonts w:asciiTheme="minorEastAsia" w:hAnsiTheme="minorEastAsia" w:eastAsiaTheme="minorEastAsia"/>
                <w:szCs w:val="21"/>
              </w:rPr>
            </w:pPr>
            <w:r>
              <w:rPr>
                <w:rFonts w:hint="eastAsia"/>
              </w:rPr>
              <w:sym w:font="Wingdings 2" w:char="0052"/>
            </w:r>
            <w:r>
              <w:rPr>
                <w:rFonts w:hint="eastAsia" w:asciiTheme="minorEastAsia" w:hAnsiTheme="minorEastAsia" w:eastAsiaTheme="minorEastAsia"/>
                <w:szCs w:val="21"/>
              </w:rPr>
              <w:t>招标代理服务费由采购人支付。</w:t>
            </w:r>
          </w:p>
        </w:tc>
      </w:tr>
      <w:tr w14:paraId="03DDB2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84406CA">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第33.1</w:t>
            </w:r>
            <w:r>
              <w:rPr>
                <w:rFonts w:hint="eastAsia" w:cs="宋体" w:asciiTheme="minorEastAsia" w:hAnsiTheme="minorEastAsia" w:eastAsiaTheme="minorEastAsia"/>
                <w:kern w:val="0"/>
                <w:szCs w:val="21"/>
                <w:lang w:val="zh-CN"/>
              </w:rPr>
              <w:t>款</w:t>
            </w:r>
          </w:p>
        </w:tc>
        <w:tc>
          <w:tcPr>
            <w:tcW w:w="2693" w:type="dxa"/>
            <w:vAlign w:val="center"/>
          </w:tcPr>
          <w:p w14:paraId="17D62C87">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其他规定</w:t>
            </w:r>
          </w:p>
        </w:tc>
        <w:tc>
          <w:tcPr>
            <w:tcW w:w="4678" w:type="dxa"/>
            <w:vAlign w:val="center"/>
          </w:tcPr>
          <w:p w14:paraId="38B25C76">
            <w:pPr>
              <w:widowControl/>
              <w:spacing w:line="360" w:lineRule="exact"/>
              <w:jc w:val="left"/>
              <w:rPr>
                <w:rFonts w:ascii="宋体" w:hAnsi="宋体"/>
                <w:kern w:val="0"/>
                <w:szCs w:val="21"/>
              </w:rPr>
            </w:pPr>
            <w:r>
              <w:rPr>
                <w:rFonts w:hint="eastAsia" w:ascii="宋体" w:hAnsi="宋体"/>
                <w:kern w:val="0"/>
                <w:szCs w:val="21"/>
              </w:rPr>
              <w:t>1、投标人应在投标截止时间之前完成电子投标文件上传。若因投标人对网上招投标操作不熟悉或自身电脑，个人网络等原因导致不能在投标截止时间之前完成投标文件上传的，所造成的投标失败或损失由投标人自行承担，建议各投标人在工作时间段内上传投标文件，选择 IE11 刘览器进行文件解密，在操作系统过程中有疑问或困难请及时进行资询 。</w:t>
            </w:r>
          </w:p>
          <w:p w14:paraId="5A579B6C">
            <w:pPr>
              <w:widowControl/>
              <w:spacing w:line="360" w:lineRule="exact"/>
              <w:jc w:val="left"/>
              <w:rPr>
                <w:rFonts w:ascii="宋体" w:hAnsi="宋体"/>
                <w:kern w:val="0"/>
                <w:szCs w:val="21"/>
              </w:rPr>
            </w:pPr>
            <w:r>
              <w:rPr>
                <w:rFonts w:hint="eastAsia" w:ascii="宋体" w:hAnsi="宋体"/>
                <w:kern w:val="0"/>
                <w:szCs w:val="21"/>
              </w:rPr>
              <w:t>2、投标人使用加密投标文件的 CA 数字证书在规定时间内完成投标文件解密。因投标人自身原因未在规定时间内完成解密或解密失败的，视为撤销投标文件，其责任由投标人自行承担，开标继续进行。若开标时出现网络故障、交易系统技术故障等情形，导致解密无法完成而影响采购活动开展的，采购人有权采取非加密文件上传或将项目延期、延长投标文件解密时间等相应措施，以保障采购活动的公开公平和公正，投标人不得对此持有异议。</w:t>
            </w:r>
          </w:p>
          <w:p w14:paraId="702573FE">
            <w:pPr>
              <w:widowControl/>
              <w:spacing w:line="360" w:lineRule="exact"/>
              <w:jc w:val="left"/>
              <w:rPr>
                <w:rFonts w:ascii="宋体" w:hAnsi="宋体"/>
                <w:kern w:val="0"/>
                <w:szCs w:val="21"/>
              </w:rPr>
            </w:pPr>
            <w:r>
              <w:rPr>
                <w:rFonts w:hint="eastAsia" w:ascii="宋体" w:hAnsi="宋体"/>
                <w:kern w:val="0"/>
                <w:szCs w:val="21"/>
              </w:rPr>
              <w:t>3、合同备案</w:t>
            </w:r>
          </w:p>
          <w:p w14:paraId="5A8AC747">
            <w:pPr>
              <w:widowControl/>
              <w:spacing w:line="360" w:lineRule="exact"/>
              <w:jc w:val="left"/>
              <w:rPr>
                <w:rFonts w:ascii="宋体" w:hAnsi="宋体"/>
                <w:kern w:val="0"/>
                <w:szCs w:val="21"/>
              </w:rPr>
            </w:pPr>
            <w:r>
              <w:rPr>
                <w:rFonts w:hint="eastAsia" w:ascii="宋体" w:hAnsi="宋体"/>
                <w:kern w:val="0"/>
                <w:szCs w:val="21"/>
              </w:rPr>
              <w:t>3.1中标人应在发出中标通知书之日起20天内（日历日）与采购人签订政府采购合同。</w:t>
            </w:r>
          </w:p>
          <w:p w14:paraId="070542D4">
            <w:pPr>
              <w:widowControl/>
              <w:spacing w:line="360" w:lineRule="exact"/>
              <w:jc w:val="left"/>
              <w:rPr>
                <w:rFonts w:ascii="宋体" w:hAnsi="宋体"/>
                <w:kern w:val="0"/>
                <w:szCs w:val="21"/>
              </w:rPr>
            </w:pPr>
            <w:r>
              <w:rPr>
                <w:rFonts w:hint="eastAsia" w:ascii="宋体" w:hAnsi="宋体"/>
                <w:kern w:val="0"/>
                <w:szCs w:val="21"/>
              </w:rPr>
              <w:t>3.1 中标人与采购人签订政府采购合同后，</w:t>
            </w:r>
            <w:r>
              <w:rPr>
                <w:rFonts w:hint="eastAsia" w:ascii="宋体" w:hAnsi="宋体"/>
                <w:b w:val="0"/>
                <w:bCs/>
                <w:kern w:val="0"/>
                <w:szCs w:val="21"/>
              </w:rPr>
              <w:t>应当在合同签订后1个工作日内将政府采购合同在湖南省政府采购网公示</w:t>
            </w:r>
            <w:r>
              <w:rPr>
                <w:rFonts w:hint="eastAsia" w:ascii="宋体" w:hAnsi="宋体"/>
                <w:kern w:val="0"/>
                <w:szCs w:val="21"/>
              </w:rPr>
              <w:t>，并将合同原件交采购代理机构存档。</w:t>
            </w:r>
          </w:p>
          <w:p w14:paraId="18FC0ECF">
            <w:pPr>
              <w:widowControl/>
              <w:spacing w:line="360" w:lineRule="exact"/>
              <w:jc w:val="left"/>
              <w:rPr>
                <w:rFonts w:ascii="宋体" w:hAnsi="宋体"/>
                <w:kern w:val="0"/>
                <w:szCs w:val="21"/>
              </w:rPr>
            </w:pPr>
            <w:r>
              <w:rPr>
                <w:rFonts w:hint="eastAsia" w:ascii="宋体" w:hAnsi="宋体"/>
                <w:kern w:val="0"/>
                <w:szCs w:val="21"/>
              </w:rPr>
              <w:t>4、免责声明</w:t>
            </w:r>
          </w:p>
          <w:p w14:paraId="23859B25">
            <w:pPr>
              <w:widowControl/>
              <w:spacing w:line="360" w:lineRule="exact"/>
              <w:jc w:val="left"/>
              <w:rPr>
                <w:rFonts w:ascii="宋体" w:hAnsi="宋体"/>
                <w:kern w:val="0"/>
                <w:szCs w:val="21"/>
              </w:rPr>
            </w:pPr>
            <w:r>
              <w:rPr>
                <w:rFonts w:hint="eastAsia" w:ascii="宋体" w:hAnsi="宋体"/>
                <w:kern w:val="0"/>
                <w:szCs w:val="21"/>
              </w:rPr>
              <w:t>4.1 投标人自行承担投标过程中产生的费用。无论因何种因素导致招标项目延期开标、废标（流标）、投标人未中标、项目终止招标的，采购人与采购代理机构均不承担投标人的投标费用。</w:t>
            </w:r>
          </w:p>
          <w:p w14:paraId="5B3B11DC">
            <w:pPr>
              <w:adjustRightInd w:val="0"/>
              <w:snapToGrid w:val="0"/>
              <w:spacing w:line="360" w:lineRule="auto"/>
              <w:rPr>
                <w:rFonts w:hint="eastAsia" w:ascii="宋体" w:hAnsi="宋体"/>
                <w:kern w:val="0"/>
                <w:szCs w:val="21"/>
              </w:rPr>
            </w:pPr>
            <w:r>
              <w:rPr>
                <w:rFonts w:hint="eastAsia" w:ascii="宋体" w:hAnsi="宋体"/>
                <w:kern w:val="0"/>
                <w:szCs w:val="21"/>
              </w:rPr>
              <w:t>4.2 投标人在投标、合同履行过程中必须做好安全保障工作，不因项目实施而危及自身及第三方人员、财产安全。若发生任何安全事故，由中标人自行承担一切责任并赔偿损失。</w:t>
            </w:r>
          </w:p>
          <w:p w14:paraId="058EA01B">
            <w:pPr>
              <w:adjustRightInd w:val="0"/>
              <w:snapToGrid w:val="0"/>
              <w:spacing w:line="360" w:lineRule="auto"/>
              <w:rPr>
                <w:rFonts w:hint="eastAsia" w:ascii="宋体" w:hAnsi="宋体" w:eastAsia="宋体"/>
                <w:color w:val="auto"/>
                <w:kern w:val="0"/>
                <w:szCs w:val="21"/>
                <w:lang w:val="en-US" w:eastAsia="zh-CN"/>
              </w:rPr>
            </w:pPr>
            <w:r>
              <w:rPr>
                <w:rFonts w:hint="eastAsia" w:ascii="宋体" w:hAnsi="宋体" w:eastAsia="宋体"/>
                <w:color w:val="auto"/>
                <w:kern w:val="0"/>
                <w:szCs w:val="21"/>
                <w:lang w:val="en-US" w:eastAsia="zh-CN"/>
              </w:rPr>
              <w:t>5、异常低价审查</w:t>
            </w:r>
            <w:r>
              <w:rPr>
                <w:rFonts w:hint="eastAsia" w:ascii="宋体" w:hAnsi="宋体" w:eastAsia="宋体"/>
                <w:color w:val="auto"/>
                <w:kern w:val="0"/>
                <w:szCs w:val="21"/>
                <w:lang w:eastAsia="zh-CN"/>
              </w:rPr>
              <w:t>按</w:t>
            </w:r>
            <w:r>
              <w:rPr>
                <w:rFonts w:hint="eastAsia" w:ascii="宋体" w:hAnsi="宋体" w:eastAsia="宋体"/>
                <w:color w:val="auto"/>
                <w:kern w:val="0"/>
                <w:szCs w:val="21"/>
                <w:lang w:val="en-US" w:eastAsia="zh-CN"/>
              </w:rPr>
              <w:t>（</w:t>
            </w:r>
            <w:r>
              <w:rPr>
                <w:rFonts w:hint="eastAsia" w:ascii="宋体" w:hAnsi="宋体" w:eastAsia="宋体"/>
                <w:color w:val="auto"/>
                <w:kern w:val="0"/>
                <w:szCs w:val="21"/>
                <w:lang w:eastAsia="zh-CN"/>
              </w:rPr>
              <w:t>财库〔2026〕2号文件要求执行）</w:t>
            </w:r>
            <w:r>
              <w:rPr>
                <w:rFonts w:hint="eastAsia" w:ascii="宋体" w:hAnsi="宋体" w:eastAsia="宋体"/>
                <w:color w:val="auto"/>
                <w:kern w:val="0"/>
                <w:szCs w:val="21"/>
                <w:lang w:val="en-US" w:eastAsia="zh-CN"/>
              </w:rPr>
              <w:t>：</w:t>
            </w:r>
          </w:p>
          <w:p w14:paraId="3F046CFA">
            <w:pPr>
              <w:adjustRightInd w:val="0"/>
              <w:snapToGrid w:val="0"/>
              <w:spacing w:line="360" w:lineRule="auto"/>
              <w:rPr>
                <w:rFonts w:hint="eastAsia" w:ascii="宋体" w:hAnsi="宋体" w:eastAsia="宋体"/>
                <w:color w:val="auto"/>
                <w:kern w:val="0"/>
                <w:szCs w:val="21"/>
                <w:lang w:val="en-US" w:eastAsia="zh-CN"/>
              </w:rPr>
            </w:pPr>
            <w:r>
              <w:rPr>
                <w:rFonts w:hint="eastAsia" w:ascii="宋体" w:hAnsi="宋体" w:eastAsia="宋体"/>
                <w:color w:val="auto"/>
                <w:kern w:val="0"/>
                <w:szCs w:val="21"/>
                <w:lang w:val="en-US" w:eastAsia="zh-CN"/>
              </w:rPr>
              <w:t>出现下列情形之一的，评审委员会应当启动异常低价投标（响应）审查程序：</w:t>
            </w:r>
          </w:p>
          <w:p w14:paraId="61775913">
            <w:pPr>
              <w:adjustRightInd w:val="0"/>
              <w:snapToGrid w:val="0"/>
              <w:spacing w:line="360" w:lineRule="auto"/>
              <w:rPr>
                <w:rFonts w:hint="eastAsia" w:ascii="宋体" w:hAnsi="宋体" w:eastAsia="宋体"/>
                <w:color w:val="auto"/>
                <w:kern w:val="0"/>
                <w:szCs w:val="21"/>
                <w:lang w:val="en-US" w:eastAsia="zh-CN"/>
              </w:rPr>
            </w:pPr>
            <w:r>
              <w:rPr>
                <w:rFonts w:hint="eastAsia" w:ascii="宋体" w:hAnsi="宋体" w:eastAsia="宋体"/>
                <w:color w:val="auto"/>
                <w:kern w:val="0"/>
                <w:szCs w:val="21"/>
                <w:lang w:val="en-US" w:eastAsia="zh-CN"/>
              </w:rPr>
              <w:t>（1）投标（响应）报价低于全部通过符合性审查供应商投标（响应）报价平均值50%的，即投标（响应）报价＜全部通过符合性审查供应商投标（响应）报价平均值×50%；</w:t>
            </w:r>
          </w:p>
          <w:p w14:paraId="13231A26">
            <w:pPr>
              <w:adjustRightInd w:val="0"/>
              <w:snapToGrid w:val="0"/>
              <w:spacing w:line="360" w:lineRule="auto"/>
              <w:rPr>
                <w:rFonts w:hint="eastAsia" w:ascii="宋体" w:hAnsi="宋体" w:eastAsia="宋体"/>
                <w:color w:val="auto"/>
                <w:kern w:val="0"/>
                <w:szCs w:val="21"/>
                <w:lang w:val="en-US" w:eastAsia="zh-CN"/>
              </w:rPr>
            </w:pPr>
            <w:r>
              <w:rPr>
                <w:rFonts w:hint="eastAsia" w:ascii="宋体" w:hAnsi="宋体" w:eastAsia="宋体"/>
                <w:color w:val="auto"/>
                <w:kern w:val="0"/>
                <w:szCs w:val="21"/>
                <w:lang w:val="en-US" w:eastAsia="zh-CN"/>
              </w:rPr>
              <w:t>（2）投标（响应）报价低于通过符合性审查的次低报价供应商投标（响应）报价50%的，即投标（响应）报价＜通过符合性审查的次低报价（响应）供应商投标报价×50%；</w:t>
            </w:r>
          </w:p>
          <w:p w14:paraId="34AED57A">
            <w:pPr>
              <w:adjustRightInd w:val="0"/>
              <w:snapToGrid w:val="0"/>
              <w:spacing w:line="360" w:lineRule="auto"/>
              <w:rPr>
                <w:rFonts w:hint="eastAsia" w:ascii="宋体" w:hAnsi="宋体" w:eastAsia="宋体"/>
                <w:color w:val="auto"/>
                <w:kern w:val="0"/>
                <w:szCs w:val="21"/>
                <w:lang w:val="en-US" w:eastAsia="zh-CN"/>
              </w:rPr>
            </w:pPr>
            <w:r>
              <w:rPr>
                <w:rFonts w:hint="eastAsia" w:ascii="宋体" w:hAnsi="宋体" w:eastAsia="宋体"/>
                <w:color w:val="auto"/>
                <w:kern w:val="0"/>
                <w:szCs w:val="21"/>
                <w:lang w:val="en-US" w:eastAsia="zh-CN"/>
              </w:rPr>
              <w:t>（3）投标（响应）报价低于采购项目最高限价45%的，即投标（响应）报价＜采购项目最高限价×45%；</w:t>
            </w:r>
          </w:p>
          <w:p w14:paraId="5964B90B">
            <w:pPr>
              <w:adjustRightInd w:val="0"/>
              <w:snapToGrid w:val="0"/>
              <w:spacing w:line="360" w:lineRule="auto"/>
              <w:rPr>
                <w:rFonts w:hint="eastAsia" w:ascii="宋体" w:hAnsi="宋体" w:eastAsia="宋体"/>
                <w:color w:val="auto"/>
                <w:kern w:val="0"/>
                <w:szCs w:val="21"/>
                <w:lang w:val="en-US" w:eastAsia="zh-CN"/>
              </w:rPr>
            </w:pPr>
            <w:r>
              <w:rPr>
                <w:rFonts w:hint="eastAsia" w:ascii="宋体" w:hAnsi="宋体" w:eastAsia="宋体"/>
                <w:color w:val="auto"/>
                <w:kern w:val="0"/>
                <w:szCs w:val="21"/>
                <w:lang w:val="en-US" w:eastAsia="zh-CN"/>
              </w:rPr>
              <w:t>（4）评审委员会基于专业判断，认为供应商报价过低，有可能影响产品质量或者不能诚信履约的其他情形。</w:t>
            </w:r>
          </w:p>
          <w:p w14:paraId="65F208BE">
            <w:pPr>
              <w:adjustRightInd w:val="0"/>
              <w:snapToGrid w:val="0"/>
              <w:spacing w:line="360" w:lineRule="auto"/>
              <w:rPr>
                <w:rFonts w:hint="eastAsia" w:ascii="宋体" w:hAnsi="宋体" w:eastAsia="宋体"/>
                <w:color w:val="auto"/>
                <w:kern w:val="0"/>
                <w:szCs w:val="21"/>
                <w:lang w:val="en-US" w:eastAsia="zh-CN"/>
              </w:rPr>
            </w:pPr>
            <w:r>
              <w:rPr>
                <w:rFonts w:hint="eastAsia" w:ascii="宋体" w:hAnsi="宋体" w:eastAsia="宋体"/>
                <w:color w:val="auto"/>
                <w:kern w:val="0"/>
                <w:szCs w:val="21"/>
                <w:lang w:val="en-US" w:eastAsia="zh-CN"/>
              </w:rPr>
              <w:t>说明：（一）采购人可以结合具体项目实际情况，提高上述第1项至第3项中启动异常低价投标（响应）审查的数值标准，但是最高不得超过65%。</w:t>
            </w:r>
          </w:p>
          <w:p w14:paraId="2B254E43">
            <w:pPr>
              <w:adjustRightInd w:val="0"/>
              <w:snapToGrid w:val="0"/>
              <w:spacing w:line="360" w:lineRule="auto"/>
              <w:rPr>
                <w:rFonts w:hint="eastAsia" w:ascii="宋体" w:hAnsi="宋体" w:eastAsia="宋体"/>
                <w:color w:val="auto"/>
                <w:kern w:val="0"/>
                <w:szCs w:val="21"/>
                <w:lang w:val="en-US" w:eastAsia="zh-CN"/>
              </w:rPr>
            </w:pPr>
            <w:r>
              <w:rPr>
                <w:rFonts w:hint="eastAsia" w:ascii="宋体" w:hAnsi="宋体" w:eastAsia="宋体"/>
                <w:color w:val="auto"/>
                <w:kern w:val="0"/>
                <w:szCs w:val="21"/>
                <w:lang w:val="en-US" w:eastAsia="zh-CN"/>
              </w:rPr>
              <w:t>（二）评审委员会在评审中发现【异常低价审查】规定情形之一的，评标委员会应当启动异常低价投标审查程序。评审委员会启动异常低价投标审查后，属于第1项至第4项情形的，应当要求相关供应商在评审现场合理的时间内对投标（响应）价格作出解释，提供项目具体成本测算等与报价合理性相关的书面说明及必要的证明材料，包括但不限于原材料成本、人工成本、制造费等，给予相关供应商的合理时间一般不少于30分钟。其中，属于第3项情形，供应商已随投标（响应）文件一并提交相关书面说明及必要的证明材料的，在评审现场可不再重复提交。</w:t>
            </w:r>
          </w:p>
          <w:p w14:paraId="0FB2A053">
            <w:pPr>
              <w:adjustRightInd w:val="0"/>
              <w:snapToGrid w:val="0"/>
              <w:spacing w:line="360" w:lineRule="auto"/>
              <w:rPr>
                <w:rFonts w:hint="default" w:ascii="宋体" w:hAnsi="宋体"/>
                <w:kern w:val="0"/>
                <w:szCs w:val="21"/>
                <w:lang w:val="en-US" w:eastAsia="zh-CN"/>
              </w:rPr>
            </w:pPr>
            <w:r>
              <w:rPr>
                <w:rFonts w:hint="eastAsia" w:ascii="宋体" w:hAnsi="宋体" w:eastAsia="宋体"/>
                <w:color w:val="auto"/>
                <w:kern w:val="0"/>
                <w:szCs w:val="21"/>
                <w:lang w:val="en-US" w:eastAsia="zh-CN"/>
              </w:rPr>
              <w:t>（三）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bl>
    <w:p w14:paraId="0AA5E48B">
      <w:pPr>
        <w:adjustRightInd w:val="0"/>
        <w:snapToGrid w:val="0"/>
        <w:spacing w:line="360" w:lineRule="auto"/>
        <w:rPr>
          <w:rFonts w:ascii="宋体" w:hAnsi="宋体"/>
          <w:b/>
          <w:szCs w:val="21"/>
        </w:rPr>
      </w:pPr>
      <w:r>
        <w:rPr>
          <w:rFonts w:ascii="宋体" w:hAnsi="宋体"/>
          <w:b/>
          <w:szCs w:val="21"/>
        </w:rPr>
        <w:br w:type="page"/>
      </w:r>
    </w:p>
    <w:p w14:paraId="0B06B1F1">
      <w:pPr>
        <w:pStyle w:val="4"/>
        <w:adjustRightInd w:val="0"/>
        <w:snapToGrid w:val="0"/>
        <w:spacing w:beforeLines="50"/>
        <w:jc w:val="center"/>
        <w:rPr>
          <w:rFonts w:ascii="黑体" w:hAnsi="黑体" w:eastAsia="黑体"/>
          <w:sz w:val="28"/>
          <w:szCs w:val="28"/>
        </w:rPr>
      </w:pPr>
      <w:bookmarkStart w:id="21" w:name="_Toc172716651"/>
      <w:bookmarkStart w:id="22" w:name="_Toc11081"/>
      <w:bookmarkStart w:id="23" w:name="_Toc29913896"/>
      <w:r>
        <w:rPr>
          <w:rFonts w:hint="eastAsia" w:ascii="黑体" w:hAnsi="黑体" w:eastAsia="黑体"/>
          <w:sz w:val="28"/>
          <w:szCs w:val="28"/>
        </w:rPr>
        <w:t>第二节 投标须知</w:t>
      </w:r>
      <w:bookmarkEnd w:id="21"/>
      <w:bookmarkEnd w:id="22"/>
      <w:bookmarkEnd w:id="23"/>
    </w:p>
    <w:p w14:paraId="03785142">
      <w:pPr>
        <w:pStyle w:val="5"/>
        <w:adjustRightInd w:val="0"/>
        <w:snapToGrid w:val="0"/>
        <w:spacing w:beforeLines="50" w:after="0" w:line="360" w:lineRule="auto"/>
        <w:jc w:val="center"/>
        <w:rPr>
          <w:rFonts w:ascii="黑体" w:hAnsi="黑体" w:eastAsia="黑体"/>
          <w:b w:val="0"/>
          <w:sz w:val="28"/>
          <w:szCs w:val="28"/>
        </w:rPr>
      </w:pPr>
      <w:bookmarkStart w:id="24" w:name="_Toc172716652"/>
      <w:bookmarkStart w:id="25" w:name="_Toc29913897"/>
      <w:bookmarkStart w:id="26" w:name="_Toc13834"/>
      <w:r>
        <w:rPr>
          <w:rFonts w:hint="eastAsia" w:ascii="黑体" w:hAnsi="黑体" w:eastAsia="黑体"/>
          <w:sz w:val="28"/>
          <w:szCs w:val="28"/>
        </w:rPr>
        <w:t>一、总则</w:t>
      </w:r>
      <w:bookmarkEnd w:id="24"/>
      <w:bookmarkEnd w:id="25"/>
      <w:bookmarkEnd w:id="26"/>
    </w:p>
    <w:p w14:paraId="5C9CF1B8">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 适用范围</w:t>
      </w:r>
    </w:p>
    <w:p w14:paraId="373406E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1.1本招标文件仅适用于本章第一节“投标须知前附表”（以下简称</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）中所叙述的采购项目。</w:t>
      </w:r>
    </w:p>
    <w:p w14:paraId="25204A3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1.2</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规定采购项目专门面向中小企业采购的，如投标人为非中小企业，其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w:t>
      </w:r>
    </w:p>
    <w:p w14:paraId="29A033A7">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2. 定义</w:t>
      </w:r>
    </w:p>
    <w:p w14:paraId="4B0D2AFB">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2.1采购项目联系人姓名和电话见</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w:t>
      </w:r>
    </w:p>
    <w:p w14:paraId="35F40D96">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2.2采购人名称、地址、电话、联系人见</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w:t>
      </w:r>
    </w:p>
    <w:p w14:paraId="3D71F2D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2.3采购代理机构名称、地址、电话、联系人见</w:t>
      </w:r>
      <w:r>
        <w:rPr>
          <w:rFonts w:hint="eastAsia" w:asciiTheme="minorEastAsia" w:hAnsiTheme="minorEastAsia" w:eastAsiaTheme="minorEastAsia"/>
          <w:b/>
          <w:szCs w:val="21"/>
        </w:rPr>
        <w:t>【投标须知前附表】。</w:t>
      </w:r>
    </w:p>
    <w:p w14:paraId="28BDDCC7">
      <w:pPr>
        <w:adjustRightInd w:val="0"/>
        <w:snapToGrid w:val="0"/>
        <w:spacing w:beforeLines="50" w:line="360" w:lineRule="auto"/>
        <w:ind w:firstLine="420" w:firstLineChars="200"/>
        <w:jc w:val="left"/>
        <w:rPr>
          <w:rFonts w:asciiTheme="minorEastAsia" w:hAnsiTheme="minorEastAsia" w:eastAsiaTheme="minorEastAsia"/>
          <w:b/>
          <w:szCs w:val="21"/>
        </w:rPr>
      </w:pPr>
      <w:r>
        <w:rPr>
          <w:rFonts w:hint="eastAsia" w:asciiTheme="minorEastAsia" w:hAnsiTheme="minorEastAsia" w:eastAsiaTheme="minorEastAsia"/>
          <w:szCs w:val="21"/>
        </w:rPr>
        <w:t>2.4投标人系指响应招标、参加投标竞争的法人、其他组织或自然人。</w:t>
      </w:r>
    </w:p>
    <w:p w14:paraId="4B104469">
      <w:pPr>
        <w:adjustRightInd w:val="0"/>
        <w:snapToGrid w:val="0"/>
        <w:spacing w:beforeLines="50" w:line="360" w:lineRule="auto"/>
        <w:ind w:firstLine="420" w:firstLineChars="200"/>
        <w:jc w:val="left"/>
        <w:rPr>
          <w:rFonts w:cs="宋体" w:asciiTheme="minorEastAsia" w:hAnsiTheme="minorEastAsia" w:eastAsiaTheme="minorEastAsia"/>
          <w:kern w:val="0"/>
          <w:szCs w:val="21"/>
        </w:rPr>
      </w:pPr>
      <w:r>
        <w:rPr>
          <w:rFonts w:asciiTheme="minorEastAsia" w:hAnsiTheme="minorEastAsia" w:eastAsiaTheme="minorEastAsia"/>
          <w:szCs w:val="21"/>
        </w:rPr>
        <w:t>2.</w:t>
      </w:r>
      <w:r>
        <w:rPr>
          <w:rFonts w:hint="eastAsia" w:asciiTheme="minorEastAsia" w:hAnsiTheme="minorEastAsia" w:eastAsiaTheme="minorEastAsia"/>
          <w:szCs w:val="21"/>
        </w:rPr>
        <w:t>5</w:t>
      </w:r>
      <w:r>
        <w:rPr>
          <w:rFonts w:hint="eastAsia" w:cs="宋体" w:asciiTheme="minorEastAsia" w:hAnsiTheme="minorEastAsia" w:eastAsiaTheme="minorEastAsia"/>
          <w:kern w:val="0"/>
          <w:szCs w:val="21"/>
        </w:rPr>
        <w:t>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szCs w:val="21"/>
        </w:rPr>
        <w:t>【投标须知前附表】</w:t>
      </w:r>
      <w:r>
        <w:rPr>
          <w:rFonts w:hint="eastAsia" w:cs="宋体" w:asciiTheme="minorEastAsia" w:hAnsiTheme="minorEastAsia" w:eastAsiaTheme="minorEastAsia"/>
          <w:kern w:val="0"/>
          <w:szCs w:val="21"/>
        </w:rPr>
        <w:t>另有规定外，采购项目</w:t>
      </w:r>
      <w:r>
        <w:rPr>
          <w:rFonts w:hint="eastAsia" w:cs="宋体" w:asciiTheme="minorEastAsia" w:hAnsiTheme="minorEastAsia" w:eastAsiaTheme="minorEastAsia"/>
          <w:b/>
          <w:kern w:val="0"/>
          <w:szCs w:val="21"/>
        </w:rPr>
        <w:t>拒绝进口产品参加投标</w:t>
      </w:r>
      <w:r>
        <w:rPr>
          <w:rFonts w:hint="eastAsia" w:cs="宋体" w:asciiTheme="minorEastAsia" w:hAnsiTheme="minorEastAsia" w:eastAsiaTheme="minorEastAsia"/>
          <w:kern w:val="0"/>
          <w:szCs w:val="21"/>
        </w:rPr>
        <w:t>。本款规定同意购买进口产品的，不限制满足招标文件要求的国内产品参与投标竞争。</w:t>
      </w:r>
    </w:p>
    <w:p w14:paraId="7DB5E131">
      <w:pPr>
        <w:adjustRightInd w:val="0"/>
        <w:snapToGrid w:val="0"/>
        <w:spacing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2.6电子招标投标：是指电子招标投标参与各方（采购人、采购代理机构、供应商、评审专家）按照相关法律法规的规定，应用网络信息技术，使用CA数字证书（含电子签章、签名）在电子招标投标交易平台(以下简称交易平台)，进行的招标投标活动。</w:t>
      </w:r>
    </w:p>
    <w:p w14:paraId="1AF763B6">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3. 投标人的资格要求</w:t>
      </w:r>
    </w:p>
    <w:p w14:paraId="6EF7DCBC">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3.1投标人应当符合</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规定的投标人资格条件。</w:t>
      </w:r>
    </w:p>
    <w:p w14:paraId="2F71C035">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3.2</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规定接受联合体形式投标的，投标人除应符合本章第3.1</w:t>
      </w:r>
      <w:r>
        <w:rPr>
          <w:rFonts w:hint="eastAsia" w:cs="宋体" w:asciiTheme="minorEastAsia" w:hAnsiTheme="minorEastAsia" w:eastAsiaTheme="minorEastAsia"/>
          <w:kern w:val="0"/>
          <w:szCs w:val="21"/>
          <w:lang w:val="zh-CN"/>
        </w:rPr>
        <w:t>款</w:t>
      </w:r>
      <w:r>
        <w:rPr>
          <w:rFonts w:hint="eastAsia" w:asciiTheme="minorEastAsia" w:hAnsiTheme="minorEastAsia" w:eastAsiaTheme="minorEastAsia"/>
          <w:szCs w:val="21"/>
        </w:rPr>
        <w:t xml:space="preserve">规定外，还应遵守以下规定： </w:t>
      </w:r>
    </w:p>
    <w:p w14:paraId="249A5D12">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（l）联合体中有同类资质的供应商按照联合体分工承担相同工作的，应当按照资质等级较低的供应商确定资质等级。</w:t>
      </w:r>
    </w:p>
    <w:p w14:paraId="71D94F1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（2）联合体各方应按招标文件提供的格式签订联合体协议书，明确联合体牵头人和各方的权利义务、合同工作量比例；</w:t>
      </w:r>
    </w:p>
    <w:p w14:paraId="157AD163">
      <w:pPr>
        <w:adjustRightInd w:val="0"/>
        <w:snapToGrid w:val="0"/>
        <w:spacing w:beforeLines="50" w:line="360" w:lineRule="auto"/>
        <w:ind w:firstLine="420" w:firstLineChars="200"/>
        <w:jc w:val="left"/>
        <w:rPr>
          <w:rFonts w:cs="宋体" w:asciiTheme="minorEastAsia" w:hAnsiTheme="minorEastAsia" w:eastAsiaTheme="minorEastAsia"/>
          <w:kern w:val="0"/>
          <w:szCs w:val="21"/>
          <w:lang w:val="zh-CN"/>
        </w:rPr>
      </w:pPr>
      <w:r>
        <w:rPr>
          <w:rFonts w:hint="eastAsia" w:asciiTheme="minorEastAsia" w:hAnsiTheme="minorEastAsia" w:eastAsiaTheme="minorEastAsia"/>
          <w:szCs w:val="21"/>
        </w:rPr>
        <w:t>（3）联合体各方签订联合体协议书后，</w:t>
      </w:r>
      <w:r>
        <w:rPr>
          <w:rFonts w:hint="eastAsia" w:cs="宋体" w:asciiTheme="minorEastAsia" w:hAnsiTheme="minorEastAsia" w:eastAsiaTheme="minorEastAsia"/>
          <w:kern w:val="0"/>
          <w:szCs w:val="21"/>
          <w:lang w:val="zh-CN"/>
        </w:rPr>
        <w:t>不得再单独参加或者与其他投标人组成新的联合体参加同一合同项下的采购活动。</w:t>
      </w:r>
    </w:p>
    <w:p w14:paraId="1A8BF072">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 xml:space="preserve">4. 投标费用 </w:t>
      </w:r>
    </w:p>
    <w:p w14:paraId="4457F65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4.1投标人应自行承担所有参与投标的相关费用，不论投标的结果如何，采购人、采购代理机构均无义务和责任承担这些费用。</w:t>
      </w:r>
    </w:p>
    <w:p w14:paraId="191327A9">
      <w:pPr>
        <w:adjustRightInd w:val="0"/>
        <w:snapToGrid w:val="0"/>
        <w:spacing w:beforeLines="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5．组织现场考察或者召开答疑会</w:t>
      </w:r>
    </w:p>
    <w:p w14:paraId="50440C22">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rPr>
        <w:t>5.1采购人、采购代理机构可以在</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规定的招标文件提供期限截止后，组织已获取招标文件的潜在投标人现场考察或者召开开标前答疑会。</w:t>
      </w:r>
    </w:p>
    <w:p w14:paraId="15E232A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5.2获取招标文件的潜在投标人应按</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规定参加现场考察或者答疑会；如不参加，其风险由其自行承担。</w:t>
      </w:r>
    </w:p>
    <w:p w14:paraId="4FCAB9D8">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5.3潜在投标人现场考察或者参加答疑会的费用由自己承担，现场考察期间所发生的人身伤害及财产损失由自己负责。</w:t>
      </w:r>
    </w:p>
    <w:p w14:paraId="1E0E2B12">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5.4采购人、采购代理机构不对投标人据此而做出的推论、理解和结论负责。投标人一旦中标，不得以任何借口，提出额外补偿，或延长合同期限的要求。</w:t>
      </w:r>
    </w:p>
    <w:p w14:paraId="6997EED3">
      <w:pPr>
        <w:pStyle w:val="5"/>
        <w:adjustRightInd w:val="0"/>
        <w:snapToGrid w:val="0"/>
        <w:spacing w:beforeLines="50" w:after="0" w:line="360" w:lineRule="auto"/>
        <w:jc w:val="center"/>
        <w:rPr>
          <w:rFonts w:ascii="黑体" w:hAnsi="黑体" w:eastAsia="黑体"/>
          <w:sz w:val="28"/>
          <w:szCs w:val="28"/>
        </w:rPr>
      </w:pPr>
      <w:bookmarkStart w:id="27" w:name="_Toc172716653"/>
      <w:bookmarkStart w:id="28" w:name="_Toc6469"/>
      <w:bookmarkStart w:id="29" w:name="_Toc29913898"/>
      <w:r>
        <w:rPr>
          <w:rFonts w:hint="eastAsia" w:ascii="黑体" w:hAnsi="黑体" w:eastAsia="黑体"/>
          <w:sz w:val="28"/>
          <w:szCs w:val="28"/>
        </w:rPr>
        <w:t>二、招标文件</w:t>
      </w:r>
      <w:bookmarkEnd w:id="27"/>
      <w:bookmarkEnd w:id="28"/>
      <w:bookmarkEnd w:id="29"/>
    </w:p>
    <w:p w14:paraId="14A0B794">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6. 招标文件的构成</w:t>
      </w:r>
    </w:p>
    <w:p w14:paraId="320D9ECA">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6.1 招标文件共七章，各章内容如下：</w:t>
      </w:r>
    </w:p>
    <w:p w14:paraId="6FAF81E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第一章 投标邀请</w:t>
      </w:r>
    </w:p>
    <w:p w14:paraId="5A84B84B">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第二章 投标须知</w:t>
      </w:r>
    </w:p>
    <w:p w14:paraId="7985AB6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第三章 资格审查</w:t>
      </w:r>
    </w:p>
    <w:p w14:paraId="1752EB6A">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第四章 评标方法及标准</w:t>
      </w:r>
    </w:p>
    <w:p w14:paraId="4A6DCC06">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第五章 采购需求</w:t>
      </w:r>
    </w:p>
    <w:p w14:paraId="1E4C37BE">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第六章 政府采购合同</w:t>
      </w:r>
    </w:p>
    <w:p w14:paraId="37E3F2D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第七章 投标文件的组成</w:t>
      </w:r>
    </w:p>
    <w:p w14:paraId="03E02264">
      <w:pPr>
        <w:adjustRightInd w:val="0"/>
        <w:snapToGrid w:val="0"/>
        <w:spacing w:beforeLines="50" w:line="360" w:lineRule="auto"/>
        <w:ind w:firstLine="420" w:firstLineChars="200"/>
        <w:jc w:val="left"/>
        <w:rPr>
          <w:rFonts w:cs="宋体" w:asciiTheme="minorEastAsia" w:hAnsiTheme="minorEastAsia" w:eastAsiaTheme="minorEastAsia"/>
          <w:b/>
          <w:szCs w:val="21"/>
        </w:rPr>
      </w:pPr>
      <w:r>
        <w:rPr>
          <w:rFonts w:hint="eastAsia" w:asciiTheme="minorEastAsia" w:hAnsiTheme="minorEastAsia" w:eastAsiaTheme="minorEastAsia"/>
          <w:szCs w:val="21"/>
        </w:rPr>
        <w:t>6.2采购人、采购代理机构在提交投标文件截止时间前</w:t>
      </w:r>
      <w:r>
        <w:rPr>
          <w:rFonts w:hint="eastAsia" w:cs="宋体" w:asciiTheme="minorEastAsia" w:hAnsiTheme="minorEastAsia" w:eastAsiaTheme="minorEastAsia"/>
          <w:szCs w:val="21"/>
        </w:rPr>
        <w:t>对招标文件所作的澄清或者修改，构成招标文件的组成部分。</w:t>
      </w:r>
    </w:p>
    <w:p w14:paraId="2663BC2C">
      <w:pPr>
        <w:adjustRightInd w:val="0"/>
        <w:snapToGrid w:val="0"/>
        <w:spacing w:beforeLines="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7．偏离与实质性响应</w:t>
      </w:r>
    </w:p>
    <w:p w14:paraId="25C930AC">
      <w:pPr>
        <w:adjustRightInd w:val="0"/>
        <w:snapToGrid w:val="0"/>
        <w:spacing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7.1投标人应当按照招标文件的要求编制投标文件。投标文件应当对招标文件提出的要求和条件作出明确响应。</w:t>
      </w:r>
    </w:p>
    <w:p w14:paraId="76748A6F">
      <w:pPr>
        <w:adjustRightInd w:val="0"/>
        <w:snapToGrid w:val="0"/>
        <w:spacing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7.2偏离是指投标文件不响应或者不满足招标文件提出的要求和条件，分为实质性偏离和非实质性偏离。</w:t>
      </w:r>
    </w:p>
    <w:p w14:paraId="4D223BCF">
      <w:pPr>
        <w:adjustRightInd w:val="0"/>
        <w:snapToGrid w:val="0"/>
        <w:spacing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7.3除法律、法规和招标文件规定的其他投标无效情形外，招标文件中用“★”符号标明的条款为实质性要求和条件，对其中任何一条的偏离，为实质性偏离，</w:t>
      </w:r>
      <w:r>
        <w:rPr>
          <w:rFonts w:hint="eastAsia" w:asciiTheme="minorEastAsia" w:hAnsiTheme="minorEastAsia" w:eastAsiaTheme="minorEastAsia"/>
          <w:b/>
        </w:rPr>
        <w:t>其投标无效</w:t>
      </w:r>
      <w:r>
        <w:rPr>
          <w:rFonts w:hint="eastAsia" w:asciiTheme="minorEastAsia" w:hAnsiTheme="minorEastAsia" w:eastAsiaTheme="minorEastAsia"/>
        </w:rPr>
        <w:t>。</w:t>
      </w:r>
    </w:p>
    <w:p w14:paraId="0D265B30">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7.4投标</w:t>
      </w:r>
      <w:r>
        <w:rPr>
          <w:rFonts w:hint="eastAsia" w:asciiTheme="minorEastAsia" w:hAnsiTheme="minorEastAsia" w:eastAsiaTheme="minorEastAsia"/>
          <w:szCs w:val="21"/>
        </w:rPr>
        <w:t>文件偏离招标文件的非实质性要求和条件，为非实质性偏离。非实质性偏离的范围和幅度应当符合</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的规定，</w:t>
      </w:r>
      <w:r>
        <w:rPr>
          <w:rFonts w:hint="eastAsia" w:asciiTheme="minorEastAsia" w:hAnsiTheme="minorEastAsia" w:eastAsiaTheme="minorEastAsia"/>
          <w:b/>
          <w:szCs w:val="21"/>
        </w:rPr>
        <w:t>否</w:t>
      </w:r>
      <w:r>
        <w:rPr>
          <w:rFonts w:hint="eastAsia" w:asciiTheme="minorEastAsia" w:hAnsiTheme="minorEastAsia" w:eastAsiaTheme="minorEastAsia"/>
          <w:b/>
        </w:rPr>
        <w:t>则投标无效</w:t>
      </w:r>
      <w:r>
        <w:rPr>
          <w:rFonts w:hint="eastAsia" w:asciiTheme="minorEastAsia" w:hAnsiTheme="minorEastAsia" w:eastAsiaTheme="minorEastAsia"/>
        </w:rPr>
        <w:t>。</w:t>
      </w:r>
    </w:p>
    <w:p w14:paraId="781CD403">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8. 询问</w:t>
      </w:r>
    </w:p>
    <w:p w14:paraId="52A00A51">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8.1潜在投标人应仔细阅读和检查招标文件的全部内容。如有疑问，可以向采购人或者采购代理机构提出询问。</w:t>
      </w:r>
    </w:p>
    <w:p w14:paraId="2BA7ECE3">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9. 招标文件的澄清或者修改</w:t>
      </w:r>
    </w:p>
    <w:p w14:paraId="4B532F97">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9.1采购人、采购代理机构对已发出的招标文件进行必要澄清或者修改的，将在</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w:t>
      </w:r>
      <w:r>
        <w:rPr>
          <w:rFonts w:hint="eastAsia" w:asciiTheme="minorEastAsia" w:hAnsiTheme="minorEastAsia" w:eastAsiaTheme="minorEastAsia"/>
        </w:rPr>
        <w:t>招标公告指定媒体上发布澄清或者修改公告。</w:t>
      </w:r>
    </w:p>
    <w:p w14:paraId="7C3201FA">
      <w:pPr>
        <w:adjustRightInd w:val="0"/>
        <w:snapToGrid w:val="0"/>
        <w:spacing w:beforeLines="50" w:line="360" w:lineRule="auto"/>
        <w:ind w:firstLine="420" w:firstLineChars="200"/>
        <w:jc w:val="left"/>
        <w:rPr>
          <w:rFonts w:asciiTheme="minorEastAsia" w:hAnsiTheme="minorEastAsia" w:eastAsiaTheme="minorEastAsia"/>
        </w:rPr>
      </w:pPr>
      <w:r>
        <w:rPr>
          <w:rFonts w:hint="eastAsia" w:cs="宋体" w:asciiTheme="minorEastAsia" w:hAnsiTheme="minorEastAsia" w:eastAsiaTheme="minorEastAsia"/>
          <w:kern w:val="0"/>
          <w:szCs w:val="21"/>
        </w:rPr>
        <w:t>9.2澄清或者修改</w:t>
      </w:r>
      <w:r>
        <w:rPr>
          <w:rFonts w:hint="eastAsia" w:asciiTheme="minorEastAsia" w:hAnsiTheme="minorEastAsia" w:eastAsiaTheme="minorEastAsia"/>
        </w:rPr>
        <w:t>的</w:t>
      </w:r>
      <w:r>
        <w:rPr>
          <w:rFonts w:hint="eastAsia" w:cs="宋体" w:asciiTheme="minorEastAsia" w:hAnsiTheme="minorEastAsia" w:eastAsiaTheme="minorEastAsia"/>
          <w:kern w:val="0"/>
          <w:szCs w:val="21"/>
        </w:rPr>
        <w:t>内容可能影响投标文件编制的，采购人、采购代理机构</w:t>
      </w:r>
      <w:r>
        <w:rPr>
          <w:rFonts w:hint="eastAsia" w:asciiTheme="minorEastAsia" w:hAnsiTheme="minorEastAsia" w:eastAsiaTheme="minorEastAsia"/>
        </w:rPr>
        <w:t>将</w:t>
      </w:r>
      <w:r>
        <w:rPr>
          <w:rFonts w:hint="eastAsia" w:cs="宋体" w:asciiTheme="minorEastAsia" w:hAnsiTheme="minorEastAsia" w:eastAsiaTheme="minorEastAsia"/>
          <w:kern w:val="0"/>
          <w:szCs w:val="21"/>
        </w:rPr>
        <w:t>在提交投标文件截止时间15日前，</w:t>
      </w:r>
      <w:r>
        <w:rPr>
          <w:rFonts w:hint="eastAsia" w:asciiTheme="minorEastAsia" w:hAnsiTheme="minorEastAsia" w:eastAsiaTheme="minorEastAsia"/>
        </w:rPr>
        <w:t>以数据电文形式通知所有获取招标文件的潜在投标人；不足15日的，将相应延长提交投标文件的截止时间。</w:t>
      </w:r>
    </w:p>
    <w:p w14:paraId="46DB51D5">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9</w:t>
      </w:r>
      <w:r>
        <w:rPr>
          <w:rFonts w:asciiTheme="minorEastAsia" w:hAnsiTheme="minorEastAsia" w:eastAsiaTheme="minorEastAsia"/>
        </w:rPr>
        <w:t>.3</w:t>
      </w:r>
      <w:r>
        <w:rPr>
          <w:rFonts w:hint="eastAsia" w:asciiTheme="minorEastAsia" w:hAnsiTheme="minorEastAsia" w:eastAsiaTheme="minorEastAsia"/>
        </w:rPr>
        <w:t>招标文件的提供期限届满后，获取招标文件的潜在投标人不足3家的，可以顺延提供期限，并在指定媒体上发布修改公告。</w:t>
      </w:r>
    </w:p>
    <w:p w14:paraId="66647A49">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9.4 通过交易平台下载招标文件的，请获取招标文件的潜在投标人及时关注</w:t>
      </w:r>
      <w:r>
        <w:rPr>
          <w:rFonts w:hint="eastAsia" w:asciiTheme="minorEastAsia" w:hAnsiTheme="minorEastAsia" w:eastAsiaTheme="minorEastAsia"/>
          <w:szCs w:val="21"/>
        </w:rPr>
        <w:t>招标公告指定媒体</w:t>
      </w:r>
      <w:r>
        <w:rPr>
          <w:rFonts w:hint="eastAsia" w:asciiTheme="minorEastAsia" w:hAnsiTheme="minorEastAsia" w:eastAsiaTheme="minorEastAsia"/>
        </w:rPr>
        <w:t>发布的澄清或者修改公告。</w:t>
      </w:r>
    </w:p>
    <w:p w14:paraId="4BC94542">
      <w:pPr>
        <w:pStyle w:val="5"/>
        <w:adjustRightInd w:val="0"/>
        <w:snapToGrid w:val="0"/>
        <w:spacing w:beforeLines="50" w:after="0" w:line="360" w:lineRule="auto"/>
        <w:jc w:val="center"/>
        <w:rPr>
          <w:rFonts w:ascii="黑体" w:hAnsi="黑体" w:eastAsia="黑体"/>
          <w:sz w:val="28"/>
          <w:szCs w:val="28"/>
        </w:rPr>
      </w:pPr>
      <w:bookmarkStart w:id="30" w:name="_Toc29913899"/>
      <w:bookmarkStart w:id="31" w:name="_Toc32523"/>
      <w:bookmarkStart w:id="32" w:name="_Toc172716654"/>
      <w:r>
        <w:rPr>
          <w:rFonts w:hint="eastAsia" w:ascii="黑体" w:hAnsi="黑体" w:eastAsia="黑体"/>
          <w:sz w:val="28"/>
          <w:szCs w:val="28"/>
        </w:rPr>
        <w:t>三、投标文件</w:t>
      </w:r>
      <w:bookmarkEnd w:id="30"/>
      <w:bookmarkEnd w:id="31"/>
      <w:bookmarkEnd w:id="32"/>
    </w:p>
    <w:p w14:paraId="6D51EAD3">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10. 投标语言</w:t>
      </w:r>
    </w:p>
    <w:p w14:paraId="735B2C11">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10.1除专用术语外，投标人提交的投标文件及投标人与采购人、采购代理机构就有关投标的所有来往函电均使用中文。投标人可以提交其它语言的资料，但应附有中文注释，有差异时以中文为准。</w:t>
      </w:r>
    </w:p>
    <w:p w14:paraId="1C24B9A6">
      <w:pPr>
        <w:adjustRightInd w:val="0"/>
        <w:snapToGrid w:val="0"/>
        <w:spacing w:beforeLines="50" w:line="360" w:lineRule="auto"/>
        <w:jc w:val="left"/>
        <w:rPr>
          <w:rFonts w:asciiTheme="minorEastAsia" w:hAnsiTheme="minorEastAsia" w:eastAsiaTheme="minorEastAsia"/>
          <w:b/>
          <w:sz w:val="24"/>
        </w:rPr>
      </w:pPr>
      <w:r>
        <w:rPr>
          <w:rFonts w:hint="eastAsia" w:asciiTheme="minorEastAsia" w:hAnsiTheme="minorEastAsia" w:eastAsiaTheme="minorEastAsia"/>
          <w:b/>
          <w:bCs/>
          <w:sz w:val="24"/>
        </w:rPr>
        <w:t xml:space="preserve">11. </w:t>
      </w:r>
      <w:r>
        <w:rPr>
          <w:rFonts w:hint="eastAsia" w:asciiTheme="minorEastAsia" w:hAnsiTheme="minorEastAsia" w:eastAsiaTheme="minorEastAsia"/>
          <w:b/>
          <w:sz w:val="24"/>
        </w:rPr>
        <w:t>计量单位</w:t>
      </w:r>
    </w:p>
    <w:p w14:paraId="5683FC8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11.1所有计量均采用中华人民共和国法定计量单位。</w:t>
      </w:r>
    </w:p>
    <w:p w14:paraId="08E5A2E4">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 xml:space="preserve">12. </w:t>
      </w:r>
      <w:r>
        <w:rPr>
          <w:rFonts w:hint="eastAsia" w:asciiTheme="minorEastAsia" w:hAnsiTheme="minorEastAsia" w:eastAsiaTheme="minorEastAsia"/>
          <w:b/>
          <w:bCs/>
          <w:sz w:val="24"/>
        </w:rPr>
        <w:t>投标文件的组成</w:t>
      </w:r>
    </w:p>
    <w:p w14:paraId="6B47CE3A">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12.1投标文件由如下内容组成：</w:t>
      </w:r>
    </w:p>
    <w:p w14:paraId="5474CFEF">
      <w:pPr>
        <w:adjustRightInd w:val="0"/>
        <w:snapToGrid w:val="0"/>
        <w:spacing w:beforeLines="50" w:line="360" w:lineRule="auto"/>
        <w:ind w:firstLine="422" w:firstLineChars="200"/>
        <w:jc w:val="left"/>
        <w:rPr>
          <w:rFonts w:asciiTheme="minorEastAsia" w:hAnsiTheme="minorEastAsia" w:eastAsiaTheme="minorEastAsia"/>
          <w:b/>
          <w:szCs w:val="21"/>
        </w:rPr>
      </w:pPr>
      <w:r>
        <w:rPr>
          <w:rFonts w:hint="eastAsia" w:asciiTheme="minorEastAsia" w:hAnsiTheme="minorEastAsia" w:eastAsiaTheme="minorEastAsia"/>
          <w:b/>
          <w:szCs w:val="21"/>
        </w:rPr>
        <w:t>第一部分 资格证明文件</w:t>
      </w:r>
    </w:p>
    <w:p w14:paraId="020BF56C">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（1）开标一览表</w:t>
      </w:r>
    </w:p>
    <w:p w14:paraId="646AF51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（2）法定代表人（单位负责人）身份证明或授权委托书</w:t>
      </w:r>
    </w:p>
    <w:p w14:paraId="3831B93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（3）投标人提供的资格证明文件</w:t>
      </w:r>
    </w:p>
    <w:p w14:paraId="4C30B5B7">
      <w:pPr>
        <w:adjustRightInd w:val="0"/>
        <w:snapToGrid w:val="0"/>
        <w:spacing w:beforeLines="50" w:line="360" w:lineRule="auto"/>
        <w:ind w:firstLine="422" w:firstLineChars="200"/>
        <w:jc w:val="left"/>
        <w:rPr>
          <w:rFonts w:asciiTheme="minorEastAsia" w:hAnsiTheme="minorEastAsia" w:eastAsiaTheme="minorEastAsia"/>
          <w:b/>
          <w:szCs w:val="21"/>
        </w:rPr>
      </w:pPr>
      <w:r>
        <w:rPr>
          <w:rFonts w:hint="eastAsia" w:asciiTheme="minorEastAsia" w:hAnsiTheme="minorEastAsia" w:eastAsiaTheme="minorEastAsia"/>
          <w:b/>
          <w:szCs w:val="21"/>
        </w:rPr>
        <w:t>第二部分 商务和技术文件</w:t>
      </w:r>
    </w:p>
    <w:p w14:paraId="3B6BCE35">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（4）投标函</w:t>
      </w:r>
    </w:p>
    <w:p w14:paraId="1865DD2F">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（5）分项报价</w:t>
      </w:r>
    </w:p>
    <w:p w14:paraId="38C8ECFF">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（6）采购需求响应</w:t>
      </w:r>
    </w:p>
    <w:p w14:paraId="58B120A6">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（7）合同条款偏离表</w:t>
      </w:r>
    </w:p>
    <w:p w14:paraId="4796DB4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（8）采购需求偏离表</w:t>
      </w:r>
    </w:p>
    <w:p w14:paraId="66CA4AD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（9）享受政府采购政策优惠的证明资料</w:t>
      </w:r>
    </w:p>
    <w:p w14:paraId="0F084D7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（10）与投标服务相关的货物符合招标文件规定的证明文件</w:t>
      </w:r>
    </w:p>
    <w:p w14:paraId="7CF6389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（11）投标人认为需提供的其他资料</w:t>
      </w:r>
    </w:p>
    <w:p w14:paraId="290614F8">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12.2 根据《政府采购法》第四十二条的规定，投标人无论中标与否，其投标文件不予退还。</w:t>
      </w:r>
    </w:p>
    <w:p w14:paraId="019FC48B">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13. 投标报价</w:t>
      </w:r>
    </w:p>
    <w:p w14:paraId="76E087E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7C501F3C">
      <w:pPr>
        <w:adjustRightInd w:val="0"/>
        <w:snapToGrid w:val="0"/>
        <w:spacing w:beforeLines="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3</w:t>
      </w:r>
      <w:r>
        <w:rPr>
          <w:rFonts w:asciiTheme="minorEastAsia" w:hAnsiTheme="minorEastAsia" w:eastAsiaTheme="minorEastAsia"/>
          <w:szCs w:val="21"/>
        </w:rPr>
        <w:t>.</w:t>
      </w:r>
      <w:r>
        <w:rPr>
          <w:rFonts w:hint="eastAsia" w:asciiTheme="minorEastAsia" w:hAnsiTheme="minorEastAsia" w:eastAsiaTheme="minorEastAsia"/>
          <w:szCs w:val="21"/>
        </w:rPr>
        <w:t>2投标人的投标报价不得超过采购预算，也不得超过最高限价(如果设定)，否则其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。采购项目预算、最高限价见</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w:t>
      </w:r>
    </w:p>
    <w:p w14:paraId="33F2C41D">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szCs w:val="21"/>
        </w:rPr>
        <w:t>13.3 投标人应在分项报价明细表中对每项内容给予详细分项</w:t>
      </w:r>
      <w:r>
        <w:rPr>
          <w:rFonts w:hint="eastAsia" w:asciiTheme="minorEastAsia" w:hAnsiTheme="minorEastAsia" w:eastAsiaTheme="minorEastAsia"/>
        </w:rPr>
        <w:t>报价。</w:t>
      </w:r>
    </w:p>
    <w:p w14:paraId="7CBC1BCA">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13.4投标人对采购项目内容只允许有一个投标报价，否则其</w:t>
      </w:r>
      <w:r>
        <w:rPr>
          <w:rFonts w:hint="eastAsia" w:asciiTheme="minorEastAsia" w:hAnsiTheme="minorEastAsia" w:eastAsiaTheme="minorEastAsia"/>
          <w:b/>
        </w:rPr>
        <w:t>投标无效</w:t>
      </w:r>
      <w:r>
        <w:rPr>
          <w:rFonts w:hint="eastAsia" w:asciiTheme="minorEastAsia" w:hAnsiTheme="minorEastAsia" w:eastAsiaTheme="minorEastAsia"/>
        </w:rPr>
        <w:t>。</w:t>
      </w:r>
    </w:p>
    <w:p w14:paraId="36EEA6AC">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13.5采购人不接受投标人给予的赠品、回扣或者与采购无关的其他商品、服务。如有赠与行为，其</w:t>
      </w:r>
      <w:r>
        <w:rPr>
          <w:rFonts w:hint="eastAsia" w:asciiTheme="minorEastAsia" w:hAnsiTheme="minorEastAsia" w:eastAsiaTheme="minorEastAsia"/>
          <w:b/>
        </w:rPr>
        <w:t>投标无效</w:t>
      </w:r>
      <w:r>
        <w:rPr>
          <w:rFonts w:hint="eastAsia" w:asciiTheme="minorEastAsia" w:hAnsiTheme="minorEastAsia" w:eastAsiaTheme="minorEastAsia"/>
        </w:rPr>
        <w:t>。</w:t>
      </w:r>
    </w:p>
    <w:p w14:paraId="1AC3064F">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13.6</w:t>
      </w:r>
      <w:r>
        <w:rPr>
          <w:rFonts w:hint="eastAsia" w:asciiTheme="minorEastAsia" w:hAnsiTheme="minorEastAsia" w:eastAsiaTheme="minorEastAsia"/>
        </w:rPr>
        <w:t>投标文件中标明的价格在合同执行过程中是固定不变的，不得以任何理由予以变更。任何包含价格调整要求和条件的投标，其</w:t>
      </w:r>
      <w:r>
        <w:rPr>
          <w:rFonts w:hint="eastAsia" w:asciiTheme="minorEastAsia" w:hAnsiTheme="minorEastAsia" w:eastAsiaTheme="minorEastAsia"/>
          <w:b/>
        </w:rPr>
        <w:t>投标无效</w:t>
      </w:r>
      <w:r>
        <w:rPr>
          <w:rFonts w:hint="eastAsia" w:asciiTheme="minorEastAsia" w:hAnsiTheme="minorEastAsia" w:eastAsiaTheme="minorEastAsia"/>
        </w:rPr>
        <w:t>。</w:t>
      </w:r>
    </w:p>
    <w:p w14:paraId="55E8D120">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13.7投标人在投标截止时间前修改“开标一览表”中的投标报价的，应同时修改投标文件“分项报价明细表”“享受政府采购政策优惠的证明资料”以及“联合体协议书”（如果影响）等相关内容。</w:t>
      </w:r>
    </w:p>
    <w:p w14:paraId="040ECE5D">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13.8投标报价的其他要求见</w:t>
      </w:r>
      <w:r>
        <w:rPr>
          <w:rFonts w:hint="eastAsia" w:asciiTheme="minorEastAsia" w:hAnsiTheme="minorEastAsia"/>
          <w:b/>
          <w:szCs w:val="21"/>
        </w:rPr>
        <w:t>【投标须知前附表】</w:t>
      </w:r>
      <w:r>
        <w:rPr>
          <w:rFonts w:hint="eastAsia" w:asciiTheme="minorEastAsia" w:hAnsiTheme="minorEastAsia" w:eastAsiaTheme="minorEastAsia"/>
        </w:rPr>
        <w:t xml:space="preserve">。 </w:t>
      </w:r>
    </w:p>
    <w:p w14:paraId="48D57218">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 xml:space="preserve">14. </w:t>
      </w:r>
      <w:r>
        <w:rPr>
          <w:rFonts w:hint="eastAsia" w:asciiTheme="minorEastAsia" w:hAnsiTheme="minorEastAsia" w:eastAsiaTheme="minorEastAsia"/>
          <w:b/>
          <w:bCs/>
          <w:sz w:val="24"/>
        </w:rPr>
        <w:t>投标人的资格证明文件</w:t>
      </w:r>
    </w:p>
    <w:p w14:paraId="05006647">
      <w:pPr>
        <w:adjustRightInd w:val="0"/>
        <w:snapToGrid w:val="0"/>
        <w:spacing w:beforeLines="50" w:line="360" w:lineRule="auto"/>
        <w:ind w:firstLine="420" w:firstLineChars="200"/>
        <w:rPr>
          <w:rFonts w:asciiTheme="minorEastAsia" w:hAnsiTheme="minorEastAsia" w:eastAsiaTheme="minorEastAsia"/>
        </w:rPr>
      </w:pPr>
      <w:r>
        <w:rPr>
          <w:rFonts w:hint="eastAsia" w:asciiTheme="minorEastAsia" w:hAnsiTheme="minorEastAsia"/>
        </w:rPr>
        <w:t>14.1</w:t>
      </w:r>
      <w:r>
        <w:rPr>
          <w:rFonts w:hint="eastAsia" w:asciiTheme="minorEastAsia" w:hAnsiTheme="minorEastAsia" w:eastAsiaTheme="minorEastAsia"/>
          <w:szCs w:val="21"/>
        </w:rPr>
        <w:t>除</w:t>
      </w:r>
      <w:r>
        <w:rPr>
          <w:rFonts w:hint="eastAsia" w:asciiTheme="minorEastAsia" w:hAnsiTheme="minorEastAsia"/>
          <w:b/>
          <w:szCs w:val="21"/>
        </w:rPr>
        <w:t>【投标须知前附表】</w:t>
      </w:r>
      <w:r>
        <w:rPr>
          <w:rFonts w:hint="eastAsia" w:asciiTheme="minorEastAsia" w:hAnsiTheme="minorEastAsia" w:eastAsiaTheme="minorEastAsia"/>
          <w:szCs w:val="21"/>
        </w:rPr>
        <w:t>另有规</w:t>
      </w:r>
      <w:r>
        <w:rPr>
          <w:rFonts w:hint="eastAsia" w:asciiTheme="minorEastAsia" w:hAnsiTheme="minorEastAsia" w:eastAsiaTheme="minorEastAsia"/>
        </w:rPr>
        <w:t>定外，投标人应按下列规定提供资格证明文件。</w:t>
      </w:r>
    </w:p>
    <w:p w14:paraId="42CD63A8">
      <w:pPr>
        <w:adjustRightInd w:val="0"/>
        <w:snapToGrid w:val="0"/>
        <w:spacing w:beforeLines="50" w:line="360" w:lineRule="auto"/>
        <w:ind w:firstLine="420" w:firstLineChars="200"/>
        <w:rPr>
          <w:rFonts w:asciiTheme="minorEastAsia" w:hAnsiTheme="minorEastAsia"/>
        </w:rPr>
      </w:pPr>
      <w:r>
        <w:rPr>
          <w:rFonts w:hint="eastAsia" w:asciiTheme="minorEastAsia" w:hAnsiTheme="minorEastAsia"/>
        </w:rPr>
        <w:t>（1）</w:t>
      </w:r>
      <w:r>
        <w:rPr>
          <w:rFonts w:hint="eastAsia" w:asciiTheme="minorEastAsia" w:hAnsiTheme="minorEastAsia"/>
          <w:b/>
        </w:rPr>
        <w:t>法人或者其他组织的营业执照等主体资格证明文件，自然人的身份证明</w:t>
      </w:r>
      <w:r>
        <w:rPr>
          <w:rFonts w:hint="eastAsia" w:asciiTheme="minorEastAsia" w:hAnsiTheme="minorEastAsia"/>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5C7B4E01">
      <w:pPr>
        <w:adjustRightInd w:val="0"/>
        <w:snapToGrid w:val="0"/>
        <w:spacing w:beforeLines="50" w:line="360" w:lineRule="auto"/>
        <w:ind w:firstLine="420" w:firstLineChars="200"/>
        <w:rPr>
          <w:rFonts w:asciiTheme="minorEastAsia" w:hAnsiTheme="minorEastAsia"/>
        </w:rPr>
      </w:pPr>
      <w:r>
        <w:rPr>
          <w:rFonts w:hint="eastAsia" w:asciiTheme="minorEastAsia" w:hAnsiTheme="minorEastAsia"/>
        </w:rPr>
        <w:t>（2）</w:t>
      </w:r>
      <w:r>
        <w:rPr>
          <w:rFonts w:hint="eastAsia" w:asciiTheme="minorEastAsia" w:hAnsiTheme="minorEastAsia" w:eastAsiaTheme="minorEastAsia"/>
          <w:b/>
        </w:rPr>
        <w:t>投标人资格声明(格式)</w:t>
      </w:r>
    </w:p>
    <w:p w14:paraId="0C1957D1">
      <w:pPr>
        <w:adjustRightInd w:val="0"/>
        <w:snapToGrid w:val="0"/>
        <w:spacing w:beforeLines="50" w:line="360" w:lineRule="auto"/>
        <w:ind w:firstLine="420" w:firstLineChars="200"/>
        <w:rPr>
          <w:rFonts w:asciiTheme="minorEastAsia" w:hAnsiTheme="minorEastAsia"/>
          <w:szCs w:val="21"/>
        </w:rPr>
      </w:pPr>
      <w:r>
        <w:rPr>
          <w:rFonts w:hint="eastAsia" w:asciiTheme="minorEastAsia" w:hAnsiTheme="minorEastAsia"/>
        </w:rPr>
        <w:t>（3）</w:t>
      </w:r>
      <w:r>
        <w:rPr>
          <w:rFonts w:hint="eastAsia" w:asciiTheme="minorEastAsia" w:hAnsiTheme="minorEastAsia"/>
          <w:b/>
        </w:rPr>
        <w:t>符合特定资格条件证明材料复印件或者情况说明原件</w:t>
      </w:r>
      <w:r>
        <w:rPr>
          <w:rFonts w:hint="eastAsia" w:asciiTheme="minorEastAsia" w:hAnsiTheme="minorEastAsia"/>
        </w:rPr>
        <w:t>。</w:t>
      </w:r>
      <w:r>
        <w:rPr>
          <w:rFonts w:hint="eastAsia" w:asciiTheme="minorEastAsia" w:hAnsiTheme="minorEastAsia"/>
          <w:szCs w:val="21"/>
        </w:rPr>
        <w:t>具体要求见</w:t>
      </w:r>
      <w:r>
        <w:rPr>
          <w:rFonts w:hint="eastAsia" w:asciiTheme="minorEastAsia" w:hAnsiTheme="minorEastAsia"/>
          <w:b/>
          <w:szCs w:val="21"/>
        </w:rPr>
        <w:t>【投标须知前附表】</w:t>
      </w:r>
      <w:r>
        <w:rPr>
          <w:rFonts w:hint="eastAsia" w:asciiTheme="minorEastAsia" w:hAnsiTheme="minorEastAsia"/>
          <w:szCs w:val="21"/>
        </w:rPr>
        <w:t>。</w:t>
      </w:r>
    </w:p>
    <w:p w14:paraId="31D5EDA4">
      <w:pPr>
        <w:adjustRightInd w:val="0"/>
        <w:snapToGrid w:val="0"/>
        <w:spacing w:beforeLines="50" w:line="360" w:lineRule="auto"/>
        <w:ind w:firstLine="420" w:firstLineChars="200"/>
        <w:rPr>
          <w:rFonts w:asciiTheme="minorEastAsia" w:hAnsiTheme="minorEastAsia"/>
        </w:rPr>
      </w:pPr>
      <w:r>
        <w:rPr>
          <w:rFonts w:hint="eastAsia" w:asciiTheme="minorEastAsia" w:hAnsiTheme="minorEastAsia"/>
        </w:rPr>
        <w:t>14.2投标人以联合体形式投标的，除应提交联合协议(格式)外，参加联合体的各方均应提交上款资格证明材料。</w:t>
      </w:r>
    </w:p>
    <w:p w14:paraId="7751F5F5">
      <w:pPr>
        <w:adjustRightInd w:val="0"/>
        <w:snapToGrid w:val="0"/>
        <w:spacing w:beforeLines="50" w:line="360" w:lineRule="auto"/>
        <w:ind w:firstLine="420" w:firstLineChars="200"/>
        <w:rPr>
          <w:rFonts w:asciiTheme="minorEastAsia" w:hAnsiTheme="minorEastAsia"/>
        </w:rPr>
      </w:pPr>
      <w:r>
        <w:rPr>
          <w:rFonts w:hint="eastAsia" w:asciiTheme="minorEastAsia" w:hAnsiTheme="minorEastAsia"/>
        </w:rPr>
        <w:t>14.3投标人的资格证明文件均应为有效文件并加盖投标人电子章，并按招标文件规定签署。</w:t>
      </w:r>
    </w:p>
    <w:p w14:paraId="5839992A">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15. 投标服务（含配套货物）符合招标文件规定的证明文件</w:t>
      </w:r>
    </w:p>
    <w:p w14:paraId="41029C78">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15.1投标人应当提交其拟供的合同项下服务（含配套货物 ）符合招标文件规定的证明文件,该证明文件作为投标文件的一部分。</w:t>
      </w:r>
    </w:p>
    <w:p w14:paraId="68832995">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15.2上述证明文件可以是文字资料、图表、数据、证书等资料，包括但不限于：</w:t>
      </w:r>
    </w:p>
    <w:p w14:paraId="4748EA2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（1）服务（含配套货物）主要技术指标和性能的详细说明。对有具体参数要求的指标，投标人应提供具体参数值；</w:t>
      </w:r>
    </w:p>
    <w:p w14:paraId="32EDE5E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（2）配套货物的品牌型号、制造商及原产地等说明；</w:t>
      </w:r>
    </w:p>
    <w:p w14:paraId="3E85EF4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（3）招标文件第五章“采购需求”要求的其它文件。</w:t>
      </w:r>
    </w:p>
    <w:p w14:paraId="352262A7">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16. 投标有效期</w:t>
      </w:r>
    </w:p>
    <w:p w14:paraId="3E789F9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16.1投标有效期从提交投标文件的截止之日起算。投标文件中承诺的投标有效期应当不少于</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中载明的投标有效期。投标有效期不满足要求的，其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w:t>
      </w:r>
    </w:p>
    <w:p w14:paraId="76D722A8">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16.2投标有效期内投标人撤销投标文件的，投标人应承担招标文件和法律规定的责任。</w:t>
      </w:r>
    </w:p>
    <w:p w14:paraId="5789798D">
      <w:pPr>
        <w:adjustRightInd w:val="0"/>
        <w:snapToGrid w:val="0"/>
        <w:spacing w:beforeLines="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17.分包</w:t>
      </w:r>
    </w:p>
    <w:p w14:paraId="621A1807">
      <w:pPr>
        <w:adjustRightInd w:val="0"/>
        <w:snapToGrid w:val="0"/>
        <w:spacing w:beforeLines="50" w:line="360" w:lineRule="auto"/>
        <w:ind w:firstLine="420" w:firstLineChars="200"/>
        <w:jc w:val="left"/>
        <w:rPr>
          <w:rFonts w:hint="default"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17.1本项目不允许分包。</w:t>
      </w:r>
    </w:p>
    <w:p w14:paraId="1C133AAC">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18. 电子投标投标文件的制作和签署</w:t>
      </w:r>
    </w:p>
    <w:p w14:paraId="0EBB2223">
      <w:pPr>
        <w:adjustRightInd w:val="0"/>
        <w:snapToGrid w:val="0"/>
        <w:spacing w:line="360" w:lineRule="auto"/>
        <w:ind w:firstLine="420" w:firstLineChars="200"/>
        <w:jc w:val="left"/>
        <w:rPr>
          <w:rFonts w:ascii="宋体" w:hAnsi="宋体"/>
          <w:szCs w:val="21"/>
        </w:rPr>
      </w:pPr>
      <w:r>
        <w:rPr>
          <w:rFonts w:hint="eastAsia" w:ascii="宋体" w:hAnsi="宋体"/>
          <w:szCs w:val="21"/>
        </w:rPr>
        <w:t>18.1投标人确认投标后，应当在郴州市公共资源交易政府采购电子化平台上认可的“投标文件制作工具软件下载”制作投标文件（ 含澄清、说明文件）并进行固化、加密；</w:t>
      </w:r>
      <w:r>
        <w:rPr>
          <w:rFonts w:hint="eastAsia" w:asciiTheme="minorEastAsia" w:hAnsiTheme="minorEastAsia" w:eastAsiaTheme="minorEastAsia"/>
          <w:bCs/>
          <w:szCs w:val="21"/>
        </w:rPr>
        <w:t>否则将可能影响电子投标文件的上传而导致投标无效。</w:t>
      </w:r>
    </w:p>
    <w:p w14:paraId="53E85C40">
      <w:pPr>
        <w:adjustRightInd w:val="0"/>
        <w:snapToGrid w:val="0"/>
        <w:spacing w:line="360" w:lineRule="auto"/>
        <w:ind w:firstLine="420" w:firstLineChars="200"/>
        <w:jc w:val="left"/>
        <w:rPr>
          <w:rFonts w:ascii="宋体" w:hAnsi="宋体"/>
          <w:szCs w:val="21"/>
        </w:rPr>
      </w:pPr>
      <w:r>
        <w:rPr>
          <w:rFonts w:hint="eastAsia" w:ascii="宋体" w:hAnsi="宋体"/>
          <w:szCs w:val="21"/>
        </w:rPr>
        <w:t>18.2投标人应按照电子招标文件格式及投标工具编制资格证明文件，不得将其编制上传到商务和技术文件中。否则，由于编制上传位置失误导致无法进行资格审查，由此所产生的后果和责任由投标人自行承担。</w:t>
      </w:r>
    </w:p>
    <w:p w14:paraId="7A52B2B3">
      <w:pPr>
        <w:adjustRightInd w:val="0"/>
        <w:snapToGrid w:val="0"/>
        <w:spacing w:line="360" w:lineRule="auto"/>
        <w:ind w:firstLine="420" w:firstLineChars="200"/>
        <w:jc w:val="left"/>
        <w:rPr>
          <w:rFonts w:ascii="宋体" w:hAnsi="宋体"/>
          <w:szCs w:val="21"/>
        </w:rPr>
      </w:pPr>
      <w:r>
        <w:rPr>
          <w:rFonts w:hint="eastAsia" w:ascii="宋体" w:hAnsi="宋体"/>
          <w:szCs w:val="21"/>
        </w:rPr>
        <w:t>18.3 投标人应按照电子招标文件格式及投标工具编制商务、技术及综合评分表相关资料。必须按招标文件目录和节点对应位置上传或填写相应资料，否则，由于编制上传位置失误，系统将判断投标人未提交此项资料，由此造成的后果和责任由投标人自行承担。</w:t>
      </w:r>
    </w:p>
    <w:p w14:paraId="7FB0CCF7">
      <w:pPr>
        <w:adjustRightInd w:val="0"/>
        <w:snapToGrid w:val="0"/>
        <w:spacing w:line="360" w:lineRule="auto"/>
        <w:ind w:firstLine="420" w:firstLineChars="200"/>
        <w:jc w:val="left"/>
        <w:rPr>
          <w:rFonts w:ascii="宋体" w:hAnsi="宋体"/>
          <w:szCs w:val="21"/>
        </w:rPr>
      </w:pPr>
      <w:r>
        <w:rPr>
          <w:rFonts w:hint="eastAsia" w:ascii="宋体" w:hAnsi="宋体"/>
          <w:szCs w:val="21"/>
        </w:rPr>
        <w:t>18.4投标人应注意压缩电子文件，上传的有关扫描件的尺寸和清晰度应该能够在电脑上被阅读、识别和判断。若投标人未按要求提供证明材料或提供的是部分证明材料或提供不清晰的扫描件复印件，无法阅读、识别和判断的，由此可能导致的不予计分、废标等后果由投标人自行承担。</w:t>
      </w:r>
    </w:p>
    <w:p w14:paraId="256C5C75">
      <w:pPr>
        <w:adjustRightInd w:val="0"/>
        <w:snapToGrid w:val="0"/>
        <w:spacing w:line="360" w:lineRule="auto"/>
        <w:ind w:firstLine="420" w:firstLineChars="200"/>
        <w:jc w:val="left"/>
        <w:rPr>
          <w:rFonts w:ascii="宋体" w:hAnsi="宋体"/>
          <w:szCs w:val="21"/>
        </w:rPr>
      </w:pPr>
      <w:r>
        <w:rPr>
          <w:rFonts w:hint="eastAsia" w:ascii="宋体" w:hAnsi="宋体"/>
          <w:szCs w:val="21"/>
        </w:rPr>
        <w:t>18.5投标人应在电子投标文件指定签章处采用郴州市公共资源交易中心交易平台认可的CA数字证书（含电子印章）进行签章。</w:t>
      </w:r>
    </w:p>
    <w:p w14:paraId="1E5903B5">
      <w:pPr>
        <w:adjustRightInd w:val="0"/>
        <w:snapToGrid w:val="0"/>
        <w:spacing w:line="360" w:lineRule="auto"/>
        <w:ind w:firstLine="420" w:firstLineChars="200"/>
        <w:jc w:val="left"/>
        <w:rPr>
          <w:rFonts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.6 </w:t>
      </w:r>
      <w:r>
        <w:rPr>
          <w:rFonts w:hint="eastAsia" w:ascii="宋体" w:hAnsi="宋体"/>
          <w:szCs w:val="21"/>
        </w:rPr>
        <w:t>电子招投标文件具有法律效力，若投标文件与招标文件要求不一致，其内容影响中标结果时，责任由投标人自行承担。</w:t>
      </w:r>
    </w:p>
    <w:p w14:paraId="2EA3E978">
      <w:pPr>
        <w:adjustRightInd w:val="0"/>
        <w:snapToGrid w:val="0"/>
        <w:spacing w:line="360" w:lineRule="auto"/>
        <w:ind w:firstLine="420" w:firstLineChars="200"/>
        <w:jc w:val="left"/>
        <w:rPr>
          <w:rFonts w:ascii="宋体" w:hAnsi="宋体"/>
          <w:szCs w:val="21"/>
        </w:rPr>
      </w:pPr>
    </w:p>
    <w:p w14:paraId="46C9D8AC">
      <w:pPr>
        <w:adjustRightInd w:val="0"/>
        <w:snapToGrid w:val="0"/>
        <w:spacing w:line="360" w:lineRule="auto"/>
        <w:ind w:firstLine="420" w:firstLineChars="200"/>
        <w:jc w:val="left"/>
        <w:rPr>
          <w:rFonts w:ascii="宋体" w:hAnsi="宋体"/>
          <w:szCs w:val="21"/>
        </w:rPr>
      </w:pPr>
    </w:p>
    <w:p w14:paraId="23C5E63A">
      <w:pPr>
        <w:pStyle w:val="5"/>
        <w:keepNext w:val="0"/>
        <w:keepLines w:val="0"/>
        <w:numPr>
          <w:ilvl w:val="0"/>
          <w:numId w:val="1"/>
        </w:numPr>
        <w:adjustRightInd w:val="0"/>
        <w:snapToGrid w:val="0"/>
        <w:spacing w:beforeLines="50" w:after="0" w:line="360" w:lineRule="auto"/>
        <w:jc w:val="center"/>
        <w:rPr>
          <w:rFonts w:ascii="黑体" w:hAnsi="黑体" w:eastAsia="黑体"/>
          <w:sz w:val="28"/>
          <w:szCs w:val="28"/>
        </w:rPr>
      </w:pPr>
      <w:bookmarkStart w:id="33" w:name="_Toc172716655"/>
      <w:bookmarkStart w:id="34" w:name="_Toc4485"/>
      <w:bookmarkStart w:id="35" w:name="_Toc29913900"/>
      <w:r>
        <w:rPr>
          <w:rFonts w:hint="eastAsia" w:ascii="黑体" w:hAnsi="黑体" w:eastAsia="黑体"/>
          <w:sz w:val="28"/>
          <w:szCs w:val="28"/>
        </w:rPr>
        <w:t>投标</w:t>
      </w:r>
      <w:bookmarkEnd w:id="33"/>
      <w:bookmarkEnd w:id="34"/>
      <w:bookmarkEnd w:id="35"/>
    </w:p>
    <w:p w14:paraId="737DC8FB">
      <w:pPr>
        <w:numPr>
          <w:ilvl w:val="255"/>
          <w:numId w:val="0"/>
        </w:numPr>
        <w:rPr>
          <w:rFonts w:eastAsia="黑体"/>
        </w:rPr>
      </w:pPr>
      <w:bookmarkStart w:id="36" w:name="_Hlt226715444"/>
      <w:bookmarkEnd w:id="36"/>
      <w:bookmarkStart w:id="37" w:name="_Hlt193622730"/>
      <w:bookmarkEnd w:id="37"/>
    </w:p>
    <w:p w14:paraId="15D16755">
      <w:pPr>
        <w:adjustRightInd w:val="0"/>
        <w:snapToGrid w:val="0"/>
        <w:spacing w:beforeLines="50" w:line="360" w:lineRule="auto"/>
        <w:ind w:firstLine="241" w:firstLineChars="100"/>
        <w:jc w:val="left"/>
        <w:rPr>
          <w:rFonts w:asciiTheme="minorEastAsia" w:hAnsiTheme="minorEastAsia" w:eastAsiaTheme="minorEastAsia"/>
          <w:b/>
          <w:bCs/>
          <w:sz w:val="24"/>
        </w:rPr>
      </w:pPr>
      <w:r>
        <w:rPr>
          <w:rFonts w:hint="eastAsia" w:asciiTheme="minorEastAsia" w:hAnsiTheme="minorEastAsia" w:eastAsiaTheme="minorEastAsia"/>
          <w:b/>
          <w:sz w:val="24"/>
        </w:rPr>
        <w:t>19</w:t>
      </w:r>
      <w:r>
        <w:rPr>
          <w:rFonts w:asciiTheme="minorEastAsia" w:hAnsiTheme="minorEastAsia" w:eastAsiaTheme="minorEastAsia"/>
          <w:b/>
          <w:sz w:val="24"/>
        </w:rPr>
        <w:t>.</w:t>
      </w:r>
      <w:r>
        <w:rPr>
          <w:rFonts w:asciiTheme="minorEastAsia" w:hAnsiTheme="minorEastAsia" w:eastAsiaTheme="minorEastAsia"/>
          <w:b/>
          <w:bCs/>
          <w:sz w:val="24"/>
        </w:rPr>
        <w:t xml:space="preserve"> 电子投标文件的加密和提交</w:t>
      </w:r>
    </w:p>
    <w:p w14:paraId="76618D8F">
      <w:pPr>
        <w:spacing w:line="360" w:lineRule="exact"/>
        <w:ind w:firstLine="411" w:firstLineChars="196"/>
        <w:jc w:val="left"/>
        <w:rPr>
          <w:rFonts w:asciiTheme="minorEastAsia" w:hAnsiTheme="minorEastAsia" w:eastAsiaTheme="minorEastAsia"/>
          <w:szCs w:val="21"/>
        </w:rPr>
      </w:pPr>
      <w:r>
        <w:rPr>
          <w:rFonts w:hint="eastAsia" w:asciiTheme="minorEastAsia" w:hAnsiTheme="minorEastAsia" w:eastAsiaTheme="minorEastAsia"/>
          <w:szCs w:val="21"/>
        </w:rPr>
        <w:t>19.1投标人应按照招标文件和交易平台的要求编制数据电文形式的投标文件并通过数字证书进行加密后，</w:t>
      </w:r>
      <w:r>
        <w:rPr>
          <w:rFonts w:hint="eastAsia" w:asciiTheme="minorEastAsia" w:hAnsiTheme="minorEastAsia" w:eastAsiaTheme="minorEastAsia"/>
          <w:bCs/>
          <w:szCs w:val="21"/>
        </w:rPr>
        <w:t>在招标文件【投标须知前附表】规定的开标时间前将电子投标文件上传到交易平台的对应项目。</w:t>
      </w:r>
      <w:r>
        <w:rPr>
          <w:rFonts w:hint="eastAsia" w:asciiTheme="minorEastAsia" w:hAnsiTheme="minorEastAsia" w:eastAsiaTheme="minorEastAsia"/>
          <w:szCs w:val="21"/>
        </w:rPr>
        <w:t>未按要求加密或逾期上传提交的投标文件，交易平台将无法接受, 采购代理机构不予受理。</w:t>
      </w:r>
    </w:p>
    <w:p w14:paraId="09A8A96C">
      <w:pPr>
        <w:spacing w:line="360" w:lineRule="exact"/>
        <w:ind w:firstLine="411" w:firstLineChars="196"/>
        <w:rPr>
          <w:rFonts w:ascii="宋体" w:hAnsi="宋体"/>
        </w:rPr>
      </w:pPr>
      <w:r>
        <w:rPr>
          <w:rFonts w:hint="eastAsia" w:ascii="宋体" w:hAnsi="宋体"/>
        </w:rPr>
        <w:t>19.2采购代理机构不接受投标截止时间后递交的纸质、电子、传真等所有形式的投标文件。</w:t>
      </w:r>
    </w:p>
    <w:p w14:paraId="653CB548">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19.3</w:t>
      </w:r>
      <w:r>
        <w:rPr>
          <w:rFonts w:hint="eastAsia" w:ascii="宋体" w:hAnsi="宋体"/>
        </w:rPr>
        <w:t>建议投标人于开标前一个工作日完成投标文件的制作与上传，</w:t>
      </w:r>
      <w:r>
        <w:rPr>
          <w:rFonts w:hint="eastAsia" w:asciiTheme="minorEastAsia" w:hAnsiTheme="minorEastAsia" w:eastAsiaTheme="minorEastAsia"/>
          <w:bCs/>
          <w:szCs w:val="21"/>
        </w:rPr>
        <w:t>系统将显示“上传成功”。如遇系统提示“上传未成功”，投标人应及时重新提交文件或与系统运维机构联系。</w:t>
      </w:r>
      <w:r>
        <w:rPr>
          <w:rFonts w:hint="eastAsia" w:ascii="宋体" w:hAnsi="宋体"/>
        </w:rPr>
        <w:t>由于投标人对电子投标操作不熟悉或自身电脑、网络等原因导致不能在投标截止时间之前上传提交投标文件的，</w:t>
      </w:r>
      <w:r>
        <w:rPr>
          <w:rFonts w:hint="eastAsia" w:asciiTheme="minorEastAsia" w:hAnsiTheme="minorEastAsia" w:eastAsiaTheme="minorEastAsia"/>
          <w:bCs/>
          <w:szCs w:val="21"/>
        </w:rPr>
        <w:t>由此造成的后果和责任由投标人自行承担。</w:t>
      </w:r>
    </w:p>
    <w:p w14:paraId="438F50E3">
      <w:pPr>
        <w:adjustRightInd w:val="0"/>
        <w:snapToGrid w:val="0"/>
        <w:spacing w:beforeLines="50" w:line="360" w:lineRule="auto"/>
        <w:ind w:firstLine="482" w:firstLineChars="200"/>
        <w:jc w:val="left"/>
        <w:rPr>
          <w:rFonts w:asciiTheme="minorEastAsia" w:hAnsiTheme="minorEastAsia" w:eastAsiaTheme="minorEastAsia"/>
          <w:b/>
          <w:bCs/>
          <w:sz w:val="24"/>
        </w:rPr>
      </w:pPr>
      <w:r>
        <w:rPr>
          <w:rFonts w:hint="eastAsia" w:asciiTheme="minorEastAsia" w:hAnsiTheme="minorEastAsia" w:eastAsiaTheme="minorEastAsia"/>
          <w:b/>
          <w:bCs/>
          <w:sz w:val="24"/>
        </w:rPr>
        <w:t>20.电子投标文件的修改和撤回</w:t>
      </w:r>
    </w:p>
    <w:p w14:paraId="63E231CF">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20.1投标人在招标文件规定的投标截止时间前，可以撤回已上传的投标文件，也可以撤回并修改后再重新上传。</w:t>
      </w:r>
    </w:p>
    <w:p w14:paraId="52324741">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bCs/>
          <w:szCs w:val="21"/>
        </w:rPr>
        <w:t>20.2采购人、采购代理机构发布了修改、澄清文件的，投标人应按照修改、澄清后的招标文件要求重新编制投标文件并上传至交易平台。</w:t>
      </w:r>
    </w:p>
    <w:p w14:paraId="3571BB5A">
      <w:pPr>
        <w:adjustRightInd w:val="0"/>
        <w:snapToGrid w:val="0"/>
        <w:spacing w:beforeLines="50" w:line="360" w:lineRule="auto"/>
        <w:ind w:firstLine="482" w:firstLineChars="200"/>
        <w:jc w:val="left"/>
        <w:rPr>
          <w:rFonts w:cs="Arial" w:asciiTheme="minorEastAsia" w:hAnsiTheme="minorEastAsia" w:eastAsiaTheme="minorEastAsia"/>
          <w:b/>
          <w:sz w:val="24"/>
        </w:rPr>
      </w:pPr>
      <w:r>
        <w:rPr>
          <w:rFonts w:hint="eastAsia" w:asciiTheme="minorEastAsia" w:hAnsiTheme="minorEastAsia" w:eastAsiaTheme="minorEastAsia"/>
          <w:b/>
          <w:bCs/>
          <w:sz w:val="24"/>
        </w:rPr>
        <w:t>21.</w:t>
      </w:r>
      <w:r>
        <w:rPr>
          <w:rFonts w:hint="eastAsia" w:cs="Arial" w:asciiTheme="minorEastAsia" w:hAnsiTheme="minorEastAsia" w:eastAsiaTheme="minorEastAsia"/>
          <w:b/>
          <w:sz w:val="24"/>
        </w:rPr>
        <w:t xml:space="preserve"> 串通</w:t>
      </w:r>
      <w:r>
        <w:rPr>
          <w:rFonts w:hint="eastAsia" w:asciiTheme="minorEastAsia" w:hAnsiTheme="minorEastAsia" w:eastAsiaTheme="minorEastAsia"/>
          <w:b/>
          <w:sz w:val="24"/>
        </w:rPr>
        <w:t>投标行为</w:t>
      </w:r>
    </w:p>
    <w:p w14:paraId="2AED54D6">
      <w:pPr>
        <w:adjustRightInd w:val="0"/>
        <w:snapToGrid w:val="0"/>
        <w:spacing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21.1有下列情形之一的，属于恶意串通，对投标人依照政府采购法第七十七条第一款的规定追究法律责任：</w:t>
      </w:r>
    </w:p>
    <w:p w14:paraId="45FCBC13">
      <w:pPr>
        <w:adjustRightInd w:val="0"/>
        <w:snapToGrid w:val="0"/>
        <w:spacing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（1）投标人直接或者间接从采购人或者采购代理机构处获得其他投标人的相关情况并修改其投标文件；</w:t>
      </w:r>
    </w:p>
    <w:p w14:paraId="58824CD1">
      <w:pPr>
        <w:adjustRightInd w:val="0"/>
        <w:snapToGrid w:val="0"/>
        <w:spacing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（2）投标人按照采购人或者采购代理机构的授意撤换、修改投标文件；</w:t>
      </w:r>
    </w:p>
    <w:p w14:paraId="64C6AADC">
      <w:pPr>
        <w:adjustRightInd w:val="0"/>
        <w:snapToGrid w:val="0"/>
        <w:spacing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（3）投标人之间协商报价、技术方案等投标文件的实质性内容；</w:t>
      </w:r>
    </w:p>
    <w:p w14:paraId="41409812">
      <w:pPr>
        <w:adjustRightInd w:val="0"/>
        <w:snapToGrid w:val="0"/>
        <w:spacing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（4）属于同一集团、协会、商会等组织成员的投标人按照该组织要求协同参加政府采购活动；</w:t>
      </w:r>
    </w:p>
    <w:p w14:paraId="7BB52CB2">
      <w:pPr>
        <w:adjustRightInd w:val="0"/>
        <w:snapToGrid w:val="0"/>
        <w:spacing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（5）投标人之间事先约定由某一特定投标人中标；</w:t>
      </w:r>
    </w:p>
    <w:p w14:paraId="40822D85">
      <w:pPr>
        <w:adjustRightInd w:val="0"/>
        <w:snapToGrid w:val="0"/>
        <w:spacing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（6）投标人之间商定部分投标人放弃参加政府采购活动或者放弃中标；</w:t>
      </w:r>
    </w:p>
    <w:p w14:paraId="1F1812EB">
      <w:pPr>
        <w:adjustRightInd w:val="0"/>
        <w:snapToGrid w:val="0"/>
        <w:spacing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（7）投标人与采购人或者采购代理机构之间、投标人相互之间，为谋求特定投标人中标或者排斥其他投标人的其他串通行为。</w:t>
      </w:r>
    </w:p>
    <w:p w14:paraId="0B4D76F5">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21.2有下列情形之一的，视为投标人串通投标，其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w:t>
      </w:r>
    </w:p>
    <w:p w14:paraId="10C9FBA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（1）不同投标人的投标文件由同一单位或者个人编制；</w:t>
      </w:r>
    </w:p>
    <w:p w14:paraId="5A851E36">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（2）不同投标人委托同一单位或者个人办理投标事宜；</w:t>
      </w:r>
    </w:p>
    <w:p w14:paraId="23FE765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（3）不同投标人的投标文件载明的项目管理成员或者联系人员为同一人；</w:t>
      </w:r>
    </w:p>
    <w:p w14:paraId="20C3B7EE">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（4）不同投标人的投标文件异常一致或者投标报价呈规律性差异；</w:t>
      </w:r>
    </w:p>
    <w:p w14:paraId="6D0F1059">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（5）不同投标人的投标文件相互签章；</w:t>
      </w:r>
    </w:p>
    <w:p w14:paraId="513F0A15">
      <w:pPr>
        <w:pStyle w:val="5"/>
        <w:adjustRightInd w:val="0"/>
        <w:snapToGrid w:val="0"/>
        <w:spacing w:beforeLines="50" w:after="0" w:line="360" w:lineRule="auto"/>
        <w:jc w:val="center"/>
        <w:rPr>
          <w:rFonts w:ascii="黑体" w:hAnsi="黑体" w:eastAsia="黑体"/>
          <w:sz w:val="28"/>
          <w:szCs w:val="28"/>
        </w:rPr>
      </w:pPr>
      <w:bookmarkStart w:id="38" w:name="_Toc30757"/>
      <w:bookmarkStart w:id="39" w:name="_Toc172716656"/>
      <w:bookmarkStart w:id="40" w:name="_Toc29913901"/>
      <w:r>
        <w:rPr>
          <w:rFonts w:hint="eastAsia" w:ascii="黑体" w:hAnsi="黑体" w:eastAsia="黑体"/>
          <w:sz w:val="28"/>
          <w:szCs w:val="28"/>
        </w:rPr>
        <w:t>五、开标，资格审查和评标</w:t>
      </w:r>
      <w:bookmarkEnd w:id="38"/>
      <w:bookmarkEnd w:id="39"/>
      <w:bookmarkEnd w:id="40"/>
    </w:p>
    <w:p w14:paraId="156E5BCB">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22. 开标</w:t>
      </w:r>
    </w:p>
    <w:p w14:paraId="0C84496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 xml:space="preserve">22.1开标时，出现下列情形之一的，采购代理机构不予受理： </w:t>
      </w:r>
    </w:p>
    <w:p w14:paraId="724D99BB">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 xml:space="preserve">（1）经检查数字证书无效的电子投标文件； </w:t>
      </w:r>
    </w:p>
    <w:p w14:paraId="502A26A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 xml:space="preserve">（2）电子投标文件未按照招标文件的要求进行加密的； </w:t>
      </w:r>
    </w:p>
    <w:p w14:paraId="33F984D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（3）电子投标文件未按招标文件要求上传至交易平台的；</w:t>
      </w:r>
    </w:p>
    <w:p w14:paraId="18EB7F1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（4）投标人未按照</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规定的方式及时间解密电子投标文件的；</w:t>
      </w:r>
    </w:p>
    <w:p w14:paraId="23685BA2">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（5）其它违反法律、法规的情形。</w:t>
      </w:r>
    </w:p>
    <w:p w14:paraId="5AC96C1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22.2采购人或者采购代理机构应按招标文件规定的时间、地点在交易平台上组织公开开标，并邀请投标人参加。</w:t>
      </w:r>
    </w:p>
    <w:p w14:paraId="3CBA8369">
      <w:pPr>
        <w:spacing w:line="400" w:lineRule="atLeast"/>
        <w:ind w:firstLine="413"/>
        <w:jc w:val="left"/>
        <w:rPr>
          <w:rFonts w:asciiTheme="minorEastAsia" w:hAnsiTheme="minorEastAsia" w:eastAsiaTheme="minorEastAsia"/>
          <w:szCs w:val="21"/>
        </w:rPr>
      </w:pPr>
      <w:r>
        <w:rPr>
          <w:rFonts w:hint="eastAsia" w:ascii="宋体" w:hAnsi="宋体" w:cs="宋体"/>
          <w:szCs w:val="21"/>
          <w:highlight w:val="white"/>
        </w:rPr>
        <w:t>22.3</w:t>
      </w:r>
      <w:r>
        <w:rPr>
          <w:highlight w:val="white"/>
        </w:rPr>
        <w:t>投标人在开标时间前提前登录网上开标系统</w:t>
      </w:r>
      <w:r>
        <w:rPr>
          <w:rFonts w:hint="eastAsia"/>
          <w:highlight w:val="white"/>
        </w:rPr>
        <w:t>，</w:t>
      </w:r>
      <w:r>
        <w:rPr>
          <w:rFonts w:hint="eastAsia" w:ascii="宋体" w:hAnsi="宋体" w:cs="宋体"/>
          <w:szCs w:val="21"/>
          <w:highlight w:val="white"/>
        </w:rPr>
        <w:t>通过网上开标系统参加开标会</w:t>
      </w:r>
      <w:r>
        <w:rPr>
          <w:rFonts w:hint="eastAsia"/>
          <w:highlight w:val="white"/>
        </w:rPr>
        <w:t>。</w:t>
      </w:r>
    </w:p>
    <w:p w14:paraId="19B2CAFA">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 xml:space="preserve">22.4开标程序。采购代理机构在投标截止时间后，按下列程序进行开标： </w:t>
      </w:r>
    </w:p>
    <w:p w14:paraId="4E91C2CC">
      <w:pPr>
        <w:spacing w:line="400" w:lineRule="atLeast"/>
        <w:ind w:firstLine="413"/>
        <w:jc w:val="left"/>
        <w:rPr>
          <w:rFonts w:asciiTheme="minorEastAsia" w:hAnsiTheme="minorEastAsia" w:eastAsiaTheme="minorEastAsia"/>
          <w:szCs w:val="21"/>
        </w:rPr>
      </w:pPr>
      <w:r>
        <w:rPr>
          <w:rFonts w:hint="eastAsia" w:asciiTheme="minorEastAsia" w:hAnsiTheme="minorEastAsia" w:eastAsiaTheme="minorEastAsia"/>
          <w:szCs w:val="21"/>
        </w:rPr>
        <w:t>（1）宣读。投标截止时间，采购代理机构登根据系统显示宣布报名的投标人数量和上传了投标文件的投标人数量。</w:t>
      </w:r>
    </w:p>
    <w:p w14:paraId="4B20ED41">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（2）解密。采购代理机构在系统发出解密指令。</w:t>
      </w:r>
      <w:r>
        <w:rPr>
          <w:rFonts w:ascii="宋体" w:hAnsi="宋体"/>
          <w:highlight w:val="white"/>
        </w:rPr>
        <w:t>投标人根据系统发出投标文件解密指令提示后在规定时间内使用加密投标文件的CA数字证书进行投标文件解密。解密时限</w:t>
      </w:r>
      <w:r>
        <w:rPr>
          <w:rFonts w:hint="eastAsia" w:ascii="宋体" w:hAnsi="宋体"/>
          <w:highlight w:val="white"/>
        </w:rPr>
        <w:t>见第二章第一节《投标须知前附表》</w:t>
      </w:r>
      <w:r>
        <w:rPr>
          <w:rFonts w:ascii="宋体" w:hAnsi="宋体"/>
          <w:highlight w:val="white"/>
        </w:rPr>
        <w:t>，投标文件在解密时限内</w:t>
      </w:r>
      <w:r>
        <w:rPr>
          <w:rFonts w:hint="eastAsia" w:ascii="宋体" w:hAnsi="宋体"/>
          <w:highlight w:val="white"/>
        </w:rPr>
        <w:t>解密成功的为有效投标人，</w:t>
      </w:r>
      <w:r>
        <w:rPr>
          <w:rFonts w:ascii="宋体" w:hAnsi="宋体"/>
          <w:highlight w:val="white"/>
        </w:rPr>
        <w:t>未解密或解密失败，视为撤销其投标文件，开标继续进行。</w:t>
      </w:r>
      <w:r>
        <w:rPr>
          <w:rFonts w:hint="eastAsia" w:ascii="宋体" w:hAnsi="宋体"/>
          <w:highlight w:val="white"/>
        </w:rPr>
        <w:t>当</w:t>
      </w:r>
      <w:r>
        <w:rPr>
          <w:rFonts w:hint="eastAsia" w:asciiTheme="minorEastAsia" w:hAnsiTheme="minorEastAsia" w:eastAsiaTheme="minorEastAsia"/>
          <w:szCs w:val="21"/>
        </w:rPr>
        <w:t>解密成功的投标人不足3家时，开标不再继续。</w:t>
      </w:r>
    </w:p>
    <w:p w14:paraId="1A8C60D2">
      <w:pPr>
        <w:spacing w:line="400" w:lineRule="atLeast"/>
        <w:ind w:firstLine="413"/>
        <w:jc w:val="left"/>
        <w:rPr>
          <w:rFonts w:asciiTheme="minorEastAsia" w:hAnsiTheme="minorEastAsia" w:eastAsiaTheme="minorEastAsia"/>
          <w:szCs w:val="21"/>
        </w:rPr>
      </w:pPr>
      <w:r>
        <w:rPr>
          <w:rFonts w:hint="eastAsia" w:asciiTheme="minorEastAsia" w:hAnsiTheme="minorEastAsia" w:eastAsiaTheme="minorEastAsia"/>
          <w:szCs w:val="21"/>
        </w:rPr>
        <w:t>（3）唱标。</w:t>
      </w:r>
      <w:r>
        <w:rPr>
          <w:rFonts w:ascii="宋体" w:hAnsi="宋体"/>
          <w:highlight w:val="white"/>
        </w:rPr>
        <w:t>以</w:t>
      </w:r>
      <w:r>
        <w:rPr>
          <w:rFonts w:hint="eastAsia" w:ascii="宋体" w:hAnsi="宋体"/>
          <w:highlight w:val="white"/>
        </w:rPr>
        <w:t>投标人</w:t>
      </w:r>
      <w:r>
        <w:rPr>
          <w:rFonts w:ascii="宋体" w:hAnsi="宋体"/>
          <w:highlight w:val="white"/>
        </w:rPr>
        <w:t>《开标一览表》为准，</w:t>
      </w:r>
      <w:r>
        <w:rPr>
          <w:rFonts w:hint="eastAsia"/>
          <w:highlight w:val="white"/>
        </w:rPr>
        <w:t>由系统在线公布投标人名单、开标关键数据情况</w:t>
      </w:r>
      <w:r>
        <w:rPr>
          <w:rFonts w:ascii="宋体" w:hAnsi="宋体"/>
          <w:highlight w:val="white"/>
        </w:rPr>
        <w:t>。</w:t>
      </w:r>
      <w:r>
        <w:rPr>
          <w:rFonts w:hint="eastAsia" w:ascii="宋体" w:hAnsi="宋体"/>
          <w:highlight w:val="white"/>
        </w:rPr>
        <w:t>电子交易系统</w:t>
      </w:r>
      <w:r>
        <w:rPr>
          <w:rFonts w:ascii="宋体" w:hAnsi="宋体"/>
          <w:highlight w:val="white"/>
        </w:rPr>
        <w:t>在线</w:t>
      </w:r>
      <w:r>
        <w:rPr>
          <w:rFonts w:hint="eastAsia" w:ascii="宋体" w:hAnsi="宋体"/>
          <w:highlight w:val="white"/>
        </w:rPr>
        <w:t>即时</w:t>
      </w:r>
      <w:r>
        <w:rPr>
          <w:rFonts w:ascii="宋体" w:hAnsi="宋体"/>
          <w:highlight w:val="white"/>
        </w:rPr>
        <w:t>生成《开标记录表》</w:t>
      </w:r>
      <w:r>
        <w:rPr>
          <w:rFonts w:hint="eastAsia" w:ascii="宋体" w:hAnsi="宋体"/>
          <w:highlight w:val="white"/>
        </w:rPr>
        <w:t>，</w:t>
      </w:r>
      <w:r>
        <w:rPr>
          <w:rFonts w:ascii="宋体" w:hAnsi="宋体"/>
          <w:highlight w:val="white"/>
        </w:rPr>
        <w:t>所有</w:t>
      </w:r>
      <w:r>
        <w:rPr>
          <w:rFonts w:hint="eastAsia" w:ascii="宋体" w:hAnsi="宋体"/>
          <w:highlight w:val="white"/>
        </w:rPr>
        <w:t>解密成功的</w:t>
      </w:r>
      <w:r>
        <w:rPr>
          <w:rFonts w:ascii="宋体" w:hAnsi="宋体"/>
          <w:highlight w:val="white"/>
        </w:rPr>
        <w:t>投标人可以在线即时查看、下载。</w:t>
      </w:r>
    </w:p>
    <w:p w14:paraId="02787491">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（4）确认。投标人法定代表人或授权代表应在规定的时间内通过电子交易系统在《开标记录表》上进行确认。投标人未在规定的时间进行确认的，视同认可开标结果。</w:t>
      </w:r>
    </w:p>
    <w:p w14:paraId="2B9DEEE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22.5 投标人代表对开标过程和开标记录有疑义，以及认为采购人或者采购代理机构相关工作人员有《政府采购法实施条例》第九条第一款需要回避的情形的，应当场提出询问或者回避申请。</w:t>
      </w:r>
    </w:p>
    <w:p w14:paraId="7698EB09">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22.6采购人或者采购代理机构对投标人代表当场提出的询问或者回避申请，按《政府采购法实施条例》有关规定及时处理。</w:t>
      </w:r>
    </w:p>
    <w:p w14:paraId="3FC42406">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asciiTheme="minorEastAsia" w:hAnsiTheme="minorEastAsia" w:eastAsiaTheme="minorEastAsia"/>
          <w:bCs/>
          <w:szCs w:val="21"/>
        </w:rPr>
        <w:t>2</w:t>
      </w:r>
      <w:r>
        <w:rPr>
          <w:rFonts w:hint="eastAsia" w:asciiTheme="minorEastAsia" w:hAnsiTheme="minorEastAsia" w:eastAsiaTheme="minorEastAsia"/>
          <w:bCs/>
          <w:szCs w:val="21"/>
        </w:rPr>
        <w:t>2</w:t>
      </w:r>
      <w:r>
        <w:rPr>
          <w:rFonts w:asciiTheme="minorEastAsia" w:hAnsiTheme="minorEastAsia" w:eastAsiaTheme="minorEastAsia"/>
          <w:bCs/>
          <w:szCs w:val="21"/>
        </w:rPr>
        <w:t>.</w:t>
      </w:r>
      <w:r>
        <w:rPr>
          <w:rFonts w:hint="eastAsia" w:asciiTheme="minorEastAsia" w:hAnsiTheme="minorEastAsia" w:eastAsiaTheme="minorEastAsia"/>
          <w:bCs/>
          <w:szCs w:val="21"/>
        </w:rPr>
        <w:t>7</w:t>
      </w:r>
      <w:r>
        <w:rPr>
          <w:rFonts w:asciiTheme="minorEastAsia" w:hAnsiTheme="minorEastAsia" w:eastAsiaTheme="minorEastAsia"/>
          <w:bCs/>
          <w:szCs w:val="21"/>
        </w:rPr>
        <w:t>开标时，出现下列情形之一的，视为投标人撤销其投标</w:t>
      </w:r>
      <w:r>
        <w:rPr>
          <w:rFonts w:hint="eastAsia" w:asciiTheme="minorEastAsia" w:hAnsiTheme="minorEastAsia" w:eastAsiaTheme="minorEastAsia"/>
          <w:bCs/>
          <w:szCs w:val="21"/>
        </w:rPr>
        <w:t>。</w:t>
      </w:r>
    </w:p>
    <w:p w14:paraId="57C646A5">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w:t>
      </w:r>
      <w:r>
        <w:rPr>
          <w:rFonts w:asciiTheme="minorEastAsia" w:hAnsiTheme="minorEastAsia" w:eastAsiaTheme="minorEastAsia"/>
          <w:bCs/>
          <w:szCs w:val="21"/>
        </w:rPr>
        <w:t>1</w:t>
      </w:r>
      <w:r>
        <w:rPr>
          <w:rFonts w:hint="eastAsia" w:asciiTheme="minorEastAsia" w:hAnsiTheme="minorEastAsia" w:eastAsiaTheme="minorEastAsia"/>
          <w:bCs/>
          <w:szCs w:val="21"/>
        </w:rPr>
        <w:t>）</w:t>
      </w:r>
      <w:r>
        <w:rPr>
          <w:rFonts w:asciiTheme="minorEastAsia" w:hAnsiTheme="minorEastAsia" w:eastAsiaTheme="minorEastAsia"/>
          <w:bCs/>
          <w:szCs w:val="21"/>
        </w:rPr>
        <w:t>投标人未按要求配置开标所需的软硬件设备，导致解密失败的；</w:t>
      </w:r>
    </w:p>
    <w:p w14:paraId="1920852A">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asciiTheme="minorEastAsia" w:hAnsiTheme="minorEastAsia" w:eastAsiaTheme="minorEastAsia"/>
          <w:bCs/>
          <w:szCs w:val="21"/>
        </w:rPr>
        <w:t>（2）投标人电脑故障或无法上网，导致解密失败的； </w:t>
      </w:r>
    </w:p>
    <w:p w14:paraId="3EF94C87">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asciiTheme="minorEastAsia" w:hAnsiTheme="minorEastAsia" w:eastAsiaTheme="minorEastAsia"/>
          <w:bCs/>
          <w:szCs w:val="21"/>
        </w:rPr>
        <w:t>（3）</w:t>
      </w:r>
      <w:r>
        <w:rPr>
          <w:rFonts w:hint="eastAsia" w:asciiTheme="minorEastAsia" w:hAnsiTheme="minorEastAsia" w:eastAsiaTheme="minorEastAsia"/>
          <w:bCs/>
          <w:szCs w:val="21"/>
        </w:rPr>
        <w:t>投标人电子</w:t>
      </w:r>
      <w:r>
        <w:rPr>
          <w:rFonts w:asciiTheme="minorEastAsia" w:hAnsiTheme="minorEastAsia" w:eastAsiaTheme="minorEastAsia"/>
          <w:bCs/>
          <w:szCs w:val="21"/>
        </w:rPr>
        <w:t>CA</w:t>
      </w:r>
      <w:r>
        <w:rPr>
          <w:rFonts w:hint="eastAsia" w:asciiTheme="minorEastAsia" w:hAnsiTheme="minorEastAsia" w:eastAsiaTheme="minorEastAsia"/>
          <w:bCs/>
          <w:szCs w:val="21"/>
        </w:rPr>
        <w:t>证书</w:t>
      </w:r>
      <w:r>
        <w:rPr>
          <w:rFonts w:asciiTheme="minorEastAsia" w:hAnsiTheme="minorEastAsia" w:eastAsiaTheme="minorEastAsia"/>
          <w:bCs/>
          <w:szCs w:val="21"/>
        </w:rPr>
        <w:t>发生故障、失效、错误等，导致解密失败的；</w:t>
      </w:r>
    </w:p>
    <w:p w14:paraId="7AB0D56B">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asciiTheme="minorEastAsia" w:hAnsiTheme="minorEastAsia" w:eastAsiaTheme="minorEastAsia"/>
          <w:bCs/>
          <w:szCs w:val="21"/>
        </w:rPr>
        <w:t>（4）解密时间超过规定时限的；</w:t>
      </w:r>
    </w:p>
    <w:p w14:paraId="1DD8F862">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asciiTheme="minorEastAsia" w:hAnsiTheme="minorEastAsia" w:eastAsiaTheme="minorEastAsia"/>
          <w:bCs/>
          <w:szCs w:val="21"/>
        </w:rPr>
        <w:t>（5）其他由于投标人自身原因导致解密失效的情形。</w:t>
      </w:r>
    </w:p>
    <w:p w14:paraId="7088EA37">
      <w:pPr>
        <w:spacing w:line="400" w:lineRule="exact"/>
        <w:ind w:firstLine="720"/>
        <w:rPr>
          <w:rFonts w:ascii="宋体" w:hAnsi="宋体"/>
          <w:b/>
          <w:highlight w:val="white"/>
        </w:rPr>
      </w:pPr>
    </w:p>
    <w:p w14:paraId="0A453588">
      <w:pPr>
        <w:adjustRightInd w:val="0"/>
        <w:snapToGrid w:val="0"/>
        <w:spacing w:beforeLines="50" w:line="360" w:lineRule="auto"/>
        <w:jc w:val="left"/>
        <w:rPr>
          <w:rFonts w:asciiTheme="minorEastAsia" w:hAnsiTheme="minorEastAsia" w:eastAsiaTheme="minorEastAsia"/>
          <w:b/>
          <w:sz w:val="24"/>
        </w:rPr>
      </w:pPr>
      <w:r>
        <w:rPr>
          <w:rStyle w:val="48"/>
          <w:rFonts w:hint="eastAsia" w:cs="Arial" w:asciiTheme="minorEastAsia" w:hAnsiTheme="minorEastAsia" w:eastAsiaTheme="minorEastAsia"/>
          <w:sz w:val="24"/>
        </w:rPr>
        <w:t>23.</w:t>
      </w:r>
      <w:r>
        <w:rPr>
          <w:rFonts w:hint="eastAsia" w:asciiTheme="minorEastAsia" w:hAnsiTheme="minorEastAsia" w:eastAsiaTheme="minorEastAsia"/>
          <w:b/>
          <w:sz w:val="24"/>
        </w:rPr>
        <w:t xml:space="preserve"> 资格审查</w:t>
      </w:r>
    </w:p>
    <w:p w14:paraId="33E366EC">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23.1开标结束后，采购人、采购代理机构依法按照第三章</w:t>
      </w:r>
      <w:r>
        <w:rPr>
          <w:rFonts w:hint="eastAsia" w:ascii="华文宋体" w:hAnsi="华文宋体" w:eastAsia="华文宋体"/>
          <w:szCs w:val="21"/>
        </w:rPr>
        <w:t>“</w:t>
      </w:r>
      <w:r>
        <w:rPr>
          <w:rFonts w:hint="eastAsia" w:asciiTheme="minorEastAsia" w:hAnsiTheme="minorEastAsia" w:eastAsiaTheme="minorEastAsia"/>
          <w:szCs w:val="21"/>
        </w:rPr>
        <w:t>资格审查</w:t>
      </w:r>
      <w:r>
        <w:rPr>
          <w:rFonts w:hint="eastAsia" w:ascii="华文宋体" w:hAnsi="华文宋体" w:eastAsia="华文宋体"/>
          <w:szCs w:val="21"/>
        </w:rPr>
        <w:t>”</w:t>
      </w:r>
      <w:r>
        <w:rPr>
          <w:rFonts w:hint="eastAsia" w:asciiTheme="minorEastAsia" w:hAnsiTheme="minorEastAsia" w:eastAsiaTheme="minorEastAsia"/>
          <w:szCs w:val="21"/>
        </w:rPr>
        <w:t>规定组织资格审查。</w:t>
      </w:r>
    </w:p>
    <w:p w14:paraId="7E2BAA2F">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23.2资格审查结束后，采购人、采购代理机构应将资格审查结果告知评标委员会。资格审查不合格投标人不进入评标；经资格审查合格投标人少于3家的，不得评标。</w:t>
      </w:r>
    </w:p>
    <w:p w14:paraId="09B7CBC5">
      <w:pPr>
        <w:adjustRightInd w:val="0"/>
        <w:snapToGrid w:val="0"/>
        <w:spacing w:beforeLines="50" w:line="360" w:lineRule="auto"/>
        <w:jc w:val="left"/>
        <w:rPr>
          <w:rFonts w:asciiTheme="minorEastAsia" w:hAnsiTheme="minorEastAsia" w:eastAsiaTheme="minorEastAsia"/>
          <w:b/>
          <w:sz w:val="24"/>
        </w:rPr>
      </w:pPr>
      <w:r>
        <w:rPr>
          <w:rFonts w:hint="eastAsia" w:asciiTheme="minorEastAsia" w:hAnsiTheme="minorEastAsia" w:eastAsiaTheme="minorEastAsia"/>
          <w:b/>
          <w:bCs/>
          <w:sz w:val="24"/>
        </w:rPr>
        <w:t>24.</w:t>
      </w:r>
      <w:r>
        <w:rPr>
          <w:rFonts w:hint="eastAsia" w:asciiTheme="minorEastAsia" w:hAnsiTheme="minorEastAsia" w:eastAsiaTheme="minorEastAsia"/>
          <w:b/>
          <w:sz w:val="24"/>
        </w:rPr>
        <w:t xml:space="preserve"> 评标委员会</w:t>
      </w:r>
    </w:p>
    <w:p w14:paraId="2B0EBFFE">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24.1评标由依法组建的评标委员会负责，评标委员会由采购人代表和评审专家组成。</w:t>
      </w:r>
    </w:p>
    <w:p w14:paraId="2797042F">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24.2评标委员会成员有下列情形之一的，应当回避：</w:t>
      </w:r>
    </w:p>
    <w:p w14:paraId="4A95B771">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（1）参加采购活动前三年内,与投标人存在劳动关系,或者担任过投标人的董事、监事,或者是投标人的控股股东或实际控制人；</w:t>
      </w:r>
    </w:p>
    <w:p w14:paraId="4514805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（2）与投标人的法定代表人或者负责人有夫妻、直系血亲、三代以内旁系血亲或者近姻亲关系；</w:t>
      </w:r>
    </w:p>
    <w:p w14:paraId="36CF47B9">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（3）与投标人有其他可能影响政府采购活动公平、公正进行的关系。</w:t>
      </w:r>
    </w:p>
    <w:p w14:paraId="5E46F086">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24.3评标委员会负责具体评标事务，并独立履行下列职责：</w:t>
      </w:r>
    </w:p>
    <w:p w14:paraId="110EF78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（1）审查、评价投标文件是否符合招标文件的商务、技术等实质性要求；</w:t>
      </w:r>
    </w:p>
    <w:p w14:paraId="48F80E5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（2）要求投标人对投标文件有关事项作出澄清或者说明；</w:t>
      </w:r>
    </w:p>
    <w:p w14:paraId="3021BC35">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（3）对投标文件进行比较和评价；</w:t>
      </w:r>
    </w:p>
    <w:p w14:paraId="7754FEE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（4）确定中标候选人名单，以及根据采购人委托直接确定中标人。</w:t>
      </w:r>
    </w:p>
    <w:p w14:paraId="0ADF2A25">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25.</w:t>
      </w:r>
      <w:r>
        <w:rPr>
          <w:rFonts w:hint="eastAsia" w:asciiTheme="minorEastAsia" w:hAnsiTheme="minorEastAsia" w:eastAsiaTheme="minorEastAsia"/>
          <w:b/>
          <w:bCs/>
          <w:sz w:val="24"/>
        </w:rPr>
        <w:t xml:space="preserve"> 评标</w:t>
      </w:r>
    </w:p>
    <w:p w14:paraId="00616F79">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25.1评标委员会按照</w:t>
      </w:r>
      <w:r>
        <w:rPr>
          <w:rFonts w:hint="eastAsia" w:asciiTheme="minorEastAsia" w:hAnsiTheme="minorEastAsia" w:eastAsiaTheme="minorEastAsia"/>
          <w:bCs/>
        </w:rPr>
        <w:t>第四章</w:t>
      </w:r>
      <w:r>
        <w:rPr>
          <w:rFonts w:hint="eastAsia" w:ascii="华文宋体" w:hAnsi="华文宋体" w:eastAsia="华文宋体"/>
          <w:bCs/>
        </w:rPr>
        <w:t>“</w:t>
      </w:r>
      <w:r>
        <w:rPr>
          <w:rFonts w:hint="eastAsia" w:asciiTheme="minorEastAsia" w:hAnsiTheme="minorEastAsia" w:eastAsiaTheme="minorEastAsia"/>
          <w:bCs/>
        </w:rPr>
        <w:t>评标方法及标准</w:t>
      </w:r>
      <w:r>
        <w:rPr>
          <w:rFonts w:hint="eastAsia" w:ascii="华文宋体" w:hAnsi="华文宋体" w:eastAsia="华文宋体"/>
          <w:bCs/>
        </w:rPr>
        <w:t>”</w:t>
      </w:r>
      <w:r>
        <w:rPr>
          <w:rFonts w:hint="eastAsia" w:asciiTheme="minorEastAsia" w:hAnsiTheme="minorEastAsia" w:eastAsiaTheme="minorEastAsia"/>
        </w:rPr>
        <w:t>规定的评标方法、评审因素、标准和程序以及有关法律、法规及规章对投标文件进行评审。</w:t>
      </w:r>
    </w:p>
    <w:p w14:paraId="4D70F8C7">
      <w:pPr>
        <w:pStyle w:val="5"/>
        <w:adjustRightInd w:val="0"/>
        <w:snapToGrid w:val="0"/>
        <w:spacing w:beforeLines="50" w:after="0" w:line="360" w:lineRule="auto"/>
        <w:jc w:val="center"/>
        <w:rPr>
          <w:rFonts w:ascii="黑体" w:hAnsi="黑体" w:eastAsia="黑体"/>
          <w:sz w:val="28"/>
          <w:szCs w:val="28"/>
        </w:rPr>
      </w:pPr>
      <w:bookmarkStart w:id="41" w:name="_Toc29913902"/>
      <w:bookmarkStart w:id="42" w:name="_Toc172716657"/>
      <w:bookmarkStart w:id="43" w:name="_Toc28111"/>
      <w:r>
        <w:rPr>
          <w:rFonts w:hint="eastAsia" w:ascii="黑体" w:hAnsi="黑体" w:eastAsia="黑体"/>
          <w:sz w:val="28"/>
          <w:szCs w:val="28"/>
        </w:rPr>
        <w:t>六、中标信息公布</w:t>
      </w:r>
      <w:bookmarkEnd w:id="41"/>
      <w:bookmarkEnd w:id="42"/>
      <w:bookmarkEnd w:id="43"/>
    </w:p>
    <w:p w14:paraId="6C31964F">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 xml:space="preserve">26. </w:t>
      </w:r>
      <w:r>
        <w:rPr>
          <w:rFonts w:hint="eastAsia" w:asciiTheme="minorEastAsia" w:hAnsiTheme="minorEastAsia" w:eastAsiaTheme="minorEastAsia"/>
          <w:b/>
          <w:bCs/>
          <w:sz w:val="24"/>
        </w:rPr>
        <w:t>中标通知书与中标信息公布</w:t>
      </w:r>
    </w:p>
    <w:p w14:paraId="3CD71C8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26.1采购代理机构应当在评标结束后2个工作日内将评标报告送采购人。</w:t>
      </w:r>
    </w:p>
    <w:p w14:paraId="0484EB0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26.2采购人应当自收到评标报告之日起5个工作日内，在评标报告确定的中标候选人名单中按顺序确定中标人。中标候选人并列的，按照</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规定的方式确定中标人；招标文件未规定的，采取随机抽取的方式确定。</w:t>
      </w:r>
    </w:p>
    <w:p w14:paraId="4427FA98">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26.3采购人、采购代理机构应当自采购人确定中标供应商之日起2个工作日内，发出中标通知书，并在招标公告指定媒体上公告中标结果，招标文件随中标结果同时公告，中标结果公告期限为１个工作日。</w:t>
      </w:r>
    </w:p>
    <w:p w14:paraId="57755DC4">
      <w:pPr>
        <w:numPr>
          <w:ilvl w:val="0"/>
          <w:numId w:val="2"/>
        </w:num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投标人询问及</w:t>
      </w:r>
      <w:r>
        <w:rPr>
          <w:rFonts w:hint="eastAsia" w:asciiTheme="minorEastAsia" w:hAnsiTheme="minorEastAsia" w:eastAsiaTheme="minorEastAsia"/>
          <w:b/>
          <w:bCs/>
          <w:sz w:val="24"/>
        </w:rPr>
        <w:t>质疑</w:t>
      </w:r>
    </w:p>
    <w:p w14:paraId="168BBDE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27.1投标人对政府采购活动事项有疑问的，可以向采购人、采购代理机构提出询问。采购人或采购代理机构将在3个工作日内作出答复。</w:t>
      </w:r>
    </w:p>
    <w:p w14:paraId="6488229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27.2投标人认为招标文件、采购过程和中标结果使自己的权益受到损害的，可以在知道或者应知其权益受到损害之日起7个工作日内，按照《湖南省财政厅关于印发＜政府采购质疑答复和投诉处理操作规程＞的通知》(</w:t>
      </w:r>
      <w:r>
        <w:rPr>
          <w:rFonts w:hint="eastAsia" w:asciiTheme="minorEastAsia" w:hAnsiTheme="minorEastAsia" w:eastAsiaTheme="minorEastAsia"/>
          <w:szCs w:val="21"/>
          <w:lang w:eastAsia="zh-CN"/>
        </w:rPr>
        <w:t>湘财购〔2024〕67号</w:t>
      </w:r>
      <w:r>
        <w:rPr>
          <w:rFonts w:hint="eastAsia" w:asciiTheme="minorEastAsia" w:hAnsiTheme="minorEastAsia" w:eastAsiaTheme="minorEastAsia"/>
          <w:szCs w:val="21"/>
        </w:rPr>
        <w:t>)规定，以纸质书面形式向采购人、采购代理机构提出质疑。</w:t>
      </w:r>
    </w:p>
    <w:p w14:paraId="3C9B32A2">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27.3投标人提出质疑的，应按照《湖南省财政厅关于印发＜政府采购质疑答复和投诉处理操作规程＞的通知》规定制作、签署、送达。采购人、采购代理机构接收质疑函的联系部门、联系电话和通讯地址见</w:t>
      </w:r>
      <w:r>
        <w:rPr>
          <w:rFonts w:hint="eastAsia" w:asciiTheme="minorEastAsia" w:hAnsiTheme="minorEastAsia" w:eastAsiaTheme="minorEastAsia"/>
          <w:b/>
          <w:szCs w:val="21"/>
        </w:rPr>
        <w:t>【申请人须知前附表】</w:t>
      </w:r>
      <w:r>
        <w:rPr>
          <w:rFonts w:hint="eastAsia" w:asciiTheme="minorEastAsia" w:hAnsiTheme="minorEastAsia" w:eastAsiaTheme="minorEastAsia"/>
          <w:szCs w:val="21"/>
        </w:rPr>
        <w:t xml:space="preserve">。  </w:t>
      </w:r>
    </w:p>
    <w:p w14:paraId="1D8B3E5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27.4采购人、采购代理机构按照《湖南省财政厅关于印发＜政府采购质疑答复和投诉处理操作规程＞的通知》规定进行质疑答复。</w:t>
      </w:r>
    </w:p>
    <w:p w14:paraId="4D48674C">
      <w:pPr>
        <w:adjustRightInd w:val="0"/>
        <w:snapToGrid w:val="0"/>
        <w:spacing w:beforeLines="50" w:line="360" w:lineRule="auto"/>
        <w:ind w:firstLine="420" w:firstLineChars="200"/>
        <w:jc w:val="left"/>
        <w:rPr>
          <w:rFonts w:asciiTheme="minorEastAsia" w:hAnsiTheme="minorEastAsia" w:eastAsiaTheme="minorEastAsia"/>
          <w:b/>
          <w:bCs/>
        </w:rPr>
      </w:pPr>
      <w:r>
        <w:rPr>
          <w:rFonts w:hint="eastAsia" w:asciiTheme="minorEastAsia" w:hAnsiTheme="minorEastAsia" w:eastAsiaTheme="minorEastAsia"/>
          <w:szCs w:val="21"/>
        </w:rPr>
        <w:t>27</w:t>
      </w:r>
      <w:r>
        <w:rPr>
          <w:rFonts w:asciiTheme="minorEastAsia" w:hAnsiTheme="minorEastAsia" w:eastAsiaTheme="minorEastAsia"/>
          <w:szCs w:val="21"/>
        </w:rPr>
        <w:t>.</w:t>
      </w:r>
      <w:r>
        <w:rPr>
          <w:rFonts w:hint="eastAsia" w:asciiTheme="minorEastAsia" w:hAnsiTheme="minorEastAsia" w:eastAsiaTheme="minorEastAsia"/>
          <w:szCs w:val="21"/>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1717AFD4">
      <w:pPr>
        <w:pStyle w:val="5"/>
        <w:adjustRightInd w:val="0"/>
        <w:snapToGrid w:val="0"/>
        <w:spacing w:beforeLines="50" w:after="0" w:line="360" w:lineRule="auto"/>
        <w:jc w:val="center"/>
        <w:rPr>
          <w:rFonts w:ascii="黑体" w:hAnsi="黑体" w:eastAsia="黑体"/>
          <w:sz w:val="28"/>
          <w:szCs w:val="28"/>
        </w:rPr>
      </w:pPr>
      <w:bookmarkStart w:id="44" w:name="_Toc17703"/>
      <w:bookmarkStart w:id="45" w:name="_Toc172716658"/>
      <w:bookmarkStart w:id="46" w:name="_Toc29913903"/>
      <w:r>
        <w:rPr>
          <w:rFonts w:hint="eastAsia" w:ascii="黑体" w:hAnsi="黑体" w:eastAsia="黑体"/>
          <w:sz w:val="28"/>
          <w:szCs w:val="28"/>
        </w:rPr>
        <w:t>七、合同签订</w:t>
      </w:r>
      <w:bookmarkEnd w:id="44"/>
      <w:bookmarkEnd w:id="45"/>
      <w:bookmarkEnd w:id="46"/>
    </w:p>
    <w:p w14:paraId="17ED9707">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28. 签订合同</w:t>
      </w:r>
    </w:p>
    <w:p w14:paraId="5E49611A">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28.1采购人应自中标通知书发出之日起30日内，按中标通知书指定的时间、地点与中标人签订政府采购合同。所签订的合同不得对招标文件确定的事项和中标人投标文件作实质性修改。</w:t>
      </w:r>
    </w:p>
    <w:p w14:paraId="29211AA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28.2招标文件、中标人的投标文件均为签订合同的依据。</w:t>
      </w:r>
    </w:p>
    <w:p w14:paraId="10750E1D">
      <w:pPr>
        <w:adjustRightInd w:val="0"/>
        <w:snapToGrid w:val="0"/>
        <w:spacing w:beforeLines="50" w:line="360" w:lineRule="auto"/>
        <w:ind w:firstLine="420" w:firstLineChars="20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28.3联</w:t>
      </w:r>
      <w:r>
        <w:rPr>
          <w:rFonts w:hint="eastAsia" w:cs="微软雅黑" w:asciiTheme="minorEastAsia" w:hAnsiTheme="minorEastAsia" w:eastAsiaTheme="minorEastAsia"/>
          <w:spacing w:val="-2"/>
          <w:kern w:val="0"/>
          <w:szCs w:val="21"/>
        </w:rPr>
        <w:t>合</w:t>
      </w:r>
      <w:r>
        <w:rPr>
          <w:rFonts w:hint="eastAsia" w:cs="微软雅黑" w:asciiTheme="minorEastAsia" w:hAnsiTheme="minorEastAsia" w:eastAsiaTheme="minorEastAsia"/>
          <w:kern w:val="0"/>
          <w:szCs w:val="21"/>
        </w:rPr>
        <w:t>体</w:t>
      </w:r>
      <w:r>
        <w:rPr>
          <w:rFonts w:hint="eastAsia" w:cs="微软雅黑" w:asciiTheme="minorEastAsia" w:hAnsiTheme="minorEastAsia" w:eastAsiaTheme="minorEastAsia"/>
          <w:spacing w:val="-2"/>
          <w:kern w:val="0"/>
          <w:szCs w:val="21"/>
        </w:rPr>
        <w:t>中</w:t>
      </w:r>
      <w:r>
        <w:rPr>
          <w:rFonts w:hint="eastAsia" w:cs="微软雅黑" w:asciiTheme="minorEastAsia" w:hAnsiTheme="minorEastAsia" w:eastAsiaTheme="minorEastAsia"/>
          <w:kern w:val="0"/>
          <w:szCs w:val="21"/>
        </w:rPr>
        <w:t>标的</w:t>
      </w:r>
      <w:r>
        <w:rPr>
          <w:rFonts w:hint="eastAsia" w:cs="微软雅黑" w:asciiTheme="minorEastAsia" w:hAnsiTheme="minorEastAsia" w:eastAsiaTheme="minorEastAsia"/>
          <w:spacing w:val="-14"/>
          <w:kern w:val="0"/>
          <w:szCs w:val="21"/>
        </w:rPr>
        <w:t>，</w:t>
      </w:r>
      <w:r>
        <w:rPr>
          <w:rFonts w:hint="eastAsia" w:cs="微软雅黑" w:asciiTheme="minorEastAsia" w:hAnsiTheme="minorEastAsia" w:eastAsiaTheme="minorEastAsia"/>
          <w:kern w:val="0"/>
          <w:szCs w:val="21"/>
        </w:rPr>
        <w:t>联</w:t>
      </w:r>
      <w:r>
        <w:rPr>
          <w:rFonts w:hint="eastAsia" w:cs="微软雅黑" w:asciiTheme="minorEastAsia" w:hAnsiTheme="minorEastAsia" w:eastAsiaTheme="minorEastAsia"/>
          <w:spacing w:val="-2"/>
          <w:kern w:val="0"/>
          <w:szCs w:val="21"/>
        </w:rPr>
        <w:t>合</w:t>
      </w:r>
      <w:r>
        <w:rPr>
          <w:rFonts w:hint="eastAsia" w:cs="微软雅黑" w:asciiTheme="minorEastAsia" w:hAnsiTheme="minorEastAsia" w:eastAsiaTheme="minorEastAsia"/>
          <w:kern w:val="0"/>
          <w:szCs w:val="21"/>
        </w:rPr>
        <w:t>体各</w:t>
      </w:r>
      <w:r>
        <w:rPr>
          <w:rFonts w:hint="eastAsia" w:cs="微软雅黑" w:asciiTheme="minorEastAsia" w:hAnsiTheme="minorEastAsia" w:eastAsiaTheme="minorEastAsia"/>
          <w:spacing w:val="-2"/>
          <w:kern w:val="0"/>
          <w:szCs w:val="21"/>
        </w:rPr>
        <w:t>方</w:t>
      </w:r>
      <w:r>
        <w:rPr>
          <w:rFonts w:hint="eastAsia" w:cs="微软雅黑" w:asciiTheme="minorEastAsia" w:hAnsiTheme="minorEastAsia" w:eastAsiaTheme="minorEastAsia"/>
          <w:kern w:val="0"/>
          <w:szCs w:val="21"/>
        </w:rPr>
        <w:t>应</w:t>
      </w:r>
      <w:r>
        <w:rPr>
          <w:rFonts w:hint="eastAsia" w:cs="微软雅黑" w:asciiTheme="minorEastAsia" w:hAnsiTheme="minorEastAsia" w:eastAsiaTheme="minorEastAsia"/>
          <w:spacing w:val="-2"/>
          <w:kern w:val="0"/>
          <w:szCs w:val="21"/>
        </w:rPr>
        <w:t>当</w:t>
      </w:r>
      <w:r>
        <w:rPr>
          <w:rFonts w:hint="eastAsia" w:cs="微软雅黑" w:asciiTheme="minorEastAsia" w:hAnsiTheme="minorEastAsia" w:eastAsiaTheme="minorEastAsia"/>
          <w:kern w:val="0"/>
          <w:szCs w:val="21"/>
        </w:rPr>
        <w:t>共</w:t>
      </w:r>
      <w:r>
        <w:rPr>
          <w:rFonts w:hint="eastAsia" w:cs="微软雅黑" w:asciiTheme="minorEastAsia" w:hAnsiTheme="minorEastAsia" w:eastAsiaTheme="minorEastAsia"/>
          <w:spacing w:val="-2"/>
          <w:kern w:val="0"/>
          <w:szCs w:val="21"/>
        </w:rPr>
        <w:t>同</w:t>
      </w:r>
      <w:r>
        <w:rPr>
          <w:rFonts w:hint="eastAsia" w:cs="微软雅黑" w:asciiTheme="minorEastAsia" w:hAnsiTheme="minorEastAsia" w:eastAsiaTheme="minorEastAsia"/>
          <w:kern w:val="0"/>
          <w:szCs w:val="21"/>
        </w:rPr>
        <w:t>与</w:t>
      </w:r>
      <w:r>
        <w:rPr>
          <w:rFonts w:hint="eastAsia" w:cs="微软雅黑" w:asciiTheme="minorEastAsia" w:hAnsiTheme="minorEastAsia" w:eastAsiaTheme="minorEastAsia"/>
          <w:spacing w:val="-2"/>
          <w:kern w:val="0"/>
          <w:szCs w:val="21"/>
        </w:rPr>
        <w:t>采购人</w:t>
      </w:r>
      <w:r>
        <w:rPr>
          <w:rFonts w:hint="eastAsia" w:cs="微软雅黑" w:asciiTheme="minorEastAsia" w:hAnsiTheme="minorEastAsia" w:eastAsiaTheme="minorEastAsia"/>
          <w:kern w:val="0"/>
          <w:szCs w:val="21"/>
        </w:rPr>
        <w:t>签订</w:t>
      </w:r>
      <w:r>
        <w:rPr>
          <w:rFonts w:hint="eastAsia" w:cs="微软雅黑" w:asciiTheme="minorEastAsia" w:hAnsiTheme="minorEastAsia" w:eastAsiaTheme="minorEastAsia"/>
          <w:spacing w:val="-2"/>
          <w:kern w:val="0"/>
          <w:szCs w:val="21"/>
        </w:rPr>
        <w:t>合</w:t>
      </w:r>
      <w:r>
        <w:rPr>
          <w:rFonts w:hint="eastAsia" w:cs="微软雅黑" w:asciiTheme="minorEastAsia" w:hAnsiTheme="minorEastAsia" w:eastAsiaTheme="minorEastAsia"/>
          <w:kern w:val="0"/>
          <w:szCs w:val="21"/>
        </w:rPr>
        <w:t>同</w:t>
      </w:r>
      <w:r>
        <w:rPr>
          <w:rFonts w:hint="eastAsia" w:cs="微软雅黑" w:asciiTheme="minorEastAsia" w:hAnsiTheme="minorEastAsia" w:eastAsiaTheme="minorEastAsia"/>
          <w:spacing w:val="-14"/>
          <w:kern w:val="0"/>
          <w:szCs w:val="21"/>
        </w:rPr>
        <w:t>，</w:t>
      </w:r>
      <w:r>
        <w:rPr>
          <w:rFonts w:hint="eastAsia" w:cs="微软雅黑" w:asciiTheme="minorEastAsia" w:hAnsiTheme="minorEastAsia" w:eastAsiaTheme="minorEastAsia"/>
          <w:kern w:val="0"/>
          <w:szCs w:val="21"/>
        </w:rPr>
        <w:t>就</w:t>
      </w:r>
      <w:r>
        <w:rPr>
          <w:rFonts w:hint="eastAsia" w:cs="微软雅黑" w:asciiTheme="minorEastAsia" w:hAnsiTheme="minorEastAsia" w:eastAsiaTheme="minorEastAsia"/>
          <w:spacing w:val="-2"/>
          <w:kern w:val="0"/>
          <w:szCs w:val="21"/>
        </w:rPr>
        <w:t>中</w:t>
      </w:r>
      <w:r>
        <w:rPr>
          <w:rFonts w:hint="eastAsia" w:cs="微软雅黑" w:asciiTheme="minorEastAsia" w:hAnsiTheme="minorEastAsia" w:eastAsiaTheme="minorEastAsia"/>
          <w:kern w:val="0"/>
          <w:szCs w:val="21"/>
        </w:rPr>
        <w:t>标</w:t>
      </w:r>
      <w:r>
        <w:rPr>
          <w:rFonts w:hint="eastAsia" w:cs="微软雅黑" w:asciiTheme="minorEastAsia" w:hAnsiTheme="minorEastAsia" w:eastAsiaTheme="minorEastAsia"/>
          <w:spacing w:val="-2"/>
          <w:kern w:val="0"/>
          <w:szCs w:val="21"/>
        </w:rPr>
        <w:t>项</w:t>
      </w:r>
      <w:r>
        <w:rPr>
          <w:rFonts w:hint="eastAsia" w:cs="微软雅黑" w:asciiTheme="minorEastAsia" w:hAnsiTheme="minorEastAsia" w:eastAsiaTheme="minorEastAsia"/>
          <w:kern w:val="0"/>
          <w:szCs w:val="21"/>
        </w:rPr>
        <w:t>目</w:t>
      </w:r>
      <w:r>
        <w:rPr>
          <w:rFonts w:hint="eastAsia" w:cs="微软雅黑" w:asciiTheme="minorEastAsia" w:hAnsiTheme="minorEastAsia" w:eastAsiaTheme="minorEastAsia"/>
          <w:spacing w:val="-2"/>
          <w:kern w:val="0"/>
          <w:szCs w:val="21"/>
        </w:rPr>
        <w:t>向</w:t>
      </w:r>
      <w:r>
        <w:rPr>
          <w:rFonts w:hint="eastAsia" w:cs="微软雅黑" w:asciiTheme="minorEastAsia" w:hAnsiTheme="minorEastAsia" w:eastAsiaTheme="minorEastAsia"/>
          <w:kern w:val="0"/>
          <w:szCs w:val="21"/>
        </w:rPr>
        <w:t>采购人承</w:t>
      </w:r>
      <w:r>
        <w:rPr>
          <w:rFonts w:hint="eastAsia" w:cs="微软雅黑" w:asciiTheme="minorEastAsia" w:hAnsiTheme="minorEastAsia" w:eastAsiaTheme="minorEastAsia"/>
          <w:spacing w:val="-2"/>
          <w:kern w:val="0"/>
          <w:szCs w:val="21"/>
        </w:rPr>
        <w:t>担</w:t>
      </w:r>
      <w:r>
        <w:rPr>
          <w:rFonts w:hint="eastAsia" w:cs="微软雅黑" w:asciiTheme="minorEastAsia" w:hAnsiTheme="minorEastAsia" w:eastAsiaTheme="minorEastAsia"/>
          <w:kern w:val="0"/>
          <w:szCs w:val="21"/>
        </w:rPr>
        <w:t>连带责</w:t>
      </w:r>
      <w:r>
        <w:rPr>
          <w:rFonts w:hint="eastAsia" w:cs="微软雅黑" w:asciiTheme="minorEastAsia" w:hAnsiTheme="minorEastAsia" w:eastAsiaTheme="minorEastAsia"/>
          <w:spacing w:val="-2"/>
          <w:kern w:val="0"/>
          <w:szCs w:val="21"/>
        </w:rPr>
        <w:t>任</w:t>
      </w:r>
      <w:r>
        <w:rPr>
          <w:rFonts w:hint="eastAsia" w:cs="微软雅黑" w:asciiTheme="minorEastAsia" w:hAnsiTheme="minorEastAsia" w:eastAsiaTheme="minorEastAsia"/>
          <w:kern w:val="0"/>
          <w:szCs w:val="21"/>
        </w:rPr>
        <w:t>。</w:t>
      </w:r>
    </w:p>
    <w:p w14:paraId="64CEF75F">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28</w:t>
      </w:r>
      <w:r>
        <w:rPr>
          <w:rFonts w:asciiTheme="minorEastAsia" w:hAnsiTheme="minorEastAsia" w:eastAsiaTheme="minorEastAsia"/>
          <w:szCs w:val="21"/>
        </w:rPr>
        <w:t>.4</w:t>
      </w:r>
      <w:r>
        <w:rPr>
          <w:rFonts w:hint="eastAsia" w:asciiTheme="minorEastAsia" w:hAnsiTheme="minorEastAsia" w:eastAsiaTheme="minorEastAsia"/>
          <w:szCs w:val="21"/>
        </w:rPr>
        <w:t>中标合同将在招标公告指定媒体上公告，但合同中涉及国家秘密、商业秘密的内容除外。</w:t>
      </w:r>
    </w:p>
    <w:p w14:paraId="1B1EE1B6">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szCs w:val="21"/>
        </w:rPr>
        <w:t>28.5中标人</w:t>
      </w:r>
      <w:r>
        <w:rPr>
          <w:rFonts w:hint="eastAsia" w:asciiTheme="minorEastAsia" w:hAnsiTheme="minorEastAsia" w:eastAsiaTheme="minorEastAsia"/>
          <w:bCs/>
          <w:szCs w:val="21"/>
        </w:rPr>
        <w:t>应当按照合同约定依法履行合同义务。政府采购合同的履行、违约责任和解决争议的方法等适用《中华人民共和国合同法》。</w:t>
      </w:r>
    </w:p>
    <w:p w14:paraId="2A646F9F">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29.</w:t>
      </w:r>
      <w:r>
        <w:rPr>
          <w:rFonts w:hint="eastAsia" w:asciiTheme="minorEastAsia" w:hAnsiTheme="minorEastAsia" w:eastAsiaTheme="minorEastAsia"/>
          <w:b/>
          <w:sz w:val="24"/>
        </w:rPr>
        <w:t xml:space="preserve"> 政府采购合同履行中</w:t>
      </w:r>
      <w:r>
        <w:rPr>
          <w:rFonts w:hint="eastAsia" w:asciiTheme="minorEastAsia" w:hAnsiTheme="minorEastAsia" w:eastAsiaTheme="minorEastAsia"/>
          <w:b/>
          <w:bCs/>
          <w:sz w:val="24"/>
        </w:rPr>
        <w:t>数量的变更</w:t>
      </w:r>
    </w:p>
    <w:p w14:paraId="5F19B73D">
      <w:pPr>
        <w:adjustRightInd w:val="0"/>
        <w:snapToGrid w:val="0"/>
        <w:spacing w:beforeLines="50" w:line="360" w:lineRule="auto"/>
        <w:ind w:firstLine="420" w:firstLineChars="200"/>
        <w:jc w:val="left"/>
        <w:rPr>
          <w:rFonts w:asciiTheme="minorEastAsia" w:hAnsiTheme="minorEastAsia" w:eastAsiaTheme="minorEastAsia"/>
          <w:sz w:val="28"/>
          <w:szCs w:val="28"/>
        </w:rPr>
      </w:pPr>
      <w:r>
        <w:rPr>
          <w:rFonts w:hint="eastAsia" w:asciiTheme="minorEastAsia" w:hAnsiTheme="minorEastAsia" w:eastAsiaTheme="minorEastAsia"/>
        </w:rPr>
        <w:t>29.1政府采购合同履行中，采购人需追加与合同标的相同的服务或包含的配套服务的，在不改变合同其他条款的前提下，可以与中标人协商签订补充合同，但所有补充合同的采购金额不得超过原合同采购金额的百分之十。</w:t>
      </w:r>
    </w:p>
    <w:p w14:paraId="5B328AC0">
      <w:pPr>
        <w:pStyle w:val="5"/>
        <w:adjustRightInd w:val="0"/>
        <w:snapToGrid w:val="0"/>
        <w:spacing w:beforeLines="50" w:after="0" w:line="360" w:lineRule="auto"/>
        <w:jc w:val="center"/>
        <w:rPr>
          <w:rFonts w:ascii="黑体" w:hAnsi="黑体" w:eastAsia="黑体"/>
          <w:sz w:val="28"/>
          <w:szCs w:val="28"/>
        </w:rPr>
      </w:pPr>
      <w:bookmarkStart w:id="47" w:name="_Toc29913904"/>
      <w:bookmarkStart w:id="48" w:name="_Toc172716659"/>
      <w:bookmarkStart w:id="49" w:name="_Toc14155"/>
      <w:r>
        <w:rPr>
          <w:rFonts w:hint="eastAsia" w:ascii="黑体" w:hAnsi="黑体" w:eastAsia="黑体"/>
          <w:sz w:val="28"/>
          <w:szCs w:val="28"/>
        </w:rPr>
        <w:t>八、政府采购政策</w:t>
      </w:r>
      <w:bookmarkEnd w:id="47"/>
      <w:bookmarkEnd w:id="48"/>
      <w:bookmarkEnd w:id="49"/>
    </w:p>
    <w:p w14:paraId="49120D66">
      <w:pPr>
        <w:adjustRightInd w:val="0"/>
        <w:snapToGrid w:val="0"/>
        <w:spacing w:beforeLines="50" w:line="360" w:lineRule="auto"/>
        <w:jc w:val="left"/>
        <w:rPr>
          <w:rFonts w:asciiTheme="minorEastAsia" w:hAnsiTheme="minorEastAsia" w:eastAsiaTheme="minorEastAsia"/>
          <w:b/>
          <w:sz w:val="24"/>
        </w:rPr>
      </w:pPr>
      <w:r>
        <w:rPr>
          <w:rFonts w:hint="eastAsia" w:asciiTheme="minorEastAsia" w:hAnsiTheme="minorEastAsia" w:eastAsiaTheme="minorEastAsia"/>
          <w:b/>
          <w:bCs/>
          <w:sz w:val="24"/>
        </w:rPr>
        <w:t>30.</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政府采购政策</w:t>
      </w:r>
    </w:p>
    <w:p w14:paraId="665A2649">
      <w:pPr>
        <w:adjustRightInd w:val="0"/>
        <w:snapToGrid w:val="0"/>
        <w:spacing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30.1优先采购：</w:t>
      </w:r>
    </w:p>
    <w:p w14:paraId="7B537235">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szCs w:val="21"/>
        </w:rPr>
        <w:t>纳入财政部会同国务院有关部门发布的节能产品、环境标志产品政府采购品目清单，实施政府优先采购的，评审时按招标文件第四章第一节有关规定给予一定比例的价格折扣或者加分；</w:t>
      </w:r>
      <w:r>
        <w:rPr>
          <w:rFonts w:asciiTheme="minorEastAsia" w:hAnsiTheme="minorEastAsia" w:eastAsiaTheme="minorEastAsia"/>
        </w:rPr>
        <w:t xml:space="preserve"> </w:t>
      </w:r>
    </w:p>
    <w:p w14:paraId="5D2EB853">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（2）纳入湖南省财政厅等有关部门发布的湖南省两型产品政府采购目录的，实施政府优先采购，评审时按</w:t>
      </w:r>
      <w:r>
        <w:rPr>
          <w:rFonts w:hint="eastAsia" w:asciiTheme="minorEastAsia" w:hAnsiTheme="minorEastAsia" w:eastAsiaTheme="minorEastAsia"/>
          <w:szCs w:val="21"/>
        </w:rPr>
        <w:t>招标文件第四章第一节有关规定</w:t>
      </w:r>
      <w:r>
        <w:rPr>
          <w:rFonts w:hint="eastAsia" w:asciiTheme="minorEastAsia" w:hAnsiTheme="minorEastAsia" w:eastAsiaTheme="minorEastAsia"/>
        </w:rPr>
        <w:t>给予一定比例的价格折扣或者加分。</w:t>
      </w:r>
    </w:p>
    <w:p w14:paraId="22873DF4">
      <w:pPr>
        <w:adjustRightInd w:val="0"/>
        <w:snapToGrid w:val="0"/>
        <w:spacing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30.2强制采购：</w:t>
      </w:r>
    </w:p>
    <w:p w14:paraId="6B2361F4">
      <w:pPr>
        <w:adjustRightInd w:val="0"/>
        <w:snapToGrid w:val="0"/>
        <w:spacing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（1）纳入财政部会同国务院有关部门发布的节能产品政府采购品目清单，实施政府强制采购的（品目清单标注</w:t>
      </w:r>
      <w:r>
        <w:rPr>
          <w:rFonts w:hint="eastAsia" w:cs="宋体" w:asciiTheme="minorEastAsia" w:hAnsiTheme="minorEastAsia" w:eastAsiaTheme="minorEastAsia"/>
          <w:kern w:val="0"/>
        </w:rPr>
        <w:sym w:font="Wingdings" w:char="F0AB"/>
      </w:r>
      <w:r>
        <w:rPr>
          <w:rFonts w:hint="eastAsia" w:cs="宋体" w:asciiTheme="minorEastAsia" w:hAnsiTheme="minorEastAsia" w:eastAsiaTheme="minorEastAsia"/>
          <w:kern w:val="0"/>
        </w:rPr>
        <w:t>符号产品），投标人投标产品应当取得国家确定的认证机构出具的、处于有效期之内的节能产品认证证书，否则其</w:t>
      </w:r>
      <w:r>
        <w:rPr>
          <w:rFonts w:hint="eastAsia" w:cs="宋体" w:asciiTheme="minorEastAsia" w:hAnsiTheme="minorEastAsia" w:eastAsiaTheme="minorEastAsia"/>
          <w:b/>
          <w:kern w:val="0"/>
          <w:szCs w:val="21"/>
        </w:rPr>
        <w:t>投标无效</w:t>
      </w:r>
      <w:r>
        <w:rPr>
          <w:rFonts w:hint="eastAsia" w:cs="宋体" w:asciiTheme="minorEastAsia" w:hAnsiTheme="minorEastAsia" w:eastAsiaTheme="minorEastAsia"/>
          <w:kern w:val="0"/>
        </w:rPr>
        <w:t>。</w:t>
      </w:r>
    </w:p>
    <w:p w14:paraId="1B0129B6">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30.3价格评审优惠：</w:t>
      </w:r>
    </w:p>
    <w:p w14:paraId="68CD3901">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（1）投标人为小型、微型企业，且提供本企业生产的货物或者提供其他小型、微型企业生产的货物，投标价格按</w:t>
      </w:r>
      <w:r>
        <w:rPr>
          <w:rFonts w:hint="eastAsia" w:asciiTheme="minorEastAsia" w:hAnsiTheme="minorEastAsia" w:eastAsiaTheme="minorEastAsia"/>
          <w:szCs w:val="21"/>
        </w:rPr>
        <w:t>招标文件第四章第一节有关规定</w:t>
      </w:r>
      <w:r>
        <w:rPr>
          <w:rFonts w:hint="eastAsia" w:asciiTheme="minorEastAsia" w:hAnsiTheme="minorEastAsia" w:eastAsiaTheme="minorEastAsia"/>
        </w:rPr>
        <w:t>给予一定比例的价格折扣，用扣除后的价格参与评审。本项所称货物不包括使用大型企业注册商标的货物；</w:t>
      </w:r>
    </w:p>
    <w:p w14:paraId="1F9EE90C">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（2）小型、微型企业参加联合体投标并在联合体协议中明确其在合同金额占联合体合同总金额 30%以上的，该联合体投标价格按</w:t>
      </w:r>
      <w:r>
        <w:rPr>
          <w:rFonts w:hint="eastAsia" w:asciiTheme="minorEastAsia" w:hAnsiTheme="minorEastAsia" w:eastAsiaTheme="minorEastAsia"/>
          <w:szCs w:val="21"/>
        </w:rPr>
        <w:t>招标文件第四章第一节有关规定</w:t>
      </w:r>
      <w:r>
        <w:rPr>
          <w:rFonts w:hint="eastAsia" w:asciiTheme="minorEastAsia" w:hAnsiTheme="minorEastAsia" w:eastAsiaTheme="minorEastAsia"/>
        </w:rPr>
        <w:t>给予一定比例的价格折扣，用扣除后的价格参与评审。联合体各方均为小型、微型企业的，联合体视同为小型、微型企业；</w:t>
      </w:r>
    </w:p>
    <w:p w14:paraId="57DB23AD">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（3）监狱企业、残</w:t>
      </w:r>
      <w:r>
        <w:rPr>
          <w:rFonts w:hint="eastAsia" w:asciiTheme="minorEastAsia" w:hAnsiTheme="minorEastAsia" w:eastAsiaTheme="minorEastAsia"/>
          <w:szCs w:val="21"/>
        </w:rPr>
        <w:t>疾人福利性单位视同小型、微型企业，享受评审中价格扣除等促进中小企业发展的政府采购政策。</w:t>
      </w:r>
    </w:p>
    <w:p w14:paraId="65FD487A">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30.4政府采购政策交叉与叠加</w:t>
      </w:r>
    </w:p>
    <w:p w14:paraId="1E07EAF3">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（1）投标产品取得两个及以上优先采购产品认证的，评审时只有其中一项产品能享受优先采购优惠（投标人自行选择，并在投标文件中并填报相关信息及数据）</w:t>
      </w:r>
    </w:p>
    <w:p w14:paraId="03E04211">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（2）投标人同时符合小型、微型企业及监狱企业、残疾人福利性单位要求的，评审时只有一种类型享受价格评审优惠政策；</w:t>
      </w:r>
    </w:p>
    <w:p w14:paraId="6E14203E">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（3）小型和微型企业的价格评审优惠可以与同时属于“节能产品”、“环境标志产品”中的一项优先采购优惠累加计算。</w:t>
      </w:r>
    </w:p>
    <w:p w14:paraId="32589207">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30.5小型、微型企业的投标人提供的全部产品由小型、微型企业制造的，评审时给予价格扣除；部分投标产品属于优先采购的，评审时只对该部分产品的报价实行加分。投标人应按本章第30.6款规定提供相关证明资料（包括提供相关报价）。</w:t>
      </w:r>
    </w:p>
    <w:p w14:paraId="23729793">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30.6投标人符合本章第32.1款、第32.2款、第32.3款规定的，应提供相关证明资料。</w:t>
      </w:r>
    </w:p>
    <w:p w14:paraId="437D5549">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（1）节能产品、环境标志产品：提供国家确定的认证机构出具的、处于有效期之内的节能产品、环境标志产品认证证书（复印件）。</w:t>
      </w:r>
    </w:p>
    <w:p w14:paraId="6E2D5306">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（2）中小企业：按《关于印发＜政府采购促进中小企业发展暂行办法＞的通知》(财库[2011]181号)规定，投标人提供《小型、微型企业声明函》（格式附后）。</w:t>
      </w:r>
    </w:p>
    <w:p w14:paraId="78438462">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（3）监狱企业：按《关于政府采购支持监狱企业发展有关问题的通知》(财库〔2014〕68号)文件规定提供证明文件（复印件）。</w:t>
      </w:r>
    </w:p>
    <w:p w14:paraId="5A2ED33E">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（4）残疾人福利性单位：按《关于促进残疾人就业政府采购政策的通知》(财库〔2017〕141号)文件规定提供《残疾人福利性单位声明函》（格式）。</w:t>
      </w:r>
    </w:p>
    <w:p w14:paraId="441B5866">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30.7投标人有融资、担保需求的，可登陆湖南省政府采购网查询相关银行、担保机构业务。</w:t>
      </w:r>
    </w:p>
    <w:p w14:paraId="525AC6D1">
      <w:pPr>
        <w:pStyle w:val="5"/>
        <w:adjustRightInd w:val="0"/>
        <w:snapToGrid w:val="0"/>
        <w:spacing w:beforeLines="50" w:after="0" w:line="360" w:lineRule="auto"/>
        <w:jc w:val="center"/>
        <w:rPr>
          <w:rFonts w:ascii="黑体" w:hAnsi="黑体" w:eastAsia="黑体"/>
          <w:sz w:val="28"/>
          <w:szCs w:val="28"/>
        </w:rPr>
      </w:pPr>
      <w:bookmarkStart w:id="50" w:name="_Toc21705"/>
      <w:bookmarkStart w:id="51" w:name="_Toc172716660"/>
      <w:bookmarkStart w:id="52" w:name="_Toc29913905"/>
      <w:r>
        <w:rPr>
          <w:rFonts w:hint="eastAsia" w:ascii="黑体" w:hAnsi="黑体" w:eastAsia="黑体"/>
          <w:sz w:val="28"/>
          <w:szCs w:val="28"/>
        </w:rPr>
        <w:t>九、其他规定</w:t>
      </w:r>
      <w:bookmarkEnd w:id="50"/>
      <w:bookmarkEnd w:id="51"/>
      <w:bookmarkEnd w:id="52"/>
    </w:p>
    <w:p w14:paraId="51E2DEF6">
      <w:pPr>
        <w:adjustRightInd w:val="0"/>
        <w:snapToGrid w:val="0"/>
        <w:spacing w:beforeLines="50" w:line="360" w:lineRule="auto"/>
        <w:jc w:val="left"/>
        <w:rPr>
          <w:rFonts w:asciiTheme="minorEastAsia" w:hAnsiTheme="minorEastAsia" w:eastAsiaTheme="minorEastAsia"/>
          <w:b/>
          <w:sz w:val="24"/>
        </w:rPr>
      </w:pPr>
      <w:r>
        <w:rPr>
          <w:rFonts w:hint="eastAsia" w:asciiTheme="minorEastAsia" w:hAnsiTheme="minorEastAsia" w:eastAsiaTheme="minorEastAsia"/>
          <w:b/>
          <w:bCs/>
          <w:sz w:val="24"/>
        </w:rPr>
        <w:t>31.</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招标不足三家处理</w:t>
      </w:r>
    </w:p>
    <w:p w14:paraId="081280B8">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31.1公开招标数额标准以上的采购项目，投标截止后投标人不足3家或者通过资格审查或符合性审查的投标人不足3家的，除采购任务取消情形外，按照以下方式处理：</w:t>
      </w:r>
    </w:p>
    <w:p w14:paraId="42224FBC">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（1）招标文件存在不合理条款或者招标程序不符合规定的，采购人、采购代理机构改正后依法重新招标；</w:t>
      </w:r>
    </w:p>
    <w:p w14:paraId="7183681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（2）招标文件没有不合理条款、招标程序符合规定，需要采用其他采购方式采购的，采购人应当依法报财政部门批准。</w:t>
      </w:r>
    </w:p>
    <w:p w14:paraId="1A45076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31.2属上款第（2）项情形的，评标委员会应出具的招标文件没有不合理条款的论证意见。</w:t>
      </w:r>
    </w:p>
    <w:p w14:paraId="2560659B">
      <w:pPr>
        <w:adjustRightInd w:val="0"/>
        <w:snapToGrid w:val="0"/>
        <w:spacing w:beforeLines="50" w:line="360" w:lineRule="auto"/>
        <w:jc w:val="left"/>
        <w:rPr>
          <w:rFonts w:asciiTheme="minorEastAsia" w:hAnsiTheme="minorEastAsia" w:eastAsiaTheme="minorEastAsia"/>
          <w:b/>
          <w:sz w:val="24"/>
        </w:rPr>
      </w:pPr>
      <w:r>
        <w:rPr>
          <w:rFonts w:hint="eastAsia" w:asciiTheme="minorEastAsia" w:hAnsiTheme="minorEastAsia" w:eastAsiaTheme="minorEastAsia"/>
          <w:b/>
          <w:bCs/>
          <w:sz w:val="24"/>
        </w:rPr>
        <w:t>32.</w:t>
      </w:r>
      <w:r>
        <w:rPr>
          <w:rFonts w:hint="eastAsia" w:asciiTheme="minorEastAsia" w:hAnsiTheme="minorEastAsia" w:eastAsiaTheme="minorEastAsia"/>
          <w:b/>
          <w:sz w:val="24"/>
        </w:rPr>
        <w:t xml:space="preserve"> 招标代理服务费</w:t>
      </w:r>
    </w:p>
    <w:p w14:paraId="530297B5">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32.1招标代理服务费由采购人支付。</w:t>
      </w:r>
    </w:p>
    <w:p w14:paraId="66B7CEC9">
      <w:pPr>
        <w:adjustRightInd w:val="0"/>
        <w:snapToGrid w:val="0"/>
        <w:spacing w:beforeLines="50" w:line="360" w:lineRule="auto"/>
        <w:jc w:val="left"/>
        <w:rPr>
          <w:rFonts w:asciiTheme="minorEastAsia" w:hAnsiTheme="minorEastAsia" w:eastAsiaTheme="minorEastAsia"/>
          <w:b/>
          <w:bCs/>
          <w:sz w:val="24"/>
        </w:rPr>
      </w:pPr>
      <w:r>
        <w:rPr>
          <w:rFonts w:asciiTheme="minorEastAsia" w:hAnsiTheme="minorEastAsia" w:eastAsiaTheme="minorEastAsia"/>
          <w:b/>
          <w:bCs/>
          <w:sz w:val="24"/>
        </w:rPr>
        <w:t>3</w:t>
      </w:r>
      <w:r>
        <w:rPr>
          <w:rFonts w:hint="eastAsia" w:asciiTheme="minorEastAsia" w:hAnsiTheme="minorEastAsia" w:eastAsiaTheme="minorEastAsia"/>
          <w:b/>
          <w:bCs/>
          <w:sz w:val="24"/>
        </w:rPr>
        <w:t>3</w:t>
      </w:r>
      <w:r>
        <w:rPr>
          <w:rFonts w:asciiTheme="minorEastAsia" w:hAnsiTheme="minorEastAsia" w:eastAsiaTheme="minorEastAsia"/>
          <w:b/>
          <w:bCs/>
          <w:sz w:val="24"/>
        </w:rPr>
        <w:t>. 需要补充的其他内容</w:t>
      </w:r>
    </w:p>
    <w:p w14:paraId="0DD30BEB">
      <w:pPr>
        <w:adjustRightInd w:val="0"/>
        <w:snapToGrid w:val="0"/>
        <w:spacing w:beforeLines="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3</w:t>
      </w:r>
      <w:r>
        <w:rPr>
          <w:rFonts w:asciiTheme="minorEastAsia" w:hAnsiTheme="minorEastAsia" w:eastAsiaTheme="minorEastAsia"/>
          <w:szCs w:val="21"/>
        </w:rPr>
        <w:t>.1招标文件需要补充的其</w:t>
      </w:r>
      <w:r>
        <w:rPr>
          <w:rFonts w:hint="eastAsia" w:asciiTheme="minorEastAsia" w:hAnsiTheme="minorEastAsia" w:eastAsiaTheme="minorEastAsia"/>
          <w:szCs w:val="21"/>
        </w:rPr>
        <w:t>他内容见【投标须知前附表】。</w:t>
      </w:r>
    </w:p>
    <w:p w14:paraId="0B714F09">
      <w:pPr>
        <w:adjustRightInd w:val="0"/>
        <w:snapToGrid w:val="0"/>
        <w:spacing w:beforeLines="50" w:line="360" w:lineRule="auto"/>
        <w:jc w:val="left"/>
        <w:rPr>
          <w:rFonts w:asciiTheme="minorEastAsia" w:hAnsiTheme="minorEastAsia" w:eastAsiaTheme="minorEastAsia"/>
          <w:b/>
          <w:bCs/>
          <w:sz w:val="24"/>
        </w:rPr>
      </w:pPr>
      <w:r>
        <w:rPr>
          <w:rFonts w:asciiTheme="minorEastAsia" w:hAnsiTheme="minorEastAsia" w:eastAsiaTheme="minorEastAsia"/>
          <w:b/>
          <w:bCs/>
          <w:sz w:val="24"/>
        </w:rPr>
        <w:t>3</w:t>
      </w:r>
      <w:r>
        <w:rPr>
          <w:rFonts w:hint="eastAsia" w:asciiTheme="minorEastAsia" w:hAnsiTheme="minorEastAsia" w:eastAsiaTheme="minorEastAsia"/>
          <w:b/>
          <w:bCs/>
          <w:sz w:val="24"/>
        </w:rPr>
        <w:t>4</w:t>
      </w:r>
      <w:r>
        <w:rPr>
          <w:rFonts w:asciiTheme="minorEastAsia" w:hAnsiTheme="minorEastAsia" w:eastAsiaTheme="minorEastAsia"/>
          <w:b/>
          <w:bCs/>
          <w:sz w:val="24"/>
        </w:rPr>
        <w:t>.</w:t>
      </w:r>
      <w:r>
        <w:rPr>
          <w:rFonts w:hint="eastAsia" w:asciiTheme="minorEastAsia" w:hAnsiTheme="minorEastAsia" w:eastAsiaTheme="minorEastAsia"/>
          <w:b/>
          <w:bCs/>
          <w:sz w:val="24"/>
        </w:rPr>
        <w:t>电子招投标的应急措施</w:t>
      </w:r>
    </w:p>
    <w:p w14:paraId="5F76977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34.1电子开标、评标如出现下列情形，导致系统短时间内无法恢复正常运行，影响到招投标</w:t>
      </w:r>
      <w:r>
        <w:rPr>
          <w:rFonts w:hint="eastAsia" w:asciiTheme="minorEastAsia" w:hAnsiTheme="minorEastAsia" w:eastAsiaTheme="minorEastAsia"/>
          <w:bCs/>
          <w:szCs w:val="21"/>
        </w:rPr>
        <w:t>活动无法继续开展</w:t>
      </w:r>
      <w:r>
        <w:rPr>
          <w:rFonts w:hint="eastAsia" w:asciiTheme="minorEastAsia" w:hAnsiTheme="minorEastAsia" w:eastAsiaTheme="minorEastAsia"/>
          <w:szCs w:val="21"/>
        </w:rPr>
        <w:t>时，按交易中心应急预案措施执行：</w:t>
      </w:r>
      <w:r>
        <w:rPr>
          <w:rFonts w:asciiTheme="minorEastAsia" w:hAnsiTheme="minorEastAsia" w:eastAsiaTheme="minorEastAsia"/>
          <w:szCs w:val="21"/>
        </w:rPr>
        <w:t xml:space="preserve"> </w:t>
      </w:r>
    </w:p>
    <w:p w14:paraId="71209539">
      <w:pPr>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 xml:space="preserve">1）系统服务器发生故障，无法访问或无法使用系统； </w:t>
      </w:r>
    </w:p>
    <w:p w14:paraId="302143E3">
      <w:pPr>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 xml:space="preserve">2）系统的软件或数据库出现错误，不能进行正常操作； </w:t>
      </w:r>
    </w:p>
    <w:p w14:paraId="6F20902B">
      <w:pPr>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 xml:space="preserve">3）系统发现有安全漏洞，有潜在的泄密危险； </w:t>
      </w:r>
    </w:p>
    <w:p w14:paraId="766656EE">
      <w:pPr>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4）病毒发作或受到外来病毒的攻击；</w:t>
      </w:r>
    </w:p>
    <w:p w14:paraId="0DDAFFB1">
      <w:pPr>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5）</w:t>
      </w:r>
      <w:r>
        <w:rPr>
          <w:rFonts w:hint="eastAsia" w:asciiTheme="minorEastAsia" w:hAnsiTheme="minorEastAsia" w:eastAsiaTheme="minorEastAsia"/>
          <w:szCs w:val="21"/>
        </w:rPr>
        <w:t>网络故障，无法访问或无法使用系统；</w:t>
      </w:r>
    </w:p>
    <w:p w14:paraId="454CCA31">
      <w:pPr>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（6）电力中断等其他特殊情况。</w:t>
      </w:r>
    </w:p>
    <w:p w14:paraId="15FC6294">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szCs w:val="21"/>
        </w:rPr>
        <w:t>34.2出现上述情况之一时，经交易中心相关部门确认：</w:t>
      </w:r>
      <w:r>
        <w:rPr>
          <w:rFonts w:hint="eastAsia" w:asciiTheme="minorEastAsia" w:hAnsiTheme="minorEastAsia" w:eastAsiaTheme="minorEastAsia"/>
          <w:bCs/>
          <w:szCs w:val="21"/>
        </w:rPr>
        <w:t>采购人或采购代理机构可选择采取如下措施，</w:t>
      </w:r>
      <w:r>
        <w:rPr>
          <w:rFonts w:asciiTheme="minorEastAsia" w:hAnsiTheme="minorEastAsia" w:eastAsiaTheme="minorEastAsia"/>
          <w:bCs/>
          <w:szCs w:val="21"/>
        </w:rPr>
        <w:t>投标人不得对此持有异议。</w:t>
      </w:r>
    </w:p>
    <w:p w14:paraId="0F153449">
      <w:pPr>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（1）酌情延长投标文件文件解密时间，采取远程解密等，以保障招投标活动的继续实施；</w:t>
      </w:r>
    </w:p>
    <w:p w14:paraId="2AAF0AE3">
      <w:pPr>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（2）项目作延期开标处理，待系统恢复后再进行开标活动；</w:t>
      </w:r>
    </w:p>
    <w:p w14:paraId="17BFA6E5">
      <w:pPr>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（3）对已在评标的项目，评标委员会酌情延期进行评审，待系统恢复后再进行评审工作。</w:t>
      </w:r>
    </w:p>
    <w:p w14:paraId="5C2E85E5">
      <w:pPr>
        <w:pStyle w:val="23"/>
        <w:adjustRightInd w:val="0"/>
        <w:snapToGrid w:val="0"/>
        <w:spacing w:line="360" w:lineRule="auto"/>
        <w:jc w:val="center"/>
        <w:outlineLvl w:val="0"/>
        <w:rPr>
          <w:rFonts w:ascii="黑体" w:hAnsi="黑体" w:eastAsia="黑体"/>
          <w:sz w:val="32"/>
          <w:szCs w:val="32"/>
        </w:rPr>
      </w:pPr>
      <w:r>
        <w:rPr>
          <w:rFonts w:cs="Times New Roman" w:asciiTheme="minorEastAsia" w:hAnsiTheme="minorEastAsia" w:eastAsiaTheme="minorEastAsia"/>
        </w:rPr>
        <w:br w:type="page"/>
      </w:r>
      <w:bookmarkStart w:id="53" w:name="_Toc19262"/>
      <w:bookmarkStart w:id="54" w:name="_Toc172716661"/>
      <w:bookmarkStart w:id="55" w:name="_Toc29913906"/>
      <w:r>
        <w:rPr>
          <w:rFonts w:hint="eastAsia" w:ascii="黑体" w:hAnsi="华文中宋" w:eastAsia="黑体"/>
          <w:b/>
          <w:sz w:val="32"/>
          <w:szCs w:val="32"/>
        </w:rPr>
        <w:t>第三章 资格审查</w:t>
      </w:r>
      <w:bookmarkEnd w:id="53"/>
      <w:bookmarkEnd w:id="54"/>
      <w:bookmarkEnd w:id="55"/>
    </w:p>
    <w:p w14:paraId="7B7FAD6D">
      <w:pPr>
        <w:pStyle w:val="5"/>
        <w:adjustRightInd w:val="0"/>
        <w:snapToGrid w:val="0"/>
        <w:spacing w:beforeLines="50" w:after="0" w:line="360" w:lineRule="auto"/>
        <w:rPr>
          <w:rFonts w:ascii="黑体" w:hAnsi="黑体" w:eastAsia="黑体"/>
          <w:sz w:val="24"/>
          <w:szCs w:val="24"/>
        </w:rPr>
      </w:pPr>
      <w:bookmarkStart w:id="56" w:name="_Toc172716662"/>
      <w:bookmarkStart w:id="57" w:name="_Toc29913907"/>
      <w:bookmarkStart w:id="58" w:name="_Toc15106"/>
      <w:r>
        <w:rPr>
          <w:rFonts w:hint="eastAsia" w:ascii="黑体" w:hAnsi="黑体" w:eastAsia="黑体"/>
          <w:sz w:val="24"/>
          <w:szCs w:val="24"/>
        </w:rPr>
        <w:t>1．资格审查主体</w:t>
      </w:r>
      <w:bookmarkEnd w:id="56"/>
      <w:bookmarkEnd w:id="57"/>
      <w:bookmarkEnd w:id="58"/>
    </w:p>
    <w:p w14:paraId="2E30755E">
      <w:pPr>
        <w:adjustRightInd w:val="0"/>
        <w:snapToGrid w:val="0"/>
        <w:spacing w:beforeLines="50" w:line="360" w:lineRule="auto"/>
        <w:ind w:firstLine="417" w:firstLineChars="199"/>
        <w:jc w:val="left"/>
        <w:rPr>
          <w:rFonts w:asciiTheme="minorEastAsia" w:hAnsiTheme="minorEastAsia" w:eastAsiaTheme="minorEastAsia"/>
          <w:szCs w:val="21"/>
        </w:rPr>
      </w:pPr>
      <w:r>
        <w:rPr>
          <w:rFonts w:hint="eastAsia" w:asciiTheme="minorEastAsia" w:hAnsiTheme="minorEastAsia" w:eastAsiaTheme="minorEastAsia"/>
          <w:szCs w:val="21"/>
        </w:rPr>
        <w:t>1.1资格审查主体：采购人、采购代理机构负责资格审查。</w:t>
      </w:r>
    </w:p>
    <w:p w14:paraId="35CF3926">
      <w:pPr>
        <w:pStyle w:val="5"/>
        <w:adjustRightInd w:val="0"/>
        <w:snapToGrid w:val="0"/>
        <w:spacing w:beforeLines="50" w:after="0" w:line="360" w:lineRule="auto"/>
        <w:rPr>
          <w:rFonts w:ascii="黑体" w:hAnsi="黑体" w:eastAsia="黑体"/>
          <w:sz w:val="24"/>
          <w:szCs w:val="24"/>
        </w:rPr>
      </w:pPr>
      <w:bookmarkStart w:id="59" w:name="_Toc172716663"/>
      <w:bookmarkStart w:id="60" w:name="_Toc29312"/>
      <w:bookmarkStart w:id="61" w:name="_Toc29913908"/>
      <w:r>
        <w:rPr>
          <w:rFonts w:hint="eastAsia" w:ascii="黑体" w:hAnsi="黑体" w:eastAsia="黑体"/>
          <w:sz w:val="24"/>
          <w:szCs w:val="24"/>
        </w:rPr>
        <w:t>2．资格审查</w:t>
      </w:r>
      <w:bookmarkEnd w:id="59"/>
      <w:bookmarkEnd w:id="60"/>
      <w:bookmarkEnd w:id="61"/>
    </w:p>
    <w:p w14:paraId="55DD356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2.1资格审查依据法律法规和招标文件的规定，对投标文件中的资格证明文件、投标报价等进行审查，以确定投标供应商是否具备投标资格。</w:t>
      </w:r>
    </w:p>
    <w:p w14:paraId="5E883FA9">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2.2在资格审查时，投标人存在下列情况之一的，资格审查不合格，其投标无效：</w:t>
      </w:r>
    </w:p>
    <w:p w14:paraId="02C4757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（1）不具备招标文件中规定的资格要求的，或提交的资格证明文件不符合招标文件要求的；</w:t>
      </w:r>
    </w:p>
    <w:p w14:paraId="2FDE9EC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（2）联合体投标未提交联合体协议书，或未提交联合体各方资格证明文件的；</w:t>
      </w:r>
    </w:p>
    <w:p w14:paraId="5E254B8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（3）投标文件的资格证明文件未按照招标文件要求进行电子签名、盖章的；</w:t>
      </w:r>
    </w:p>
    <w:p w14:paraId="145BBB62">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（4）投标报价超过招标文件中规定的预算金额或者最高限价的；</w:t>
      </w:r>
    </w:p>
    <w:p w14:paraId="0950AE2E">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（5）法律、法规和招标文件规定的其他投标无效情形的。</w:t>
      </w:r>
    </w:p>
    <w:p w14:paraId="7801DBBD">
      <w:pPr>
        <w:adjustRightInd w:val="0"/>
        <w:snapToGrid w:val="0"/>
        <w:spacing w:beforeLines="50" w:line="360" w:lineRule="auto"/>
        <w:ind w:firstLine="420" w:firstLineChars="200"/>
        <w:jc w:val="left"/>
        <w:rPr>
          <w:rFonts w:asciiTheme="minorEastAsia" w:hAnsiTheme="minorEastAsia" w:eastAsiaTheme="minorEastAsia"/>
          <w:b/>
          <w:sz w:val="32"/>
          <w:szCs w:val="32"/>
        </w:rPr>
      </w:pPr>
      <w:r>
        <w:rPr>
          <w:rFonts w:hint="eastAsia" w:asciiTheme="minorEastAsia" w:hAnsiTheme="minorEastAsia" w:eastAsiaTheme="minorEastAsia"/>
        </w:rPr>
        <w:t>2.3信用记录。开标结束后</w:t>
      </w:r>
      <w:r>
        <w:rPr>
          <w:rFonts w:hint="eastAsia" w:asciiTheme="minorEastAsia" w:hAnsiTheme="minorEastAsia" w:eastAsiaTheme="minorEastAsia"/>
          <w:szCs w:val="21"/>
        </w:rPr>
        <w:t>资格审查时，采购人、采购代理机构将对投标人信用记录进行甄别。</w:t>
      </w:r>
    </w:p>
    <w:p w14:paraId="06D77F4F">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信用信息查询的查询渠道：信用中国（www.creditchina.gov.cn）、信用湖南（https://credit.fgw.hunan.gov.cn/）、信用郴州（http://xycz.czs.gov.cn/）、中国政府采购网（www.ccgp.gov.cn）、湖南省政府采购网（http://www.ccgp-hunan.gov.cn/）。</w:t>
      </w:r>
    </w:p>
    <w:p w14:paraId="1EA6348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不良信用记录是指：投标人在“信用中国”、“信用湖南”、“信用郴州”网站被列入失信被执行人和重大税收违法案件当事人名单，或在“中国政府采购网”、“湖南省政府采购网”网站被列入政府采购严重违法失信行为记录名单。投标人有上述不良信用记录的，其投标无效，其中，列入政府采购严重违法失信行为记录名单的，按处罚结果执行。</w:t>
      </w:r>
    </w:p>
    <w:p w14:paraId="3D944DBE">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（3）联合体形式投标的，联合体成员存在不良信用记录的，视同联合体存在不良信用记录。</w:t>
      </w:r>
    </w:p>
    <w:p w14:paraId="29CAE15A">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（4）信用信息查询记录和证据留存具体方式：</w:t>
      </w:r>
      <w:r>
        <w:rPr>
          <w:rFonts w:hint="eastAsia" w:ascii="宋体" w:hAnsi="宋体"/>
          <w:szCs w:val="21"/>
        </w:rPr>
        <w:t>采购人、采购代理机构</w:t>
      </w:r>
      <w:r>
        <w:rPr>
          <w:rFonts w:ascii="宋体" w:hAnsi="宋体"/>
          <w:szCs w:val="21"/>
        </w:rPr>
        <w:t>经办人将查询网页</w:t>
      </w:r>
      <w:r>
        <w:rPr>
          <w:rFonts w:hint="eastAsia" w:ascii="宋体" w:hAnsi="宋体"/>
          <w:szCs w:val="21"/>
        </w:rPr>
        <w:t>截图、</w:t>
      </w:r>
      <w:r>
        <w:rPr>
          <w:rFonts w:ascii="宋体" w:hAnsi="宋体"/>
          <w:szCs w:val="21"/>
        </w:rPr>
        <w:t>打印、签字</w:t>
      </w:r>
      <w:r>
        <w:rPr>
          <w:rFonts w:hint="eastAsia" w:ascii="宋体" w:hAnsi="宋体"/>
          <w:szCs w:val="21"/>
        </w:rPr>
        <w:t>，作为查询记录和证据，与其他采购文件一并保存。</w:t>
      </w:r>
      <w:r>
        <w:rPr>
          <w:rFonts w:ascii="宋体" w:hAnsi="宋体"/>
          <w:szCs w:val="21"/>
        </w:rPr>
        <w:t>投标人不良信用记录以</w:t>
      </w:r>
      <w:r>
        <w:rPr>
          <w:rFonts w:hint="eastAsia" w:ascii="宋体" w:hAnsi="宋体"/>
          <w:szCs w:val="21"/>
        </w:rPr>
        <w:t>采购人、采购代理机构</w:t>
      </w:r>
      <w:r>
        <w:rPr>
          <w:rFonts w:ascii="宋体" w:hAnsi="宋体"/>
          <w:szCs w:val="21"/>
        </w:rPr>
        <w:t>查询结果为准</w:t>
      </w:r>
      <w:r>
        <w:rPr>
          <w:rFonts w:hint="eastAsia" w:ascii="宋体" w:hAnsi="宋体"/>
          <w:szCs w:val="21"/>
        </w:rPr>
        <w:t>。</w:t>
      </w:r>
    </w:p>
    <w:p w14:paraId="7CFA6555">
      <w:pPr>
        <w:pStyle w:val="5"/>
        <w:adjustRightInd w:val="0"/>
        <w:snapToGrid w:val="0"/>
        <w:spacing w:beforeLines="50" w:after="0" w:line="360" w:lineRule="auto"/>
        <w:rPr>
          <w:rFonts w:ascii="黑体" w:hAnsi="黑体" w:eastAsia="黑体"/>
          <w:sz w:val="24"/>
          <w:szCs w:val="24"/>
        </w:rPr>
      </w:pPr>
      <w:bookmarkStart w:id="62" w:name="_Toc30489"/>
      <w:bookmarkStart w:id="63" w:name="_Toc29913909"/>
      <w:bookmarkStart w:id="64" w:name="_Toc172716664"/>
      <w:r>
        <w:rPr>
          <w:rFonts w:hint="eastAsia" w:ascii="黑体" w:hAnsi="黑体" w:eastAsia="黑体"/>
          <w:sz w:val="24"/>
          <w:szCs w:val="24"/>
        </w:rPr>
        <w:t>3．资格审查结果</w:t>
      </w:r>
      <w:bookmarkEnd w:id="62"/>
      <w:bookmarkEnd w:id="63"/>
      <w:bookmarkEnd w:id="64"/>
    </w:p>
    <w:p w14:paraId="627D506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3.1未通过资格审查的投标人，采购人、采购代理机构应当告知其未通过的原因。</w:t>
      </w:r>
    </w:p>
    <w:p w14:paraId="2D4661CA">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3.2资格审查结束后，采购人、采购代理机构应将资格审查结果告知评标委员会。</w:t>
      </w:r>
    </w:p>
    <w:p w14:paraId="0182B91B">
      <w:pPr>
        <w:adjustRightInd w:val="0"/>
        <w:snapToGrid w:val="0"/>
        <w:spacing w:beforeLines="50" w:line="360" w:lineRule="auto"/>
        <w:ind w:firstLine="420" w:firstLineChars="200"/>
        <w:jc w:val="left"/>
        <w:rPr>
          <w:rFonts w:ascii="华文中宋" w:hAnsi="华文中宋" w:eastAsia="华文中宋"/>
          <w:b/>
          <w:bCs/>
          <w:sz w:val="32"/>
        </w:rPr>
      </w:pPr>
      <w:r>
        <w:rPr>
          <w:rFonts w:ascii="华文中宋" w:hAnsi="华文中宋" w:eastAsia="华文中宋"/>
        </w:rPr>
        <w:br w:type="page"/>
      </w:r>
    </w:p>
    <w:p w14:paraId="434F56B9">
      <w:pPr>
        <w:pStyle w:val="6"/>
        <w:adjustRightInd w:val="0"/>
        <w:snapToGrid w:val="0"/>
        <w:spacing w:before="0" w:after="0" w:line="360" w:lineRule="auto"/>
        <w:rPr>
          <w:rFonts w:asciiTheme="minorEastAsia" w:hAnsiTheme="minorEastAsia" w:eastAsiaTheme="minorEastAsia"/>
          <w:sz w:val="21"/>
          <w:szCs w:val="21"/>
        </w:rPr>
      </w:pPr>
      <w:bookmarkStart w:id="65" w:name="_Toc172716665"/>
      <w:bookmarkStart w:id="66" w:name="_Toc20651210"/>
      <w:bookmarkStart w:id="67" w:name="_Toc27072"/>
      <w:bookmarkStart w:id="68" w:name="_Toc29913910"/>
      <w:r>
        <w:rPr>
          <w:rFonts w:hint="eastAsia" w:asciiTheme="minorEastAsia" w:hAnsiTheme="minorEastAsia" w:eastAsiaTheme="minorEastAsia"/>
          <w:sz w:val="21"/>
          <w:szCs w:val="21"/>
        </w:rPr>
        <w:t>附表1</w:t>
      </w:r>
      <w:r>
        <w:rPr>
          <w:rFonts w:asciiTheme="minorEastAsia" w:hAnsiTheme="minorEastAsia" w:eastAsiaTheme="minorEastAsia"/>
          <w:sz w:val="21"/>
          <w:szCs w:val="21"/>
        </w:rPr>
        <w:t>资格审查表</w:t>
      </w:r>
      <w:bookmarkEnd w:id="65"/>
      <w:bookmarkEnd w:id="66"/>
      <w:bookmarkEnd w:id="67"/>
    </w:p>
    <w:p w14:paraId="11E24E6B">
      <w:pPr>
        <w:adjustRightInd w:val="0"/>
        <w:snapToGrid w:val="0"/>
        <w:spacing w:line="360" w:lineRule="auto"/>
        <w:jc w:val="center"/>
        <w:rPr>
          <w:rFonts w:ascii="黑体" w:hAnsi="黑体" w:eastAsia="黑体"/>
          <w:b/>
          <w:sz w:val="28"/>
          <w:szCs w:val="28"/>
        </w:rPr>
      </w:pPr>
      <w:r>
        <w:rPr>
          <w:rFonts w:ascii="黑体" w:hAnsi="黑体" w:eastAsia="黑体"/>
          <w:b/>
          <w:sz w:val="28"/>
          <w:szCs w:val="28"/>
        </w:rPr>
        <w:t>资格审查表</w:t>
      </w:r>
    </w:p>
    <w:p w14:paraId="610AC781">
      <w:pPr>
        <w:adjustRightInd w:val="0"/>
        <w:snapToGrid w:val="0"/>
        <w:spacing w:line="360" w:lineRule="auto"/>
        <w:rPr>
          <w:rFonts w:ascii="黑体" w:hAnsi="黑体" w:eastAsia="黑体"/>
          <w:sz w:val="28"/>
          <w:szCs w:val="28"/>
        </w:rPr>
      </w:pP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采购代理编号：</w:t>
      </w:r>
      <w:r>
        <w:rPr>
          <w:rFonts w:hint="eastAsia" w:asciiTheme="minorEastAsia" w:hAnsiTheme="minorEastAsia" w:eastAsiaTheme="minorEastAsia"/>
          <w:szCs w:val="21"/>
          <w:u w:val="single"/>
        </w:rPr>
        <w:t xml:space="preserve">       </w:t>
      </w: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394"/>
        <w:gridCol w:w="4983"/>
      </w:tblGrid>
      <w:tr w14:paraId="7749B2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vAlign w:val="center"/>
          </w:tcPr>
          <w:p w14:paraId="17ED12E2">
            <w:pPr>
              <w:adjustRightInd w:val="0"/>
              <w:snapToGrid w:val="0"/>
              <w:spacing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序号</w:t>
            </w:r>
          </w:p>
        </w:tc>
        <w:tc>
          <w:tcPr>
            <w:tcW w:w="3394" w:type="dxa"/>
            <w:vAlign w:val="center"/>
          </w:tcPr>
          <w:p w14:paraId="3947D54E">
            <w:pPr>
              <w:adjustRightInd w:val="0"/>
              <w:snapToGrid w:val="0"/>
              <w:spacing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审查项目</w:t>
            </w:r>
          </w:p>
        </w:tc>
        <w:tc>
          <w:tcPr>
            <w:tcW w:w="4983" w:type="dxa"/>
            <w:vAlign w:val="center"/>
          </w:tcPr>
          <w:p w14:paraId="070277F7">
            <w:pPr>
              <w:adjustRightInd w:val="0"/>
              <w:snapToGrid w:val="0"/>
              <w:spacing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审查标准</w:t>
            </w:r>
          </w:p>
        </w:tc>
      </w:tr>
      <w:tr w14:paraId="49F76A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0006CFA">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w:t>
            </w:r>
          </w:p>
        </w:tc>
        <w:tc>
          <w:tcPr>
            <w:tcW w:w="3394" w:type="dxa"/>
            <w:vAlign w:val="center"/>
          </w:tcPr>
          <w:p w14:paraId="6DBD29F1">
            <w:pPr>
              <w:rPr>
                <w:rFonts w:asciiTheme="minorEastAsia" w:hAnsiTheme="minorEastAsia" w:eastAsiaTheme="minorEastAsia"/>
              </w:rPr>
            </w:pPr>
            <w:r>
              <w:rPr>
                <w:rFonts w:hint="eastAsia"/>
              </w:rPr>
              <w:t>具有独立承担民事责任的能力</w:t>
            </w:r>
          </w:p>
        </w:tc>
        <w:tc>
          <w:tcPr>
            <w:tcW w:w="4983" w:type="dxa"/>
            <w:vAlign w:val="center"/>
          </w:tcPr>
          <w:p w14:paraId="6B38ECDD">
            <w:r>
              <w:rPr>
                <w:rFonts w:hint="eastAsia"/>
              </w:rPr>
              <w:t>投标人是企业（包括合伙企业）的，应提供其在工商部门注册的有效“企业法人营业执照”或“营业执照”的复印件；</w:t>
            </w:r>
          </w:p>
          <w:p w14:paraId="62AFBDD4">
            <w:r>
              <w:rPr>
                <w:rFonts w:hint="eastAsia"/>
              </w:rPr>
              <w:t>投标人是事业单位的，应提供其有效的“事业单位法人证书”复印件；</w:t>
            </w:r>
          </w:p>
          <w:p w14:paraId="647C426A">
            <w:r>
              <w:rPr>
                <w:rFonts w:hint="eastAsia"/>
              </w:rPr>
              <w:t>投标人是社会团体组织的，应提供有效的“社会团体法人登记证书”复印件；</w:t>
            </w:r>
          </w:p>
          <w:p w14:paraId="73742AE0">
            <w:r>
              <w:rPr>
                <w:rFonts w:hint="eastAsia"/>
              </w:rPr>
              <w:t>投标人是非企业专业服务机构的，应提供其有效的“执业许可证”复印件；</w:t>
            </w:r>
          </w:p>
          <w:p w14:paraId="66136FFB">
            <w:r>
              <w:rPr>
                <w:rFonts w:hint="eastAsia"/>
              </w:rPr>
              <w:t>投标人是个体工商户的，应提供其有效的“个体工商户营业执照”复印件；</w:t>
            </w:r>
          </w:p>
          <w:p w14:paraId="53A1C3ED">
            <w:pPr>
              <w:rPr>
                <w:rFonts w:asciiTheme="minorEastAsia" w:hAnsiTheme="minorEastAsia" w:eastAsiaTheme="minorEastAsia"/>
              </w:rPr>
            </w:pPr>
            <w:r>
              <w:rPr>
                <w:rFonts w:hint="eastAsia" w:ascii="宋体" w:hAnsi="宋体"/>
                <w:szCs w:val="21"/>
                <w:u w:val="dottedHeavy"/>
              </w:rPr>
              <w:t>注：根据《政府采购法实施条例》释义，银行、保险、石油石化、电力、电信等有行业特殊情况的，取得营业执照的分支机构可以分公司的名义直接参与投标。</w:t>
            </w:r>
          </w:p>
        </w:tc>
      </w:tr>
      <w:tr w14:paraId="7C15EE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80EEBBF">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3394" w:type="dxa"/>
            <w:vAlign w:val="center"/>
          </w:tcPr>
          <w:p w14:paraId="76F390CE">
            <w:pPr>
              <w:rPr>
                <w:rFonts w:asciiTheme="minorEastAsia" w:hAnsiTheme="minorEastAsia" w:eastAsiaTheme="minorEastAsia"/>
              </w:rPr>
            </w:pPr>
            <w:r>
              <w:rPr>
                <w:rFonts w:hint="eastAsia"/>
              </w:rPr>
              <w:t>具有良好的商业信誉和健全的财务会计制度</w:t>
            </w:r>
          </w:p>
        </w:tc>
        <w:tc>
          <w:tcPr>
            <w:tcW w:w="4983" w:type="dxa"/>
            <w:vAlign w:val="center"/>
          </w:tcPr>
          <w:p w14:paraId="6B1420B6">
            <w:pPr>
              <w:rPr>
                <w:rFonts w:asciiTheme="minorEastAsia" w:hAnsiTheme="minorEastAsia" w:eastAsiaTheme="minorEastAsia"/>
              </w:rPr>
            </w:pPr>
            <w:r>
              <w:rPr>
                <w:rFonts w:hint="eastAsia"/>
              </w:rPr>
              <w:t>提供“投标人资格声明”，签署、盖章符合要求。</w:t>
            </w:r>
          </w:p>
        </w:tc>
      </w:tr>
      <w:tr w14:paraId="5BF82B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80982F4">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w:t>
            </w:r>
          </w:p>
        </w:tc>
        <w:tc>
          <w:tcPr>
            <w:tcW w:w="3394" w:type="dxa"/>
            <w:vAlign w:val="center"/>
          </w:tcPr>
          <w:p w14:paraId="30CEC2E7">
            <w:pPr>
              <w:rPr>
                <w:rFonts w:asciiTheme="minorEastAsia" w:hAnsiTheme="minorEastAsia" w:eastAsiaTheme="minorEastAsia"/>
              </w:rPr>
            </w:pPr>
            <w:r>
              <w:rPr>
                <w:rFonts w:hint="eastAsia"/>
              </w:rPr>
              <w:t>有依法缴纳税收和社会保障资金的良好记录</w:t>
            </w:r>
          </w:p>
        </w:tc>
        <w:tc>
          <w:tcPr>
            <w:tcW w:w="4983" w:type="dxa"/>
            <w:vAlign w:val="center"/>
          </w:tcPr>
          <w:p w14:paraId="52500119">
            <w:pPr>
              <w:rPr>
                <w:rFonts w:asciiTheme="minorEastAsia" w:hAnsiTheme="minorEastAsia" w:eastAsiaTheme="minorEastAsia"/>
              </w:rPr>
            </w:pPr>
            <w:r>
              <w:rPr>
                <w:rFonts w:hint="eastAsia"/>
              </w:rPr>
              <w:t>提供“投标人资格声明”，签署、盖章符合要求。</w:t>
            </w:r>
          </w:p>
        </w:tc>
      </w:tr>
      <w:tr w14:paraId="3CBD05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CD67A84">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w:t>
            </w:r>
          </w:p>
        </w:tc>
        <w:tc>
          <w:tcPr>
            <w:tcW w:w="3394" w:type="dxa"/>
            <w:vAlign w:val="center"/>
          </w:tcPr>
          <w:p w14:paraId="6A3A6672">
            <w:pPr>
              <w:rPr>
                <w:rFonts w:asciiTheme="minorEastAsia" w:hAnsiTheme="minorEastAsia" w:eastAsiaTheme="minorEastAsia"/>
              </w:rPr>
            </w:pPr>
            <w:r>
              <w:rPr>
                <w:rFonts w:hint="eastAsia"/>
              </w:rPr>
              <w:t>具有履行合同所必需的设备和专业技术能力</w:t>
            </w:r>
          </w:p>
        </w:tc>
        <w:tc>
          <w:tcPr>
            <w:tcW w:w="4983" w:type="dxa"/>
            <w:vAlign w:val="center"/>
          </w:tcPr>
          <w:p w14:paraId="21B92014">
            <w:pPr>
              <w:rPr>
                <w:rFonts w:asciiTheme="minorEastAsia" w:hAnsiTheme="minorEastAsia" w:eastAsiaTheme="minorEastAsia"/>
              </w:rPr>
            </w:pPr>
            <w:r>
              <w:rPr>
                <w:rFonts w:hint="eastAsia"/>
              </w:rPr>
              <w:t>提供“投标人资格声明”，签署、盖章符合要求。</w:t>
            </w:r>
          </w:p>
        </w:tc>
      </w:tr>
      <w:tr w14:paraId="46A432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4782276">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5</w:t>
            </w:r>
          </w:p>
        </w:tc>
        <w:tc>
          <w:tcPr>
            <w:tcW w:w="3394" w:type="dxa"/>
            <w:vAlign w:val="center"/>
          </w:tcPr>
          <w:p w14:paraId="647640E0">
            <w:pPr>
              <w:rPr>
                <w:rFonts w:asciiTheme="minorEastAsia" w:hAnsiTheme="minorEastAsia" w:eastAsiaTheme="minorEastAsia"/>
              </w:rPr>
            </w:pPr>
            <w:r>
              <w:rPr>
                <w:rFonts w:hint="eastAsia"/>
              </w:rPr>
              <w:t>参加政府采购活动前</w:t>
            </w:r>
            <w:r>
              <w:t>3</w:t>
            </w:r>
            <w:r>
              <w:rPr>
                <w:rFonts w:hint="eastAsia"/>
              </w:rPr>
              <w:t>年内在经营活动中没有重大违法记录</w:t>
            </w:r>
          </w:p>
        </w:tc>
        <w:tc>
          <w:tcPr>
            <w:tcW w:w="4983" w:type="dxa"/>
            <w:vAlign w:val="center"/>
          </w:tcPr>
          <w:p w14:paraId="281E5B66">
            <w:pPr>
              <w:rPr>
                <w:rFonts w:asciiTheme="minorEastAsia" w:hAnsiTheme="minorEastAsia" w:eastAsiaTheme="minorEastAsia"/>
              </w:rPr>
            </w:pPr>
            <w:r>
              <w:rPr>
                <w:rFonts w:hint="eastAsia"/>
              </w:rPr>
              <w:t>提供“投标人资格声明”，签署、盖章符合要求。</w:t>
            </w:r>
          </w:p>
        </w:tc>
      </w:tr>
      <w:tr w14:paraId="685857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32AC1F4">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6</w:t>
            </w:r>
          </w:p>
        </w:tc>
        <w:tc>
          <w:tcPr>
            <w:tcW w:w="3394" w:type="dxa"/>
            <w:vAlign w:val="center"/>
          </w:tcPr>
          <w:p w14:paraId="32C3982D">
            <w:pPr>
              <w:rPr>
                <w:rFonts w:asciiTheme="minorEastAsia" w:hAnsiTheme="minorEastAsia" w:eastAsiaTheme="minorEastAsia"/>
              </w:rPr>
            </w:pPr>
            <w:r>
              <w:rPr>
                <w:rFonts w:hint="eastAsia"/>
              </w:rPr>
              <w:t>单位负责人为同一人或者存在直接控股、管理关系的不同投标人，不得参加同一合同项下的政府采购活动；</w:t>
            </w:r>
          </w:p>
        </w:tc>
        <w:tc>
          <w:tcPr>
            <w:tcW w:w="4983" w:type="dxa"/>
            <w:vAlign w:val="center"/>
          </w:tcPr>
          <w:p w14:paraId="766738BC">
            <w:pPr>
              <w:rPr>
                <w:rFonts w:asciiTheme="minorEastAsia" w:hAnsiTheme="minorEastAsia" w:eastAsiaTheme="minorEastAsia"/>
              </w:rPr>
            </w:pPr>
            <w:r>
              <w:rPr>
                <w:rFonts w:hint="eastAsia"/>
              </w:rPr>
              <w:t>提供“投标人资格声明”，签署、盖章符合要求。</w:t>
            </w:r>
          </w:p>
        </w:tc>
      </w:tr>
      <w:tr w14:paraId="1ABFAE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D65BD20">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7</w:t>
            </w:r>
          </w:p>
        </w:tc>
        <w:tc>
          <w:tcPr>
            <w:tcW w:w="3394" w:type="dxa"/>
            <w:vAlign w:val="center"/>
          </w:tcPr>
          <w:p w14:paraId="31F189A1">
            <w:pPr>
              <w:rPr>
                <w:rFonts w:asciiTheme="minorEastAsia" w:hAnsiTheme="minorEastAsia" w:eastAsiaTheme="minorEastAsia"/>
              </w:rPr>
            </w:pPr>
            <w:r>
              <w:rPr>
                <w:rFonts w:hint="eastAsia"/>
              </w:rPr>
              <w:t>为本采购项目提供整体设计、规范编制或者项目管理、监理、检测等服务的，不得再参加此项目的其他招标采购活动；</w:t>
            </w:r>
          </w:p>
        </w:tc>
        <w:tc>
          <w:tcPr>
            <w:tcW w:w="4983" w:type="dxa"/>
            <w:vAlign w:val="center"/>
          </w:tcPr>
          <w:p w14:paraId="07FB0C82">
            <w:pPr>
              <w:rPr>
                <w:rFonts w:asciiTheme="minorEastAsia" w:hAnsiTheme="minorEastAsia" w:eastAsiaTheme="minorEastAsia"/>
              </w:rPr>
            </w:pPr>
            <w:r>
              <w:rPr>
                <w:rFonts w:hint="eastAsia"/>
              </w:rPr>
              <w:t>提供“投标人资格声明”，签署、盖章符合要求。</w:t>
            </w:r>
          </w:p>
        </w:tc>
      </w:tr>
      <w:tr w14:paraId="79D99F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EFC65AB">
            <w:pPr>
              <w:adjustRightInd w:val="0"/>
              <w:snapToGrid w:val="0"/>
              <w:spacing w:beforeLines="50"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8</w:t>
            </w:r>
          </w:p>
        </w:tc>
        <w:tc>
          <w:tcPr>
            <w:tcW w:w="3394" w:type="dxa"/>
            <w:vAlign w:val="center"/>
          </w:tcPr>
          <w:p w14:paraId="4D5FD191">
            <w:pPr>
              <w:rPr>
                <w:rFonts w:asciiTheme="minorEastAsia" w:hAnsiTheme="minorEastAsia" w:eastAsiaTheme="minorEastAsia"/>
              </w:rPr>
            </w:pPr>
            <w:r>
              <w:rPr>
                <w:rFonts w:hint="eastAsia"/>
              </w:rPr>
              <w:t>列入失信被执行人、重大税收违法案件当事人名单，列入政府采购严重违法失信行为记录名单的，拒绝其参与政府采购活动；</w:t>
            </w:r>
          </w:p>
        </w:tc>
        <w:tc>
          <w:tcPr>
            <w:tcW w:w="4983" w:type="dxa"/>
            <w:vAlign w:val="center"/>
          </w:tcPr>
          <w:p w14:paraId="7290AD50">
            <w:pPr>
              <w:rPr>
                <w:rFonts w:asciiTheme="minorEastAsia" w:hAnsiTheme="minorEastAsia" w:eastAsiaTheme="minorEastAsia"/>
              </w:rPr>
            </w:pPr>
            <w:r>
              <w:rPr>
                <w:rFonts w:hint="eastAsia"/>
              </w:rPr>
              <w:t>提供“投标人资格声明”，签署、盖章符合要求。</w:t>
            </w:r>
          </w:p>
        </w:tc>
      </w:tr>
      <w:tr w14:paraId="14404B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44715C9">
            <w:pPr>
              <w:adjustRightInd w:val="0"/>
              <w:snapToGrid w:val="0"/>
              <w:spacing w:beforeLines="50"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9</w:t>
            </w:r>
          </w:p>
        </w:tc>
        <w:tc>
          <w:tcPr>
            <w:tcW w:w="3394" w:type="dxa"/>
            <w:vAlign w:val="center"/>
          </w:tcPr>
          <w:p w14:paraId="6E238F40">
            <w:pPr>
              <w:rPr>
                <w:rFonts w:asciiTheme="minorEastAsia" w:hAnsiTheme="minorEastAsia" w:eastAsiaTheme="minorEastAsia"/>
              </w:rPr>
            </w:pPr>
            <w:r>
              <w:rPr>
                <w:rFonts w:hint="eastAsia"/>
                <w:shd w:val="clear" w:color="auto" w:fill="FFFFFF"/>
              </w:rPr>
              <w:t>不是联合体投标</w:t>
            </w:r>
          </w:p>
        </w:tc>
        <w:tc>
          <w:tcPr>
            <w:tcW w:w="4983" w:type="dxa"/>
            <w:vAlign w:val="center"/>
          </w:tcPr>
          <w:p w14:paraId="2FBDBA2D">
            <w:pPr>
              <w:rPr>
                <w:rFonts w:asciiTheme="minorEastAsia" w:hAnsiTheme="minorEastAsia" w:eastAsiaTheme="minorEastAsia"/>
              </w:rPr>
            </w:pPr>
            <w:r>
              <w:rPr>
                <w:rFonts w:hint="eastAsia"/>
                <w:shd w:val="clear" w:color="auto" w:fill="FFFFFF"/>
              </w:rPr>
              <w:t>不是联合体投标</w:t>
            </w:r>
          </w:p>
        </w:tc>
      </w:tr>
      <w:tr w14:paraId="0A3D0D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5CCEB7D">
            <w:pPr>
              <w:adjustRightInd w:val="0"/>
              <w:snapToGrid w:val="0"/>
              <w:spacing w:beforeLines="50"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10</w:t>
            </w:r>
          </w:p>
        </w:tc>
        <w:tc>
          <w:tcPr>
            <w:tcW w:w="3394" w:type="dxa"/>
            <w:vAlign w:val="center"/>
          </w:tcPr>
          <w:p w14:paraId="36813A63">
            <w:pPr>
              <w:rPr>
                <w:rFonts w:asciiTheme="minorEastAsia" w:hAnsiTheme="minorEastAsia" w:eastAsiaTheme="minorEastAsia"/>
              </w:rPr>
            </w:pPr>
            <w:r>
              <w:rPr>
                <w:rFonts w:hint="eastAsia"/>
              </w:rPr>
              <w:t>投标文件的资格证明文件按照招标文件要求签署、盖章的</w:t>
            </w:r>
          </w:p>
        </w:tc>
        <w:tc>
          <w:tcPr>
            <w:tcW w:w="4983" w:type="dxa"/>
            <w:vAlign w:val="center"/>
          </w:tcPr>
          <w:p w14:paraId="6D38AC69">
            <w:pPr>
              <w:rPr>
                <w:rFonts w:asciiTheme="minorEastAsia" w:hAnsiTheme="minorEastAsia" w:eastAsiaTheme="minorEastAsia"/>
              </w:rPr>
            </w:pPr>
            <w:r>
              <w:rPr>
                <w:rFonts w:hint="eastAsia"/>
              </w:rPr>
              <w:t>投标文件的资格证明文件按照招标文件要求签署、盖章的</w:t>
            </w:r>
          </w:p>
        </w:tc>
      </w:tr>
      <w:tr w14:paraId="621D76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7C8D314">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11</w:t>
            </w:r>
          </w:p>
        </w:tc>
        <w:tc>
          <w:tcPr>
            <w:tcW w:w="3394" w:type="dxa"/>
            <w:vAlign w:val="center"/>
          </w:tcPr>
          <w:p w14:paraId="3787517F">
            <w:pPr>
              <w:rPr>
                <w:rFonts w:asciiTheme="minorEastAsia" w:hAnsiTheme="minorEastAsia" w:eastAsiaTheme="minorEastAsia"/>
              </w:rPr>
            </w:pPr>
            <w:r>
              <w:rPr>
                <w:rFonts w:hint="eastAsia"/>
              </w:rPr>
              <w:t>采购项目的特定资格条件</w:t>
            </w:r>
          </w:p>
        </w:tc>
        <w:tc>
          <w:tcPr>
            <w:tcW w:w="4983" w:type="dxa"/>
            <w:vAlign w:val="center"/>
          </w:tcPr>
          <w:p w14:paraId="73E17737">
            <w:pPr>
              <w:rPr>
                <w:rFonts w:hint="eastAsia"/>
              </w:rPr>
            </w:pPr>
            <w:r>
              <w:rPr>
                <w:rFonts w:hint="eastAsia"/>
              </w:rPr>
              <w:t>1、要求投标人提供有效的工信部颁发的基础电信业务或增值电信业务经营许可证明。</w:t>
            </w:r>
          </w:p>
          <w:p w14:paraId="6E06D9AD">
            <w:r>
              <w:rPr>
                <w:rFonts w:hint="eastAsia"/>
              </w:rPr>
              <w:t>2、根据《政府采购法实施条例》释义，银行、保险、石油石化、电力、电信等有行业特殊情况的，取得营业执照的分支机构可以分公司的名义直接参与投标。本项目允许以分支机构的身份参加政府采购活动的，须持有总公司有效授权文件，否则其投标无效。经总公司授权后的分公司参与投标，其一切法律责任由所属总公司承担(同一公司只能授权一家分公司参加本项目投标，若同时出现同一公司的不同分公司参加本项目投标，则全部按无效投标处理)。</w:t>
            </w:r>
          </w:p>
        </w:tc>
      </w:tr>
      <w:tr w14:paraId="1979FC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964D387">
            <w:pPr>
              <w:adjustRightInd w:val="0"/>
              <w:snapToGrid w:val="0"/>
              <w:spacing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12</w:t>
            </w:r>
          </w:p>
        </w:tc>
        <w:tc>
          <w:tcPr>
            <w:tcW w:w="3394" w:type="dxa"/>
            <w:vAlign w:val="center"/>
          </w:tcPr>
          <w:p w14:paraId="22B0AE03">
            <w:pPr>
              <w:rPr>
                <w:rFonts w:asciiTheme="minorEastAsia" w:hAnsiTheme="minorEastAsia" w:eastAsiaTheme="minorEastAsia"/>
                <w:sz w:val="20"/>
              </w:rPr>
            </w:pPr>
            <w:r>
              <w:rPr>
                <w:rFonts w:hint="eastAsia"/>
              </w:rPr>
              <w:t>投标报价未超过招标文件中规定的最高限价</w:t>
            </w:r>
          </w:p>
        </w:tc>
        <w:tc>
          <w:tcPr>
            <w:tcW w:w="4983" w:type="dxa"/>
            <w:vAlign w:val="center"/>
          </w:tcPr>
          <w:p w14:paraId="2AB1249A">
            <w:pPr>
              <w:rPr>
                <w:rFonts w:asciiTheme="minorEastAsia" w:hAnsiTheme="minorEastAsia" w:eastAsiaTheme="minorEastAsia"/>
                <w:sz w:val="20"/>
              </w:rPr>
            </w:pPr>
            <w:r>
              <w:rPr>
                <w:rFonts w:hint="eastAsia"/>
              </w:rPr>
              <w:t>投标报价未超过招标文件中规定的最高限价</w:t>
            </w:r>
          </w:p>
        </w:tc>
      </w:tr>
      <w:tr w14:paraId="70C986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B34563E">
            <w:pPr>
              <w:adjustRightInd w:val="0"/>
              <w:snapToGrid w:val="0"/>
              <w:spacing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13</w:t>
            </w:r>
          </w:p>
        </w:tc>
        <w:tc>
          <w:tcPr>
            <w:tcW w:w="3394" w:type="dxa"/>
            <w:vAlign w:val="center"/>
          </w:tcPr>
          <w:p w14:paraId="4848CFBB">
            <w:pPr>
              <w:rPr>
                <w:rFonts w:asciiTheme="minorEastAsia" w:hAnsiTheme="minorEastAsia" w:eastAsiaTheme="minorEastAsia"/>
                <w:sz w:val="20"/>
              </w:rPr>
            </w:pPr>
            <w:r>
              <w:rPr>
                <w:rFonts w:hint="eastAsia"/>
              </w:rPr>
              <w:t>法律、法规和招标文件规定的其他投标无效情形的</w:t>
            </w:r>
          </w:p>
        </w:tc>
        <w:tc>
          <w:tcPr>
            <w:tcW w:w="4983" w:type="dxa"/>
            <w:vAlign w:val="center"/>
          </w:tcPr>
          <w:p w14:paraId="2CFFAD67">
            <w:pPr>
              <w:rPr>
                <w:rFonts w:cs="宋体" w:asciiTheme="minorEastAsia" w:hAnsiTheme="minorEastAsia" w:eastAsiaTheme="minorEastAsia"/>
                <w:sz w:val="20"/>
              </w:rPr>
            </w:pPr>
            <w:r>
              <w:rPr>
                <w:rFonts w:hint="eastAsia" w:ascii="宋体" w:hAnsi="宋体" w:eastAsia="宋体" w:cs="宋体"/>
                <w:color w:val="auto"/>
                <w:sz w:val="21"/>
                <w:szCs w:val="21"/>
                <w:highlight w:val="none"/>
              </w:rPr>
              <w:t>被“信用中国”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“信用湖南”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“信用郴州”网站列入失信被执行人和重大税收违法案件当事人名单的、被“中国政府采购网”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“湖南省政府采购网”网站列入政府采购严重违法失信行为记录名单（处罚期限尚未届满的），不得参与本项目的政府采购活动。</w:t>
            </w:r>
          </w:p>
        </w:tc>
      </w:tr>
      <w:tr w14:paraId="1BA99B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9996CF3">
            <w:pPr>
              <w:adjustRightInd w:val="0"/>
              <w:snapToGrid w:val="0"/>
              <w:spacing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14</w:t>
            </w:r>
          </w:p>
        </w:tc>
        <w:tc>
          <w:tcPr>
            <w:tcW w:w="3394" w:type="dxa"/>
            <w:vAlign w:val="center"/>
          </w:tcPr>
          <w:p w14:paraId="6631D5A9">
            <w:pPr>
              <w:rPr>
                <w:rFonts w:asciiTheme="minorEastAsia" w:hAnsiTheme="minorEastAsia" w:eastAsiaTheme="minorEastAsia"/>
                <w:sz w:val="20"/>
              </w:rPr>
            </w:pPr>
            <w:r>
              <w:rPr>
                <w:rFonts w:hint="eastAsia"/>
              </w:rPr>
              <w:t>法定代表人（单位负责人）授权委托书（授权委托代理人参加投标）及法定代表人（单位负责人）身份证明</w:t>
            </w:r>
          </w:p>
        </w:tc>
        <w:tc>
          <w:tcPr>
            <w:tcW w:w="4983" w:type="dxa"/>
            <w:vAlign w:val="center"/>
          </w:tcPr>
          <w:p w14:paraId="5426BDAC">
            <w:pPr>
              <w:rPr>
                <w:rFonts w:asciiTheme="minorEastAsia" w:hAnsiTheme="minorEastAsia" w:eastAsiaTheme="minorEastAsia"/>
                <w:sz w:val="20"/>
              </w:rPr>
            </w:pPr>
            <w:r>
              <w:rPr>
                <w:rFonts w:hint="eastAsia"/>
              </w:rPr>
              <w:t>投标人代表可为投标人法定代表人（单位负责人），应提供法定代表人（单位负责人）身份证明；投标人代表不是投标人的法定代表人（单位负责人）的，应提供法定代表人（单位负责人）授权委托书及法定代表人（单位负责人）身份证明。签署、盖章符合要求。</w:t>
            </w:r>
          </w:p>
        </w:tc>
      </w:tr>
      <w:tr w14:paraId="61D8D0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683" w:type="dxa"/>
            <w:vAlign w:val="center"/>
          </w:tcPr>
          <w:p w14:paraId="6E7F90F5">
            <w:pPr>
              <w:adjustRightInd w:val="0"/>
              <w:snapToGrid w:val="0"/>
              <w:spacing w:beforeLines="50" w:line="360" w:lineRule="auto"/>
              <w:jc w:val="center"/>
              <w:rPr>
                <w:rFonts w:cs="宋体" w:asciiTheme="minorEastAsia" w:hAnsiTheme="minorEastAsia" w:eastAsiaTheme="minorEastAsia"/>
                <w:kern w:val="0"/>
                <w:sz w:val="20"/>
                <w:szCs w:val="21"/>
              </w:rPr>
            </w:pPr>
            <w:r>
              <w:rPr>
                <w:rFonts w:hint="eastAsia" w:asciiTheme="minorEastAsia" w:hAnsiTheme="minorEastAsia" w:eastAsiaTheme="minorEastAsia"/>
                <w:kern w:val="0"/>
                <w:sz w:val="20"/>
                <w:szCs w:val="21"/>
              </w:rPr>
              <w:t>结论</w:t>
            </w:r>
          </w:p>
        </w:tc>
        <w:tc>
          <w:tcPr>
            <w:tcW w:w="8377" w:type="dxa"/>
            <w:gridSpan w:val="2"/>
            <w:vAlign w:val="center"/>
          </w:tcPr>
          <w:p w14:paraId="6436C176">
            <w:pPr>
              <w:adjustRightInd w:val="0"/>
              <w:snapToGrid w:val="0"/>
              <w:spacing w:beforeLines="50" w:line="360" w:lineRule="auto"/>
              <w:jc w:val="center"/>
              <w:rPr>
                <w:rFonts w:cs="宋体" w:asciiTheme="minorEastAsia" w:hAnsiTheme="minorEastAsia" w:eastAsiaTheme="minorEastAsia"/>
                <w:kern w:val="0"/>
                <w:szCs w:val="21"/>
              </w:rPr>
            </w:pPr>
          </w:p>
        </w:tc>
      </w:tr>
    </w:tbl>
    <w:p w14:paraId="728BBE66"/>
    <w:p w14:paraId="1AEA6F98">
      <w:pPr>
        <w:widowControl/>
        <w:jc w:val="left"/>
        <w:rPr>
          <w:rFonts w:ascii="黑体" w:hAnsi="黑体" w:eastAsia="黑体"/>
          <w:bCs/>
          <w:szCs w:val="21"/>
        </w:rPr>
      </w:pPr>
      <w:r>
        <w:rPr>
          <w:rFonts w:ascii="黑体" w:hAnsi="黑体"/>
          <w:b/>
          <w:szCs w:val="21"/>
        </w:rPr>
        <w:br w:type="page"/>
      </w:r>
    </w:p>
    <w:p w14:paraId="000E2786">
      <w:pPr>
        <w:pStyle w:val="6"/>
        <w:adjustRightInd w:val="0"/>
        <w:snapToGrid w:val="0"/>
        <w:spacing w:before="0" w:after="0" w:line="360" w:lineRule="auto"/>
        <w:rPr>
          <w:rFonts w:ascii="黑体" w:hAnsi="黑体"/>
          <w:b w:val="0"/>
          <w:sz w:val="21"/>
          <w:szCs w:val="21"/>
        </w:rPr>
      </w:pPr>
      <w:bookmarkStart w:id="69" w:name="_Toc20651211"/>
      <w:bookmarkStart w:id="70" w:name="_Toc19302"/>
      <w:bookmarkStart w:id="71" w:name="_Toc172716666"/>
      <w:r>
        <w:rPr>
          <w:rFonts w:hint="eastAsia" w:ascii="黑体" w:hAnsi="黑体"/>
          <w:b w:val="0"/>
          <w:sz w:val="21"/>
          <w:szCs w:val="21"/>
        </w:rPr>
        <w:t>附表2 资格审查结果一览表</w:t>
      </w:r>
      <w:bookmarkEnd w:id="69"/>
      <w:bookmarkEnd w:id="70"/>
      <w:bookmarkEnd w:id="71"/>
    </w:p>
    <w:p w14:paraId="1BA05B87">
      <w:pPr>
        <w:adjustRightInd w:val="0"/>
        <w:snapToGrid w:val="0"/>
        <w:spacing w:line="360" w:lineRule="auto"/>
        <w:jc w:val="center"/>
        <w:rPr>
          <w:rFonts w:ascii="黑体" w:hAnsi="黑体" w:eastAsia="黑体"/>
          <w:b/>
          <w:sz w:val="28"/>
          <w:szCs w:val="28"/>
        </w:rPr>
      </w:pPr>
      <w:r>
        <w:rPr>
          <w:rFonts w:hint="eastAsia" w:ascii="黑体" w:hAnsi="黑体" w:eastAsia="黑体"/>
          <w:b/>
          <w:sz w:val="28"/>
          <w:szCs w:val="28"/>
        </w:rPr>
        <w:t>资格审查结果一览表</w:t>
      </w:r>
    </w:p>
    <w:p w14:paraId="3B9BD840">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采购代理编号：</w:t>
      </w:r>
      <w:r>
        <w:rPr>
          <w:rFonts w:hint="eastAsia" w:asciiTheme="minorEastAsia" w:hAnsiTheme="minorEastAsia" w:eastAsiaTheme="minorEastAsia"/>
          <w:szCs w:val="21"/>
          <w:u w:val="single"/>
        </w:rPr>
        <w:t xml:space="preserve">         </w:t>
      </w: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2A09B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27AAB0C2">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序号</w:t>
            </w:r>
          </w:p>
        </w:tc>
        <w:tc>
          <w:tcPr>
            <w:tcW w:w="2963" w:type="dxa"/>
            <w:vAlign w:val="center"/>
          </w:tcPr>
          <w:p w14:paraId="6CDBA103">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投标人名称</w:t>
            </w:r>
          </w:p>
        </w:tc>
        <w:tc>
          <w:tcPr>
            <w:tcW w:w="2439" w:type="dxa"/>
            <w:vAlign w:val="center"/>
          </w:tcPr>
          <w:p w14:paraId="5679D8F9">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资格审查结果</w:t>
            </w:r>
          </w:p>
          <w:p w14:paraId="4264F29E">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（合格/不合格）</w:t>
            </w:r>
          </w:p>
        </w:tc>
        <w:tc>
          <w:tcPr>
            <w:tcW w:w="2961" w:type="dxa"/>
            <w:vAlign w:val="center"/>
          </w:tcPr>
          <w:p w14:paraId="494C7DEB">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资格审查不合格原因</w:t>
            </w:r>
          </w:p>
        </w:tc>
      </w:tr>
      <w:tr w14:paraId="36DFB3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32B9205C">
            <w:pPr>
              <w:adjustRightInd w:val="0"/>
              <w:snapToGrid w:val="0"/>
              <w:spacing w:line="360" w:lineRule="auto"/>
              <w:rPr>
                <w:rFonts w:asciiTheme="minorEastAsia" w:hAnsiTheme="minorEastAsia" w:eastAsiaTheme="minorEastAsia"/>
                <w:kern w:val="0"/>
                <w:sz w:val="24"/>
              </w:rPr>
            </w:pPr>
          </w:p>
        </w:tc>
        <w:tc>
          <w:tcPr>
            <w:tcW w:w="2963" w:type="dxa"/>
          </w:tcPr>
          <w:p w14:paraId="584D1BCF">
            <w:pPr>
              <w:adjustRightInd w:val="0"/>
              <w:snapToGrid w:val="0"/>
              <w:spacing w:line="360" w:lineRule="auto"/>
              <w:rPr>
                <w:rFonts w:asciiTheme="minorEastAsia" w:hAnsiTheme="minorEastAsia" w:eastAsiaTheme="minorEastAsia"/>
                <w:kern w:val="0"/>
                <w:sz w:val="24"/>
              </w:rPr>
            </w:pPr>
          </w:p>
        </w:tc>
        <w:tc>
          <w:tcPr>
            <w:tcW w:w="2439" w:type="dxa"/>
          </w:tcPr>
          <w:p w14:paraId="003877D0">
            <w:pPr>
              <w:adjustRightInd w:val="0"/>
              <w:snapToGrid w:val="0"/>
              <w:spacing w:line="360" w:lineRule="auto"/>
              <w:rPr>
                <w:rFonts w:asciiTheme="minorEastAsia" w:hAnsiTheme="minorEastAsia" w:eastAsiaTheme="minorEastAsia"/>
                <w:kern w:val="0"/>
                <w:sz w:val="24"/>
              </w:rPr>
            </w:pPr>
          </w:p>
        </w:tc>
        <w:tc>
          <w:tcPr>
            <w:tcW w:w="2961" w:type="dxa"/>
          </w:tcPr>
          <w:p w14:paraId="0A9AFA74">
            <w:pPr>
              <w:adjustRightInd w:val="0"/>
              <w:snapToGrid w:val="0"/>
              <w:spacing w:line="360" w:lineRule="auto"/>
              <w:rPr>
                <w:rFonts w:asciiTheme="minorEastAsia" w:hAnsiTheme="minorEastAsia" w:eastAsiaTheme="minorEastAsia"/>
                <w:kern w:val="0"/>
                <w:sz w:val="24"/>
              </w:rPr>
            </w:pPr>
          </w:p>
        </w:tc>
      </w:tr>
      <w:tr w14:paraId="2D2EF3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95F3D9B">
            <w:pPr>
              <w:adjustRightInd w:val="0"/>
              <w:snapToGrid w:val="0"/>
              <w:spacing w:line="360" w:lineRule="auto"/>
              <w:rPr>
                <w:rFonts w:asciiTheme="minorEastAsia" w:hAnsiTheme="minorEastAsia" w:eastAsiaTheme="minorEastAsia"/>
                <w:kern w:val="0"/>
                <w:sz w:val="24"/>
              </w:rPr>
            </w:pPr>
          </w:p>
        </w:tc>
        <w:tc>
          <w:tcPr>
            <w:tcW w:w="2963" w:type="dxa"/>
          </w:tcPr>
          <w:p w14:paraId="09E157AA">
            <w:pPr>
              <w:adjustRightInd w:val="0"/>
              <w:snapToGrid w:val="0"/>
              <w:spacing w:line="360" w:lineRule="auto"/>
              <w:rPr>
                <w:rFonts w:asciiTheme="minorEastAsia" w:hAnsiTheme="minorEastAsia" w:eastAsiaTheme="minorEastAsia"/>
                <w:kern w:val="0"/>
                <w:sz w:val="24"/>
              </w:rPr>
            </w:pPr>
          </w:p>
        </w:tc>
        <w:tc>
          <w:tcPr>
            <w:tcW w:w="2439" w:type="dxa"/>
          </w:tcPr>
          <w:p w14:paraId="6406004A">
            <w:pPr>
              <w:adjustRightInd w:val="0"/>
              <w:snapToGrid w:val="0"/>
              <w:spacing w:line="360" w:lineRule="auto"/>
              <w:rPr>
                <w:rFonts w:asciiTheme="minorEastAsia" w:hAnsiTheme="minorEastAsia" w:eastAsiaTheme="minorEastAsia"/>
                <w:kern w:val="0"/>
                <w:sz w:val="24"/>
              </w:rPr>
            </w:pPr>
          </w:p>
        </w:tc>
        <w:tc>
          <w:tcPr>
            <w:tcW w:w="2961" w:type="dxa"/>
          </w:tcPr>
          <w:p w14:paraId="2449CDBB">
            <w:pPr>
              <w:adjustRightInd w:val="0"/>
              <w:snapToGrid w:val="0"/>
              <w:spacing w:line="360" w:lineRule="auto"/>
              <w:rPr>
                <w:rFonts w:asciiTheme="minorEastAsia" w:hAnsiTheme="minorEastAsia" w:eastAsiaTheme="minorEastAsia"/>
                <w:kern w:val="0"/>
                <w:sz w:val="24"/>
              </w:rPr>
            </w:pPr>
          </w:p>
        </w:tc>
      </w:tr>
      <w:tr w14:paraId="12CF7A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1275862F">
            <w:pPr>
              <w:adjustRightInd w:val="0"/>
              <w:snapToGrid w:val="0"/>
              <w:spacing w:line="360" w:lineRule="auto"/>
              <w:rPr>
                <w:rFonts w:asciiTheme="minorEastAsia" w:hAnsiTheme="minorEastAsia" w:eastAsiaTheme="minorEastAsia"/>
                <w:kern w:val="0"/>
                <w:sz w:val="24"/>
              </w:rPr>
            </w:pPr>
          </w:p>
        </w:tc>
        <w:tc>
          <w:tcPr>
            <w:tcW w:w="2963" w:type="dxa"/>
          </w:tcPr>
          <w:p w14:paraId="27742C60">
            <w:pPr>
              <w:adjustRightInd w:val="0"/>
              <w:snapToGrid w:val="0"/>
              <w:spacing w:line="360" w:lineRule="auto"/>
              <w:rPr>
                <w:rFonts w:asciiTheme="minorEastAsia" w:hAnsiTheme="minorEastAsia" w:eastAsiaTheme="minorEastAsia"/>
                <w:kern w:val="0"/>
                <w:sz w:val="24"/>
              </w:rPr>
            </w:pPr>
          </w:p>
        </w:tc>
        <w:tc>
          <w:tcPr>
            <w:tcW w:w="2439" w:type="dxa"/>
          </w:tcPr>
          <w:p w14:paraId="37116187">
            <w:pPr>
              <w:adjustRightInd w:val="0"/>
              <w:snapToGrid w:val="0"/>
              <w:spacing w:line="360" w:lineRule="auto"/>
              <w:rPr>
                <w:rFonts w:asciiTheme="minorEastAsia" w:hAnsiTheme="minorEastAsia" w:eastAsiaTheme="minorEastAsia"/>
                <w:kern w:val="0"/>
                <w:sz w:val="24"/>
              </w:rPr>
            </w:pPr>
          </w:p>
        </w:tc>
        <w:tc>
          <w:tcPr>
            <w:tcW w:w="2961" w:type="dxa"/>
          </w:tcPr>
          <w:p w14:paraId="0292BB1D">
            <w:pPr>
              <w:adjustRightInd w:val="0"/>
              <w:snapToGrid w:val="0"/>
              <w:spacing w:line="360" w:lineRule="auto"/>
              <w:rPr>
                <w:rFonts w:asciiTheme="minorEastAsia" w:hAnsiTheme="minorEastAsia" w:eastAsiaTheme="minorEastAsia"/>
                <w:kern w:val="0"/>
                <w:sz w:val="24"/>
              </w:rPr>
            </w:pPr>
          </w:p>
        </w:tc>
      </w:tr>
      <w:tr w14:paraId="478F54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16A86BD">
            <w:pPr>
              <w:adjustRightInd w:val="0"/>
              <w:snapToGrid w:val="0"/>
              <w:spacing w:line="360" w:lineRule="auto"/>
              <w:rPr>
                <w:rFonts w:asciiTheme="minorEastAsia" w:hAnsiTheme="minorEastAsia" w:eastAsiaTheme="minorEastAsia"/>
                <w:kern w:val="0"/>
                <w:sz w:val="24"/>
              </w:rPr>
            </w:pPr>
          </w:p>
        </w:tc>
        <w:tc>
          <w:tcPr>
            <w:tcW w:w="2963" w:type="dxa"/>
          </w:tcPr>
          <w:p w14:paraId="156FA4BA">
            <w:pPr>
              <w:adjustRightInd w:val="0"/>
              <w:snapToGrid w:val="0"/>
              <w:spacing w:line="360" w:lineRule="auto"/>
              <w:rPr>
                <w:rFonts w:asciiTheme="minorEastAsia" w:hAnsiTheme="minorEastAsia" w:eastAsiaTheme="minorEastAsia"/>
                <w:kern w:val="0"/>
                <w:sz w:val="24"/>
              </w:rPr>
            </w:pPr>
          </w:p>
        </w:tc>
        <w:tc>
          <w:tcPr>
            <w:tcW w:w="2439" w:type="dxa"/>
          </w:tcPr>
          <w:p w14:paraId="7D1043CD">
            <w:pPr>
              <w:adjustRightInd w:val="0"/>
              <w:snapToGrid w:val="0"/>
              <w:spacing w:line="360" w:lineRule="auto"/>
              <w:rPr>
                <w:rFonts w:asciiTheme="minorEastAsia" w:hAnsiTheme="minorEastAsia" w:eastAsiaTheme="minorEastAsia"/>
                <w:kern w:val="0"/>
                <w:sz w:val="24"/>
              </w:rPr>
            </w:pPr>
          </w:p>
        </w:tc>
        <w:tc>
          <w:tcPr>
            <w:tcW w:w="2961" w:type="dxa"/>
          </w:tcPr>
          <w:p w14:paraId="6DC719E7">
            <w:pPr>
              <w:adjustRightInd w:val="0"/>
              <w:snapToGrid w:val="0"/>
              <w:spacing w:line="360" w:lineRule="auto"/>
              <w:rPr>
                <w:rFonts w:asciiTheme="minorEastAsia" w:hAnsiTheme="minorEastAsia" w:eastAsiaTheme="minorEastAsia"/>
                <w:kern w:val="0"/>
                <w:sz w:val="24"/>
              </w:rPr>
            </w:pPr>
          </w:p>
        </w:tc>
      </w:tr>
      <w:tr w14:paraId="03284D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175C600D">
            <w:pPr>
              <w:adjustRightInd w:val="0"/>
              <w:snapToGrid w:val="0"/>
              <w:spacing w:line="360" w:lineRule="auto"/>
              <w:rPr>
                <w:rFonts w:asciiTheme="minorEastAsia" w:hAnsiTheme="minorEastAsia" w:eastAsiaTheme="minorEastAsia"/>
                <w:kern w:val="0"/>
                <w:sz w:val="24"/>
              </w:rPr>
            </w:pPr>
          </w:p>
        </w:tc>
        <w:tc>
          <w:tcPr>
            <w:tcW w:w="2963" w:type="dxa"/>
          </w:tcPr>
          <w:p w14:paraId="05C0E17C">
            <w:pPr>
              <w:adjustRightInd w:val="0"/>
              <w:snapToGrid w:val="0"/>
              <w:spacing w:line="360" w:lineRule="auto"/>
              <w:rPr>
                <w:rFonts w:asciiTheme="minorEastAsia" w:hAnsiTheme="minorEastAsia" w:eastAsiaTheme="minorEastAsia"/>
                <w:kern w:val="0"/>
                <w:sz w:val="24"/>
              </w:rPr>
            </w:pPr>
          </w:p>
        </w:tc>
        <w:tc>
          <w:tcPr>
            <w:tcW w:w="2439" w:type="dxa"/>
          </w:tcPr>
          <w:p w14:paraId="09C68E46">
            <w:pPr>
              <w:adjustRightInd w:val="0"/>
              <w:snapToGrid w:val="0"/>
              <w:spacing w:line="360" w:lineRule="auto"/>
              <w:rPr>
                <w:rFonts w:asciiTheme="minorEastAsia" w:hAnsiTheme="minorEastAsia" w:eastAsiaTheme="minorEastAsia"/>
                <w:kern w:val="0"/>
                <w:sz w:val="24"/>
              </w:rPr>
            </w:pPr>
          </w:p>
        </w:tc>
        <w:tc>
          <w:tcPr>
            <w:tcW w:w="2961" w:type="dxa"/>
          </w:tcPr>
          <w:p w14:paraId="6B33201D">
            <w:pPr>
              <w:adjustRightInd w:val="0"/>
              <w:snapToGrid w:val="0"/>
              <w:spacing w:line="360" w:lineRule="auto"/>
              <w:rPr>
                <w:rFonts w:asciiTheme="minorEastAsia" w:hAnsiTheme="minorEastAsia" w:eastAsiaTheme="minorEastAsia"/>
                <w:kern w:val="0"/>
                <w:sz w:val="24"/>
              </w:rPr>
            </w:pPr>
          </w:p>
        </w:tc>
      </w:tr>
      <w:tr w14:paraId="1945C2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28304C4E">
            <w:pPr>
              <w:adjustRightInd w:val="0"/>
              <w:snapToGrid w:val="0"/>
              <w:spacing w:line="360" w:lineRule="auto"/>
              <w:rPr>
                <w:rFonts w:asciiTheme="minorEastAsia" w:hAnsiTheme="minorEastAsia" w:eastAsiaTheme="minorEastAsia"/>
                <w:kern w:val="0"/>
                <w:sz w:val="24"/>
              </w:rPr>
            </w:pPr>
          </w:p>
        </w:tc>
        <w:tc>
          <w:tcPr>
            <w:tcW w:w="2963" w:type="dxa"/>
          </w:tcPr>
          <w:p w14:paraId="2ECE8AFA">
            <w:pPr>
              <w:adjustRightInd w:val="0"/>
              <w:snapToGrid w:val="0"/>
              <w:spacing w:line="360" w:lineRule="auto"/>
              <w:rPr>
                <w:rFonts w:asciiTheme="minorEastAsia" w:hAnsiTheme="minorEastAsia" w:eastAsiaTheme="minorEastAsia"/>
                <w:kern w:val="0"/>
                <w:sz w:val="24"/>
              </w:rPr>
            </w:pPr>
          </w:p>
        </w:tc>
        <w:tc>
          <w:tcPr>
            <w:tcW w:w="2439" w:type="dxa"/>
          </w:tcPr>
          <w:p w14:paraId="39079B14">
            <w:pPr>
              <w:adjustRightInd w:val="0"/>
              <w:snapToGrid w:val="0"/>
              <w:spacing w:line="360" w:lineRule="auto"/>
              <w:rPr>
                <w:rFonts w:asciiTheme="minorEastAsia" w:hAnsiTheme="minorEastAsia" w:eastAsiaTheme="minorEastAsia"/>
                <w:kern w:val="0"/>
                <w:sz w:val="24"/>
              </w:rPr>
            </w:pPr>
          </w:p>
        </w:tc>
        <w:tc>
          <w:tcPr>
            <w:tcW w:w="2961" w:type="dxa"/>
          </w:tcPr>
          <w:p w14:paraId="3E9C7D96">
            <w:pPr>
              <w:adjustRightInd w:val="0"/>
              <w:snapToGrid w:val="0"/>
              <w:spacing w:line="360" w:lineRule="auto"/>
              <w:rPr>
                <w:rFonts w:asciiTheme="minorEastAsia" w:hAnsiTheme="minorEastAsia" w:eastAsiaTheme="minorEastAsia"/>
                <w:kern w:val="0"/>
                <w:sz w:val="24"/>
              </w:rPr>
            </w:pPr>
          </w:p>
        </w:tc>
      </w:tr>
      <w:tr w14:paraId="3A3732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3900BFA2">
            <w:pPr>
              <w:adjustRightInd w:val="0"/>
              <w:snapToGrid w:val="0"/>
              <w:spacing w:line="360" w:lineRule="auto"/>
              <w:rPr>
                <w:rFonts w:asciiTheme="minorEastAsia" w:hAnsiTheme="minorEastAsia" w:eastAsiaTheme="minorEastAsia"/>
                <w:kern w:val="0"/>
                <w:sz w:val="24"/>
              </w:rPr>
            </w:pPr>
          </w:p>
        </w:tc>
        <w:tc>
          <w:tcPr>
            <w:tcW w:w="2963" w:type="dxa"/>
          </w:tcPr>
          <w:p w14:paraId="0F500947">
            <w:pPr>
              <w:adjustRightInd w:val="0"/>
              <w:snapToGrid w:val="0"/>
              <w:spacing w:line="360" w:lineRule="auto"/>
              <w:rPr>
                <w:rFonts w:asciiTheme="minorEastAsia" w:hAnsiTheme="minorEastAsia" w:eastAsiaTheme="minorEastAsia"/>
                <w:kern w:val="0"/>
                <w:sz w:val="24"/>
              </w:rPr>
            </w:pPr>
          </w:p>
        </w:tc>
        <w:tc>
          <w:tcPr>
            <w:tcW w:w="2439" w:type="dxa"/>
          </w:tcPr>
          <w:p w14:paraId="5440A1CF">
            <w:pPr>
              <w:adjustRightInd w:val="0"/>
              <w:snapToGrid w:val="0"/>
              <w:spacing w:line="360" w:lineRule="auto"/>
              <w:rPr>
                <w:rFonts w:asciiTheme="minorEastAsia" w:hAnsiTheme="minorEastAsia" w:eastAsiaTheme="minorEastAsia"/>
                <w:kern w:val="0"/>
                <w:sz w:val="24"/>
              </w:rPr>
            </w:pPr>
          </w:p>
        </w:tc>
        <w:tc>
          <w:tcPr>
            <w:tcW w:w="2961" w:type="dxa"/>
          </w:tcPr>
          <w:p w14:paraId="5731A825">
            <w:pPr>
              <w:adjustRightInd w:val="0"/>
              <w:snapToGrid w:val="0"/>
              <w:spacing w:line="360" w:lineRule="auto"/>
              <w:rPr>
                <w:rFonts w:asciiTheme="minorEastAsia" w:hAnsiTheme="minorEastAsia" w:eastAsiaTheme="minorEastAsia"/>
                <w:kern w:val="0"/>
                <w:sz w:val="24"/>
              </w:rPr>
            </w:pPr>
          </w:p>
        </w:tc>
      </w:tr>
      <w:tr w14:paraId="47BF4A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357ED243">
            <w:pPr>
              <w:adjustRightInd w:val="0"/>
              <w:snapToGrid w:val="0"/>
              <w:spacing w:line="360" w:lineRule="auto"/>
              <w:rPr>
                <w:rFonts w:asciiTheme="minorEastAsia" w:hAnsiTheme="minorEastAsia" w:eastAsiaTheme="minorEastAsia"/>
                <w:kern w:val="0"/>
                <w:sz w:val="24"/>
              </w:rPr>
            </w:pPr>
          </w:p>
        </w:tc>
        <w:tc>
          <w:tcPr>
            <w:tcW w:w="2963" w:type="dxa"/>
          </w:tcPr>
          <w:p w14:paraId="0D8652BE">
            <w:pPr>
              <w:adjustRightInd w:val="0"/>
              <w:snapToGrid w:val="0"/>
              <w:spacing w:line="360" w:lineRule="auto"/>
              <w:rPr>
                <w:rFonts w:asciiTheme="minorEastAsia" w:hAnsiTheme="minorEastAsia" w:eastAsiaTheme="minorEastAsia"/>
                <w:kern w:val="0"/>
                <w:sz w:val="24"/>
              </w:rPr>
            </w:pPr>
          </w:p>
        </w:tc>
        <w:tc>
          <w:tcPr>
            <w:tcW w:w="2439" w:type="dxa"/>
          </w:tcPr>
          <w:p w14:paraId="76A954FF">
            <w:pPr>
              <w:adjustRightInd w:val="0"/>
              <w:snapToGrid w:val="0"/>
              <w:spacing w:line="360" w:lineRule="auto"/>
              <w:rPr>
                <w:rFonts w:asciiTheme="minorEastAsia" w:hAnsiTheme="minorEastAsia" w:eastAsiaTheme="minorEastAsia"/>
                <w:kern w:val="0"/>
                <w:sz w:val="24"/>
              </w:rPr>
            </w:pPr>
          </w:p>
        </w:tc>
        <w:tc>
          <w:tcPr>
            <w:tcW w:w="2961" w:type="dxa"/>
          </w:tcPr>
          <w:p w14:paraId="1DA6AAA7">
            <w:pPr>
              <w:adjustRightInd w:val="0"/>
              <w:snapToGrid w:val="0"/>
              <w:spacing w:line="360" w:lineRule="auto"/>
              <w:rPr>
                <w:rFonts w:asciiTheme="minorEastAsia" w:hAnsiTheme="minorEastAsia" w:eastAsiaTheme="minorEastAsia"/>
                <w:kern w:val="0"/>
                <w:sz w:val="24"/>
              </w:rPr>
            </w:pPr>
          </w:p>
        </w:tc>
      </w:tr>
      <w:tr w14:paraId="700F47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DCE8F21">
            <w:pPr>
              <w:adjustRightInd w:val="0"/>
              <w:snapToGrid w:val="0"/>
              <w:spacing w:line="360" w:lineRule="auto"/>
              <w:rPr>
                <w:rFonts w:asciiTheme="minorEastAsia" w:hAnsiTheme="minorEastAsia" w:eastAsiaTheme="minorEastAsia"/>
                <w:kern w:val="0"/>
                <w:sz w:val="24"/>
              </w:rPr>
            </w:pPr>
          </w:p>
        </w:tc>
        <w:tc>
          <w:tcPr>
            <w:tcW w:w="2963" w:type="dxa"/>
          </w:tcPr>
          <w:p w14:paraId="04AC21C3">
            <w:pPr>
              <w:adjustRightInd w:val="0"/>
              <w:snapToGrid w:val="0"/>
              <w:spacing w:line="360" w:lineRule="auto"/>
              <w:rPr>
                <w:rFonts w:asciiTheme="minorEastAsia" w:hAnsiTheme="minorEastAsia" w:eastAsiaTheme="minorEastAsia"/>
                <w:kern w:val="0"/>
                <w:sz w:val="24"/>
              </w:rPr>
            </w:pPr>
          </w:p>
        </w:tc>
        <w:tc>
          <w:tcPr>
            <w:tcW w:w="2439" w:type="dxa"/>
          </w:tcPr>
          <w:p w14:paraId="0EF48586">
            <w:pPr>
              <w:adjustRightInd w:val="0"/>
              <w:snapToGrid w:val="0"/>
              <w:spacing w:line="360" w:lineRule="auto"/>
              <w:rPr>
                <w:rFonts w:asciiTheme="minorEastAsia" w:hAnsiTheme="minorEastAsia" w:eastAsiaTheme="minorEastAsia"/>
                <w:kern w:val="0"/>
                <w:sz w:val="24"/>
              </w:rPr>
            </w:pPr>
          </w:p>
        </w:tc>
        <w:tc>
          <w:tcPr>
            <w:tcW w:w="2961" w:type="dxa"/>
          </w:tcPr>
          <w:p w14:paraId="2257E3DE">
            <w:pPr>
              <w:adjustRightInd w:val="0"/>
              <w:snapToGrid w:val="0"/>
              <w:spacing w:line="360" w:lineRule="auto"/>
              <w:rPr>
                <w:rFonts w:asciiTheme="minorEastAsia" w:hAnsiTheme="minorEastAsia" w:eastAsiaTheme="minorEastAsia"/>
                <w:kern w:val="0"/>
                <w:sz w:val="24"/>
              </w:rPr>
            </w:pPr>
          </w:p>
        </w:tc>
      </w:tr>
    </w:tbl>
    <w:p w14:paraId="40DABED0">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采购人（签字）：</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14:paraId="6C7F6B87">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采购代理机构（签字）：</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14:paraId="4ABE1FB8">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日期：</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月</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日</w:t>
      </w:r>
    </w:p>
    <w:p w14:paraId="2F4EF2A0">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715C9BE0">
      <w:pPr>
        <w:pStyle w:val="6"/>
        <w:adjustRightInd w:val="0"/>
        <w:snapToGrid w:val="0"/>
        <w:spacing w:before="0" w:after="0" w:line="360" w:lineRule="auto"/>
        <w:rPr>
          <w:rFonts w:ascii="黑体" w:hAnsi="黑体"/>
          <w:b w:val="0"/>
          <w:sz w:val="21"/>
          <w:szCs w:val="21"/>
        </w:rPr>
      </w:pPr>
      <w:bookmarkStart w:id="72" w:name="_Toc20651212"/>
      <w:bookmarkStart w:id="73" w:name="_Toc2261"/>
      <w:bookmarkStart w:id="74" w:name="_Toc172716667"/>
      <w:r>
        <w:rPr>
          <w:rFonts w:hint="eastAsia" w:ascii="黑体" w:hAnsi="黑体"/>
          <w:b w:val="0"/>
          <w:sz w:val="21"/>
          <w:szCs w:val="21"/>
        </w:rPr>
        <w:t>附表3 资格审查合格投标人名单</w:t>
      </w:r>
      <w:bookmarkEnd w:id="72"/>
      <w:bookmarkEnd w:id="73"/>
      <w:bookmarkEnd w:id="74"/>
    </w:p>
    <w:p w14:paraId="18374424">
      <w:pPr>
        <w:adjustRightInd w:val="0"/>
        <w:snapToGrid w:val="0"/>
        <w:spacing w:line="360" w:lineRule="auto"/>
        <w:jc w:val="center"/>
        <w:rPr>
          <w:rFonts w:ascii="黑体" w:hAnsi="黑体" w:eastAsia="黑体"/>
          <w:b/>
          <w:sz w:val="28"/>
          <w:szCs w:val="28"/>
        </w:rPr>
      </w:pPr>
      <w:r>
        <w:rPr>
          <w:rFonts w:hint="eastAsia" w:ascii="黑体" w:hAnsi="黑体" w:eastAsia="黑体"/>
          <w:b/>
          <w:sz w:val="28"/>
          <w:szCs w:val="28"/>
        </w:rPr>
        <w:t>资格审查合格投标人名单</w:t>
      </w:r>
    </w:p>
    <w:p w14:paraId="3D79DAF0">
      <w:pPr>
        <w:adjustRightInd w:val="0"/>
        <w:snapToGrid w:val="0"/>
        <w:spacing w:line="360" w:lineRule="auto"/>
        <w:rPr>
          <w:rFonts w:ascii="华文中宋" w:hAnsi="华文中宋" w:eastAsia="华文中宋"/>
          <w:sz w:val="32"/>
          <w:szCs w:val="32"/>
        </w:rPr>
      </w:pP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采购代理编号：</w:t>
      </w:r>
      <w:r>
        <w:rPr>
          <w:rFonts w:hint="eastAsia" w:asciiTheme="minorEastAsia" w:hAnsiTheme="minorEastAsia" w:eastAsiaTheme="minorEastAsia"/>
          <w:szCs w:val="21"/>
          <w:u w:val="single"/>
        </w:rPr>
        <w:t xml:space="preserve">           </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1CA656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14:paraId="18F4DD24">
            <w:pPr>
              <w:jc w:val="center"/>
              <w:rPr>
                <w:b/>
                <w:kern w:val="0"/>
                <w:szCs w:val="21"/>
              </w:rPr>
            </w:pPr>
            <w:r>
              <w:rPr>
                <w:rFonts w:hint="eastAsia"/>
                <w:b/>
                <w:kern w:val="0"/>
                <w:szCs w:val="21"/>
              </w:rPr>
              <w:t>序号</w:t>
            </w:r>
          </w:p>
        </w:tc>
        <w:tc>
          <w:tcPr>
            <w:tcW w:w="7796" w:type="dxa"/>
            <w:vAlign w:val="center"/>
          </w:tcPr>
          <w:p w14:paraId="017DEFE1">
            <w:pPr>
              <w:jc w:val="center"/>
              <w:rPr>
                <w:b/>
                <w:kern w:val="0"/>
                <w:szCs w:val="21"/>
              </w:rPr>
            </w:pPr>
            <w:r>
              <w:rPr>
                <w:rFonts w:hint="eastAsia"/>
                <w:b/>
                <w:kern w:val="0"/>
                <w:szCs w:val="21"/>
              </w:rPr>
              <w:t>合格投标人名称</w:t>
            </w:r>
          </w:p>
        </w:tc>
      </w:tr>
      <w:tr w14:paraId="51B5D4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388CDCF1">
            <w:pPr>
              <w:adjustRightInd w:val="0"/>
              <w:snapToGrid w:val="0"/>
              <w:spacing w:line="360" w:lineRule="auto"/>
              <w:rPr>
                <w:rFonts w:asciiTheme="minorEastAsia" w:hAnsiTheme="minorEastAsia" w:eastAsiaTheme="minorEastAsia"/>
                <w:kern w:val="0"/>
                <w:szCs w:val="21"/>
              </w:rPr>
            </w:pPr>
          </w:p>
        </w:tc>
        <w:tc>
          <w:tcPr>
            <w:tcW w:w="7796" w:type="dxa"/>
          </w:tcPr>
          <w:p w14:paraId="3D9783F7">
            <w:pPr>
              <w:adjustRightInd w:val="0"/>
              <w:snapToGrid w:val="0"/>
              <w:spacing w:line="360" w:lineRule="auto"/>
              <w:rPr>
                <w:rFonts w:asciiTheme="minorEastAsia" w:hAnsiTheme="minorEastAsia" w:eastAsiaTheme="minorEastAsia"/>
                <w:kern w:val="0"/>
                <w:szCs w:val="21"/>
              </w:rPr>
            </w:pPr>
          </w:p>
        </w:tc>
      </w:tr>
      <w:tr w14:paraId="01E2D9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27D0365">
            <w:pPr>
              <w:adjustRightInd w:val="0"/>
              <w:snapToGrid w:val="0"/>
              <w:spacing w:line="360" w:lineRule="auto"/>
              <w:rPr>
                <w:rFonts w:asciiTheme="minorEastAsia" w:hAnsiTheme="minorEastAsia" w:eastAsiaTheme="minorEastAsia"/>
                <w:kern w:val="0"/>
                <w:sz w:val="24"/>
              </w:rPr>
            </w:pPr>
          </w:p>
        </w:tc>
        <w:tc>
          <w:tcPr>
            <w:tcW w:w="7796" w:type="dxa"/>
          </w:tcPr>
          <w:p w14:paraId="6DF5952D">
            <w:pPr>
              <w:adjustRightInd w:val="0"/>
              <w:snapToGrid w:val="0"/>
              <w:spacing w:line="360" w:lineRule="auto"/>
              <w:rPr>
                <w:rFonts w:asciiTheme="minorEastAsia" w:hAnsiTheme="minorEastAsia" w:eastAsiaTheme="minorEastAsia"/>
                <w:kern w:val="0"/>
                <w:sz w:val="24"/>
              </w:rPr>
            </w:pPr>
          </w:p>
        </w:tc>
      </w:tr>
      <w:tr w14:paraId="444B0B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51E8B8AE">
            <w:pPr>
              <w:adjustRightInd w:val="0"/>
              <w:snapToGrid w:val="0"/>
              <w:spacing w:line="360" w:lineRule="auto"/>
              <w:rPr>
                <w:rFonts w:asciiTheme="minorEastAsia" w:hAnsiTheme="minorEastAsia" w:eastAsiaTheme="minorEastAsia"/>
                <w:kern w:val="0"/>
                <w:sz w:val="24"/>
              </w:rPr>
            </w:pPr>
          </w:p>
        </w:tc>
        <w:tc>
          <w:tcPr>
            <w:tcW w:w="7796" w:type="dxa"/>
          </w:tcPr>
          <w:p w14:paraId="72144183">
            <w:pPr>
              <w:adjustRightInd w:val="0"/>
              <w:snapToGrid w:val="0"/>
              <w:spacing w:line="360" w:lineRule="auto"/>
              <w:rPr>
                <w:rFonts w:asciiTheme="minorEastAsia" w:hAnsiTheme="minorEastAsia" w:eastAsiaTheme="minorEastAsia"/>
                <w:kern w:val="0"/>
                <w:sz w:val="24"/>
              </w:rPr>
            </w:pPr>
          </w:p>
        </w:tc>
      </w:tr>
      <w:tr w14:paraId="6F09AF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F3E5895">
            <w:pPr>
              <w:adjustRightInd w:val="0"/>
              <w:snapToGrid w:val="0"/>
              <w:spacing w:line="360" w:lineRule="auto"/>
              <w:rPr>
                <w:rFonts w:asciiTheme="minorEastAsia" w:hAnsiTheme="minorEastAsia" w:eastAsiaTheme="minorEastAsia"/>
                <w:kern w:val="0"/>
                <w:sz w:val="24"/>
              </w:rPr>
            </w:pPr>
          </w:p>
        </w:tc>
        <w:tc>
          <w:tcPr>
            <w:tcW w:w="7796" w:type="dxa"/>
          </w:tcPr>
          <w:p w14:paraId="4C5F3D96">
            <w:pPr>
              <w:adjustRightInd w:val="0"/>
              <w:snapToGrid w:val="0"/>
              <w:spacing w:line="360" w:lineRule="auto"/>
              <w:rPr>
                <w:rFonts w:asciiTheme="minorEastAsia" w:hAnsiTheme="minorEastAsia" w:eastAsiaTheme="minorEastAsia"/>
                <w:kern w:val="0"/>
                <w:sz w:val="24"/>
              </w:rPr>
            </w:pPr>
          </w:p>
        </w:tc>
      </w:tr>
      <w:tr w14:paraId="559DB1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2A549274">
            <w:pPr>
              <w:adjustRightInd w:val="0"/>
              <w:snapToGrid w:val="0"/>
              <w:spacing w:line="360" w:lineRule="auto"/>
              <w:rPr>
                <w:rFonts w:asciiTheme="minorEastAsia" w:hAnsiTheme="minorEastAsia" w:eastAsiaTheme="minorEastAsia"/>
                <w:kern w:val="0"/>
                <w:sz w:val="24"/>
              </w:rPr>
            </w:pPr>
          </w:p>
        </w:tc>
        <w:tc>
          <w:tcPr>
            <w:tcW w:w="7796" w:type="dxa"/>
          </w:tcPr>
          <w:p w14:paraId="7EFF314C">
            <w:pPr>
              <w:adjustRightInd w:val="0"/>
              <w:snapToGrid w:val="0"/>
              <w:spacing w:line="360" w:lineRule="auto"/>
              <w:rPr>
                <w:rFonts w:asciiTheme="minorEastAsia" w:hAnsiTheme="minorEastAsia" w:eastAsiaTheme="minorEastAsia"/>
                <w:kern w:val="0"/>
                <w:sz w:val="24"/>
              </w:rPr>
            </w:pPr>
          </w:p>
        </w:tc>
      </w:tr>
      <w:tr w14:paraId="5B8F38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3F8EF029">
            <w:pPr>
              <w:adjustRightInd w:val="0"/>
              <w:snapToGrid w:val="0"/>
              <w:spacing w:line="360" w:lineRule="auto"/>
              <w:rPr>
                <w:rFonts w:asciiTheme="minorEastAsia" w:hAnsiTheme="minorEastAsia" w:eastAsiaTheme="minorEastAsia"/>
                <w:kern w:val="0"/>
                <w:sz w:val="24"/>
              </w:rPr>
            </w:pPr>
          </w:p>
        </w:tc>
        <w:tc>
          <w:tcPr>
            <w:tcW w:w="7796" w:type="dxa"/>
          </w:tcPr>
          <w:p w14:paraId="07D1D219">
            <w:pPr>
              <w:adjustRightInd w:val="0"/>
              <w:snapToGrid w:val="0"/>
              <w:spacing w:line="360" w:lineRule="auto"/>
              <w:rPr>
                <w:rFonts w:asciiTheme="minorEastAsia" w:hAnsiTheme="minorEastAsia" w:eastAsiaTheme="minorEastAsia"/>
                <w:kern w:val="0"/>
                <w:sz w:val="24"/>
              </w:rPr>
            </w:pPr>
          </w:p>
        </w:tc>
      </w:tr>
    </w:tbl>
    <w:p w14:paraId="6C4441FB">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采购人（签字）：</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14:paraId="59370C18">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采购代理机构（签字）：</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14:paraId="520F92D0">
      <w:r>
        <w:rPr>
          <w:rFonts w:hint="eastAsia"/>
        </w:rPr>
        <w:t>日期：       年   月   日</w:t>
      </w:r>
    </w:p>
    <w:p w14:paraId="0C979937">
      <w:pPr>
        <w:pStyle w:val="23"/>
        <w:adjustRightInd w:val="0"/>
        <w:snapToGrid w:val="0"/>
        <w:spacing w:line="360" w:lineRule="auto"/>
        <w:jc w:val="center"/>
        <w:outlineLvl w:val="0"/>
        <w:rPr>
          <w:rFonts w:ascii="黑体" w:hAnsi="华文中宋" w:eastAsia="黑体"/>
          <w:b/>
          <w:sz w:val="28"/>
          <w:szCs w:val="28"/>
        </w:rPr>
      </w:pPr>
      <w:r>
        <w:rPr>
          <w:rFonts w:hAnsi="宋体"/>
        </w:rPr>
        <w:br w:type="page"/>
      </w:r>
      <w:bookmarkStart w:id="75" w:name="_Toc172716668"/>
      <w:bookmarkStart w:id="76" w:name="_Toc15313"/>
      <w:r>
        <w:rPr>
          <w:rFonts w:hint="eastAsia" w:ascii="黑体" w:hAnsi="华文中宋" w:eastAsia="黑体"/>
          <w:b/>
          <w:sz w:val="32"/>
          <w:szCs w:val="32"/>
        </w:rPr>
        <w:t>第四章 评标方法及标准（综合评分法）</w:t>
      </w:r>
      <w:bookmarkEnd w:id="68"/>
      <w:bookmarkEnd w:id="75"/>
      <w:bookmarkEnd w:id="76"/>
    </w:p>
    <w:p w14:paraId="2BE0E557">
      <w:pPr>
        <w:pStyle w:val="4"/>
        <w:adjustRightInd w:val="0"/>
        <w:snapToGrid w:val="0"/>
        <w:jc w:val="center"/>
        <w:rPr>
          <w:rFonts w:ascii="黑体" w:hAnsi="华文中宋" w:eastAsia="黑体"/>
          <w:sz w:val="28"/>
          <w:szCs w:val="28"/>
        </w:rPr>
      </w:pPr>
      <w:bookmarkStart w:id="77" w:name="_Toc172716669"/>
      <w:bookmarkStart w:id="78" w:name="_Toc27055"/>
      <w:bookmarkStart w:id="79" w:name="_Toc29913911"/>
      <w:r>
        <w:rPr>
          <w:rFonts w:hint="eastAsia" w:ascii="黑体" w:hAnsi="华文中宋" w:eastAsia="黑体"/>
          <w:sz w:val="28"/>
          <w:szCs w:val="28"/>
        </w:rPr>
        <w:t>第一节 评标方法及标准前附表</w:t>
      </w:r>
      <w:bookmarkEnd w:id="77"/>
      <w:bookmarkEnd w:id="78"/>
      <w:bookmarkEnd w:id="79"/>
    </w:p>
    <w:tbl>
      <w:tblPr>
        <w:tblStyle w:val="4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0"/>
        <w:gridCol w:w="2271"/>
        <w:gridCol w:w="4818"/>
      </w:tblGrid>
      <w:tr w14:paraId="5D7B63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double" w:color="auto" w:sz="4" w:space="0"/>
              <w:bottom w:val="single" w:color="auto" w:sz="6" w:space="0"/>
            </w:tcBorders>
          </w:tcPr>
          <w:p w14:paraId="3FD1F4B7">
            <w:pPr>
              <w:adjustRightInd w:val="0"/>
              <w:snapToGrid w:val="0"/>
              <w:spacing w:beforeLines="50" w:line="360" w:lineRule="auto"/>
              <w:jc w:val="center"/>
              <w:rPr>
                <w:b/>
              </w:rPr>
            </w:pPr>
            <w:r>
              <w:rPr>
                <w:rFonts w:hint="eastAsia"/>
                <w:b/>
              </w:rPr>
              <w:t>条款号</w:t>
            </w:r>
          </w:p>
        </w:tc>
        <w:tc>
          <w:tcPr>
            <w:tcW w:w="2271" w:type="dxa"/>
            <w:tcBorders>
              <w:top w:val="double" w:color="auto" w:sz="4" w:space="0"/>
              <w:bottom w:val="single" w:color="auto" w:sz="6" w:space="0"/>
            </w:tcBorders>
          </w:tcPr>
          <w:p w14:paraId="577DB010">
            <w:pPr>
              <w:adjustRightInd w:val="0"/>
              <w:snapToGrid w:val="0"/>
              <w:spacing w:beforeLines="50" w:line="360" w:lineRule="auto"/>
              <w:jc w:val="center"/>
              <w:rPr>
                <w:b/>
              </w:rPr>
            </w:pPr>
            <w:r>
              <w:rPr>
                <w:rFonts w:hint="eastAsia"/>
                <w:b/>
              </w:rPr>
              <w:t>条款名称</w:t>
            </w:r>
          </w:p>
        </w:tc>
        <w:tc>
          <w:tcPr>
            <w:tcW w:w="4818" w:type="dxa"/>
            <w:tcBorders>
              <w:top w:val="double" w:color="auto" w:sz="4" w:space="0"/>
              <w:bottom w:val="single" w:color="auto" w:sz="6" w:space="0"/>
            </w:tcBorders>
          </w:tcPr>
          <w:p w14:paraId="4CD8A54D">
            <w:pPr>
              <w:adjustRightInd w:val="0"/>
              <w:snapToGrid w:val="0"/>
              <w:spacing w:beforeLines="50" w:line="360" w:lineRule="auto"/>
              <w:jc w:val="center"/>
              <w:rPr>
                <w:b/>
              </w:rPr>
            </w:pPr>
            <w:r>
              <w:rPr>
                <w:rFonts w:hint="eastAsia"/>
                <w:b/>
              </w:rPr>
              <w:t>编列内容规定</w:t>
            </w:r>
          </w:p>
        </w:tc>
      </w:tr>
      <w:tr w14:paraId="1A989F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238523A1">
            <w:pPr>
              <w:adjustRightInd w:val="0"/>
              <w:snapToGrid w:val="0"/>
              <w:spacing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第1.2</w:t>
            </w:r>
            <w:r>
              <w:rPr>
                <w:rFonts w:hint="eastAsia" w:cs="宋体" w:asciiTheme="minorEastAsia" w:hAnsiTheme="minorEastAsia" w:eastAsiaTheme="minorEastAsia"/>
                <w:kern w:val="0"/>
                <w:szCs w:val="21"/>
                <w:lang w:val="zh-CN"/>
              </w:rPr>
              <w:t>款</w:t>
            </w:r>
          </w:p>
        </w:tc>
        <w:tc>
          <w:tcPr>
            <w:tcW w:w="2271" w:type="dxa"/>
            <w:tcBorders>
              <w:top w:val="single" w:color="auto" w:sz="6" w:space="0"/>
              <w:bottom w:val="single" w:color="auto" w:sz="6" w:space="0"/>
            </w:tcBorders>
            <w:vAlign w:val="center"/>
          </w:tcPr>
          <w:p w14:paraId="35647844">
            <w:pPr>
              <w:adjustRightInd w:val="0"/>
              <w:snapToGrid w:val="0"/>
              <w:spacing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评标方法</w:t>
            </w:r>
          </w:p>
        </w:tc>
        <w:tc>
          <w:tcPr>
            <w:tcW w:w="4818" w:type="dxa"/>
            <w:tcBorders>
              <w:top w:val="single" w:color="auto" w:sz="6" w:space="0"/>
              <w:bottom w:val="single" w:color="auto" w:sz="6" w:space="0"/>
            </w:tcBorders>
            <w:vAlign w:val="center"/>
          </w:tcPr>
          <w:p w14:paraId="781CB900">
            <w:pPr>
              <w:adjustRightInd w:val="0"/>
              <w:snapToGrid w:val="0"/>
              <w:spacing w:beforeLines="50" w:line="360" w:lineRule="auto"/>
              <w:rPr>
                <w:rFonts w:asciiTheme="minorEastAsia" w:hAnsiTheme="minorEastAsia" w:eastAsiaTheme="minorEastAsia"/>
                <w:szCs w:val="21"/>
              </w:rPr>
            </w:pPr>
            <w:r>
              <w:rPr>
                <w:rFonts w:hint="eastAsia" w:asciiTheme="minorEastAsia" w:hAnsiTheme="minorEastAsia" w:eastAsiaTheme="minorEastAsia"/>
                <w:szCs w:val="21"/>
              </w:rPr>
              <w:t>综合评分法</w:t>
            </w:r>
          </w:p>
        </w:tc>
      </w:tr>
      <w:tr w14:paraId="719E3E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08B7331B">
            <w:pPr>
              <w:adjustRightInd w:val="0"/>
              <w:snapToGrid w:val="0"/>
              <w:spacing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第3.4</w:t>
            </w:r>
            <w:r>
              <w:rPr>
                <w:rFonts w:hint="eastAsia" w:cs="宋体" w:asciiTheme="minorEastAsia" w:hAnsiTheme="minorEastAsia" w:eastAsiaTheme="minorEastAsia"/>
                <w:kern w:val="0"/>
                <w:szCs w:val="21"/>
                <w:lang w:val="zh-CN"/>
              </w:rPr>
              <w:t>款</w:t>
            </w:r>
          </w:p>
        </w:tc>
        <w:tc>
          <w:tcPr>
            <w:tcW w:w="2271" w:type="dxa"/>
            <w:tcBorders>
              <w:top w:val="single" w:color="auto" w:sz="6" w:space="0"/>
              <w:bottom w:val="single" w:color="auto" w:sz="6" w:space="0"/>
            </w:tcBorders>
            <w:vAlign w:val="center"/>
          </w:tcPr>
          <w:p w14:paraId="2D7D1DA6">
            <w:pPr>
              <w:adjustRightInd w:val="0"/>
              <w:snapToGrid w:val="0"/>
              <w:spacing w:beforeLines="50" w:line="360" w:lineRule="auto"/>
              <w:jc w:val="center"/>
              <w:rPr>
                <w:rFonts w:asciiTheme="minorEastAsia" w:hAnsiTheme="minorEastAsia" w:eastAsiaTheme="minorEastAsia"/>
                <w:bCs/>
                <w:szCs w:val="21"/>
              </w:rPr>
            </w:pPr>
            <w:r>
              <w:rPr>
                <w:rFonts w:hint="eastAsia" w:asciiTheme="minorEastAsia" w:hAnsiTheme="minorEastAsia" w:eastAsiaTheme="minorEastAsia"/>
                <w:bCs/>
                <w:szCs w:val="21"/>
              </w:rPr>
              <w:t>服务中配套货物非单一产品采购项目的核心产品</w:t>
            </w:r>
          </w:p>
        </w:tc>
        <w:tc>
          <w:tcPr>
            <w:tcW w:w="4818" w:type="dxa"/>
            <w:tcBorders>
              <w:top w:val="single" w:color="auto" w:sz="6" w:space="0"/>
              <w:bottom w:val="single" w:color="auto" w:sz="6" w:space="0"/>
            </w:tcBorders>
            <w:vAlign w:val="center"/>
          </w:tcPr>
          <w:p w14:paraId="76E150BC">
            <w:pPr>
              <w:adjustRightInd w:val="0"/>
              <w:snapToGrid w:val="0"/>
              <w:spacing w:line="360" w:lineRule="auto"/>
              <w:rPr>
                <w:rFonts w:asciiTheme="minorEastAsia" w:hAnsiTheme="minorEastAsia" w:eastAsiaTheme="minorEastAsia"/>
                <w:szCs w:val="21"/>
                <w:u w:val="single"/>
              </w:rPr>
            </w:pPr>
            <w:r>
              <w:rPr>
                <w:rFonts w:hint="eastAsia" w:ascii="宋体" w:hAnsi="宋体"/>
              </w:rPr>
              <w:t>核心产品为：</w:t>
            </w:r>
            <w:r>
              <w:rPr>
                <w:rFonts w:ascii="宋体" w:hAnsi="宋体"/>
                <w:szCs w:val="21"/>
              </w:rPr>
              <w:softHyphen/>
            </w:r>
            <w:r>
              <w:rPr>
                <w:rFonts w:hint="eastAsia" w:ascii="宋体" w:hAnsi="宋体"/>
                <w:szCs w:val="21"/>
              </w:rPr>
              <w:softHyphen/>
            </w:r>
            <w:r>
              <w:rPr>
                <w:rFonts w:ascii="宋体" w:hAnsi="宋体"/>
                <w:szCs w:val="21"/>
              </w:rPr>
              <w:softHyphen/>
            </w:r>
            <w:r>
              <w:rPr>
                <w:rFonts w:hint="eastAsia" w:ascii="宋体" w:hAnsi="宋体"/>
                <w:szCs w:val="21"/>
              </w:rPr>
              <w:softHyphen/>
            </w:r>
            <w:r>
              <w:rPr>
                <w:rFonts w:hint="eastAsia" w:ascii="宋体" w:hAnsi="宋体"/>
                <w:szCs w:val="21"/>
              </w:rPr>
              <w:t>_____</w:t>
            </w:r>
            <w:r>
              <w:rPr>
                <w:rFonts w:hint="eastAsia" w:ascii="宋体" w:hAnsi="宋体"/>
                <w:szCs w:val="21"/>
                <w:u w:val="single"/>
              </w:rPr>
              <w:t>/_</w:t>
            </w:r>
            <w:r>
              <w:rPr>
                <w:rFonts w:hint="eastAsia" w:ascii="宋体" w:hAnsi="宋体"/>
                <w:szCs w:val="21"/>
              </w:rPr>
              <w:t>_____</w:t>
            </w:r>
            <w:r>
              <w:rPr>
                <w:rFonts w:hint="eastAsia" w:ascii="宋体" w:hAnsi="宋体"/>
              </w:rPr>
              <w:t>。</w:t>
            </w:r>
            <w:r>
              <w:rPr>
                <w:rFonts w:hint="eastAsia" w:ascii="宋体" w:hAnsi="宋体" w:cs="宋体"/>
                <w:kern w:val="0"/>
              </w:rPr>
              <w:t>（提示：根据采购项目技术构成、产品价格比重等合理确定具体产品为核心产品）</w:t>
            </w:r>
          </w:p>
        </w:tc>
      </w:tr>
      <w:tr w14:paraId="7FBA0E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0196BC8A">
            <w:pPr>
              <w:adjustRightInd w:val="0"/>
              <w:snapToGrid w:val="0"/>
              <w:spacing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第4.2</w:t>
            </w:r>
            <w:r>
              <w:rPr>
                <w:rFonts w:hint="eastAsia" w:cs="宋体" w:asciiTheme="minorEastAsia" w:hAnsiTheme="minorEastAsia" w:eastAsiaTheme="minorEastAsia"/>
                <w:kern w:val="0"/>
                <w:szCs w:val="21"/>
                <w:lang w:val="zh-CN"/>
              </w:rPr>
              <w:t>款</w:t>
            </w:r>
          </w:p>
        </w:tc>
        <w:tc>
          <w:tcPr>
            <w:tcW w:w="2271" w:type="dxa"/>
            <w:tcBorders>
              <w:top w:val="single" w:color="auto" w:sz="6" w:space="0"/>
              <w:bottom w:val="single" w:color="auto" w:sz="6" w:space="0"/>
            </w:tcBorders>
            <w:vAlign w:val="center"/>
          </w:tcPr>
          <w:p w14:paraId="5635165A">
            <w:pPr>
              <w:adjustRightInd w:val="0"/>
              <w:snapToGrid w:val="0"/>
              <w:spacing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投标文件报价出现前后不一致的修正</w:t>
            </w:r>
          </w:p>
        </w:tc>
        <w:tc>
          <w:tcPr>
            <w:tcW w:w="4818" w:type="dxa"/>
            <w:tcBorders>
              <w:top w:val="single" w:color="auto" w:sz="6" w:space="0"/>
              <w:bottom w:val="single" w:color="auto" w:sz="6" w:space="0"/>
            </w:tcBorders>
            <w:vAlign w:val="center"/>
          </w:tcPr>
          <w:p w14:paraId="36484F74">
            <w:pPr>
              <w:widowControl/>
              <w:spacing w:line="360" w:lineRule="exact"/>
              <w:jc w:val="left"/>
              <w:rPr>
                <w:rFonts w:ascii="宋体" w:hAnsi="宋体"/>
                <w:kern w:val="0"/>
                <w:szCs w:val="21"/>
              </w:rPr>
            </w:pPr>
            <w:r>
              <w:rPr>
                <w:rFonts w:hint="eastAsia" w:ascii="宋体" w:hAnsi="宋体"/>
                <w:kern w:val="0"/>
                <w:szCs w:val="21"/>
              </w:rPr>
              <w:t>投标文件的投标报价出现前后不一致的，按照下列规定修正：</w:t>
            </w:r>
          </w:p>
          <w:p w14:paraId="6E74368D">
            <w:pPr>
              <w:widowControl/>
              <w:spacing w:line="360" w:lineRule="exact"/>
              <w:jc w:val="left"/>
              <w:rPr>
                <w:rFonts w:ascii="宋体" w:hAnsi="宋体"/>
                <w:kern w:val="0"/>
                <w:szCs w:val="21"/>
              </w:rPr>
            </w:pPr>
            <w:r>
              <w:rPr>
                <w:rFonts w:hint="eastAsia" w:ascii="宋体" w:hAnsi="宋体"/>
                <w:kern w:val="0"/>
                <w:szCs w:val="21"/>
              </w:rPr>
              <w:t>（</w:t>
            </w:r>
            <w:r>
              <w:rPr>
                <w:rFonts w:ascii="宋体" w:hAnsi="宋体"/>
                <w:kern w:val="0"/>
                <w:szCs w:val="21"/>
              </w:rPr>
              <w:t>1</w:t>
            </w:r>
            <w:r>
              <w:rPr>
                <w:rFonts w:hint="eastAsia" w:ascii="宋体" w:hAnsi="宋体"/>
                <w:kern w:val="0"/>
                <w:szCs w:val="21"/>
              </w:rPr>
              <w:t>）投标文件中开标一览表内容与投标文件中相应内容不一致的，以开标一览表为准；</w:t>
            </w:r>
          </w:p>
          <w:p w14:paraId="224B2E11">
            <w:pPr>
              <w:widowControl/>
              <w:spacing w:line="360" w:lineRule="exact"/>
              <w:jc w:val="left"/>
              <w:rPr>
                <w:rFonts w:ascii="宋体" w:hAnsi="宋体"/>
                <w:kern w:val="0"/>
                <w:szCs w:val="21"/>
              </w:rPr>
            </w:pPr>
            <w:r>
              <w:rPr>
                <w:rFonts w:hint="eastAsia" w:ascii="宋体" w:hAnsi="宋体"/>
                <w:kern w:val="0"/>
                <w:szCs w:val="21"/>
              </w:rPr>
              <w:t>（</w:t>
            </w:r>
            <w:r>
              <w:rPr>
                <w:rFonts w:ascii="宋体" w:hAnsi="宋体"/>
                <w:kern w:val="0"/>
                <w:szCs w:val="21"/>
              </w:rPr>
              <w:t>2</w:t>
            </w:r>
            <w:r>
              <w:rPr>
                <w:rFonts w:hint="eastAsia" w:ascii="宋体" w:hAnsi="宋体"/>
                <w:kern w:val="0"/>
                <w:szCs w:val="21"/>
              </w:rPr>
              <w:t>）大写金额和小写金额不一致的，以大写金额为准；</w:t>
            </w:r>
          </w:p>
          <w:p w14:paraId="1A1DC52A">
            <w:pPr>
              <w:widowControl/>
              <w:spacing w:line="360" w:lineRule="exact"/>
              <w:jc w:val="left"/>
              <w:rPr>
                <w:rFonts w:ascii="宋体" w:hAnsi="宋体"/>
                <w:kern w:val="0"/>
                <w:szCs w:val="21"/>
              </w:rPr>
            </w:pPr>
            <w:r>
              <w:rPr>
                <w:rFonts w:hint="eastAsia" w:ascii="宋体" w:hAnsi="宋体"/>
                <w:kern w:val="0"/>
                <w:szCs w:val="21"/>
              </w:rPr>
              <w:t>（</w:t>
            </w:r>
            <w:r>
              <w:rPr>
                <w:rFonts w:ascii="宋体" w:hAnsi="宋体"/>
                <w:kern w:val="0"/>
                <w:szCs w:val="21"/>
              </w:rPr>
              <w:t>3</w:t>
            </w:r>
            <w:r>
              <w:rPr>
                <w:rFonts w:hint="eastAsia" w:ascii="宋体" w:hAnsi="宋体"/>
                <w:kern w:val="0"/>
                <w:szCs w:val="21"/>
              </w:rPr>
              <w:t>）单价金额小数点或者百分比有明显错位的，以开标一览表的总价为准，并修改单价；</w:t>
            </w:r>
          </w:p>
          <w:p w14:paraId="6750D7A1">
            <w:pPr>
              <w:adjustRightInd w:val="0"/>
              <w:snapToGrid w:val="0"/>
              <w:spacing w:line="420" w:lineRule="exact"/>
              <w:rPr>
                <w:szCs w:val="21"/>
                <w:u w:val="single"/>
              </w:rPr>
            </w:pPr>
            <w:r>
              <w:rPr>
                <w:rFonts w:hint="eastAsia" w:ascii="宋体" w:hAnsi="宋体"/>
                <w:kern w:val="0"/>
                <w:szCs w:val="21"/>
              </w:rPr>
              <w:t>（</w:t>
            </w:r>
            <w:r>
              <w:rPr>
                <w:rFonts w:ascii="宋体" w:hAnsi="宋体"/>
                <w:kern w:val="0"/>
                <w:szCs w:val="21"/>
              </w:rPr>
              <w:t>4</w:t>
            </w:r>
            <w:r>
              <w:rPr>
                <w:rFonts w:hint="eastAsia" w:ascii="宋体" w:hAnsi="宋体"/>
                <w:kern w:val="0"/>
                <w:szCs w:val="21"/>
              </w:rPr>
              <w:t>）总价金额与按单价汇总金额不一致的，以单价金额计算结果为准。</w:t>
            </w:r>
          </w:p>
        </w:tc>
      </w:tr>
      <w:tr w14:paraId="08EDE1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1C86764B">
            <w:pPr>
              <w:adjustRightInd w:val="0"/>
              <w:snapToGrid w:val="0"/>
              <w:spacing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第5.2</w:t>
            </w:r>
            <w:r>
              <w:rPr>
                <w:rFonts w:hint="eastAsia" w:cs="宋体" w:asciiTheme="minorEastAsia" w:hAnsiTheme="minorEastAsia" w:eastAsiaTheme="minorEastAsia"/>
                <w:kern w:val="0"/>
                <w:szCs w:val="21"/>
                <w:lang w:val="zh-CN"/>
              </w:rPr>
              <w:t>项</w:t>
            </w:r>
          </w:p>
        </w:tc>
        <w:tc>
          <w:tcPr>
            <w:tcW w:w="2271" w:type="dxa"/>
            <w:tcBorders>
              <w:top w:val="single" w:color="auto" w:sz="6" w:space="0"/>
              <w:bottom w:val="single" w:color="auto" w:sz="6" w:space="0"/>
            </w:tcBorders>
            <w:vAlign w:val="center"/>
          </w:tcPr>
          <w:p w14:paraId="56FB815F">
            <w:pPr>
              <w:adjustRightInd w:val="0"/>
              <w:snapToGrid w:val="0"/>
              <w:spacing w:beforeLines="50" w:line="360" w:lineRule="auto"/>
              <w:jc w:val="center"/>
              <w:rPr>
                <w:rFonts w:asciiTheme="minorEastAsia" w:hAnsiTheme="minorEastAsia" w:eastAsiaTheme="minorEastAsia"/>
                <w:bCs/>
                <w:szCs w:val="21"/>
              </w:rPr>
            </w:pPr>
            <w:r>
              <w:rPr>
                <w:rFonts w:hint="eastAsia" w:asciiTheme="minorEastAsia" w:hAnsiTheme="minorEastAsia" w:eastAsiaTheme="minorEastAsia"/>
                <w:bCs/>
                <w:szCs w:val="21"/>
              </w:rPr>
              <w:t>相同品牌产品评审得分相同的规定</w:t>
            </w:r>
          </w:p>
        </w:tc>
        <w:tc>
          <w:tcPr>
            <w:tcW w:w="4818" w:type="dxa"/>
            <w:tcBorders>
              <w:top w:val="single" w:color="auto" w:sz="6" w:space="0"/>
              <w:bottom w:val="single" w:color="auto" w:sz="6" w:space="0"/>
            </w:tcBorders>
            <w:vAlign w:val="center"/>
          </w:tcPr>
          <w:p w14:paraId="4EA0596F">
            <w:pPr>
              <w:adjustRightInd w:val="0"/>
              <w:snapToGrid w:val="0"/>
              <w:spacing w:line="360" w:lineRule="auto"/>
              <w:rPr>
                <w:rFonts w:ascii="宋体" w:hAnsi="宋体"/>
                <w:szCs w:val="21"/>
              </w:rPr>
            </w:pPr>
            <w:r>
              <w:rPr>
                <w:rFonts w:hint="eastAsia"/>
              </w:rPr>
              <w:sym w:font="Wingdings" w:char="00FE"/>
            </w:r>
            <w:r>
              <w:rPr>
                <w:rFonts w:hint="eastAsia" w:ascii="宋体" w:hAnsi="宋体"/>
              </w:rPr>
              <w:t xml:space="preserve"> 得分相同的，按投标报价由低到高顺序排列。得分且投标报价相同的，按技术指标优劣顺序排列。</w:t>
            </w:r>
            <w:r>
              <w:rPr>
                <w:rFonts w:hint="eastAsia" w:ascii="宋体" w:hAnsi="宋体"/>
                <w:szCs w:val="21"/>
              </w:rPr>
              <w:t xml:space="preserve"> </w:t>
            </w:r>
          </w:p>
          <w:p w14:paraId="43251DD0">
            <w:pPr>
              <w:adjustRightInd w:val="0"/>
              <w:snapToGrid w:val="0"/>
              <w:spacing w:line="360" w:lineRule="auto"/>
              <w:rPr>
                <w:szCs w:val="21"/>
                <w:u w:val="single"/>
              </w:rPr>
            </w:pPr>
            <w:r>
              <w:rPr>
                <w:rFonts w:hint="eastAsia" w:ascii="宋体" w:hAnsi="宋体"/>
              </w:rPr>
              <w:t>□ 随机抽取方式确定。</w:t>
            </w:r>
          </w:p>
        </w:tc>
      </w:tr>
      <w:tr w14:paraId="526D36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1700" w:type="dxa"/>
            <w:tcBorders>
              <w:top w:val="single" w:color="auto" w:sz="6" w:space="0"/>
            </w:tcBorders>
            <w:vAlign w:val="center"/>
          </w:tcPr>
          <w:p w14:paraId="2DFDE0FB">
            <w:pPr>
              <w:adjustRightInd w:val="0"/>
              <w:snapToGrid w:val="0"/>
              <w:spacing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第5.4（1）</w:t>
            </w:r>
            <w:r>
              <w:rPr>
                <w:rFonts w:hint="eastAsia" w:cs="宋体" w:asciiTheme="minorEastAsia" w:hAnsiTheme="minorEastAsia" w:eastAsiaTheme="minorEastAsia"/>
                <w:kern w:val="0"/>
                <w:szCs w:val="21"/>
                <w:lang w:val="zh-CN"/>
              </w:rPr>
              <w:t>项</w:t>
            </w:r>
          </w:p>
        </w:tc>
        <w:tc>
          <w:tcPr>
            <w:tcW w:w="2271" w:type="dxa"/>
            <w:tcBorders>
              <w:top w:val="single" w:color="auto" w:sz="6" w:space="0"/>
            </w:tcBorders>
            <w:vAlign w:val="center"/>
          </w:tcPr>
          <w:p w14:paraId="71D5B129">
            <w:pPr>
              <w:adjustRightInd w:val="0"/>
              <w:snapToGrid w:val="0"/>
              <w:spacing w:beforeLines="50" w:line="360" w:lineRule="auto"/>
              <w:jc w:val="center"/>
              <w:rPr>
                <w:szCs w:val="21"/>
              </w:rPr>
            </w:pPr>
            <w:r>
              <w:rPr>
                <w:rFonts w:hint="eastAsia" w:asciiTheme="minorEastAsia" w:hAnsiTheme="minorEastAsia" w:eastAsiaTheme="minorEastAsia"/>
                <w:szCs w:val="21"/>
              </w:rPr>
              <w:t>价格评审优惠</w:t>
            </w:r>
          </w:p>
        </w:tc>
        <w:tc>
          <w:tcPr>
            <w:tcW w:w="4818" w:type="dxa"/>
            <w:tcBorders>
              <w:top w:val="single" w:color="auto" w:sz="6" w:space="0"/>
              <w:bottom w:val="single" w:color="auto" w:sz="4" w:space="0"/>
            </w:tcBorders>
            <w:vAlign w:val="center"/>
          </w:tcPr>
          <w:p w14:paraId="46CFB261">
            <w:pPr>
              <w:spacing w:line="360" w:lineRule="atLeast"/>
              <w:rPr>
                <w:rFonts w:ascii="宋体" w:hAnsi="宋体" w:cs="宋体"/>
                <w:szCs w:val="21"/>
              </w:rPr>
            </w:pPr>
            <w:r>
              <w:rPr>
                <w:rFonts w:ascii="宋体" w:hAnsi="宋体" w:cs="宋体"/>
                <w:szCs w:val="21"/>
              </w:rPr>
              <w:t>投标人如提供</w:t>
            </w:r>
            <w:r>
              <w:rPr>
                <w:rFonts w:hint="eastAsia" w:ascii="宋体" w:hAnsi="宋体" w:cs="宋体"/>
                <w:szCs w:val="21"/>
                <w:lang w:val="en-US" w:eastAsia="zh-CN"/>
              </w:rPr>
              <w:t>所</w:t>
            </w:r>
            <w:r>
              <w:rPr>
                <w:rFonts w:ascii="宋体" w:hAnsi="宋体" w:cs="宋体"/>
                <w:szCs w:val="21"/>
              </w:rPr>
              <w:t>有</w:t>
            </w:r>
            <w:r>
              <w:rPr>
                <w:rFonts w:hint="eastAsia" w:ascii="宋体" w:hAnsi="宋体" w:cs="宋体"/>
                <w:szCs w:val="21"/>
              </w:rPr>
              <w:t>中</w:t>
            </w:r>
            <w:r>
              <w:rPr>
                <w:rFonts w:ascii="宋体" w:hAnsi="宋体" w:cs="宋体"/>
                <w:szCs w:val="21"/>
              </w:rPr>
              <w:t>小</w:t>
            </w:r>
            <w:r>
              <w:rPr>
                <w:rFonts w:hint="eastAsia" w:ascii="宋体" w:hAnsi="宋体" w:cs="宋体"/>
                <w:szCs w:val="21"/>
              </w:rPr>
              <w:t>微</w:t>
            </w:r>
            <w:r>
              <w:rPr>
                <w:rFonts w:ascii="宋体" w:hAnsi="宋体" w:cs="宋体"/>
                <w:szCs w:val="21"/>
              </w:rPr>
              <w:t>企业产品，投标文件必</w:t>
            </w:r>
            <w:r>
              <w:rPr>
                <w:rFonts w:hint="eastAsia" w:ascii="宋体" w:hAnsi="宋体" w:cs="宋体"/>
                <w:szCs w:val="21"/>
              </w:rPr>
              <w:t>须</w:t>
            </w:r>
            <w:r>
              <w:rPr>
                <w:rFonts w:ascii="宋体" w:hAnsi="宋体" w:cs="宋体"/>
                <w:szCs w:val="21"/>
              </w:rPr>
              <w:t>按招标文件</w:t>
            </w:r>
            <w:r>
              <w:rPr>
                <w:rFonts w:hint="eastAsia" w:ascii="宋体" w:hAnsi="宋体" w:cs="宋体"/>
                <w:szCs w:val="21"/>
              </w:rPr>
              <w:t>要求提供“享受政府采购政策优惠的证明材料”</w:t>
            </w:r>
            <w:r>
              <w:rPr>
                <w:rFonts w:ascii="宋体" w:hAnsi="宋体" w:cs="宋体"/>
                <w:szCs w:val="21"/>
              </w:rPr>
              <w:t>，否则评审时不予以考虑</w:t>
            </w:r>
            <w:r>
              <w:rPr>
                <w:rFonts w:hint="eastAsia" w:ascii="宋体" w:hAnsi="宋体" w:cs="宋体"/>
                <w:szCs w:val="21"/>
              </w:rPr>
              <w:t>。</w:t>
            </w:r>
          </w:p>
          <w:p w14:paraId="08236188">
            <w:pPr>
              <w:spacing w:line="360" w:lineRule="atLeast"/>
              <w:rPr>
                <w:rFonts w:ascii="宋体" w:hAnsi="宋体" w:cs="宋体"/>
                <w:szCs w:val="21"/>
              </w:rPr>
            </w:pPr>
            <w:r>
              <w:rPr>
                <w:rFonts w:ascii="宋体" w:hAnsi="宋体" w:cs="宋体"/>
                <w:szCs w:val="21"/>
              </w:rPr>
              <w:t>给予小型和微型企业产品的价格给予</w:t>
            </w:r>
            <w:r>
              <w:rPr>
                <w:rFonts w:hint="eastAsia" w:ascii="宋体" w:hAnsi="宋体" w:cs="宋体"/>
                <w:szCs w:val="21"/>
              </w:rPr>
              <w:t>10</w:t>
            </w:r>
            <w:r>
              <w:rPr>
                <w:rFonts w:ascii="宋体" w:hAnsi="宋体" w:cs="宋体"/>
                <w:szCs w:val="21"/>
              </w:rPr>
              <w:t>%-</w:t>
            </w:r>
            <w:r>
              <w:rPr>
                <w:rFonts w:hint="eastAsia" w:ascii="宋体" w:hAnsi="宋体" w:cs="宋体"/>
                <w:szCs w:val="21"/>
              </w:rPr>
              <w:t>20</w:t>
            </w:r>
            <w:r>
              <w:rPr>
                <w:rFonts w:ascii="宋体" w:hAnsi="宋体" w:cs="宋体"/>
                <w:szCs w:val="21"/>
              </w:rPr>
              <w:t>%</w:t>
            </w:r>
            <w:r>
              <w:rPr>
                <w:rFonts w:hint="eastAsia" w:ascii="宋体" w:hAnsi="宋体" w:cs="宋体"/>
                <w:szCs w:val="21"/>
              </w:rPr>
              <w:t>（工程项目6%-10%）</w:t>
            </w:r>
            <w:r>
              <w:rPr>
                <w:rFonts w:ascii="宋体" w:hAnsi="宋体" w:cs="宋体"/>
                <w:szCs w:val="21"/>
              </w:rPr>
              <w:t>的扣除，用扣除后的价格参与评审，本项目具体扣除比例为：价格部分</w:t>
            </w:r>
            <w:r>
              <w:rPr>
                <w:rFonts w:hint="eastAsia" w:ascii="宋体" w:hAnsi="宋体" w:cs="宋体"/>
                <w:szCs w:val="21"/>
                <w:u w:val="single"/>
              </w:rPr>
              <w:t xml:space="preserve"> 10 </w:t>
            </w:r>
            <w:r>
              <w:rPr>
                <w:rFonts w:ascii="宋体" w:hAnsi="宋体" w:cs="宋体"/>
                <w:szCs w:val="21"/>
              </w:rPr>
              <w:t>%</w:t>
            </w:r>
            <w:r>
              <w:rPr>
                <w:rFonts w:hint="eastAsia" w:ascii="宋体" w:hAnsi="宋体" w:cs="宋体"/>
                <w:szCs w:val="21"/>
              </w:rPr>
              <w:t>。</w:t>
            </w:r>
          </w:p>
        </w:tc>
      </w:tr>
      <w:tr w14:paraId="08917F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1700" w:type="dxa"/>
            <w:tcBorders>
              <w:top w:val="single" w:color="auto" w:sz="6" w:space="0"/>
              <w:bottom w:val="double" w:color="auto" w:sz="4" w:space="0"/>
            </w:tcBorders>
            <w:vAlign w:val="center"/>
          </w:tcPr>
          <w:p w14:paraId="0320805D">
            <w:pPr>
              <w:adjustRightInd w:val="0"/>
              <w:snapToGrid w:val="0"/>
              <w:spacing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第6.1</w:t>
            </w:r>
            <w:r>
              <w:rPr>
                <w:rFonts w:hint="eastAsia" w:cs="宋体" w:asciiTheme="minorEastAsia" w:hAnsiTheme="minorEastAsia" w:eastAsiaTheme="minorEastAsia"/>
                <w:kern w:val="0"/>
                <w:szCs w:val="21"/>
                <w:lang w:val="zh-CN"/>
              </w:rPr>
              <w:t>款</w:t>
            </w:r>
          </w:p>
        </w:tc>
        <w:tc>
          <w:tcPr>
            <w:tcW w:w="2271" w:type="dxa"/>
            <w:tcBorders>
              <w:top w:val="single" w:color="auto" w:sz="6" w:space="0"/>
              <w:bottom w:val="double" w:color="auto" w:sz="4" w:space="0"/>
              <w:right w:val="single" w:color="auto" w:sz="6" w:space="0"/>
            </w:tcBorders>
            <w:vAlign w:val="center"/>
          </w:tcPr>
          <w:p w14:paraId="780CF46E">
            <w:pPr>
              <w:adjustRightInd w:val="0"/>
              <w:snapToGrid w:val="0"/>
              <w:spacing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中标候选人并列的确定中标人的方式</w:t>
            </w:r>
          </w:p>
        </w:tc>
        <w:tc>
          <w:tcPr>
            <w:tcW w:w="4818" w:type="dxa"/>
            <w:tcBorders>
              <w:top w:val="single" w:color="auto" w:sz="6" w:space="0"/>
              <w:left w:val="single" w:color="auto" w:sz="6" w:space="0"/>
              <w:bottom w:val="double" w:color="auto" w:sz="4" w:space="0"/>
              <w:right w:val="double" w:color="auto" w:sz="4" w:space="0"/>
            </w:tcBorders>
            <w:vAlign w:val="center"/>
          </w:tcPr>
          <w:p w14:paraId="09CB64C6">
            <w:pPr>
              <w:adjustRightInd w:val="0"/>
              <w:snapToGrid w:val="0"/>
              <w:spacing w:line="420" w:lineRule="exact"/>
              <w:rPr>
                <w:rFonts w:asciiTheme="minorEastAsia" w:hAnsiTheme="minorEastAsia" w:eastAsiaTheme="minorEastAsia"/>
                <w:szCs w:val="21"/>
                <w:u w:val="single"/>
              </w:rPr>
            </w:pPr>
            <w:r>
              <w:rPr>
                <w:rFonts w:hint="eastAsia" w:asciiTheme="minorEastAsia" w:hAnsiTheme="minorEastAsia" w:eastAsiaTheme="minorEastAsia"/>
                <w:szCs w:val="21"/>
              </w:rPr>
              <w:t>按评审后得分由高到低顺序排列。得分相同的，按投标报价由低到高顺序排列。得分且投标报价相同的，投标文件满足招标文件全部实质性要求，且按照技术评审得分最高的投标人为排名第一的中标候选人。</w:t>
            </w:r>
          </w:p>
        </w:tc>
      </w:tr>
    </w:tbl>
    <w:p w14:paraId="796D3AE6">
      <w:pPr>
        <w:adjustRightInd w:val="0"/>
        <w:snapToGrid w:val="0"/>
        <w:spacing w:beforeLines="50" w:line="360" w:lineRule="auto"/>
        <w:ind w:firstLine="420" w:firstLineChars="200"/>
        <w:jc w:val="left"/>
        <w:rPr>
          <w:rFonts w:ascii="黑体" w:hAnsi="华文中宋" w:eastAsia="黑体"/>
          <w:b/>
          <w:sz w:val="28"/>
          <w:szCs w:val="28"/>
        </w:rPr>
      </w:pPr>
      <w:r>
        <w:rPr>
          <w:rFonts w:asciiTheme="minorEastAsia" w:hAnsiTheme="minorEastAsia" w:eastAsiaTheme="minorEastAsia"/>
        </w:rPr>
        <w:br w:type="page"/>
      </w:r>
    </w:p>
    <w:p w14:paraId="60A0601D">
      <w:pPr>
        <w:pStyle w:val="4"/>
        <w:keepNext w:val="0"/>
        <w:keepLines w:val="0"/>
        <w:adjustRightInd w:val="0"/>
        <w:snapToGrid w:val="0"/>
        <w:spacing w:beforeLines="50"/>
        <w:jc w:val="center"/>
        <w:rPr>
          <w:rFonts w:ascii="黑体" w:hAnsi="华文中宋" w:eastAsia="黑体"/>
          <w:sz w:val="28"/>
          <w:szCs w:val="28"/>
        </w:rPr>
      </w:pPr>
      <w:bookmarkStart w:id="80" w:name="_Toc29913912"/>
      <w:bookmarkStart w:id="81" w:name="_Toc172716670"/>
      <w:bookmarkStart w:id="82" w:name="_Toc12691"/>
      <w:r>
        <w:rPr>
          <w:rFonts w:hint="eastAsia" w:ascii="黑体" w:hAnsi="华文中宋" w:eastAsia="黑体"/>
          <w:sz w:val="28"/>
          <w:szCs w:val="28"/>
        </w:rPr>
        <w:t>第二节 评标方法及标准</w:t>
      </w:r>
      <w:bookmarkEnd w:id="80"/>
      <w:bookmarkEnd w:id="81"/>
      <w:bookmarkEnd w:id="82"/>
    </w:p>
    <w:p w14:paraId="2C569C0A">
      <w:pPr>
        <w:pStyle w:val="5"/>
        <w:keepNext w:val="0"/>
        <w:keepLines w:val="0"/>
        <w:adjustRightInd w:val="0"/>
        <w:snapToGrid w:val="0"/>
        <w:spacing w:beforeLines="50" w:after="0" w:line="360" w:lineRule="auto"/>
        <w:rPr>
          <w:rFonts w:ascii="黑体" w:hAnsi="黑体" w:eastAsia="黑体"/>
          <w:sz w:val="24"/>
          <w:szCs w:val="24"/>
        </w:rPr>
      </w:pPr>
      <w:bookmarkStart w:id="83" w:name="_Toc172716671"/>
      <w:bookmarkStart w:id="84" w:name="_Toc13213"/>
      <w:bookmarkStart w:id="85" w:name="_Toc29913913"/>
      <w:r>
        <w:rPr>
          <w:rFonts w:hint="eastAsia" w:ascii="黑体" w:hAnsi="黑体" w:eastAsia="黑体"/>
          <w:sz w:val="24"/>
          <w:szCs w:val="24"/>
        </w:rPr>
        <w:t>1．评标方法</w:t>
      </w:r>
      <w:bookmarkEnd w:id="83"/>
      <w:bookmarkEnd w:id="84"/>
      <w:bookmarkEnd w:id="85"/>
    </w:p>
    <w:p w14:paraId="76A97F98">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1.1综合评分法，指投标文件满足招标文件全部实质性要求，且按照评审因素的量化指标评审得分最高的投标人为中标候选人的评标方法。</w:t>
      </w:r>
    </w:p>
    <w:p w14:paraId="61ACEAE5">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1.2本采购项目评标方法见本章第一节“评标规范前附表”</w:t>
      </w:r>
      <w:r>
        <w:rPr>
          <w:rFonts w:hint="eastAsia" w:ascii="华文中宋" w:hAnsi="华文中宋" w:eastAsia="华文中宋"/>
          <w:bCs/>
          <w:szCs w:val="21"/>
        </w:rPr>
        <w:t>（</w:t>
      </w:r>
      <w:r>
        <w:rPr>
          <w:rFonts w:hint="eastAsia" w:asciiTheme="minorEastAsia" w:hAnsiTheme="minorEastAsia" w:eastAsiaTheme="minorEastAsia"/>
          <w:bCs/>
          <w:szCs w:val="21"/>
        </w:rPr>
        <w:t>以下简称</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w:t>
      </w:r>
    </w:p>
    <w:p w14:paraId="760A44E0">
      <w:pPr>
        <w:pStyle w:val="5"/>
        <w:keepNext w:val="0"/>
        <w:keepLines w:val="0"/>
        <w:adjustRightInd w:val="0"/>
        <w:snapToGrid w:val="0"/>
        <w:spacing w:beforeLines="50" w:after="0" w:line="360" w:lineRule="auto"/>
        <w:rPr>
          <w:rFonts w:ascii="黑体" w:hAnsi="黑体" w:eastAsia="黑体"/>
          <w:bCs w:val="0"/>
          <w:sz w:val="24"/>
          <w:szCs w:val="24"/>
        </w:rPr>
      </w:pPr>
      <w:bookmarkStart w:id="86" w:name="_Toc30157"/>
      <w:bookmarkStart w:id="87" w:name="_Toc172716672"/>
      <w:bookmarkStart w:id="88" w:name="_Toc29913914"/>
      <w:r>
        <w:rPr>
          <w:rFonts w:hint="eastAsia" w:ascii="黑体" w:hAnsi="黑体" w:eastAsia="黑体"/>
          <w:bCs w:val="0"/>
          <w:sz w:val="24"/>
          <w:szCs w:val="24"/>
        </w:rPr>
        <w:t>2．评标程序</w:t>
      </w:r>
      <w:bookmarkEnd w:id="86"/>
      <w:bookmarkEnd w:id="87"/>
      <w:bookmarkEnd w:id="88"/>
    </w:p>
    <w:p w14:paraId="6D6CC1A3">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2.1评标程序分为投标文件符合性审查、澄清有关问题、比较和评价、推荐中标候选人。</w:t>
      </w:r>
    </w:p>
    <w:p w14:paraId="3648ADE8">
      <w:pPr>
        <w:pStyle w:val="5"/>
        <w:keepNext w:val="0"/>
        <w:keepLines w:val="0"/>
        <w:adjustRightInd w:val="0"/>
        <w:snapToGrid w:val="0"/>
        <w:spacing w:beforeLines="50" w:after="0" w:line="360" w:lineRule="auto"/>
        <w:rPr>
          <w:rFonts w:ascii="黑体" w:hAnsi="黑体" w:eastAsia="黑体"/>
          <w:bCs w:val="0"/>
          <w:sz w:val="24"/>
          <w:szCs w:val="24"/>
        </w:rPr>
      </w:pPr>
      <w:bookmarkStart w:id="89" w:name="_Toc29913915"/>
      <w:bookmarkStart w:id="90" w:name="_Toc172716673"/>
      <w:bookmarkStart w:id="91" w:name="_Toc5640"/>
      <w:r>
        <w:rPr>
          <w:rFonts w:hint="eastAsia" w:ascii="黑体" w:hAnsi="黑体" w:eastAsia="黑体"/>
          <w:bCs w:val="0"/>
          <w:sz w:val="24"/>
          <w:szCs w:val="24"/>
        </w:rPr>
        <w:t>3．投标文件的符合性审查</w:t>
      </w:r>
      <w:bookmarkEnd w:id="89"/>
      <w:bookmarkEnd w:id="90"/>
      <w:bookmarkEnd w:id="91"/>
    </w:p>
    <w:p w14:paraId="3FF7D61F">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3.1资格审查结束后，评标委员会依法按照本章第三节“投标文件的符合性审查”规定进行投标文件符合性。</w:t>
      </w:r>
    </w:p>
    <w:p w14:paraId="3BBF808E">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3.2符合性审查合格投标人少于3家的，应予废标。</w:t>
      </w:r>
    </w:p>
    <w:p w14:paraId="6781FB8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3.3单一产品采购项目：提供相同品牌产品的不同投标人参加同一合同项下投标的，按一家投标人计算。提供不同品牌产品的投标人不足三家的，应予废标。</w:t>
      </w:r>
    </w:p>
    <w:p w14:paraId="172482E9">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3.4非单一产品采购项目：采购人或者采购代理机构将在</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中载明核心产品。多家投标人提供的核心产品品牌相同的，视为相同品牌，按本章本节第3.3款规定处理。</w:t>
      </w:r>
    </w:p>
    <w:p w14:paraId="07F78DE8">
      <w:pPr>
        <w:pStyle w:val="5"/>
        <w:keepNext w:val="0"/>
        <w:keepLines w:val="0"/>
        <w:adjustRightInd w:val="0"/>
        <w:snapToGrid w:val="0"/>
        <w:spacing w:beforeLines="50" w:after="0" w:line="360" w:lineRule="auto"/>
        <w:rPr>
          <w:rFonts w:ascii="黑体" w:hAnsi="黑体" w:eastAsia="黑体"/>
          <w:bCs w:val="0"/>
          <w:sz w:val="24"/>
          <w:szCs w:val="24"/>
        </w:rPr>
      </w:pPr>
      <w:bookmarkStart w:id="92" w:name="_Toc483"/>
      <w:bookmarkStart w:id="93" w:name="_Toc172716674"/>
      <w:bookmarkStart w:id="94" w:name="_Toc29913916"/>
      <w:r>
        <w:rPr>
          <w:rFonts w:hint="eastAsia" w:ascii="黑体" w:hAnsi="黑体" w:eastAsia="黑体"/>
          <w:bCs w:val="0"/>
          <w:sz w:val="24"/>
          <w:szCs w:val="24"/>
        </w:rPr>
        <w:t>4．投标文件的澄清</w:t>
      </w:r>
      <w:bookmarkEnd w:id="92"/>
      <w:bookmarkEnd w:id="93"/>
      <w:bookmarkEnd w:id="94"/>
    </w:p>
    <w:p w14:paraId="770CA51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4.1对于投标文件中含义不明确、同类问题表述不一致或者有明显文字和计算错误的内容，评标委员会应当以数据电文形式要求投标人作出必要的澄清、说明或者补正。</w:t>
      </w:r>
    </w:p>
    <w:p w14:paraId="29E41FA1">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4.2投标文件的投标报价出现前后不一致的，除</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另有规定外，按照下列规定修正：</w:t>
      </w:r>
    </w:p>
    <w:p w14:paraId="04414928">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（1）投标文件中开标一览表内容与投标文件中相应内容不一致的，以开标一览表为准；</w:t>
      </w:r>
    </w:p>
    <w:p w14:paraId="6CAF8A0C">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（2）大写金额和小写金额不一致的，以大写金额为准；</w:t>
      </w:r>
    </w:p>
    <w:p w14:paraId="3DE7C189">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（3）单价金额小数点或者百分比有明显错位的，以开标一览表的总价为准，并修改单价；</w:t>
      </w:r>
    </w:p>
    <w:p w14:paraId="0722421A">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（4）总价金额与按单价汇总金额不一致的，以单价金额计算结果为准。</w:t>
      </w:r>
    </w:p>
    <w:p w14:paraId="37404869">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4.3投标文件报价同时出现两种以上不一致的，按照前款规定的顺序修正。修正后的报价由投标人代表电子签名或者加盖单位电子章确认后产生约束力，投标人不确认的，其投标无效。</w:t>
      </w:r>
    </w:p>
    <w:p w14:paraId="49203738">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4.4投标人的澄清、说明或者补正应当采用数据电文形式，并加盖电子公章，或者由法定代表人或其授权的代表电子签名，并按评标委员会的通知要求递交至交易平台。投标人的澄清、说明或者补正不得超出投标文件的范围或者改变投标文件的实质性内容。</w:t>
      </w:r>
    </w:p>
    <w:p w14:paraId="413340F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4.5有效的澄清材料，是投标文件的补充材料，成为投标文件的组成部分。</w:t>
      </w:r>
    </w:p>
    <w:p w14:paraId="43063C8E">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4.6评标委员会认为投标人的报价明显低于其他通过符合性审查投标人的报价，有可能影响产品质量或者不能诚信履约的，应当要求其在评标现场合理的时间内提供说明，必要时提交相关证明材料；投标人不能证明其报价合理性的，评标委员会应当将其作为投标无效处理。</w:t>
      </w:r>
    </w:p>
    <w:p w14:paraId="07805D5D">
      <w:pPr>
        <w:pStyle w:val="5"/>
        <w:keepNext w:val="0"/>
        <w:keepLines w:val="0"/>
        <w:adjustRightInd w:val="0"/>
        <w:snapToGrid w:val="0"/>
        <w:spacing w:beforeLines="50" w:after="0" w:line="360" w:lineRule="auto"/>
        <w:rPr>
          <w:rFonts w:ascii="黑体" w:hAnsi="黑体" w:eastAsia="黑体"/>
          <w:bCs w:val="0"/>
          <w:sz w:val="24"/>
          <w:szCs w:val="24"/>
        </w:rPr>
      </w:pPr>
      <w:bookmarkStart w:id="95" w:name="_Toc29913917"/>
      <w:bookmarkStart w:id="96" w:name="_Toc172716675"/>
      <w:bookmarkStart w:id="97" w:name="_Toc5596"/>
      <w:r>
        <w:rPr>
          <w:rFonts w:hint="eastAsia" w:ascii="黑体" w:hAnsi="黑体" w:eastAsia="黑体"/>
          <w:bCs w:val="0"/>
          <w:sz w:val="24"/>
          <w:szCs w:val="24"/>
        </w:rPr>
        <w:t>5．投标文件的比较与评价</w:t>
      </w:r>
      <w:bookmarkEnd w:id="95"/>
      <w:bookmarkEnd w:id="96"/>
      <w:bookmarkEnd w:id="97"/>
    </w:p>
    <w:p w14:paraId="44B0F794">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5.1评标委员会依法按照本章第三节“投标文件的比较与评价”规定，对资格性检查和符合性检查合格的投标文件进行比较和评价。</w:t>
      </w:r>
    </w:p>
    <w:p w14:paraId="754D3181">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5.2单一产品采购项目：</w:t>
      </w:r>
    </w:p>
    <w:p w14:paraId="35AC1C4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综合评分法：提供相同品牌产品且通过资格审查、符合性审查的不同投标人参加同一合同项下投标的，评审后得分最高的同品牌投标人获得中标人推荐资格；评审得分相同的，按照</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规定的方式确定一个投标人获得中标人推荐资格，招标文件未规定的采取随机抽取方式确定，其他同品牌投标人</w:t>
      </w:r>
      <w:r>
        <w:rPr>
          <w:rFonts w:hint="eastAsia" w:asciiTheme="minorEastAsia" w:hAnsiTheme="minorEastAsia" w:eastAsiaTheme="minorEastAsia"/>
          <w:b/>
          <w:szCs w:val="21"/>
        </w:rPr>
        <w:t>不作为中标候选人</w:t>
      </w:r>
      <w:r>
        <w:rPr>
          <w:rFonts w:hint="eastAsia" w:asciiTheme="minorEastAsia" w:hAnsiTheme="minorEastAsia" w:eastAsiaTheme="minorEastAsia"/>
          <w:szCs w:val="21"/>
        </w:rPr>
        <w:t>。</w:t>
      </w:r>
    </w:p>
    <w:p w14:paraId="5445C44F">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5.3非单一产品采购项目：多家投标人提供的核心产品品牌相同的，视为相同品牌，按本章本节第 5.2 款规定处理。</w:t>
      </w:r>
    </w:p>
    <w:p w14:paraId="245B1DBC">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5.4政府采购政策：</w:t>
      </w:r>
    </w:p>
    <w:p w14:paraId="4EF1FE48">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szCs w:val="21"/>
        </w:rPr>
        <w:t>（1）</w:t>
      </w:r>
      <w:r>
        <w:rPr>
          <w:rFonts w:hint="eastAsia" w:asciiTheme="minorEastAsia" w:hAnsiTheme="minorEastAsia" w:eastAsiaTheme="minorEastAsia"/>
          <w:bCs/>
          <w:szCs w:val="21"/>
        </w:rPr>
        <w:t>价格评审优惠：</w:t>
      </w:r>
      <w:r>
        <w:rPr>
          <w:rFonts w:hint="eastAsia" w:asciiTheme="minorEastAsia" w:hAnsiTheme="minorEastAsia" w:eastAsiaTheme="minorEastAsia"/>
          <w:szCs w:val="21"/>
        </w:rPr>
        <w:t>按</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及第二章“投标须知”的相关规定给予一定的价格折扣。</w:t>
      </w:r>
    </w:p>
    <w:p w14:paraId="2C500B2A">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szCs w:val="21"/>
        </w:rPr>
        <w:t>（2）优先采购：</w:t>
      </w:r>
      <w:r>
        <w:rPr>
          <w:rFonts w:hint="eastAsia" w:asciiTheme="minorEastAsia" w:hAnsiTheme="minorEastAsia" w:eastAsiaTheme="minorEastAsia"/>
          <w:bCs/>
          <w:szCs w:val="21"/>
        </w:rPr>
        <w:t>评审时按</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bCs/>
          <w:szCs w:val="21"/>
        </w:rPr>
        <w:t>及第二章</w:t>
      </w:r>
      <w:r>
        <w:rPr>
          <w:rFonts w:hint="eastAsia" w:asciiTheme="minorEastAsia" w:hAnsiTheme="minorEastAsia" w:eastAsiaTheme="minorEastAsia"/>
          <w:szCs w:val="21"/>
        </w:rPr>
        <w:t>“投标须知”</w:t>
      </w:r>
      <w:r>
        <w:rPr>
          <w:rFonts w:hint="eastAsia" w:asciiTheme="minorEastAsia" w:hAnsiTheme="minorEastAsia" w:eastAsiaTheme="minorEastAsia"/>
          <w:bCs/>
          <w:szCs w:val="21"/>
        </w:rPr>
        <w:t>的相关规定给予价格折扣或者加分。</w:t>
      </w:r>
    </w:p>
    <w:p w14:paraId="57A1BAA8">
      <w:pPr>
        <w:pStyle w:val="5"/>
        <w:keepNext w:val="0"/>
        <w:keepLines w:val="0"/>
        <w:adjustRightInd w:val="0"/>
        <w:snapToGrid w:val="0"/>
        <w:spacing w:beforeLines="50" w:after="0" w:line="360" w:lineRule="auto"/>
        <w:rPr>
          <w:rFonts w:ascii="黑体" w:hAnsi="黑体" w:eastAsia="黑体"/>
          <w:sz w:val="24"/>
          <w:szCs w:val="24"/>
        </w:rPr>
      </w:pPr>
      <w:bookmarkStart w:id="98" w:name="_Toc29913918"/>
      <w:bookmarkStart w:id="99" w:name="_Toc23499"/>
      <w:bookmarkStart w:id="100" w:name="_Toc172716676"/>
      <w:r>
        <w:rPr>
          <w:rFonts w:hint="eastAsia" w:ascii="黑体" w:hAnsi="黑体" w:eastAsia="黑体"/>
          <w:bCs w:val="0"/>
          <w:sz w:val="24"/>
          <w:szCs w:val="24"/>
        </w:rPr>
        <w:t>6．</w:t>
      </w:r>
      <w:r>
        <w:rPr>
          <w:rFonts w:hint="eastAsia" w:ascii="黑体" w:hAnsi="黑体" w:eastAsia="黑体"/>
          <w:sz w:val="24"/>
          <w:szCs w:val="24"/>
        </w:rPr>
        <w:t>推荐中标候选人</w:t>
      </w:r>
      <w:bookmarkEnd w:id="98"/>
      <w:bookmarkEnd w:id="99"/>
      <w:bookmarkEnd w:id="100"/>
    </w:p>
    <w:p w14:paraId="19A0FE32">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综合评分法：评标结果按评审后得分由高到低顺序排列。得分相同的，按投标报价由低到高顺序排列。得分且投标报价相同的并列，按</w:t>
      </w:r>
      <w:r>
        <w:rPr>
          <w:rFonts w:hint="eastAsia" w:asciiTheme="minorEastAsia" w:hAnsiTheme="minorEastAsia" w:eastAsiaTheme="minorEastAsia"/>
          <w:b/>
          <w:bCs/>
          <w:szCs w:val="21"/>
        </w:rPr>
        <w:t>【评标方法及标准前附表】</w:t>
      </w:r>
      <w:r>
        <w:rPr>
          <w:rFonts w:hint="eastAsia" w:asciiTheme="minorEastAsia" w:hAnsiTheme="minorEastAsia" w:eastAsiaTheme="minorEastAsia"/>
          <w:bCs/>
          <w:szCs w:val="21"/>
        </w:rPr>
        <w:t>规定的方式确定中标人；招标文件未规定的，采取随机抽取的方式确定。</w:t>
      </w:r>
    </w:p>
    <w:p w14:paraId="1523CB60">
      <w:pPr>
        <w:pStyle w:val="5"/>
        <w:keepNext w:val="0"/>
        <w:keepLines w:val="0"/>
        <w:adjustRightInd w:val="0"/>
        <w:snapToGrid w:val="0"/>
        <w:spacing w:beforeLines="50" w:after="0" w:line="360" w:lineRule="auto"/>
        <w:rPr>
          <w:rFonts w:ascii="黑体" w:hAnsi="黑体" w:eastAsia="黑体"/>
          <w:sz w:val="24"/>
          <w:szCs w:val="24"/>
        </w:rPr>
      </w:pPr>
      <w:bookmarkStart w:id="101" w:name="_Toc11040"/>
      <w:bookmarkStart w:id="102" w:name="_Toc29913919"/>
      <w:bookmarkStart w:id="103" w:name="_Toc172716677"/>
      <w:r>
        <w:rPr>
          <w:rFonts w:hint="eastAsia" w:ascii="黑体" w:hAnsi="黑体" w:eastAsia="黑体"/>
          <w:bCs w:val="0"/>
          <w:sz w:val="24"/>
          <w:szCs w:val="24"/>
        </w:rPr>
        <w:t>7．</w:t>
      </w:r>
      <w:r>
        <w:rPr>
          <w:rFonts w:hint="eastAsia" w:ascii="黑体" w:hAnsi="黑体" w:eastAsia="黑体"/>
          <w:sz w:val="24"/>
          <w:szCs w:val="24"/>
        </w:rPr>
        <w:t>编写评标报告</w:t>
      </w:r>
      <w:bookmarkEnd w:id="101"/>
      <w:bookmarkEnd w:id="102"/>
      <w:bookmarkEnd w:id="103"/>
    </w:p>
    <w:p w14:paraId="7927DD0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7.1评标</w:t>
      </w:r>
      <w:r>
        <w:rPr>
          <w:rFonts w:hint="eastAsia" w:asciiTheme="minorEastAsia" w:hAnsiTheme="minorEastAsia" w:eastAsiaTheme="minorEastAsia"/>
          <w:bCs/>
          <w:szCs w:val="21"/>
        </w:rPr>
        <w:t>委员会</w:t>
      </w:r>
      <w:r>
        <w:rPr>
          <w:rFonts w:hint="eastAsia" w:asciiTheme="minorEastAsia" w:hAnsiTheme="minorEastAsia" w:eastAsiaTheme="minorEastAsia"/>
          <w:szCs w:val="21"/>
        </w:rPr>
        <w:t>根据全体评标成员电子签名的原始评标记录和评标结果编写评标报告。</w:t>
      </w:r>
    </w:p>
    <w:p w14:paraId="563BE583">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szCs w:val="21"/>
        </w:rPr>
        <w:t>7.2</w:t>
      </w:r>
      <w:r>
        <w:rPr>
          <w:rFonts w:hint="eastAsia" w:asciiTheme="minorEastAsia" w:hAnsiTheme="minorEastAsia" w:eastAsiaTheme="minorEastAsia"/>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701CAE74">
      <w:pPr>
        <w:pStyle w:val="5"/>
        <w:keepNext w:val="0"/>
        <w:keepLines w:val="0"/>
        <w:adjustRightInd w:val="0"/>
        <w:snapToGrid w:val="0"/>
        <w:spacing w:beforeLines="50" w:after="0" w:line="360" w:lineRule="auto"/>
        <w:rPr>
          <w:rFonts w:ascii="黑体" w:hAnsi="黑体" w:eastAsia="黑体"/>
          <w:bCs w:val="0"/>
          <w:sz w:val="24"/>
          <w:szCs w:val="24"/>
        </w:rPr>
      </w:pPr>
      <w:bookmarkStart w:id="104" w:name="_Toc9642"/>
      <w:bookmarkStart w:id="105" w:name="_Toc172716678"/>
      <w:bookmarkStart w:id="106" w:name="_Toc29913920"/>
      <w:r>
        <w:rPr>
          <w:rFonts w:hint="eastAsia" w:ascii="黑体" w:hAnsi="黑体" w:eastAsia="黑体"/>
          <w:bCs w:val="0"/>
          <w:sz w:val="24"/>
          <w:szCs w:val="24"/>
        </w:rPr>
        <w:t>8．</w:t>
      </w:r>
      <w:r>
        <w:rPr>
          <w:rFonts w:hint="eastAsia" w:ascii="黑体" w:hAnsi="黑体" w:eastAsia="黑体"/>
          <w:sz w:val="24"/>
          <w:szCs w:val="24"/>
        </w:rPr>
        <w:t>评标报告</w:t>
      </w:r>
      <w:r>
        <w:rPr>
          <w:rFonts w:hint="eastAsia" w:ascii="黑体" w:hAnsi="黑体" w:eastAsia="黑体"/>
          <w:bCs w:val="0"/>
          <w:sz w:val="24"/>
          <w:szCs w:val="24"/>
        </w:rPr>
        <w:t>复核</w:t>
      </w:r>
      <w:bookmarkEnd w:id="104"/>
      <w:bookmarkEnd w:id="105"/>
      <w:bookmarkEnd w:id="106"/>
    </w:p>
    <w:p w14:paraId="62293B43">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8.1汇总结束后，评标委员会应当进行复核，特别要对拟推荐为中标候选供应商的、报价最低的、投标文件被认定为无效的进行重点复核。</w:t>
      </w:r>
    </w:p>
    <w:p w14:paraId="1079EA00">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8.2汇总完成后，除下列情形外，任何人不得修改评标结果：</w:t>
      </w:r>
    </w:p>
    <w:p w14:paraId="03821212">
      <w:pPr>
        <w:adjustRightInd w:val="0"/>
        <w:snapToGrid w:val="0"/>
        <w:spacing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（1）分值汇总计算错误的；</w:t>
      </w:r>
    </w:p>
    <w:p w14:paraId="7E10654A">
      <w:pPr>
        <w:adjustRightInd w:val="0"/>
        <w:snapToGrid w:val="0"/>
        <w:spacing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（2）分项评分超出评分标准范围的；</w:t>
      </w:r>
    </w:p>
    <w:p w14:paraId="34D44E0A">
      <w:pPr>
        <w:adjustRightInd w:val="0"/>
        <w:snapToGrid w:val="0"/>
        <w:spacing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（3）评标委员会成员对客观评审因素评分不一致的；</w:t>
      </w:r>
    </w:p>
    <w:p w14:paraId="74775A8A">
      <w:pPr>
        <w:adjustRightInd w:val="0"/>
        <w:snapToGrid w:val="0"/>
        <w:spacing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（4）经评标委员会认定评分畸高、畸低的。</w:t>
      </w:r>
    </w:p>
    <w:p w14:paraId="78B4BC34">
      <w:pPr>
        <w:adjustRightInd w:val="0"/>
        <w:snapToGrid w:val="0"/>
        <w:spacing w:beforeLines="50" w:line="360" w:lineRule="auto"/>
        <w:ind w:firstLine="420" w:firstLineChars="200"/>
        <w:jc w:val="left"/>
        <w:rPr>
          <w:rFonts w:asciiTheme="minorEastAsia" w:hAnsiTheme="minorEastAsia" w:eastAsiaTheme="minorEastAsia"/>
          <w:b/>
          <w:bCs/>
          <w:szCs w:val="21"/>
        </w:rPr>
      </w:pPr>
      <w:r>
        <w:rPr>
          <w:rFonts w:hint="eastAsia" w:asciiTheme="minorEastAsia" w:hAnsiTheme="minorEastAsia" w:eastAsiaTheme="minorEastAsia"/>
          <w:bCs/>
          <w:szCs w:val="21"/>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FC69C37">
      <w:pPr>
        <w:pStyle w:val="5"/>
        <w:keepNext w:val="0"/>
        <w:keepLines w:val="0"/>
        <w:adjustRightInd w:val="0"/>
        <w:snapToGrid w:val="0"/>
        <w:spacing w:beforeLines="50" w:after="0" w:line="360" w:lineRule="auto"/>
        <w:rPr>
          <w:rFonts w:ascii="黑体" w:hAnsi="黑体" w:eastAsia="黑体"/>
          <w:bCs w:val="0"/>
          <w:sz w:val="24"/>
          <w:szCs w:val="24"/>
        </w:rPr>
      </w:pPr>
      <w:bookmarkStart w:id="107" w:name="_Toc22688"/>
      <w:bookmarkStart w:id="108" w:name="_Toc172716679"/>
      <w:bookmarkStart w:id="109" w:name="_Toc29913921"/>
      <w:r>
        <w:rPr>
          <w:rFonts w:hint="eastAsia" w:ascii="黑体" w:hAnsi="黑体" w:eastAsia="黑体"/>
          <w:sz w:val="24"/>
          <w:szCs w:val="24"/>
        </w:rPr>
        <w:t>9．</w:t>
      </w:r>
      <w:r>
        <w:rPr>
          <w:rFonts w:hint="eastAsia" w:ascii="黑体" w:hAnsi="黑体" w:eastAsia="黑体"/>
          <w:bCs w:val="0"/>
          <w:sz w:val="24"/>
          <w:szCs w:val="24"/>
        </w:rPr>
        <w:t>停止评标</w:t>
      </w:r>
      <w:bookmarkEnd w:id="107"/>
      <w:bookmarkEnd w:id="108"/>
      <w:bookmarkEnd w:id="109"/>
    </w:p>
    <w:p w14:paraId="5E5D5013">
      <w:pPr>
        <w:adjustRightInd w:val="0"/>
        <w:snapToGrid w:val="0"/>
        <w:spacing w:beforeLines="50" w:line="360" w:lineRule="auto"/>
        <w:ind w:firstLine="420" w:firstLineChars="200"/>
        <w:jc w:val="left"/>
        <w:rPr>
          <w:rFonts w:cs="宋体" w:asciiTheme="minorEastAsia" w:hAnsiTheme="minorEastAsia" w:eastAsiaTheme="minorEastAsia"/>
          <w:kern w:val="0"/>
          <w:szCs w:val="21"/>
        </w:rPr>
      </w:pPr>
      <w:r>
        <w:rPr>
          <w:rFonts w:hint="eastAsia" w:asciiTheme="minorEastAsia" w:hAnsiTheme="minorEastAsia" w:eastAsiaTheme="minorEastAsia"/>
          <w:bCs/>
          <w:szCs w:val="21"/>
        </w:rPr>
        <w:t>9.1</w:t>
      </w:r>
      <w:r>
        <w:rPr>
          <w:rFonts w:hint="eastAsia" w:cs="宋体" w:asciiTheme="minorEastAsia" w:hAnsiTheme="minorEastAsia" w:eastAsiaTheme="minorEastAsia"/>
          <w:kern w:val="0"/>
          <w:szCs w:val="21"/>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7733EB34">
      <w:pPr>
        <w:pStyle w:val="5"/>
        <w:rPr>
          <w:rFonts w:ascii="黑体" w:hAnsi="黑体" w:eastAsia="黑体" w:cs="黑体"/>
          <w:sz w:val="28"/>
          <w:szCs w:val="28"/>
        </w:rPr>
      </w:pPr>
      <w:bookmarkStart w:id="110" w:name="_Toc172716680"/>
      <w:r>
        <w:rPr>
          <w:rFonts w:hint="eastAsia" w:ascii="黑体" w:hAnsi="黑体" w:eastAsia="黑体" w:cs="黑体"/>
          <w:sz w:val="28"/>
          <w:szCs w:val="28"/>
        </w:rPr>
        <w:t>10.废标</w:t>
      </w:r>
      <w:bookmarkEnd w:id="110"/>
    </w:p>
    <w:p w14:paraId="477A245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10.1 根据有关法律法规和招标文件的有关规定，如出现下列情况之一的，应予以废标：</w:t>
      </w:r>
    </w:p>
    <w:p w14:paraId="60834D1E">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（1）符合专业条件的投标人或者对招标文件作实质响应的投标人不足三家的；</w:t>
      </w:r>
    </w:p>
    <w:p w14:paraId="2894017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（2）出现影响采购公正的违法、违规行为的；</w:t>
      </w:r>
    </w:p>
    <w:p w14:paraId="7EB5574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（3）投标人的报价均超过招标人项目采购预算，招标人不能支付的；</w:t>
      </w:r>
    </w:p>
    <w:p w14:paraId="48DDB3C5">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（4）因重大变故，采购任务取消的。</w:t>
      </w:r>
    </w:p>
    <w:p w14:paraId="5DAB0D16">
      <w:pPr>
        <w:pStyle w:val="5"/>
        <w:keepNext w:val="0"/>
        <w:keepLines w:val="0"/>
        <w:adjustRightInd w:val="0"/>
        <w:snapToGrid w:val="0"/>
        <w:spacing w:beforeLines="50" w:after="0" w:line="360" w:lineRule="auto"/>
        <w:rPr>
          <w:rFonts w:ascii="黑体" w:hAnsi="黑体" w:eastAsia="黑体"/>
          <w:bCs w:val="0"/>
          <w:sz w:val="24"/>
          <w:szCs w:val="24"/>
        </w:rPr>
      </w:pPr>
      <w:bookmarkStart w:id="111" w:name="_Toc172716681"/>
      <w:bookmarkStart w:id="112" w:name="_Toc881"/>
      <w:bookmarkStart w:id="113" w:name="_Toc29913922"/>
      <w:r>
        <w:rPr>
          <w:rFonts w:hint="eastAsia" w:ascii="黑体" w:hAnsi="黑体" w:eastAsia="黑体" w:cs="宋体"/>
          <w:kern w:val="0"/>
          <w:sz w:val="24"/>
          <w:szCs w:val="24"/>
        </w:rPr>
        <w:t>11．重新组建评标委员会进行评标</w:t>
      </w:r>
      <w:bookmarkEnd w:id="111"/>
      <w:bookmarkEnd w:id="112"/>
      <w:bookmarkEnd w:id="113"/>
    </w:p>
    <w:p w14:paraId="64DD2F0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11.1评标委员会或者其成员存在下列情形导致评标结果无效的，采购人、采购代理机构可以重新组建评标委员会进行评标，并书面报告本级财政部门，但采购合同已经履行的除外：</w:t>
      </w:r>
    </w:p>
    <w:p w14:paraId="272CBA1C">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（1）评标委员会组成不符合《政府采购货物和服务招标投标管理办法》规定的；</w:t>
      </w:r>
    </w:p>
    <w:p w14:paraId="560887DB">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（2）有《政府采购货物和服务招标投标管理办法》第六十二条第一至五项情形的；</w:t>
      </w:r>
    </w:p>
    <w:p w14:paraId="5DA6E1A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（3）评标委员会及其成员独立评标受到非法干预的；</w:t>
      </w:r>
    </w:p>
    <w:p w14:paraId="5A47702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（4）有政府采购法实施条例第七十五条规定的违法行为的。</w:t>
      </w:r>
    </w:p>
    <w:p w14:paraId="289A60DF">
      <w:pPr>
        <w:adjustRightInd w:val="0"/>
        <w:snapToGrid w:val="0"/>
        <w:spacing w:beforeLines="50" w:line="360" w:lineRule="auto"/>
        <w:ind w:firstLine="420" w:firstLineChars="200"/>
        <w:jc w:val="left"/>
        <w:rPr>
          <w:rFonts w:ascii="黑体" w:hAnsi="华文中宋" w:eastAsia="黑体"/>
          <w:b/>
          <w:sz w:val="32"/>
          <w:szCs w:val="32"/>
        </w:rPr>
      </w:pPr>
      <w:r>
        <w:rPr>
          <w:rFonts w:hint="eastAsia" w:asciiTheme="minorEastAsia" w:hAnsiTheme="minorEastAsia" w:eastAsiaTheme="minorEastAsia"/>
          <w:szCs w:val="21"/>
        </w:rPr>
        <w:t>11.2有违法违规行为的原评标委员会成员不得参加重新组建的评标委员会。</w:t>
      </w:r>
      <w:r>
        <w:rPr>
          <w:rFonts w:ascii="黑体" w:hAnsi="华文中宋" w:eastAsia="黑体"/>
          <w:b/>
          <w:sz w:val="32"/>
          <w:szCs w:val="32"/>
        </w:rPr>
        <w:br w:type="page"/>
      </w:r>
    </w:p>
    <w:p w14:paraId="7F0F8D3D">
      <w:pPr>
        <w:pStyle w:val="4"/>
        <w:adjustRightInd w:val="0"/>
        <w:snapToGrid w:val="0"/>
        <w:jc w:val="center"/>
        <w:rPr>
          <w:rFonts w:ascii="黑体" w:hAnsi="华文中宋" w:eastAsia="黑体"/>
          <w:sz w:val="28"/>
          <w:szCs w:val="28"/>
        </w:rPr>
      </w:pPr>
      <w:bookmarkStart w:id="114" w:name="_Toc29913923"/>
      <w:bookmarkStart w:id="115" w:name="_Toc172716682"/>
      <w:bookmarkStart w:id="116" w:name="_Toc30098"/>
      <w:r>
        <w:rPr>
          <w:rFonts w:hint="eastAsia" w:ascii="黑体" w:hAnsi="华文中宋" w:eastAsia="黑体"/>
          <w:sz w:val="28"/>
          <w:szCs w:val="28"/>
        </w:rPr>
        <w:t>第三节 投标文件的符合性审查</w:t>
      </w:r>
      <w:bookmarkEnd w:id="114"/>
      <w:bookmarkEnd w:id="115"/>
      <w:bookmarkEnd w:id="116"/>
    </w:p>
    <w:p w14:paraId="75DAD1ED">
      <w:pPr>
        <w:adjustRightInd w:val="0"/>
        <w:snapToGrid w:val="0"/>
        <w:spacing w:beforeLines="50" w:line="360" w:lineRule="auto"/>
        <w:rPr>
          <w:rFonts w:ascii="黑体" w:hAnsi="黑体" w:eastAsia="黑体"/>
          <w:b/>
          <w:sz w:val="24"/>
        </w:rPr>
      </w:pPr>
      <w:r>
        <w:rPr>
          <w:rFonts w:hint="eastAsia" w:ascii="黑体" w:hAnsi="黑体" w:eastAsia="黑体"/>
          <w:b/>
          <w:sz w:val="24"/>
        </w:rPr>
        <w:t>1.符合性审查</w:t>
      </w:r>
    </w:p>
    <w:p w14:paraId="0EC3535E">
      <w:pPr>
        <w:adjustRightInd w:val="0"/>
        <w:snapToGrid w:val="0"/>
        <w:spacing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1.1</w:t>
      </w:r>
      <w:r>
        <w:rPr>
          <w:rFonts w:hint="eastAsia" w:asciiTheme="minorEastAsia" w:hAnsiTheme="minorEastAsia" w:eastAsiaTheme="minorEastAsia"/>
          <w:szCs w:val="21"/>
        </w:rPr>
        <w:t>评标委员会应</w:t>
      </w:r>
      <w:r>
        <w:rPr>
          <w:rFonts w:hint="eastAsia" w:asciiTheme="minorEastAsia" w:hAnsiTheme="minorEastAsia" w:eastAsiaTheme="minorEastAsia"/>
        </w:rPr>
        <w:t>对符合资格条件的投标人的投标文件进行符合性审查，以确定其是否满足招标文件的实质性要求。</w:t>
      </w:r>
    </w:p>
    <w:p w14:paraId="31F7CCD8">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78F0EACF">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（2）投标人不得通过修正或撤销不合要求的偏离从而使其投标成为实质上响应的投标。</w:t>
      </w:r>
    </w:p>
    <w:p w14:paraId="358E6445">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kern w:val="0"/>
          <w:szCs w:val="21"/>
        </w:rPr>
        <w:t>1.2</w:t>
      </w:r>
      <w:r>
        <w:rPr>
          <w:rFonts w:hint="eastAsia" w:asciiTheme="minorEastAsia" w:hAnsiTheme="minorEastAsia" w:eastAsiaTheme="minorEastAsia"/>
        </w:rPr>
        <w:t>未通过符合性审查的投标人，其投标将被认定为投标无效，不能进入下一阶段评审。通过符合性审查的投标人数量不足 3 家的，不得作进一步的比较和评价。</w:t>
      </w:r>
    </w:p>
    <w:p w14:paraId="3B05924B">
      <w:pPr>
        <w:adjustRightInd w:val="0"/>
        <w:snapToGrid w:val="0"/>
        <w:spacing w:beforeLines="50" w:line="360" w:lineRule="auto"/>
        <w:jc w:val="left"/>
        <w:rPr>
          <w:rFonts w:ascii="黑体" w:hAnsi="黑体" w:eastAsia="黑体"/>
          <w:b/>
          <w:sz w:val="24"/>
        </w:rPr>
      </w:pPr>
      <w:r>
        <w:rPr>
          <w:rFonts w:hint="eastAsia" w:ascii="黑体" w:hAnsi="黑体" w:eastAsia="黑体"/>
          <w:b/>
          <w:sz w:val="24"/>
        </w:rPr>
        <w:t>2.投标无效</w:t>
      </w:r>
    </w:p>
    <w:p w14:paraId="46E1B56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2.1投标人存在下列情况之一的，符合性审查不合格，投标无效：</w:t>
      </w:r>
    </w:p>
    <w:p w14:paraId="1C8D70C2">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（1）投标文件中商务技术文件未按照招标文件规定要求签署、盖章的；</w:t>
      </w:r>
    </w:p>
    <w:p w14:paraId="6CA105B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（2）投标文件没有对招标文件的实质性要求和条件作出响应，或者对招标文件的偏离超出招标文件规定的偏离</w:t>
      </w:r>
      <w:r>
        <w:rPr>
          <w:rFonts w:hint="eastAsia" w:asciiTheme="minorEastAsia" w:hAnsiTheme="minorEastAsia" w:eastAsiaTheme="minorEastAsia"/>
        </w:rPr>
        <w:t>范围和幅度</w:t>
      </w:r>
      <w:r>
        <w:rPr>
          <w:rFonts w:hint="eastAsia" w:asciiTheme="minorEastAsia" w:hAnsiTheme="minorEastAsia" w:eastAsiaTheme="minorEastAsia"/>
          <w:szCs w:val="21"/>
        </w:rPr>
        <w:t>；</w:t>
      </w:r>
    </w:p>
    <w:p w14:paraId="6183706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（3）投标有效期不足的；</w:t>
      </w:r>
    </w:p>
    <w:p w14:paraId="2C0455C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（4）投标文件含有采购人不能接受的附加条件的；</w:t>
      </w:r>
    </w:p>
    <w:p w14:paraId="396EEC42">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（5）不符合本节第1.1款规定符合性审查标准的；</w:t>
      </w:r>
    </w:p>
    <w:p w14:paraId="3B7B0D8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（6）法律、法规和招标文件规定的其他投标无效情形的。</w:t>
      </w:r>
    </w:p>
    <w:p w14:paraId="3D8010D9">
      <w:pPr>
        <w:adjustRightInd w:val="0"/>
        <w:snapToGrid w:val="0"/>
        <w:spacing w:beforeLines="50"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2.2在评标过程中发现投标人有不遵循公平竞争的原则，恶意串通，妨碍其他投标人的竞争行为，损害采购人或者其他投标人的合法权益的，评标委员会应当认定其</w:t>
      </w:r>
      <w:r>
        <w:rPr>
          <w:rFonts w:hint="eastAsia" w:asciiTheme="minorEastAsia" w:hAnsiTheme="minorEastAsia" w:eastAsiaTheme="minorEastAsia"/>
          <w:b/>
          <w:kern w:val="0"/>
          <w:szCs w:val="21"/>
        </w:rPr>
        <w:t>投标无效</w:t>
      </w:r>
      <w:r>
        <w:rPr>
          <w:rFonts w:hint="eastAsia" w:asciiTheme="minorEastAsia" w:hAnsiTheme="minorEastAsia" w:eastAsiaTheme="minorEastAsia"/>
          <w:kern w:val="0"/>
          <w:szCs w:val="21"/>
        </w:rPr>
        <w:t>，并书面报告本级财政部门。</w:t>
      </w:r>
    </w:p>
    <w:p w14:paraId="5522A047"/>
    <w:p w14:paraId="01D5E9EA"/>
    <w:p w14:paraId="672EC765">
      <w:pPr>
        <w:widowControl/>
        <w:jc w:val="left"/>
        <w:rPr>
          <w:rFonts w:ascii="黑体" w:hAnsi="黑体"/>
          <w:b/>
          <w:szCs w:val="21"/>
        </w:rPr>
      </w:pPr>
      <w:r>
        <w:rPr>
          <w:rFonts w:ascii="黑体" w:hAnsi="黑体"/>
          <w:b/>
          <w:szCs w:val="21"/>
        </w:rPr>
        <w:br w:type="page"/>
      </w:r>
    </w:p>
    <w:p w14:paraId="706EDFAE">
      <w:pPr>
        <w:pStyle w:val="5"/>
        <w:adjustRightInd w:val="0"/>
        <w:snapToGrid w:val="0"/>
        <w:spacing w:beforeLines="50" w:after="0" w:line="360" w:lineRule="auto"/>
        <w:rPr>
          <w:sz w:val="21"/>
          <w:szCs w:val="21"/>
        </w:rPr>
      </w:pPr>
      <w:bookmarkStart w:id="117" w:name="_Toc20064"/>
      <w:bookmarkStart w:id="118" w:name="_Toc172716683"/>
      <w:bookmarkStart w:id="119" w:name="_Toc20651227"/>
      <w:bookmarkStart w:id="120" w:name="_Toc29913924"/>
      <w:r>
        <w:rPr>
          <w:rFonts w:hint="eastAsia"/>
          <w:sz w:val="21"/>
          <w:szCs w:val="21"/>
        </w:rPr>
        <w:t>附表1 符合性审查表</w:t>
      </w:r>
      <w:bookmarkEnd w:id="117"/>
      <w:bookmarkEnd w:id="118"/>
      <w:bookmarkEnd w:id="119"/>
    </w:p>
    <w:p w14:paraId="1D9650D6">
      <w:pPr>
        <w:adjustRightInd w:val="0"/>
        <w:snapToGrid w:val="0"/>
        <w:spacing w:beforeLines="50" w:line="360" w:lineRule="auto"/>
        <w:jc w:val="center"/>
        <w:rPr>
          <w:rFonts w:ascii="黑体" w:hAnsi="黑体" w:eastAsia="黑体"/>
          <w:b/>
          <w:sz w:val="28"/>
          <w:szCs w:val="28"/>
        </w:rPr>
      </w:pPr>
      <w:r>
        <w:rPr>
          <w:rFonts w:hint="eastAsia" w:ascii="黑体" w:hAnsi="黑体" w:eastAsia="黑体"/>
          <w:b/>
          <w:sz w:val="28"/>
          <w:szCs w:val="28"/>
        </w:rPr>
        <w:t>符合性审查表</w:t>
      </w:r>
    </w:p>
    <w:p w14:paraId="1A38EC4E">
      <w:pPr>
        <w:adjustRightInd w:val="0"/>
        <w:snapToGrid w:val="0"/>
        <w:spacing w:beforeLines="50"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项目名称：                                           采购代理编号： </w:t>
      </w: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812"/>
        <w:gridCol w:w="3565"/>
      </w:tblGrid>
      <w:tr w14:paraId="0AE3CF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vAlign w:val="center"/>
          </w:tcPr>
          <w:p w14:paraId="42806EEA">
            <w:pPr>
              <w:adjustRightInd w:val="0"/>
              <w:snapToGrid w:val="0"/>
              <w:spacing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序号</w:t>
            </w:r>
          </w:p>
        </w:tc>
        <w:tc>
          <w:tcPr>
            <w:tcW w:w="4812" w:type="dxa"/>
            <w:vAlign w:val="center"/>
          </w:tcPr>
          <w:p w14:paraId="05A2AB23">
            <w:pPr>
              <w:adjustRightInd w:val="0"/>
              <w:snapToGrid w:val="0"/>
              <w:spacing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审查项目</w:t>
            </w:r>
          </w:p>
        </w:tc>
        <w:tc>
          <w:tcPr>
            <w:tcW w:w="3565" w:type="dxa"/>
            <w:vAlign w:val="center"/>
          </w:tcPr>
          <w:p w14:paraId="4AC9CA3F">
            <w:pPr>
              <w:adjustRightInd w:val="0"/>
              <w:snapToGrid w:val="0"/>
              <w:spacing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审查标准</w:t>
            </w:r>
          </w:p>
        </w:tc>
      </w:tr>
      <w:tr w14:paraId="21169C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EF69C62">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w:t>
            </w:r>
          </w:p>
        </w:tc>
        <w:tc>
          <w:tcPr>
            <w:tcW w:w="4812" w:type="dxa"/>
          </w:tcPr>
          <w:p w14:paraId="49A1E417">
            <w:pPr>
              <w:rPr>
                <w:rFonts w:asciiTheme="minorEastAsia" w:hAnsiTheme="minorEastAsia" w:eastAsiaTheme="minorEastAsia"/>
              </w:rPr>
            </w:pPr>
            <w:r>
              <w:rPr>
                <w:rFonts w:hint="eastAsia"/>
              </w:rPr>
              <w:t>投标文件中商务技术文件未按照招标文件规定要求签署、盖章的；</w:t>
            </w:r>
          </w:p>
        </w:tc>
        <w:tc>
          <w:tcPr>
            <w:tcW w:w="3565" w:type="dxa"/>
            <w:vAlign w:val="center"/>
          </w:tcPr>
          <w:p w14:paraId="2FC81918">
            <w:pPr>
              <w:rPr>
                <w:rFonts w:asciiTheme="minorEastAsia" w:hAnsiTheme="minorEastAsia" w:eastAsiaTheme="minorEastAsia"/>
              </w:rPr>
            </w:pPr>
            <w:r>
              <w:rPr>
                <w:rFonts w:hint="eastAsia"/>
              </w:rPr>
              <w:t>是否符合招标文件的规定</w:t>
            </w:r>
          </w:p>
        </w:tc>
      </w:tr>
      <w:tr w14:paraId="64D3DE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1D45714">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4812" w:type="dxa"/>
          </w:tcPr>
          <w:p w14:paraId="6A5D01C0">
            <w:pPr>
              <w:rPr>
                <w:rFonts w:asciiTheme="minorEastAsia" w:hAnsiTheme="minorEastAsia" w:eastAsiaTheme="minorEastAsia"/>
              </w:rPr>
            </w:pPr>
            <w:r>
              <w:rPr>
                <w:rFonts w:hint="eastAsia"/>
              </w:rPr>
              <w:t>投标文件没有对招标文件的实质性要求和条件作出响应，或者对招标文件的偏离超出招标文件规定的偏离范围和幅度；</w:t>
            </w:r>
          </w:p>
        </w:tc>
        <w:tc>
          <w:tcPr>
            <w:tcW w:w="3565" w:type="dxa"/>
            <w:vAlign w:val="center"/>
          </w:tcPr>
          <w:p w14:paraId="719CC40B">
            <w:pPr>
              <w:rPr>
                <w:rFonts w:asciiTheme="minorEastAsia" w:hAnsiTheme="minorEastAsia" w:eastAsiaTheme="minorEastAsia"/>
              </w:rPr>
            </w:pPr>
            <w:r>
              <w:rPr>
                <w:rFonts w:hint="eastAsia"/>
              </w:rPr>
              <w:t>是否符合招标文件的规定</w:t>
            </w:r>
          </w:p>
        </w:tc>
      </w:tr>
      <w:tr w14:paraId="0E5B59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2EE66671">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w:t>
            </w:r>
          </w:p>
        </w:tc>
        <w:tc>
          <w:tcPr>
            <w:tcW w:w="4812" w:type="dxa"/>
          </w:tcPr>
          <w:p w14:paraId="26F7B03A">
            <w:pPr>
              <w:rPr>
                <w:rFonts w:asciiTheme="minorEastAsia" w:hAnsiTheme="minorEastAsia" w:eastAsiaTheme="minorEastAsia"/>
              </w:rPr>
            </w:pPr>
            <w:r>
              <w:rPr>
                <w:rFonts w:hint="eastAsia"/>
              </w:rPr>
              <w:t>投标有效期满足招标文件要求；</w:t>
            </w:r>
          </w:p>
        </w:tc>
        <w:tc>
          <w:tcPr>
            <w:tcW w:w="3565" w:type="dxa"/>
            <w:vAlign w:val="center"/>
          </w:tcPr>
          <w:p w14:paraId="77667230">
            <w:pPr>
              <w:rPr>
                <w:rFonts w:asciiTheme="minorEastAsia" w:hAnsiTheme="minorEastAsia" w:eastAsiaTheme="minorEastAsia"/>
              </w:rPr>
            </w:pPr>
            <w:r>
              <w:rPr>
                <w:rFonts w:hint="eastAsia"/>
              </w:rPr>
              <w:t>是否符合招标文件的规定</w:t>
            </w:r>
          </w:p>
        </w:tc>
      </w:tr>
      <w:tr w14:paraId="575F2E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B5AEC7F">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w:t>
            </w:r>
          </w:p>
        </w:tc>
        <w:tc>
          <w:tcPr>
            <w:tcW w:w="4812" w:type="dxa"/>
          </w:tcPr>
          <w:p w14:paraId="5F556495">
            <w:pPr>
              <w:rPr>
                <w:rFonts w:asciiTheme="minorEastAsia" w:hAnsiTheme="minorEastAsia" w:eastAsiaTheme="minorEastAsia"/>
              </w:rPr>
            </w:pPr>
            <w:r>
              <w:rPr>
                <w:rFonts w:hint="eastAsia"/>
              </w:rPr>
              <w:t>投标文件不含有采购人不能接受的附加条件的；</w:t>
            </w:r>
          </w:p>
        </w:tc>
        <w:tc>
          <w:tcPr>
            <w:tcW w:w="3565" w:type="dxa"/>
            <w:vAlign w:val="center"/>
          </w:tcPr>
          <w:p w14:paraId="16C74C5C">
            <w:pPr>
              <w:rPr>
                <w:rFonts w:asciiTheme="minorEastAsia" w:hAnsiTheme="minorEastAsia" w:eastAsiaTheme="minorEastAsia"/>
              </w:rPr>
            </w:pPr>
            <w:r>
              <w:rPr>
                <w:rFonts w:hint="eastAsia"/>
              </w:rPr>
              <w:t>是否符合招标文件的规定</w:t>
            </w:r>
          </w:p>
        </w:tc>
      </w:tr>
      <w:tr w14:paraId="172B8B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032A878">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5</w:t>
            </w:r>
          </w:p>
        </w:tc>
        <w:tc>
          <w:tcPr>
            <w:tcW w:w="4812" w:type="dxa"/>
          </w:tcPr>
          <w:p w14:paraId="00FE2649">
            <w:pPr>
              <w:rPr>
                <w:rFonts w:asciiTheme="minorEastAsia" w:hAnsiTheme="minorEastAsia" w:eastAsiaTheme="minorEastAsia"/>
              </w:rPr>
            </w:pPr>
            <w:r>
              <w:rPr>
                <w:rFonts w:hint="eastAsia"/>
              </w:rPr>
              <w:t>不符合本节第1.1款规定符合性审查标准的；</w:t>
            </w:r>
          </w:p>
        </w:tc>
        <w:tc>
          <w:tcPr>
            <w:tcW w:w="3565" w:type="dxa"/>
            <w:vAlign w:val="center"/>
          </w:tcPr>
          <w:p w14:paraId="7E8D4E48">
            <w:pPr>
              <w:rPr>
                <w:rFonts w:asciiTheme="minorEastAsia" w:hAnsiTheme="minorEastAsia" w:eastAsiaTheme="minorEastAsia"/>
              </w:rPr>
            </w:pPr>
            <w:r>
              <w:rPr>
                <w:rFonts w:hint="eastAsia"/>
              </w:rPr>
              <w:t>是否符合招标文件的规定</w:t>
            </w:r>
          </w:p>
        </w:tc>
      </w:tr>
      <w:tr w14:paraId="7CE0F6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C92280F">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6</w:t>
            </w:r>
          </w:p>
        </w:tc>
        <w:tc>
          <w:tcPr>
            <w:tcW w:w="4812" w:type="dxa"/>
          </w:tcPr>
          <w:p w14:paraId="497B739C">
            <w:pPr>
              <w:rPr>
                <w:rFonts w:asciiTheme="minorEastAsia" w:hAnsiTheme="minorEastAsia" w:eastAsiaTheme="minorEastAsia"/>
              </w:rPr>
            </w:pPr>
            <w:r>
              <w:rPr>
                <w:rFonts w:hint="eastAsia"/>
              </w:rPr>
              <w:t>法律、法规和招标文件规定的其他投标无效情形的</w:t>
            </w:r>
          </w:p>
        </w:tc>
        <w:tc>
          <w:tcPr>
            <w:tcW w:w="3565" w:type="dxa"/>
            <w:vAlign w:val="center"/>
          </w:tcPr>
          <w:p w14:paraId="66FDA64A">
            <w:pPr>
              <w:rPr>
                <w:rFonts w:asciiTheme="minorEastAsia" w:hAnsiTheme="minorEastAsia" w:eastAsiaTheme="minorEastAsia"/>
              </w:rPr>
            </w:pPr>
            <w:r>
              <w:rPr>
                <w:rFonts w:hint="eastAsia"/>
              </w:rPr>
              <w:t>是否符合招标文件的规定</w:t>
            </w:r>
          </w:p>
        </w:tc>
      </w:tr>
      <w:tr w14:paraId="4BF5F9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97C2FA1">
            <w:pPr>
              <w:adjustRightInd w:val="0"/>
              <w:snapToGrid w:val="0"/>
              <w:spacing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结论</w:t>
            </w:r>
          </w:p>
        </w:tc>
        <w:tc>
          <w:tcPr>
            <w:tcW w:w="8377" w:type="dxa"/>
            <w:gridSpan w:val="2"/>
            <w:vAlign w:val="center"/>
          </w:tcPr>
          <w:p w14:paraId="5EDB6F51">
            <w:pPr>
              <w:adjustRightInd w:val="0"/>
              <w:snapToGrid w:val="0"/>
              <w:spacing w:beforeLines="50" w:line="360" w:lineRule="auto"/>
              <w:jc w:val="center"/>
              <w:rPr>
                <w:rFonts w:cs="宋体" w:asciiTheme="minorEastAsia" w:hAnsiTheme="minorEastAsia" w:eastAsiaTheme="minorEastAsia"/>
                <w:kern w:val="0"/>
                <w:sz w:val="20"/>
                <w:szCs w:val="21"/>
              </w:rPr>
            </w:pPr>
          </w:p>
        </w:tc>
      </w:tr>
    </w:tbl>
    <w:p w14:paraId="366CB8A4">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p>
    <w:p w14:paraId="160157B1">
      <w:pPr>
        <w:widowControl/>
        <w:jc w:val="left"/>
        <w:rPr>
          <w:rFonts w:asciiTheme="minorEastAsia" w:hAnsiTheme="minorEastAsia" w:eastAsiaTheme="minorEastAsia"/>
          <w:szCs w:val="21"/>
        </w:rPr>
      </w:pPr>
      <w:r>
        <w:rPr>
          <w:rFonts w:asciiTheme="minorEastAsia" w:hAnsiTheme="minorEastAsia" w:eastAsiaTheme="minorEastAsia"/>
          <w:szCs w:val="21"/>
        </w:rPr>
        <w:br w:type="page"/>
      </w:r>
    </w:p>
    <w:p w14:paraId="4C66556D">
      <w:pPr>
        <w:pStyle w:val="5"/>
        <w:rPr>
          <w:sz w:val="21"/>
          <w:szCs w:val="21"/>
        </w:rPr>
      </w:pPr>
      <w:bookmarkStart w:id="121" w:name="_Toc172716684"/>
      <w:bookmarkStart w:id="122" w:name="_Toc24980"/>
      <w:bookmarkStart w:id="123" w:name="_Toc20651228"/>
      <w:r>
        <w:rPr>
          <w:rFonts w:hint="eastAsia"/>
          <w:sz w:val="21"/>
          <w:szCs w:val="21"/>
        </w:rPr>
        <w:t>附表2 符合性审查结果一览表</w:t>
      </w:r>
      <w:bookmarkEnd w:id="121"/>
      <w:bookmarkEnd w:id="122"/>
      <w:bookmarkEnd w:id="123"/>
    </w:p>
    <w:p w14:paraId="4F76EDFF">
      <w:pPr>
        <w:adjustRightInd w:val="0"/>
        <w:snapToGrid w:val="0"/>
        <w:spacing w:beforeLines="50" w:line="360" w:lineRule="auto"/>
        <w:jc w:val="center"/>
        <w:rPr>
          <w:rFonts w:ascii="黑体" w:hAnsi="黑体" w:eastAsia="黑体"/>
          <w:b/>
          <w:sz w:val="28"/>
          <w:szCs w:val="28"/>
        </w:rPr>
      </w:pPr>
      <w:r>
        <w:rPr>
          <w:rFonts w:hint="eastAsia" w:ascii="黑体" w:hAnsi="黑体" w:eastAsia="黑体"/>
          <w:b/>
          <w:sz w:val="28"/>
          <w:szCs w:val="28"/>
        </w:rPr>
        <w:t>符合性审查结果一览表</w:t>
      </w:r>
    </w:p>
    <w:p w14:paraId="3357C0CB">
      <w:pPr>
        <w:adjustRightInd w:val="0"/>
        <w:snapToGrid w:val="0"/>
        <w:spacing w:beforeLines="50" w:line="360" w:lineRule="auto"/>
        <w:rPr>
          <w:rFonts w:asciiTheme="minorEastAsia" w:hAnsiTheme="minorEastAsia" w:eastAsiaTheme="minorEastAsia"/>
          <w:szCs w:val="21"/>
        </w:rPr>
      </w:pPr>
      <w:r>
        <w:rPr>
          <w:rFonts w:hint="eastAsia" w:asciiTheme="minorEastAsia" w:hAnsiTheme="minorEastAsia" w:eastAsiaTheme="minorEastAsia"/>
          <w:szCs w:val="21"/>
        </w:rPr>
        <w:t>项目名称：                                           采购代理编号：</w:t>
      </w: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30F184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5F1AE1E9">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序号</w:t>
            </w:r>
          </w:p>
        </w:tc>
        <w:tc>
          <w:tcPr>
            <w:tcW w:w="2963" w:type="dxa"/>
            <w:vAlign w:val="center"/>
          </w:tcPr>
          <w:p w14:paraId="0A83060F">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投标人名称</w:t>
            </w:r>
          </w:p>
        </w:tc>
        <w:tc>
          <w:tcPr>
            <w:tcW w:w="2439" w:type="dxa"/>
            <w:vAlign w:val="center"/>
          </w:tcPr>
          <w:p w14:paraId="50240D2B">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符合性审查结果</w:t>
            </w:r>
          </w:p>
          <w:p w14:paraId="3AC87B48">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（合格/不合格）</w:t>
            </w:r>
          </w:p>
        </w:tc>
        <w:tc>
          <w:tcPr>
            <w:tcW w:w="2961" w:type="dxa"/>
            <w:vAlign w:val="center"/>
          </w:tcPr>
          <w:p w14:paraId="1230ECB9">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符合性审查不合格原因</w:t>
            </w:r>
          </w:p>
        </w:tc>
      </w:tr>
      <w:tr w14:paraId="0BE3F9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55498CD">
            <w:pPr>
              <w:adjustRightInd w:val="0"/>
              <w:snapToGrid w:val="0"/>
              <w:spacing w:line="360" w:lineRule="auto"/>
              <w:rPr>
                <w:rFonts w:asciiTheme="minorEastAsia" w:hAnsiTheme="minorEastAsia" w:eastAsiaTheme="minorEastAsia"/>
                <w:kern w:val="0"/>
                <w:sz w:val="24"/>
              </w:rPr>
            </w:pPr>
          </w:p>
        </w:tc>
        <w:tc>
          <w:tcPr>
            <w:tcW w:w="2963" w:type="dxa"/>
          </w:tcPr>
          <w:p w14:paraId="6523AC4A">
            <w:pPr>
              <w:adjustRightInd w:val="0"/>
              <w:snapToGrid w:val="0"/>
              <w:spacing w:line="360" w:lineRule="auto"/>
              <w:rPr>
                <w:rFonts w:asciiTheme="minorEastAsia" w:hAnsiTheme="minorEastAsia" w:eastAsiaTheme="minorEastAsia"/>
                <w:kern w:val="0"/>
                <w:sz w:val="24"/>
              </w:rPr>
            </w:pPr>
          </w:p>
        </w:tc>
        <w:tc>
          <w:tcPr>
            <w:tcW w:w="2439" w:type="dxa"/>
          </w:tcPr>
          <w:p w14:paraId="043B802F">
            <w:pPr>
              <w:adjustRightInd w:val="0"/>
              <w:snapToGrid w:val="0"/>
              <w:spacing w:line="360" w:lineRule="auto"/>
              <w:rPr>
                <w:rFonts w:asciiTheme="minorEastAsia" w:hAnsiTheme="minorEastAsia" w:eastAsiaTheme="minorEastAsia"/>
                <w:kern w:val="0"/>
                <w:sz w:val="24"/>
              </w:rPr>
            </w:pPr>
          </w:p>
        </w:tc>
        <w:tc>
          <w:tcPr>
            <w:tcW w:w="2961" w:type="dxa"/>
          </w:tcPr>
          <w:p w14:paraId="494562B5">
            <w:pPr>
              <w:adjustRightInd w:val="0"/>
              <w:snapToGrid w:val="0"/>
              <w:spacing w:line="360" w:lineRule="auto"/>
              <w:rPr>
                <w:rFonts w:asciiTheme="minorEastAsia" w:hAnsiTheme="minorEastAsia" w:eastAsiaTheme="minorEastAsia"/>
                <w:kern w:val="0"/>
                <w:sz w:val="24"/>
              </w:rPr>
            </w:pPr>
          </w:p>
        </w:tc>
      </w:tr>
      <w:tr w14:paraId="6428D1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AEBF818">
            <w:pPr>
              <w:adjustRightInd w:val="0"/>
              <w:snapToGrid w:val="0"/>
              <w:spacing w:line="360" w:lineRule="auto"/>
              <w:rPr>
                <w:rFonts w:asciiTheme="minorEastAsia" w:hAnsiTheme="minorEastAsia" w:eastAsiaTheme="minorEastAsia"/>
                <w:kern w:val="0"/>
                <w:sz w:val="24"/>
              </w:rPr>
            </w:pPr>
          </w:p>
        </w:tc>
        <w:tc>
          <w:tcPr>
            <w:tcW w:w="2963" w:type="dxa"/>
          </w:tcPr>
          <w:p w14:paraId="7BF0DA66">
            <w:pPr>
              <w:adjustRightInd w:val="0"/>
              <w:snapToGrid w:val="0"/>
              <w:spacing w:line="360" w:lineRule="auto"/>
              <w:rPr>
                <w:rFonts w:asciiTheme="minorEastAsia" w:hAnsiTheme="minorEastAsia" w:eastAsiaTheme="minorEastAsia"/>
                <w:kern w:val="0"/>
                <w:sz w:val="24"/>
              </w:rPr>
            </w:pPr>
          </w:p>
        </w:tc>
        <w:tc>
          <w:tcPr>
            <w:tcW w:w="2439" w:type="dxa"/>
          </w:tcPr>
          <w:p w14:paraId="20A22498">
            <w:pPr>
              <w:adjustRightInd w:val="0"/>
              <w:snapToGrid w:val="0"/>
              <w:spacing w:line="360" w:lineRule="auto"/>
              <w:rPr>
                <w:rFonts w:asciiTheme="minorEastAsia" w:hAnsiTheme="minorEastAsia" w:eastAsiaTheme="minorEastAsia"/>
                <w:kern w:val="0"/>
                <w:sz w:val="24"/>
              </w:rPr>
            </w:pPr>
          </w:p>
        </w:tc>
        <w:tc>
          <w:tcPr>
            <w:tcW w:w="2961" w:type="dxa"/>
          </w:tcPr>
          <w:p w14:paraId="201A4AD3">
            <w:pPr>
              <w:adjustRightInd w:val="0"/>
              <w:snapToGrid w:val="0"/>
              <w:spacing w:line="360" w:lineRule="auto"/>
              <w:rPr>
                <w:rFonts w:asciiTheme="minorEastAsia" w:hAnsiTheme="minorEastAsia" w:eastAsiaTheme="minorEastAsia"/>
                <w:kern w:val="0"/>
                <w:sz w:val="24"/>
              </w:rPr>
            </w:pPr>
          </w:p>
        </w:tc>
      </w:tr>
      <w:tr w14:paraId="29DC66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795E954">
            <w:pPr>
              <w:adjustRightInd w:val="0"/>
              <w:snapToGrid w:val="0"/>
              <w:spacing w:line="360" w:lineRule="auto"/>
              <w:rPr>
                <w:rFonts w:asciiTheme="minorEastAsia" w:hAnsiTheme="minorEastAsia" w:eastAsiaTheme="minorEastAsia"/>
                <w:kern w:val="0"/>
                <w:sz w:val="24"/>
              </w:rPr>
            </w:pPr>
          </w:p>
        </w:tc>
        <w:tc>
          <w:tcPr>
            <w:tcW w:w="2963" w:type="dxa"/>
          </w:tcPr>
          <w:p w14:paraId="23747C97">
            <w:pPr>
              <w:adjustRightInd w:val="0"/>
              <w:snapToGrid w:val="0"/>
              <w:spacing w:line="360" w:lineRule="auto"/>
              <w:rPr>
                <w:rFonts w:asciiTheme="minorEastAsia" w:hAnsiTheme="minorEastAsia" w:eastAsiaTheme="minorEastAsia"/>
                <w:kern w:val="0"/>
                <w:sz w:val="24"/>
              </w:rPr>
            </w:pPr>
          </w:p>
        </w:tc>
        <w:tc>
          <w:tcPr>
            <w:tcW w:w="2439" w:type="dxa"/>
          </w:tcPr>
          <w:p w14:paraId="2B9E74B6">
            <w:pPr>
              <w:adjustRightInd w:val="0"/>
              <w:snapToGrid w:val="0"/>
              <w:spacing w:line="360" w:lineRule="auto"/>
              <w:rPr>
                <w:rFonts w:asciiTheme="minorEastAsia" w:hAnsiTheme="minorEastAsia" w:eastAsiaTheme="minorEastAsia"/>
                <w:kern w:val="0"/>
                <w:sz w:val="24"/>
              </w:rPr>
            </w:pPr>
          </w:p>
        </w:tc>
        <w:tc>
          <w:tcPr>
            <w:tcW w:w="2961" w:type="dxa"/>
          </w:tcPr>
          <w:p w14:paraId="5442D1CF">
            <w:pPr>
              <w:adjustRightInd w:val="0"/>
              <w:snapToGrid w:val="0"/>
              <w:spacing w:line="360" w:lineRule="auto"/>
              <w:rPr>
                <w:rFonts w:asciiTheme="minorEastAsia" w:hAnsiTheme="minorEastAsia" w:eastAsiaTheme="minorEastAsia"/>
                <w:kern w:val="0"/>
                <w:sz w:val="24"/>
              </w:rPr>
            </w:pPr>
          </w:p>
        </w:tc>
      </w:tr>
      <w:tr w14:paraId="69987D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2B08928F">
            <w:pPr>
              <w:adjustRightInd w:val="0"/>
              <w:snapToGrid w:val="0"/>
              <w:spacing w:line="360" w:lineRule="auto"/>
              <w:rPr>
                <w:rFonts w:asciiTheme="minorEastAsia" w:hAnsiTheme="minorEastAsia" w:eastAsiaTheme="minorEastAsia"/>
                <w:kern w:val="0"/>
                <w:sz w:val="24"/>
              </w:rPr>
            </w:pPr>
          </w:p>
        </w:tc>
        <w:tc>
          <w:tcPr>
            <w:tcW w:w="2963" w:type="dxa"/>
          </w:tcPr>
          <w:p w14:paraId="6D058EFB">
            <w:pPr>
              <w:adjustRightInd w:val="0"/>
              <w:snapToGrid w:val="0"/>
              <w:spacing w:line="360" w:lineRule="auto"/>
              <w:rPr>
                <w:rFonts w:asciiTheme="minorEastAsia" w:hAnsiTheme="minorEastAsia" w:eastAsiaTheme="minorEastAsia"/>
                <w:kern w:val="0"/>
                <w:sz w:val="24"/>
              </w:rPr>
            </w:pPr>
          </w:p>
        </w:tc>
        <w:tc>
          <w:tcPr>
            <w:tcW w:w="2439" w:type="dxa"/>
          </w:tcPr>
          <w:p w14:paraId="0B788CF5">
            <w:pPr>
              <w:adjustRightInd w:val="0"/>
              <w:snapToGrid w:val="0"/>
              <w:spacing w:line="360" w:lineRule="auto"/>
              <w:rPr>
                <w:rFonts w:asciiTheme="minorEastAsia" w:hAnsiTheme="minorEastAsia" w:eastAsiaTheme="minorEastAsia"/>
                <w:kern w:val="0"/>
                <w:sz w:val="24"/>
              </w:rPr>
            </w:pPr>
          </w:p>
        </w:tc>
        <w:tc>
          <w:tcPr>
            <w:tcW w:w="2961" w:type="dxa"/>
          </w:tcPr>
          <w:p w14:paraId="758F76D3">
            <w:pPr>
              <w:adjustRightInd w:val="0"/>
              <w:snapToGrid w:val="0"/>
              <w:spacing w:line="360" w:lineRule="auto"/>
              <w:rPr>
                <w:rFonts w:asciiTheme="minorEastAsia" w:hAnsiTheme="minorEastAsia" w:eastAsiaTheme="minorEastAsia"/>
                <w:kern w:val="0"/>
                <w:sz w:val="24"/>
              </w:rPr>
            </w:pPr>
          </w:p>
        </w:tc>
      </w:tr>
      <w:tr w14:paraId="5BCB91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471EF42">
            <w:pPr>
              <w:adjustRightInd w:val="0"/>
              <w:snapToGrid w:val="0"/>
              <w:spacing w:line="360" w:lineRule="auto"/>
              <w:rPr>
                <w:rFonts w:asciiTheme="minorEastAsia" w:hAnsiTheme="minorEastAsia" w:eastAsiaTheme="minorEastAsia"/>
                <w:kern w:val="0"/>
                <w:sz w:val="24"/>
              </w:rPr>
            </w:pPr>
          </w:p>
        </w:tc>
        <w:tc>
          <w:tcPr>
            <w:tcW w:w="2963" w:type="dxa"/>
          </w:tcPr>
          <w:p w14:paraId="15109E66">
            <w:pPr>
              <w:adjustRightInd w:val="0"/>
              <w:snapToGrid w:val="0"/>
              <w:spacing w:line="360" w:lineRule="auto"/>
              <w:rPr>
                <w:rFonts w:asciiTheme="minorEastAsia" w:hAnsiTheme="minorEastAsia" w:eastAsiaTheme="minorEastAsia"/>
                <w:kern w:val="0"/>
                <w:sz w:val="24"/>
              </w:rPr>
            </w:pPr>
          </w:p>
        </w:tc>
        <w:tc>
          <w:tcPr>
            <w:tcW w:w="2439" w:type="dxa"/>
          </w:tcPr>
          <w:p w14:paraId="02CC9BB3">
            <w:pPr>
              <w:adjustRightInd w:val="0"/>
              <w:snapToGrid w:val="0"/>
              <w:spacing w:line="360" w:lineRule="auto"/>
              <w:rPr>
                <w:rFonts w:asciiTheme="minorEastAsia" w:hAnsiTheme="minorEastAsia" w:eastAsiaTheme="minorEastAsia"/>
                <w:kern w:val="0"/>
                <w:sz w:val="24"/>
              </w:rPr>
            </w:pPr>
          </w:p>
        </w:tc>
        <w:tc>
          <w:tcPr>
            <w:tcW w:w="2961" w:type="dxa"/>
          </w:tcPr>
          <w:p w14:paraId="62C83832">
            <w:pPr>
              <w:adjustRightInd w:val="0"/>
              <w:snapToGrid w:val="0"/>
              <w:spacing w:line="360" w:lineRule="auto"/>
              <w:rPr>
                <w:rFonts w:asciiTheme="minorEastAsia" w:hAnsiTheme="minorEastAsia" w:eastAsiaTheme="minorEastAsia"/>
                <w:kern w:val="0"/>
                <w:sz w:val="24"/>
              </w:rPr>
            </w:pPr>
          </w:p>
        </w:tc>
      </w:tr>
      <w:tr w14:paraId="7B5985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0D36832">
            <w:pPr>
              <w:adjustRightInd w:val="0"/>
              <w:snapToGrid w:val="0"/>
              <w:spacing w:line="360" w:lineRule="auto"/>
              <w:rPr>
                <w:rFonts w:asciiTheme="minorEastAsia" w:hAnsiTheme="minorEastAsia" w:eastAsiaTheme="minorEastAsia"/>
                <w:kern w:val="0"/>
                <w:sz w:val="24"/>
              </w:rPr>
            </w:pPr>
          </w:p>
        </w:tc>
        <w:tc>
          <w:tcPr>
            <w:tcW w:w="2963" w:type="dxa"/>
          </w:tcPr>
          <w:p w14:paraId="4251E94A">
            <w:pPr>
              <w:adjustRightInd w:val="0"/>
              <w:snapToGrid w:val="0"/>
              <w:spacing w:line="360" w:lineRule="auto"/>
              <w:rPr>
                <w:rFonts w:asciiTheme="minorEastAsia" w:hAnsiTheme="minorEastAsia" w:eastAsiaTheme="minorEastAsia"/>
                <w:kern w:val="0"/>
                <w:sz w:val="24"/>
              </w:rPr>
            </w:pPr>
          </w:p>
        </w:tc>
        <w:tc>
          <w:tcPr>
            <w:tcW w:w="2439" w:type="dxa"/>
          </w:tcPr>
          <w:p w14:paraId="5DC296A8">
            <w:pPr>
              <w:adjustRightInd w:val="0"/>
              <w:snapToGrid w:val="0"/>
              <w:spacing w:line="360" w:lineRule="auto"/>
              <w:rPr>
                <w:rFonts w:asciiTheme="minorEastAsia" w:hAnsiTheme="minorEastAsia" w:eastAsiaTheme="minorEastAsia"/>
                <w:kern w:val="0"/>
                <w:sz w:val="24"/>
              </w:rPr>
            </w:pPr>
          </w:p>
        </w:tc>
        <w:tc>
          <w:tcPr>
            <w:tcW w:w="2961" w:type="dxa"/>
          </w:tcPr>
          <w:p w14:paraId="78EB1EB7">
            <w:pPr>
              <w:adjustRightInd w:val="0"/>
              <w:snapToGrid w:val="0"/>
              <w:spacing w:line="360" w:lineRule="auto"/>
              <w:rPr>
                <w:rFonts w:asciiTheme="minorEastAsia" w:hAnsiTheme="minorEastAsia" w:eastAsiaTheme="minorEastAsia"/>
                <w:kern w:val="0"/>
                <w:sz w:val="24"/>
              </w:rPr>
            </w:pPr>
          </w:p>
        </w:tc>
      </w:tr>
      <w:tr w14:paraId="107243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9C990D1">
            <w:pPr>
              <w:adjustRightInd w:val="0"/>
              <w:snapToGrid w:val="0"/>
              <w:spacing w:line="360" w:lineRule="auto"/>
              <w:rPr>
                <w:rFonts w:asciiTheme="minorEastAsia" w:hAnsiTheme="minorEastAsia" w:eastAsiaTheme="minorEastAsia"/>
                <w:kern w:val="0"/>
                <w:sz w:val="24"/>
              </w:rPr>
            </w:pPr>
          </w:p>
        </w:tc>
        <w:tc>
          <w:tcPr>
            <w:tcW w:w="2963" w:type="dxa"/>
          </w:tcPr>
          <w:p w14:paraId="27DDBA99">
            <w:pPr>
              <w:adjustRightInd w:val="0"/>
              <w:snapToGrid w:val="0"/>
              <w:spacing w:line="360" w:lineRule="auto"/>
              <w:rPr>
                <w:rFonts w:asciiTheme="minorEastAsia" w:hAnsiTheme="minorEastAsia" w:eastAsiaTheme="minorEastAsia"/>
                <w:kern w:val="0"/>
                <w:sz w:val="24"/>
              </w:rPr>
            </w:pPr>
          </w:p>
        </w:tc>
        <w:tc>
          <w:tcPr>
            <w:tcW w:w="2439" w:type="dxa"/>
          </w:tcPr>
          <w:p w14:paraId="741CE88C">
            <w:pPr>
              <w:adjustRightInd w:val="0"/>
              <w:snapToGrid w:val="0"/>
              <w:spacing w:line="360" w:lineRule="auto"/>
              <w:rPr>
                <w:rFonts w:asciiTheme="minorEastAsia" w:hAnsiTheme="minorEastAsia" w:eastAsiaTheme="minorEastAsia"/>
                <w:kern w:val="0"/>
                <w:sz w:val="24"/>
              </w:rPr>
            </w:pPr>
          </w:p>
        </w:tc>
        <w:tc>
          <w:tcPr>
            <w:tcW w:w="2961" w:type="dxa"/>
          </w:tcPr>
          <w:p w14:paraId="27988217">
            <w:pPr>
              <w:adjustRightInd w:val="0"/>
              <w:snapToGrid w:val="0"/>
              <w:spacing w:line="360" w:lineRule="auto"/>
              <w:rPr>
                <w:rFonts w:asciiTheme="minorEastAsia" w:hAnsiTheme="minorEastAsia" w:eastAsiaTheme="minorEastAsia"/>
                <w:kern w:val="0"/>
                <w:sz w:val="24"/>
              </w:rPr>
            </w:pPr>
          </w:p>
        </w:tc>
      </w:tr>
      <w:tr w14:paraId="1D900E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8ECA470">
            <w:pPr>
              <w:adjustRightInd w:val="0"/>
              <w:snapToGrid w:val="0"/>
              <w:spacing w:line="360" w:lineRule="auto"/>
              <w:rPr>
                <w:rFonts w:asciiTheme="minorEastAsia" w:hAnsiTheme="minorEastAsia" w:eastAsiaTheme="minorEastAsia"/>
                <w:kern w:val="0"/>
                <w:sz w:val="24"/>
              </w:rPr>
            </w:pPr>
          </w:p>
        </w:tc>
        <w:tc>
          <w:tcPr>
            <w:tcW w:w="2963" w:type="dxa"/>
          </w:tcPr>
          <w:p w14:paraId="7DE7722A">
            <w:pPr>
              <w:adjustRightInd w:val="0"/>
              <w:snapToGrid w:val="0"/>
              <w:spacing w:line="360" w:lineRule="auto"/>
              <w:rPr>
                <w:rFonts w:asciiTheme="minorEastAsia" w:hAnsiTheme="minorEastAsia" w:eastAsiaTheme="minorEastAsia"/>
                <w:kern w:val="0"/>
                <w:sz w:val="24"/>
              </w:rPr>
            </w:pPr>
          </w:p>
        </w:tc>
        <w:tc>
          <w:tcPr>
            <w:tcW w:w="2439" w:type="dxa"/>
          </w:tcPr>
          <w:p w14:paraId="0B12D0C5">
            <w:pPr>
              <w:adjustRightInd w:val="0"/>
              <w:snapToGrid w:val="0"/>
              <w:spacing w:line="360" w:lineRule="auto"/>
              <w:rPr>
                <w:rFonts w:asciiTheme="minorEastAsia" w:hAnsiTheme="minorEastAsia" w:eastAsiaTheme="minorEastAsia"/>
                <w:kern w:val="0"/>
                <w:sz w:val="24"/>
              </w:rPr>
            </w:pPr>
          </w:p>
        </w:tc>
        <w:tc>
          <w:tcPr>
            <w:tcW w:w="2961" w:type="dxa"/>
          </w:tcPr>
          <w:p w14:paraId="1D006254">
            <w:pPr>
              <w:adjustRightInd w:val="0"/>
              <w:snapToGrid w:val="0"/>
              <w:spacing w:line="360" w:lineRule="auto"/>
              <w:rPr>
                <w:rFonts w:asciiTheme="minorEastAsia" w:hAnsiTheme="minorEastAsia" w:eastAsiaTheme="minorEastAsia"/>
                <w:kern w:val="0"/>
                <w:sz w:val="24"/>
              </w:rPr>
            </w:pPr>
          </w:p>
        </w:tc>
      </w:tr>
      <w:tr w14:paraId="3CAD9B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B03552B">
            <w:pPr>
              <w:adjustRightInd w:val="0"/>
              <w:snapToGrid w:val="0"/>
              <w:spacing w:line="360" w:lineRule="auto"/>
              <w:rPr>
                <w:rFonts w:asciiTheme="minorEastAsia" w:hAnsiTheme="minorEastAsia" w:eastAsiaTheme="minorEastAsia"/>
                <w:kern w:val="0"/>
                <w:sz w:val="24"/>
              </w:rPr>
            </w:pPr>
          </w:p>
        </w:tc>
        <w:tc>
          <w:tcPr>
            <w:tcW w:w="2963" w:type="dxa"/>
          </w:tcPr>
          <w:p w14:paraId="15661B2D">
            <w:pPr>
              <w:adjustRightInd w:val="0"/>
              <w:snapToGrid w:val="0"/>
              <w:spacing w:line="360" w:lineRule="auto"/>
              <w:rPr>
                <w:rFonts w:asciiTheme="minorEastAsia" w:hAnsiTheme="minorEastAsia" w:eastAsiaTheme="minorEastAsia"/>
                <w:kern w:val="0"/>
                <w:sz w:val="24"/>
              </w:rPr>
            </w:pPr>
          </w:p>
        </w:tc>
        <w:tc>
          <w:tcPr>
            <w:tcW w:w="2439" w:type="dxa"/>
          </w:tcPr>
          <w:p w14:paraId="51DAF7B1">
            <w:pPr>
              <w:adjustRightInd w:val="0"/>
              <w:snapToGrid w:val="0"/>
              <w:spacing w:line="360" w:lineRule="auto"/>
              <w:rPr>
                <w:rFonts w:asciiTheme="minorEastAsia" w:hAnsiTheme="minorEastAsia" w:eastAsiaTheme="minorEastAsia"/>
                <w:kern w:val="0"/>
                <w:sz w:val="24"/>
              </w:rPr>
            </w:pPr>
          </w:p>
        </w:tc>
        <w:tc>
          <w:tcPr>
            <w:tcW w:w="2961" w:type="dxa"/>
          </w:tcPr>
          <w:p w14:paraId="7ADE9DE8">
            <w:pPr>
              <w:adjustRightInd w:val="0"/>
              <w:snapToGrid w:val="0"/>
              <w:spacing w:line="360" w:lineRule="auto"/>
              <w:rPr>
                <w:rFonts w:asciiTheme="minorEastAsia" w:hAnsiTheme="minorEastAsia" w:eastAsiaTheme="minorEastAsia"/>
                <w:kern w:val="0"/>
                <w:sz w:val="24"/>
              </w:rPr>
            </w:pPr>
          </w:p>
        </w:tc>
      </w:tr>
    </w:tbl>
    <w:p w14:paraId="3ED8107A">
      <w:pPr>
        <w:widowControl/>
        <w:jc w:val="left"/>
        <w:rPr>
          <w:rFonts w:ascii="黑体" w:hAnsi="黑体" w:eastAsia="黑体"/>
          <w:bCs/>
          <w:szCs w:val="21"/>
        </w:rPr>
      </w:pPr>
      <w:r>
        <w:rPr>
          <w:rFonts w:ascii="黑体" w:hAnsi="黑体"/>
          <w:b/>
          <w:szCs w:val="21"/>
        </w:rPr>
        <w:br w:type="page"/>
      </w:r>
    </w:p>
    <w:p w14:paraId="11543B76">
      <w:pPr>
        <w:pStyle w:val="5"/>
        <w:rPr>
          <w:sz w:val="21"/>
          <w:szCs w:val="21"/>
        </w:rPr>
      </w:pPr>
      <w:bookmarkStart w:id="124" w:name="_Toc20651229"/>
      <w:bookmarkStart w:id="125" w:name="_Toc172716685"/>
      <w:bookmarkStart w:id="126" w:name="_Toc3474"/>
      <w:r>
        <w:rPr>
          <w:rFonts w:hint="eastAsia"/>
          <w:sz w:val="21"/>
          <w:szCs w:val="21"/>
        </w:rPr>
        <w:t>附表3 符合性审查合格投标人名单</w:t>
      </w:r>
      <w:bookmarkEnd w:id="124"/>
      <w:bookmarkEnd w:id="125"/>
      <w:bookmarkEnd w:id="126"/>
    </w:p>
    <w:p w14:paraId="47A319BE">
      <w:pPr>
        <w:adjustRightInd w:val="0"/>
        <w:snapToGrid w:val="0"/>
        <w:spacing w:beforeLines="50" w:line="360" w:lineRule="auto"/>
        <w:jc w:val="center"/>
        <w:rPr>
          <w:rFonts w:ascii="黑体" w:hAnsi="黑体" w:eastAsia="黑体"/>
          <w:b/>
          <w:sz w:val="28"/>
          <w:szCs w:val="28"/>
        </w:rPr>
      </w:pPr>
      <w:r>
        <w:rPr>
          <w:rFonts w:hint="eastAsia" w:ascii="黑体" w:hAnsi="黑体" w:eastAsia="黑体"/>
          <w:b/>
          <w:sz w:val="28"/>
          <w:szCs w:val="28"/>
        </w:rPr>
        <w:t>符合性审查合格投标人名单</w:t>
      </w:r>
    </w:p>
    <w:p w14:paraId="34EA0579">
      <w:pPr>
        <w:adjustRightInd w:val="0"/>
        <w:snapToGrid w:val="0"/>
        <w:spacing w:beforeLines="50" w:line="360" w:lineRule="auto"/>
        <w:rPr>
          <w:rFonts w:ascii="华文中宋" w:hAnsi="华文中宋" w:eastAsia="华文中宋"/>
          <w:sz w:val="32"/>
          <w:szCs w:val="32"/>
        </w:rPr>
      </w:pPr>
      <w:r>
        <w:rPr>
          <w:rFonts w:hint="eastAsia" w:asciiTheme="minorEastAsia" w:hAnsiTheme="minorEastAsia" w:eastAsiaTheme="minorEastAsia"/>
          <w:szCs w:val="21"/>
        </w:rPr>
        <w:t>项目名称：                                        采购代理编号：</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475F41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14:paraId="5ADF84E9">
            <w:pPr>
              <w:jc w:val="center"/>
              <w:rPr>
                <w:b/>
                <w:kern w:val="0"/>
                <w:szCs w:val="21"/>
              </w:rPr>
            </w:pPr>
            <w:r>
              <w:rPr>
                <w:rFonts w:hint="eastAsia"/>
                <w:b/>
                <w:kern w:val="0"/>
                <w:szCs w:val="21"/>
              </w:rPr>
              <w:t>序号</w:t>
            </w:r>
          </w:p>
        </w:tc>
        <w:tc>
          <w:tcPr>
            <w:tcW w:w="7796" w:type="dxa"/>
            <w:vAlign w:val="center"/>
          </w:tcPr>
          <w:p w14:paraId="263527BB">
            <w:pPr>
              <w:jc w:val="center"/>
              <w:rPr>
                <w:b/>
                <w:kern w:val="0"/>
                <w:szCs w:val="21"/>
              </w:rPr>
            </w:pPr>
            <w:r>
              <w:rPr>
                <w:rFonts w:hint="eastAsia"/>
                <w:b/>
                <w:kern w:val="0"/>
                <w:szCs w:val="21"/>
              </w:rPr>
              <w:t>合格投标人名称</w:t>
            </w:r>
          </w:p>
        </w:tc>
      </w:tr>
      <w:tr w14:paraId="0A996E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B491468">
            <w:pPr>
              <w:adjustRightInd w:val="0"/>
              <w:snapToGrid w:val="0"/>
              <w:spacing w:line="360" w:lineRule="auto"/>
              <w:rPr>
                <w:rFonts w:asciiTheme="minorEastAsia" w:hAnsiTheme="minorEastAsia" w:eastAsiaTheme="minorEastAsia"/>
                <w:kern w:val="0"/>
                <w:szCs w:val="21"/>
              </w:rPr>
            </w:pPr>
          </w:p>
        </w:tc>
        <w:tc>
          <w:tcPr>
            <w:tcW w:w="7796" w:type="dxa"/>
          </w:tcPr>
          <w:p w14:paraId="2DC536DF">
            <w:pPr>
              <w:adjustRightInd w:val="0"/>
              <w:snapToGrid w:val="0"/>
              <w:spacing w:line="360" w:lineRule="auto"/>
              <w:rPr>
                <w:rFonts w:asciiTheme="minorEastAsia" w:hAnsiTheme="minorEastAsia" w:eastAsiaTheme="minorEastAsia"/>
                <w:kern w:val="0"/>
                <w:szCs w:val="21"/>
              </w:rPr>
            </w:pPr>
          </w:p>
        </w:tc>
      </w:tr>
      <w:tr w14:paraId="725976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C1A5DC5">
            <w:pPr>
              <w:adjustRightInd w:val="0"/>
              <w:snapToGrid w:val="0"/>
              <w:spacing w:line="360" w:lineRule="auto"/>
              <w:rPr>
                <w:rFonts w:asciiTheme="minorEastAsia" w:hAnsiTheme="minorEastAsia" w:eastAsiaTheme="minorEastAsia"/>
                <w:kern w:val="0"/>
                <w:sz w:val="24"/>
              </w:rPr>
            </w:pPr>
          </w:p>
        </w:tc>
        <w:tc>
          <w:tcPr>
            <w:tcW w:w="7796" w:type="dxa"/>
          </w:tcPr>
          <w:p w14:paraId="7DF5A800">
            <w:pPr>
              <w:adjustRightInd w:val="0"/>
              <w:snapToGrid w:val="0"/>
              <w:spacing w:line="360" w:lineRule="auto"/>
              <w:rPr>
                <w:rFonts w:asciiTheme="minorEastAsia" w:hAnsiTheme="minorEastAsia" w:eastAsiaTheme="minorEastAsia"/>
                <w:kern w:val="0"/>
                <w:sz w:val="24"/>
              </w:rPr>
            </w:pPr>
          </w:p>
        </w:tc>
      </w:tr>
      <w:tr w14:paraId="361075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72DFC3BF">
            <w:pPr>
              <w:adjustRightInd w:val="0"/>
              <w:snapToGrid w:val="0"/>
              <w:spacing w:line="360" w:lineRule="auto"/>
              <w:rPr>
                <w:rFonts w:asciiTheme="minorEastAsia" w:hAnsiTheme="minorEastAsia" w:eastAsiaTheme="minorEastAsia"/>
                <w:kern w:val="0"/>
                <w:sz w:val="24"/>
              </w:rPr>
            </w:pPr>
          </w:p>
        </w:tc>
        <w:tc>
          <w:tcPr>
            <w:tcW w:w="7796" w:type="dxa"/>
          </w:tcPr>
          <w:p w14:paraId="7A61BC2F">
            <w:pPr>
              <w:adjustRightInd w:val="0"/>
              <w:snapToGrid w:val="0"/>
              <w:spacing w:line="360" w:lineRule="auto"/>
              <w:rPr>
                <w:rFonts w:asciiTheme="minorEastAsia" w:hAnsiTheme="minorEastAsia" w:eastAsiaTheme="minorEastAsia"/>
                <w:kern w:val="0"/>
                <w:sz w:val="24"/>
              </w:rPr>
            </w:pPr>
          </w:p>
        </w:tc>
      </w:tr>
      <w:tr w14:paraId="6458C7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487F626F">
            <w:pPr>
              <w:adjustRightInd w:val="0"/>
              <w:snapToGrid w:val="0"/>
              <w:spacing w:line="360" w:lineRule="auto"/>
              <w:rPr>
                <w:rFonts w:asciiTheme="minorEastAsia" w:hAnsiTheme="minorEastAsia" w:eastAsiaTheme="minorEastAsia"/>
                <w:kern w:val="0"/>
                <w:sz w:val="24"/>
              </w:rPr>
            </w:pPr>
          </w:p>
        </w:tc>
        <w:tc>
          <w:tcPr>
            <w:tcW w:w="7796" w:type="dxa"/>
          </w:tcPr>
          <w:p w14:paraId="4F727E95">
            <w:pPr>
              <w:adjustRightInd w:val="0"/>
              <w:snapToGrid w:val="0"/>
              <w:spacing w:line="360" w:lineRule="auto"/>
              <w:rPr>
                <w:rFonts w:asciiTheme="minorEastAsia" w:hAnsiTheme="minorEastAsia" w:eastAsiaTheme="minorEastAsia"/>
                <w:kern w:val="0"/>
                <w:sz w:val="24"/>
              </w:rPr>
            </w:pPr>
          </w:p>
        </w:tc>
      </w:tr>
      <w:tr w14:paraId="47F518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4FF9971B">
            <w:pPr>
              <w:adjustRightInd w:val="0"/>
              <w:snapToGrid w:val="0"/>
              <w:spacing w:line="360" w:lineRule="auto"/>
              <w:rPr>
                <w:rFonts w:asciiTheme="minorEastAsia" w:hAnsiTheme="minorEastAsia" w:eastAsiaTheme="minorEastAsia"/>
                <w:kern w:val="0"/>
                <w:sz w:val="24"/>
              </w:rPr>
            </w:pPr>
          </w:p>
        </w:tc>
        <w:tc>
          <w:tcPr>
            <w:tcW w:w="7796" w:type="dxa"/>
          </w:tcPr>
          <w:p w14:paraId="25BFBD7F">
            <w:pPr>
              <w:adjustRightInd w:val="0"/>
              <w:snapToGrid w:val="0"/>
              <w:spacing w:line="360" w:lineRule="auto"/>
              <w:rPr>
                <w:rFonts w:asciiTheme="minorEastAsia" w:hAnsiTheme="minorEastAsia" w:eastAsiaTheme="minorEastAsia"/>
                <w:kern w:val="0"/>
                <w:sz w:val="24"/>
              </w:rPr>
            </w:pPr>
          </w:p>
        </w:tc>
      </w:tr>
      <w:tr w14:paraId="2DC235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40E9426C">
            <w:pPr>
              <w:adjustRightInd w:val="0"/>
              <w:snapToGrid w:val="0"/>
              <w:spacing w:line="360" w:lineRule="auto"/>
              <w:rPr>
                <w:rFonts w:asciiTheme="minorEastAsia" w:hAnsiTheme="minorEastAsia" w:eastAsiaTheme="minorEastAsia"/>
                <w:kern w:val="0"/>
                <w:sz w:val="24"/>
              </w:rPr>
            </w:pPr>
          </w:p>
        </w:tc>
        <w:tc>
          <w:tcPr>
            <w:tcW w:w="7796" w:type="dxa"/>
          </w:tcPr>
          <w:p w14:paraId="57BADBFC">
            <w:pPr>
              <w:adjustRightInd w:val="0"/>
              <w:snapToGrid w:val="0"/>
              <w:spacing w:line="360" w:lineRule="auto"/>
              <w:rPr>
                <w:rFonts w:asciiTheme="minorEastAsia" w:hAnsiTheme="minorEastAsia" w:eastAsiaTheme="minorEastAsia"/>
                <w:kern w:val="0"/>
                <w:sz w:val="24"/>
              </w:rPr>
            </w:pPr>
          </w:p>
        </w:tc>
      </w:tr>
    </w:tbl>
    <w:p w14:paraId="77A68019">
      <w:pPr>
        <w:rPr>
          <w:w w:val="90"/>
        </w:rPr>
      </w:pPr>
    </w:p>
    <w:p w14:paraId="21434C5A">
      <w:pPr>
        <w:rPr>
          <w:rFonts w:ascii="黑体" w:hAnsi="黑体" w:eastAsia="黑体"/>
          <w:b/>
          <w:sz w:val="32"/>
          <w:szCs w:val="32"/>
        </w:rPr>
      </w:pPr>
    </w:p>
    <w:p w14:paraId="7120863E">
      <w:pPr>
        <w:pStyle w:val="4"/>
        <w:adjustRightInd w:val="0"/>
        <w:snapToGrid w:val="0"/>
        <w:jc w:val="center"/>
        <w:rPr>
          <w:rFonts w:ascii="黑体" w:hAnsi="华文中宋" w:eastAsia="黑体"/>
          <w:sz w:val="28"/>
          <w:szCs w:val="28"/>
        </w:rPr>
      </w:pPr>
      <w:r>
        <w:rPr>
          <w:rFonts w:ascii="黑体" w:hAnsi="黑体" w:eastAsia="黑体"/>
          <w:b w:val="0"/>
          <w:sz w:val="32"/>
        </w:rPr>
        <w:br w:type="page"/>
      </w:r>
      <w:bookmarkStart w:id="127" w:name="_Toc172716686"/>
      <w:bookmarkStart w:id="128" w:name="_Toc23932"/>
      <w:r>
        <w:rPr>
          <w:rFonts w:hint="eastAsia" w:ascii="黑体" w:hAnsi="华文中宋" w:eastAsia="黑体"/>
          <w:sz w:val="28"/>
          <w:szCs w:val="28"/>
        </w:rPr>
        <w:t>第四节 投标文件的比较与评价</w:t>
      </w:r>
      <w:bookmarkEnd w:id="120"/>
      <w:bookmarkEnd w:id="127"/>
      <w:bookmarkEnd w:id="128"/>
    </w:p>
    <w:p w14:paraId="0ECD339A">
      <w:pPr>
        <w:pStyle w:val="5"/>
        <w:adjustRightInd w:val="0"/>
        <w:snapToGrid w:val="0"/>
        <w:spacing w:beforeLines="50" w:after="0" w:line="360" w:lineRule="auto"/>
        <w:rPr>
          <w:rFonts w:ascii="黑体" w:hAnsi="黑体" w:eastAsia="黑体"/>
          <w:sz w:val="24"/>
        </w:rPr>
      </w:pPr>
      <w:r>
        <w:rPr>
          <w:rFonts w:hint="eastAsia" w:ascii="黑体" w:hAnsi="黑体" w:eastAsia="黑体"/>
          <w:sz w:val="24"/>
        </w:rPr>
        <w:t>1.</w:t>
      </w:r>
      <w:r>
        <w:rPr>
          <w:rFonts w:hint="eastAsia"/>
        </w:rPr>
        <w:t xml:space="preserve"> </w:t>
      </w:r>
      <w:r>
        <w:rPr>
          <w:rFonts w:hint="eastAsia" w:ascii="黑体" w:hAnsi="黑体" w:eastAsia="黑体"/>
          <w:sz w:val="24"/>
        </w:rPr>
        <w:t>综合评分法</w:t>
      </w:r>
    </w:p>
    <w:p w14:paraId="50D212A6">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1.1综合评分法，指投标文件满足招标文件全部实质性要求，且按照评审因素的量化指标评审得分最高的投标人为中标候选人的评标方法。</w:t>
      </w:r>
    </w:p>
    <w:p w14:paraId="4C18A767">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6CE3C6F5">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1.3未通过符合性审查的投标文件不得进入比较与评价。</w:t>
      </w:r>
    </w:p>
    <w:p w14:paraId="0CE86D13">
      <w:pPr>
        <w:pStyle w:val="5"/>
        <w:adjustRightInd w:val="0"/>
        <w:snapToGrid w:val="0"/>
        <w:spacing w:beforeLines="50" w:after="0" w:line="360" w:lineRule="auto"/>
        <w:rPr>
          <w:rFonts w:ascii="黑体" w:hAnsi="黑体" w:eastAsia="黑体"/>
          <w:sz w:val="24"/>
        </w:rPr>
      </w:pPr>
      <w:r>
        <w:rPr>
          <w:rFonts w:hint="eastAsia" w:ascii="黑体" w:hAnsi="黑体" w:eastAsia="黑体"/>
          <w:sz w:val="24"/>
        </w:rPr>
        <w:t>2.</w:t>
      </w:r>
      <w:r>
        <w:rPr>
          <w:rFonts w:hint="eastAsia"/>
        </w:rPr>
        <w:t xml:space="preserve"> </w:t>
      </w:r>
      <w:r>
        <w:rPr>
          <w:rFonts w:hint="eastAsia" w:ascii="黑体" w:hAnsi="黑体" w:eastAsia="黑体"/>
          <w:sz w:val="24"/>
        </w:rPr>
        <w:t>投标报价的算术修正及政府采购政策调整</w:t>
      </w:r>
    </w:p>
    <w:p w14:paraId="689B0E7F">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2.1如果有算术错误，投标报价将按本章第二节第4.2款、第4.3款规定进行算术修正。</w:t>
      </w:r>
    </w:p>
    <w:p w14:paraId="68473724">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2.2需落实政府采购政策（价格评审优惠）的，按第二章“投标须知”及本章第二节第</w:t>
      </w:r>
      <w:r>
        <w:rPr>
          <w:rFonts w:asciiTheme="minorEastAsia" w:hAnsiTheme="minorEastAsia" w:eastAsiaTheme="minorEastAsia"/>
          <w:bCs/>
          <w:szCs w:val="21"/>
        </w:rPr>
        <w:t>5.</w:t>
      </w:r>
      <w:r>
        <w:rPr>
          <w:rFonts w:hint="eastAsia" w:asciiTheme="minorEastAsia" w:hAnsiTheme="minorEastAsia" w:eastAsiaTheme="minorEastAsia"/>
          <w:bCs/>
          <w:szCs w:val="21"/>
        </w:rPr>
        <w:t>4（1）项的相关规定进行价格调整。</w:t>
      </w:r>
    </w:p>
    <w:p w14:paraId="7E0C264B">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2.3按本章本节第2.1款、第2.2款规定，以修正或调整后的价格确定投标人的投标报价和评标基准价，用于投标报价评价。</w:t>
      </w:r>
    </w:p>
    <w:p w14:paraId="4ABEEA44">
      <w:pPr>
        <w:pStyle w:val="5"/>
        <w:adjustRightInd w:val="0"/>
        <w:snapToGrid w:val="0"/>
        <w:spacing w:beforeLines="50" w:after="0" w:line="360" w:lineRule="auto"/>
        <w:rPr>
          <w:rFonts w:ascii="黑体" w:hAnsi="黑体" w:eastAsia="黑体"/>
          <w:sz w:val="24"/>
        </w:rPr>
      </w:pPr>
      <w:r>
        <w:rPr>
          <w:rFonts w:hint="eastAsia" w:ascii="黑体" w:hAnsi="黑体" w:eastAsia="黑体"/>
          <w:sz w:val="24"/>
        </w:rPr>
        <w:t>3.</w:t>
      </w:r>
      <w:r>
        <w:rPr>
          <w:rFonts w:hint="eastAsia"/>
        </w:rPr>
        <w:t xml:space="preserve"> </w:t>
      </w:r>
      <w:r>
        <w:rPr>
          <w:rFonts w:hint="eastAsia" w:ascii="黑体" w:hAnsi="黑体" w:eastAsia="黑体"/>
          <w:sz w:val="24"/>
        </w:rPr>
        <w:t>投标报价评价</w:t>
      </w:r>
    </w:p>
    <w:p w14:paraId="0E4A14CA">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3.1投标报价评价：价格分应当采用低价优先法计算，即满足招标文件要求且投标价格最低的投标报价为评标基准价，其价格分为满分（报价权重分）。其他投标人的价格分统一按照下列公式计算：</w:t>
      </w:r>
    </w:p>
    <w:p w14:paraId="30177029">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投标报价得分=（评标基准价</w:t>
      </w:r>
      <w:r>
        <w:rPr>
          <w:rFonts w:hint="eastAsia" w:asciiTheme="minorEastAsia" w:hAnsiTheme="minorEastAsia" w:eastAsiaTheme="minorEastAsia"/>
          <w:szCs w:val="21"/>
          <w:vertAlign w:val="subscript"/>
        </w:rPr>
        <w:t>修正或调整</w:t>
      </w:r>
      <w:r>
        <w:rPr>
          <w:rFonts w:hint="eastAsia" w:asciiTheme="minorEastAsia" w:hAnsiTheme="minorEastAsia" w:eastAsiaTheme="minorEastAsia"/>
          <w:szCs w:val="21"/>
        </w:rPr>
        <w:t>／投标报价</w:t>
      </w:r>
      <w:r>
        <w:rPr>
          <w:rFonts w:hint="eastAsia" w:asciiTheme="minorEastAsia" w:hAnsiTheme="minorEastAsia" w:eastAsiaTheme="minorEastAsia"/>
          <w:szCs w:val="21"/>
          <w:vertAlign w:val="subscript"/>
        </w:rPr>
        <w:t>修正或调整</w:t>
      </w:r>
      <w:r>
        <w:rPr>
          <w:rFonts w:hint="eastAsia" w:asciiTheme="minorEastAsia" w:hAnsiTheme="minorEastAsia" w:eastAsiaTheme="minorEastAsia"/>
          <w:szCs w:val="21"/>
        </w:rPr>
        <w:t>） × 报价权重分</w:t>
      </w:r>
    </w:p>
    <w:p w14:paraId="750C42E6">
      <w:pPr>
        <w:pStyle w:val="5"/>
        <w:numPr>
          <w:ilvl w:val="0"/>
          <w:numId w:val="6"/>
        </w:numPr>
        <w:adjustRightInd w:val="0"/>
        <w:snapToGrid w:val="0"/>
        <w:spacing w:beforeLines="50" w:after="0" w:line="360" w:lineRule="auto"/>
        <w:rPr>
          <w:rFonts w:ascii="黑体" w:hAnsi="黑体" w:eastAsia="黑体"/>
          <w:sz w:val="24"/>
        </w:rPr>
      </w:pPr>
      <w:r>
        <w:rPr>
          <w:rFonts w:hint="eastAsia" w:ascii="黑体" w:hAnsi="黑体" w:eastAsia="黑体"/>
          <w:sz w:val="24"/>
        </w:rPr>
        <w:t>技术、商务等评分项响应评价及政府采购政策加分</w:t>
      </w:r>
    </w:p>
    <w:p w14:paraId="4EAED3B2">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4.1技术、商务等评分项响应评分。按</w:t>
      </w:r>
      <w:r>
        <w:rPr>
          <w:rFonts w:hint="eastAsia" w:asciiTheme="minorEastAsia" w:hAnsiTheme="minorEastAsia" w:eastAsiaTheme="minorEastAsia"/>
          <w:bCs/>
          <w:szCs w:val="21"/>
        </w:rPr>
        <w:t>本章</w:t>
      </w:r>
      <w:r>
        <w:rPr>
          <w:rFonts w:hint="eastAsia" w:asciiTheme="minorEastAsia" w:hAnsiTheme="minorEastAsia" w:eastAsiaTheme="minorEastAsia"/>
          <w:szCs w:val="21"/>
        </w:rPr>
        <w:t>本节附页1“评标方法及标准表”规定的评标因素和标准，对技术、商务等评分项计算得分。</w:t>
      </w:r>
    </w:p>
    <w:p w14:paraId="78A72629">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4.2需落实政府采购政策（优先采购）的，按第二章、本章第二节第5.3（2）项以及本节附页1“评标方法及标准表”的相关规定进行技术、价格、商务项得分(加分)计算。</w:t>
      </w:r>
    </w:p>
    <w:p w14:paraId="381623E6">
      <w:pPr>
        <w:pStyle w:val="5"/>
        <w:adjustRightInd w:val="0"/>
        <w:snapToGrid w:val="0"/>
        <w:spacing w:beforeLines="50" w:after="0" w:line="360" w:lineRule="auto"/>
        <w:rPr>
          <w:rFonts w:ascii="黑体" w:hAnsi="黑体" w:eastAsia="黑体"/>
          <w:sz w:val="24"/>
        </w:rPr>
      </w:pPr>
      <w:r>
        <w:rPr>
          <w:rFonts w:hint="eastAsia" w:ascii="黑体" w:hAnsi="黑体" w:eastAsia="黑体"/>
          <w:sz w:val="24"/>
        </w:rPr>
        <w:t>5.评标总得分</w:t>
      </w:r>
    </w:p>
    <w:p w14:paraId="6834901E">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5.1评标总得分为投标报价、技术、商务等评分项得分(含优先采购政策加分)之和。</w:t>
      </w:r>
    </w:p>
    <w:p w14:paraId="2AAE90F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评标总得分＝A</w:t>
      </w:r>
      <w:r>
        <w:rPr>
          <w:rFonts w:hint="eastAsia" w:asciiTheme="minorEastAsia" w:hAnsiTheme="minorEastAsia" w:eastAsiaTheme="minorEastAsia"/>
          <w:szCs w:val="21"/>
          <w:vertAlign w:val="subscript"/>
        </w:rPr>
        <w:t>投标报价得分</w:t>
      </w:r>
      <w:r>
        <w:rPr>
          <w:rFonts w:hint="eastAsia" w:asciiTheme="minorEastAsia" w:hAnsiTheme="minorEastAsia" w:eastAsiaTheme="minorEastAsia"/>
          <w:szCs w:val="21"/>
        </w:rPr>
        <w:t>＋A</w:t>
      </w:r>
      <w:r>
        <w:rPr>
          <w:rFonts w:hint="eastAsia" w:asciiTheme="minorEastAsia" w:hAnsiTheme="minorEastAsia" w:eastAsiaTheme="minorEastAsia"/>
          <w:szCs w:val="21"/>
          <w:vertAlign w:val="subscript"/>
        </w:rPr>
        <w:t>技术项得分</w:t>
      </w:r>
      <w:r>
        <w:rPr>
          <w:rFonts w:hint="eastAsia" w:asciiTheme="minorEastAsia" w:hAnsiTheme="minorEastAsia" w:eastAsiaTheme="minorEastAsia"/>
          <w:szCs w:val="21"/>
        </w:rPr>
        <w:t>＋A</w:t>
      </w:r>
      <w:r>
        <w:rPr>
          <w:rFonts w:hint="eastAsia" w:asciiTheme="minorEastAsia" w:hAnsiTheme="minorEastAsia" w:eastAsiaTheme="minorEastAsia"/>
          <w:szCs w:val="21"/>
          <w:vertAlign w:val="subscript"/>
        </w:rPr>
        <w:t>商务项得分</w:t>
      </w:r>
      <w:r>
        <w:rPr>
          <w:rFonts w:hint="eastAsia" w:asciiTheme="minorEastAsia" w:hAnsiTheme="minorEastAsia" w:eastAsiaTheme="minorEastAsia"/>
          <w:szCs w:val="21"/>
        </w:rPr>
        <w:t>＋A</w:t>
      </w:r>
      <w:r>
        <w:rPr>
          <w:rFonts w:hint="eastAsia" w:asciiTheme="minorEastAsia" w:hAnsiTheme="minorEastAsia" w:eastAsiaTheme="minorEastAsia"/>
          <w:szCs w:val="21"/>
          <w:vertAlign w:val="subscript"/>
        </w:rPr>
        <w:t>优先采购加分</w:t>
      </w:r>
    </w:p>
    <w:p w14:paraId="2D460245">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5.2评分分值计算保留小数点后两位，小数点后第三位“四舍五入”。</w:t>
      </w:r>
    </w:p>
    <w:p w14:paraId="0E7165B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cs="宋体" w:asciiTheme="minorEastAsia" w:hAnsiTheme="minorEastAsia" w:eastAsiaTheme="minorEastAsia"/>
          <w:kern w:val="0"/>
          <w:szCs w:val="21"/>
        </w:rPr>
        <w:t>5.3</w:t>
      </w:r>
      <w:r>
        <w:rPr>
          <w:rFonts w:hint="eastAsia" w:asciiTheme="minorEastAsia" w:hAnsiTheme="minorEastAsia" w:eastAsiaTheme="minorEastAsia"/>
          <w:szCs w:val="21"/>
        </w:rPr>
        <w:t>评标时，评标委员会成员应当独立对满足招标文件全部实质性要求投标人的</w:t>
      </w:r>
      <w:r>
        <w:rPr>
          <w:rFonts w:hint="eastAsia" w:asciiTheme="minorEastAsia" w:hAnsiTheme="minorEastAsia" w:eastAsiaTheme="minorEastAsia"/>
          <w:bCs/>
          <w:szCs w:val="21"/>
        </w:rPr>
        <w:t>投标文件</w:t>
      </w:r>
      <w:r>
        <w:rPr>
          <w:rFonts w:hint="eastAsia" w:asciiTheme="minorEastAsia" w:hAnsiTheme="minorEastAsia" w:eastAsiaTheme="minorEastAsia"/>
          <w:szCs w:val="21"/>
        </w:rPr>
        <w:t>进行评价、评分，然后汇总每个投标人每项评分因素的得分。每个投标人的最终得分为所有评标委员会成员评分的算术平均值。</w:t>
      </w:r>
    </w:p>
    <w:p w14:paraId="67E4D675">
      <w:pPr>
        <w:pStyle w:val="5"/>
        <w:adjustRightInd w:val="0"/>
        <w:snapToGrid w:val="0"/>
        <w:spacing w:beforeLines="50" w:after="0" w:line="360" w:lineRule="auto"/>
        <w:rPr>
          <w:rFonts w:ascii="黑体" w:hAnsi="黑体" w:eastAsia="黑体"/>
          <w:sz w:val="24"/>
        </w:rPr>
      </w:pPr>
      <w:r>
        <w:rPr>
          <w:rFonts w:hint="eastAsia" w:ascii="黑体" w:hAnsi="黑体" w:eastAsia="黑体"/>
          <w:sz w:val="24"/>
        </w:rPr>
        <w:t>6.中标候选人的推荐方法</w:t>
      </w:r>
    </w:p>
    <w:p w14:paraId="21D4BF4B">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083DCC0A">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6.2得分且投标报价相同的并列，按本章第二节规定确定中标候选人。</w:t>
      </w:r>
    </w:p>
    <w:p w14:paraId="512F51BF">
      <w:pPr>
        <w:adjustRightInd w:val="0"/>
        <w:snapToGrid w:val="0"/>
        <w:spacing w:beforeLines="50" w:line="360" w:lineRule="auto"/>
        <w:ind w:firstLine="420" w:firstLineChars="200"/>
        <w:jc w:val="left"/>
        <w:rPr>
          <w:rFonts w:asciiTheme="minorEastAsia" w:hAnsiTheme="minorEastAsia" w:eastAsiaTheme="minorEastAsia"/>
          <w:bCs/>
          <w:szCs w:val="21"/>
        </w:rPr>
      </w:pPr>
    </w:p>
    <w:p w14:paraId="51CD2E77">
      <w:pPr>
        <w:widowControl/>
        <w:jc w:val="left"/>
        <w:rPr>
          <w:rFonts w:asciiTheme="minorEastAsia" w:hAnsiTheme="minorEastAsia" w:eastAsiaTheme="minorEastAsia"/>
          <w:bCs/>
          <w:szCs w:val="21"/>
        </w:rPr>
      </w:pPr>
      <w:r>
        <w:rPr>
          <w:rFonts w:asciiTheme="minorEastAsia" w:hAnsiTheme="minorEastAsia" w:eastAsiaTheme="minorEastAsia"/>
          <w:bCs/>
          <w:szCs w:val="21"/>
        </w:rPr>
        <w:br w:type="page"/>
      </w:r>
    </w:p>
    <w:p w14:paraId="0F018345">
      <w:pPr>
        <w:pStyle w:val="5"/>
        <w:keepNext w:val="0"/>
        <w:keepLines w:val="0"/>
        <w:adjustRightInd w:val="0"/>
        <w:snapToGrid w:val="0"/>
        <w:spacing w:beforeLines="50" w:after="0" w:line="360" w:lineRule="auto"/>
        <w:rPr>
          <w:sz w:val="21"/>
          <w:szCs w:val="21"/>
        </w:rPr>
      </w:pPr>
      <w:bookmarkStart w:id="129" w:name="_Toc172716687"/>
      <w:bookmarkStart w:id="130" w:name="_Toc9218"/>
      <w:bookmarkStart w:id="131" w:name="_Toc29913925"/>
      <w:r>
        <w:rPr>
          <w:rFonts w:hint="eastAsia"/>
          <w:sz w:val="21"/>
          <w:szCs w:val="21"/>
        </w:rPr>
        <w:t>附页1 评标方法及标准表</w:t>
      </w:r>
      <w:bookmarkEnd w:id="129"/>
      <w:bookmarkEnd w:id="130"/>
      <w:bookmarkEnd w:id="131"/>
    </w:p>
    <w:p w14:paraId="20BC39C9">
      <w:pPr>
        <w:adjustRightInd w:val="0"/>
        <w:snapToGrid w:val="0"/>
        <w:spacing w:beforeLines="50" w:line="360" w:lineRule="auto"/>
        <w:jc w:val="center"/>
        <w:rPr>
          <w:rFonts w:ascii="黑体" w:hAnsi="黑体" w:eastAsia="黑体"/>
          <w:b/>
          <w:sz w:val="28"/>
          <w:szCs w:val="28"/>
        </w:rPr>
      </w:pPr>
      <w:r>
        <w:rPr>
          <w:rFonts w:hint="eastAsia" w:ascii="黑体" w:hAnsi="黑体" w:eastAsia="黑体"/>
          <w:b/>
          <w:sz w:val="28"/>
          <w:szCs w:val="28"/>
        </w:rPr>
        <w:t>评标方法及标准</w:t>
      </w:r>
    </w:p>
    <w:tbl>
      <w:tblPr>
        <w:tblStyle w:val="45"/>
        <w:tblW w:w="8860" w:type="dxa"/>
        <w:jc w:val="center"/>
        <w:tblLayout w:type="fixed"/>
        <w:tblCellMar>
          <w:top w:w="0" w:type="dxa"/>
          <w:left w:w="0" w:type="dxa"/>
          <w:bottom w:w="0" w:type="dxa"/>
          <w:right w:w="0" w:type="dxa"/>
        </w:tblCellMar>
      </w:tblPr>
      <w:tblGrid>
        <w:gridCol w:w="5442"/>
        <w:gridCol w:w="3418"/>
      </w:tblGrid>
      <w:tr w14:paraId="7D1E8316">
        <w:tblPrEx>
          <w:tblCellMar>
            <w:top w:w="0" w:type="dxa"/>
            <w:left w:w="0" w:type="dxa"/>
            <w:bottom w:w="0" w:type="dxa"/>
            <w:right w:w="0" w:type="dxa"/>
          </w:tblCellMar>
        </w:tblPrEx>
        <w:trPr>
          <w:jc w:val="center"/>
        </w:trPr>
        <w:tc>
          <w:tcPr>
            <w:tcW w:w="8860" w:type="dxa"/>
            <w:gridSpan w:val="2"/>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6DF952FB">
            <w:pPr>
              <w:widowControl/>
              <w:jc w:val="center"/>
              <w:rPr>
                <w:rFonts w:ascii="宋体" w:hAnsi="宋体"/>
                <w:kern w:val="0"/>
                <w:szCs w:val="21"/>
              </w:rPr>
            </w:pPr>
            <w:r>
              <w:rPr>
                <w:rFonts w:ascii="宋体" w:hAnsi="宋体"/>
                <w:kern w:val="0"/>
                <w:szCs w:val="21"/>
              </w:rPr>
              <w:t>评审因素及权值</w:t>
            </w:r>
          </w:p>
        </w:tc>
      </w:tr>
      <w:tr w14:paraId="5ACE3E2D">
        <w:tblPrEx>
          <w:tblCellMar>
            <w:top w:w="0" w:type="dxa"/>
            <w:left w:w="0" w:type="dxa"/>
            <w:bottom w:w="0" w:type="dxa"/>
            <w:right w:w="0" w:type="dxa"/>
          </w:tblCellMar>
        </w:tblPrEx>
        <w:trPr>
          <w:jc w:val="center"/>
        </w:trPr>
        <w:tc>
          <w:tcPr>
            <w:tcW w:w="5442"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381C981">
            <w:pPr>
              <w:widowControl/>
              <w:jc w:val="center"/>
              <w:rPr>
                <w:rFonts w:ascii="宋体" w:hAnsi="宋体"/>
                <w:kern w:val="0"/>
                <w:szCs w:val="21"/>
              </w:rPr>
            </w:pPr>
            <w:r>
              <w:rPr>
                <w:rFonts w:ascii="宋体" w:hAnsi="宋体"/>
                <w:kern w:val="0"/>
                <w:szCs w:val="21"/>
              </w:rPr>
              <w:t>评审因素</w:t>
            </w:r>
          </w:p>
        </w:tc>
        <w:tc>
          <w:tcPr>
            <w:tcW w:w="3418"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59461833">
            <w:pPr>
              <w:widowControl/>
              <w:jc w:val="center"/>
              <w:rPr>
                <w:rFonts w:ascii="宋体" w:hAnsi="宋体"/>
                <w:kern w:val="0"/>
                <w:szCs w:val="21"/>
              </w:rPr>
            </w:pPr>
            <w:r>
              <w:rPr>
                <w:rFonts w:ascii="宋体" w:hAnsi="宋体"/>
                <w:kern w:val="0"/>
                <w:szCs w:val="21"/>
              </w:rPr>
              <w:t>权值范围</w:t>
            </w:r>
          </w:p>
        </w:tc>
      </w:tr>
      <w:tr w14:paraId="71DC7222">
        <w:tblPrEx>
          <w:tblCellMar>
            <w:top w:w="0" w:type="dxa"/>
            <w:left w:w="0" w:type="dxa"/>
            <w:bottom w:w="0" w:type="dxa"/>
            <w:right w:w="0" w:type="dxa"/>
          </w:tblCellMar>
        </w:tblPrEx>
        <w:trPr>
          <w:jc w:val="center"/>
        </w:trPr>
        <w:tc>
          <w:tcPr>
            <w:tcW w:w="544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3389702">
            <w:pPr>
              <w:widowControl/>
              <w:jc w:val="center"/>
              <w:rPr>
                <w:rFonts w:ascii="宋体" w:hAnsi="宋体"/>
                <w:kern w:val="0"/>
                <w:szCs w:val="21"/>
              </w:rPr>
            </w:pPr>
            <w:r>
              <w:rPr>
                <w:rFonts w:ascii="宋体" w:hAnsi="宋体"/>
                <w:kern w:val="0"/>
                <w:szCs w:val="21"/>
              </w:rPr>
              <w:t>技术部分</w:t>
            </w:r>
          </w:p>
        </w:tc>
        <w:tc>
          <w:tcPr>
            <w:tcW w:w="341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BF0578D">
            <w:pPr>
              <w:widowControl/>
              <w:jc w:val="center"/>
              <w:rPr>
                <w:rFonts w:hint="default" w:ascii="宋体" w:hAnsi="宋体" w:eastAsia="宋体"/>
                <w:color w:val="auto"/>
                <w:kern w:val="0"/>
                <w:szCs w:val="21"/>
                <w:lang w:val="en-US" w:eastAsia="zh-CN"/>
              </w:rPr>
            </w:pPr>
            <w:r>
              <w:rPr>
                <w:rFonts w:hint="eastAsia" w:ascii="宋体" w:hAnsi="宋体"/>
                <w:color w:val="auto"/>
                <w:kern w:val="0"/>
                <w:szCs w:val="21"/>
                <w:lang w:val="en-US" w:eastAsia="zh-CN"/>
              </w:rPr>
              <w:t>0.55</w:t>
            </w:r>
          </w:p>
        </w:tc>
      </w:tr>
      <w:tr w14:paraId="730FD5D4">
        <w:tblPrEx>
          <w:tblCellMar>
            <w:top w:w="0" w:type="dxa"/>
            <w:left w:w="0" w:type="dxa"/>
            <w:bottom w:w="0" w:type="dxa"/>
            <w:right w:w="0" w:type="dxa"/>
          </w:tblCellMar>
        </w:tblPrEx>
        <w:trPr>
          <w:jc w:val="center"/>
        </w:trPr>
        <w:tc>
          <w:tcPr>
            <w:tcW w:w="544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E8377FA">
            <w:pPr>
              <w:widowControl/>
              <w:jc w:val="center"/>
              <w:rPr>
                <w:rFonts w:ascii="宋体" w:hAnsi="宋体"/>
                <w:kern w:val="0"/>
                <w:szCs w:val="21"/>
              </w:rPr>
            </w:pPr>
            <w:r>
              <w:rPr>
                <w:rFonts w:ascii="宋体" w:hAnsi="宋体"/>
                <w:kern w:val="0"/>
                <w:szCs w:val="21"/>
              </w:rPr>
              <w:t>商务部分</w:t>
            </w:r>
          </w:p>
        </w:tc>
        <w:tc>
          <w:tcPr>
            <w:tcW w:w="341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17A005E">
            <w:pPr>
              <w:widowControl/>
              <w:jc w:val="center"/>
              <w:rPr>
                <w:rFonts w:hint="default" w:ascii="宋体" w:hAnsi="宋体" w:eastAsia="宋体"/>
                <w:color w:val="auto"/>
                <w:kern w:val="0"/>
                <w:szCs w:val="21"/>
                <w:lang w:val="en-US" w:eastAsia="zh-CN"/>
              </w:rPr>
            </w:pPr>
            <w:r>
              <w:rPr>
                <w:rFonts w:hint="eastAsia" w:ascii="宋体" w:hAnsi="宋体"/>
                <w:color w:val="auto"/>
                <w:kern w:val="0"/>
                <w:szCs w:val="21"/>
                <w:lang w:val="en-US" w:eastAsia="zh-CN"/>
              </w:rPr>
              <w:t>0.30</w:t>
            </w:r>
          </w:p>
        </w:tc>
      </w:tr>
      <w:tr w14:paraId="6517D100">
        <w:tblPrEx>
          <w:tblCellMar>
            <w:top w:w="0" w:type="dxa"/>
            <w:left w:w="0" w:type="dxa"/>
            <w:bottom w:w="0" w:type="dxa"/>
            <w:right w:w="0" w:type="dxa"/>
          </w:tblCellMar>
        </w:tblPrEx>
        <w:trPr>
          <w:jc w:val="center"/>
        </w:trPr>
        <w:tc>
          <w:tcPr>
            <w:tcW w:w="544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EECD993">
            <w:pPr>
              <w:widowControl/>
              <w:jc w:val="center"/>
              <w:rPr>
                <w:rFonts w:ascii="宋体" w:hAnsi="宋体"/>
                <w:kern w:val="0"/>
                <w:szCs w:val="21"/>
              </w:rPr>
            </w:pPr>
            <w:r>
              <w:rPr>
                <w:rFonts w:ascii="宋体" w:hAnsi="宋体"/>
                <w:kern w:val="0"/>
                <w:szCs w:val="21"/>
              </w:rPr>
              <w:t>价格部分</w:t>
            </w:r>
          </w:p>
        </w:tc>
        <w:tc>
          <w:tcPr>
            <w:tcW w:w="341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3154914">
            <w:pPr>
              <w:widowControl/>
              <w:jc w:val="center"/>
              <w:rPr>
                <w:rFonts w:hint="eastAsia" w:ascii="宋体" w:hAnsi="宋体" w:eastAsia="宋体"/>
                <w:color w:val="auto"/>
                <w:kern w:val="0"/>
                <w:szCs w:val="21"/>
                <w:lang w:val="en-US" w:eastAsia="zh-CN"/>
              </w:rPr>
            </w:pPr>
            <w:r>
              <w:rPr>
                <w:rFonts w:hint="eastAsia" w:ascii="宋体" w:hAnsi="宋体"/>
                <w:color w:val="auto"/>
                <w:kern w:val="0"/>
                <w:szCs w:val="21"/>
              </w:rPr>
              <w:t>0.1</w:t>
            </w:r>
            <w:r>
              <w:rPr>
                <w:rFonts w:hint="eastAsia" w:ascii="宋体" w:hAnsi="宋体"/>
                <w:color w:val="auto"/>
                <w:kern w:val="0"/>
                <w:szCs w:val="21"/>
                <w:lang w:val="en-US" w:eastAsia="zh-CN"/>
              </w:rPr>
              <w:t>5</w:t>
            </w:r>
          </w:p>
        </w:tc>
      </w:tr>
    </w:tbl>
    <w:p w14:paraId="677D3EAA">
      <w:pPr>
        <w:widowControl/>
        <w:rPr>
          <w:kern w:val="0"/>
          <w:szCs w:val="21"/>
        </w:rPr>
      </w:pPr>
      <w:r>
        <w:rPr>
          <w:kern w:val="0"/>
          <w:szCs w:val="21"/>
        </w:rPr>
        <w:t xml:space="preserve">  </w:t>
      </w:r>
    </w:p>
    <w:tbl>
      <w:tblPr>
        <w:tblStyle w:val="45"/>
        <w:tblW w:w="8865" w:type="dxa"/>
        <w:jc w:val="center"/>
        <w:tblLayout w:type="fixed"/>
        <w:tblCellMar>
          <w:top w:w="0" w:type="dxa"/>
          <w:left w:w="0" w:type="dxa"/>
          <w:bottom w:w="0" w:type="dxa"/>
          <w:right w:w="0" w:type="dxa"/>
        </w:tblCellMar>
      </w:tblPr>
      <w:tblGrid>
        <w:gridCol w:w="626"/>
        <w:gridCol w:w="1086"/>
        <w:gridCol w:w="699"/>
        <w:gridCol w:w="6454"/>
      </w:tblGrid>
      <w:tr w14:paraId="47F7C298">
        <w:tblPrEx>
          <w:tblCellMar>
            <w:top w:w="0" w:type="dxa"/>
            <w:left w:w="0" w:type="dxa"/>
            <w:bottom w:w="0" w:type="dxa"/>
            <w:right w:w="0" w:type="dxa"/>
          </w:tblCellMar>
        </w:tblPrEx>
        <w:trPr>
          <w:jc w:val="center"/>
        </w:trPr>
        <w:tc>
          <w:tcPr>
            <w:tcW w:w="8865" w:type="dxa"/>
            <w:gridSpan w:val="4"/>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3E25C0F">
            <w:pPr>
              <w:widowControl/>
              <w:jc w:val="center"/>
              <w:rPr>
                <w:color w:val="auto"/>
                <w:kern w:val="0"/>
                <w:sz w:val="24"/>
                <w:highlight w:val="none"/>
              </w:rPr>
            </w:pPr>
            <w:r>
              <w:rPr>
                <w:color w:val="auto"/>
                <w:kern w:val="0"/>
                <w:sz w:val="24"/>
                <w:highlight w:val="none"/>
              </w:rPr>
              <w:t>综合评分表</w:t>
            </w:r>
          </w:p>
        </w:tc>
      </w:tr>
      <w:tr w14:paraId="1559DD22">
        <w:tblPrEx>
          <w:tblCellMar>
            <w:top w:w="0" w:type="dxa"/>
            <w:left w:w="0" w:type="dxa"/>
            <w:bottom w:w="0" w:type="dxa"/>
            <w:right w:w="0" w:type="dxa"/>
          </w:tblCellMar>
        </w:tblPrEx>
        <w:trPr>
          <w:jc w:val="center"/>
        </w:trPr>
        <w:tc>
          <w:tcPr>
            <w:tcW w:w="62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3D16F73">
            <w:pPr>
              <w:widowControl/>
              <w:spacing w:line="360" w:lineRule="exact"/>
              <w:jc w:val="center"/>
              <w:rPr>
                <w:rFonts w:ascii="宋体" w:hAnsi="宋体"/>
                <w:color w:val="auto"/>
                <w:kern w:val="0"/>
                <w:szCs w:val="21"/>
                <w:highlight w:val="none"/>
              </w:rPr>
            </w:pPr>
            <w:r>
              <w:rPr>
                <w:rFonts w:ascii="宋体" w:hAnsi="宋体"/>
                <w:color w:val="auto"/>
                <w:kern w:val="0"/>
                <w:szCs w:val="21"/>
                <w:highlight w:val="none"/>
              </w:rPr>
              <w:t>评审因素</w:t>
            </w:r>
          </w:p>
        </w:tc>
        <w:tc>
          <w:tcPr>
            <w:tcW w:w="108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C742D20">
            <w:pPr>
              <w:widowControl/>
              <w:spacing w:line="360" w:lineRule="exact"/>
              <w:jc w:val="center"/>
              <w:rPr>
                <w:rFonts w:ascii="宋体" w:hAnsi="宋体"/>
                <w:color w:val="auto"/>
                <w:kern w:val="0"/>
                <w:szCs w:val="21"/>
                <w:highlight w:val="none"/>
              </w:rPr>
            </w:pPr>
            <w:r>
              <w:rPr>
                <w:rFonts w:ascii="宋体" w:hAnsi="宋体"/>
                <w:color w:val="auto"/>
                <w:kern w:val="0"/>
                <w:szCs w:val="21"/>
                <w:highlight w:val="none"/>
              </w:rPr>
              <w:t>计分因素</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DC550D1">
            <w:pPr>
              <w:widowControl/>
              <w:spacing w:line="360" w:lineRule="exact"/>
              <w:jc w:val="center"/>
              <w:rPr>
                <w:rFonts w:ascii="宋体" w:hAnsi="宋体"/>
                <w:color w:val="auto"/>
                <w:kern w:val="0"/>
                <w:szCs w:val="21"/>
                <w:highlight w:val="none"/>
              </w:rPr>
            </w:pPr>
            <w:r>
              <w:rPr>
                <w:rFonts w:ascii="宋体" w:hAnsi="宋体"/>
                <w:color w:val="auto"/>
                <w:kern w:val="0"/>
                <w:szCs w:val="21"/>
                <w:highlight w:val="none"/>
              </w:rPr>
              <w:t>分值</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B63AF55">
            <w:pPr>
              <w:widowControl/>
              <w:spacing w:line="360" w:lineRule="exact"/>
              <w:jc w:val="center"/>
              <w:rPr>
                <w:rFonts w:ascii="宋体" w:hAnsi="宋体"/>
                <w:color w:val="auto"/>
                <w:kern w:val="0"/>
                <w:szCs w:val="21"/>
                <w:highlight w:val="none"/>
              </w:rPr>
            </w:pPr>
            <w:r>
              <w:rPr>
                <w:rFonts w:ascii="宋体" w:hAnsi="宋体"/>
                <w:color w:val="auto"/>
                <w:kern w:val="0"/>
                <w:szCs w:val="21"/>
                <w:highlight w:val="none"/>
              </w:rPr>
              <w:t>计分标准</w:t>
            </w:r>
          </w:p>
        </w:tc>
      </w:tr>
      <w:tr w14:paraId="5A0F0D5E">
        <w:tblPrEx>
          <w:tblCellMar>
            <w:top w:w="0" w:type="dxa"/>
            <w:left w:w="0" w:type="dxa"/>
            <w:bottom w:w="0" w:type="dxa"/>
            <w:right w:w="0" w:type="dxa"/>
          </w:tblCellMar>
        </w:tblPrEx>
        <w:trPr>
          <w:jc w:val="center"/>
        </w:trPr>
        <w:tc>
          <w:tcPr>
            <w:tcW w:w="626" w:type="dxa"/>
            <w:vMerge w:val="restar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74B986D">
            <w:pPr>
              <w:widowControl/>
              <w:spacing w:line="360" w:lineRule="exact"/>
              <w:jc w:val="left"/>
              <w:rPr>
                <w:rFonts w:ascii="宋体" w:hAnsi="宋体"/>
                <w:color w:val="auto"/>
                <w:kern w:val="0"/>
                <w:szCs w:val="21"/>
                <w:highlight w:val="none"/>
              </w:rPr>
            </w:pPr>
            <w:r>
              <w:rPr>
                <w:rFonts w:ascii="宋体" w:hAnsi="宋体"/>
                <w:color w:val="auto"/>
                <w:kern w:val="0"/>
                <w:szCs w:val="21"/>
                <w:highlight w:val="none"/>
              </w:rPr>
              <w:t>技术部分(F1)</w:t>
            </w:r>
          </w:p>
        </w:tc>
        <w:tc>
          <w:tcPr>
            <w:tcW w:w="108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F2DEA2B">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整体项目需求分析方案</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4B83E4A">
            <w:pPr>
              <w:widowControl/>
              <w:spacing w:line="360" w:lineRule="exact"/>
              <w:jc w:val="center"/>
              <w:rPr>
                <w:rFonts w:hint="eastAsia" w:ascii="宋体" w:hAnsi="宋体" w:eastAsia="宋体"/>
                <w:color w:val="auto"/>
                <w:kern w:val="0"/>
                <w:szCs w:val="21"/>
                <w:highlight w:val="none"/>
                <w:lang w:val="en-US" w:eastAsia="zh-CN"/>
              </w:rPr>
            </w:pPr>
            <w:r>
              <w:rPr>
                <w:rFonts w:ascii="宋体" w:hAnsi="宋体"/>
                <w:color w:val="auto"/>
                <w:kern w:val="0"/>
                <w:szCs w:val="21"/>
                <w:highlight w:val="none"/>
              </w:rPr>
              <w:t>0-2</w:t>
            </w:r>
            <w:r>
              <w:rPr>
                <w:rFonts w:hint="eastAsia" w:ascii="宋体" w:hAnsi="宋体"/>
                <w:color w:val="auto"/>
                <w:kern w:val="0"/>
                <w:szCs w:val="21"/>
                <w:highlight w:val="none"/>
                <w:lang w:val="en-US" w:eastAsia="zh-CN"/>
              </w:rPr>
              <w:t>4</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4D1E674">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整体项目需求分析方案包括但不限于以下4项内容：</w:t>
            </w:r>
          </w:p>
          <w:p w14:paraId="405033EC">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1、对项目背景、建设需求及具体建设任务了解程度。</w:t>
            </w:r>
          </w:p>
          <w:p w14:paraId="6B3E373C">
            <w:pPr>
              <w:widowControl/>
              <w:spacing w:line="360" w:lineRule="exact"/>
              <w:jc w:val="left"/>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rPr>
              <w:t>2、提供了网络组网拓扑图</w:t>
            </w:r>
            <w:r>
              <w:rPr>
                <w:rFonts w:hint="eastAsia" w:ascii="宋体" w:hAnsi="宋体"/>
                <w:color w:val="auto"/>
                <w:kern w:val="0"/>
                <w:szCs w:val="21"/>
                <w:highlight w:val="none"/>
                <w:lang w:eastAsia="zh-CN"/>
              </w:rPr>
              <w:t>。</w:t>
            </w:r>
          </w:p>
          <w:p w14:paraId="6DA5E95D">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3、项目网络租赁组织实施计划。</w:t>
            </w:r>
          </w:p>
          <w:p w14:paraId="38D4533A">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4、项目建设重点难点问题的把握和应对措施。</w:t>
            </w:r>
          </w:p>
          <w:p w14:paraId="3866ABF8">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项目需求分析方案阐述全面、具体，理解透彻，清晰合理，完全符合视频专网技术要求；提供了网络组网拓扑图，整体网络框架合理，可扩展性强；记2</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分；</w:t>
            </w:r>
          </w:p>
          <w:p w14:paraId="41E29811">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方案包括以上内容，但阐述一般，只有部分符合视频专网技术要求，整体技术框架基本合理，可扩展性一般，提出的重难点问题解决方案基本可行的每处扣2分；</w:t>
            </w:r>
          </w:p>
          <w:p w14:paraId="5117E17C">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对以上内容阐述不清或项目需求分析方案欠合理或不符合视频专网技术要求，每处扣4分；</w:t>
            </w:r>
          </w:p>
          <w:p w14:paraId="12630E62">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以上内容每缺一项或无任何实质性描述的扣</w:t>
            </w:r>
            <w:r>
              <w:rPr>
                <w:rFonts w:hint="eastAsia" w:ascii="宋体" w:hAnsi="宋体"/>
                <w:color w:val="auto"/>
                <w:kern w:val="0"/>
                <w:szCs w:val="21"/>
                <w:highlight w:val="none"/>
                <w:lang w:val="en-US" w:eastAsia="zh-CN"/>
              </w:rPr>
              <w:t>6</w:t>
            </w:r>
            <w:r>
              <w:rPr>
                <w:rFonts w:hint="eastAsia" w:ascii="宋体" w:hAnsi="宋体"/>
                <w:color w:val="auto"/>
                <w:kern w:val="0"/>
                <w:szCs w:val="21"/>
                <w:highlight w:val="none"/>
              </w:rPr>
              <w:t>分，扣完为止。</w:t>
            </w:r>
          </w:p>
        </w:tc>
      </w:tr>
      <w:tr w14:paraId="469CEA09">
        <w:tblPrEx>
          <w:tblCellMar>
            <w:top w:w="0" w:type="dxa"/>
            <w:left w:w="0" w:type="dxa"/>
            <w:bottom w:w="0" w:type="dxa"/>
            <w:right w:w="0" w:type="dxa"/>
          </w:tblCellMar>
        </w:tblPrEx>
        <w:trPr>
          <w:jc w:val="center"/>
        </w:trPr>
        <w:tc>
          <w:tcPr>
            <w:tcW w:w="626" w:type="dxa"/>
            <w:vMerge w:val="continue"/>
            <w:tcBorders>
              <w:top w:val="single" w:color="000000" w:sz="6" w:space="0"/>
              <w:left w:val="single" w:color="000000" w:sz="6" w:space="0"/>
              <w:bottom w:val="single" w:color="000000" w:sz="6" w:space="0"/>
              <w:right w:val="single" w:color="000000" w:sz="6" w:space="0"/>
            </w:tcBorders>
            <w:vAlign w:val="center"/>
          </w:tcPr>
          <w:p w14:paraId="67A0E82D">
            <w:pPr>
              <w:widowControl/>
              <w:spacing w:line="360" w:lineRule="exact"/>
              <w:jc w:val="left"/>
              <w:rPr>
                <w:rFonts w:ascii="宋体" w:hAnsi="宋体"/>
                <w:color w:val="auto"/>
                <w:kern w:val="0"/>
                <w:szCs w:val="21"/>
                <w:highlight w:val="none"/>
              </w:rPr>
            </w:pPr>
          </w:p>
        </w:tc>
        <w:tc>
          <w:tcPr>
            <w:tcW w:w="108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CA96E30">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对采购需求响应程度的评价</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0DD4ADD">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0-20</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1709B92">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完全满足招标文件要求的记20分</w:t>
            </w:r>
          </w:p>
          <w:p w14:paraId="7C55CEBC">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有一项不满足或不响应或不正面应答招标文件技术要求的，每项扣1分，扣完为止。</w:t>
            </w:r>
          </w:p>
          <w:p w14:paraId="27B2BE9F">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Theme="minorEastAsia" w:hAnsiTheme="minorEastAsia" w:eastAsiaTheme="minorEastAsia"/>
                <w:color w:val="auto"/>
                <w:szCs w:val="21"/>
                <w:highlight w:val="none"/>
              </w:rPr>
              <w:t>非实质性偏离的范围和幅度:</w:t>
            </w:r>
            <w:r>
              <w:rPr>
                <w:rFonts w:hint="eastAsia" w:asciiTheme="minorEastAsia" w:hAnsiTheme="minorEastAsia" w:eastAsiaTheme="minorEastAsia"/>
                <w:b/>
                <w:bCs/>
                <w:color w:val="auto"/>
                <w:szCs w:val="21"/>
                <w:highlight w:val="none"/>
              </w:rPr>
              <w:t>招标文件第五章【采购需求】中条款偏离项数之和≥</w:t>
            </w:r>
            <w:r>
              <w:rPr>
                <w:rFonts w:hint="eastAsia" w:asciiTheme="minorEastAsia" w:hAnsiTheme="minorEastAsia" w:eastAsiaTheme="minorEastAsia"/>
                <w:b/>
                <w:bCs/>
                <w:color w:val="auto"/>
                <w:szCs w:val="21"/>
                <w:highlight w:val="none"/>
                <w:u w:val="single"/>
              </w:rPr>
              <w:t xml:space="preserve"> 20 </w:t>
            </w:r>
            <w:r>
              <w:rPr>
                <w:rFonts w:hint="eastAsia" w:asciiTheme="minorEastAsia" w:hAnsiTheme="minorEastAsia" w:eastAsiaTheme="minorEastAsia"/>
                <w:b/>
                <w:bCs/>
                <w:color w:val="auto"/>
                <w:szCs w:val="21"/>
                <w:highlight w:val="none"/>
              </w:rPr>
              <w:t>项将导致无效投标。</w:t>
            </w:r>
          </w:p>
        </w:tc>
      </w:tr>
      <w:tr w14:paraId="6F47075A">
        <w:tblPrEx>
          <w:tblCellMar>
            <w:top w:w="0" w:type="dxa"/>
            <w:left w:w="0" w:type="dxa"/>
            <w:bottom w:w="0" w:type="dxa"/>
            <w:right w:w="0" w:type="dxa"/>
          </w:tblCellMar>
        </w:tblPrEx>
        <w:trPr>
          <w:jc w:val="center"/>
        </w:trPr>
        <w:tc>
          <w:tcPr>
            <w:tcW w:w="626" w:type="dxa"/>
            <w:vMerge w:val="continue"/>
            <w:tcBorders>
              <w:top w:val="single" w:color="000000" w:sz="6" w:space="0"/>
              <w:left w:val="single" w:color="000000" w:sz="6" w:space="0"/>
              <w:bottom w:val="single" w:color="000000" w:sz="6" w:space="0"/>
              <w:right w:val="single" w:color="000000" w:sz="6" w:space="0"/>
            </w:tcBorders>
            <w:vAlign w:val="center"/>
          </w:tcPr>
          <w:p w14:paraId="2A3180B7">
            <w:pPr>
              <w:widowControl/>
              <w:spacing w:line="360" w:lineRule="exact"/>
              <w:jc w:val="left"/>
              <w:rPr>
                <w:rFonts w:ascii="宋体" w:hAnsi="宋体"/>
                <w:color w:val="auto"/>
                <w:kern w:val="0"/>
                <w:szCs w:val="21"/>
                <w:highlight w:val="none"/>
              </w:rPr>
            </w:pPr>
          </w:p>
        </w:tc>
        <w:tc>
          <w:tcPr>
            <w:tcW w:w="1086" w:type="dxa"/>
            <w:vMerge w:val="restart"/>
            <w:tcBorders>
              <w:top w:val="single" w:color="000000" w:sz="6" w:space="0"/>
              <w:left w:val="single" w:color="000000" w:sz="6" w:space="0"/>
              <w:right w:val="single" w:color="000000" w:sz="6" w:space="0"/>
            </w:tcBorders>
            <w:tcMar>
              <w:top w:w="0" w:type="dxa"/>
              <w:left w:w="0" w:type="dxa"/>
              <w:bottom w:w="0" w:type="dxa"/>
              <w:right w:w="0" w:type="dxa"/>
            </w:tcMar>
            <w:vAlign w:val="center"/>
          </w:tcPr>
          <w:p w14:paraId="191CAB81">
            <w:pPr>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对分片区网络汇聚机房配套支撑能力的评价</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4934ACF">
            <w:pPr>
              <w:widowControl/>
              <w:spacing w:line="360" w:lineRule="exact"/>
              <w:jc w:val="center"/>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rPr>
              <w:t>0-1</w:t>
            </w:r>
            <w:r>
              <w:rPr>
                <w:rFonts w:hint="eastAsia" w:ascii="宋体" w:hAnsi="宋体"/>
                <w:color w:val="auto"/>
                <w:kern w:val="0"/>
                <w:szCs w:val="21"/>
                <w:highlight w:val="none"/>
                <w:lang w:val="en-US" w:eastAsia="zh-CN"/>
              </w:rPr>
              <w:t>6</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6D97013">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根据本项目的实际需求，编制的项目实施方案（包括但不限于方案设计，人员配备及安排，建设进度计划及保证措施，质量保证措施等）进行综合评审：</w:t>
            </w:r>
          </w:p>
          <w:p w14:paraId="7BCA418F">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实施方案编制完善具体、科学合理，可行性强；人员配备及安排、进度计划及保证措施、安装调试程序科学合理、措施完善、可操作性强，质量保证措施完善，安全文明施工措施科学合理的，记1</w:t>
            </w:r>
            <w:r>
              <w:rPr>
                <w:rFonts w:hint="eastAsia" w:ascii="宋体" w:hAnsi="宋体"/>
                <w:color w:val="auto"/>
                <w:kern w:val="0"/>
                <w:szCs w:val="21"/>
                <w:highlight w:val="none"/>
                <w:lang w:val="en-US" w:eastAsia="zh-CN"/>
              </w:rPr>
              <w:t>6</w:t>
            </w:r>
            <w:r>
              <w:rPr>
                <w:rFonts w:hint="eastAsia" w:ascii="宋体" w:hAnsi="宋体"/>
                <w:color w:val="auto"/>
                <w:kern w:val="0"/>
                <w:szCs w:val="21"/>
                <w:highlight w:val="none"/>
              </w:rPr>
              <w:t>分。</w:t>
            </w:r>
          </w:p>
          <w:p w14:paraId="50048B97">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方案设计，人员配备及安排，建设进度计划及保证措施，质量保证措施基本合理，基本可行的每处扣2分；</w:t>
            </w:r>
          </w:p>
          <w:p w14:paraId="3932336D">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对以上内容阐述不清、方案欠合理的，每处扣3分；</w:t>
            </w:r>
          </w:p>
          <w:p w14:paraId="186EED8F">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以上内容每缺一项或无任何实质性描述的扣</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分，扣完为止。</w:t>
            </w:r>
          </w:p>
        </w:tc>
      </w:tr>
      <w:tr w14:paraId="2E28C9F1">
        <w:tblPrEx>
          <w:tblCellMar>
            <w:top w:w="0" w:type="dxa"/>
            <w:left w:w="0" w:type="dxa"/>
            <w:bottom w:w="0" w:type="dxa"/>
            <w:right w:w="0" w:type="dxa"/>
          </w:tblCellMar>
        </w:tblPrEx>
        <w:trPr>
          <w:jc w:val="center"/>
        </w:trPr>
        <w:tc>
          <w:tcPr>
            <w:tcW w:w="626" w:type="dxa"/>
            <w:vMerge w:val="continue"/>
            <w:tcBorders>
              <w:top w:val="single" w:color="000000" w:sz="6" w:space="0"/>
              <w:left w:val="single" w:color="000000" w:sz="6" w:space="0"/>
              <w:bottom w:val="single" w:color="000000" w:sz="6" w:space="0"/>
              <w:right w:val="single" w:color="000000" w:sz="6" w:space="0"/>
            </w:tcBorders>
            <w:vAlign w:val="center"/>
          </w:tcPr>
          <w:p w14:paraId="062EAD6B">
            <w:pPr>
              <w:widowControl/>
              <w:spacing w:line="360" w:lineRule="exact"/>
              <w:jc w:val="left"/>
              <w:rPr>
                <w:rFonts w:ascii="宋体" w:hAnsi="宋体"/>
                <w:color w:val="auto"/>
                <w:kern w:val="0"/>
                <w:szCs w:val="21"/>
                <w:highlight w:val="none"/>
              </w:rPr>
            </w:pPr>
          </w:p>
        </w:tc>
        <w:tc>
          <w:tcPr>
            <w:tcW w:w="1086" w:type="dxa"/>
            <w:vMerge w:val="continue"/>
            <w:tcBorders>
              <w:left w:val="single" w:color="000000" w:sz="6" w:space="0"/>
              <w:bottom w:val="single" w:color="000000" w:sz="6" w:space="0"/>
              <w:right w:val="single" w:color="000000" w:sz="6" w:space="0"/>
            </w:tcBorders>
            <w:tcMar>
              <w:top w:w="0" w:type="dxa"/>
              <w:left w:w="0" w:type="dxa"/>
              <w:bottom w:w="0" w:type="dxa"/>
              <w:right w:w="0" w:type="dxa"/>
            </w:tcMar>
            <w:vAlign w:val="center"/>
          </w:tcPr>
          <w:p w14:paraId="19A3DFE8">
            <w:pPr>
              <w:widowControl/>
              <w:spacing w:line="360" w:lineRule="exact"/>
              <w:jc w:val="left"/>
              <w:rPr>
                <w:rFonts w:ascii="宋体" w:hAnsi="宋体"/>
                <w:color w:val="auto"/>
                <w:kern w:val="0"/>
                <w:szCs w:val="21"/>
                <w:highlight w:val="none"/>
              </w:rPr>
            </w:pP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F88139E">
            <w:pPr>
              <w:widowControl/>
              <w:spacing w:line="360" w:lineRule="exact"/>
              <w:jc w:val="center"/>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0-12</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A3C4804">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lang w:eastAsia="zh-CN"/>
              </w:rPr>
              <w:t>对</w:t>
            </w:r>
            <w:r>
              <w:rPr>
                <w:rFonts w:hint="eastAsia" w:ascii="宋体" w:hAnsi="宋体"/>
                <w:color w:val="auto"/>
                <w:kern w:val="0"/>
                <w:szCs w:val="21"/>
                <w:highlight w:val="none"/>
              </w:rPr>
              <w:t>投标人提供的分片区分布示意图和对应汇聚机房地理位置信息</w:t>
            </w:r>
            <w:r>
              <w:rPr>
                <w:rFonts w:hint="eastAsia" w:ascii="宋体" w:hAnsi="宋体"/>
                <w:color w:val="auto"/>
                <w:kern w:val="0"/>
                <w:szCs w:val="21"/>
                <w:highlight w:val="none"/>
                <w:lang w:eastAsia="zh-CN"/>
              </w:rPr>
              <w:t>、组网</w:t>
            </w:r>
            <w:r>
              <w:rPr>
                <w:rFonts w:hint="eastAsia" w:ascii="宋体" w:hAnsi="宋体"/>
                <w:color w:val="auto"/>
                <w:kern w:val="0"/>
                <w:szCs w:val="21"/>
                <w:highlight w:val="none"/>
              </w:rPr>
              <w:t>施工设计图</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含机房内部相关照片以及机房所在建筑的自有或租赁产权证明材料）</w:t>
            </w:r>
            <w:r>
              <w:rPr>
                <w:rFonts w:hint="eastAsia" w:ascii="宋体" w:hAnsi="宋体"/>
                <w:color w:val="auto"/>
                <w:kern w:val="0"/>
                <w:szCs w:val="21"/>
                <w:highlight w:val="none"/>
                <w:lang w:eastAsia="zh-CN"/>
              </w:rPr>
              <w:t>等进行评审：</w:t>
            </w:r>
          </w:p>
          <w:p w14:paraId="53A485C9">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项目</w:t>
            </w:r>
            <w:r>
              <w:rPr>
                <w:rFonts w:hint="eastAsia" w:ascii="宋体" w:hAnsi="宋体"/>
                <w:color w:val="auto"/>
                <w:kern w:val="0"/>
                <w:szCs w:val="21"/>
                <w:highlight w:val="none"/>
                <w:lang w:eastAsia="zh-CN"/>
              </w:rPr>
              <w:t>资料</w:t>
            </w:r>
            <w:r>
              <w:rPr>
                <w:rFonts w:hint="eastAsia" w:ascii="宋体" w:hAnsi="宋体"/>
                <w:color w:val="auto"/>
                <w:kern w:val="0"/>
                <w:szCs w:val="21"/>
                <w:highlight w:val="none"/>
              </w:rPr>
              <w:t>完整、思路清晰，</w:t>
            </w:r>
            <w:r>
              <w:rPr>
                <w:rFonts w:hint="eastAsia" w:ascii="宋体" w:hAnsi="宋体"/>
                <w:color w:val="auto"/>
                <w:kern w:val="0"/>
                <w:szCs w:val="21"/>
                <w:highlight w:val="none"/>
                <w:lang w:eastAsia="zh-CN"/>
              </w:rPr>
              <w:t>设计</w:t>
            </w:r>
            <w:r>
              <w:rPr>
                <w:rFonts w:hint="eastAsia" w:ascii="宋体" w:hAnsi="宋体"/>
                <w:color w:val="auto"/>
                <w:kern w:val="0"/>
                <w:szCs w:val="21"/>
                <w:highlight w:val="none"/>
              </w:rPr>
              <w:t>科学、合理，可行性强的，记1</w:t>
            </w:r>
            <w:r>
              <w:rPr>
                <w:rFonts w:hint="eastAsia" w:ascii="宋体" w:hAnsi="宋体"/>
                <w:color w:val="auto"/>
                <w:kern w:val="0"/>
                <w:szCs w:val="21"/>
                <w:highlight w:val="none"/>
                <w:lang w:val="en-US" w:eastAsia="zh-CN"/>
              </w:rPr>
              <w:t>2</w:t>
            </w:r>
            <w:r>
              <w:rPr>
                <w:rFonts w:hint="eastAsia" w:ascii="宋体" w:hAnsi="宋体"/>
                <w:color w:val="auto"/>
                <w:kern w:val="0"/>
                <w:szCs w:val="21"/>
                <w:highlight w:val="none"/>
              </w:rPr>
              <w:t>分；</w:t>
            </w:r>
          </w:p>
          <w:p w14:paraId="2ED3AF77">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项目</w:t>
            </w:r>
            <w:r>
              <w:rPr>
                <w:rFonts w:hint="eastAsia" w:ascii="宋体" w:hAnsi="宋体"/>
                <w:color w:val="auto"/>
                <w:kern w:val="0"/>
                <w:szCs w:val="21"/>
                <w:highlight w:val="none"/>
                <w:lang w:eastAsia="zh-CN"/>
              </w:rPr>
              <w:t>资料基本</w:t>
            </w:r>
            <w:r>
              <w:rPr>
                <w:rFonts w:hint="eastAsia" w:ascii="宋体" w:hAnsi="宋体"/>
                <w:color w:val="auto"/>
                <w:kern w:val="0"/>
                <w:szCs w:val="21"/>
                <w:highlight w:val="none"/>
              </w:rPr>
              <w:t>完整、思路</w:t>
            </w:r>
            <w:r>
              <w:rPr>
                <w:rFonts w:hint="eastAsia" w:ascii="宋体" w:hAnsi="宋体"/>
                <w:color w:val="auto"/>
                <w:kern w:val="0"/>
                <w:szCs w:val="21"/>
                <w:highlight w:val="none"/>
                <w:lang w:eastAsia="zh-CN"/>
              </w:rPr>
              <w:t>较</w:t>
            </w:r>
            <w:r>
              <w:rPr>
                <w:rFonts w:hint="eastAsia" w:ascii="宋体" w:hAnsi="宋体"/>
                <w:color w:val="auto"/>
                <w:kern w:val="0"/>
                <w:szCs w:val="21"/>
                <w:highlight w:val="none"/>
              </w:rPr>
              <w:t>清晰，</w:t>
            </w:r>
            <w:r>
              <w:rPr>
                <w:rFonts w:hint="eastAsia" w:ascii="宋体" w:hAnsi="宋体"/>
                <w:color w:val="auto"/>
                <w:kern w:val="0"/>
                <w:szCs w:val="21"/>
                <w:highlight w:val="none"/>
                <w:lang w:eastAsia="zh-CN"/>
              </w:rPr>
              <w:t>设计基本</w:t>
            </w:r>
            <w:r>
              <w:rPr>
                <w:rFonts w:hint="eastAsia" w:ascii="宋体" w:hAnsi="宋体"/>
                <w:color w:val="auto"/>
                <w:kern w:val="0"/>
                <w:szCs w:val="21"/>
                <w:highlight w:val="none"/>
              </w:rPr>
              <w:t>科学、合理，可行性</w:t>
            </w:r>
            <w:r>
              <w:rPr>
                <w:rFonts w:hint="eastAsia" w:ascii="宋体" w:hAnsi="宋体"/>
                <w:color w:val="auto"/>
                <w:kern w:val="0"/>
                <w:szCs w:val="21"/>
                <w:highlight w:val="none"/>
                <w:lang w:eastAsia="zh-CN"/>
              </w:rPr>
              <w:t>较</w:t>
            </w:r>
            <w:r>
              <w:rPr>
                <w:rFonts w:hint="eastAsia" w:ascii="宋体" w:hAnsi="宋体"/>
                <w:color w:val="auto"/>
                <w:kern w:val="0"/>
                <w:szCs w:val="21"/>
                <w:highlight w:val="none"/>
              </w:rPr>
              <w:t>强的，记</w:t>
            </w:r>
            <w:r>
              <w:rPr>
                <w:rFonts w:hint="eastAsia" w:ascii="宋体" w:hAnsi="宋体"/>
                <w:color w:val="auto"/>
                <w:kern w:val="0"/>
                <w:szCs w:val="21"/>
                <w:highlight w:val="none"/>
                <w:lang w:val="en-US" w:eastAsia="zh-CN"/>
              </w:rPr>
              <w:t>8</w:t>
            </w:r>
            <w:r>
              <w:rPr>
                <w:rFonts w:hint="eastAsia" w:ascii="宋体" w:hAnsi="宋体"/>
                <w:color w:val="auto"/>
                <w:kern w:val="0"/>
                <w:szCs w:val="21"/>
                <w:highlight w:val="none"/>
              </w:rPr>
              <w:t>分；</w:t>
            </w:r>
          </w:p>
          <w:p w14:paraId="48CFD30E">
            <w:pPr>
              <w:widowControl/>
              <w:spacing w:after="120" w:line="360" w:lineRule="exact"/>
              <w:ind w:left="105" w:leftChars="50" w:right="105" w:rightChars="50"/>
              <w:jc w:val="left"/>
              <w:textAlignment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rPr>
              <w:t>对以上内容阐述不清、方案欠合理的，每处扣3分</w:t>
            </w:r>
            <w:r>
              <w:rPr>
                <w:rFonts w:hint="eastAsia" w:ascii="宋体" w:hAnsi="宋体"/>
                <w:color w:val="auto"/>
                <w:kern w:val="0"/>
                <w:szCs w:val="21"/>
                <w:highlight w:val="none"/>
                <w:lang w:eastAsia="zh-CN"/>
              </w:rPr>
              <w:t>，</w:t>
            </w:r>
            <w:r>
              <w:rPr>
                <w:rFonts w:hint="eastAsia" w:ascii="宋体" w:hAnsi="宋体"/>
                <w:color w:val="auto"/>
                <w:kern w:val="0"/>
                <w:szCs w:val="21"/>
                <w:highlight w:val="none"/>
              </w:rPr>
              <w:t>扣完为止</w:t>
            </w:r>
            <w:r>
              <w:rPr>
                <w:rFonts w:hint="default" w:ascii="宋体" w:hAnsi="宋体"/>
                <w:color w:val="auto"/>
                <w:kern w:val="0"/>
                <w:szCs w:val="21"/>
                <w:highlight w:val="none"/>
                <w:lang w:val="en"/>
              </w:rPr>
              <w:t>.</w:t>
            </w:r>
          </w:p>
        </w:tc>
      </w:tr>
      <w:tr w14:paraId="71F44940">
        <w:tblPrEx>
          <w:tblCellMar>
            <w:top w:w="0" w:type="dxa"/>
            <w:left w:w="0" w:type="dxa"/>
            <w:bottom w:w="0" w:type="dxa"/>
            <w:right w:w="0" w:type="dxa"/>
          </w:tblCellMar>
        </w:tblPrEx>
        <w:trPr>
          <w:jc w:val="center"/>
        </w:trPr>
        <w:tc>
          <w:tcPr>
            <w:tcW w:w="626" w:type="dxa"/>
            <w:vMerge w:val="continue"/>
            <w:tcBorders>
              <w:top w:val="single" w:color="000000" w:sz="6" w:space="0"/>
              <w:left w:val="single" w:color="000000" w:sz="6" w:space="0"/>
              <w:bottom w:val="single" w:color="000000" w:sz="6" w:space="0"/>
              <w:right w:val="single" w:color="000000" w:sz="6" w:space="0"/>
            </w:tcBorders>
            <w:vAlign w:val="center"/>
          </w:tcPr>
          <w:p w14:paraId="5A2311F4">
            <w:pPr>
              <w:widowControl/>
              <w:spacing w:line="360" w:lineRule="exact"/>
              <w:jc w:val="left"/>
              <w:rPr>
                <w:rFonts w:ascii="宋体" w:hAnsi="宋体"/>
                <w:color w:val="auto"/>
                <w:kern w:val="0"/>
                <w:szCs w:val="21"/>
                <w:highlight w:val="none"/>
              </w:rPr>
            </w:pPr>
          </w:p>
        </w:tc>
        <w:tc>
          <w:tcPr>
            <w:tcW w:w="1086" w:type="dxa"/>
            <w:tcBorders>
              <w:left w:val="single" w:color="000000" w:sz="6" w:space="0"/>
              <w:bottom w:val="single" w:color="000000" w:sz="6" w:space="0"/>
              <w:right w:val="single" w:color="000000" w:sz="6" w:space="0"/>
            </w:tcBorders>
            <w:tcMar>
              <w:top w:w="0" w:type="dxa"/>
              <w:left w:w="0" w:type="dxa"/>
              <w:bottom w:w="0" w:type="dxa"/>
              <w:right w:w="0" w:type="dxa"/>
            </w:tcMar>
            <w:vAlign w:val="center"/>
          </w:tcPr>
          <w:p w14:paraId="6F68D71A">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对项目运维及售后服务方案的评价</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D1E2198">
            <w:pPr>
              <w:widowControl/>
              <w:spacing w:line="360" w:lineRule="exact"/>
              <w:jc w:val="center"/>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rPr>
              <w:t>0-1</w:t>
            </w:r>
            <w:r>
              <w:rPr>
                <w:rFonts w:hint="eastAsia" w:ascii="宋体" w:hAnsi="宋体"/>
                <w:color w:val="auto"/>
                <w:kern w:val="0"/>
                <w:szCs w:val="21"/>
                <w:highlight w:val="none"/>
                <w:lang w:val="en-US" w:eastAsia="zh-CN"/>
              </w:rPr>
              <w:t>3</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4F5094E">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要求投标人结合实际情况，提供项目运维及售后服务方案，包括但不限于：整体运维方案、服务维护人员配备清单、运维服务机构设置、运维服务保障工具支撑等4项内容。</w:t>
            </w:r>
          </w:p>
          <w:p w14:paraId="3FD3F5CF">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项目运维及售后服务方案包括以上全部内容，阐述全面、具体；服务维护人员配备科学合理，有运维服务机构及运维服务保障工具；整体运维方案符合本项目需求，重点突出，切合实际，可行性强的记</w:t>
            </w:r>
            <w:r>
              <w:rPr>
                <w:rFonts w:hint="eastAsia" w:ascii="宋体" w:hAnsi="宋体"/>
                <w:color w:val="auto"/>
                <w:kern w:val="0"/>
                <w:szCs w:val="21"/>
                <w:highlight w:val="none"/>
                <w:lang w:val="en-US" w:eastAsia="zh-CN"/>
              </w:rPr>
              <w:t>13</w:t>
            </w:r>
            <w:r>
              <w:rPr>
                <w:rFonts w:hint="eastAsia" w:ascii="宋体" w:hAnsi="宋体"/>
                <w:color w:val="auto"/>
                <w:kern w:val="0"/>
                <w:szCs w:val="21"/>
                <w:highlight w:val="none"/>
              </w:rPr>
              <w:t>分；</w:t>
            </w:r>
          </w:p>
          <w:p w14:paraId="63770591">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方案包括以上内容，但阐述一般；服务维护人员配备欠合理，运维服务机构设置一般；整体运维方案基本符合本项目需求，基本可行的每处扣2分；</w:t>
            </w:r>
          </w:p>
          <w:p w14:paraId="6C8196EA">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以上内容阐述不清或项目运维及售后服务方案欠合理的每处扣3分；</w:t>
            </w:r>
          </w:p>
          <w:p w14:paraId="48983FB6">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以上内容每缺一项或无任何实质性描述的扣</w:t>
            </w:r>
            <w:r>
              <w:rPr>
                <w:rFonts w:hint="eastAsia" w:ascii="宋体" w:hAnsi="宋体"/>
                <w:color w:val="auto"/>
                <w:kern w:val="0"/>
                <w:szCs w:val="21"/>
                <w:highlight w:val="none"/>
                <w:lang w:val="en-US" w:eastAsia="zh-CN"/>
              </w:rPr>
              <w:t>3.25</w:t>
            </w:r>
            <w:r>
              <w:rPr>
                <w:rFonts w:hint="eastAsia" w:ascii="宋体" w:hAnsi="宋体"/>
                <w:color w:val="auto"/>
                <w:kern w:val="0"/>
                <w:szCs w:val="21"/>
                <w:highlight w:val="none"/>
              </w:rPr>
              <w:t>分；扣完为止。</w:t>
            </w:r>
          </w:p>
        </w:tc>
      </w:tr>
      <w:tr w14:paraId="7820F1AF">
        <w:tblPrEx>
          <w:tblCellMar>
            <w:top w:w="0" w:type="dxa"/>
            <w:left w:w="0" w:type="dxa"/>
            <w:bottom w:w="0" w:type="dxa"/>
            <w:right w:w="0" w:type="dxa"/>
          </w:tblCellMar>
        </w:tblPrEx>
        <w:trPr>
          <w:jc w:val="center"/>
        </w:trPr>
        <w:tc>
          <w:tcPr>
            <w:tcW w:w="626" w:type="dxa"/>
            <w:vMerge w:val="continue"/>
            <w:tcBorders>
              <w:top w:val="single" w:color="000000" w:sz="6" w:space="0"/>
              <w:left w:val="single" w:color="000000" w:sz="6" w:space="0"/>
              <w:bottom w:val="single" w:color="000000" w:sz="6" w:space="0"/>
              <w:right w:val="single" w:color="000000" w:sz="6" w:space="0"/>
            </w:tcBorders>
            <w:vAlign w:val="center"/>
          </w:tcPr>
          <w:p w14:paraId="5A710185">
            <w:pPr>
              <w:widowControl/>
              <w:spacing w:line="360" w:lineRule="exact"/>
              <w:jc w:val="left"/>
              <w:rPr>
                <w:rFonts w:ascii="宋体" w:hAnsi="宋体"/>
                <w:color w:val="auto"/>
                <w:kern w:val="0"/>
                <w:szCs w:val="21"/>
                <w:highlight w:val="none"/>
              </w:rPr>
            </w:pPr>
          </w:p>
        </w:tc>
        <w:tc>
          <w:tcPr>
            <w:tcW w:w="108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F0BFCEF">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对项目组网割接方案的评价</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7945C6D">
            <w:pPr>
              <w:widowControl/>
              <w:spacing w:line="360" w:lineRule="exact"/>
              <w:jc w:val="center"/>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rPr>
              <w:t>0-</w:t>
            </w:r>
            <w:r>
              <w:rPr>
                <w:rFonts w:hint="eastAsia" w:ascii="宋体" w:hAnsi="宋体"/>
                <w:color w:val="auto"/>
                <w:kern w:val="0"/>
                <w:szCs w:val="21"/>
                <w:highlight w:val="none"/>
                <w:lang w:val="en-US" w:eastAsia="zh-CN"/>
              </w:rPr>
              <w:t>12</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771510B">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投标人结合项目实际情况，提供项目整体组网割接方案，包括割接技术组织、人员及设备安排、时间计划等3项内容。</w:t>
            </w:r>
          </w:p>
          <w:p w14:paraId="0F28B336">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项目组网割接方案内容全面、具体，重点突出，切合实际，可行性强的记</w:t>
            </w:r>
            <w:r>
              <w:rPr>
                <w:rFonts w:hint="eastAsia" w:ascii="宋体" w:hAnsi="宋体"/>
                <w:color w:val="FF0000"/>
                <w:kern w:val="0"/>
                <w:szCs w:val="21"/>
                <w:highlight w:val="none"/>
                <w:lang w:val="en-US" w:eastAsia="zh-CN"/>
              </w:rPr>
              <w:t>12</w:t>
            </w:r>
            <w:r>
              <w:rPr>
                <w:rFonts w:hint="eastAsia" w:ascii="宋体" w:hAnsi="宋体"/>
                <w:color w:val="auto"/>
                <w:kern w:val="0"/>
                <w:szCs w:val="21"/>
                <w:highlight w:val="none"/>
              </w:rPr>
              <w:t>分；</w:t>
            </w:r>
          </w:p>
          <w:p w14:paraId="35077AE0">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项目组网割接方案内容简单，重点不突出，可行性一般的每处扣</w:t>
            </w:r>
            <w:r>
              <w:rPr>
                <w:rFonts w:hint="eastAsia" w:ascii="宋体" w:hAnsi="宋体"/>
                <w:color w:val="auto"/>
                <w:kern w:val="0"/>
                <w:szCs w:val="21"/>
                <w:highlight w:val="none"/>
                <w:lang w:val="en-US" w:eastAsia="zh-CN"/>
              </w:rPr>
              <w:t>1</w:t>
            </w:r>
            <w:r>
              <w:rPr>
                <w:rFonts w:hint="eastAsia" w:ascii="宋体" w:hAnsi="宋体"/>
                <w:color w:val="auto"/>
                <w:kern w:val="0"/>
                <w:szCs w:val="21"/>
                <w:highlight w:val="none"/>
              </w:rPr>
              <w:t>分；</w:t>
            </w:r>
          </w:p>
          <w:p w14:paraId="5BAF9AF4">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以上内容阐述不清或项目组网割接方案欠合理，每处扣</w:t>
            </w:r>
            <w:r>
              <w:rPr>
                <w:rFonts w:hint="eastAsia" w:ascii="宋体" w:hAnsi="宋体"/>
                <w:color w:val="auto"/>
                <w:kern w:val="0"/>
                <w:szCs w:val="21"/>
                <w:highlight w:val="none"/>
                <w:lang w:val="en-US" w:eastAsia="zh-CN"/>
              </w:rPr>
              <w:t>2</w:t>
            </w:r>
            <w:r>
              <w:rPr>
                <w:rFonts w:hint="eastAsia" w:ascii="宋体" w:hAnsi="宋体"/>
                <w:color w:val="auto"/>
                <w:kern w:val="0"/>
                <w:szCs w:val="21"/>
                <w:highlight w:val="none"/>
              </w:rPr>
              <w:t>分；</w:t>
            </w:r>
          </w:p>
          <w:p w14:paraId="4F089F22">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以上内容每缺一项或无任何实质性描述的扣</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分</w:t>
            </w:r>
            <w:r>
              <w:rPr>
                <w:rFonts w:hint="eastAsia" w:ascii="宋体" w:hAnsi="宋体"/>
                <w:color w:val="auto"/>
                <w:kern w:val="0"/>
                <w:szCs w:val="21"/>
                <w:highlight w:val="none"/>
                <w:lang w:eastAsia="zh-CN"/>
              </w:rPr>
              <w:t>；</w:t>
            </w:r>
            <w:r>
              <w:rPr>
                <w:rFonts w:hint="eastAsia" w:ascii="宋体" w:hAnsi="宋体"/>
                <w:color w:val="auto"/>
                <w:kern w:val="0"/>
                <w:szCs w:val="21"/>
                <w:highlight w:val="none"/>
              </w:rPr>
              <w:t>扣完为止。</w:t>
            </w:r>
          </w:p>
        </w:tc>
      </w:tr>
      <w:tr w14:paraId="50B8F285">
        <w:tblPrEx>
          <w:tblCellMar>
            <w:top w:w="0" w:type="dxa"/>
            <w:left w:w="0" w:type="dxa"/>
            <w:bottom w:w="0" w:type="dxa"/>
            <w:right w:w="0" w:type="dxa"/>
          </w:tblCellMar>
        </w:tblPrEx>
        <w:trPr>
          <w:jc w:val="center"/>
        </w:trPr>
        <w:tc>
          <w:tcPr>
            <w:tcW w:w="626" w:type="dxa"/>
            <w:vMerge w:val="continue"/>
            <w:tcBorders>
              <w:top w:val="single" w:color="000000" w:sz="6" w:space="0"/>
              <w:left w:val="single" w:color="000000" w:sz="6" w:space="0"/>
              <w:bottom w:val="single" w:color="000000" w:sz="6" w:space="0"/>
              <w:right w:val="single" w:color="000000" w:sz="6" w:space="0"/>
            </w:tcBorders>
            <w:vAlign w:val="center"/>
          </w:tcPr>
          <w:p w14:paraId="20D53D88">
            <w:pPr>
              <w:widowControl/>
              <w:spacing w:line="360" w:lineRule="exact"/>
              <w:jc w:val="left"/>
              <w:rPr>
                <w:rFonts w:ascii="宋体" w:hAnsi="宋体"/>
                <w:color w:val="auto"/>
                <w:kern w:val="0"/>
                <w:szCs w:val="21"/>
                <w:highlight w:val="none"/>
              </w:rPr>
            </w:pPr>
          </w:p>
        </w:tc>
        <w:tc>
          <w:tcPr>
            <w:tcW w:w="108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965C6E7">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培训服务方案的评价</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9D9C705">
            <w:pPr>
              <w:widowControl/>
              <w:spacing w:line="360" w:lineRule="exact"/>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rPr>
              <w:t>0-</w:t>
            </w:r>
            <w:r>
              <w:rPr>
                <w:rFonts w:hint="eastAsia" w:ascii="宋体" w:hAnsi="宋体"/>
                <w:color w:val="auto"/>
                <w:kern w:val="0"/>
                <w:szCs w:val="21"/>
                <w:highlight w:val="none"/>
                <w:lang w:val="en-US" w:eastAsia="zh-CN"/>
              </w:rPr>
              <w:t>3</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DF9A0A9">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投标人提供方案中有完善的项目培训服务方案，包括：培训计划、培训方式、时间、地点、对象以及培训内容</w:t>
            </w:r>
            <w:r>
              <w:rPr>
                <w:rFonts w:hint="eastAsia" w:ascii="宋体" w:hAnsi="宋体"/>
                <w:color w:val="auto"/>
                <w:kern w:val="0"/>
                <w:szCs w:val="21"/>
                <w:highlight w:val="none"/>
                <w:lang w:val="en-US" w:eastAsia="zh-CN"/>
              </w:rPr>
              <w:t>等</w:t>
            </w:r>
            <w:r>
              <w:rPr>
                <w:rFonts w:hint="eastAsia" w:ascii="宋体" w:hAnsi="宋体"/>
                <w:color w:val="auto"/>
                <w:kern w:val="0"/>
                <w:szCs w:val="21"/>
                <w:highlight w:val="none"/>
              </w:rPr>
              <w:t>。</w:t>
            </w:r>
          </w:p>
          <w:p w14:paraId="046D2449">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培训服务方案包括以上全部内容，阐述全面、具体；培训计划安排科学合理，重点突出；切合实际，可行性强的记</w:t>
            </w:r>
            <w:r>
              <w:rPr>
                <w:rFonts w:hint="eastAsia" w:ascii="宋体" w:hAnsi="宋体"/>
                <w:color w:val="auto"/>
                <w:kern w:val="0"/>
                <w:szCs w:val="21"/>
                <w:highlight w:val="none"/>
                <w:lang w:val="en-US" w:eastAsia="zh-CN"/>
              </w:rPr>
              <w:t>3</w:t>
            </w:r>
            <w:r>
              <w:rPr>
                <w:rFonts w:hint="eastAsia" w:ascii="宋体" w:hAnsi="宋体"/>
                <w:color w:val="auto"/>
                <w:kern w:val="0"/>
                <w:szCs w:val="21"/>
                <w:highlight w:val="none"/>
              </w:rPr>
              <w:t>分；</w:t>
            </w:r>
          </w:p>
          <w:p w14:paraId="61D57C72">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方案包括以上全部内容，但阐述一般；培训计划安排基本合理，基本可行的每处扣</w:t>
            </w:r>
            <w:r>
              <w:rPr>
                <w:rFonts w:hint="eastAsia" w:ascii="宋体" w:hAnsi="宋体"/>
                <w:color w:val="auto"/>
                <w:kern w:val="0"/>
                <w:szCs w:val="21"/>
                <w:highlight w:val="none"/>
                <w:lang w:val="en-US" w:eastAsia="zh-CN"/>
              </w:rPr>
              <w:t>0.5</w:t>
            </w:r>
            <w:r>
              <w:rPr>
                <w:rFonts w:hint="eastAsia" w:ascii="宋体" w:hAnsi="宋体"/>
                <w:color w:val="auto"/>
                <w:kern w:val="0"/>
                <w:szCs w:val="21"/>
                <w:highlight w:val="none"/>
              </w:rPr>
              <w:t>分；</w:t>
            </w:r>
          </w:p>
          <w:p w14:paraId="4208836A">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方案不完善、欠合理的的每处扣</w:t>
            </w:r>
            <w:r>
              <w:rPr>
                <w:rFonts w:hint="eastAsia" w:ascii="宋体" w:hAnsi="宋体"/>
                <w:color w:val="auto"/>
                <w:kern w:val="0"/>
                <w:szCs w:val="21"/>
                <w:highlight w:val="none"/>
                <w:lang w:val="en-US" w:eastAsia="zh-CN"/>
              </w:rPr>
              <w:t>1</w:t>
            </w:r>
            <w:r>
              <w:rPr>
                <w:rFonts w:hint="eastAsia" w:ascii="宋体" w:hAnsi="宋体"/>
                <w:color w:val="auto"/>
                <w:kern w:val="0"/>
                <w:szCs w:val="21"/>
                <w:highlight w:val="none"/>
              </w:rPr>
              <w:t>分；</w:t>
            </w:r>
          </w:p>
          <w:p w14:paraId="43321999">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以上内容每缺一项或无任何实质性描述的扣</w:t>
            </w:r>
            <w:r>
              <w:rPr>
                <w:rFonts w:hint="eastAsia" w:ascii="宋体" w:hAnsi="宋体"/>
                <w:color w:val="auto"/>
                <w:kern w:val="0"/>
                <w:szCs w:val="21"/>
                <w:highlight w:val="none"/>
                <w:lang w:val="en-US" w:eastAsia="zh-CN"/>
              </w:rPr>
              <w:t>1.5</w:t>
            </w:r>
            <w:r>
              <w:rPr>
                <w:rFonts w:hint="eastAsia" w:ascii="宋体" w:hAnsi="宋体"/>
                <w:color w:val="auto"/>
                <w:kern w:val="0"/>
                <w:szCs w:val="21"/>
                <w:highlight w:val="none"/>
              </w:rPr>
              <w:t>分，扣完为止。</w:t>
            </w:r>
          </w:p>
        </w:tc>
      </w:tr>
      <w:tr w14:paraId="72B0C72E">
        <w:tblPrEx>
          <w:tblCellMar>
            <w:top w:w="0" w:type="dxa"/>
            <w:left w:w="0" w:type="dxa"/>
            <w:bottom w:w="0" w:type="dxa"/>
            <w:right w:w="0" w:type="dxa"/>
          </w:tblCellMar>
        </w:tblPrEx>
        <w:trPr>
          <w:jc w:val="center"/>
        </w:trPr>
        <w:tc>
          <w:tcPr>
            <w:tcW w:w="626" w:type="dxa"/>
            <w:vMerge w:val="restart"/>
            <w:tcBorders>
              <w:top w:val="single" w:color="000000" w:sz="6" w:space="0"/>
              <w:left w:val="single" w:color="000000" w:sz="6" w:space="0"/>
              <w:right w:val="single" w:color="000000" w:sz="6" w:space="0"/>
            </w:tcBorders>
            <w:tcMar>
              <w:top w:w="0" w:type="dxa"/>
              <w:left w:w="0" w:type="dxa"/>
              <w:bottom w:w="0" w:type="dxa"/>
              <w:right w:w="0" w:type="dxa"/>
            </w:tcMar>
            <w:vAlign w:val="center"/>
          </w:tcPr>
          <w:p w14:paraId="43F15206">
            <w:pPr>
              <w:widowControl/>
              <w:spacing w:line="360" w:lineRule="exact"/>
              <w:jc w:val="left"/>
              <w:rPr>
                <w:rFonts w:ascii="宋体" w:hAnsi="宋体"/>
                <w:color w:val="auto"/>
                <w:kern w:val="0"/>
                <w:szCs w:val="21"/>
                <w:highlight w:val="none"/>
              </w:rPr>
            </w:pPr>
            <w:r>
              <w:rPr>
                <w:rFonts w:ascii="宋体" w:hAnsi="宋体"/>
                <w:color w:val="auto"/>
                <w:kern w:val="0"/>
                <w:szCs w:val="21"/>
                <w:highlight w:val="none"/>
              </w:rPr>
              <w:t>商务部分(F2)</w:t>
            </w:r>
          </w:p>
        </w:tc>
        <w:tc>
          <w:tcPr>
            <w:tcW w:w="1086" w:type="dxa"/>
            <w:tcBorders>
              <w:top w:val="single" w:color="000000" w:sz="6" w:space="0"/>
              <w:left w:val="single" w:color="000000" w:sz="6" w:space="0"/>
              <w:bottom w:val="single" w:color="auto" w:sz="4" w:space="0"/>
              <w:right w:val="single" w:color="000000" w:sz="6" w:space="0"/>
            </w:tcBorders>
            <w:tcMar>
              <w:top w:w="0" w:type="dxa"/>
              <w:left w:w="0" w:type="dxa"/>
              <w:bottom w:w="0" w:type="dxa"/>
              <w:right w:w="0" w:type="dxa"/>
            </w:tcMar>
            <w:vAlign w:val="center"/>
          </w:tcPr>
          <w:p w14:paraId="486D5D16">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对投标人拟投入本项目网络实施的技术力量的评价</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E1DF15B">
            <w:pPr>
              <w:widowControl/>
              <w:spacing w:line="360" w:lineRule="exact"/>
              <w:jc w:val="center"/>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rPr>
              <w:t>0-</w:t>
            </w:r>
            <w:r>
              <w:rPr>
                <w:rFonts w:hint="eastAsia" w:ascii="宋体" w:hAnsi="宋体"/>
                <w:color w:val="auto"/>
                <w:kern w:val="0"/>
                <w:szCs w:val="21"/>
                <w:highlight w:val="none"/>
                <w:lang w:val="en-US" w:eastAsia="zh-CN"/>
              </w:rPr>
              <w:t>40</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AA2FC5B">
            <w:pPr>
              <w:widowControl/>
              <w:spacing w:after="120" w:line="240" w:lineRule="auto"/>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根据投标人拟投入本项目运维保障组织技术力量的职业资格的情况进行评分（相关证书需由政府行政主管机构颁发）：</w:t>
            </w:r>
          </w:p>
          <w:p w14:paraId="2A9E439E">
            <w:pPr>
              <w:widowControl/>
              <w:spacing w:after="120" w:line="240" w:lineRule="auto"/>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1、投标人拟投入本项目的项目经理具有</w:t>
            </w:r>
            <w:r>
              <w:rPr>
                <w:rFonts w:hint="eastAsia" w:ascii="宋体" w:hAnsi="宋体"/>
                <w:color w:val="auto"/>
                <w:kern w:val="0"/>
                <w:szCs w:val="21"/>
                <w:highlight w:val="none"/>
                <w:lang w:val="en-US" w:eastAsia="zh-CN"/>
              </w:rPr>
              <w:t>人社部门和工信部门颁发的</w:t>
            </w:r>
            <w:r>
              <w:rPr>
                <w:rFonts w:hint="eastAsia" w:ascii="宋体" w:hAnsi="宋体"/>
                <w:color w:val="auto"/>
                <w:kern w:val="0"/>
                <w:szCs w:val="21"/>
                <w:highlight w:val="none"/>
              </w:rPr>
              <w:t>信息系统项目管理师证书</w:t>
            </w:r>
            <w:r>
              <w:rPr>
                <w:rFonts w:hint="eastAsia" w:ascii="宋体" w:hAnsi="宋体"/>
                <w:color w:val="auto"/>
                <w:kern w:val="0"/>
                <w:szCs w:val="21"/>
                <w:highlight w:val="none"/>
                <w:lang w:val="en-US" w:eastAsia="zh-CN"/>
              </w:rPr>
              <w:t>或网络规划设计师证书</w:t>
            </w:r>
            <w:r>
              <w:rPr>
                <w:rFonts w:hint="eastAsia" w:ascii="宋体" w:hAnsi="宋体"/>
                <w:color w:val="auto"/>
                <w:kern w:val="0"/>
                <w:szCs w:val="21"/>
                <w:highlight w:val="none"/>
              </w:rPr>
              <w:t>：每提供一个证书的记</w:t>
            </w:r>
            <w:r>
              <w:rPr>
                <w:rFonts w:hint="eastAsia" w:ascii="宋体" w:hAnsi="宋体"/>
                <w:color w:val="auto"/>
                <w:kern w:val="0"/>
                <w:szCs w:val="21"/>
                <w:highlight w:val="none"/>
                <w:lang w:val="en-US" w:eastAsia="zh-CN"/>
              </w:rPr>
              <w:t>10</w:t>
            </w:r>
            <w:r>
              <w:rPr>
                <w:rFonts w:hint="eastAsia" w:ascii="宋体" w:hAnsi="宋体"/>
                <w:color w:val="auto"/>
                <w:kern w:val="0"/>
                <w:szCs w:val="21"/>
                <w:highlight w:val="none"/>
              </w:rPr>
              <w:t>分，最多记</w:t>
            </w:r>
            <w:r>
              <w:rPr>
                <w:rFonts w:hint="eastAsia" w:ascii="宋体" w:hAnsi="宋体"/>
                <w:color w:val="auto"/>
                <w:kern w:val="0"/>
                <w:szCs w:val="21"/>
                <w:highlight w:val="none"/>
                <w:lang w:val="en-US" w:eastAsia="zh-CN"/>
              </w:rPr>
              <w:t>10</w:t>
            </w:r>
            <w:r>
              <w:rPr>
                <w:rFonts w:hint="eastAsia" w:ascii="宋体" w:hAnsi="宋体"/>
                <w:color w:val="auto"/>
                <w:kern w:val="0"/>
                <w:szCs w:val="21"/>
                <w:highlight w:val="none"/>
              </w:rPr>
              <w:t>分。</w:t>
            </w:r>
          </w:p>
          <w:p w14:paraId="653D2C3C">
            <w:pPr>
              <w:widowControl/>
              <w:spacing w:after="120" w:line="240" w:lineRule="auto"/>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2、投标人拟投入本项目的实施团队成员具有通信类或网络类或电子类专业中级</w:t>
            </w:r>
            <w:r>
              <w:rPr>
                <w:rFonts w:hint="eastAsia" w:ascii="宋体" w:hAnsi="宋体"/>
                <w:color w:val="auto"/>
                <w:kern w:val="0"/>
                <w:szCs w:val="21"/>
                <w:highlight w:val="none"/>
                <w:lang w:val="en-US" w:eastAsia="zh-CN"/>
              </w:rPr>
              <w:t>及以上</w:t>
            </w:r>
            <w:r>
              <w:rPr>
                <w:rFonts w:hint="eastAsia" w:ascii="宋体" w:hAnsi="宋体"/>
                <w:color w:val="auto"/>
                <w:kern w:val="0"/>
                <w:szCs w:val="21"/>
                <w:highlight w:val="none"/>
              </w:rPr>
              <w:t>工程师证书的：每提供一个证书的记</w:t>
            </w:r>
            <w:r>
              <w:rPr>
                <w:rFonts w:hint="eastAsia" w:ascii="宋体" w:hAnsi="宋体"/>
                <w:color w:val="auto"/>
                <w:kern w:val="0"/>
                <w:szCs w:val="21"/>
                <w:highlight w:val="none"/>
                <w:lang w:val="en-US" w:eastAsia="zh-CN"/>
              </w:rPr>
              <w:t>6</w:t>
            </w:r>
            <w:r>
              <w:rPr>
                <w:rFonts w:hint="eastAsia" w:ascii="宋体" w:hAnsi="宋体"/>
                <w:color w:val="auto"/>
                <w:kern w:val="0"/>
                <w:szCs w:val="21"/>
                <w:highlight w:val="none"/>
              </w:rPr>
              <w:t>分，最多记</w:t>
            </w:r>
            <w:r>
              <w:rPr>
                <w:rFonts w:hint="eastAsia" w:ascii="宋体" w:hAnsi="宋体"/>
                <w:color w:val="auto"/>
                <w:kern w:val="0"/>
                <w:szCs w:val="21"/>
                <w:highlight w:val="none"/>
                <w:lang w:val="en-US" w:eastAsia="zh-CN"/>
              </w:rPr>
              <w:t>30</w:t>
            </w:r>
            <w:r>
              <w:rPr>
                <w:rFonts w:hint="eastAsia" w:ascii="宋体" w:hAnsi="宋体"/>
                <w:color w:val="auto"/>
                <w:kern w:val="0"/>
                <w:szCs w:val="21"/>
                <w:highlight w:val="none"/>
              </w:rPr>
              <w:t>分。</w:t>
            </w:r>
          </w:p>
          <w:p w14:paraId="216AA09E">
            <w:pPr>
              <w:widowControl/>
              <w:spacing w:after="120" w:line="240" w:lineRule="auto"/>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lang w:val="en-US" w:eastAsia="zh-CN"/>
              </w:rPr>
              <w:t>注：上述必须提供相关人员在投标单位近连续三个月的社保证明和相关证书原件扫描件并加盖投标人公章，否则不计分。</w:t>
            </w:r>
          </w:p>
        </w:tc>
      </w:tr>
      <w:tr w14:paraId="3F88FAD4">
        <w:tblPrEx>
          <w:tblCellMar>
            <w:top w:w="0" w:type="dxa"/>
            <w:left w:w="0" w:type="dxa"/>
            <w:bottom w:w="0" w:type="dxa"/>
            <w:right w:w="0" w:type="dxa"/>
          </w:tblCellMar>
        </w:tblPrEx>
        <w:trPr>
          <w:jc w:val="center"/>
        </w:trPr>
        <w:tc>
          <w:tcPr>
            <w:tcW w:w="626" w:type="dxa"/>
            <w:vMerge w:val="continue"/>
            <w:tcBorders>
              <w:left w:val="single" w:color="000000" w:sz="6" w:space="0"/>
              <w:right w:val="single" w:color="000000" w:sz="6" w:space="0"/>
            </w:tcBorders>
            <w:vAlign w:val="center"/>
          </w:tcPr>
          <w:p w14:paraId="39B94C79">
            <w:pPr>
              <w:widowControl/>
              <w:spacing w:line="360" w:lineRule="exact"/>
              <w:jc w:val="left"/>
              <w:rPr>
                <w:rFonts w:ascii="宋体" w:hAnsi="宋体"/>
                <w:color w:val="auto"/>
                <w:kern w:val="0"/>
                <w:szCs w:val="21"/>
                <w:highlight w:val="none"/>
              </w:rPr>
            </w:pPr>
          </w:p>
        </w:tc>
        <w:tc>
          <w:tcPr>
            <w:tcW w:w="1086" w:type="dxa"/>
            <w:tcBorders>
              <w:top w:val="single" w:color="auto" w:sz="4" w:space="0"/>
              <w:left w:val="single" w:color="000000" w:sz="6" w:space="0"/>
              <w:bottom w:val="single" w:color="auto" w:sz="4" w:space="0"/>
              <w:right w:val="single" w:color="000000" w:sz="6" w:space="0"/>
            </w:tcBorders>
            <w:vAlign w:val="center"/>
          </w:tcPr>
          <w:p w14:paraId="573706A0">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对投标人业绩的评价</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D6DDC61">
            <w:pPr>
              <w:widowControl/>
              <w:spacing w:line="360" w:lineRule="exact"/>
              <w:jc w:val="center"/>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rPr>
              <w:t>0-</w:t>
            </w:r>
            <w:r>
              <w:rPr>
                <w:rFonts w:hint="eastAsia" w:ascii="宋体" w:hAnsi="宋体"/>
                <w:color w:val="auto"/>
                <w:kern w:val="0"/>
                <w:szCs w:val="21"/>
                <w:highlight w:val="none"/>
                <w:lang w:val="en-US" w:eastAsia="zh-CN"/>
              </w:rPr>
              <w:t>30</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6C1DB6F">
            <w:pPr>
              <w:widowControl/>
              <w:spacing w:after="120" w:line="240" w:lineRule="auto"/>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投标人近三年（202</w:t>
            </w:r>
            <w:r>
              <w:rPr>
                <w:rFonts w:hint="eastAsia" w:ascii="宋体" w:hAnsi="宋体"/>
                <w:color w:val="auto"/>
                <w:kern w:val="0"/>
                <w:szCs w:val="21"/>
                <w:highlight w:val="none"/>
                <w:lang w:val="en-US" w:eastAsia="zh-CN"/>
              </w:rPr>
              <w:t>3</w:t>
            </w:r>
            <w:r>
              <w:rPr>
                <w:rFonts w:hint="eastAsia" w:ascii="宋体" w:hAnsi="宋体"/>
                <w:color w:val="auto"/>
                <w:kern w:val="0"/>
                <w:szCs w:val="21"/>
                <w:highlight w:val="none"/>
              </w:rPr>
              <w:t>年</w:t>
            </w:r>
            <w:r>
              <w:rPr>
                <w:rFonts w:hint="eastAsia" w:ascii="宋体" w:hAnsi="宋体"/>
                <w:color w:val="auto"/>
                <w:kern w:val="0"/>
                <w:szCs w:val="21"/>
                <w:highlight w:val="none"/>
                <w:lang w:val="en-US" w:eastAsia="zh-CN"/>
              </w:rPr>
              <w:t>8</w:t>
            </w:r>
            <w:r>
              <w:rPr>
                <w:rFonts w:hint="eastAsia" w:ascii="宋体" w:hAnsi="宋体"/>
                <w:color w:val="auto"/>
                <w:kern w:val="0"/>
                <w:szCs w:val="21"/>
                <w:highlight w:val="none"/>
              </w:rPr>
              <w:t xml:space="preserve"> 月至今）具有类似项目经验案例（链路租赁）的：每提供一个案例记 </w:t>
            </w:r>
            <w:r>
              <w:rPr>
                <w:rFonts w:hint="eastAsia" w:ascii="宋体" w:hAnsi="宋体"/>
                <w:color w:val="auto"/>
                <w:kern w:val="0"/>
                <w:szCs w:val="21"/>
                <w:highlight w:val="none"/>
                <w:lang w:val="en-US" w:eastAsia="zh-CN"/>
              </w:rPr>
              <w:t>10</w:t>
            </w:r>
            <w:r>
              <w:rPr>
                <w:rFonts w:hint="eastAsia" w:ascii="宋体" w:hAnsi="宋体"/>
                <w:color w:val="auto"/>
                <w:kern w:val="0"/>
                <w:szCs w:val="21"/>
                <w:highlight w:val="none"/>
              </w:rPr>
              <w:t xml:space="preserve"> 分，最多记 </w:t>
            </w:r>
            <w:r>
              <w:rPr>
                <w:rFonts w:hint="eastAsia" w:ascii="宋体" w:hAnsi="宋体"/>
                <w:color w:val="auto"/>
                <w:kern w:val="0"/>
                <w:szCs w:val="21"/>
                <w:highlight w:val="none"/>
                <w:lang w:val="en-US" w:eastAsia="zh-CN"/>
              </w:rPr>
              <w:t>30</w:t>
            </w:r>
            <w:r>
              <w:rPr>
                <w:rFonts w:hint="eastAsia" w:ascii="宋体" w:hAnsi="宋体"/>
                <w:color w:val="auto"/>
                <w:kern w:val="0"/>
                <w:szCs w:val="21"/>
                <w:highlight w:val="none"/>
              </w:rPr>
              <w:t xml:space="preserve"> 分。</w:t>
            </w:r>
          </w:p>
          <w:p w14:paraId="4B09CA31">
            <w:pPr>
              <w:widowControl/>
              <w:spacing w:after="120" w:line="240" w:lineRule="auto"/>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注：要求投标文件中提供</w:t>
            </w:r>
            <w:r>
              <w:rPr>
                <w:rFonts w:hint="eastAsia" w:ascii="宋体" w:hAnsi="宋体"/>
                <w:color w:val="auto"/>
                <w:kern w:val="0"/>
                <w:szCs w:val="21"/>
                <w:highlight w:val="none"/>
                <w:lang w:val="en-US" w:eastAsia="zh-CN"/>
              </w:rPr>
              <w:t>中标通知书或</w:t>
            </w:r>
            <w:r>
              <w:rPr>
                <w:rFonts w:hint="eastAsia" w:ascii="宋体" w:hAnsi="宋体"/>
                <w:color w:val="auto"/>
                <w:kern w:val="0"/>
                <w:szCs w:val="21"/>
                <w:highlight w:val="none"/>
              </w:rPr>
              <w:t>合同（复印件加盖投标人公章）</w:t>
            </w:r>
            <w:r>
              <w:rPr>
                <w:rFonts w:hint="eastAsia" w:ascii="宋体" w:hAnsi="宋体"/>
                <w:color w:val="auto"/>
                <w:kern w:val="0"/>
                <w:szCs w:val="21"/>
                <w:highlight w:val="none"/>
                <w:lang w:eastAsia="zh-CN"/>
              </w:rPr>
              <w:t>。</w:t>
            </w:r>
          </w:p>
        </w:tc>
      </w:tr>
      <w:tr w14:paraId="629D7A9A">
        <w:tblPrEx>
          <w:tblCellMar>
            <w:top w:w="0" w:type="dxa"/>
            <w:left w:w="0" w:type="dxa"/>
            <w:bottom w:w="0" w:type="dxa"/>
            <w:right w:w="0" w:type="dxa"/>
          </w:tblCellMar>
        </w:tblPrEx>
        <w:trPr>
          <w:trHeight w:val="1982" w:hRule="atLeast"/>
          <w:jc w:val="center"/>
        </w:trPr>
        <w:tc>
          <w:tcPr>
            <w:tcW w:w="626" w:type="dxa"/>
            <w:vMerge w:val="continue"/>
            <w:tcBorders>
              <w:left w:val="single" w:color="000000" w:sz="6" w:space="0"/>
              <w:right w:val="single" w:color="000000" w:sz="6" w:space="0"/>
            </w:tcBorders>
            <w:vAlign w:val="center"/>
          </w:tcPr>
          <w:p w14:paraId="592ABD09">
            <w:pPr>
              <w:widowControl/>
              <w:spacing w:line="360" w:lineRule="exact"/>
              <w:jc w:val="left"/>
              <w:rPr>
                <w:rFonts w:ascii="宋体" w:hAnsi="宋体"/>
                <w:color w:val="auto"/>
                <w:kern w:val="0"/>
                <w:szCs w:val="21"/>
                <w:highlight w:val="none"/>
              </w:rPr>
            </w:pPr>
          </w:p>
        </w:tc>
        <w:tc>
          <w:tcPr>
            <w:tcW w:w="1086" w:type="dxa"/>
            <w:tcBorders>
              <w:top w:val="single" w:color="auto" w:sz="4" w:space="0"/>
              <w:left w:val="single" w:color="000000" w:sz="6" w:space="0"/>
              <w:right w:val="single" w:color="000000" w:sz="6" w:space="0"/>
            </w:tcBorders>
            <w:tcMar>
              <w:top w:w="0" w:type="dxa"/>
              <w:left w:w="0" w:type="dxa"/>
              <w:bottom w:w="0" w:type="dxa"/>
              <w:right w:w="0" w:type="dxa"/>
            </w:tcMar>
            <w:vAlign w:val="center"/>
          </w:tcPr>
          <w:p w14:paraId="17284092">
            <w:pPr>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对投标人信誉、实力的评价</w:t>
            </w:r>
          </w:p>
        </w:tc>
        <w:tc>
          <w:tcPr>
            <w:tcW w:w="699" w:type="dxa"/>
            <w:tcBorders>
              <w:top w:val="single" w:color="000000" w:sz="6" w:space="0"/>
              <w:left w:val="single" w:color="000000" w:sz="6" w:space="0"/>
              <w:right w:val="single" w:color="000000" w:sz="6" w:space="0"/>
            </w:tcBorders>
            <w:tcMar>
              <w:top w:w="0" w:type="dxa"/>
              <w:left w:w="0" w:type="dxa"/>
              <w:bottom w:w="0" w:type="dxa"/>
              <w:right w:w="0" w:type="dxa"/>
            </w:tcMar>
            <w:vAlign w:val="center"/>
          </w:tcPr>
          <w:p w14:paraId="2030D141">
            <w:pPr>
              <w:widowControl/>
              <w:spacing w:line="360" w:lineRule="exact"/>
              <w:jc w:val="center"/>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rPr>
              <w:t>0-</w:t>
            </w:r>
            <w:r>
              <w:rPr>
                <w:rFonts w:hint="eastAsia" w:ascii="宋体" w:hAnsi="宋体"/>
                <w:color w:val="auto"/>
                <w:kern w:val="0"/>
                <w:szCs w:val="21"/>
                <w:highlight w:val="none"/>
                <w:lang w:val="en-US" w:eastAsia="zh-CN"/>
              </w:rPr>
              <w:t>30</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AC7F38C">
            <w:pPr>
              <w:widowControl/>
              <w:spacing w:after="120" w:line="240" w:lineRule="auto"/>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投标人具有并提供了有效的质量管理体系认证证书、环境管理体系认 证证书、信息安全管理体系认证证书、信息技术服务管理体系认证证 书的：每提供一个证书记</w:t>
            </w:r>
            <w:r>
              <w:rPr>
                <w:rFonts w:hint="eastAsia" w:ascii="宋体" w:hAnsi="宋体"/>
                <w:color w:val="auto"/>
                <w:kern w:val="0"/>
                <w:szCs w:val="21"/>
                <w:highlight w:val="none"/>
                <w:lang w:val="en-US" w:eastAsia="zh-CN"/>
              </w:rPr>
              <w:t>7.5</w:t>
            </w:r>
            <w:r>
              <w:rPr>
                <w:rFonts w:hint="eastAsia" w:ascii="宋体" w:hAnsi="宋体"/>
                <w:color w:val="auto"/>
                <w:kern w:val="0"/>
                <w:szCs w:val="21"/>
                <w:highlight w:val="none"/>
              </w:rPr>
              <w:t>分，最多记</w:t>
            </w:r>
            <w:r>
              <w:rPr>
                <w:rFonts w:hint="eastAsia" w:ascii="宋体" w:hAnsi="宋体"/>
                <w:color w:val="auto"/>
                <w:kern w:val="0"/>
                <w:szCs w:val="21"/>
                <w:highlight w:val="none"/>
                <w:lang w:val="en-US" w:eastAsia="zh-CN"/>
              </w:rPr>
              <w:t>30</w:t>
            </w:r>
            <w:r>
              <w:rPr>
                <w:rFonts w:hint="eastAsia" w:ascii="宋体" w:hAnsi="宋体"/>
                <w:color w:val="auto"/>
                <w:kern w:val="0"/>
                <w:szCs w:val="21"/>
                <w:highlight w:val="none"/>
              </w:rPr>
              <w:t>分。</w:t>
            </w:r>
          </w:p>
          <w:p w14:paraId="5D16B6CB">
            <w:pPr>
              <w:widowControl/>
              <w:spacing w:after="120" w:line="240" w:lineRule="auto"/>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注：要求投标文件中提供证书（扫描件加盖投标人公章），没有提供 或证书不在有效期内的不记分。</w:t>
            </w:r>
          </w:p>
        </w:tc>
      </w:tr>
      <w:tr w14:paraId="14028DC7">
        <w:tblPrEx>
          <w:tblCellMar>
            <w:top w:w="0" w:type="dxa"/>
            <w:left w:w="0" w:type="dxa"/>
            <w:bottom w:w="0" w:type="dxa"/>
            <w:right w:w="0" w:type="dxa"/>
          </w:tblCellMar>
        </w:tblPrEx>
        <w:trPr>
          <w:jc w:val="center"/>
        </w:trPr>
        <w:tc>
          <w:tcPr>
            <w:tcW w:w="62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2FDEC79">
            <w:pPr>
              <w:widowControl/>
              <w:spacing w:line="360" w:lineRule="exact"/>
              <w:jc w:val="left"/>
              <w:rPr>
                <w:rFonts w:ascii="宋体" w:hAnsi="宋体"/>
                <w:color w:val="auto"/>
                <w:kern w:val="0"/>
                <w:szCs w:val="21"/>
                <w:highlight w:val="none"/>
              </w:rPr>
            </w:pPr>
            <w:r>
              <w:rPr>
                <w:rFonts w:ascii="宋体" w:hAnsi="宋体"/>
                <w:color w:val="auto"/>
                <w:kern w:val="0"/>
                <w:szCs w:val="21"/>
                <w:highlight w:val="none"/>
              </w:rPr>
              <w:t>价格部分(F3)</w:t>
            </w:r>
          </w:p>
        </w:tc>
        <w:tc>
          <w:tcPr>
            <w:tcW w:w="108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51F2B44">
            <w:pPr>
              <w:widowControl/>
              <w:spacing w:line="360" w:lineRule="exact"/>
              <w:jc w:val="left"/>
              <w:rPr>
                <w:rFonts w:ascii="宋体" w:hAnsi="宋体"/>
                <w:color w:val="auto"/>
                <w:kern w:val="0"/>
                <w:szCs w:val="21"/>
                <w:highlight w:val="none"/>
              </w:rPr>
            </w:pPr>
            <w:r>
              <w:rPr>
                <w:rFonts w:ascii="宋体" w:hAnsi="宋体"/>
                <w:color w:val="auto"/>
                <w:kern w:val="0"/>
                <w:szCs w:val="21"/>
                <w:highlight w:val="none"/>
              </w:rPr>
              <w:t xml:space="preserve">投标报价 </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DE49C7A">
            <w:pPr>
              <w:widowControl/>
              <w:spacing w:line="360" w:lineRule="exact"/>
              <w:jc w:val="center"/>
              <w:rPr>
                <w:rFonts w:ascii="宋体" w:hAnsi="宋体"/>
                <w:color w:val="auto"/>
                <w:kern w:val="0"/>
                <w:szCs w:val="21"/>
                <w:highlight w:val="none"/>
              </w:rPr>
            </w:pPr>
            <w:r>
              <w:rPr>
                <w:rFonts w:ascii="宋体" w:hAnsi="宋体"/>
                <w:color w:val="auto"/>
                <w:kern w:val="0"/>
                <w:szCs w:val="21"/>
                <w:highlight w:val="none"/>
              </w:rPr>
              <w:t xml:space="preserve">100.0 </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2FAA3C1">
            <w:pPr>
              <w:widowControl/>
              <w:spacing w:after="120" w:line="360" w:lineRule="exact"/>
              <w:ind w:left="105" w:leftChars="50" w:right="105" w:rightChars="50"/>
              <w:jc w:val="left"/>
              <w:textAlignment w:val="center"/>
              <w:rPr>
                <w:rFonts w:ascii="宋体" w:hAnsi="宋体"/>
                <w:color w:val="auto"/>
                <w:kern w:val="0"/>
                <w:szCs w:val="21"/>
              </w:rPr>
            </w:pPr>
            <w:r>
              <w:rPr>
                <w:rFonts w:ascii="宋体" w:hAnsi="宋体"/>
                <w:color w:val="auto"/>
                <w:kern w:val="0"/>
                <w:szCs w:val="21"/>
              </w:rPr>
              <w:t>满足招标文件要求且投标报价中最低的投标报价为评标基准价其价格分为满分；其他投标人的价格分统一按照以下公式计算：</w:t>
            </w:r>
          </w:p>
          <w:p w14:paraId="1A95CB1A">
            <w:pPr>
              <w:keepNext w:val="0"/>
              <w:keepLines w:val="0"/>
              <w:widowControl/>
              <w:suppressLineNumbers w:val="0"/>
              <w:jc w:val="left"/>
              <w:rPr>
                <w:rFonts w:ascii="宋体" w:hAnsi="宋体"/>
                <w:color w:val="auto"/>
                <w:kern w:val="0"/>
                <w:szCs w:val="21"/>
                <w:highlight w:val="none"/>
              </w:rPr>
            </w:pPr>
            <w:r>
              <w:rPr>
                <w:rFonts w:ascii="宋体" w:hAnsi="宋体"/>
                <w:color w:val="auto"/>
                <w:kern w:val="0"/>
                <w:szCs w:val="21"/>
              </w:rPr>
              <w:t xml:space="preserve">投标报价得分=（评标基准价/投标报价）×价格权值×100 </w:t>
            </w:r>
          </w:p>
        </w:tc>
      </w:tr>
    </w:tbl>
    <w:p w14:paraId="0EF15A44">
      <w:pPr>
        <w:widowControl/>
        <w:rPr>
          <w:kern w:val="0"/>
          <w:szCs w:val="21"/>
        </w:rPr>
      </w:pPr>
    </w:p>
    <w:p w14:paraId="61E23402">
      <w:pPr>
        <w:widowControl/>
        <w:rPr>
          <w:kern w:val="0"/>
          <w:szCs w:val="21"/>
        </w:rPr>
      </w:pPr>
    </w:p>
    <w:p w14:paraId="2FA2E9E5">
      <w:pPr>
        <w:spacing w:line="360" w:lineRule="exact"/>
        <w:jc w:val="left"/>
        <w:rPr>
          <w:rFonts w:ascii="宋体" w:hAnsi="宋体"/>
          <w:szCs w:val="21"/>
          <w:u w:val="dottedHeavy"/>
        </w:rPr>
      </w:pPr>
      <w:r>
        <w:rPr>
          <w:rFonts w:hint="eastAsia" w:ascii="宋体" w:hAnsi="宋体"/>
          <w:szCs w:val="21"/>
          <w:u w:val="dottedHeavy"/>
        </w:rPr>
        <w:t>注：</w:t>
      </w:r>
    </w:p>
    <w:p w14:paraId="1E033281">
      <w:pPr>
        <w:spacing w:line="360" w:lineRule="exact"/>
        <w:jc w:val="left"/>
        <w:rPr>
          <w:rFonts w:ascii="宋体" w:hAnsi="宋体"/>
          <w:szCs w:val="21"/>
          <w:u w:val="dottedHeavy"/>
        </w:rPr>
      </w:pPr>
      <w:r>
        <w:rPr>
          <w:rFonts w:hint="eastAsia" w:ascii="宋体" w:hAnsi="宋体"/>
          <w:szCs w:val="21"/>
          <w:u w:val="dottedHeavy"/>
        </w:rPr>
        <w:t>1）根据《政府采购法实施条例》释义，银行、保险、石油石化、电力、电信等有行业特殊情况的，取得营业执照的分支机构可以分公司的名义直接参与投标；</w:t>
      </w:r>
    </w:p>
    <w:p w14:paraId="476CE6E1">
      <w:pPr>
        <w:spacing w:line="360" w:lineRule="exact"/>
        <w:jc w:val="left"/>
        <w:rPr>
          <w:rFonts w:hint="default" w:ascii="宋体" w:hAnsi="宋体" w:eastAsia="宋体"/>
          <w:color w:val="auto"/>
          <w:szCs w:val="21"/>
          <w:u w:val="dottedHeavy"/>
          <w:lang w:val="en-US" w:eastAsia="zh-CN"/>
        </w:rPr>
      </w:pPr>
      <w:r>
        <w:rPr>
          <w:rFonts w:hint="eastAsia" w:ascii="宋体" w:hAnsi="宋体"/>
          <w:szCs w:val="21"/>
          <w:u w:val="dottedHeavy"/>
        </w:rPr>
        <w:t>2）投标人为分公司等特殊情形时，投标人资质证明、认证材料、合同案例、人员证书的范围包括投标人及投标人所属总公司(或母公司)、及其总公司(或母公司)的下全资子公司。</w:t>
      </w:r>
      <w:r>
        <w:rPr>
          <w:rFonts w:hint="eastAsia" w:ascii="宋体" w:hAnsi="宋体"/>
          <w:color w:val="auto"/>
          <w:szCs w:val="21"/>
          <w:u w:val="dottedHeavy"/>
          <w:lang w:eastAsia="zh-CN"/>
        </w:rPr>
        <w:t>（</w:t>
      </w:r>
      <w:r>
        <w:rPr>
          <w:rFonts w:hint="eastAsia" w:ascii="宋体" w:hAnsi="宋体"/>
          <w:color w:val="auto"/>
          <w:szCs w:val="21"/>
          <w:u w:val="dottedHeavy"/>
          <w:lang w:val="en-US" w:eastAsia="zh-CN"/>
        </w:rPr>
        <w:t>提供关系证明材料）</w:t>
      </w:r>
    </w:p>
    <w:p w14:paraId="2ABE5602">
      <w:pPr>
        <w:widowControl/>
        <w:jc w:val="left"/>
        <w:rPr>
          <w:rFonts w:ascii="黑体" w:hAnsi="华文中宋" w:eastAsia="黑体"/>
          <w:b/>
          <w:bCs/>
          <w:sz w:val="32"/>
          <w:szCs w:val="32"/>
        </w:rPr>
      </w:pPr>
      <w:bookmarkStart w:id="132" w:name="_Toc29913941"/>
      <w:bookmarkStart w:id="133" w:name="_Toc22482"/>
      <w:r>
        <w:rPr>
          <w:rFonts w:ascii="黑体" w:hAnsi="华文中宋" w:eastAsia="黑体"/>
          <w:sz w:val="32"/>
          <w:szCs w:val="32"/>
        </w:rPr>
        <w:br w:type="page"/>
      </w:r>
    </w:p>
    <w:p w14:paraId="77C81EFF">
      <w:pPr>
        <w:pStyle w:val="3"/>
        <w:keepNext w:val="0"/>
        <w:adjustRightInd w:val="0"/>
        <w:snapToGrid w:val="0"/>
        <w:spacing w:beforeLines="50" w:line="360" w:lineRule="auto"/>
        <w:rPr>
          <w:rFonts w:ascii="黑体" w:hAnsi="华文中宋" w:eastAsia="黑体"/>
          <w:color w:val="auto"/>
          <w:sz w:val="32"/>
          <w:szCs w:val="32"/>
        </w:rPr>
      </w:pPr>
      <w:bookmarkStart w:id="134" w:name="_Toc172716688"/>
      <w:r>
        <w:rPr>
          <w:rFonts w:hint="eastAsia" w:ascii="黑体" w:hAnsi="华文中宋" w:eastAsia="黑体"/>
          <w:color w:val="auto"/>
          <w:sz w:val="32"/>
          <w:szCs w:val="32"/>
        </w:rPr>
        <w:t>第五章 采购需求</w:t>
      </w:r>
      <w:bookmarkEnd w:id="132"/>
      <w:bookmarkEnd w:id="133"/>
      <w:bookmarkEnd w:id="134"/>
    </w:p>
    <w:p w14:paraId="0B0846D9">
      <w:pPr>
        <w:keepNext/>
        <w:keepLines/>
        <w:numPr>
          <w:ilvl w:val="2"/>
          <w:numId w:val="0"/>
        </w:numPr>
        <w:spacing w:line="360" w:lineRule="auto"/>
        <w:ind w:left="720" w:hanging="720"/>
        <w:jc w:val="center"/>
        <w:outlineLvl w:val="2"/>
        <w:rPr>
          <w:rFonts w:ascii="宋体" w:hAnsi="宋体" w:eastAsia="宋体" w:cs="Times New Roman"/>
          <w:b/>
          <w:color w:val="auto"/>
          <w:sz w:val="28"/>
          <w:szCs w:val="28"/>
        </w:rPr>
      </w:pPr>
      <w:bookmarkStart w:id="135" w:name="_Toc172716691"/>
      <w:bookmarkStart w:id="136" w:name="_Toc10332"/>
      <w:bookmarkStart w:id="137" w:name="_Toc30645"/>
      <w:bookmarkStart w:id="138" w:name="_Toc172716775"/>
      <w:r>
        <w:rPr>
          <w:rFonts w:hint="eastAsia" w:ascii="宋体" w:hAnsi="宋体" w:eastAsia="宋体" w:cs="Times New Roman"/>
          <w:b/>
          <w:color w:val="auto"/>
          <w:sz w:val="28"/>
          <w:szCs w:val="28"/>
        </w:rPr>
        <w:t>一、建设背景</w:t>
      </w:r>
      <w:bookmarkEnd w:id="135"/>
      <w:bookmarkEnd w:id="136"/>
    </w:p>
    <w:p w14:paraId="5537B0A1">
      <w:pPr>
        <w:kinsoku/>
        <w:wordWrap/>
        <w:overflowPunct/>
        <w:topLinePunct w:val="0"/>
        <w:bidi w:val="0"/>
        <w:spacing w:line="360" w:lineRule="auto"/>
        <w:ind w:firstLine="480" w:firstLineChars="200"/>
        <w:rPr>
          <w:rFonts w:hint="eastAsia" w:ascii="Times New Roman" w:hAnsi="Times New Roman" w:eastAsia="宋体" w:cs="宋体"/>
          <w:color w:val="auto"/>
          <w:sz w:val="24"/>
          <w:highlight w:val="none"/>
        </w:rPr>
      </w:pPr>
      <w:bookmarkStart w:id="139" w:name="_Toc457"/>
      <w:bookmarkStart w:id="140" w:name="_Toc172716692"/>
      <w:r>
        <w:rPr>
          <w:rFonts w:hint="eastAsia" w:ascii="Times New Roman" w:hAnsi="Times New Roman" w:eastAsia="宋体" w:cs="宋体"/>
          <w:color w:val="auto"/>
          <w:sz w:val="24"/>
          <w:highlight w:val="none"/>
        </w:rPr>
        <w:t>建设城市社会治安视频监控系统是实现城市发展、安全和稳定的重要基础，是“平安城市”建设的重要组成部分，更成为“智慧城市”的重要载体，它不仅可以满足治安管理、城市管理、交通管理、应急指挥等需求，在预防、发现、控制、打击违法犯罪，提供破案线索，固定违法犯罪证据等方面也发挥人防、物防所不可替代的作用，对于提升城市可视化管理水平和政府应急处置能力，维护城市公共安全具有十分重大的意义。</w:t>
      </w:r>
    </w:p>
    <w:p w14:paraId="4F94D154">
      <w:pPr>
        <w:kinsoku/>
        <w:wordWrap/>
        <w:overflowPunct/>
        <w:topLinePunct w:val="0"/>
        <w:bidi w:val="0"/>
        <w:spacing w:line="360" w:lineRule="auto"/>
        <w:ind w:firstLine="480" w:firstLineChars="20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近年来，随着改革的持续深化，城市化进程不断加快，汽车保有量激增，基层的社会治安方面出现了一些新的问题，各类社会矛盾和冲突逐步增多，新的形势对基层治安的监控及综合治理提出了更高的标准，为推进基层治安的综合治理，在我市先后建设并运行的“智能天网</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数字城管</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智能交通</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数字治超</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数字市政</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数字钢坝”等一大批信息化管理平台的基础上，成功组建了统一的郴州市视频专用网络，不仅解决了智能天网的上万个摄像头的视频监控平台，而且</w:t>
      </w:r>
      <w:r>
        <w:rPr>
          <w:rFonts w:hint="eastAsia" w:ascii="Times New Roman" w:hAnsi="Times New Roman" w:eastAsia="宋体" w:cs="宋体"/>
          <w:color w:val="auto"/>
          <w:sz w:val="24"/>
          <w:highlight w:val="none"/>
          <w:lang w:eastAsia="zh-CN"/>
        </w:rPr>
        <w:t>成功地</w:t>
      </w:r>
      <w:r>
        <w:rPr>
          <w:rFonts w:hint="eastAsia" w:ascii="Times New Roman" w:hAnsi="Times New Roman" w:eastAsia="宋体" w:cs="宋体"/>
          <w:color w:val="auto"/>
          <w:sz w:val="24"/>
          <w:highlight w:val="none"/>
        </w:rPr>
        <w:t>把城管、消防、治超、路政、武警</w:t>
      </w:r>
      <w:r>
        <w:rPr>
          <w:rFonts w:hint="eastAsia" w:ascii="Times New Roman" w:hAnsi="Times New Roman" w:eastAsia="宋体" w:cs="宋体"/>
          <w:color w:val="auto"/>
          <w:sz w:val="24"/>
          <w:highlight w:val="none"/>
          <w:lang w:eastAsia="zh-CN"/>
        </w:rPr>
        <w:t>等</w:t>
      </w:r>
      <w:r>
        <w:rPr>
          <w:rFonts w:hint="eastAsia" w:ascii="Times New Roman" w:hAnsi="Times New Roman" w:eastAsia="宋体" w:cs="宋体"/>
          <w:color w:val="auto"/>
          <w:sz w:val="24"/>
          <w:highlight w:val="none"/>
        </w:rPr>
        <w:t>专用平台融合了进来，尤其是在融合了社会治安监控专项工</w:t>
      </w:r>
      <w:r>
        <w:rPr>
          <w:rFonts w:hint="eastAsia" w:ascii="Times New Roman" w:hAnsi="Times New Roman" w:eastAsia="宋体" w:cs="宋体"/>
          <w:color w:val="auto"/>
          <w:sz w:val="24"/>
          <w:highlight w:val="none"/>
          <w:lang w:eastAsia="zh-CN"/>
        </w:rPr>
        <w:t>程和</w:t>
      </w:r>
      <w:r>
        <w:rPr>
          <w:rFonts w:hint="eastAsia" w:ascii="Times New Roman" w:hAnsi="Times New Roman" w:eastAsia="宋体" w:cs="宋体"/>
          <w:color w:val="auto"/>
          <w:sz w:val="24"/>
          <w:highlight w:val="none"/>
        </w:rPr>
        <w:t>“雪亮工程”的网络后，非常显著</w:t>
      </w:r>
      <w:r>
        <w:rPr>
          <w:rFonts w:hint="eastAsia" w:ascii="Times New Roman" w:hAnsi="Times New Roman" w:eastAsia="宋体" w:cs="宋体"/>
          <w:color w:val="auto"/>
          <w:sz w:val="24"/>
          <w:highlight w:val="none"/>
          <w:lang w:eastAsia="zh-CN"/>
        </w:rPr>
        <w:t>地</w:t>
      </w:r>
      <w:r>
        <w:rPr>
          <w:rFonts w:hint="eastAsia" w:ascii="Times New Roman" w:hAnsi="Times New Roman" w:eastAsia="宋体" w:cs="宋体"/>
          <w:color w:val="auto"/>
          <w:sz w:val="24"/>
          <w:highlight w:val="none"/>
        </w:rPr>
        <w:t>提升了全市城市管理和社会综合治理工作水平，解决了各单位视频监控网络各自为政，重复建设的最大难题。</w:t>
      </w:r>
    </w:p>
    <w:p w14:paraId="3A512B14">
      <w:pPr>
        <w:kinsoku/>
        <w:wordWrap/>
        <w:overflowPunct/>
        <w:topLinePunct w:val="0"/>
        <w:bidi w:val="0"/>
        <w:spacing w:line="360" w:lineRule="auto"/>
        <w:ind w:firstLine="480" w:firstLineChars="20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统一的视频专网解决方案围绕基层治安综合治理业务需求及国家政策文件标准，以视频监控系统建设为重点</w:t>
      </w:r>
      <w:r>
        <w:rPr>
          <w:rFonts w:hint="eastAsia" w:ascii="Times New Roman" w:hAnsi="Times New Roman" w:eastAsia="宋体" w:cs="宋体"/>
          <w:color w:val="auto"/>
          <w:sz w:val="24"/>
          <w:highlight w:val="none"/>
          <w:lang w:eastAsia="zh-CN"/>
        </w:rPr>
        <w:t>，以</w:t>
      </w:r>
      <w:r>
        <w:rPr>
          <w:rFonts w:hint="eastAsia" w:ascii="Times New Roman" w:hAnsi="Times New Roman" w:eastAsia="宋体" w:cs="宋体"/>
          <w:color w:val="auto"/>
          <w:sz w:val="24"/>
          <w:highlight w:val="none"/>
        </w:rPr>
        <w:t>信息化、智能化为支撑</w:t>
      </w:r>
      <w:r>
        <w:rPr>
          <w:rFonts w:hint="eastAsia" w:ascii="Times New Roman" w:hAnsi="Times New Roman" w:eastAsia="宋体" w:cs="宋体"/>
          <w:color w:val="auto"/>
          <w:sz w:val="24"/>
          <w:highlight w:val="none"/>
          <w:lang w:eastAsia="zh-CN"/>
        </w:rPr>
        <w:t>，以</w:t>
      </w:r>
      <w:r>
        <w:rPr>
          <w:rFonts w:hint="eastAsia" w:ascii="Times New Roman" w:hAnsi="Times New Roman" w:eastAsia="宋体" w:cs="宋体"/>
          <w:color w:val="auto"/>
          <w:sz w:val="24"/>
          <w:highlight w:val="none"/>
        </w:rPr>
        <w:t>网格化管理为基础，创新基层社会综合治理方式，推进了社会综合治理的现代化。目前郴州视频专网运行正常，分</w:t>
      </w:r>
      <w:r>
        <w:rPr>
          <w:rFonts w:hint="eastAsia" w:ascii="Times New Roman" w:hAnsi="Times New Roman" w:eastAsia="宋体" w:cs="宋体"/>
          <w:color w:val="auto"/>
          <w:sz w:val="24"/>
          <w:highlight w:val="none"/>
          <w:lang w:eastAsia="zh-CN"/>
        </w:rPr>
        <w:t>布在</w:t>
      </w:r>
      <w:r>
        <w:rPr>
          <w:rFonts w:hint="eastAsia" w:ascii="Times New Roman" w:hAnsi="Times New Roman" w:eastAsia="宋体" w:cs="宋体"/>
          <w:color w:val="auto"/>
          <w:sz w:val="24"/>
          <w:highlight w:val="none"/>
        </w:rPr>
        <w:t>城区范围内的六个汇聚节点机</w:t>
      </w:r>
      <w:r>
        <w:rPr>
          <w:rFonts w:hint="eastAsia" w:ascii="Times New Roman" w:hAnsi="Times New Roman" w:eastAsia="宋体" w:cs="宋体"/>
          <w:color w:val="auto"/>
          <w:sz w:val="24"/>
          <w:highlight w:val="none"/>
          <w:lang w:eastAsia="zh-CN"/>
        </w:rPr>
        <w:t>房</w:t>
      </w:r>
      <w:r>
        <w:rPr>
          <w:rFonts w:hint="eastAsia" w:ascii="Times New Roman" w:hAnsi="Times New Roman" w:eastAsia="宋体" w:cs="宋体"/>
          <w:color w:val="auto"/>
          <w:sz w:val="24"/>
          <w:highlight w:val="none"/>
        </w:rPr>
        <w:t>解决了城区非常分散的关联单位和监控点位的接入和汇聚问题。下一步最主要的工作是提升视频专网的带宽，将各县</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市</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、社会监控等视频接入视频专网，建成郴州市全区范围内真正意义上的统一视频专用网络，为提升城市可视化管理水平和政府应急处置能力，维护城市公共安全做好切实</w:t>
      </w:r>
      <w:r>
        <w:rPr>
          <w:rFonts w:hint="eastAsia" w:ascii="Times New Roman" w:hAnsi="Times New Roman" w:eastAsia="宋体" w:cs="宋体"/>
          <w:color w:val="auto"/>
          <w:sz w:val="24"/>
          <w:highlight w:val="none"/>
          <w:lang w:eastAsia="zh-CN"/>
        </w:rPr>
        <w:t>支撑</w:t>
      </w:r>
      <w:r>
        <w:rPr>
          <w:rFonts w:hint="eastAsia" w:ascii="Times New Roman" w:hAnsi="Times New Roman" w:eastAsia="宋体" w:cs="宋体"/>
          <w:color w:val="auto"/>
          <w:sz w:val="24"/>
          <w:highlight w:val="none"/>
        </w:rPr>
        <w:t>。</w:t>
      </w:r>
    </w:p>
    <w:p w14:paraId="78B2B8C3">
      <w:pPr>
        <w:kinsoku/>
        <w:wordWrap/>
        <w:overflowPunct/>
        <w:topLinePunct w:val="0"/>
        <w:bidi w:val="0"/>
        <w:spacing w:line="360" w:lineRule="auto"/>
        <w:ind w:firstLine="480" w:firstLineChars="20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郴州市视频专网依托运营商网络基础目前已建成覆盖全市的三层视频专网：市级核心层、</w:t>
      </w:r>
      <w:r>
        <w:rPr>
          <w:rFonts w:hint="eastAsia" w:ascii="Times New Roman" w:hAnsi="Times New Roman" w:eastAsia="宋体" w:cs="宋体"/>
          <w:color w:val="auto"/>
          <w:sz w:val="24"/>
          <w:highlight w:val="none"/>
          <w:lang w:val="en-US" w:eastAsia="zh-CN"/>
        </w:rPr>
        <w:t>6个市区</w:t>
      </w:r>
      <w:r>
        <w:rPr>
          <w:rFonts w:hint="eastAsia" w:ascii="Times New Roman" w:hAnsi="Times New Roman" w:eastAsia="宋体" w:cs="宋体"/>
          <w:color w:val="auto"/>
          <w:sz w:val="24"/>
          <w:highlight w:val="none"/>
        </w:rPr>
        <w:t>汇聚层、前端点位接入层。由于原有租赁网络已到期，加之有新业务增加到视频专网内，原有网络已不能很好满足现有业务需求，需重新对目前网络进行规划建设以适应未来业务接入需求。</w:t>
      </w:r>
    </w:p>
    <w:p w14:paraId="6C8B1694">
      <w:pPr>
        <w:keepNext/>
        <w:keepLines/>
        <w:numPr>
          <w:ilvl w:val="2"/>
          <w:numId w:val="0"/>
        </w:numPr>
        <w:spacing w:line="360" w:lineRule="auto"/>
        <w:ind w:left="720" w:hanging="720"/>
        <w:jc w:val="center"/>
        <w:outlineLvl w:val="2"/>
        <w:rPr>
          <w:rFonts w:ascii="宋体" w:hAnsi="宋体" w:eastAsia="宋体" w:cs="Times New Roman"/>
          <w:b/>
          <w:color w:val="auto"/>
          <w:sz w:val="28"/>
          <w:szCs w:val="28"/>
        </w:rPr>
      </w:pPr>
      <w:r>
        <w:rPr>
          <w:rFonts w:hint="eastAsia" w:ascii="宋体" w:hAnsi="宋体" w:eastAsia="宋体" w:cs="Times New Roman"/>
          <w:b/>
          <w:color w:val="auto"/>
          <w:sz w:val="28"/>
          <w:szCs w:val="28"/>
        </w:rPr>
        <w:t>二、建设目标</w:t>
      </w:r>
      <w:bookmarkEnd w:id="139"/>
      <w:bookmarkEnd w:id="140"/>
    </w:p>
    <w:p w14:paraId="2651507E">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Arial" w:hAnsi="Arial" w:eastAsia="宋体" w:cs="Times New Roman"/>
          <w:color w:val="auto"/>
          <w:kern w:val="2"/>
          <w:sz w:val="24"/>
          <w:szCs w:val="24"/>
          <w:highlight w:val="none"/>
          <w:lang w:bidi="ar-SA"/>
        </w:rPr>
      </w:pPr>
      <w:bookmarkStart w:id="141" w:name="_Toc172716693"/>
      <w:bookmarkStart w:id="142" w:name="_Toc19718"/>
      <w:r>
        <w:rPr>
          <w:rFonts w:hint="eastAsia" w:ascii="Arial" w:hAnsi="Arial" w:eastAsia="宋体" w:cs="Times New Roman"/>
          <w:color w:val="auto"/>
          <w:kern w:val="2"/>
          <w:sz w:val="24"/>
          <w:szCs w:val="24"/>
          <w:highlight w:val="none"/>
          <w:lang w:bidi="ar-SA"/>
        </w:rPr>
        <w:t>为了切实做好郴州市视频专网的保障工作，</w:t>
      </w:r>
      <w:r>
        <w:rPr>
          <w:rFonts w:hint="eastAsia" w:ascii="宋体" w:hAnsi="宋体" w:eastAsia="宋体" w:cs="Times New Roman"/>
          <w:color w:val="auto"/>
          <w:kern w:val="2"/>
          <w:sz w:val="24"/>
          <w:szCs w:val="24"/>
          <w:highlight w:val="none"/>
          <w:lang w:eastAsia="zh-CN" w:bidi="ar-SA"/>
        </w:rPr>
        <w:t>郴州市数据局</w:t>
      </w:r>
      <w:r>
        <w:rPr>
          <w:rFonts w:hint="eastAsia" w:ascii="Arial" w:hAnsi="Arial" w:eastAsia="宋体" w:cs="Times New Roman"/>
          <w:color w:val="auto"/>
          <w:kern w:val="2"/>
          <w:sz w:val="24"/>
          <w:szCs w:val="24"/>
          <w:highlight w:val="none"/>
          <w:lang w:bidi="ar-SA"/>
        </w:rPr>
        <w:t>将工作重点集中在视频专网的管理、服务以及有效监管等多个关键问题上。通过统筹规划和全面建设郴州市视频专网，致力于构建一个覆盖全市的视频网络服务体系。在此过程中，中心将整合现有的各类资源，力求为郴州市各级单位和部门提供更加高效、优质的保障服务。</w:t>
      </w:r>
    </w:p>
    <w:p w14:paraId="0853D1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Arial" w:hAnsi="Arial" w:eastAsia="宋体" w:cs="Times New Roman"/>
          <w:color w:val="auto"/>
          <w:kern w:val="2"/>
          <w:sz w:val="24"/>
          <w:szCs w:val="24"/>
          <w:highlight w:val="none"/>
          <w:lang w:bidi="ar-SA"/>
        </w:rPr>
      </w:pPr>
      <w:r>
        <w:rPr>
          <w:rFonts w:hint="eastAsia" w:ascii="Arial" w:hAnsi="Arial" w:eastAsia="宋体" w:cs="Times New Roman"/>
          <w:color w:val="auto"/>
          <w:kern w:val="2"/>
          <w:sz w:val="24"/>
          <w:szCs w:val="24"/>
          <w:highlight w:val="none"/>
          <w:lang w:bidi="ar-SA"/>
        </w:rPr>
        <w:t>本项目在规划和实施过程中，严格遵循“先进性、可靠性、实用性、经济性、扩展性”这五大基本原则。具体而言，先进性体现在采用最新的技术和设备，确保系统的前瞻性；可靠性则强调系统的稳定运行，减少故障率；实用性注重系统的易用性和便捷性，满足实际需求；经济性则要求在保证质量的前提下，合理控制成本；扩展性则确保系统能够随着需求的增长进行灵活扩展。</w:t>
      </w:r>
    </w:p>
    <w:p w14:paraId="7022BB21">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Arial" w:hAnsi="Arial" w:eastAsia="宋体" w:cs="Times New Roman"/>
          <w:color w:val="auto"/>
          <w:kern w:val="2"/>
          <w:sz w:val="24"/>
          <w:szCs w:val="24"/>
          <w:highlight w:val="none"/>
          <w:lang w:bidi="ar-SA"/>
        </w:rPr>
      </w:pPr>
      <w:r>
        <w:rPr>
          <w:rFonts w:hint="eastAsia" w:ascii="Arial" w:hAnsi="Arial" w:eastAsia="宋体" w:cs="Times New Roman"/>
          <w:color w:val="auto"/>
          <w:kern w:val="2"/>
          <w:sz w:val="24"/>
          <w:szCs w:val="24"/>
          <w:highlight w:val="none"/>
          <w:lang w:bidi="ar-SA"/>
        </w:rPr>
        <w:t>在规划设计阶段，本项目将依据国家相关的法律法规、国家和行业的相关标准，以及最新的研究成果和资料进行科学、严谨的规划。通过综合考量多方面因素，确保系统的设计既符合法律法规的要求，又具备行业领先水平。</w:t>
      </w:r>
    </w:p>
    <w:p w14:paraId="5E1027F9">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Arial" w:hAnsi="Arial" w:eastAsia="宋体" w:cs="Times New Roman"/>
          <w:color w:val="auto"/>
          <w:kern w:val="2"/>
          <w:sz w:val="24"/>
          <w:szCs w:val="24"/>
          <w:highlight w:val="none"/>
          <w:lang w:bidi="ar-SA"/>
        </w:rPr>
      </w:pPr>
      <w:r>
        <w:rPr>
          <w:rFonts w:hint="eastAsia" w:ascii="Arial" w:hAnsi="Arial" w:eastAsia="宋体" w:cs="Times New Roman"/>
          <w:color w:val="auto"/>
          <w:kern w:val="2"/>
          <w:sz w:val="24"/>
          <w:szCs w:val="24"/>
          <w:highlight w:val="none"/>
          <w:lang w:bidi="ar-SA"/>
        </w:rPr>
        <w:t>本系统的总体建设目标主要包括以下几个方面：</w:t>
      </w:r>
    </w:p>
    <w:p w14:paraId="7E1B11DD">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Arial" w:hAnsi="Arial" w:eastAsia="宋体" w:cs="Times New Roman"/>
          <w:color w:val="auto"/>
          <w:kern w:val="2"/>
          <w:sz w:val="24"/>
          <w:szCs w:val="24"/>
          <w:highlight w:val="none"/>
          <w:lang w:bidi="ar-SA"/>
        </w:rPr>
      </w:pPr>
      <w:r>
        <w:rPr>
          <w:rFonts w:hint="eastAsia" w:ascii="Arial" w:hAnsi="Arial" w:eastAsia="宋体" w:cs="Times New Roman"/>
          <w:color w:val="auto"/>
          <w:kern w:val="2"/>
          <w:sz w:val="24"/>
          <w:szCs w:val="24"/>
          <w:highlight w:val="none"/>
          <w:lang w:bidi="ar-SA"/>
        </w:rPr>
        <w:t>首先，确保视频专网的稳定、高效运行，满足各单位的日常使用需求；其次，提升视频专网的管理水平，实现智能化、精细化的管理；再次，优化服务流程，提高服务质量和效率；最后，建立健全有效的监管机制，确保视频专网的安全性和可靠性。通过实现这些目标，最终为郴州市的政务服务和公共安全提供强有力的技术支撑。</w:t>
      </w:r>
    </w:p>
    <w:p w14:paraId="05F63127">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Arial" w:hAnsi="Arial" w:eastAsia="宋体" w:cs="Times New Roman"/>
          <w:color w:val="auto"/>
          <w:kern w:val="2"/>
          <w:sz w:val="24"/>
          <w:szCs w:val="24"/>
          <w:highlight w:val="none"/>
          <w:lang w:bidi="ar-SA"/>
        </w:rPr>
      </w:pPr>
      <w:r>
        <w:rPr>
          <w:rFonts w:hint="eastAsia" w:ascii="Arial" w:hAnsi="Arial" w:eastAsia="宋体" w:cs="Times New Roman"/>
          <w:color w:val="auto"/>
          <w:kern w:val="2"/>
          <w:sz w:val="24"/>
          <w:szCs w:val="24"/>
          <w:highlight w:val="none"/>
          <w:lang w:bidi="ar-SA"/>
        </w:rPr>
        <w:t>1.结合郴州市公安局、交通局、城管局等政府相关职能部门的实际需求，同时根据各单位网络的实际情况，建设完成郴州市视频专网链路租赁的建设任务。</w:t>
      </w:r>
    </w:p>
    <w:p w14:paraId="4EEE0781">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Arial" w:hAnsi="Arial" w:eastAsia="宋体" w:cs="Times New Roman"/>
          <w:color w:val="auto"/>
          <w:kern w:val="2"/>
          <w:sz w:val="24"/>
          <w:szCs w:val="24"/>
          <w:highlight w:val="none"/>
          <w:lang w:bidi="ar-SA"/>
        </w:rPr>
      </w:pPr>
      <w:r>
        <w:rPr>
          <w:rFonts w:hint="eastAsia" w:ascii="Arial" w:hAnsi="Arial" w:eastAsia="宋体" w:cs="Times New Roman"/>
          <w:color w:val="auto"/>
          <w:kern w:val="2"/>
          <w:sz w:val="24"/>
          <w:szCs w:val="24"/>
          <w:highlight w:val="none"/>
          <w:lang w:bidi="ar-SA"/>
        </w:rPr>
        <w:t>2.依据现网情况调整网络结构，为全市公安、城管各业务应用系统开展研判、分析和预警工作提供网络支持，实现社会治安管控能力明显提升的总体目标，成为有效提升社会综治和维稳的有力保障。</w:t>
      </w:r>
    </w:p>
    <w:p w14:paraId="57E8ED32">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Arial" w:hAnsi="Arial" w:eastAsia="宋体" w:cs="Times New Roman"/>
          <w:color w:val="auto"/>
          <w:kern w:val="2"/>
          <w:sz w:val="24"/>
          <w:szCs w:val="24"/>
          <w:highlight w:val="none"/>
          <w:lang w:eastAsia="zh-CN" w:bidi="ar-SA"/>
        </w:rPr>
      </w:pPr>
      <w:r>
        <w:rPr>
          <w:rFonts w:hint="eastAsia" w:ascii="Arial" w:hAnsi="Arial" w:eastAsia="宋体" w:cs="Times New Roman"/>
          <w:color w:val="auto"/>
          <w:kern w:val="2"/>
          <w:sz w:val="24"/>
          <w:szCs w:val="24"/>
          <w:highlight w:val="none"/>
          <w:lang w:bidi="ar-SA"/>
        </w:rPr>
        <w:t>3.为视频专网汇聚层提供机房空间，保障后端设备及汇聚设备的正常运行，同时提供前端监控点的维护工作。</w:t>
      </w:r>
    </w:p>
    <w:p w14:paraId="14FD9425">
      <w:pPr>
        <w:keepNext/>
        <w:keepLines/>
        <w:numPr>
          <w:ilvl w:val="2"/>
          <w:numId w:val="0"/>
        </w:numPr>
        <w:spacing w:line="360" w:lineRule="auto"/>
        <w:ind w:left="720" w:hanging="720"/>
        <w:jc w:val="center"/>
        <w:outlineLvl w:val="2"/>
        <w:rPr>
          <w:rFonts w:ascii="宋体" w:hAnsi="宋体" w:eastAsia="宋体" w:cs="Times New Roman"/>
          <w:b/>
          <w:color w:val="auto"/>
          <w:sz w:val="28"/>
          <w:szCs w:val="28"/>
        </w:rPr>
      </w:pPr>
      <w:r>
        <w:rPr>
          <w:rFonts w:hint="eastAsia" w:ascii="宋体" w:hAnsi="宋体" w:eastAsia="宋体" w:cs="Times New Roman"/>
          <w:b/>
          <w:color w:val="auto"/>
          <w:sz w:val="28"/>
          <w:szCs w:val="28"/>
        </w:rPr>
        <w:t>三、建设内容及规模</w:t>
      </w:r>
      <w:bookmarkEnd w:id="141"/>
      <w:bookmarkEnd w:id="142"/>
    </w:p>
    <w:p w14:paraId="044536A5">
      <w:pPr>
        <w:pStyle w:val="6"/>
        <w:numPr>
          <w:ilvl w:val="0"/>
          <w:numId w:val="0"/>
        </w:numPr>
        <w:tabs>
          <w:tab w:val="left" w:pos="0"/>
          <w:tab w:val="left" w:pos="993"/>
          <w:tab w:val="left" w:pos="1050"/>
          <w:tab w:val="left" w:pos="1260"/>
        </w:tabs>
        <w:bidi w:val="0"/>
        <w:spacing w:before="50" w:beforeLines="50" w:after="50" w:afterLines="50" w:line="360" w:lineRule="auto"/>
        <w:ind w:left="397" w:leftChars="0"/>
        <w:rPr>
          <w:rFonts w:hint="eastAsia" w:cs="宋体"/>
          <w:color w:val="auto"/>
          <w:sz w:val="24"/>
          <w:szCs w:val="24"/>
          <w:highlight w:val="none"/>
        </w:rPr>
      </w:pPr>
      <w:bookmarkStart w:id="143" w:name="_Toc172716694"/>
      <w:r>
        <w:rPr>
          <w:rFonts w:hint="eastAsia" w:ascii="仿宋" w:hAnsi="仿宋" w:eastAsia="仿宋" w:cs="Times New Roman"/>
          <w:b/>
          <w:color w:val="auto"/>
          <w:sz w:val="24"/>
          <w:szCs w:val="24"/>
        </w:rPr>
        <w:t>1、</w:t>
      </w:r>
      <w:bookmarkEnd w:id="143"/>
      <w:r>
        <w:rPr>
          <w:rFonts w:hint="eastAsia" w:cs="宋体"/>
          <w:color w:val="auto"/>
          <w:sz w:val="24"/>
          <w:szCs w:val="24"/>
          <w:highlight w:val="none"/>
        </w:rPr>
        <w:t>视频专网链路租赁</w:t>
      </w:r>
    </w:p>
    <w:p w14:paraId="0C52CB0B">
      <w:pPr>
        <w:spacing w:line="360" w:lineRule="auto"/>
        <w:ind w:firstLine="480" w:firstLineChars="200"/>
        <w:rPr>
          <w:rFonts w:hint="eastAsia" w:ascii="宋体" w:hAnsi="宋体" w:eastAsia="宋体" w:cs="宋体"/>
          <w:color w:val="auto"/>
          <w:kern w:val="2"/>
          <w:sz w:val="24"/>
          <w:szCs w:val="24"/>
          <w:highlight w:val="none"/>
          <w:lang w:bidi="ar-SA"/>
        </w:rPr>
      </w:pPr>
      <w:r>
        <w:rPr>
          <w:rFonts w:hint="eastAsia" w:ascii="宋体" w:hAnsi="宋体" w:eastAsia="宋体" w:cs="宋体"/>
          <w:color w:val="auto"/>
          <w:kern w:val="2"/>
          <w:sz w:val="24"/>
          <w:szCs w:val="24"/>
          <w:highlight w:val="none"/>
          <w:lang w:bidi="ar-SA"/>
        </w:rPr>
        <w:t>视频专网需租赁4</w:t>
      </w:r>
      <w:r>
        <w:rPr>
          <w:rFonts w:hint="eastAsia" w:ascii="宋体" w:hAnsi="宋体" w:eastAsia="宋体" w:cs="宋体"/>
          <w:color w:val="auto"/>
          <w:kern w:val="2"/>
          <w:sz w:val="24"/>
          <w:szCs w:val="24"/>
          <w:highlight w:val="none"/>
          <w:lang w:val="en-US" w:eastAsia="zh-CN" w:bidi="ar-SA"/>
        </w:rPr>
        <w:t>625</w:t>
      </w:r>
      <w:r>
        <w:rPr>
          <w:rFonts w:hint="eastAsia" w:ascii="宋体" w:hAnsi="宋体" w:eastAsia="宋体" w:cs="宋体"/>
          <w:color w:val="auto"/>
          <w:kern w:val="2"/>
          <w:sz w:val="24"/>
          <w:szCs w:val="24"/>
          <w:highlight w:val="none"/>
          <w:lang w:bidi="ar-SA"/>
        </w:rPr>
        <w:t>条+1项链路：</w:t>
      </w:r>
      <w:r>
        <w:rPr>
          <w:rFonts w:hint="eastAsia" w:ascii="宋体" w:hAnsi="宋体" w:eastAsia="宋体" w:cs="宋体"/>
          <w:color w:val="auto"/>
          <w:kern w:val="2"/>
          <w:sz w:val="24"/>
          <w:szCs w:val="24"/>
          <w:highlight w:val="none"/>
          <w:lang w:val="en-US" w:eastAsia="zh-CN" w:bidi="ar-SA"/>
        </w:rPr>
        <w:t>其中</w:t>
      </w:r>
      <w:r>
        <w:rPr>
          <w:rFonts w:hint="eastAsia" w:ascii="宋体" w:hAnsi="宋体" w:eastAsia="宋体" w:cs="宋体"/>
          <w:color w:val="auto"/>
          <w:kern w:val="2"/>
          <w:sz w:val="24"/>
          <w:szCs w:val="24"/>
          <w:highlight w:val="none"/>
          <w:lang w:bidi="ar-SA"/>
        </w:rPr>
        <w:t>15</w:t>
      </w:r>
      <w:r>
        <w:rPr>
          <w:rFonts w:hint="eastAsia" w:ascii="宋体" w:hAnsi="宋体" w:eastAsia="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bidi="ar-SA"/>
        </w:rPr>
        <w:t>条+1项裸光纤</w:t>
      </w:r>
      <w:r>
        <w:rPr>
          <w:rFonts w:hint="eastAsia" w:ascii="宋体" w:hAnsi="宋体" w:eastAsia="宋体" w:cs="宋体"/>
          <w:color w:val="auto"/>
          <w:kern w:val="2"/>
          <w:sz w:val="24"/>
          <w:szCs w:val="24"/>
          <w:highlight w:val="none"/>
          <w:lang w:eastAsia="zh-CN" w:bidi="ar-SA"/>
        </w:rPr>
        <w:t>、</w:t>
      </w:r>
      <w:r>
        <w:rPr>
          <w:rFonts w:hint="eastAsia" w:ascii="宋体" w:hAnsi="宋体" w:eastAsia="宋体" w:cs="宋体"/>
          <w:color w:val="auto"/>
          <w:kern w:val="2"/>
          <w:sz w:val="24"/>
          <w:szCs w:val="24"/>
          <w:highlight w:val="none"/>
          <w:lang w:bidi="ar-SA"/>
        </w:rPr>
        <w:t>22条10G电路、32条1G电路、32条200M电路、29</w:t>
      </w:r>
      <w:r>
        <w:rPr>
          <w:rFonts w:hint="eastAsia" w:ascii="宋体" w:hAnsi="宋体" w:eastAsia="宋体" w:cs="宋体"/>
          <w:color w:val="auto"/>
          <w:kern w:val="2"/>
          <w:sz w:val="24"/>
          <w:szCs w:val="24"/>
          <w:highlight w:val="none"/>
          <w:lang w:val="en-US" w:eastAsia="zh-CN" w:bidi="ar-SA"/>
        </w:rPr>
        <w:t>84</w:t>
      </w:r>
      <w:r>
        <w:rPr>
          <w:rFonts w:hint="eastAsia" w:ascii="宋体" w:hAnsi="宋体" w:eastAsia="宋体" w:cs="宋体"/>
          <w:color w:val="auto"/>
          <w:kern w:val="2"/>
          <w:sz w:val="24"/>
          <w:szCs w:val="24"/>
          <w:highlight w:val="none"/>
          <w:lang w:bidi="ar-SA"/>
        </w:rPr>
        <w:t>条100M电路</w:t>
      </w:r>
      <w:r>
        <w:rPr>
          <w:rFonts w:hint="eastAsia" w:ascii="宋体" w:hAnsi="宋体" w:eastAsia="宋体" w:cs="宋体"/>
          <w:color w:val="auto"/>
          <w:kern w:val="2"/>
          <w:sz w:val="24"/>
          <w:szCs w:val="24"/>
          <w:highlight w:val="none"/>
          <w:lang w:eastAsia="zh-CN" w:bidi="ar-SA"/>
        </w:rPr>
        <w:t>、</w:t>
      </w:r>
      <w:r>
        <w:rPr>
          <w:rFonts w:hint="eastAsia" w:ascii="宋体" w:hAnsi="宋体" w:eastAsia="宋体" w:cs="宋体"/>
          <w:color w:val="auto"/>
          <w:kern w:val="2"/>
          <w:sz w:val="24"/>
          <w:szCs w:val="24"/>
          <w:highlight w:val="none"/>
          <w:lang w:val="en-US" w:eastAsia="zh-CN" w:bidi="ar-SA"/>
        </w:rPr>
        <w:t>107</w:t>
      </w:r>
      <w:r>
        <w:rPr>
          <w:rFonts w:hint="eastAsia" w:ascii="宋体" w:hAnsi="宋体" w:eastAsia="宋体" w:cs="宋体"/>
          <w:color w:val="auto"/>
          <w:kern w:val="2"/>
          <w:sz w:val="24"/>
          <w:szCs w:val="24"/>
          <w:highlight w:val="none"/>
          <w:lang w:bidi="ar-SA"/>
        </w:rPr>
        <w:t>6条50M电路、1</w:t>
      </w:r>
      <w:r>
        <w:rPr>
          <w:rFonts w:hint="eastAsia" w:ascii="宋体" w:hAnsi="宋体" w:eastAsia="宋体" w:cs="宋体"/>
          <w:color w:val="auto"/>
          <w:kern w:val="2"/>
          <w:sz w:val="24"/>
          <w:szCs w:val="24"/>
          <w:highlight w:val="none"/>
          <w:lang w:val="en-US" w:eastAsia="zh-CN" w:bidi="ar-SA"/>
        </w:rPr>
        <w:t>18</w:t>
      </w:r>
      <w:r>
        <w:rPr>
          <w:rFonts w:hint="eastAsia" w:ascii="宋体" w:hAnsi="宋体" w:eastAsia="宋体" w:cs="宋体"/>
          <w:color w:val="auto"/>
          <w:kern w:val="2"/>
          <w:sz w:val="24"/>
          <w:szCs w:val="24"/>
          <w:highlight w:val="none"/>
          <w:lang w:bidi="ar-SA"/>
        </w:rPr>
        <w:t>条20M电路</w:t>
      </w:r>
      <w:r>
        <w:rPr>
          <w:rFonts w:hint="eastAsia" w:ascii="宋体" w:hAnsi="宋体" w:eastAsia="宋体" w:cs="宋体"/>
          <w:color w:val="auto"/>
          <w:kern w:val="2"/>
          <w:sz w:val="24"/>
          <w:szCs w:val="24"/>
          <w:highlight w:val="none"/>
          <w:lang w:eastAsia="zh-CN" w:bidi="ar-SA"/>
        </w:rPr>
        <w:t>、</w:t>
      </w:r>
      <w:r>
        <w:rPr>
          <w:rFonts w:hint="eastAsia" w:ascii="宋体" w:hAnsi="宋体" w:eastAsia="宋体" w:cs="宋体"/>
          <w:color w:val="auto"/>
          <w:kern w:val="2"/>
          <w:sz w:val="24"/>
          <w:szCs w:val="24"/>
          <w:highlight w:val="none"/>
          <w:lang w:bidi="ar-SA"/>
        </w:rPr>
        <w:t>2</w:t>
      </w:r>
      <w:r>
        <w:rPr>
          <w:rFonts w:hint="eastAsia" w:ascii="宋体" w:hAnsi="宋体" w:eastAsia="宋体" w:cs="宋体"/>
          <w:color w:val="auto"/>
          <w:kern w:val="2"/>
          <w:sz w:val="24"/>
          <w:szCs w:val="24"/>
          <w:highlight w:val="none"/>
          <w:lang w:val="en-US" w:eastAsia="zh-CN" w:bidi="ar-SA"/>
        </w:rPr>
        <w:t>10</w:t>
      </w:r>
      <w:r>
        <w:rPr>
          <w:rFonts w:hint="eastAsia" w:ascii="宋体" w:hAnsi="宋体" w:eastAsia="宋体" w:cs="宋体"/>
          <w:color w:val="auto"/>
          <w:kern w:val="2"/>
          <w:sz w:val="24"/>
          <w:szCs w:val="24"/>
          <w:highlight w:val="none"/>
          <w:lang w:bidi="ar-SA"/>
        </w:rPr>
        <w:t>条10M电路；</w:t>
      </w:r>
    </w:p>
    <w:p w14:paraId="490878C0">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bidi="ar-SA"/>
        </w:rPr>
        <w:t>视频专网无线网络需求</w:t>
      </w:r>
      <w:r>
        <w:rPr>
          <w:rFonts w:hint="eastAsia" w:ascii="宋体" w:hAnsi="宋体" w:eastAsia="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bidi="ar-SA"/>
        </w:rPr>
        <w:t>项：智能天网配置</w:t>
      </w:r>
      <w:r>
        <w:rPr>
          <w:rFonts w:hint="eastAsia" w:ascii="宋体" w:hAnsi="宋体" w:eastAsia="宋体" w:cs="宋体"/>
          <w:color w:val="auto"/>
          <w:kern w:val="2"/>
          <w:sz w:val="24"/>
          <w:szCs w:val="24"/>
          <w:highlight w:val="none"/>
          <w:lang w:val="en-US" w:eastAsia="zh-CN" w:bidi="ar-SA"/>
        </w:rPr>
        <w:t>9</w:t>
      </w:r>
      <w:r>
        <w:rPr>
          <w:rFonts w:hint="eastAsia" w:ascii="宋体" w:hAnsi="宋体" w:eastAsia="宋体" w:cs="宋体"/>
          <w:color w:val="auto"/>
          <w:kern w:val="2"/>
          <w:sz w:val="24"/>
          <w:szCs w:val="24"/>
          <w:highlight w:val="none"/>
          <w:lang w:bidi="ar-SA"/>
        </w:rPr>
        <w:t>2张流量卡，共用数据流量池，流量为1</w:t>
      </w:r>
      <w:r>
        <w:rPr>
          <w:rFonts w:hint="eastAsia" w:ascii="宋体" w:hAnsi="宋体" w:eastAsia="宋体" w:cs="宋体"/>
          <w:color w:val="auto"/>
          <w:kern w:val="2"/>
          <w:sz w:val="24"/>
          <w:szCs w:val="24"/>
          <w:highlight w:val="none"/>
          <w:lang w:val="en-US" w:eastAsia="zh-CN" w:bidi="ar-SA"/>
        </w:rPr>
        <w:t>8</w:t>
      </w:r>
      <w:r>
        <w:rPr>
          <w:rFonts w:hint="eastAsia" w:ascii="宋体" w:hAnsi="宋体" w:eastAsia="宋体" w:cs="宋体"/>
          <w:color w:val="auto"/>
          <w:kern w:val="2"/>
          <w:sz w:val="24"/>
          <w:szCs w:val="24"/>
          <w:highlight w:val="none"/>
          <w:lang w:bidi="ar-SA"/>
        </w:rPr>
        <w:t>40G/月。</w:t>
      </w:r>
      <w:r>
        <w:rPr>
          <w:rFonts w:hint="eastAsia" w:ascii="宋体" w:hAnsi="宋体" w:eastAsia="宋体" w:cs="宋体"/>
          <w:color w:val="auto"/>
          <w:kern w:val="2"/>
          <w:sz w:val="24"/>
          <w:szCs w:val="24"/>
          <w:highlight w:val="none"/>
          <w:lang w:val="en-US" w:eastAsia="zh-CN" w:bidi="ar-SA"/>
        </w:rPr>
        <w:t>具体如下表所示：</w:t>
      </w:r>
    </w:p>
    <w:tbl>
      <w:tblPr>
        <w:tblStyle w:val="45"/>
        <w:tblpPr w:leftFromText="180" w:rightFromText="180" w:vertAnchor="text" w:horzAnchor="page" w:tblpX="1703" w:tblpY="474"/>
        <w:tblOverlap w:val="never"/>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31"/>
        <w:gridCol w:w="1233"/>
        <w:gridCol w:w="1300"/>
        <w:gridCol w:w="2499"/>
        <w:gridCol w:w="760"/>
        <w:gridCol w:w="1746"/>
      </w:tblGrid>
      <w:tr w14:paraId="532ED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9092B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7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887E0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网络层级</w:t>
            </w:r>
          </w:p>
        </w:tc>
        <w:tc>
          <w:tcPr>
            <w:tcW w:w="7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2D262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链路方式</w:t>
            </w: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2F93C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1C174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A3FA9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r>
      <w:tr w14:paraId="271A0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BFEB2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03"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1E54E6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核心层</w:t>
            </w:r>
          </w:p>
        </w:tc>
        <w:tc>
          <w:tcPr>
            <w:tcW w:w="741"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42E1C2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有线</w:t>
            </w: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08C13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裸光纤</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371C7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95CAF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r>
      <w:tr w14:paraId="17ADD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F9647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F5E6851">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818AA24">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A8011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裸光纤</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D2C2C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310AC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48ACB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EAA1E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3B1DC20">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5D8A3E1">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D5123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10G</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94A54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51AAD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r>
      <w:tr w14:paraId="4C6C5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75FFA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64DD099">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0473DC6">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1C9C0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1G电路</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02E82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2DD64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r>
      <w:tr w14:paraId="3D948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EC617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703"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7A8495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汇聚层</w:t>
            </w: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4FC5EFA">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D92F6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裸光纤</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6174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B9849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r>
      <w:tr w14:paraId="510DC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9E4D3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DFA5DD5">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B4026F7">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92EB1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10G</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7CF88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37D4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r>
      <w:tr w14:paraId="50C2E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CC6EC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1F8A09C">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1CFB894">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21029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1G电路</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606CC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83234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r>
      <w:tr w14:paraId="25600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E2702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703"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0FD760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接入层</w:t>
            </w: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42EB831">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81AC8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裸光纤</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6D634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DE1D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121</w:t>
            </w:r>
          </w:p>
        </w:tc>
      </w:tr>
      <w:tr w14:paraId="691F7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A1B84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87656D">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C9659D7">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468F9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1G电路</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157F8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4F81C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r>
      <w:tr w14:paraId="576C5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7D27A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A579402">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0108346">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56EBF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200M 电路</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1FB17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5BC95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32</w:t>
            </w:r>
          </w:p>
        </w:tc>
      </w:tr>
      <w:tr w14:paraId="0CDC3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CE30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7703849">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031635E">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E0BA9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 电路</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B93F4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0E446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2984</w:t>
            </w:r>
          </w:p>
        </w:tc>
      </w:tr>
      <w:tr w14:paraId="39F4D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C850E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C3204CC">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9EF53AD">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D638D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50M 电路</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E2ACC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C0AF9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1076</w:t>
            </w:r>
          </w:p>
        </w:tc>
      </w:tr>
      <w:tr w14:paraId="4629F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1DA03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9E410E9">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CA27CFC">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5B5AC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20M 电路</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A61D1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B2385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118</w:t>
            </w:r>
          </w:p>
        </w:tc>
      </w:tr>
      <w:tr w14:paraId="62A23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C20A9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6DD0CF9">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41E0174">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6D4DD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10M 电路</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F6C49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9C084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210</w:t>
            </w:r>
          </w:p>
        </w:tc>
      </w:tr>
      <w:tr w14:paraId="40F6F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0209C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66C3BD4">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2598"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3F4B20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小计1</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A3C8B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4625条+1项</w:t>
            </w:r>
          </w:p>
        </w:tc>
      </w:tr>
      <w:tr w14:paraId="08378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8"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32D31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58F5F21">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9759A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无线</w:t>
            </w:r>
          </w:p>
        </w:tc>
        <w:tc>
          <w:tcPr>
            <w:tcW w:w="1424" w:type="pct"/>
            <w:tcBorders>
              <w:top w:val="single" w:color="auto" w:sz="4" w:space="0"/>
              <w:left w:val="single" w:color="auto" w:sz="4" w:space="0"/>
              <w:bottom w:val="single" w:color="auto" w:sz="4" w:space="0"/>
              <w:right w:val="single" w:color="auto" w:sz="4" w:space="0"/>
            </w:tcBorders>
            <w:shd w:val="clear" w:color="auto" w:fill="auto"/>
            <w:vAlign w:val="center"/>
          </w:tcPr>
          <w:p w14:paraId="681B0D0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智能天网4G/5G数据流量池，按20G/张/月计算，共1840G/月，</w:t>
            </w:r>
          </w:p>
        </w:tc>
        <w:tc>
          <w:tcPr>
            <w:tcW w:w="432" w:type="pct"/>
            <w:tcBorders>
              <w:top w:val="single" w:color="auto" w:sz="4" w:space="0"/>
              <w:left w:val="single" w:color="auto" w:sz="4" w:space="0"/>
              <w:bottom w:val="single" w:color="auto" w:sz="4" w:space="0"/>
              <w:right w:val="single" w:color="auto" w:sz="4" w:space="0"/>
            </w:tcBorders>
            <w:shd w:val="clear" w:color="auto" w:fill="auto"/>
            <w:vAlign w:val="center"/>
          </w:tcPr>
          <w:p w14:paraId="3EC023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D3899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92</w:t>
            </w:r>
          </w:p>
        </w:tc>
      </w:tr>
      <w:tr w14:paraId="5D835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E122A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17</w:t>
            </w:r>
          </w:p>
        </w:tc>
        <w:tc>
          <w:tcPr>
            <w:tcW w:w="7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BFDDE6">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2598"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4DFBD4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小计2</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C8FDE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92</w:t>
            </w:r>
          </w:p>
        </w:tc>
      </w:tr>
    </w:tbl>
    <w:p w14:paraId="58F8DF3D">
      <w:pPr>
        <w:spacing w:line="360" w:lineRule="auto"/>
        <w:ind w:left="0" w:leftChars="0" w:firstLine="0" w:firstLineChars="0"/>
        <w:rPr>
          <w:rFonts w:hint="eastAsia" w:ascii="宋体" w:hAnsi="宋体" w:eastAsia="宋体" w:cs="宋体"/>
          <w:color w:val="auto"/>
          <w:sz w:val="24"/>
          <w:szCs w:val="24"/>
          <w:highlight w:val="none"/>
        </w:rPr>
      </w:pPr>
    </w:p>
    <w:p w14:paraId="334A44C2">
      <w:pPr>
        <w:keepNext/>
        <w:keepLines/>
        <w:widowControl w:val="0"/>
        <w:numPr>
          <w:ilvl w:val="0"/>
          <w:numId w:val="0"/>
        </w:numPr>
        <w:tabs>
          <w:tab w:val="left" w:pos="0"/>
          <w:tab w:val="left" w:pos="993"/>
          <w:tab w:val="left" w:pos="1050"/>
          <w:tab w:val="left" w:pos="1260"/>
        </w:tabs>
        <w:bidi w:val="0"/>
        <w:spacing w:before="50" w:beforeLines="50" w:after="50" w:afterLines="50" w:line="360" w:lineRule="auto"/>
        <w:ind w:left="397" w:left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2、其他链路</w:t>
      </w:r>
    </w:p>
    <w:p w14:paraId="24B62F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bidi="ar-SA"/>
        </w:rPr>
        <w:t>郴州市政府网站集约化平台</w:t>
      </w:r>
      <w:r>
        <w:rPr>
          <w:rFonts w:hint="eastAsia" w:ascii="宋体" w:hAnsi="宋体" w:eastAsia="宋体" w:cs="宋体"/>
          <w:color w:val="auto"/>
          <w:kern w:val="2"/>
          <w:sz w:val="24"/>
          <w:szCs w:val="24"/>
          <w:highlight w:val="none"/>
          <w:lang w:val="en-US" w:eastAsia="zh-CN" w:bidi="ar-SA"/>
        </w:rPr>
        <w:t>的</w:t>
      </w:r>
      <w:r>
        <w:rPr>
          <w:rFonts w:hint="eastAsia" w:ascii="宋体" w:hAnsi="宋体" w:eastAsia="宋体" w:cs="宋体"/>
          <w:color w:val="auto"/>
          <w:kern w:val="2"/>
          <w:sz w:val="24"/>
          <w:szCs w:val="24"/>
          <w:highlight w:val="none"/>
          <w:lang w:bidi="ar-SA"/>
        </w:rPr>
        <w:t>IPV6互联网链路</w:t>
      </w:r>
      <w:r>
        <w:rPr>
          <w:rFonts w:hint="eastAsia" w:ascii="宋体" w:hAnsi="宋体" w:eastAsia="宋体" w:cs="宋体"/>
          <w:color w:val="auto"/>
          <w:kern w:val="2"/>
          <w:sz w:val="24"/>
          <w:szCs w:val="24"/>
          <w:highlight w:val="none"/>
          <w:lang w:eastAsia="zh-CN" w:bidi="ar-SA"/>
        </w:rPr>
        <w:t>，</w:t>
      </w:r>
      <w:r>
        <w:rPr>
          <w:rFonts w:hint="eastAsia" w:ascii="宋体" w:hAnsi="宋体" w:eastAsia="宋体" w:cs="宋体"/>
          <w:color w:val="auto"/>
          <w:kern w:val="2"/>
          <w:sz w:val="24"/>
          <w:szCs w:val="24"/>
          <w:highlight w:val="none"/>
          <w:lang w:val="en-US" w:eastAsia="zh-CN" w:bidi="ar-SA"/>
        </w:rPr>
        <w:t>包含</w:t>
      </w:r>
      <w:r>
        <w:rPr>
          <w:rFonts w:hint="eastAsia" w:ascii="宋体" w:hAnsi="宋体" w:eastAsia="宋体" w:cs="宋体"/>
          <w:color w:val="auto"/>
          <w:kern w:val="2"/>
          <w:sz w:val="24"/>
          <w:szCs w:val="24"/>
          <w:highlight w:val="none"/>
          <w:lang w:bidi="ar-SA"/>
        </w:rPr>
        <w:t>1条100M电路</w:t>
      </w:r>
      <w:r>
        <w:rPr>
          <w:rFonts w:hint="eastAsia" w:ascii="宋体" w:hAnsi="宋体" w:eastAsia="宋体" w:cs="宋体"/>
          <w:color w:val="auto"/>
          <w:kern w:val="2"/>
          <w:sz w:val="24"/>
          <w:szCs w:val="24"/>
          <w:highlight w:val="none"/>
          <w:lang w:val="en-US" w:eastAsia="zh-CN" w:bidi="ar-SA"/>
        </w:rPr>
        <w:t>和</w:t>
      </w:r>
      <w:r>
        <w:rPr>
          <w:rFonts w:hint="eastAsia" w:ascii="宋体" w:hAnsi="宋体" w:eastAsia="宋体" w:cs="宋体"/>
          <w:color w:val="auto"/>
          <w:kern w:val="2"/>
          <w:sz w:val="24"/>
          <w:szCs w:val="24"/>
          <w:highlight w:val="none"/>
          <w:lang w:bidi="ar-SA"/>
        </w:rPr>
        <w:t>8个IPV6互联网IP地址</w:t>
      </w:r>
      <w:r>
        <w:rPr>
          <w:rFonts w:hint="eastAsia" w:ascii="宋体" w:hAnsi="宋体" w:eastAsia="宋体" w:cs="宋体"/>
          <w:color w:val="auto"/>
          <w:kern w:val="2"/>
          <w:sz w:val="24"/>
          <w:szCs w:val="24"/>
          <w:highlight w:val="none"/>
          <w:lang w:eastAsia="zh-CN" w:bidi="ar-SA"/>
        </w:rPr>
        <w:t>，</w:t>
      </w:r>
      <w:r>
        <w:rPr>
          <w:rFonts w:hint="eastAsia" w:ascii="宋体" w:hAnsi="宋体" w:eastAsia="宋体" w:cs="宋体"/>
          <w:color w:val="auto"/>
          <w:kern w:val="2"/>
          <w:sz w:val="24"/>
          <w:szCs w:val="24"/>
          <w:highlight w:val="none"/>
          <w:lang w:bidi="ar-SA"/>
        </w:rPr>
        <w:t>以及市政府机房－东江湖大数据中心4条10G聚合电路。</w:t>
      </w:r>
      <w:r>
        <w:rPr>
          <w:rFonts w:hint="eastAsia" w:ascii="宋体" w:hAnsi="宋体" w:eastAsia="宋体" w:cs="宋体"/>
          <w:color w:val="auto"/>
          <w:kern w:val="2"/>
          <w:sz w:val="24"/>
          <w:szCs w:val="24"/>
          <w:highlight w:val="none"/>
          <w:lang w:val="en-US" w:eastAsia="zh-CN" w:bidi="ar-SA"/>
        </w:rPr>
        <w:t>具体如下：</w:t>
      </w:r>
    </w:p>
    <w:tbl>
      <w:tblPr>
        <w:tblStyle w:val="4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4"/>
        <w:gridCol w:w="1077"/>
        <w:gridCol w:w="2283"/>
        <w:gridCol w:w="844"/>
        <w:gridCol w:w="1723"/>
        <w:gridCol w:w="1773"/>
      </w:tblGrid>
      <w:tr w14:paraId="3CF55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65C2A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其他链路</w:t>
            </w:r>
          </w:p>
        </w:tc>
      </w:tr>
      <w:tr w14:paraId="1942A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F109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F242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需求单位</w:t>
            </w:r>
          </w:p>
        </w:tc>
        <w:tc>
          <w:tcPr>
            <w:tcW w:w="1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653C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需求名称</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CAC6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5F82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09D3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7E794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8717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C585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市数据局</w:t>
            </w:r>
          </w:p>
        </w:tc>
        <w:tc>
          <w:tcPr>
            <w:tcW w:w="1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3C90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政府中心机房100M电路</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8DE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CDF8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039B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r>
      <w:tr w14:paraId="43FA6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973B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3CA0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市数据局</w:t>
            </w:r>
          </w:p>
        </w:tc>
        <w:tc>
          <w:tcPr>
            <w:tcW w:w="1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8537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IPV6互联网IP地址</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C563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520A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CC0F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r>
      <w:tr w14:paraId="59961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BC74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1BF2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市数据局</w:t>
            </w:r>
          </w:p>
        </w:tc>
        <w:tc>
          <w:tcPr>
            <w:tcW w:w="1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CA33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市政府机房－东江湖大数据中心10G电路</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22B5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6004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6126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政务云主备链路，聚合带宽20G</w:t>
            </w:r>
          </w:p>
        </w:tc>
      </w:tr>
    </w:tbl>
    <w:p w14:paraId="35C6656E">
      <w:pPr>
        <w:keepNext/>
        <w:keepLines/>
        <w:widowControl w:val="0"/>
        <w:numPr>
          <w:ilvl w:val="0"/>
          <w:numId w:val="0"/>
        </w:numPr>
        <w:tabs>
          <w:tab w:val="left" w:pos="0"/>
          <w:tab w:val="left" w:pos="993"/>
          <w:tab w:val="left" w:pos="1050"/>
          <w:tab w:val="left" w:pos="1260"/>
        </w:tabs>
        <w:bidi w:val="0"/>
        <w:spacing w:before="50" w:beforeLines="50" w:after="50" w:afterLines="50" w:line="360" w:lineRule="auto"/>
        <w:ind w:left="397" w:left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3、“智能天网”汇聚机房托管</w:t>
      </w:r>
    </w:p>
    <w:p w14:paraId="27CAA5F7">
      <w:pPr>
        <w:spacing w:line="360" w:lineRule="auto"/>
        <w:ind w:firstLine="480" w:firstLineChars="200"/>
        <w:rPr>
          <w:rFonts w:hint="eastAsia" w:ascii="宋体" w:hAnsi="宋体" w:eastAsia="宋体" w:cs="宋体"/>
          <w:color w:val="auto"/>
          <w:kern w:val="2"/>
          <w:sz w:val="24"/>
          <w:szCs w:val="24"/>
          <w:highlight w:val="none"/>
          <w:lang w:bidi="ar-SA"/>
        </w:rPr>
      </w:pPr>
      <w:r>
        <w:rPr>
          <w:rFonts w:hint="eastAsia" w:ascii="宋体" w:hAnsi="宋体" w:eastAsia="宋体" w:cs="宋体"/>
          <w:color w:val="auto"/>
          <w:kern w:val="2"/>
          <w:sz w:val="24"/>
          <w:szCs w:val="24"/>
          <w:highlight w:val="none"/>
          <w:lang w:bidi="ar-SA"/>
        </w:rPr>
        <w:t>“智能天网”汇聚机房托管需要60个机柜（含托管机房迁移相关设备的搬迁</w:t>
      </w:r>
      <w:r>
        <w:rPr>
          <w:rFonts w:hint="eastAsia" w:ascii="宋体" w:hAnsi="宋体" w:eastAsia="宋体" w:cs="宋体"/>
          <w:color w:val="auto"/>
          <w:kern w:val="2"/>
          <w:sz w:val="24"/>
          <w:szCs w:val="24"/>
          <w:highlight w:val="none"/>
          <w:lang w:eastAsia="zh-CN" w:bidi="ar-SA"/>
        </w:rPr>
        <w:t>）</w:t>
      </w:r>
      <w:r>
        <w:rPr>
          <w:rFonts w:hint="eastAsia" w:ascii="宋体" w:hAnsi="宋体" w:eastAsia="宋体" w:cs="宋体"/>
          <w:color w:val="auto"/>
          <w:kern w:val="2"/>
          <w:sz w:val="24"/>
          <w:szCs w:val="24"/>
          <w:highlight w:val="none"/>
          <w:lang w:bidi="ar-SA"/>
        </w:rPr>
        <w:t>。</w:t>
      </w:r>
    </w:p>
    <w:p w14:paraId="110D1F80">
      <w:pPr>
        <w:keepNext/>
        <w:keepLines/>
        <w:widowControl w:val="0"/>
        <w:numPr>
          <w:ilvl w:val="0"/>
          <w:numId w:val="0"/>
        </w:numPr>
        <w:tabs>
          <w:tab w:val="left" w:pos="0"/>
          <w:tab w:val="left" w:pos="993"/>
          <w:tab w:val="left" w:pos="1050"/>
          <w:tab w:val="left" w:pos="1260"/>
        </w:tabs>
        <w:bidi w:val="0"/>
        <w:spacing w:before="50" w:beforeLines="50" w:after="50" w:afterLines="50" w:line="360" w:lineRule="auto"/>
        <w:ind w:left="397" w:left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4、智能天网前端摄像头维护</w:t>
      </w:r>
    </w:p>
    <w:p w14:paraId="0B315446">
      <w:pPr>
        <w:spacing w:line="360" w:lineRule="auto"/>
        <w:ind w:firstLine="480" w:firstLineChars="200"/>
        <w:rPr>
          <w:rFonts w:ascii="宋体" w:hAnsi="宋体" w:eastAsia="宋体" w:cs="Times New Roman"/>
          <w:snapToGrid w:val="0"/>
          <w:color w:val="FF0000"/>
          <w:kern w:val="0"/>
          <w:sz w:val="24"/>
          <w:szCs w:val="24"/>
          <w:lang w:val="en-US" w:eastAsia="zh-CN" w:bidi="ar-SA"/>
        </w:rPr>
      </w:pPr>
      <w:r>
        <w:rPr>
          <w:rFonts w:hint="eastAsia" w:ascii="宋体" w:hAnsi="宋体" w:eastAsia="宋体" w:cs="宋体"/>
          <w:color w:val="auto"/>
          <w:kern w:val="2"/>
          <w:sz w:val="24"/>
          <w:szCs w:val="24"/>
          <w:highlight w:val="none"/>
          <w:lang w:bidi="ar-SA"/>
        </w:rPr>
        <w:t>智能天网前端摄像头维护点位</w:t>
      </w:r>
      <w:r>
        <w:rPr>
          <w:rFonts w:hint="eastAsia" w:ascii="宋体" w:hAnsi="宋体" w:eastAsia="宋体" w:cs="宋体"/>
          <w:color w:val="auto"/>
          <w:kern w:val="2"/>
          <w:sz w:val="24"/>
          <w:szCs w:val="24"/>
          <w:highlight w:val="none"/>
          <w:lang w:val="en-US" w:eastAsia="zh-CN" w:bidi="ar-SA"/>
        </w:rPr>
        <w:t>28</w:t>
      </w:r>
      <w:r>
        <w:rPr>
          <w:rFonts w:hint="eastAsia" w:ascii="宋体" w:hAnsi="宋体" w:eastAsia="宋体" w:cs="宋体"/>
          <w:color w:val="auto"/>
          <w:kern w:val="2"/>
          <w:sz w:val="24"/>
          <w:szCs w:val="24"/>
          <w:highlight w:val="none"/>
          <w:lang w:bidi="ar-SA"/>
        </w:rPr>
        <w:t>66个。</w:t>
      </w:r>
    </w:p>
    <w:p w14:paraId="64723328">
      <w:pPr>
        <w:keepNext/>
        <w:keepLines/>
        <w:numPr>
          <w:ilvl w:val="2"/>
          <w:numId w:val="0"/>
        </w:numPr>
        <w:spacing w:line="360" w:lineRule="auto"/>
        <w:ind w:left="720" w:hanging="720"/>
        <w:jc w:val="left"/>
        <w:outlineLvl w:val="2"/>
        <w:rPr>
          <w:rFonts w:hint="eastAsia" w:ascii="宋体" w:hAnsi="宋体" w:eastAsia="宋体" w:cs="Times New Roman"/>
          <w:b/>
          <w:color w:val="FF0000"/>
          <w:sz w:val="28"/>
          <w:szCs w:val="28"/>
        </w:rPr>
      </w:pPr>
      <w:bookmarkStart w:id="144" w:name="_Toc172716698"/>
      <w:bookmarkStart w:id="145" w:name="_Toc2753"/>
    </w:p>
    <w:p w14:paraId="0F202103">
      <w:pPr>
        <w:keepNext/>
        <w:keepLines/>
        <w:numPr>
          <w:ilvl w:val="2"/>
          <w:numId w:val="0"/>
        </w:numPr>
        <w:spacing w:line="360" w:lineRule="auto"/>
        <w:ind w:left="720" w:hanging="720"/>
        <w:jc w:val="left"/>
        <w:outlineLvl w:val="2"/>
        <w:rPr>
          <w:rFonts w:hint="eastAsia" w:ascii="宋体" w:hAnsi="宋体" w:eastAsia="宋体" w:cs="Times New Roman"/>
          <w:b/>
          <w:color w:val="FF0000"/>
          <w:sz w:val="28"/>
          <w:szCs w:val="28"/>
        </w:rPr>
      </w:pPr>
    </w:p>
    <w:p w14:paraId="23302DDF">
      <w:pPr>
        <w:keepNext/>
        <w:keepLines/>
        <w:numPr>
          <w:ilvl w:val="2"/>
          <w:numId w:val="0"/>
        </w:numPr>
        <w:spacing w:line="360" w:lineRule="auto"/>
        <w:ind w:left="720" w:hanging="720"/>
        <w:jc w:val="center"/>
        <w:outlineLvl w:val="2"/>
        <w:rPr>
          <w:rFonts w:ascii="宋体" w:hAnsi="宋体" w:eastAsia="宋体" w:cs="Times New Roman"/>
          <w:b/>
          <w:color w:val="auto"/>
          <w:sz w:val="28"/>
          <w:szCs w:val="28"/>
        </w:rPr>
      </w:pPr>
      <w:r>
        <w:rPr>
          <w:rFonts w:hint="eastAsia" w:ascii="宋体" w:hAnsi="宋体" w:eastAsia="宋体" w:cs="Times New Roman"/>
          <w:b/>
          <w:color w:val="auto"/>
          <w:sz w:val="28"/>
          <w:szCs w:val="28"/>
        </w:rPr>
        <w:t>四、现状分析</w:t>
      </w:r>
      <w:bookmarkEnd w:id="144"/>
      <w:bookmarkEnd w:id="145"/>
    </w:p>
    <w:p w14:paraId="64296EB2">
      <w:pPr>
        <w:keepNext/>
        <w:keepLines/>
        <w:widowControl/>
        <w:numPr>
          <w:ilvl w:val="0"/>
          <w:numId w:val="0"/>
        </w:numPr>
        <w:bidi w:val="0"/>
        <w:spacing w:before="50" w:beforeLines="50" w:after="50" w:afterLines="50" w:line="360" w:lineRule="auto"/>
        <w:ind w:leftChars="0" w:firstLine="723" w:firstLineChars="300"/>
        <w:jc w:val="both"/>
        <w:outlineLvl w:val="1"/>
        <w:rPr>
          <w:rFonts w:hint="eastAsia" w:ascii="Times New Roman" w:hAnsi="Times New Roman" w:eastAsia="黑体" w:cs="宋体"/>
          <w:b/>
          <w:bCs/>
          <w:color w:val="auto"/>
          <w:kern w:val="2"/>
          <w:sz w:val="24"/>
          <w:szCs w:val="24"/>
          <w:highlight w:val="none"/>
          <w:lang w:val="zh-CN" w:eastAsia="zh-CN" w:bidi="ar-SA"/>
        </w:rPr>
      </w:pPr>
      <w:bookmarkStart w:id="146" w:name="_Toc700"/>
      <w:bookmarkStart w:id="147" w:name="_Toc14178"/>
      <w:bookmarkStart w:id="148" w:name="_Toc431395608"/>
      <w:bookmarkStart w:id="149" w:name="_Toc20474622"/>
      <w:bookmarkStart w:id="150" w:name="_Toc5639918"/>
      <w:bookmarkStart w:id="151" w:name="_Toc38316102"/>
      <w:bookmarkStart w:id="152" w:name="_Toc41168369"/>
      <w:bookmarkStart w:id="153" w:name="_Toc5910209"/>
      <w:bookmarkStart w:id="154" w:name="_Toc172716707"/>
      <w:r>
        <w:rPr>
          <w:rFonts w:hint="eastAsia" w:ascii="Times New Roman" w:hAnsi="Times New Roman" w:eastAsia="黑体" w:cs="宋体"/>
          <w:b/>
          <w:bCs/>
          <w:color w:val="auto"/>
          <w:kern w:val="2"/>
          <w:sz w:val="24"/>
          <w:szCs w:val="24"/>
          <w:highlight w:val="none"/>
          <w:lang w:val="en-US" w:eastAsia="zh-CN" w:bidi="ar-SA"/>
        </w:rPr>
        <w:t>1、建设现状</w:t>
      </w:r>
      <w:bookmarkEnd w:id="146"/>
    </w:p>
    <w:p w14:paraId="18585E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Times New Roman"/>
          <w:color w:val="auto"/>
          <w:kern w:val="2"/>
          <w:sz w:val="24"/>
          <w:szCs w:val="24"/>
          <w:highlight w:val="none"/>
          <w:lang w:bidi="ar-SA"/>
        </w:rPr>
        <w:t>郴州市视频专网建设主要是在现有的公安视频专网的基础上扩容升级为统一的全郴州市视频专网，此视频专网将搭建智能天网、数字城管、数字交警、数字治超、数字市政、数字钢坝、社区治安及相关社会公共服务管理职能为主的视频应用。按照此视频专网规划，计划5年内建设不少于5万个</w:t>
      </w:r>
      <w:r>
        <w:rPr>
          <w:rFonts w:hint="eastAsia" w:ascii="宋体" w:hAnsi="宋体" w:eastAsia="宋体" w:cs="宋体"/>
          <w:color w:val="auto"/>
          <w:kern w:val="2"/>
          <w:sz w:val="24"/>
          <w:szCs w:val="24"/>
          <w:highlight w:val="none"/>
          <w:lang w:bidi="ar-SA"/>
        </w:rPr>
        <w:t>专用视频摄像点。</w:t>
      </w:r>
      <w:r>
        <w:rPr>
          <w:rFonts w:hint="eastAsia" w:ascii="宋体" w:hAnsi="宋体" w:eastAsia="宋体" w:cs="宋体"/>
          <w:color w:val="auto"/>
          <w:kern w:val="2"/>
          <w:sz w:val="24"/>
          <w:szCs w:val="24"/>
          <w:highlight w:val="none"/>
          <w:lang w:val="en-US" w:eastAsia="zh-CN" w:bidi="ar-SA"/>
        </w:rPr>
        <w:t>2025年</w:t>
      </w:r>
      <w:r>
        <w:rPr>
          <w:rFonts w:hint="eastAsia" w:ascii="宋体" w:hAnsi="宋体" w:eastAsia="宋体" w:cs="宋体"/>
          <w:color w:val="auto"/>
          <w:kern w:val="2"/>
          <w:sz w:val="24"/>
          <w:szCs w:val="24"/>
          <w:highlight w:val="none"/>
          <w:lang w:bidi="ar-SA"/>
        </w:rPr>
        <w:t>现行视频专网合同内共涵盖4</w:t>
      </w:r>
      <w:r>
        <w:rPr>
          <w:rFonts w:hint="eastAsia" w:ascii="宋体" w:hAnsi="宋体" w:eastAsia="宋体" w:cs="宋体"/>
          <w:color w:val="auto"/>
          <w:kern w:val="2"/>
          <w:sz w:val="24"/>
          <w:szCs w:val="24"/>
          <w:highlight w:val="none"/>
          <w:lang w:val="en-US" w:eastAsia="zh-CN" w:bidi="ar-SA"/>
        </w:rPr>
        <w:t>547</w:t>
      </w:r>
      <w:r>
        <w:rPr>
          <w:rFonts w:hint="eastAsia" w:ascii="宋体" w:hAnsi="宋体" w:eastAsia="宋体" w:cs="宋体"/>
          <w:color w:val="auto"/>
          <w:kern w:val="2"/>
          <w:sz w:val="24"/>
          <w:szCs w:val="24"/>
          <w:highlight w:val="none"/>
          <w:lang w:bidi="ar-SA"/>
        </w:rPr>
        <w:t>条+1项链路：</w:t>
      </w:r>
      <w:r>
        <w:rPr>
          <w:rFonts w:hint="eastAsia" w:ascii="宋体" w:hAnsi="宋体" w:eastAsia="宋体" w:cs="宋体"/>
          <w:color w:val="auto"/>
          <w:kern w:val="2"/>
          <w:sz w:val="24"/>
          <w:szCs w:val="24"/>
          <w:highlight w:val="none"/>
          <w:lang w:val="en-US" w:eastAsia="zh-CN" w:bidi="ar-SA"/>
        </w:rPr>
        <w:t>分别为151条+1项裸光纤、22条10G电路、32条1G电路、32条200M电路、2952条100M电路、1036条50M电路、100条20M电路、222条10M电路</w:t>
      </w:r>
      <w:r>
        <w:rPr>
          <w:rFonts w:hint="eastAsia" w:ascii="宋体" w:hAnsi="宋体" w:eastAsia="宋体" w:cs="宋体"/>
          <w:color w:val="auto"/>
          <w:kern w:val="2"/>
          <w:sz w:val="24"/>
          <w:szCs w:val="24"/>
          <w:highlight w:val="none"/>
          <w:lang w:bidi="ar-SA"/>
        </w:rPr>
        <w:t>；包括了市智能天网</w:t>
      </w:r>
      <w:r>
        <w:rPr>
          <w:rFonts w:hint="eastAsia" w:ascii="宋体" w:hAnsi="宋体" w:eastAsia="宋体" w:cs="Times New Roman"/>
          <w:color w:val="auto"/>
          <w:kern w:val="2"/>
          <w:sz w:val="24"/>
          <w:szCs w:val="24"/>
          <w:highlight w:val="none"/>
          <w:lang w:bidi="ar-SA"/>
        </w:rPr>
        <w:t>、市数字城管、</w:t>
      </w:r>
      <w:r>
        <w:rPr>
          <w:rFonts w:hint="eastAsia" w:ascii="宋体" w:hAnsi="宋体" w:eastAsia="宋体" w:cs="Times New Roman"/>
          <w:color w:val="auto"/>
          <w:kern w:val="2"/>
          <w:sz w:val="24"/>
          <w:szCs w:val="24"/>
          <w:highlight w:val="none"/>
          <w:lang w:eastAsia="zh-CN" w:bidi="ar-SA"/>
        </w:rPr>
        <w:t>数字</w:t>
      </w:r>
      <w:r>
        <w:rPr>
          <w:rFonts w:hint="eastAsia" w:ascii="宋体" w:hAnsi="宋体" w:eastAsia="宋体" w:cs="Times New Roman"/>
          <w:color w:val="auto"/>
          <w:kern w:val="2"/>
          <w:sz w:val="24"/>
          <w:szCs w:val="24"/>
          <w:highlight w:val="none"/>
          <w:lang w:bidi="ar-SA"/>
        </w:rPr>
        <w:t>交警、市数字</w:t>
      </w:r>
      <w:r>
        <w:rPr>
          <w:rFonts w:hint="eastAsia" w:ascii="宋体" w:hAnsi="宋体" w:eastAsia="宋体" w:cs="Times New Roman"/>
          <w:color w:val="auto"/>
          <w:kern w:val="2"/>
          <w:sz w:val="24"/>
          <w:szCs w:val="24"/>
          <w:highlight w:val="none"/>
          <w:lang w:val="en-US" w:eastAsia="zh-CN" w:bidi="ar-SA"/>
        </w:rPr>
        <w:t>政府</w:t>
      </w:r>
      <w:r>
        <w:rPr>
          <w:rFonts w:hint="eastAsia" w:ascii="宋体" w:hAnsi="宋体" w:eastAsia="宋体" w:cs="Times New Roman"/>
          <w:color w:val="auto"/>
          <w:kern w:val="2"/>
          <w:sz w:val="24"/>
          <w:szCs w:val="24"/>
          <w:highlight w:val="none"/>
          <w:lang w:bidi="ar-SA"/>
        </w:rPr>
        <w:t>、市派出所、政府视频专网等链路。</w:t>
      </w:r>
    </w:p>
    <w:p w14:paraId="0ADC0F8F">
      <w:pPr>
        <w:keepNext/>
        <w:keepLines/>
        <w:widowControl w:val="0"/>
        <w:numPr>
          <w:ilvl w:val="0"/>
          <w:numId w:val="0"/>
        </w:numPr>
        <w:tabs>
          <w:tab w:val="left" w:pos="0"/>
        </w:tabs>
        <w:bidi w:val="0"/>
        <w:adjustRightInd w:val="0"/>
        <w:spacing w:before="50" w:beforeLines="50" w:after="50" w:afterLines="50" w:line="360" w:lineRule="auto"/>
        <w:ind w:left="240" w:leftChars="0" w:firstLine="482" w:firstLineChars="20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2、网络</w:t>
      </w:r>
      <w:r>
        <w:rPr>
          <w:rFonts w:ascii="Arial" w:hAnsi="Arial" w:eastAsia="黑体" w:cs="宋体"/>
          <w:b/>
          <w:bCs/>
          <w:color w:val="auto"/>
          <w:kern w:val="2"/>
          <w:sz w:val="24"/>
          <w:szCs w:val="24"/>
          <w:highlight w:val="none"/>
          <w:lang w:val="zh-CN" w:eastAsia="zh-CN" w:bidi="ar-SA"/>
        </w:rPr>
        <w:t>现状</w:t>
      </w:r>
      <w:bookmarkEnd w:id="147"/>
      <w:bookmarkEnd w:id="148"/>
      <w:bookmarkEnd w:id="149"/>
      <w:bookmarkEnd w:id="150"/>
      <w:bookmarkEnd w:id="151"/>
      <w:bookmarkEnd w:id="152"/>
      <w:bookmarkEnd w:id="153"/>
    </w:p>
    <w:p w14:paraId="56C52E73">
      <w:pPr>
        <w:spacing w:before="79" w:line="367" w:lineRule="auto"/>
        <w:ind w:left="209" w:firstLine="464" w:firstLineChars="200"/>
        <w:rPr>
          <w:rFonts w:ascii="宋体" w:hAnsi="宋体" w:eastAsia="宋体" w:cs="宋体"/>
          <w:color w:val="auto"/>
          <w:spacing w:val="-1"/>
          <w:sz w:val="24"/>
          <w:szCs w:val="24"/>
          <w:highlight w:val="none"/>
        </w:rPr>
      </w:pPr>
      <w:r>
        <w:rPr>
          <w:rFonts w:ascii="宋体" w:hAnsi="宋体" w:eastAsia="宋体" w:cs="宋体"/>
          <w:color w:val="auto"/>
          <w:spacing w:val="-4"/>
          <w:sz w:val="24"/>
          <w:szCs w:val="24"/>
          <w:highlight w:val="none"/>
        </w:rPr>
        <w:t>整个视频专网分为</w:t>
      </w:r>
      <w:r>
        <w:rPr>
          <w:rFonts w:hint="eastAsia" w:ascii="宋体" w:hAnsi="宋体" w:eastAsia="宋体" w:cs="宋体"/>
          <w:color w:val="auto"/>
          <w:spacing w:val="-4"/>
          <w:sz w:val="24"/>
          <w:szCs w:val="24"/>
          <w:highlight w:val="none"/>
        </w:rPr>
        <w:t>“核心层</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汇聚层</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接入层”三层架构</w:t>
      </w:r>
      <w:r>
        <w:rPr>
          <w:rFonts w:hint="eastAsia" w:ascii="宋体" w:hAnsi="宋体" w:eastAsia="宋体" w:cs="宋体"/>
          <w:color w:val="auto"/>
          <w:spacing w:val="-4"/>
          <w:sz w:val="24"/>
          <w:szCs w:val="24"/>
          <w:highlight w:val="none"/>
          <w:lang w:eastAsia="zh-CN"/>
        </w:rPr>
        <w:t>，</w:t>
      </w:r>
      <w:r>
        <w:rPr>
          <w:rFonts w:ascii="宋体" w:hAnsi="宋体" w:eastAsia="宋体" w:cs="宋体"/>
          <w:color w:val="auto"/>
          <w:spacing w:val="-4"/>
          <w:sz w:val="24"/>
          <w:szCs w:val="24"/>
          <w:highlight w:val="none"/>
        </w:rPr>
        <w:t>按照市级核心层、</w:t>
      </w:r>
      <w:r>
        <w:rPr>
          <w:rFonts w:hint="eastAsia" w:ascii="宋体" w:hAnsi="宋体" w:eastAsia="宋体" w:cs="宋体"/>
          <w:color w:val="auto"/>
          <w:spacing w:val="-4"/>
          <w:sz w:val="24"/>
          <w:szCs w:val="24"/>
          <w:highlight w:val="none"/>
          <w:lang w:val="en-US" w:eastAsia="zh-CN"/>
        </w:rPr>
        <w:t>市区6个</w:t>
      </w:r>
      <w:r>
        <w:rPr>
          <w:rFonts w:ascii="宋体" w:hAnsi="宋体" w:eastAsia="宋体" w:cs="宋体"/>
          <w:color w:val="auto"/>
          <w:spacing w:val="-4"/>
          <w:sz w:val="24"/>
          <w:szCs w:val="24"/>
          <w:highlight w:val="none"/>
        </w:rPr>
        <w:t>汇聚层</w:t>
      </w:r>
      <w:r>
        <w:rPr>
          <w:rFonts w:ascii="宋体" w:hAnsi="宋体" w:eastAsia="宋体" w:cs="宋体"/>
          <w:color w:val="auto"/>
          <w:spacing w:val="-5"/>
          <w:sz w:val="24"/>
          <w:szCs w:val="24"/>
          <w:highlight w:val="none"/>
        </w:rPr>
        <w:t>、前端接入层的</w:t>
      </w:r>
      <w:r>
        <w:rPr>
          <w:rFonts w:ascii="宋体" w:hAnsi="宋体" w:eastAsia="宋体" w:cs="宋体"/>
          <w:color w:val="auto"/>
          <w:spacing w:val="-1"/>
          <w:sz w:val="24"/>
          <w:szCs w:val="24"/>
          <w:highlight w:val="none"/>
        </w:rPr>
        <w:t>要求，统一规划，网络结构示意如下：</w:t>
      </w:r>
    </w:p>
    <w:p w14:paraId="6BFB2398">
      <w:pPr>
        <w:spacing w:before="79" w:line="367" w:lineRule="auto"/>
        <w:jc w:val="both"/>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drawing>
          <wp:inline distT="0" distB="0" distL="114300" distR="114300">
            <wp:extent cx="5492115" cy="3942715"/>
            <wp:effectExtent l="0" t="0" r="13335" b="635"/>
            <wp:docPr id="15" name="图片 15" descr="细化初步设计方案内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细化初步设计方案内容"/>
                    <pic:cNvPicPr>
                      <a:picLocks noChangeAspect="1"/>
                    </pic:cNvPicPr>
                  </pic:nvPicPr>
                  <pic:blipFill>
                    <a:blip r:embed="rId17"/>
                    <a:stretch>
                      <a:fillRect/>
                    </a:stretch>
                  </pic:blipFill>
                  <pic:spPr>
                    <a:xfrm>
                      <a:off x="0" y="0"/>
                      <a:ext cx="5492115" cy="3942715"/>
                    </a:xfrm>
                    <a:prstGeom prst="rect">
                      <a:avLst/>
                    </a:prstGeom>
                  </pic:spPr>
                </pic:pic>
              </a:graphicData>
            </a:graphic>
          </wp:inline>
        </w:drawing>
      </w:r>
    </w:p>
    <w:p w14:paraId="7EB21D8C">
      <w:pPr>
        <w:spacing w:before="193" w:line="219" w:lineRule="auto"/>
        <w:ind w:left="2144" w:firstLine="468" w:firstLineChars="20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图1郴州市视频专网网络拓扑现状示意图</w:t>
      </w:r>
    </w:p>
    <w:p w14:paraId="38592114">
      <w:pPr>
        <w:spacing w:before="1" w:line="5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drawing>
          <wp:anchor distT="0" distB="0" distL="114300" distR="114300" simplePos="0" relativeHeight="251659264" behindDoc="1" locked="0" layoutInCell="1" allowOverlap="1">
            <wp:simplePos x="0" y="0"/>
            <wp:positionH relativeFrom="column">
              <wp:posOffset>123190</wp:posOffset>
            </wp:positionH>
            <wp:positionV relativeFrom="paragraph">
              <wp:posOffset>-213360</wp:posOffset>
            </wp:positionV>
            <wp:extent cx="5490210" cy="3611880"/>
            <wp:effectExtent l="0" t="0" r="15240" b="7620"/>
            <wp:wrapNone/>
            <wp:docPr id="16" name="图片 16" descr="细化初步设计方案内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细化初步设计方案内容 (1)"/>
                    <pic:cNvPicPr>
                      <a:picLocks noChangeAspect="1"/>
                    </pic:cNvPicPr>
                  </pic:nvPicPr>
                  <pic:blipFill>
                    <a:blip r:embed="rId18"/>
                    <a:stretch>
                      <a:fillRect/>
                    </a:stretch>
                  </pic:blipFill>
                  <pic:spPr>
                    <a:xfrm>
                      <a:off x="0" y="0"/>
                      <a:ext cx="5490210" cy="3611880"/>
                    </a:xfrm>
                    <a:prstGeom prst="rect">
                      <a:avLst/>
                    </a:prstGeom>
                  </pic:spPr>
                </pic:pic>
              </a:graphicData>
            </a:graphic>
          </wp:anchor>
        </w:drawing>
      </w:r>
    </w:p>
    <w:p w14:paraId="636646B4">
      <w:pPr>
        <w:spacing w:before="173" w:line="219" w:lineRule="auto"/>
        <w:ind w:left="2384" w:firstLine="468" w:firstLineChars="200"/>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图2郴州市视频专网网络结构示意图</w:t>
      </w:r>
    </w:p>
    <w:p w14:paraId="5CF90D18">
      <w:pPr>
        <w:spacing w:before="173" w:line="219" w:lineRule="auto"/>
        <w:jc w:val="center"/>
        <w:rPr>
          <w:rFonts w:ascii="宋体" w:hAnsi="宋体" w:eastAsia="宋体" w:cs="宋体"/>
          <w:color w:val="auto"/>
          <w:spacing w:val="-3"/>
          <w:sz w:val="24"/>
          <w:szCs w:val="24"/>
          <w:highlight w:val="none"/>
        </w:rPr>
      </w:pPr>
      <w:r>
        <w:rPr>
          <w:rFonts w:ascii="宋体" w:hAnsi="宋体" w:eastAsia="宋体" w:cs="宋体"/>
          <w:color w:val="auto"/>
          <w:position w:val="-209"/>
          <w:sz w:val="24"/>
          <w:szCs w:val="24"/>
          <w:highlight w:val="none"/>
        </w:rPr>
        <w:drawing>
          <wp:inline distT="0" distB="0" distL="114300" distR="114300">
            <wp:extent cx="3411220" cy="4548505"/>
            <wp:effectExtent l="0" t="0" r="17780" b="4445"/>
            <wp:docPr id="17" name="图片 8"/>
            <wp:cNvGraphicFramePr/>
            <a:graphic xmlns:a="http://schemas.openxmlformats.org/drawingml/2006/main">
              <a:graphicData uri="http://schemas.openxmlformats.org/drawingml/2006/picture">
                <pic:pic xmlns:pic="http://schemas.openxmlformats.org/drawingml/2006/picture">
                  <pic:nvPicPr>
                    <pic:cNvPr id="17" name="图片 8"/>
                    <pic:cNvPicPr/>
                  </pic:nvPicPr>
                  <pic:blipFill>
                    <a:blip r:embed="rId19"/>
                    <a:stretch>
                      <a:fillRect/>
                    </a:stretch>
                  </pic:blipFill>
                  <pic:spPr>
                    <a:xfrm>
                      <a:off x="0" y="0"/>
                      <a:ext cx="3411220" cy="4548505"/>
                    </a:xfrm>
                    <a:prstGeom prst="rect">
                      <a:avLst/>
                    </a:prstGeom>
                    <a:noFill/>
                    <a:ln>
                      <a:noFill/>
                    </a:ln>
                  </pic:spPr>
                </pic:pic>
              </a:graphicData>
            </a:graphic>
          </wp:inline>
        </w:drawing>
      </w:r>
    </w:p>
    <w:p w14:paraId="6012D299">
      <w:pPr>
        <w:tabs>
          <w:tab w:val="left" w:pos="7311"/>
        </w:tabs>
        <w:spacing w:before="245" w:line="327" w:lineRule="exact"/>
        <w:ind w:left="2624" w:firstLine="468" w:firstLineChars="200"/>
        <w:rPr>
          <w:rFonts w:ascii="宋体" w:hAnsi="宋体" w:eastAsia="宋体" w:cs="宋体"/>
          <w:color w:val="auto"/>
          <w:spacing w:val="-3"/>
          <w:position w:val="1"/>
          <w:sz w:val="24"/>
          <w:szCs w:val="24"/>
          <w:highlight w:val="none"/>
        </w:rPr>
      </w:pPr>
      <w:r>
        <w:rPr>
          <w:rFonts w:ascii="宋体" w:hAnsi="宋体" w:eastAsia="宋体" w:cs="宋体"/>
          <w:color w:val="auto"/>
          <w:spacing w:val="-3"/>
          <w:position w:val="1"/>
          <w:sz w:val="24"/>
          <w:szCs w:val="24"/>
          <w:highlight w:val="none"/>
        </w:rPr>
        <w:t>图3郴州市视频专网网络拓扑图</w:t>
      </w:r>
    </w:p>
    <w:p w14:paraId="3C562C73">
      <w:pPr>
        <w:keepNext/>
        <w:keepLines/>
        <w:widowControl w:val="0"/>
        <w:numPr>
          <w:ilvl w:val="0"/>
          <w:numId w:val="0"/>
        </w:numPr>
        <w:tabs>
          <w:tab w:val="left" w:pos="0"/>
          <w:tab w:val="left" w:pos="993"/>
          <w:tab w:val="left" w:pos="1050"/>
          <w:tab w:val="left" w:pos="1260"/>
        </w:tabs>
        <w:bidi w:val="0"/>
        <w:spacing w:before="50" w:beforeLines="50" w:after="50" w:afterLines="50" w:line="360" w:lineRule="auto"/>
        <w:ind w:left="397" w:leftChars="0" w:firstLine="482" w:firstLineChars="200"/>
        <w:jc w:val="both"/>
        <w:outlineLvl w:val="3"/>
        <w:rPr>
          <w:rFonts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3、</w:t>
      </w:r>
      <w:r>
        <w:rPr>
          <w:rFonts w:ascii="Arial" w:hAnsi="Arial" w:eastAsia="黑体" w:cs="宋体"/>
          <w:b/>
          <w:bCs/>
          <w:color w:val="auto"/>
          <w:kern w:val="2"/>
          <w:sz w:val="24"/>
          <w:szCs w:val="24"/>
          <w:highlight w:val="none"/>
          <w:lang w:val="en-US" w:eastAsia="zh-CN" w:bidi="ar-SA"/>
        </w:rPr>
        <w:t>核心层</w:t>
      </w:r>
    </w:p>
    <w:p w14:paraId="69E7F8E3">
      <w:pPr>
        <w:spacing w:before="78" w:line="377" w:lineRule="auto"/>
        <w:ind w:left="8" w:firstLine="46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以市公安机房为监控中心的核心，目前市公安局已部署2台核心交换机，下行</w:t>
      </w:r>
      <w:r>
        <w:rPr>
          <w:rFonts w:ascii="宋体" w:hAnsi="宋体" w:eastAsia="宋体" w:cs="宋体"/>
          <w:color w:val="auto"/>
          <w:spacing w:val="-2"/>
          <w:sz w:val="24"/>
          <w:szCs w:val="24"/>
          <w:highlight w:val="none"/>
        </w:rPr>
        <w:t>采用主备万兆双链路与汇聚层交换机互联，</w:t>
      </w:r>
      <w:r>
        <w:rPr>
          <w:rFonts w:ascii="宋体" w:hAnsi="宋体" w:eastAsia="宋体" w:cs="宋体"/>
          <w:color w:val="auto"/>
          <w:spacing w:val="-3"/>
          <w:sz w:val="24"/>
          <w:szCs w:val="24"/>
          <w:highlight w:val="none"/>
        </w:rPr>
        <w:t>实现对辖下所有视频资源的接入。郴州</w:t>
      </w:r>
      <w:r>
        <w:rPr>
          <w:rFonts w:ascii="宋体" w:hAnsi="宋体" w:eastAsia="宋体" w:cs="宋体"/>
          <w:color w:val="auto"/>
          <w:spacing w:val="4"/>
          <w:sz w:val="24"/>
          <w:szCs w:val="24"/>
          <w:highlight w:val="none"/>
        </w:rPr>
        <w:t>市公安局监控中心及其他单位平台监控中心将直接从核心机房或汇聚机房建立高</w:t>
      </w:r>
      <w:r>
        <w:rPr>
          <w:rFonts w:ascii="宋体" w:hAnsi="宋体" w:eastAsia="宋体" w:cs="宋体"/>
          <w:color w:val="auto"/>
          <w:spacing w:val="-2"/>
          <w:sz w:val="24"/>
          <w:szCs w:val="24"/>
          <w:highlight w:val="none"/>
        </w:rPr>
        <w:t>带宽专用网络连接。各县市分别从县政府政</w:t>
      </w:r>
      <w:r>
        <w:rPr>
          <w:rFonts w:ascii="宋体" w:hAnsi="宋体" w:eastAsia="宋体" w:cs="宋体"/>
          <w:color w:val="auto"/>
          <w:spacing w:val="-3"/>
          <w:sz w:val="24"/>
          <w:szCs w:val="24"/>
          <w:highlight w:val="none"/>
        </w:rPr>
        <w:t>务服务中心或指定的汇聚机房调通到核</w:t>
      </w:r>
      <w:r>
        <w:rPr>
          <w:rFonts w:ascii="宋体" w:hAnsi="宋体" w:eastAsia="宋体" w:cs="宋体"/>
          <w:color w:val="auto"/>
          <w:spacing w:val="1"/>
          <w:sz w:val="24"/>
          <w:szCs w:val="24"/>
          <w:highlight w:val="none"/>
        </w:rPr>
        <w:t>心交换机的高带宽电路。核心层网络拓扑图如下图所示</w:t>
      </w:r>
      <w:r>
        <w:rPr>
          <w:rFonts w:hint="eastAsia" w:ascii="宋体" w:hAnsi="宋体" w:eastAsia="宋体" w:cs="宋体"/>
          <w:color w:val="auto"/>
          <w:spacing w:val="1"/>
          <w:sz w:val="24"/>
          <w:szCs w:val="24"/>
          <w:highlight w:val="none"/>
          <w:lang w:eastAsia="zh-CN"/>
        </w:rPr>
        <w:t>：</w:t>
      </w:r>
    </w:p>
    <w:p w14:paraId="054D5349">
      <w:pPr>
        <w:spacing w:line="254" w:lineRule="auto"/>
        <w:ind w:left="0" w:leftChars="0" w:firstLine="0" w:firstLineChars="0"/>
        <w:rPr>
          <w:rFonts w:ascii="宋体" w:hAnsi="宋体" w:eastAsia="宋体" w:cs="宋体"/>
          <w:color w:val="auto"/>
          <w:sz w:val="24"/>
          <w:szCs w:val="24"/>
          <w:highlight w:val="none"/>
        </w:rPr>
      </w:pPr>
    </w:p>
    <w:p w14:paraId="41CB9E76">
      <w:pPr>
        <w:spacing w:line="3610" w:lineRule="exact"/>
        <w:ind w:firstLine="480" w:firstLineChars="200"/>
        <w:rPr>
          <w:rFonts w:ascii="宋体" w:hAnsi="宋体" w:eastAsia="宋体" w:cs="宋体"/>
          <w:color w:val="auto"/>
          <w:sz w:val="24"/>
          <w:szCs w:val="24"/>
          <w:highlight w:val="none"/>
        </w:rPr>
      </w:pPr>
      <w:r>
        <w:rPr>
          <w:rFonts w:ascii="宋体" w:hAnsi="宋体" w:eastAsia="宋体" w:cs="宋体"/>
          <w:color w:val="auto"/>
          <w:position w:val="-72"/>
          <w:sz w:val="24"/>
          <w:szCs w:val="24"/>
          <w:highlight w:val="none"/>
        </w:rPr>
        <w:drawing>
          <wp:inline distT="0" distB="0" distL="114300" distR="114300">
            <wp:extent cx="5429885" cy="2291715"/>
            <wp:effectExtent l="0" t="0" r="18415" b="13335"/>
            <wp:docPr id="20" name="图片 9"/>
            <wp:cNvGraphicFramePr/>
            <a:graphic xmlns:a="http://schemas.openxmlformats.org/drawingml/2006/main">
              <a:graphicData uri="http://schemas.openxmlformats.org/drawingml/2006/picture">
                <pic:pic xmlns:pic="http://schemas.openxmlformats.org/drawingml/2006/picture">
                  <pic:nvPicPr>
                    <pic:cNvPr id="20" name="图片 9"/>
                    <pic:cNvPicPr/>
                  </pic:nvPicPr>
                  <pic:blipFill>
                    <a:blip r:embed="rId20"/>
                    <a:stretch>
                      <a:fillRect/>
                    </a:stretch>
                  </pic:blipFill>
                  <pic:spPr>
                    <a:xfrm>
                      <a:off x="0" y="0"/>
                      <a:ext cx="5429885" cy="2291715"/>
                    </a:xfrm>
                    <a:prstGeom prst="rect">
                      <a:avLst/>
                    </a:prstGeom>
                    <a:noFill/>
                    <a:ln>
                      <a:noFill/>
                    </a:ln>
                  </pic:spPr>
                </pic:pic>
              </a:graphicData>
            </a:graphic>
          </wp:inline>
        </w:drawing>
      </w:r>
    </w:p>
    <w:p w14:paraId="77C9314D">
      <w:pPr>
        <w:spacing w:before="277" w:line="219" w:lineRule="auto"/>
        <w:ind w:left="3256" w:firstLine="464" w:firstLineChars="20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图4核心层网络拓扑图</w:t>
      </w:r>
    </w:p>
    <w:p w14:paraId="7B0A914E">
      <w:pPr>
        <w:keepNext/>
        <w:keepLines/>
        <w:widowControl w:val="0"/>
        <w:numPr>
          <w:ilvl w:val="0"/>
          <w:numId w:val="0"/>
        </w:numPr>
        <w:tabs>
          <w:tab w:val="left" w:pos="0"/>
          <w:tab w:val="left" w:pos="993"/>
          <w:tab w:val="left" w:pos="1050"/>
          <w:tab w:val="left" w:pos="1260"/>
        </w:tabs>
        <w:bidi w:val="0"/>
        <w:spacing w:before="50" w:beforeLines="50" w:after="50" w:afterLines="50" w:line="360" w:lineRule="auto"/>
        <w:ind w:left="397" w:leftChars="0" w:firstLine="482" w:firstLineChars="200"/>
        <w:jc w:val="both"/>
        <w:outlineLvl w:val="3"/>
        <w:rPr>
          <w:rFonts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4、</w:t>
      </w:r>
      <w:r>
        <w:rPr>
          <w:rFonts w:ascii="Arial" w:hAnsi="Arial" w:eastAsia="黑体" w:cs="宋体"/>
          <w:b/>
          <w:bCs/>
          <w:color w:val="auto"/>
          <w:kern w:val="2"/>
          <w:sz w:val="24"/>
          <w:szCs w:val="24"/>
          <w:highlight w:val="none"/>
          <w:lang w:val="en-US" w:eastAsia="zh-CN" w:bidi="ar-SA"/>
        </w:rPr>
        <w:t>汇聚层</w:t>
      </w:r>
    </w:p>
    <w:p w14:paraId="71D2BFDB">
      <w:pPr>
        <w:spacing w:before="78" w:line="377" w:lineRule="auto"/>
        <w:ind w:left="8" w:firstLine="468" w:firstLineChars="200"/>
        <w:jc w:val="both"/>
        <w:rPr>
          <w:rFonts w:hint="eastAsia" w:ascii="宋体" w:hAnsi="宋体" w:eastAsia="宋体" w:cs="宋体"/>
          <w:color w:val="auto"/>
          <w:spacing w:val="4"/>
          <w:sz w:val="24"/>
          <w:szCs w:val="24"/>
          <w:highlight w:val="none"/>
          <w:lang w:eastAsia="zh-CN"/>
        </w:rPr>
      </w:pPr>
      <w:r>
        <w:rPr>
          <w:rFonts w:ascii="宋体" w:hAnsi="宋体" w:eastAsia="宋体" w:cs="宋体"/>
          <w:color w:val="auto"/>
          <w:spacing w:val="-3"/>
          <w:sz w:val="24"/>
          <w:szCs w:val="24"/>
          <w:highlight w:val="none"/>
        </w:rPr>
        <w:t>汇聚层目前是由运营商提供的片区节点汇聚机房，包含人民路片区、五岭广场</w:t>
      </w:r>
      <w:r>
        <w:rPr>
          <w:rFonts w:ascii="宋体" w:hAnsi="宋体" w:eastAsia="宋体" w:cs="宋体"/>
          <w:color w:val="auto"/>
          <w:spacing w:val="-2"/>
          <w:sz w:val="24"/>
          <w:szCs w:val="24"/>
          <w:highlight w:val="none"/>
        </w:rPr>
        <w:t>片区、南塔片区、苏仙岭片区、下湄桥片区</w:t>
      </w:r>
      <w:r>
        <w:rPr>
          <w:rFonts w:ascii="宋体" w:hAnsi="宋体" w:eastAsia="宋体" w:cs="宋体"/>
          <w:color w:val="auto"/>
          <w:spacing w:val="-3"/>
          <w:sz w:val="24"/>
          <w:szCs w:val="24"/>
          <w:highlight w:val="none"/>
        </w:rPr>
        <w:t>、城东新区片区等</w:t>
      </w:r>
      <w:r>
        <w:rPr>
          <w:rFonts w:hint="eastAsia" w:ascii="宋体" w:hAnsi="宋体" w:eastAsia="宋体" w:cs="宋体"/>
          <w:color w:val="auto"/>
          <w:spacing w:val="-3"/>
          <w:sz w:val="24"/>
          <w:szCs w:val="24"/>
          <w:highlight w:val="none"/>
        </w:rPr>
        <w:t>等</w:t>
      </w:r>
      <w:r>
        <w:rPr>
          <w:rFonts w:ascii="宋体" w:hAnsi="宋体" w:eastAsia="宋体" w:cs="宋体"/>
          <w:color w:val="auto"/>
          <w:spacing w:val="-3"/>
          <w:sz w:val="24"/>
          <w:szCs w:val="24"/>
          <w:highlight w:val="none"/>
        </w:rPr>
        <w:t>，每一个汇聚机房已</w:t>
      </w:r>
      <w:r>
        <w:rPr>
          <w:rFonts w:ascii="宋体" w:hAnsi="宋体" w:eastAsia="宋体" w:cs="宋体"/>
          <w:color w:val="auto"/>
          <w:spacing w:val="-4"/>
          <w:sz w:val="24"/>
          <w:szCs w:val="24"/>
          <w:highlight w:val="none"/>
        </w:rPr>
        <w:t>部署2台三层交换机，上行至市公安局核心交换机主备均为万兆双链路，下行至接</w:t>
      </w:r>
      <w:r>
        <w:rPr>
          <w:rFonts w:ascii="宋体" w:hAnsi="宋体" w:eastAsia="宋体" w:cs="宋体"/>
          <w:color w:val="auto"/>
          <w:spacing w:val="1"/>
          <w:sz w:val="24"/>
          <w:szCs w:val="24"/>
          <w:highlight w:val="none"/>
        </w:rPr>
        <w:t>入</w:t>
      </w:r>
      <w:r>
        <w:rPr>
          <w:rFonts w:ascii="宋体" w:hAnsi="宋体" w:eastAsia="宋体" w:cs="宋体"/>
          <w:color w:val="auto"/>
          <w:sz w:val="24"/>
          <w:szCs w:val="24"/>
          <w:highlight w:val="none"/>
        </w:rPr>
        <w:t>OLT</w:t>
      </w:r>
      <w:r>
        <w:rPr>
          <w:rFonts w:ascii="宋体" w:hAnsi="宋体" w:eastAsia="宋体" w:cs="宋体"/>
          <w:color w:val="auto"/>
          <w:spacing w:val="1"/>
          <w:sz w:val="24"/>
          <w:szCs w:val="24"/>
          <w:highlight w:val="none"/>
        </w:rPr>
        <w:t>均为万兆双链路。2区通过千兆双链路接入到汇聚层三层交换机，汇聚层</w:t>
      </w:r>
      <w:r>
        <w:rPr>
          <w:rFonts w:ascii="宋体" w:hAnsi="宋体" w:eastAsia="宋体" w:cs="宋体"/>
          <w:color w:val="auto"/>
          <w:spacing w:val="4"/>
          <w:sz w:val="24"/>
          <w:szCs w:val="24"/>
          <w:highlight w:val="none"/>
        </w:rPr>
        <w:t>网络拓扑图如下</w:t>
      </w:r>
      <w:r>
        <w:rPr>
          <w:rFonts w:hint="eastAsia" w:ascii="宋体" w:hAnsi="宋体" w:eastAsia="宋体" w:cs="宋体"/>
          <w:color w:val="auto"/>
          <w:spacing w:val="4"/>
          <w:sz w:val="24"/>
          <w:szCs w:val="24"/>
          <w:highlight w:val="none"/>
          <w:lang w:eastAsia="zh-CN"/>
        </w:rPr>
        <w:t>：</w:t>
      </w:r>
    </w:p>
    <w:p w14:paraId="5963CD79">
      <w:pPr>
        <w:spacing w:before="78" w:line="377" w:lineRule="auto"/>
        <w:ind w:left="8" w:firstLine="480" w:firstLineChars="200"/>
        <w:jc w:val="both"/>
        <w:rPr>
          <w:rFonts w:hint="eastAsia" w:ascii="宋体" w:hAnsi="宋体" w:eastAsia="宋体" w:cs="宋体"/>
          <w:color w:val="auto"/>
          <w:spacing w:val="4"/>
          <w:sz w:val="24"/>
          <w:szCs w:val="24"/>
          <w:highlight w:val="none"/>
          <w:lang w:eastAsia="zh-CN"/>
        </w:rPr>
      </w:pPr>
      <w:r>
        <w:rPr>
          <w:rFonts w:ascii="宋体" w:hAnsi="宋体" w:eastAsia="宋体" w:cs="宋体"/>
          <w:color w:val="auto"/>
          <w:position w:val="-111"/>
          <w:sz w:val="24"/>
          <w:szCs w:val="24"/>
          <w:highlight w:val="none"/>
        </w:rPr>
        <w:drawing>
          <wp:inline distT="0" distB="0" distL="114300" distR="114300">
            <wp:extent cx="4929505" cy="2752090"/>
            <wp:effectExtent l="0" t="0" r="4445" b="10160"/>
            <wp:docPr id="47" name="图片 10"/>
            <wp:cNvGraphicFramePr/>
            <a:graphic xmlns:a="http://schemas.openxmlformats.org/drawingml/2006/main">
              <a:graphicData uri="http://schemas.openxmlformats.org/drawingml/2006/picture">
                <pic:pic xmlns:pic="http://schemas.openxmlformats.org/drawingml/2006/picture">
                  <pic:nvPicPr>
                    <pic:cNvPr id="47" name="图片 10"/>
                    <pic:cNvPicPr/>
                  </pic:nvPicPr>
                  <pic:blipFill>
                    <a:blip r:embed="rId21"/>
                    <a:stretch>
                      <a:fillRect/>
                    </a:stretch>
                  </pic:blipFill>
                  <pic:spPr>
                    <a:xfrm>
                      <a:off x="0" y="0"/>
                      <a:ext cx="4929505" cy="2752090"/>
                    </a:xfrm>
                    <a:prstGeom prst="rect">
                      <a:avLst/>
                    </a:prstGeom>
                    <a:noFill/>
                    <a:ln>
                      <a:noFill/>
                    </a:ln>
                  </pic:spPr>
                </pic:pic>
              </a:graphicData>
            </a:graphic>
          </wp:inline>
        </w:drawing>
      </w:r>
    </w:p>
    <w:p w14:paraId="228B2B09">
      <w:pPr>
        <w:spacing w:before="234" w:line="327" w:lineRule="exact"/>
        <w:ind w:left="3256" w:firstLine="464" w:firstLineChars="200"/>
        <w:rPr>
          <w:rFonts w:ascii="宋体" w:hAnsi="宋体" w:eastAsia="宋体" w:cs="宋体"/>
          <w:color w:val="auto"/>
          <w:spacing w:val="-4"/>
          <w:position w:val="1"/>
          <w:sz w:val="24"/>
          <w:szCs w:val="24"/>
          <w:highlight w:val="none"/>
        </w:rPr>
      </w:pPr>
      <w:r>
        <w:rPr>
          <w:rFonts w:ascii="宋体" w:hAnsi="宋体" w:eastAsia="宋体" w:cs="宋体"/>
          <w:color w:val="auto"/>
          <w:spacing w:val="-4"/>
          <w:position w:val="1"/>
          <w:sz w:val="24"/>
          <w:szCs w:val="24"/>
          <w:highlight w:val="none"/>
        </w:rPr>
        <w:t>图5汇聚层网络拓扑图</w:t>
      </w:r>
    </w:p>
    <w:p w14:paraId="6A3CFD04">
      <w:pPr>
        <w:keepNext/>
        <w:keepLines/>
        <w:widowControl w:val="0"/>
        <w:numPr>
          <w:ilvl w:val="0"/>
          <w:numId w:val="0"/>
        </w:numPr>
        <w:tabs>
          <w:tab w:val="left" w:pos="0"/>
          <w:tab w:val="left" w:pos="993"/>
          <w:tab w:val="left" w:pos="1050"/>
          <w:tab w:val="left" w:pos="1260"/>
        </w:tabs>
        <w:bidi w:val="0"/>
        <w:spacing w:before="50" w:beforeLines="50" w:after="50" w:afterLines="50" w:line="360" w:lineRule="auto"/>
        <w:ind w:left="397" w:leftChars="0" w:firstLine="482" w:firstLineChars="200"/>
        <w:jc w:val="both"/>
        <w:outlineLvl w:val="3"/>
        <w:rPr>
          <w:rFonts w:ascii="Arial" w:hAnsi="Arial" w:eastAsia="黑体" w:cs="宋体"/>
          <w:b/>
          <w:bCs/>
          <w:color w:val="auto"/>
          <w:kern w:val="2"/>
          <w:sz w:val="24"/>
          <w:szCs w:val="24"/>
          <w:highlight w:val="none"/>
          <w:lang w:val="en-US" w:eastAsia="zh-CN" w:bidi="ar-SA"/>
        </w:rPr>
      </w:pPr>
      <w:bookmarkStart w:id="155" w:name="bookmark27"/>
      <w:bookmarkEnd w:id="155"/>
      <w:r>
        <w:rPr>
          <w:rFonts w:hint="eastAsia" w:ascii="Arial" w:hAnsi="Arial" w:eastAsia="黑体" w:cs="宋体"/>
          <w:b/>
          <w:bCs/>
          <w:color w:val="auto"/>
          <w:kern w:val="2"/>
          <w:sz w:val="24"/>
          <w:szCs w:val="24"/>
          <w:highlight w:val="none"/>
          <w:lang w:val="en-US" w:eastAsia="zh-CN" w:bidi="ar-SA"/>
        </w:rPr>
        <w:t>5、</w:t>
      </w:r>
      <w:r>
        <w:rPr>
          <w:rFonts w:ascii="Arial" w:hAnsi="Arial" w:eastAsia="黑体" w:cs="宋体"/>
          <w:b/>
          <w:bCs/>
          <w:color w:val="auto"/>
          <w:kern w:val="2"/>
          <w:sz w:val="24"/>
          <w:szCs w:val="24"/>
          <w:highlight w:val="none"/>
          <w:lang w:val="en-US" w:eastAsia="zh-CN" w:bidi="ar-SA"/>
        </w:rPr>
        <w:t>接入层</w:t>
      </w:r>
    </w:p>
    <w:p w14:paraId="3CEDF769">
      <w:pPr>
        <w:spacing w:before="279" w:line="369" w:lineRule="auto"/>
        <w:ind w:left="28" w:firstLine="476" w:firstLineChars="200"/>
        <w:rPr>
          <w:rFonts w:hint="eastAsia" w:ascii="宋体" w:hAnsi="宋体" w:eastAsia="宋体" w:cs="宋体"/>
          <w:color w:val="auto"/>
          <w:spacing w:val="1"/>
          <w:sz w:val="24"/>
          <w:szCs w:val="24"/>
          <w:highlight w:val="none"/>
          <w:lang w:eastAsia="zh-CN"/>
        </w:rPr>
      </w:pPr>
      <w:r>
        <w:rPr>
          <w:rFonts w:ascii="宋体" w:hAnsi="宋体" w:eastAsia="宋体" w:cs="宋体"/>
          <w:color w:val="auto"/>
          <w:spacing w:val="-1"/>
          <w:sz w:val="24"/>
          <w:szCs w:val="24"/>
          <w:highlight w:val="none"/>
        </w:rPr>
        <w:t>接入层主要指前端监控摄像机10M带宽及200M以下低带宽的使用单位接入</w:t>
      </w:r>
      <w:r>
        <w:rPr>
          <w:rFonts w:ascii="宋体" w:hAnsi="宋体" w:eastAsia="宋体" w:cs="宋体"/>
          <w:color w:val="auto"/>
          <w:spacing w:val="1"/>
          <w:sz w:val="24"/>
          <w:szCs w:val="24"/>
          <w:highlight w:val="none"/>
        </w:rPr>
        <w:t>网络。拓扑图如下</w:t>
      </w:r>
      <w:r>
        <w:rPr>
          <w:rFonts w:hint="eastAsia" w:ascii="宋体" w:hAnsi="宋体" w:eastAsia="宋体" w:cs="宋体"/>
          <w:color w:val="auto"/>
          <w:spacing w:val="1"/>
          <w:sz w:val="24"/>
          <w:szCs w:val="24"/>
          <w:highlight w:val="none"/>
          <w:lang w:eastAsia="zh-CN"/>
        </w:rPr>
        <w:t>：</w:t>
      </w:r>
    </w:p>
    <w:p w14:paraId="18956A2D">
      <w:pPr>
        <w:spacing w:before="279" w:line="369" w:lineRule="auto"/>
        <w:ind w:left="28" w:firstLine="480" w:firstLineChars="200"/>
        <w:rPr>
          <w:rFonts w:hint="eastAsia" w:ascii="宋体" w:hAnsi="宋体" w:eastAsia="宋体" w:cs="宋体"/>
          <w:color w:val="auto"/>
          <w:spacing w:val="1"/>
          <w:sz w:val="24"/>
          <w:szCs w:val="24"/>
          <w:highlight w:val="none"/>
          <w:lang w:eastAsia="zh-CN"/>
        </w:rPr>
      </w:pPr>
      <w:r>
        <w:rPr>
          <w:rFonts w:ascii="宋体" w:hAnsi="宋体" w:eastAsia="宋体" w:cs="宋体"/>
          <w:color w:val="auto"/>
          <w:position w:val="-113"/>
          <w:sz w:val="24"/>
          <w:highlight w:val="none"/>
        </w:rPr>
        <w:drawing>
          <wp:inline distT="0" distB="0" distL="114300" distR="114300">
            <wp:extent cx="4206240" cy="3260090"/>
            <wp:effectExtent l="0" t="0" r="3810" b="16510"/>
            <wp:docPr id="21" name="图片 11"/>
            <wp:cNvGraphicFramePr/>
            <a:graphic xmlns:a="http://schemas.openxmlformats.org/drawingml/2006/main">
              <a:graphicData uri="http://schemas.openxmlformats.org/drawingml/2006/picture">
                <pic:pic xmlns:pic="http://schemas.openxmlformats.org/drawingml/2006/picture">
                  <pic:nvPicPr>
                    <pic:cNvPr id="21" name="图片 11"/>
                    <pic:cNvPicPr/>
                  </pic:nvPicPr>
                  <pic:blipFill>
                    <a:blip r:embed="rId22"/>
                    <a:stretch>
                      <a:fillRect/>
                    </a:stretch>
                  </pic:blipFill>
                  <pic:spPr>
                    <a:xfrm>
                      <a:off x="1913890" y="5511165"/>
                      <a:ext cx="4206240" cy="3260090"/>
                    </a:xfrm>
                    <a:prstGeom prst="rect">
                      <a:avLst/>
                    </a:prstGeom>
                    <a:noFill/>
                    <a:ln>
                      <a:noFill/>
                    </a:ln>
                  </pic:spPr>
                </pic:pic>
              </a:graphicData>
            </a:graphic>
          </wp:inline>
        </w:drawing>
      </w:r>
    </w:p>
    <w:p w14:paraId="709E3D09">
      <w:pPr>
        <w:spacing w:before="78" w:line="327" w:lineRule="exact"/>
        <w:ind w:left="3247" w:firstLine="464" w:firstLineChars="200"/>
        <w:rPr>
          <w:rFonts w:ascii="宋体" w:hAnsi="宋体" w:eastAsia="宋体" w:cs="宋体"/>
          <w:color w:val="auto"/>
          <w:spacing w:val="1"/>
          <w:sz w:val="24"/>
          <w:szCs w:val="24"/>
          <w:highlight w:val="none"/>
        </w:rPr>
      </w:pPr>
      <w:r>
        <w:rPr>
          <w:rFonts w:ascii="宋体" w:hAnsi="宋体" w:eastAsia="宋体" w:cs="宋体"/>
          <w:color w:val="auto"/>
          <w:spacing w:val="-4"/>
          <w:position w:val="1"/>
          <w:sz w:val="24"/>
          <w:szCs w:val="24"/>
          <w:highlight w:val="none"/>
        </w:rPr>
        <w:t>图6接入层网络拓扑图</w:t>
      </w:r>
    </w:p>
    <w:p w14:paraId="17CFEE75">
      <w:pPr>
        <w:keepNext/>
        <w:keepLines/>
        <w:widowControl w:val="0"/>
        <w:numPr>
          <w:ilvl w:val="0"/>
          <w:numId w:val="0"/>
        </w:numPr>
        <w:tabs>
          <w:tab w:val="left" w:pos="0"/>
        </w:tabs>
        <w:bidi w:val="0"/>
        <w:adjustRightInd w:val="0"/>
        <w:spacing w:before="50" w:beforeLines="50" w:after="50" w:afterLines="50" w:line="360" w:lineRule="auto"/>
        <w:ind w:left="240" w:leftChars="0" w:firstLine="482" w:firstLineChars="200"/>
        <w:jc w:val="both"/>
        <w:outlineLvl w:val="2"/>
        <w:rPr>
          <w:rFonts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6、</w:t>
      </w:r>
      <w:r>
        <w:rPr>
          <w:rFonts w:ascii="Arial" w:hAnsi="Arial" w:eastAsia="黑体" w:cs="宋体"/>
          <w:b/>
          <w:bCs/>
          <w:color w:val="auto"/>
          <w:kern w:val="2"/>
          <w:sz w:val="24"/>
          <w:szCs w:val="24"/>
          <w:highlight w:val="none"/>
          <w:lang w:val="zh-CN" w:eastAsia="zh-CN" w:bidi="ar-SA"/>
        </w:rPr>
        <w:t>设备现状</w:t>
      </w:r>
    </w:p>
    <w:p w14:paraId="4AE363D7">
      <w:pPr>
        <w:keepNext w:val="0"/>
        <w:keepLines w:val="0"/>
        <w:pageBreakBefore w:val="0"/>
        <w:widowControl w:val="0"/>
        <w:kinsoku/>
        <w:wordWrap/>
        <w:overflowPunct/>
        <w:topLinePunct w:val="0"/>
        <w:autoSpaceDE/>
        <w:autoSpaceDN/>
        <w:bidi w:val="0"/>
        <w:adjustRightInd/>
        <w:snapToGrid/>
        <w:spacing w:before="213" w:line="372" w:lineRule="auto"/>
        <w:ind w:left="0" w:leftChars="0" w:right="79" w:firstLine="468" w:firstLineChars="200"/>
        <w:jc w:val="both"/>
        <w:textAlignment w:val="auto"/>
        <w:rPr>
          <w:rFonts w:ascii="宋体" w:hAnsi="宋体" w:eastAsia="宋体" w:cs="宋体"/>
          <w:color w:val="auto"/>
          <w:spacing w:val="-2"/>
          <w:sz w:val="24"/>
          <w:szCs w:val="24"/>
          <w:highlight w:val="none"/>
        </w:rPr>
      </w:pPr>
      <w:r>
        <w:rPr>
          <w:rFonts w:ascii="宋体" w:hAnsi="宋体" w:eastAsia="宋体" w:cs="宋体"/>
          <w:color w:val="auto"/>
          <w:spacing w:val="-3"/>
          <w:sz w:val="24"/>
          <w:szCs w:val="24"/>
          <w:highlight w:val="none"/>
        </w:rPr>
        <w:t>目前核心层是在市公安局部署的2台S105</w:t>
      </w:r>
      <w:r>
        <w:rPr>
          <w:rFonts w:ascii="宋体" w:hAnsi="宋体" w:eastAsia="宋体" w:cs="宋体"/>
          <w:color w:val="auto"/>
          <w:spacing w:val="-4"/>
          <w:sz w:val="24"/>
          <w:szCs w:val="24"/>
          <w:highlight w:val="none"/>
        </w:rPr>
        <w:t>06X-G，目前已与公安视频专网相隔离，公安视频专网核心层</w:t>
      </w:r>
      <w:r>
        <w:rPr>
          <w:rFonts w:hint="eastAsia" w:ascii="宋体" w:hAnsi="宋体" w:eastAsia="宋体" w:cs="宋体"/>
          <w:color w:val="auto"/>
          <w:spacing w:val="-4"/>
          <w:sz w:val="24"/>
          <w:szCs w:val="24"/>
          <w:highlight w:val="none"/>
          <w:lang w:val="en-US" w:eastAsia="zh-CN"/>
        </w:rPr>
        <w:t>是</w:t>
      </w:r>
      <w:r>
        <w:rPr>
          <w:rFonts w:ascii="宋体" w:hAnsi="宋体" w:eastAsia="宋体" w:cs="宋体"/>
          <w:color w:val="auto"/>
          <w:spacing w:val="-4"/>
          <w:sz w:val="24"/>
          <w:szCs w:val="24"/>
          <w:highlight w:val="none"/>
        </w:rPr>
        <w:t>2台S12712交换机，汇聚层六片区各部</w:t>
      </w:r>
      <w:r>
        <w:rPr>
          <w:rFonts w:ascii="宋体" w:hAnsi="宋体" w:eastAsia="宋体" w:cs="宋体"/>
          <w:color w:val="auto"/>
          <w:spacing w:val="-3"/>
          <w:sz w:val="24"/>
          <w:szCs w:val="24"/>
          <w:highlight w:val="none"/>
        </w:rPr>
        <w:t>署了2台S770</w:t>
      </w:r>
      <w:r>
        <w:rPr>
          <w:rFonts w:hint="eastAsia" w:ascii="宋体" w:hAnsi="宋体" w:eastAsia="宋体" w:cs="宋体"/>
          <w:color w:val="auto"/>
          <w:spacing w:val="-3"/>
          <w:sz w:val="24"/>
          <w:szCs w:val="24"/>
          <w:highlight w:val="none"/>
          <w:lang w:val="en-US" w:eastAsia="zh-CN"/>
        </w:rPr>
        <w:t>6</w:t>
      </w:r>
      <w:r>
        <w:rPr>
          <w:rFonts w:ascii="宋体" w:hAnsi="宋体" w:eastAsia="宋体" w:cs="宋体"/>
          <w:color w:val="auto"/>
          <w:spacing w:val="-3"/>
          <w:sz w:val="24"/>
          <w:szCs w:val="24"/>
          <w:highlight w:val="none"/>
        </w:rPr>
        <w:t>交换机用于市区公安、</w:t>
      </w:r>
      <w:r>
        <w:rPr>
          <w:rFonts w:ascii="宋体" w:hAnsi="宋体" w:eastAsia="宋体" w:cs="宋体"/>
          <w:color w:val="auto"/>
          <w:spacing w:val="-4"/>
          <w:sz w:val="24"/>
          <w:szCs w:val="24"/>
          <w:highlight w:val="none"/>
        </w:rPr>
        <w:t>派出所视频汇聚，9县共1台S5720交换</w:t>
      </w:r>
      <w:r>
        <w:rPr>
          <w:rFonts w:ascii="宋体" w:hAnsi="宋体" w:eastAsia="宋体" w:cs="宋体"/>
          <w:color w:val="auto"/>
          <w:spacing w:val="-5"/>
          <w:sz w:val="24"/>
          <w:szCs w:val="24"/>
          <w:highlight w:val="none"/>
        </w:rPr>
        <w:t>机用于公安视频汇聚、1台S5560交换机用于市直单位汇聚收敛，9县2区政府视</w:t>
      </w:r>
      <w:r>
        <w:rPr>
          <w:rFonts w:ascii="宋体" w:hAnsi="宋体" w:eastAsia="宋体" w:cs="宋体"/>
          <w:color w:val="auto"/>
          <w:spacing w:val="-1"/>
          <w:sz w:val="24"/>
          <w:szCs w:val="24"/>
          <w:highlight w:val="none"/>
        </w:rPr>
        <w:t>频直通政务外网。接入层为运营商进行建设目前是采用PON进</w:t>
      </w:r>
      <w:r>
        <w:rPr>
          <w:rFonts w:ascii="宋体" w:hAnsi="宋体" w:eastAsia="宋体" w:cs="宋体"/>
          <w:color w:val="auto"/>
          <w:spacing w:val="-2"/>
          <w:sz w:val="24"/>
          <w:szCs w:val="24"/>
          <w:highlight w:val="none"/>
        </w:rPr>
        <w:t>行组网。</w:t>
      </w:r>
      <w:r>
        <w:rPr>
          <w:rFonts w:ascii="宋体" w:hAnsi="宋体" w:eastAsia="宋体" w:cs="宋体"/>
          <w:color w:val="auto"/>
          <w:spacing w:val="-4"/>
          <w:sz w:val="24"/>
          <w:szCs w:val="24"/>
          <w:highlight w:val="none"/>
        </w:rPr>
        <w:t>汇聚层六片区</w:t>
      </w:r>
      <w:r>
        <w:rPr>
          <w:rFonts w:hint="eastAsia" w:ascii="宋体" w:hAnsi="宋体" w:eastAsia="宋体" w:cs="宋体"/>
          <w:color w:val="auto"/>
          <w:spacing w:val="-4"/>
          <w:sz w:val="24"/>
          <w:szCs w:val="24"/>
          <w:highlight w:val="none"/>
          <w:lang w:val="en-US" w:eastAsia="zh-CN"/>
        </w:rPr>
        <w:t>托管设备清单如下：</w:t>
      </w:r>
    </w:p>
    <w:tbl>
      <w:tblPr>
        <w:tblStyle w:val="4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7"/>
        <w:gridCol w:w="1003"/>
        <w:gridCol w:w="2729"/>
        <w:gridCol w:w="1402"/>
        <w:gridCol w:w="993"/>
        <w:gridCol w:w="579"/>
        <w:gridCol w:w="1461"/>
      </w:tblGrid>
      <w:tr w14:paraId="7E809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blHeader/>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05E6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662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汇聚机房</w:t>
            </w: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5DE8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设备名称</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1452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设备品牌/型号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6F9E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设备功耗需求(W)</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634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数量</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0AFA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安装位置</w:t>
            </w:r>
          </w:p>
        </w:tc>
      </w:tr>
      <w:tr w14:paraId="2C292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9056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B3879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珠江桥汇聚机房</w:t>
            </w: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D858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788A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16F8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6B06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0B4F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珠江桥02机柜</w:t>
            </w:r>
          </w:p>
        </w:tc>
      </w:tr>
      <w:tr w14:paraId="4FD24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5AC0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7A85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D6BD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显示器</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A787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LG</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B95C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3C20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6E65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275D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5611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E1CA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6557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海康威视硬盘录像机</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6D77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5296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A658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32DD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05B2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3A70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AA2C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4DD6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珠江桥智能天网OLT-MA5680T</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AE1C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424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1920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A0CD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69E3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珠江桥03机柜</w:t>
            </w:r>
          </w:p>
        </w:tc>
      </w:tr>
      <w:tr w14:paraId="16312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03EB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58F2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F07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金盾GD-WVG-G816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638D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金盾</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7CD3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C9F4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EA86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珠江桥04机柜</w:t>
            </w:r>
          </w:p>
        </w:tc>
      </w:tr>
      <w:tr w14:paraId="4800B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B0D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3D4B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7569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安全准入专家</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9258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金盾</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B162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96A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0718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34E7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154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8835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1779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睿易RG-NBS3100-24GT4SFP</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97F9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308A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29AB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ACDE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DB38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45E8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3350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D725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锐捷RG-S5/50-52GT-L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CE1C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0DD0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E96A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A838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3311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E586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6961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6232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汇聚交换机-主Quidway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6A60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F72A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6F4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FDC3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1C6A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4C3D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4D97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53CC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锐捷RG-S5/50-52GT-L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DD64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541A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CC44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2242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珠江桥05机柜</w:t>
            </w:r>
          </w:p>
        </w:tc>
      </w:tr>
      <w:tr w14:paraId="741C4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2EB6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0D17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F903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汇聚交换机-备Quidway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26BD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F85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D236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416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EE23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3AE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691F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51F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7柜-3服务器：HuaWei/eSpace VCN 3000/视频云节点 vidio cloud Node</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7F02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50B1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D0C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CD8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珠江桥07机柜</w:t>
            </w:r>
          </w:p>
        </w:tc>
      </w:tr>
      <w:tr w14:paraId="03C11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327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C51E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8D36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7柜-2服务器：HuaWei/eSpace VCN 3000/视频云节点 vidio cloud Node</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2D97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8AB7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B67E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B924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B2E3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6"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E142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D562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16D2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7柜-1服务器：HuaWei/eSpace VCN 3000/视频云节点 vidio cloud Node</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5F67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E1EE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AE74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272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EB09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9BBC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F833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DD64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MPU3 43.80.64.4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B85A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CC49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7629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D5F0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珠江桥08机柜</w:t>
            </w:r>
          </w:p>
        </w:tc>
      </w:tr>
      <w:tr w14:paraId="7A778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26D3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6A18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EA32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MPU2 43.80.64.3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41E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B91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F1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C966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C536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840B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300E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F2BE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 43.80.64.2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87AE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4EF3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BFA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7E51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19F6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9F3B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443C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2C3B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MPU7 43.80.64.8</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DE61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14B9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D393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6D5B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珠江桥09柜</w:t>
            </w:r>
          </w:p>
        </w:tc>
      </w:tr>
      <w:tr w14:paraId="453A8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8399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C908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9CA0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MPU6 43.80.64.7</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B57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0A10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8AB7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6E6E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F089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7EEB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667E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07FC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MPU5 43.80.64.6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96A1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4F4F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98B1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A10A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2AA3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0D42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87A4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6733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MPU4 43.80.64.5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FE6A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CE66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3B0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F2E7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69D6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747B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8ABF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2AC4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MPU11 43.80.64.12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B066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E73B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8F6E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2E7B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珠江桥10柜</w:t>
            </w:r>
          </w:p>
        </w:tc>
      </w:tr>
      <w:tr w14:paraId="3FECE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303C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FD4F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EF6A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MPU10 43.80.64.11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8AF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1A0B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F941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140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A9DB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D1E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89AC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AE07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MPU9 43.80.64.10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AC47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D967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BA56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7BF7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1DFD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F703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82C3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BA39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MPU8 43.80.64.9</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B122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3466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9229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6F45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6511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15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w:t>
            </w:r>
          </w:p>
        </w:tc>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83C44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苏仙岭汇聚机房</w:t>
            </w: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6C03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B6C0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3CB2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110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52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苏仙岭01机柜</w:t>
            </w:r>
          </w:p>
        </w:tc>
      </w:tr>
      <w:tr w14:paraId="56F89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00DB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0A96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A3B5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显示器</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D09B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LG</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5804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BAA1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B6CF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4D14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8840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6D4B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097A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海康威视硬盘录像机</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F2C3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72AF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AEE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2AC1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3908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40E3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A35E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7944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天阔服务器 I620-G30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50FC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曙光信息产业（北京）有限公司</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10F0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10B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776C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苏仙岭02机柜</w:t>
            </w:r>
          </w:p>
        </w:tc>
      </w:tr>
      <w:tr w14:paraId="09DCB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7617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C221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1367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MPU13 43.80.16.15   (硬盘空)</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594B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5F20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C82A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1C32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苏仙岭04机柜</w:t>
            </w:r>
          </w:p>
        </w:tc>
      </w:tr>
      <w:tr w14:paraId="4789A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B116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00B5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E216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MPU12 43.80.16.14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26C9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9D69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477C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E23A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8520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0323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685C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4A7A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MPU11 43.80.16.13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A8C8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A9CA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FAAE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AE4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9FC2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EF1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3E8D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47A0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MPU10 43.80.16.12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73FD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7CE8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BB02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D932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A177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2A70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7A4A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C4B7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MPU3 43.80.16.4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C953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36DE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AEF4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CE76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苏仙岭05机柜</w:t>
            </w:r>
          </w:p>
        </w:tc>
      </w:tr>
      <w:tr w14:paraId="37208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9C16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6E1B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1BFC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MPU2 43.80.16.3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2AC0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AA74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7559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D265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C618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5E0C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2F6B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FFBA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 43.80.16.2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7BF6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71BE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AE8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2C0E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1C72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CDE6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48B8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67A6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MPU6 43.80.16.7（硬盘空）</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6D01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4FF2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5822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52AC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苏仙岭06机柜</w:t>
            </w:r>
          </w:p>
        </w:tc>
      </w:tr>
      <w:tr w14:paraId="61B12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001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DDA9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8320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MPU5 43.80.16.6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D015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7827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AC3B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F789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0412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73D0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C5D2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A20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MPU4 43.80.16.5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DE0A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B4C7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9F38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281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F46C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7446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89DB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5833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MPU9 43.80.16.10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B504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DF5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FE42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8964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苏仙岭07机柜</w:t>
            </w:r>
          </w:p>
        </w:tc>
      </w:tr>
      <w:tr w14:paraId="22162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2031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94E2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F1C1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MPU8 43.80.16.9</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456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2A53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626C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8930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1A69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B817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AD91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FF24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MPU7 43.80.16.8</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B65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B09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62EA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8846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5A4F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AD58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27E3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0420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苏仙岭智能天网政企OLT-MA5680T/01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41BA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BC37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1920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2FEB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4045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苏仙岭08机柜</w:t>
            </w:r>
          </w:p>
        </w:tc>
      </w:tr>
      <w:tr w14:paraId="30E79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50E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4758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F330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金盾GD-WVG-G816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8799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金盾</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98D9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AA71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E651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苏仙岭09机柜</w:t>
            </w:r>
          </w:p>
        </w:tc>
      </w:tr>
      <w:tr w14:paraId="56CD1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24C2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B82E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AEB1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安全准入专家</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9516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金盾</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6A01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2DED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46EC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FFA2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BE5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5756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6B48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睿易RG-NBS3100-24GT4SFP</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9881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450E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21E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5512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E595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CE7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2700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0B34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锐捷RG-S5/50-52GT-L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D929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992E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194D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DBCE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D5D8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F466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C15A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218B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汇聚交换机-主Quidway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5CA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C5DD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FCC9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735D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021B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290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32B2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200E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锐捷RG-S5/50-52GT-L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7384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263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6B52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118A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F7D2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2567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5859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B876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汇聚交换机-备Quidway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D1E7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6A2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D02D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A7D9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A235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AF3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51</w:t>
            </w:r>
          </w:p>
        </w:tc>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BA9BB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人民东路汇聚机房</w:t>
            </w: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CCC7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安全准入专家</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A081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金盾</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5DF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35F9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05B7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人民东路机房01机柜</w:t>
            </w:r>
          </w:p>
        </w:tc>
      </w:tr>
      <w:tr w14:paraId="46C4F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CA7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8CD7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230F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交换机RG-S5750-52GT-L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0864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7756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047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9B12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968A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C1C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2F76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7C6D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天网汇聚交换机-主（Quidway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6A27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A0C3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59C3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00DC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4BA5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1BD3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5E3C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D605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交换机RG-S5750-52GT-L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BB3A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1DEB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8B8C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7B9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人民东路机房02机柜</w:t>
            </w:r>
          </w:p>
        </w:tc>
      </w:tr>
      <w:tr w14:paraId="5754E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14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A052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B204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天网汇聚交换机-备（Quidway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B90F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8360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ED7E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B1C7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0133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453B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8D11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B5AA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MPU4(43.80.32.5)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8EFD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7F47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7647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9DF8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人民东路机房03机柜</w:t>
            </w:r>
          </w:p>
        </w:tc>
      </w:tr>
      <w:tr w14:paraId="0A383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6ED2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45D8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9FC4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MPU3(43.80.32.4)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CBFD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5241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7E4D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8F79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1051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1CB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CEDF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2721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MPU2(43.80.32.3)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B033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0F6E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A7E2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445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6238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E8C2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62F4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CED9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MPU1(43.80.32.2)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97A3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8993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AB3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1D45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A1F4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DEC9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6009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DEEC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MPU8(43.80.32.9)</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FC33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17D6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C3E7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72E9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人民东路机房04机柜</w:t>
            </w:r>
          </w:p>
        </w:tc>
      </w:tr>
      <w:tr w14:paraId="24561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7C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9496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CB56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MPU7(43.80.32.8)</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2A8B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F03E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B8B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602F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2684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5289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AD9A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10BF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MPU6(43.80.32.7)</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A1EF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FB09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56A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DB5E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6330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23A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A9EA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4DA9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MPU5(43.80.32.6)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F149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E504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C74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96EC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5905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920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F7F6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9AA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MPU12(43.80.32.13)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B7F3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123C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3660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17FA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人民东路机房05机柜</w:t>
            </w:r>
          </w:p>
        </w:tc>
      </w:tr>
      <w:tr w14:paraId="48378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323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8BA0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27FA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MPU11(43.80.32.12)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9004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1C1A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5FA7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982C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36CC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1D9D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D7D7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52EE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MPU10(43.80.32.11)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9B0B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893C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1E3F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B33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F3EA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FFE5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F878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328C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MPU9(43.80.32.10)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B66E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0259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F354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14E7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64A0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8DC0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3B8C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34A6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MPU16(43.80.32.17)</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0D45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71BB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389C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324E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人民东路机房06机柜</w:t>
            </w:r>
          </w:p>
        </w:tc>
      </w:tr>
      <w:tr w14:paraId="1F227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6075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5C19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29A0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MPU15(43.80.32.16)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06D0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C7D8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9A18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FED0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9E6F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DDD3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8A0D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77F2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MPU14(43.80.32.15)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413F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B3E0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9CF0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737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E675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F576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87A7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408D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MPU13(43.80.32.14)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EA71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B0D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1088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4D20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7F78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55BB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1B9D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D64F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郴州市中心局智能天网政企OLT-MA5680T/01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6851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342D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1920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6B25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43E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411E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0DE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3DB9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2E2B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6D33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594E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39B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EF37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人民东路10机柜</w:t>
            </w:r>
          </w:p>
        </w:tc>
      </w:tr>
      <w:tr w14:paraId="28DEF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239B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DE29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6C00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海康威视硬盘录像机</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C47E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5C3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EF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34E0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C34A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C466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EBA1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C2EA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显示器</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B59F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LG</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73EC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750A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D7A4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F8FC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EBF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76</w:t>
            </w:r>
          </w:p>
        </w:tc>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8CD08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六角坝汇聚机房</w:t>
            </w: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58FC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显示器</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E544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LG</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233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7112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FE6B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02机柜</w:t>
            </w:r>
          </w:p>
        </w:tc>
      </w:tr>
      <w:tr w14:paraId="2CFF0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E305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D12F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96A8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54B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478E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61C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3914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2578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958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3148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5A65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海康硬盘录像机</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2A2F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3CFC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A0EC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813D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BDD8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B821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CADA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B5D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六角坝公安天网政企视频专网OLT-MA5680T/01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F01C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DCF4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1920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FDB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ACB6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0690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FE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1DB5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2D7F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流媒体服务器1-48.21 </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AC71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HUWWEI TEAAL RH2285H</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5C69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C46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451D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04机柜</w:t>
            </w:r>
          </w:p>
        </w:tc>
      </w:tr>
      <w:tr w14:paraId="0087C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0F94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D9DB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92EF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流媒体服务器2-48.22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F90D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HUWWEI TEAAL RH2285H</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9359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A6D9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551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45A1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E65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C37F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2034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流媒体服务器3-48.23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6D77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HUWWEI TEAAL RH2285H</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98B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1FF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7845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77B6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C990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E1BB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32CE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安全准入专家</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9E1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金盾</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5A23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295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F038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0574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B6BC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963B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3020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RG-S5750-52GT-L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AD5B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1CE8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0C70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EDE0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61A5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B4C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F9F2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4D59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郴州天网汇聚交换机-主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173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649B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0BC1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6560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948B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6B4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6DA3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A5CB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流媒体服务器4-48.24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F406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HUWWEI TEAAL RH2285H</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8EE0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E5ED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025C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05机柜</w:t>
            </w:r>
          </w:p>
        </w:tc>
      </w:tr>
      <w:tr w14:paraId="1DE50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55F1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CF36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0271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流媒体服务器5-48.25 </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1AF0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HUWWEI TEAAL RH2285H</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C81A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32E6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7B1D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E14A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1C96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BAF1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AC1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流媒体服务器6-48.26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74AB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HUWWEI TEAAL RH2285H</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5B8C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438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9D3C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FB41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C53C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8F8A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5665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郴州天网汇聚交换机-备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759E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B1CE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A6F7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A577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971D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7439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EDD6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97CA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DAE124354U/磁盘阵列设备   /断电</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FDDC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5757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1360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EC0D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F426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06机柜</w:t>
            </w:r>
          </w:p>
        </w:tc>
      </w:tr>
      <w:tr w14:paraId="195D1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DB98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5945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5ABC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DAE124354U/磁盘阵列设备   /断电</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3622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C219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1360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E008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7254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07机柜</w:t>
            </w:r>
          </w:p>
        </w:tc>
      </w:tr>
      <w:tr w14:paraId="44D47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F2AC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400A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659C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华为OceanStor S5500T</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CB23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4A61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FE1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C85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08机柜</w:t>
            </w:r>
          </w:p>
        </w:tc>
      </w:tr>
      <w:tr w14:paraId="14865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BDF4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762B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79F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DAE124354U/磁盘阵列设备   /断电</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D168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1210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1360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E21D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2D16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D4EB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79B4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7B3E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CD71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 43.80.48.2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0754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138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5951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1CF1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9DD3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B88D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0918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012C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MPU10 43.80.48.12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CDB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31A8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297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1DBC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09机柜</w:t>
            </w:r>
          </w:p>
        </w:tc>
      </w:tr>
      <w:tr w14:paraId="22509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EB46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B03C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BD57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MPU11 43.80.48.13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189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8C51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5617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B85A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9525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F32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D954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36F9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MPU5  43.80.48.6(系统崩溃/断电)</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3E2C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6179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2BF6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61D6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25F7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4C2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A260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D8FA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MPU4  43.80.48.5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E42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9C6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DD3A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A8BC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77DC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543A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9AE1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54BF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MPU3  43.80.48.4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F205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103F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1AD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598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D4A4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1F4C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475C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C074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MPU2  43.80.48.3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07B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218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D580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2E37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9744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28F5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E594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5F7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MPU12 43.80.48.14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FA12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4DCD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A229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0981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10机柜</w:t>
            </w:r>
          </w:p>
        </w:tc>
      </w:tr>
      <w:tr w14:paraId="214D9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A9E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8C06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8957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MPU9  43.80.48.10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ACCF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0B55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43A2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39DA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9A25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D3C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3ECF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BC2B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MPU8  43.80.48.9</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9EB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273A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9055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8FB9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B35A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25F9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60C1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1116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MPU7  43.80.48.8</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68F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FFE0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3738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939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662F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9D73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2233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796A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MPU6  43.80.48.7</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32B2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5A9C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AEC2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1623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B658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E0ED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106</w:t>
            </w:r>
          </w:p>
        </w:tc>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03017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七里洞汇聚机房</w:t>
            </w: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CAA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MPU4 43.80.96.5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A17A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7A19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00AE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4E77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01机柜</w:t>
            </w:r>
          </w:p>
        </w:tc>
      </w:tr>
      <w:tr w14:paraId="57DE0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538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79B4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791B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MPU3 43.80.96.4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3CB7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2DD6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49E8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88F5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72DC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84B6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0285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CD4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MPU2 43.80.96.3(26#硬盘红灯/确认为误报)</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A321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720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7987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0D79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E5F7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785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0563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6FEF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 43.80.96.2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12B3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081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2715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A9B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E25C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703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DAF1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1793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MPU8 43.80.96.9</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34BF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28D5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1D17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F08E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02机柜</w:t>
            </w:r>
          </w:p>
        </w:tc>
      </w:tr>
      <w:tr w14:paraId="426E0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39C3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D420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8CE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MPU7 43.80.96.8</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E6BA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251D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9CDD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C34A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84E4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40A0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0E6C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A39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MPU6 43.80.96.7</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D30F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BB3B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CF98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E5D8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77A7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7E25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9DFE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A398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MPU5 43.80.96.6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8874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EC46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7800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BCF2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9F4E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521A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E43E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06A6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MPU12 43.80.96.13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452B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95FB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45C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0351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03机柜</w:t>
            </w:r>
          </w:p>
        </w:tc>
      </w:tr>
      <w:tr w14:paraId="16C26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46F6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7F53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3DC9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MPU11 43.80.96.12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928E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6956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871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70E2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A209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DC67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F617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D002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MPU10 43.80.96.11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DC0A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6B51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B361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8059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247A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1E3C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4C21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5FAE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MPU9 43.80.96.10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7709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58D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DD8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4F6A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E5D6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190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34D7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23E1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MPU16 43.80.96.17</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DCA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690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2A2E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7C1B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04机柜</w:t>
            </w:r>
          </w:p>
        </w:tc>
      </w:tr>
      <w:tr w14:paraId="3F684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DA4F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94F7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950D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MPU15 43.80.96.16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27AB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906E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6B3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83F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91F2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F830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9BDE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5E31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MPU14 43.80.96.15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C36A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D995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BB09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8CB7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0358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12C3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A888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E70E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MPU13 43.80.96.14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B996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B6A1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17C5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6E65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E4BE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C941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D324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1021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存储服务器/大华</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0B57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大华</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7938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BF5D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E45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05机柜</w:t>
            </w:r>
          </w:p>
        </w:tc>
      </w:tr>
      <w:tr w14:paraId="0ECBB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4CE6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1AAD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3EB9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平台接入网关/大华</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3CAC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大华</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D0B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5FB4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BC13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5DC6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A403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9E2F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FA81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网神SECSIS 3600安全隔离与信息交换系统V2.0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F229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网神</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5A3C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535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0517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269F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D29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F3CA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96B7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海康威视/智能多媒体服务器/DS-VE2208C-BBC/10.145.2.136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62A3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A5A8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E2AE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B7F0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06机柜</w:t>
            </w:r>
          </w:p>
        </w:tc>
      </w:tr>
      <w:tr w14:paraId="081AB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5864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88FF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ED73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MPU18 43.80.96.x</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20B0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0205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9B44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A98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07机柜</w:t>
            </w:r>
          </w:p>
        </w:tc>
      </w:tr>
      <w:tr w14:paraId="39BA8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C305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AA1D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0708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MPU17 43.80.96.x</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5E6B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2364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318E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2FA8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758C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546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9B94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6C1F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七里洞智能天网政企OLT-MA5680T/01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EFD2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3A62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1920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3351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17C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08机柜</w:t>
            </w:r>
          </w:p>
        </w:tc>
      </w:tr>
      <w:tr w14:paraId="54999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A745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30FA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B9BB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服务器/大华/SN:JV67LN2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30B7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大华</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C947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69D4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1C5C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09机柜</w:t>
            </w:r>
          </w:p>
        </w:tc>
      </w:tr>
      <w:tr w14:paraId="095B2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F759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95FB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0D61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服务器/大华/SN:9400043201094144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A285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大华</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7DCA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220F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101E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9F30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0CB5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D1C5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7283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3F22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BA54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3CFF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BC4E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934A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86CA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21F8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7C2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网管服务器（天网监控维护平台）/Uniserver R4930 G5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885F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华三</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9E54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5664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FB5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ED75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BC9A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BB79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F64B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采集服务器（天网监控维护平台）/Uniserver R4930 G5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F448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华三</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A82B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FA3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2186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88C7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56C9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851B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B1D8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海康威视硬盘录像机</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0112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6D43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AAFF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46C6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720B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1567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F430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E092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显示器</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5BBC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LG</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B395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0F7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B8D2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0844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7AB1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44E2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5D98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安全准入专家</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7B4F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金盾</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13F1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891F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5316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10机柜</w:t>
            </w:r>
          </w:p>
        </w:tc>
      </w:tr>
      <w:tr w14:paraId="0DDEC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8D38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B110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19DF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RG-S5758-52GT-L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D59C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60FD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724A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2AEB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4ED9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30C3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E2A3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05C3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汇聚交换机-主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AAE9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9F2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AD15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8974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52E2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1B91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B351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51A5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RG-S5750-52GT-L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D32C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28EA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442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782D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11机柜</w:t>
            </w:r>
          </w:p>
        </w:tc>
      </w:tr>
      <w:tr w14:paraId="0264D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175F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6477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0A5F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汇聚交换机-备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C529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FD61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F6EC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00D0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04E1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46C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A783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1016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MPU22 43.80.96.27</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5ECC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BFF7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C811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3D43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12机柜</w:t>
            </w:r>
          </w:p>
        </w:tc>
      </w:tr>
      <w:tr w14:paraId="35FFE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D030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7D22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16C4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MPU21 43.80.96.26(12#13#18#19#硬盘红灯/确认误报)</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64D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33A7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AB6E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2006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3697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D7DF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74C5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7777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MPU20 43.80.96.25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9A4A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AF5B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BE9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4E7E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A7CD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C2CC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1EBA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EB6F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MPU19 43.80.96.24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4E55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5769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7835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A84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E82B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FA1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145</w:t>
            </w:r>
          </w:p>
        </w:tc>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C7F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下湄桥汇聚机房</w:t>
            </w: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6F17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下湄桥智能天网政企OLT-MA5680T/01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8133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06D2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1920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EC0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E96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01机柜</w:t>
            </w:r>
          </w:p>
        </w:tc>
      </w:tr>
      <w:tr w14:paraId="4CEFD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5AF5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30BA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6381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MPU3 43.80.80.4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5A1A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7B76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9E8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A08F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02机柜</w:t>
            </w:r>
          </w:p>
        </w:tc>
      </w:tr>
      <w:tr w14:paraId="6B1D1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451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FE69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1557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MPU2 43.80.80.3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D7A8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A66B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D3C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84F5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2738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E16F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F6A2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0966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 43.80.80.2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94D1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9C3A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F29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E20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76DF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09ED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20B8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D047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MPU7 43.80.80.9</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63BC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EE66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5E8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9B67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03机柜</w:t>
            </w:r>
          </w:p>
        </w:tc>
      </w:tr>
      <w:tr w14:paraId="68E39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EDE8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E080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E863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MPU6 43.80.80.8</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74DA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E5EA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7113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7A41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E3CF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49B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722B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2647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MPU5 43.80.80.6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BA2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8647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2902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EDD0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E3BB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A582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4F2C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3989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MPU4 43.80.80.5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2226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AD43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A0A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FB55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CD93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B7B5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6DC8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2C66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安全准入专家</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878B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INFOGO</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9835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9967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F526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04机柜</w:t>
            </w:r>
          </w:p>
        </w:tc>
      </w:tr>
      <w:tr w14:paraId="7EC4E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9949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3103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1402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锐捷交换机RG-S5750-52GT-L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A6F9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C18D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8410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A73C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3B20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6AD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DBBF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A40C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汇聚交换机-主 Quidway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1B53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FFC9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DE2C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A9FB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C996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15EB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D663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B32D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锐捷交换机RG-S5750-52GT-L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1309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8AF5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F87B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A3F6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05机柜</w:t>
            </w:r>
          </w:p>
        </w:tc>
      </w:tr>
      <w:tr w14:paraId="2A04C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55CC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836A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00CE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汇聚交换机-备 Quidway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B92B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5EC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E3AC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C79E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4081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AD4E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A05C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B50D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LG显示器</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8EA3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LG</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5362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5B99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82CC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08机柜</w:t>
            </w:r>
          </w:p>
        </w:tc>
      </w:tr>
      <w:tr w14:paraId="318DC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5EC3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CD01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14D2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海康威视硬盘录像机</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1F6D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A83E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D60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02A1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FCF1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F3A3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94B2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8D26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F513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42ED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E79A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24E1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bl>
    <w:p w14:paraId="423BCA92">
      <w:pPr>
        <w:keepNext w:val="0"/>
        <w:keepLines w:val="0"/>
        <w:pageBreakBefore w:val="0"/>
        <w:kinsoku/>
        <w:wordWrap/>
        <w:overflowPunct/>
        <w:topLinePunct w:val="0"/>
        <w:autoSpaceDE/>
        <w:autoSpaceDN/>
        <w:bidi w:val="0"/>
        <w:adjustRightInd/>
        <w:snapToGrid/>
        <w:spacing w:before="213" w:line="372" w:lineRule="auto"/>
        <w:ind w:left="0" w:leftChars="0" w:right="80" w:firstLine="0" w:firstLineChars="0"/>
        <w:jc w:val="both"/>
        <w:rPr>
          <w:rFonts w:ascii="宋体" w:hAnsi="宋体" w:eastAsia="宋体" w:cs="宋体"/>
          <w:color w:val="auto"/>
          <w:spacing w:val="-2"/>
          <w:sz w:val="24"/>
          <w:szCs w:val="24"/>
          <w:highlight w:val="none"/>
        </w:rPr>
      </w:pPr>
    </w:p>
    <w:p w14:paraId="5061F10B">
      <w:pPr>
        <w:keepNext/>
        <w:keepLines/>
        <w:widowControl w:val="0"/>
        <w:numPr>
          <w:ilvl w:val="0"/>
          <w:numId w:val="0"/>
        </w:numPr>
        <w:tabs>
          <w:tab w:val="left" w:pos="0"/>
        </w:tabs>
        <w:bidi w:val="0"/>
        <w:adjustRightInd w:val="0"/>
        <w:spacing w:before="50" w:beforeLines="50" w:after="50" w:afterLines="50" w:line="360" w:lineRule="auto"/>
        <w:ind w:firstLine="482" w:firstLineChars="200"/>
        <w:jc w:val="both"/>
        <w:outlineLvl w:val="2"/>
        <w:rPr>
          <w:rFonts w:ascii="Arial" w:hAnsi="Arial" w:eastAsia="黑体" w:cs="宋体"/>
          <w:b/>
          <w:bCs/>
          <w:color w:val="auto"/>
          <w:kern w:val="2"/>
          <w:sz w:val="24"/>
          <w:szCs w:val="24"/>
          <w:highlight w:val="none"/>
          <w:lang w:val="zh-CN" w:eastAsia="zh-CN" w:bidi="ar-SA"/>
        </w:rPr>
      </w:pPr>
      <w:bookmarkStart w:id="156" w:name="bookmark28"/>
      <w:bookmarkEnd w:id="156"/>
      <w:r>
        <w:rPr>
          <w:rFonts w:hint="eastAsia" w:ascii="Arial" w:hAnsi="Arial" w:eastAsia="黑体" w:cs="宋体"/>
          <w:b/>
          <w:bCs/>
          <w:color w:val="auto"/>
          <w:kern w:val="2"/>
          <w:sz w:val="24"/>
          <w:szCs w:val="24"/>
          <w:highlight w:val="none"/>
          <w:lang w:val="en-US" w:eastAsia="zh-CN" w:bidi="ar-SA"/>
        </w:rPr>
        <w:t>7、</w:t>
      </w:r>
      <w:r>
        <w:rPr>
          <w:rFonts w:ascii="Arial" w:hAnsi="Arial" w:eastAsia="黑体" w:cs="宋体"/>
          <w:b/>
          <w:bCs/>
          <w:color w:val="auto"/>
          <w:kern w:val="2"/>
          <w:sz w:val="24"/>
          <w:szCs w:val="24"/>
          <w:highlight w:val="none"/>
          <w:lang w:val="zh-CN" w:eastAsia="zh-CN" w:bidi="ar-SA"/>
        </w:rPr>
        <w:t>使用现状</w:t>
      </w:r>
    </w:p>
    <w:p w14:paraId="7CF7853E">
      <w:pPr>
        <w:spacing w:before="218" w:line="382" w:lineRule="auto"/>
        <w:ind w:firstLine="464" w:firstLineChars="200"/>
        <w:jc w:val="both"/>
        <w:rPr>
          <w:rFonts w:ascii="宋体" w:hAnsi="宋体" w:eastAsia="宋体" w:cs="宋体"/>
          <w:color w:val="auto"/>
          <w:spacing w:val="-2"/>
          <w:sz w:val="24"/>
          <w:szCs w:val="24"/>
          <w:highlight w:val="none"/>
        </w:rPr>
      </w:pPr>
      <w:r>
        <w:rPr>
          <w:rFonts w:ascii="宋体" w:hAnsi="宋体" w:eastAsia="宋体" w:cs="宋体"/>
          <w:color w:val="auto"/>
          <w:spacing w:val="-4"/>
          <w:sz w:val="24"/>
          <w:szCs w:val="24"/>
          <w:highlight w:val="none"/>
        </w:rPr>
        <w:t>视频专网进行延伸，在9县2区组建了一张覆盖全市统一的大型视频专用</w:t>
      </w:r>
      <w:r>
        <w:rPr>
          <w:rFonts w:ascii="宋体" w:hAnsi="宋体" w:eastAsia="宋体" w:cs="宋体"/>
          <w:color w:val="auto"/>
          <w:spacing w:val="-5"/>
          <w:sz w:val="24"/>
          <w:szCs w:val="24"/>
          <w:highlight w:val="none"/>
        </w:rPr>
        <w:t>网络。</w:t>
      </w:r>
      <w:r>
        <w:rPr>
          <w:rFonts w:ascii="宋体" w:hAnsi="宋体" w:eastAsia="宋体" w:cs="宋体"/>
          <w:color w:val="auto"/>
          <w:sz w:val="24"/>
          <w:szCs w:val="24"/>
          <w:highlight w:val="none"/>
        </w:rPr>
        <w:t>市到县的连接采取从核心层交换机各调通一条到每个县的主</w:t>
      </w:r>
      <w:r>
        <w:rPr>
          <w:rFonts w:ascii="宋体" w:hAnsi="宋体" w:eastAsia="宋体" w:cs="宋体"/>
          <w:color w:val="auto"/>
          <w:spacing w:val="-1"/>
          <w:sz w:val="24"/>
          <w:szCs w:val="24"/>
          <w:highlight w:val="none"/>
        </w:rPr>
        <w:t>汇聚交换机千兆光纤，</w:t>
      </w:r>
      <w:r>
        <w:rPr>
          <w:rFonts w:ascii="宋体" w:hAnsi="宋体" w:eastAsia="宋体" w:cs="宋体"/>
          <w:color w:val="auto"/>
          <w:spacing w:val="-3"/>
          <w:sz w:val="24"/>
          <w:szCs w:val="24"/>
          <w:highlight w:val="none"/>
        </w:rPr>
        <w:t>每个县市作为一个大的汇聚节点，县城内部组网可借鉴视频专网模式，实现县城的</w:t>
      </w:r>
      <w:r>
        <w:rPr>
          <w:rFonts w:ascii="宋体" w:hAnsi="宋体" w:eastAsia="宋体" w:cs="宋体"/>
          <w:color w:val="auto"/>
          <w:spacing w:val="-2"/>
          <w:sz w:val="24"/>
          <w:szCs w:val="24"/>
          <w:highlight w:val="none"/>
        </w:rPr>
        <w:t>全城视频接入覆盖。</w:t>
      </w:r>
    </w:p>
    <w:p w14:paraId="61EADC61">
      <w:pPr>
        <w:spacing w:before="218" w:line="382" w:lineRule="auto"/>
        <w:ind w:firstLine="480" w:firstLineChars="200"/>
        <w:jc w:val="both"/>
        <w:rPr>
          <w:rFonts w:ascii="宋体" w:hAnsi="宋体" w:eastAsia="宋体" w:cs="宋体"/>
          <w:color w:val="auto"/>
          <w:spacing w:val="-2"/>
          <w:sz w:val="24"/>
          <w:szCs w:val="24"/>
          <w:highlight w:val="none"/>
        </w:rPr>
      </w:pPr>
      <w:r>
        <w:rPr>
          <w:rFonts w:ascii="宋体" w:hAnsi="宋体" w:eastAsia="宋体" w:cs="宋体"/>
          <w:color w:val="auto"/>
          <w:position w:val="-133"/>
          <w:sz w:val="24"/>
          <w:highlight w:val="none"/>
        </w:rPr>
        <w:drawing>
          <wp:inline distT="0" distB="0" distL="114300" distR="114300">
            <wp:extent cx="5360035" cy="2037715"/>
            <wp:effectExtent l="0" t="0" r="12065" b="635"/>
            <wp:docPr id="48" name="图片 14"/>
            <wp:cNvGraphicFramePr/>
            <a:graphic xmlns:a="http://schemas.openxmlformats.org/drawingml/2006/main">
              <a:graphicData uri="http://schemas.openxmlformats.org/drawingml/2006/picture">
                <pic:pic xmlns:pic="http://schemas.openxmlformats.org/drawingml/2006/picture">
                  <pic:nvPicPr>
                    <pic:cNvPr id="48" name="图片 14"/>
                    <pic:cNvPicPr/>
                  </pic:nvPicPr>
                  <pic:blipFill>
                    <a:blip r:embed="rId23"/>
                    <a:stretch>
                      <a:fillRect/>
                    </a:stretch>
                  </pic:blipFill>
                  <pic:spPr>
                    <a:xfrm>
                      <a:off x="0" y="0"/>
                      <a:ext cx="5360035" cy="2037715"/>
                    </a:xfrm>
                    <a:prstGeom prst="rect">
                      <a:avLst/>
                    </a:prstGeom>
                    <a:noFill/>
                    <a:ln>
                      <a:noFill/>
                    </a:ln>
                  </pic:spPr>
                </pic:pic>
              </a:graphicData>
            </a:graphic>
          </wp:inline>
        </w:drawing>
      </w:r>
    </w:p>
    <w:p w14:paraId="5E6E8CF8">
      <w:pPr>
        <w:spacing w:before="291" w:line="219" w:lineRule="auto"/>
        <w:ind w:firstLine="464" w:firstLineChars="200"/>
        <w:jc w:val="center"/>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图7郴州市视频专网组网图</w:t>
      </w:r>
    </w:p>
    <w:p w14:paraId="4E97202A">
      <w:pPr>
        <w:spacing w:before="291" w:line="219" w:lineRule="auto"/>
        <w:ind w:firstLine="480" w:firstLineChars="200"/>
        <w:jc w:val="center"/>
        <w:rPr>
          <w:rFonts w:ascii="宋体" w:hAnsi="宋体" w:eastAsia="宋体" w:cs="宋体"/>
          <w:color w:val="FF0000"/>
          <w:sz w:val="24"/>
          <w:szCs w:val="24"/>
        </w:rPr>
      </w:pPr>
    </w:p>
    <w:p w14:paraId="251F6732">
      <w:pPr>
        <w:keepNext/>
        <w:keepLines/>
        <w:numPr>
          <w:ilvl w:val="2"/>
          <w:numId w:val="0"/>
        </w:numPr>
        <w:spacing w:line="360" w:lineRule="auto"/>
        <w:ind w:left="720" w:hanging="294"/>
        <w:jc w:val="left"/>
        <w:outlineLvl w:val="4"/>
        <w:rPr>
          <w:rFonts w:ascii="宋体" w:hAnsi="宋体" w:eastAsia="宋体" w:cs="Times New Roman"/>
          <w:b/>
          <w:color w:val="auto"/>
          <w:sz w:val="24"/>
          <w:szCs w:val="24"/>
        </w:rPr>
      </w:pPr>
      <w:r>
        <w:rPr>
          <w:rFonts w:hint="eastAsia" w:ascii="宋体" w:hAnsi="宋体" w:eastAsia="宋体" w:cs="Times New Roman"/>
          <w:b/>
          <w:color w:val="auto"/>
          <w:sz w:val="24"/>
          <w:szCs w:val="24"/>
          <w:lang w:val="en-US" w:eastAsia="zh-CN"/>
        </w:rPr>
        <w:t>8、</w:t>
      </w:r>
      <w:r>
        <w:rPr>
          <w:rFonts w:hint="eastAsia" w:ascii="宋体" w:hAnsi="宋体" w:eastAsia="宋体" w:cs="Times New Roman"/>
          <w:b/>
          <w:color w:val="auto"/>
          <w:sz w:val="24"/>
          <w:szCs w:val="24"/>
        </w:rPr>
        <w:t>链路需求</w:t>
      </w:r>
      <w:bookmarkEnd w:id="154"/>
    </w:p>
    <w:p w14:paraId="229F6B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视频专网需租赁4625条+1项链路：其中151条+1项裸光纤、22条10G电路、32条1G电路、32条200M电路、2984条100M电路、1076条50M电路、118条20M电路、210条10M电路；视频专网无线网络需求1项：智能天网配置92张流量卡，共用数据流量池，流量为1840G/月。</w:t>
      </w:r>
    </w:p>
    <w:p w14:paraId="412DFA2C">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其他链路有用于郴州市政府网站集约化平台的IPV6互联网链路的1条100M电路以及8个IPV6互联网IP地址，用于政务云备份的4条10G聚合电路。</w:t>
      </w:r>
    </w:p>
    <w:p w14:paraId="1F6969CE">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期链路需求主要变化为：视频专网的1条裸光纤需求单位由市数据局变更到市机关事务管理局，市交通管理支队增加32条100M电路，市公安局增加40条50M电路、并对20条杆位迁移点的前端点位名称进行了更新，市水利局增加了18条水情监测设备电路，市市场监督管理局核减了电梯救援的无限流量需求，市数据局政务云的6条10G聚合链路核减为4条10G聚合链路。详见下表：</w:t>
      </w:r>
    </w:p>
    <w:tbl>
      <w:tblPr>
        <w:tblStyle w:val="45"/>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3"/>
        <w:gridCol w:w="1871"/>
        <w:gridCol w:w="808"/>
        <w:gridCol w:w="808"/>
        <w:gridCol w:w="911"/>
        <w:gridCol w:w="568"/>
        <w:gridCol w:w="3320"/>
      </w:tblGrid>
      <w:tr w14:paraId="59257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68A373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i w:val="0"/>
                <w:iCs w:val="0"/>
                <w:color w:val="auto"/>
                <w:sz w:val="24"/>
                <w:szCs w:val="24"/>
                <w:highlight w:val="none"/>
                <w:u w:val="none"/>
              </w:rPr>
            </w:pPr>
            <w:r>
              <w:rPr>
                <w:rFonts w:hint="eastAsia" w:ascii="宋体" w:hAnsi="宋体" w:eastAsia="宋体" w:cs="宋体"/>
                <w:b w:val="0"/>
                <w:bCs/>
                <w:i w:val="0"/>
                <w:iCs w:val="0"/>
                <w:color w:val="auto"/>
                <w:kern w:val="0"/>
                <w:sz w:val="24"/>
                <w:szCs w:val="24"/>
                <w:highlight w:val="none"/>
                <w:u w:val="none"/>
                <w:lang w:val="en-US" w:eastAsia="zh-CN" w:bidi="ar"/>
              </w:rPr>
              <w:t>序号</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DDA7A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i w:val="0"/>
                <w:iCs w:val="0"/>
                <w:color w:val="auto"/>
                <w:sz w:val="24"/>
                <w:szCs w:val="24"/>
                <w:highlight w:val="none"/>
                <w:u w:val="none"/>
              </w:rPr>
            </w:pPr>
            <w:r>
              <w:rPr>
                <w:rFonts w:hint="eastAsia" w:ascii="宋体" w:hAnsi="宋体" w:eastAsia="宋体" w:cs="宋体"/>
                <w:b w:val="0"/>
                <w:bCs/>
                <w:i w:val="0"/>
                <w:iCs w:val="0"/>
                <w:color w:val="auto"/>
                <w:kern w:val="0"/>
                <w:sz w:val="24"/>
                <w:szCs w:val="24"/>
                <w:highlight w:val="none"/>
                <w:u w:val="none"/>
                <w:lang w:val="en-US" w:eastAsia="zh-CN" w:bidi="ar"/>
              </w:rPr>
              <w:t>项目名称</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AC7A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i w:val="0"/>
                <w:iCs w:val="0"/>
                <w:color w:val="auto"/>
                <w:sz w:val="24"/>
                <w:szCs w:val="24"/>
                <w:highlight w:val="none"/>
                <w:u w:val="none"/>
              </w:rPr>
            </w:pPr>
            <w:r>
              <w:rPr>
                <w:rFonts w:hint="eastAsia" w:ascii="宋体" w:hAnsi="宋体" w:eastAsia="宋体" w:cs="宋体"/>
                <w:b w:val="0"/>
                <w:bCs/>
                <w:i w:val="0"/>
                <w:iCs w:val="0"/>
                <w:color w:val="auto"/>
                <w:kern w:val="0"/>
                <w:sz w:val="24"/>
                <w:szCs w:val="24"/>
                <w:highlight w:val="none"/>
                <w:u w:val="none"/>
                <w:lang w:val="en-US" w:eastAsia="zh-CN" w:bidi="ar"/>
              </w:rPr>
              <w:t>单位</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305F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i w:val="0"/>
                <w:iCs w:val="0"/>
                <w:color w:val="auto"/>
                <w:sz w:val="24"/>
                <w:szCs w:val="24"/>
                <w:highlight w:val="none"/>
                <w:u w:val="none"/>
              </w:rPr>
            </w:pPr>
            <w:r>
              <w:rPr>
                <w:rFonts w:hint="eastAsia" w:ascii="宋体" w:hAnsi="宋体" w:eastAsia="宋体" w:cs="宋体"/>
                <w:b w:val="0"/>
                <w:bCs/>
                <w:i w:val="0"/>
                <w:iCs w:val="0"/>
                <w:color w:val="auto"/>
                <w:kern w:val="0"/>
                <w:sz w:val="24"/>
                <w:szCs w:val="24"/>
                <w:highlight w:val="none"/>
                <w:u w:val="none"/>
                <w:lang w:val="en-US" w:eastAsia="zh-CN" w:bidi="ar"/>
              </w:rPr>
              <w:t>上期数</w:t>
            </w:r>
            <w:r>
              <w:rPr>
                <w:rFonts w:ascii="Arial" w:hAnsi="Arial" w:eastAsia="宋体" w:cs="Arial"/>
                <w:b w:val="0"/>
                <w:i w:val="0"/>
                <w:iCs w:val="0"/>
                <w:color w:val="auto"/>
                <w:kern w:val="0"/>
                <w:sz w:val="24"/>
                <w:szCs w:val="24"/>
                <w:highlight w:val="none"/>
                <w:u w:val="none"/>
                <w:lang w:val="en-US" w:eastAsia="zh-CN" w:bidi="ar"/>
              </w:rPr>
              <w:t xml:space="preserve"> </w:t>
            </w:r>
            <w:r>
              <w:rPr>
                <w:rFonts w:hint="eastAsia" w:ascii="宋体" w:hAnsi="宋体" w:eastAsia="宋体" w:cs="宋体"/>
                <w:b w:val="0"/>
                <w:bCs/>
                <w:i w:val="0"/>
                <w:iCs w:val="0"/>
                <w:color w:val="auto"/>
                <w:kern w:val="0"/>
                <w:sz w:val="24"/>
                <w:szCs w:val="24"/>
                <w:highlight w:val="none"/>
                <w:u w:val="none"/>
                <w:lang w:val="en-US" w:eastAsia="zh-CN" w:bidi="ar"/>
              </w:rPr>
              <w:t>量</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FE66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i w:val="0"/>
                <w:iCs w:val="0"/>
                <w:color w:val="auto"/>
                <w:sz w:val="24"/>
                <w:szCs w:val="24"/>
                <w:highlight w:val="none"/>
                <w:u w:val="none"/>
              </w:rPr>
            </w:pPr>
            <w:r>
              <w:rPr>
                <w:rFonts w:hint="eastAsia" w:ascii="宋体" w:hAnsi="宋体" w:eastAsia="宋体" w:cs="宋体"/>
                <w:b w:val="0"/>
                <w:bCs/>
                <w:i w:val="0"/>
                <w:iCs w:val="0"/>
                <w:color w:val="auto"/>
                <w:kern w:val="0"/>
                <w:sz w:val="24"/>
                <w:szCs w:val="24"/>
                <w:highlight w:val="none"/>
                <w:u w:val="none"/>
                <w:lang w:val="en-US" w:eastAsia="zh-CN" w:bidi="ar"/>
              </w:rPr>
              <w:t>本期数</w:t>
            </w:r>
            <w:r>
              <w:rPr>
                <w:rFonts w:ascii="Arial" w:hAnsi="Arial" w:eastAsia="宋体" w:cs="Arial"/>
                <w:b w:val="0"/>
                <w:i w:val="0"/>
                <w:iCs w:val="0"/>
                <w:color w:val="auto"/>
                <w:kern w:val="0"/>
                <w:sz w:val="24"/>
                <w:szCs w:val="24"/>
                <w:highlight w:val="none"/>
                <w:u w:val="none"/>
                <w:lang w:val="en-US" w:eastAsia="zh-CN" w:bidi="ar"/>
              </w:rPr>
              <w:t xml:space="preserve"> </w:t>
            </w:r>
            <w:r>
              <w:rPr>
                <w:rFonts w:hint="eastAsia" w:ascii="宋体" w:hAnsi="宋体" w:eastAsia="宋体" w:cs="宋体"/>
                <w:b w:val="0"/>
                <w:bCs/>
                <w:i w:val="0"/>
                <w:iCs w:val="0"/>
                <w:color w:val="auto"/>
                <w:kern w:val="0"/>
                <w:sz w:val="24"/>
                <w:szCs w:val="24"/>
                <w:highlight w:val="none"/>
                <w:u w:val="none"/>
                <w:lang w:val="en-US" w:eastAsia="zh-CN" w:bidi="ar"/>
              </w:rPr>
              <w:t>量</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55AB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i w:val="0"/>
                <w:iCs w:val="0"/>
                <w:color w:val="auto"/>
                <w:sz w:val="24"/>
                <w:szCs w:val="24"/>
                <w:highlight w:val="none"/>
                <w:u w:val="none"/>
              </w:rPr>
            </w:pPr>
            <w:r>
              <w:rPr>
                <w:rFonts w:hint="eastAsia" w:ascii="宋体" w:hAnsi="宋体" w:eastAsia="宋体" w:cs="宋体"/>
                <w:b w:val="0"/>
                <w:bCs/>
                <w:i w:val="0"/>
                <w:iCs w:val="0"/>
                <w:color w:val="auto"/>
                <w:kern w:val="0"/>
                <w:sz w:val="24"/>
                <w:szCs w:val="24"/>
                <w:highlight w:val="none"/>
                <w:u w:val="none"/>
                <w:lang w:val="en-US" w:eastAsia="zh-CN" w:bidi="ar"/>
              </w:rPr>
              <w:t>调整量</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408B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i w:val="0"/>
                <w:iCs w:val="0"/>
                <w:color w:val="auto"/>
                <w:sz w:val="24"/>
                <w:szCs w:val="24"/>
                <w:highlight w:val="none"/>
                <w:u w:val="none"/>
              </w:rPr>
            </w:pPr>
            <w:r>
              <w:rPr>
                <w:rFonts w:hint="eastAsia" w:ascii="宋体" w:hAnsi="宋体" w:eastAsia="宋体" w:cs="宋体"/>
                <w:b w:val="0"/>
                <w:bCs/>
                <w:i w:val="0"/>
                <w:iCs w:val="0"/>
                <w:color w:val="auto"/>
                <w:kern w:val="0"/>
                <w:sz w:val="24"/>
                <w:szCs w:val="24"/>
                <w:highlight w:val="none"/>
                <w:u w:val="none"/>
                <w:lang w:val="en-US" w:eastAsia="zh-CN" w:bidi="ar"/>
              </w:rPr>
              <w:t>调整内容</w:t>
            </w:r>
          </w:p>
        </w:tc>
      </w:tr>
      <w:tr w14:paraId="39B09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D684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C8E6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裸光纤</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05B6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B7B1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151</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32FD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151</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E1F7C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0477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其中汇聚层一条裸光纤需求单位由市数据局变更为市机关事务管理局</w:t>
            </w:r>
          </w:p>
        </w:tc>
      </w:tr>
      <w:tr w14:paraId="376C5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F765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1F07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裸光纤</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CE6C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项</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900D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1454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9D22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5EE80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b w:val="0"/>
                <w:i w:val="0"/>
                <w:iCs w:val="0"/>
                <w:color w:val="auto"/>
                <w:sz w:val="24"/>
                <w:szCs w:val="24"/>
                <w:highlight w:val="none"/>
                <w:u w:val="none"/>
              </w:rPr>
            </w:pPr>
          </w:p>
        </w:tc>
      </w:tr>
      <w:tr w14:paraId="6580C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FDBB9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3</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F424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ascii="Arial" w:hAnsi="Arial" w:eastAsia="宋体" w:cs="Arial"/>
                <w:b w:val="0"/>
                <w:i w:val="0"/>
                <w:iCs w:val="0"/>
                <w:color w:val="auto"/>
                <w:kern w:val="0"/>
                <w:sz w:val="24"/>
                <w:szCs w:val="24"/>
                <w:highlight w:val="none"/>
                <w:u w:val="none"/>
                <w:lang w:val="en-US" w:eastAsia="zh-CN" w:bidi="ar"/>
              </w:rPr>
              <w:t xml:space="preserve">40G </w:t>
            </w:r>
            <w:r>
              <w:rPr>
                <w:rFonts w:hint="eastAsia" w:ascii="宋体" w:hAnsi="宋体" w:eastAsia="宋体" w:cs="宋体"/>
                <w:b w:val="0"/>
                <w:i w:val="0"/>
                <w:iCs w:val="0"/>
                <w:color w:val="auto"/>
                <w:kern w:val="0"/>
                <w:sz w:val="24"/>
                <w:szCs w:val="24"/>
                <w:highlight w:val="none"/>
                <w:u w:val="none"/>
                <w:lang w:val="en-US" w:eastAsia="zh-CN" w:bidi="ar"/>
              </w:rPr>
              <w:t>电路</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B7DF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4CEB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0DF0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83BA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8755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政务云市政府机房-东江湖大数据中心40G聚合电路变更为2条10G双路由聚合链路</w:t>
            </w:r>
          </w:p>
        </w:tc>
      </w:tr>
      <w:tr w14:paraId="40161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DD82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4</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21D0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ascii="Arial" w:hAnsi="Arial" w:eastAsia="宋体" w:cs="Arial"/>
                <w:b w:val="0"/>
                <w:i w:val="0"/>
                <w:iCs w:val="0"/>
                <w:color w:val="auto"/>
                <w:kern w:val="0"/>
                <w:sz w:val="24"/>
                <w:szCs w:val="24"/>
                <w:highlight w:val="none"/>
                <w:u w:val="none"/>
                <w:lang w:val="en-US" w:eastAsia="zh-CN" w:bidi="ar"/>
              </w:rPr>
              <w:t xml:space="preserve">10G </w:t>
            </w:r>
            <w:r>
              <w:rPr>
                <w:rFonts w:hint="eastAsia" w:ascii="宋体" w:hAnsi="宋体" w:eastAsia="宋体" w:cs="宋体"/>
                <w:b w:val="0"/>
                <w:i w:val="0"/>
                <w:iCs w:val="0"/>
                <w:color w:val="auto"/>
                <w:kern w:val="0"/>
                <w:sz w:val="24"/>
                <w:szCs w:val="24"/>
                <w:highlight w:val="none"/>
                <w:u w:val="none"/>
                <w:lang w:val="en-US" w:eastAsia="zh-CN" w:bidi="ar"/>
              </w:rPr>
              <w:t>电路</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5ED2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0126A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22</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710C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26</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57FB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4</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8558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政务云市政府机房-东江湖大数据中心40G聚合电路变更为2条10G双路由聚合链路</w:t>
            </w:r>
          </w:p>
        </w:tc>
      </w:tr>
      <w:tr w14:paraId="34745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3BA6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5</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81F0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ascii="Arial" w:hAnsi="Arial" w:eastAsia="宋体" w:cs="Arial"/>
                <w:b w:val="0"/>
                <w:i w:val="0"/>
                <w:iCs w:val="0"/>
                <w:color w:val="auto"/>
                <w:kern w:val="0"/>
                <w:sz w:val="24"/>
                <w:szCs w:val="24"/>
                <w:highlight w:val="none"/>
                <w:u w:val="none"/>
                <w:lang w:val="en-US" w:eastAsia="zh-CN" w:bidi="ar"/>
              </w:rPr>
              <w:t xml:space="preserve">1G </w:t>
            </w:r>
            <w:r>
              <w:rPr>
                <w:rFonts w:hint="eastAsia" w:ascii="宋体" w:hAnsi="宋体" w:eastAsia="宋体" w:cs="宋体"/>
                <w:b w:val="0"/>
                <w:i w:val="0"/>
                <w:iCs w:val="0"/>
                <w:color w:val="auto"/>
                <w:kern w:val="0"/>
                <w:sz w:val="24"/>
                <w:szCs w:val="24"/>
                <w:highlight w:val="none"/>
                <w:u w:val="none"/>
                <w:lang w:val="en-US" w:eastAsia="zh-CN" w:bidi="ar"/>
              </w:rPr>
              <w:t>电路</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618B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16B8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32</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3A3C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32</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0144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9666D9">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default" w:ascii="Arial" w:hAnsi="Arial" w:eastAsia="宋体" w:cs="Arial"/>
                <w:b w:val="0"/>
                <w:i w:val="0"/>
                <w:iCs w:val="0"/>
                <w:color w:val="auto"/>
                <w:sz w:val="24"/>
                <w:szCs w:val="24"/>
                <w:highlight w:val="none"/>
                <w:u w:val="none"/>
              </w:rPr>
            </w:pPr>
          </w:p>
        </w:tc>
      </w:tr>
      <w:tr w14:paraId="3CB98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ED0F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6</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E304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ascii="Arial" w:hAnsi="Arial" w:eastAsia="宋体" w:cs="Arial"/>
                <w:b w:val="0"/>
                <w:i w:val="0"/>
                <w:iCs w:val="0"/>
                <w:color w:val="auto"/>
                <w:kern w:val="0"/>
                <w:sz w:val="24"/>
                <w:szCs w:val="24"/>
                <w:highlight w:val="none"/>
                <w:u w:val="none"/>
                <w:lang w:val="en-US" w:eastAsia="zh-CN" w:bidi="ar"/>
              </w:rPr>
              <w:t xml:space="preserve">200M </w:t>
            </w:r>
            <w:r>
              <w:rPr>
                <w:rFonts w:hint="eastAsia" w:ascii="宋体" w:hAnsi="宋体" w:eastAsia="宋体" w:cs="宋体"/>
                <w:b w:val="0"/>
                <w:i w:val="0"/>
                <w:iCs w:val="0"/>
                <w:color w:val="auto"/>
                <w:kern w:val="0"/>
                <w:sz w:val="24"/>
                <w:szCs w:val="24"/>
                <w:highlight w:val="none"/>
                <w:u w:val="none"/>
                <w:lang w:val="en-US" w:eastAsia="zh-CN" w:bidi="ar"/>
              </w:rPr>
              <w:t>电路</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E233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2B5B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32</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D77C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32</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B86B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E4788B">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default" w:ascii="Arial" w:hAnsi="Arial" w:eastAsia="宋体" w:cs="Arial"/>
                <w:b w:val="0"/>
                <w:i w:val="0"/>
                <w:iCs w:val="0"/>
                <w:color w:val="auto"/>
                <w:sz w:val="24"/>
                <w:szCs w:val="24"/>
                <w:highlight w:val="none"/>
                <w:u w:val="none"/>
              </w:rPr>
            </w:pPr>
          </w:p>
        </w:tc>
      </w:tr>
      <w:tr w14:paraId="59760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71CE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7</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7367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ascii="Arial" w:hAnsi="Arial" w:eastAsia="宋体" w:cs="Arial"/>
                <w:b w:val="0"/>
                <w:i w:val="0"/>
                <w:iCs w:val="0"/>
                <w:color w:val="auto"/>
                <w:kern w:val="0"/>
                <w:sz w:val="24"/>
                <w:szCs w:val="24"/>
                <w:highlight w:val="none"/>
                <w:u w:val="none"/>
                <w:lang w:val="en-US" w:eastAsia="zh-CN" w:bidi="ar"/>
              </w:rPr>
              <w:t xml:space="preserve">100M </w:t>
            </w:r>
            <w:r>
              <w:rPr>
                <w:rFonts w:hint="eastAsia" w:ascii="宋体" w:hAnsi="宋体" w:eastAsia="宋体" w:cs="宋体"/>
                <w:b w:val="0"/>
                <w:i w:val="0"/>
                <w:iCs w:val="0"/>
                <w:color w:val="auto"/>
                <w:kern w:val="0"/>
                <w:sz w:val="24"/>
                <w:szCs w:val="24"/>
                <w:highlight w:val="none"/>
                <w:u w:val="none"/>
                <w:lang w:val="en-US" w:eastAsia="zh-CN" w:bidi="ar"/>
              </w:rPr>
              <w:t>电路</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6ABD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72A94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2952</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D249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2984</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7C45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32</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1240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交警支队增加32条100M电路</w:t>
            </w:r>
          </w:p>
        </w:tc>
      </w:tr>
      <w:tr w14:paraId="226FB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242D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8</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A1DE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ascii="Arial" w:hAnsi="Arial" w:eastAsia="宋体" w:cs="Arial"/>
                <w:b w:val="0"/>
                <w:i w:val="0"/>
                <w:iCs w:val="0"/>
                <w:color w:val="auto"/>
                <w:kern w:val="0"/>
                <w:sz w:val="24"/>
                <w:szCs w:val="24"/>
                <w:highlight w:val="none"/>
                <w:u w:val="none"/>
                <w:lang w:val="en-US" w:eastAsia="zh-CN" w:bidi="ar"/>
              </w:rPr>
              <w:t xml:space="preserve">50M </w:t>
            </w:r>
            <w:r>
              <w:rPr>
                <w:rFonts w:hint="eastAsia" w:ascii="宋体" w:hAnsi="宋体" w:eastAsia="宋体" w:cs="宋体"/>
                <w:b w:val="0"/>
                <w:i w:val="0"/>
                <w:iCs w:val="0"/>
                <w:color w:val="auto"/>
                <w:kern w:val="0"/>
                <w:sz w:val="24"/>
                <w:szCs w:val="24"/>
                <w:highlight w:val="none"/>
                <w:u w:val="none"/>
                <w:lang w:val="en-US" w:eastAsia="zh-CN" w:bidi="ar"/>
              </w:rPr>
              <w:t>电路</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5E12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429F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1036</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9AE3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1076</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4CA1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40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0CF3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市公安局增加40条50M电路</w:t>
            </w:r>
          </w:p>
        </w:tc>
      </w:tr>
      <w:tr w14:paraId="6EEA8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13FEA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9</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2911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ascii="Arial" w:hAnsi="Arial" w:eastAsia="宋体" w:cs="Arial"/>
                <w:b w:val="0"/>
                <w:i w:val="0"/>
                <w:iCs w:val="0"/>
                <w:color w:val="auto"/>
                <w:kern w:val="0"/>
                <w:sz w:val="24"/>
                <w:szCs w:val="24"/>
                <w:highlight w:val="none"/>
                <w:u w:val="none"/>
                <w:lang w:val="en-US" w:eastAsia="zh-CN" w:bidi="ar"/>
              </w:rPr>
              <w:t xml:space="preserve">20M </w:t>
            </w:r>
            <w:r>
              <w:rPr>
                <w:rFonts w:hint="eastAsia" w:ascii="宋体" w:hAnsi="宋体" w:eastAsia="宋体" w:cs="宋体"/>
                <w:b w:val="0"/>
                <w:i w:val="0"/>
                <w:iCs w:val="0"/>
                <w:color w:val="auto"/>
                <w:kern w:val="0"/>
                <w:sz w:val="24"/>
                <w:szCs w:val="24"/>
                <w:highlight w:val="none"/>
                <w:u w:val="none"/>
                <w:lang w:val="en-US" w:eastAsia="zh-CN" w:bidi="ar"/>
              </w:rPr>
              <w:t>电路</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4D19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5EC6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100</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E0C7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118</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6872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18</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30AA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市水利局增加水情监测设施18条</w:t>
            </w:r>
          </w:p>
        </w:tc>
      </w:tr>
      <w:tr w14:paraId="10167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993C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10</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9A8A3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ascii="Arial" w:hAnsi="Arial" w:eastAsia="宋体" w:cs="Arial"/>
                <w:b w:val="0"/>
                <w:i w:val="0"/>
                <w:iCs w:val="0"/>
                <w:color w:val="auto"/>
                <w:kern w:val="0"/>
                <w:sz w:val="24"/>
                <w:szCs w:val="24"/>
                <w:highlight w:val="none"/>
                <w:u w:val="none"/>
                <w:lang w:val="en-US" w:eastAsia="zh-CN" w:bidi="ar"/>
              </w:rPr>
              <w:t xml:space="preserve">10M </w:t>
            </w:r>
            <w:r>
              <w:rPr>
                <w:rFonts w:hint="eastAsia" w:ascii="宋体" w:hAnsi="宋体" w:eastAsia="宋体" w:cs="宋体"/>
                <w:b w:val="0"/>
                <w:i w:val="0"/>
                <w:iCs w:val="0"/>
                <w:color w:val="auto"/>
                <w:kern w:val="0"/>
                <w:sz w:val="24"/>
                <w:szCs w:val="24"/>
                <w:highlight w:val="none"/>
                <w:u w:val="none"/>
                <w:lang w:val="en-US" w:eastAsia="zh-CN" w:bidi="ar"/>
              </w:rPr>
              <w:t>电路</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F2E2E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0069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22</w:t>
            </w:r>
            <w:r>
              <w:rPr>
                <w:rFonts w:hint="eastAsia" w:ascii="Arial" w:hAnsi="Arial" w:eastAsia="宋体" w:cs="Arial"/>
                <w:b w:val="0"/>
                <w:i w:val="0"/>
                <w:iCs w:val="0"/>
                <w:color w:val="auto"/>
                <w:kern w:val="0"/>
                <w:sz w:val="24"/>
                <w:szCs w:val="24"/>
                <w:highlight w:val="none"/>
                <w:u w:val="none"/>
                <w:lang w:val="en-US" w:eastAsia="zh-CN" w:bidi="ar"/>
              </w:rPr>
              <w:t>2</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A247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21</w:t>
            </w:r>
            <w:r>
              <w:rPr>
                <w:rFonts w:hint="eastAsia" w:ascii="Arial" w:hAnsi="Arial" w:eastAsia="宋体" w:cs="Arial"/>
                <w:b w:val="0"/>
                <w:i w:val="0"/>
                <w:iCs w:val="0"/>
                <w:color w:val="auto"/>
                <w:kern w:val="0"/>
                <w:sz w:val="24"/>
                <w:szCs w:val="24"/>
                <w:highlight w:val="none"/>
                <w:u w:val="none"/>
                <w:lang w:val="en-US" w:eastAsia="zh-CN" w:bidi="ar"/>
              </w:rPr>
              <w:t>0</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91CD2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-12</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A2B2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交通运输局核减数字治超监控12条</w:t>
            </w:r>
          </w:p>
        </w:tc>
      </w:tr>
      <w:tr w14:paraId="2069D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6718B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11</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021D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智能天网4G/5G数据流量池，按20G/张/月计算，共1840G/月。</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4FDA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项</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8B3D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37E6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5284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43C3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Arial" w:hAnsi="Arial" w:eastAsia="宋体" w:cs="Arial"/>
                <w:b w:val="0"/>
                <w:i w:val="0"/>
                <w:iCs w:val="0"/>
                <w:color w:val="auto"/>
                <w:sz w:val="24"/>
                <w:szCs w:val="24"/>
                <w:highlight w:val="none"/>
                <w:u w:val="none"/>
              </w:rPr>
            </w:pPr>
          </w:p>
        </w:tc>
      </w:tr>
      <w:tr w14:paraId="0E731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E6C83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12</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885C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电梯救援4G/5G数据流量池，按20G/张/月计算，共6000G/月，其中通用流量不低于100G/月。</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C752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项</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00A28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FC84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63DE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12FD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需求核减</w:t>
            </w:r>
          </w:p>
        </w:tc>
      </w:tr>
      <w:tr w14:paraId="2D1E1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4FEC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13</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69EA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政府中心机房</w:t>
            </w:r>
            <w:r>
              <w:rPr>
                <w:rFonts w:ascii="Arial" w:hAnsi="Arial" w:eastAsia="宋体" w:cs="Arial"/>
                <w:b w:val="0"/>
                <w:i w:val="0"/>
                <w:iCs w:val="0"/>
                <w:color w:val="auto"/>
                <w:kern w:val="0"/>
                <w:sz w:val="24"/>
                <w:szCs w:val="24"/>
                <w:highlight w:val="none"/>
                <w:u w:val="none"/>
                <w:lang w:val="en-US" w:eastAsia="zh-CN" w:bidi="ar"/>
              </w:rPr>
              <w:t xml:space="preserve"> 100M </w:t>
            </w:r>
            <w:r>
              <w:rPr>
                <w:rFonts w:hint="eastAsia" w:ascii="宋体" w:hAnsi="宋体" w:eastAsia="宋体" w:cs="宋体"/>
                <w:b w:val="0"/>
                <w:i w:val="0"/>
                <w:iCs w:val="0"/>
                <w:color w:val="auto"/>
                <w:kern w:val="0"/>
                <w:sz w:val="24"/>
                <w:szCs w:val="24"/>
                <w:highlight w:val="none"/>
                <w:u w:val="none"/>
                <w:lang w:val="en-US" w:eastAsia="zh-CN" w:bidi="ar"/>
              </w:rPr>
              <w:t>电路</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E1F0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9B2A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3ED4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251E1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FF4AA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Arial" w:hAnsi="Arial" w:eastAsia="宋体" w:cs="Arial"/>
                <w:b w:val="0"/>
                <w:i w:val="0"/>
                <w:iCs w:val="0"/>
                <w:color w:val="auto"/>
                <w:sz w:val="24"/>
                <w:szCs w:val="24"/>
                <w:highlight w:val="none"/>
                <w:u w:val="none"/>
              </w:rPr>
            </w:pPr>
          </w:p>
        </w:tc>
      </w:tr>
      <w:tr w14:paraId="2BADE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85F3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14</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DE1B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ascii="Arial" w:hAnsi="Arial" w:eastAsia="宋体" w:cs="Arial"/>
                <w:b w:val="0"/>
                <w:i w:val="0"/>
                <w:iCs w:val="0"/>
                <w:color w:val="auto"/>
                <w:kern w:val="0"/>
                <w:sz w:val="24"/>
                <w:szCs w:val="24"/>
                <w:highlight w:val="none"/>
                <w:u w:val="none"/>
                <w:lang w:val="en-US" w:eastAsia="zh-CN" w:bidi="ar"/>
              </w:rPr>
              <w:t xml:space="preserve">IPV6 </w:t>
            </w:r>
            <w:r>
              <w:rPr>
                <w:rFonts w:hint="eastAsia" w:ascii="宋体" w:hAnsi="宋体" w:eastAsia="宋体" w:cs="宋体"/>
                <w:b w:val="0"/>
                <w:i w:val="0"/>
                <w:iCs w:val="0"/>
                <w:color w:val="auto"/>
                <w:kern w:val="0"/>
                <w:sz w:val="24"/>
                <w:szCs w:val="24"/>
                <w:highlight w:val="none"/>
                <w:u w:val="none"/>
                <w:lang w:val="en-US" w:eastAsia="zh-CN" w:bidi="ar"/>
              </w:rPr>
              <w:t>互联网</w:t>
            </w:r>
            <w:r>
              <w:rPr>
                <w:rFonts w:ascii="Arial" w:hAnsi="Arial" w:eastAsia="宋体" w:cs="Arial"/>
                <w:b w:val="0"/>
                <w:i w:val="0"/>
                <w:iCs w:val="0"/>
                <w:color w:val="auto"/>
                <w:kern w:val="0"/>
                <w:sz w:val="24"/>
                <w:szCs w:val="24"/>
                <w:highlight w:val="none"/>
                <w:u w:val="none"/>
                <w:lang w:val="en-US" w:eastAsia="zh-CN" w:bidi="ar"/>
              </w:rPr>
              <w:t xml:space="preserve"> IP </w:t>
            </w:r>
            <w:r>
              <w:rPr>
                <w:rFonts w:hint="eastAsia" w:ascii="宋体" w:hAnsi="宋体" w:eastAsia="宋体" w:cs="宋体"/>
                <w:b w:val="0"/>
                <w:i w:val="0"/>
                <w:iCs w:val="0"/>
                <w:color w:val="auto"/>
                <w:kern w:val="0"/>
                <w:sz w:val="24"/>
                <w:szCs w:val="24"/>
                <w:highlight w:val="none"/>
                <w:u w:val="none"/>
                <w:lang w:val="en-US" w:eastAsia="zh-CN" w:bidi="ar"/>
              </w:rPr>
              <w:t>地址</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AF58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个</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8134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8</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D3F8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8</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526D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AA1C3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Arial" w:hAnsi="Arial" w:eastAsia="宋体" w:cs="Arial"/>
                <w:b w:val="0"/>
                <w:i w:val="0"/>
                <w:iCs w:val="0"/>
                <w:color w:val="auto"/>
                <w:sz w:val="24"/>
                <w:szCs w:val="24"/>
                <w:highlight w:val="none"/>
                <w:u w:val="none"/>
              </w:rPr>
            </w:pPr>
          </w:p>
        </w:tc>
      </w:tr>
      <w:tr w14:paraId="21A7D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DF7D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15</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ECBF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机房托管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B73A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标准机柜托管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13E2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60</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6733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60</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87A3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571FB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Arial" w:hAnsi="Arial" w:eastAsia="宋体" w:cs="Arial"/>
                <w:b w:val="0"/>
                <w:i w:val="0"/>
                <w:iCs w:val="0"/>
                <w:color w:val="auto"/>
                <w:sz w:val="24"/>
                <w:szCs w:val="24"/>
                <w:highlight w:val="none"/>
                <w:u w:val="none"/>
              </w:rPr>
            </w:pPr>
          </w:p>
        </w:tc>
      </w:tr>
      <w:tr w14:paraId="2C8B9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DE7F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16</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7347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智能天网前端摄像</w:t>
            </w:r>
            <w:r>
              <w:rPr>
                <w:rFonts w:ascii="Arial" w:hAnsi="Arial" w:eastAsia="宋体" w:cs="Arial"/>
                <w:b w:val="0"/>
                <w:i w:val="0"/>
                <w:iCs w:val="0"/>
                <w:color w:val="auto"/>
                <w:kern w:val="0"/>
                <w:sz w:val="24"/>
                <w:szCs w:val="24"/>
                <w:highlight w:val="none"/>
                <w:u w:val="none"/>
                <w:lang w:val="en-US" w:eastAsia="zh-CN" w:bidi="ar"/>
              </w:rPr>
              <w:t xml:space="preserve"> </w:t>
            </w:r>
            <w:r>
              <w:rPr>
                <w:rFonts w:hint="eastAsia" w:ascii="宋体" w:hAnsi="宋体" w:eastAsia="宋体" w:cs="宋体"/>
                <w:b w:val="0"/>
                <w:i w:val="0"/>
                <w:iCs w:val="0"/>
                <w:color w:val="auto"/>
                <w:kern w:val="0"/>
                <w:sz w:val="24"/>
                <w:szCs w:val="24"/>
                <w:highlight w:val="none"/>
                <w:u w:val="none"/>
                <w:lang w:val="en-US" w:eastAsia="zh-CN" w:bidi="ar"/>
              </w:rPr>
              <w:t>头维护费</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D780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点位</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4E92F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2866</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CF93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2866</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5942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A7FF6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Arial" w:hAnsi="Arial" w:eastAsia="宋体" w:cs="Arial"/>
                <w:b w:val="0"/>
                <w:i w:val="0"/>
                <w:iCs w:val="0"/>
                <w:color w:val="auto"/>
                <w:sz w:val="24"/>
                <w:szCs w:val="24"/>
                <w:highlight w:val="none"/>
                <w:u w:val="none"/>
              </w:rPr>
            </w:pPr>
          </w:p>
        </w:tc>
      </w:tr>
      <w:tr w14:paraId="2A055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9534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17</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16AA3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b w:val="0"/>
                <w:bCs/>
                <w:i w:val="0"/>
                <w:iCs w:val="0"/>
                <w:color w:val="auto"/>
                <w:sz w:val="24"/>
                <w:szCs w:val="24"/>
                <w:highlight w:val="none"/>
                <w:u w:val="none"/>
              </w:rPr>
            </w:pP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8AB2E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b w:val="0"/>
                <w:bCs/>
                <w:i w:val="0"/>
                <w:iCs w:val="0"/>
                <w:color w:val="auto"/>
                <w:sz w:val="24"/>
                <w:szCs w:val="24"/>
                <w:highlight w:val="none"/>
                <w:u w:val="none"/>
              </w:rPr>
            </w:pP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1EFD1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b w:val="0"/>
                <w:bCs/>
                <w:i w:val="0"/>
                <w:iCs w:val="0"/>
                <w:color w:val="auto"/>
                <w:sz w:val="24"/>
                <w:szCs w:val="24"/>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F3452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b w:val="0"/>
                <w:bCs/>
                <w:i w:val="0"/>
                <w:iCs w:val="0"/>
                <w:color w:val="auto"/>
                <w:sz w:val="24"/>
                <w:szCs w:val="24"/>
                <w:highlight w:val="none"/>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CC25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bCs/>
                <w:i w:val="0"/>
                <w:iCs w:val="0"/>
                <w:color w:val="auto"/>
                <w:sz w:val="24"/>
                <w:szCs w:val="24"/>
                <w:highlight w:val="none"/>
                <w:u w:val="none"/>
              </w:rPr>
            </w:pPr>
            <w:r>
              <w:rPr>
                <w:rFonts w:hint="default" w:ascii="Arial" w:hAnsi="Arial" w:eastAsia="宋体" w:cs="Arial"/>
                <w:b w:val="0"/>
                <w:bCs/>
                <w:i w:val="0"/>
                <w:iCs w:val="0"/>
                <w:color w:val="auto"/>
                <w:kern w:val="0"/>
                <w:sz w:val="24"/>
                <w:szCs w:val="24"/>
                <w:highlight w:val="none"/>
                <w:u w:val="none"/>
                <w:lang w:val="en-US" w:eastAsia="zh-CN" w:bidi="ar"/>
              </w:rPr>
              <w:t>79</w:t>
            </w:r>
          </w:p>
        </w:tc>
        <w:tc>
          <w:tcPr>
            <w:tcW w:w="18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F13B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b w:val="0"/>
                <w:i w:val="0"/>
                <w:iCs w:val="0"/>
                <w:color w:val="auto"/>
                <w:sz w:val="24"/>
                <w:szCs w:val="24"/>
                <w:highlight w:val="none"/>
                <w:u w:val="none"/>
              </w:rPr>
            </w:pPr>
          </w:p>
        </w:tc>
      </w:tr>
    </w:tbl>
    <w:p w14:paraId="060D8ABB">
      <w:pPr>
        <w:keepNext/>
        <w:keepLines/>
        <w:widowControl/>
        <w:numPr>
          <w:ilvl w:val="0"/>
          <w:numId w:val="0"/>
        </w:numPr>
        <w:bidi w:val="0"/>
        <w:spacing w:before="50" w:beforeLines="50" w:after="50" w:afterLines="50" w:line="360" w:lineRule="auto"/>
        <w:ind w:leftChars="0" w:firstLine="482" w:firstLineChars="200"/>
        <w:jc w:val="both"/>
        <w:outlineLvl w:val="1"/>
        <w:rPr>
          <w:rFonts w:hint="eastAsia" w:ascii="Times New Roman" w:hAnsi="Times New Roman" w:eastAsia="黑体" w:cs="宋体"/>
          <w:b/>
          <w:bCs/>
          <w:color w:val="auto"/>
          <w:kern w:val="2"/>
          <w:sz w:val="24"/>
          <w:szCs w:val="24"/>
          <w:highlight w:val="none"/>
          <w:lang w:val="en-US" w:eastAsia="zh-CN" w:bidi="ar-SA"/>
        </w:rPr>
      </w:pPr>
      <w:bookmarkStart w:id="157" w:name="bookmark36"/>
      <w:bookmarkEnd w:id="157"/>
      <w:bookmarkStart w:id="158" w:name="_Toc2817"/>
      <w:r>
        <w:rPr>
          <w:rFonts w:hint="eastAsia" w:ascii="Times New Roman" w:hAnsi="Times New Roman" w:eastAsia="黑体" w:cs="宋体"/>
          <w:b/>
          <w:bCs/>
          <w:color w:val="auto"/>
          <w:kern w:val="2"/>
          <w:sz w:val="24"/>
          <w:szCs w:val="24"/>
          <w:highlight w:val="none"/>
          <w:lang w:val="en-US" w:eastAsia="zh-CN" w:bidi="ar-SA"/>
        </w:rPr>
        <w:t>9、项目建设的必要性分析</w:t>
      </w:r>
      <w:bookmarkEnd w:id="158"/>
    </w:p>
    <w:p w14:paraId="354ADAB5">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结合需求、现状以及要实现的主要目标，从政府投资信息化工程建设项目在加强宏观调控、市场监管、改善社会管理、提高公共服务水平、促进国民经济发展等方面简述项目建设的意义；从行使政务职责、满足业务需求的角度论述各项建设内</w:t>
      </w:r>
      <w:r>
        <w:rPr>
          <w:rFonts w:ascii="宋体" w:hAnsi="宋体" w:eastAsia="宋体" w:cs="宋体"/>
          <w:color w:val="auto"/>
          <w:spacing w:val="-2"/>
          <w:sz w:val="24"/>
          <w:szCs w:val="24"/>
          <w:highlight w:val="none"/>
        </w:rPr>
        <w:t>容的必要性。</w:t>
      </w:r>
    </w:p>
    <w:p w14:paraId="40F2817B">
      <w:pPr>
        <w:keepNext/>
        <w:keepLines/>
        <w:widowControl w:val="0"/>
        <w:numPr>
          <w:ilvl w:val="0"/>
          <w:numId w:val="0"/>
        </w:numPr>
        <w:tabs>
          <w:tab w:val="left" w:pos="0"/>
        </w:tabs>
        <w:bidi w:val="0"/>
        <w:adjustRightInd w:val="0"/>
        <w:spacing w:before="50" w:beforeLines="50" w:after="50" w:afterLines="50" w:line="360" w:lineRule="auto"/>
        <w:ind w:left="240" w:leftChars="0" w:firstLine="482" w:firstLineChars="200"/>
        <w:jc w:val="both"/>
        <w:outlineLvl w:val="2"/>
        <w:rPr>
          <w:rFonts w:ascii="Arial" w:hAnsi="Arial" w:eastAsia="黑体" w:cs="宋体"/>
          <w:b/>
          <w:bCs/>
          <w:color w:val="auto"/>
          <w:kern w:val="2"/>
          <w:sz w:val="24"/>
          <w:szCs w:val="24"/>
          <w:highlight w:val="none"/>
          <w:lang w:val="zh-CN" w:eastAsia="zh-CN" w:bidi="ar-SA"/>
        </w:rPr>
      </w:pPr>
      <w:bookmarkStart w:id="159" w:name="bookmark37"/>
      <w:bookmarkEnd w:id="159"/>
      <w:r>
        <w:rPr>
          <w:rFonts w:hint="eastAsia" w:ascii="Arial" w:hAnsi="Arial" w:eastAsia="黑体" w:cs="宋体"/>
          <w:b/>
          <w:bCs/>
          <w:color w:val="auto"/>
          <w:kern w:val="2"/>
          <w:sz w:val="24"/>
          <w:szCs w:val="24"/>
          <w:highlight w:val="none"/>
          <w:lang w:val="en-US" w:eastAsia="zh-CN" w:bidi="ar-SA"/>
        </w:rPr>
        <w:t>10、</w:t>
      </w:r>
      <w:r>
        <w:rPr>
          <w:rFonts w:ascii="Arial" w:hAnsi="Arial" w:eastAsia="黑体" w:cs="宋体"/>
          <w:b/>
          <w:bCs/>
          <w:color w:val="auto"/>
          <w:kern w:val="2"/>
          <w:sz w:val="24"/>
          <w:szCs w:val="24"/>
          <w:highlight w:val="none"/>
          <w:lang w:val="zh-CN" w:eastAsia="zh-CN" w:bidi="ar-SA"/>
        </w:rPr>
        <w:t>统一视频专网的目的</w:t>
      </w:r>
    </w:p>
    <w:p w14:paraId="3EACC8E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统一租赁郴州市视频专网，是构建“智慧城市，数字郴州”的重要一环，它对整合各部门视频资源，提高视频资源利用率，协同各部门管理职责具有重要的作用，其主要目的就是通过先进的通讯和网络技术，来改造整合全市各部门现有视频监控及社会监控资源，实现互联互控、共享共用，形成基本覆盖全社会治安防范区域的全天候监控网络，提高视频监控系统的应用和管理水平，为各部门实现业务监控、联合行动和综合指挥提供网络承载平台。</w:t>
      </w:r>
    </w:p>
    <w:p w14:paraId="0ED0432C">
      <w:pPr>
        <w:keepNext/>
        <w:keepLines/>
        <w:widowControl w:val="0"/>
        <w:numPr>
          <w:ilvl w:val="0"/>
          <w:numId w:val="0"/>
        </w:numPr>
        <w:tabs>
          <w:tab w:val="left" w:pos="0"/>
        </w:tabs>
        <w:bidi w:val="0"/>
        <w:adjustRightInd w:val="0"/>
        <w:spacing w:before="50" w:beforeLines="50" w:after="50" w:afterLines="50" w:line="360" w:lineRule="auto"/>
        <w:ind w:left="240" w:leftChars="0" w:firstLine="482" w:firstLineChars="200"/>
        <w:jc w:val="both"/>
        <w:outlineLvl w:val="2"/>
        <w:rPr>
          <w:rFonts w:ascii="Arial" w:hAnsi="Arial" w:eastAsia="黑体" w:cs="宋体"/>
          <w:b/>
          <w:bCs/>
          <w:color w:val="auto"/>
          <w:kern w:val="2"/>
          <w:sz w:val="24"/>
          <w:szCs w:val="24"/>
          <w:highlight w:val="none"/>
          <w:lang w:val="zh-CN" w:eastAsia="zh-CN" w:bidi="ar-SA"/>
        </w:rPr>
      </w:pPr>
      <w:bookmarkStart w:id="160" w:name="bookmark38"/>
      <w:bookmarkEnd w:id="160"/>
      <w:r>
        <w:rPr>
          <w:rFonts w:hint="eastAsia" w:ascii="Arial" w:hAnsi="Arial" w:eastAsia="黑体" w:cs="宋体"/>
          <w:b/>
          <w:bCs/>
          <w:color w:val="auto"/>
          <w:kern w:val="2"/>
          <w:sz w:val="24"/>
          <w:szCs w:val="24"/>
          <w:highlight w:val="none"/>
          <w:lang w:val="en-US" w:eastAsia="zh-CN" w:bidi="ar-SA"/>
        </w:rPr>
        <w:t>11、</w:t>
      </w:r>
      <w:r>
        <w:rPr>
          <w:rFonts w:ascii="Arial" w:hAnsi="Arial" w:eastAsia="黑体" w:cs="宋体"/>
          <w:b/>
          <w:bCs/>
          <w:color w:val="auto"/>
          <w:kern w:val="2"/>
          <w:sz w:val="24"/>
          <w:szCs w:val="24"/>
          <w:highlight w:val="none"/>
          <w:lang w:val="zh-CN" w:eastAsia="zh-CN" w:bidi="ar-SA"/>
        </w:rPr>
        <w:t>统一视频专网的作用与意义</w:t>
      </w:r>
    </w:p>
    <w:p w14:paraId="4CC00420">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租赁郴州市视频专网，由于实现了互联互控、共享共用，对于节省财政投资意义重大，主要体现在以下方面：</w:t>
      </w:r>
    </w:p>
    <w:p w14:paraId="75A6B77D">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1.统一网络架构。各部门视频监控建设十分方便，只需建设室外监控摄像头，</w:t>
      </w:r>
      <w:r>
        <w:rPr>
          <w:rFonts w:hint="eastAsia" w:ascii="宋体" w:hAnsi="宋体" w:eastAsia="宋体" w:cs="宋体"/>
          <w:color w:val="auto"/>
          <w:spacing w:val="-3"/>
          <w:sz w:val="24"/>
          <w:szCs w:val="24"/>
          <w:highlight w:val="none"/>
          <w:lang w:eastAsia="zh-CN"/>
        </w:rPr>
        <w:t>连接到</w:t>
      </w:r>
      <w:r>
        <w:rPr>
          <w:rFonts w:ascii="宋体" w:hAnsi="宋体" w:eastAsia="宋体" w:cs="宋体"/>
          <w:color w:val="auto"/>
          <w:spacing w:val="-3"/>
          <w:sz w:val="24"/>
          <w:szCs w:val="24"/>
          <w:highlight w:val="none"/>
        </w:rPr>
        <w:t>视频专网专用就近汇聚机房，节省了大量的财政投资，避免了重复建设。</w:t>
      </w:r>
    </w:p>
    <w:p w14:paraId="6BF3EC9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2.汇聚及核心网络设备共享。充分利用智能天网高性能、高带宽的网络设备，可有效避免各单位重复采购价格昂贵的网络交换、存储等设备。</w:t>
      </w:r>
    </w:p>
    <w:p w14:paraId="177C38C8">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3.视频资源共享。可有效避免一个区域多个部门监控摄像头及监控杆的重复建设，有利于各有关部门视频监控数据的有序共享和协同应用。</w:t>
      </w:r>
    </w:p>
    <w:p w14:paraId="5833EB67">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强化网络运维保障。租赁单一网络运营商视频专网，有利于形成统一优惠透明的网络租赁价格，大幅压缩部门分头租赁方式下每年高额的网络租赁费用。同时能借助统一的运营商运维服务平台，确保网络的稳定安全、有序高效运转。</w:t>
      </w:r>
    </w:p>
    <w:p w14:paraId="7C7CC421">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5.统一网络出口，提高网络安全等级。</w:t>
      </w:r>
    </w:p>
    <w:p w14:paraId="489F142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Times New Roman"/>
          <w:b/>
          <w:color w:val="FF0000"/>
          <w:sz w:val="28"/>
          <w:szCs w:val="28"/>
        </w:rPr>
      </w:pPr>
      <w:r>
        <w:rPr>
          <w:rFonts w:ascii="宋体" w:hAnsi="宋体" w:eastAsia="宋体" w:cs="宋体"/>
          <w:color w:val="auto"/>
          <w:spacing w:val="-3"/>
          <w:sz w:val="24"/>
          <w:szCs w:val="24"/>
          <w:highlight w:val="none"/>
        </w:rPr>
        <w:t>6.整合政府职能部门、企事业单位、小区及大量社会监控视频资源，彻底提升城市可视化管理水平和政府应急处置能力，维护城市公共安全</w:t>
      </w:r>
      <w:r>
        <w:rPr>
          <w:rFonts w:hint="eastAsia" w:ascii="宋体" w:hAnsi="宋体" w:eastAsia="宋体" w:cs="宋体"/>
          <w:color w:val="auto"/>
          <w:spacing w:val="-3"/>
          <w:sz w:val="24"/>
          <w:szCs w:val="24"/>
          <w:highlight w:val="none"/>
          <w:lang w:eastAsia="zh-CN"/>
        </w:rPr>
        <w:t>。</w:t>
      </w:r>
      <w:bookmarkStart w:id="161" w:name="_Toc172716711"/>
      <w:bookmarkStart w:id="162" w:name="_Toc12377"/>
    </w:p>
    <w:p w14:paraId="225EF233">
      <w:pPr>
        <w:keepNext/>
        <w:keepLines/>
        <w:numPr>
          <w:ilvl w:val="2"/>
          <w:numId w:val="0"/>
        </w:numPr>
        <w:spacing w:line="360" w:lineRule="auto"/>
        <w:ind w:left="720" w:hanging="720"/>
        <w:jc w:val="center"/>
        <w:outlineLvl w:val="2"/>
        <w:rPr>
          <w:rFonts w:hint="eastAsia" w:ascii="宋体" w:hAnsi="宋体" w:eastAsia="宋体" w:cs="Times New Roman"/>
          <w:b/>
          <w:color w:val="FF0000"/>
          <w:sz w:val="28"/>
          <w:szCs w:val="28"/>
        </w:rPr>
      </w:pPr>
    </w:p>
    <w:p w14:paraId="196A6107">
      <w:pPr>
        <w:keepNext/>
        <w:keepLines/>
        <w:numPr>
          <w:ilvl w:val="2"/>
          <w:numId w:val="0"/>
        </w:numPr>
        <w:spacing w:line="360" w:lineRule="auto"/>
        <w:ind w:left="720" w:hanging="720"/>
        <w:jc w:val="center"/>
        <w:outlineLvl w:val="2"/>
        <w:rPr>
          <w:rFonts w:hint="eastAsia" w:ascii="宋体" w:hAnsi="宋体" w:eastAsia="宋体" w:cs="Times New Roman"/>
          <w:b/>
          <w:color w:val="FF0000"/>
          <w:sz w:val="30"/>
          <w:szCs w:val="30"/>
        </w:rPr>
      </w:pPr>
    </w:p>
    <w:p w14:paraId="60059B5E">
      <w:pPr>
        <w:keepNext/>
        <w:keepLines/>
        <w:numPr>
          <w:ilvl w:val="2"/>
          <w:numId w:val="0"/>
        </w:numPr>
        <w:spacing w:line="360" w:lineRule="auto"/>
        <w:ind w:left="720" w:hanging="720"/>
        <w:jc w:val="center"/>
        <w:outlineLvl w:val="2"/>
        <w:rPr>
          <w:rFonts w:hint="eastAsia" w:ascii="黑体" w:hAnsi="黑体" w:eastAsia="黑体" w:cs="Times New Roman"/>
          <w:b/>
          <w:bCs/>
          <w:color w:val="auto"/>
          <w:kern w:val="2"/>
          <w:sz w:val="30"/>
          <w:szCs w:val="30"/>
          <w:lang w:val="en-US" w:eastAsia="zh-CN" w:bidi="ar-SA"/>
        </w:rPr>
      </w:pPr>
      <w:r>
        <w:rPr>
          <w:rFonts w:hint="eastAsia" w:ascii="宋体" w:hAnsi="宋体" w:eastAsia="宋体" w:cs="Times New Roman"/>
          <w:b/>
          <w:color w:val="auto"/>
          <w:sz w:val="30"/>
          <w:szCs w:val="30"/>
        </w:rPr>
        <w:t>五、需求分析</w:t>
      </w:r>
      <w:bookmarkEnd w:id="161"/>
      <w:bookmarkEnd w:id="162"/>
      <w:bookmarkStart w:id="163" w:name="_Toc29051"/>
      <w:bookmarkStart w:id="164" w:name="_Toc172716712"/>
    </w:p>
    <w:bookmarkEnd w:id="163"/>
    <w:bookmarkEnd w:id="164"/>
    <w:p w14:paraId="080B1C6A">
      <w:pPr>
        <w:keepNext/>
        <w:keepLines/>
        <w:widowControl/>
        <w:numPr>
          <w:ilvl w:val="1"/>
          <w:numId w:val="7"/>
        </w:numPr>
        <w:bidi w:val="0"/>
        <w:spacing w:before="50" w:beforeLines="50" w:after="50" w:afterLines="50" w:line="360" w:lineRule="auto"/>
        <w:ind w:left="851" w:leftChars="0" w:hanging="851" w:firstLineChars="0"/>
        <w:jc w:val="both"/>
        <w:outlineLvl w:val="1"/>
        <w:rPr>
          <w:rFonts w:hint="eastAsia" w:ascii="Times New Roman" w:hAnsi="Times New Roman" w:eastAsia="黑体" w:cs="宋体"/>
          <w:b/>
          <w:bCs/>
          <w:color w:val="auto"/>
          <w:kern w:val="2"/>
          <w:sz w:val="24"/>
          <w:szCs w:val="24"/>
          <w:highlight w:val="none"/>
          <w:lang w:val="zh-CN" w:eastAsia="zh-CN" w:bidi="ar-SA"/>
        </w:rPr>
      </w:pPr>
      <w:bookmarkStart w:id="165" w:name="_Toc27669"/>
      <w:bookmarkStart w:id="166" w:name="_Toc23409"/>
      <w:bookmarkStart w:id="167" w:name="_Toc172716720"/>
      <w:r>
        <w:rPr>
          <w:rFonts w:hint="eastAsia" w:ascii="Times New Roman" w:hAnsi="Times New Roman" w:eastAsia="黑体" w:cs="宋体"/>
          <w:b/>
          <w:bCs/>
          <w:color w:val="auto"/>
          <w:kern w:val="2"/>
          <w:sz w:val="24"/>
          <w:szCs w:val="24"/>
          <w:highlight w:val="none"/>
          <w:lang w:val="zh-CN" w:eastAsia="zh-CN" w:bidi="ar-SA"/>
        </w:rPr>
        <w:t>业务需求</w:t>
      </w:r>
      <w:bookmarkEnd w:id="165"/>
    </w:p>
    <w:p w14:paraId="3495A2FC">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郴州市视频专网的业务需求主要来自郴州市公安局、城管局、交警队等单位</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总计4</w:t>
      </w:r>
      <w:r>
        <w:rPr>
          <w:rFonts w:hint="eastAsia" w:ascii="宋体" w:hAnsi="宋体" w:eastAsia="宋体" w:cs="宋体"/>
          <w:color w:val="auto"/>
          <w:spacing w:val="-3"/>
          <w:sz w:val="24"/>
          <w:szCs w:val="24"/>
          <w:highlight w:val="none"/>
          <w:lang w:val="en-US" w:eastAsia="zh-CN"/>
        </w:rPr>
        <w:t>625</w:t>
      </w:r>
      <w:r>
        <w:rPr>
          <w:rFonts w:hint="eastAsia" w:ascii="宋体" w:hAnsi="宋体" w:eastAsia="宋体" w:cs="宋体"/>
          <w:color w:val="auto"/>
          <w:spacing w:val="-3"/>
          <w:sz w:val="24"/>
          <w:szCs w:val="24"/>
          <w:highlight w:val="none"/>
        </w:rPr>
        <w:t>条+1项链路及1条IPV6互联网链路、8个IPV6互联网IP地址、</w:t>
      </w:r>
      <w:r>
        <w:rPr>
          <w:rFonts w:hint="eastAsia" w:ascii="宋体" w:hAnsi="宋体" w:eastAsia="宋体" w:cs="宋体"/>
          <w:color w:val="auto"/>
          <w:spacing w:val="-3"/>
          <w:sz w:val="24"/>
          <w:szCs w:val="24"/>
          <w:highlight w:val="none"/>
          <w:lang w:val="en-US" w:eastAsia="zh-CN"/>
        </w:rPr>
        <w:t>4</w:t>
      </w:r>
      <w:r>
        <w:rPr>
          <w:rFonts w:hint="eastAsia" w:ascii="宋体" w:hAnsi="宋体" w:eastAsia="宋体" w:cs="宋体"/>
          <w:color w:val="auto"/>
          <w:spacing w:val="-3"/>
          <w:sz w:val="24"/>
          <w:szCs w:val="24"/>
          <w:highlight w:val="none"/>
        </w:rPr>
        <w:t>条政务云主备链路，60个“智能天网”汇聚机房托管、2866个智能天网点位前端摄像头维护费等，各单位的视频前端接入业务如下，各点位具体信息见附表1</w:t>
      </w:r>
      <w:r>
        <w:rPr>
          <w:rFonts w:hint="eastAsia" w:ascii="宋体" w:hAnsi="宋体" w:eastAsia="宋体" w:cs="宋体"/>
          <w:color w:val="auto"/>
          <w:spacing w:val="-3"/>
          <w:sz w:val="24"/>
          <w:szCs w:val="24"/>
          <w:highlight w:val="none"/>
          <w:lang w:eastAsia="zh-CN"/>
        </w:rPr>
        <w:t>郴州市2026年度视频专网组网租赁项目</w:t>
      </w:r>
      <w:r>
        <w:rPr>
          <w:rFonts w:hint="eastAsia" w:ascii="宋体" w:hAnsi="宋体" w:eastAsia="宋体" w:cs="宋体"/>
          <w:color w:val="auto"/>
          <w:spacing w:val="-3"/>
          <w:sz w:val="24"/>
          <w:szCs w:val="24"/>
          <w:highlight w:val="none"/>
        </w:rPr>
        <w:t>需求表。</w:t>
      </w:r>
    </w:p>
    <w:p w14:paraId="1A09D168">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zh-CN" w:eastAsia="zh-CN" w:bidi="ar-SA"/>
        </w:rPr>
        <w:t>市公安局</w:t>
      </w:r>
    </w:p>
    <w:p w14:paraId="4C0E69FD">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核心层需求</w:t>
      </w:r>
    </w:p>
    <w:p w14:paraId="776783CA">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rPr>
        <w:t>.核心层与汇聚层互联</w:t>
      </w:r>
    </w:p>
    <w:p w14:paraId="36CF694A">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市公安局核心交换机需通过裸光纤链路（1项，不超过6个汇聚点）连接市区6个片区汇聚节点，实现核心层与汇聚层之间的高速互联。该链路要求采用主备双路由保护，确保单点故障时业务不中断。</w:t>
      </w:r>
    </w:p>
    <w:p w14:paraId="0AA7CC9D">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2</w:t>
      </w:r>
      <w:r>
        <w:rPr>
          <w:rFonts w:hint="eastAsia" w:ascii="宋体" w:hAnsi="宋体" w:eastAsia="宋体" w:cs="宋体"/>
          <w:color w:val="auto"/>
          <w:spacing w:val="-3"/>
          <w:sz w:val="24"/>
          <w:szCs w:val="24"/>
          <w:highlight w:val="none"/>
        </w:rPr>
        <w:t>.县级视频资源汇聚</w:t>
      </w:r>
    </w:p>
    <w:p w14:paraId="1C0B2268">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市公安局核心交换机通过S5720九县汇聚交换机，以18条10G电路（9个县，每县主备各1条）连接各县公安局视频核心，实现县级视频资源向市级核心层的高带宽汇聚。各县市分别从县政府中心机房或指定的汇聚机房调通到核心交换机的高带宽电路。</w:t>
      </w:r>
    </w:p>
    <w:p w14:paraId="7C3FE0DF">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3</w:t>
      </w:r>
      <w:r>
        <w:rPr>
          <w:rFonts w:hint="eastAsia" w:ascii="宋体" w:hAnsi="宋体" w:eastAsia="宋体" w:cs="宋体"/>
          <w:color w:val="auto"/>
          <w:spacing w:val="-3"/>
          <w:sz w:val="24"/>
          <w:szCs w:val="24"/>
          <w:highlight w:val="none"/>
        </w:rPr>
        <w:t>.互联网接入与VPN链路</w:t>
      </w:r>
    </w:p>
    <w:p w14:paraId="1E42DCD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市公安局核心交换机通过1条1G电路连接运营商BRAS，为视频专网提供互联网接入及VPN链路，满足移动警务、远程访问等业务需求。</w:t>
      </w:r>
    </w:p>
    <w:p w14:paraId="326271B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4</w:t>
      </w:r>
      <w:r>
        <w:rPr>
          <w:rFonts w:hint="eastAsia" w:ascii="宋体" w:hAnsi="宋体" w:eastAsia="宋体" w:cs="宋体"/>
          <w:color w:val="auto"/>
          <w:spacing w:val="-3"/>
          <w:sz w:val="24"/>
          <w:szCs w:val="24"/>
          <w:highlight w:val="none"/>
        </w:rPr>
        <w:t>. 与城市大脑指挥中心互联</w:t>
      </w:r>
    </w:p>
    <w:p w14:paraId="5F577A63">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市公安局核心交换机需通过2条10G电路（双路由）连接城市大脑指挥中心，为视频数据异地备份或跨中心业务协同提供网络支撑。</w:t>
      </w:r>
    </w:p>
    <w:p w14:paraId="7ABFB173">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5</w:t>
      </w:r>
      <w:r>
        <w:rPr>
          <w:rFonts w:hint="eastAsia" w:ascii="宋体" w:hAnsi="宋体" w:eastAsia="宋体" w:cs="宋体"/>
          <w:color w:val="auto"/>
          <w:spacing w:val="-3"/>
          <w:sz w:val="24"/>
          <w:szCs w:val="24"/>
          <w:highlight w:val="none"/>
        </w:rPr>
        <w:t>. 与电子政务外网互联</w:t>
      </w:r>
    </w:p>
    <w:p w14:paraId="20090D23">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市公安局核心交换机通过市数据局主导的电子政务外网核心交换机（主备各1条裸光纤）实现与电子政务外网的互联互通。该链路仅支持视频专网将授权视频流单向推送至电子政务外网系统，实现安全隔离下的视频资源共享。</w:t>
      </w:r>
    </w:p>
    <w:p w14:paraId="6D378726">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汇聚层需求</w:t>
      </w:r>
    </w:p>
    <w:p w14:paraId="2CD09119">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 汇聚节点机房托管</w:t>
      </w:r>
    </w:p>
    <w:p w14:paraId="76A6C043">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市公安局需在运营商提供的6个汇聚节点机房（人民路片区、五岭广场片区、南塔片区、苏仙岭片区、下湄桥片区、城东新区片区）部署汇聚层设备。每个汇聚机房已部署2台S7706三层交换机，共计12台汇聚交换机，形成主备架构。本期项目需继续租赁这些汇聚机房的托管空间，每个机房不少于10个42U机柜（共60个机柜），用于存放汇聚交换机、视频存储服务器（VCN3000）、OLT设备等。</w:t>
      </w:r>
    </w:p>
    <w:p w14:paraId="25674757">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 汇聚层与核心层互联</w:t>
      </w:r>
    </w:p>
    <w:p w14:paraId="7B39C9A6">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市公安局的6个汇聚节点需通过裸光纤链路（每节点1条，共6条，双路由）上联至市公安局14楼机房核心交换机，实现汇聚层与核心层的高速连接。</w:t>
      </w:r>
    </w:p>
    <w:p w14:paraId="1991959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 公安分局及派出所接入</w:t>
      </w:r>
    </w:p>
    <w:p w14:paraId="145F33F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公安分局接入：市区3个公安分局视频核心需通过裸光纤链路（6条，双路由）接入片区汇聚节点，实现分局视频资源的汇聚上联。</w:t>
      </w:r>
    </w:p>
    <w:p w14:paraId="791EF4C4">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派出所接入：14个派出所中，除铁路派出所外，其余13个派出所各需2条200M电路（双路由），铁路派出所需2条100M电路（双路由），通过汇聚层实现派出所视频监控的上传。</w:t>
      </w:r>
    </w:p>
    <w:p w14:paraId="6D34520C">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高铁派出所、机场分局：高铁派出所需2条裸光纤（双路由）、机场分局需2条裸光纤（双路由），分别接入汇聚层或核心层。</w:t>
      </w:r>
    </w:p>
    <w:p w14:paraId="523A5BA9">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 区县政府视频汇聚</w:t>
      </w:r>
    </w:p>
    <w:p w14:paraId="101439C4">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市公安局需通过汇聚层交换机，以18条1G电路（9个县市政府，每个主备各1条，双路由），将9个县（市）政府视频核心接入视频专网，实现区县级视频资源的统一汇聚。</w:t>
      </w:r>
    </w:p>
    <w:p w14:paraId="639A68F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5. 市直协同部门接入</w:t>
      </w:r>
    </w:p>
    <w:p w14:paraId="0B906BD9">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市公安局汇聚层交换机还需为市城管局、市</w:t>
      </w:r>
      <w:r>
        <w:rPr>
          <w:rFonts w:hint="eastAsia" w:ascii="宋体" w:hAnsi="宋体" w:eastAsia="宋体" w:cs="宋体"/>
          <w:color w:val="auto"/>
          <w:spacing w:val="-3"/>
          <w:sz w:val="24"/>
          <w:szCs w:val="24"/>
          <w:highlight w:val="none"/>
          <w:lang w:eastAsia="zh-CN"/>
        </w:rPr>
        <w:t>交通管理支队</w:t>
      </w:r>
      <w:r>
        <w:rPr>
          <w:rFonts w:hint="eastAsia" w:ascii="宋体" w:hAnsi="宋体" w:eastAsia="宋体" w:cs="宋体"/>
          <w:color w:val="auto"/>
          <w:spacing w:val="-3"/>
          <w:sz w:val="24"/>
          <w:szCs w:val="24"/>
          <w:highlight w:val="none"/>
        </w:rPr>
        <w:t>、市应急管理局、市水利局等市直单位提供裸光纤或高带宽链路接入，支撑各部门视频业务的统一承载。</w:t>
      </w:r>
    </w:p>
    <w:p w14:paraId="5B7F1E6C">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6. 设备搬迁与运维</w:t>
      </w:r>
    </w:p>
    <w:p w14:paraId="23B62F1D">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本期项目要求</w:t>
      </w:r>
      <w:r>
        <w:rPr>
          <w:rFonts w:hint="eastAsia" w:ascii="宋体" w:hAnsi="宋体" w:eastAsia="宋体" w:cs="宋体"/>
          <w:color w:val="auto"/>
          <w:spacing w:val="-3"/>
          <w:sz w:val="24"/>
          <w:szCs w:val="24"/>
          <w:highlight w:val="none"/>
          <w:lang w:val="en-US" w:eastAsia="zh-CN"/>
        </w:rPr>
        <w:t>供应商</w:t>
      </w:r>
      <w:r>
        <w:rPr>
          <w:rFonts w:hint="eastAsia" w:ascii="宋体" w:hAnsi="宋体" w:eastAsia="宋体" w:cs="宋体"/>
          <w:color w:val="auto"/>
          <w:spacing w:val="-3"/>
          <w:sz w:val="24"/>
          <w:szCs w:val="24"/>
          <w:highlight w:val="none"/>
        </w:rPr>
        <w:t>负责汇聚机房内设备（含VCN3000存储服务器、S7706汇聚交换机、OLT设备等）的搬迁工作。搬迁过程需遵循严格的数据备份、规范断电、专业包装运输、标签化管理等流程，确保搬迁过程中业务不中断、数据不丢失。</w:t>
      </w:r>
    </w:p>
    <w:p w14:paraId="0B3E7BB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7. 汇聚层设备清单</w:t>
      </w:r>
    </w:p>
    <w:p w14:paraId="70616CA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汇聚层托管设备包括：华为S7706汇聚交换机（主备各1台/机房）、华为VCN3000视频云节点（多台/机房）、华为MA5680T OLT设备、金盾安全准入专家设备、锐捷交换机、研华科技工控机、磁盘阵列（OceanStor S5500T）等，各机房设备数量及配置详见方案“设备现状”章节。</w:t>
      </w:r>
    </w:p>
    <w:p w14:paraId="3B09A7D4">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智能天网监控2866条</w:t>
      </w:r>
    </w:p>
    <w:p w14:paraId="788FECC1">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天网工程”是为满足城市治安防控和管理需要，在交通要道、治安卡口等公共聚集的复杂场所安装视频监控设备，利用GIS地图、图像采集、传输等技术对固定区域进行实时监控和信息记录的视频监控系统。“天网系统”是一项城市监控系统，所以又称为“公安治安视频监控系统”。智能天网作为城市的“眼睛”，需要在城市各处安装视频监控设备，由于分布范围广，需要接入到郴州市视频专网内，就近接入附近运营商的汇聚机房，统一传输到公安局内，形成完整的传输链路，保证天网系统能正常使用。根据不同接入点位置的差异性，对智能天网监控的链路要求分为50M和100M电路。其中需要50M电路254条，100M电路2612条。</w:t>
      </w:r>
    </w:p>
    <w:p w14:paraId="6A8A556D">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14个派出所28条</w:t>
      </w:r>
    </w:p>
    <w:p w14:paraId="05CAD2C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郴州市市区有14个派出所，分别是涌泉派出所、北湖派出所、骆仙派出所、苏仙派出所、白露塘派出所、望仙派出所、下湄桥派出所、郴江派出所、白鹿洞派出所、南塔派出所、人民东路派出所、燕泉派出所、观山洞派出所和铁路派出所。除铁路派出所配置2条100M电路，其他13个派出所各需配置2条200M电路，共28条。</w:t>
      </w:r>
    </w:p>
    <w:p w14:paraId="6985E53D">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政府视频</w:t>
      </w:r>
      <w:r>
        <w:rPr>
          <w:rFonts w:hint="eastAsia" w:ascii="Arial" w:hAnsi="Arial" w:eastAsia="黑体" w:cs="宋体"/>
          <w:b/>
          <w:bCs/>
          <w:color w:val="auto"/>
          <w:kern w:val="2"/>
          <w:sz w:val="24"/>
          <w:szCs w:val="24"/>
          <w:highlight w:val="none"/>
          <w:lang w:val="en-US" w:eastAsia="zh-CN" w:bidi="ar-SA"/>
        </w:rPr>
        <w:t>专网273条</w:t>
      </w:r>
    </w:p>
    <w:p w14:paraId="34A1455C">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郴州市对所有市直单位、政府单位视频专网监控链路需求为</w:t>
      </w:r>
      <w:r>
        <w:rPr>
          <w:rFonts w:hint="eastAsia" w:ascii="宋体" w:hAnsi="宋体" w:eastAsia="宋体" w:cs="宋体"/>
          <w:color w:val="auto"/>
          <w:spacing w:val="-3"/>
          <w:sz w:val="24"/>
          <w:szCs w:val="24"/>
          <w:highlight w:val="none"/>
          <w:lang w:val="en-US" w:eastAsia="zh-CN"/>
        </w:rPr>
        <w:t>27</w:t>
      </w:r>
      <w:r>
        <w:rPr>
          <w:rFonts w:ascii="宋体" w:hAnsi="宋体" w:eastAsia="宋体" w:cs="宋体"/>
          <w:color w:val="auto"/>
          <w:spacing w:val="-3"/>
          <w:sz w:val="24"/>
          <w:szCs w:val="24"/>
          <w:highlight w:val="none"/>
        </w:rPr>
        <w:t>3条，其中需要50M电路162条，100M电路105条，200M电路4条，1G电路2条。</w:t>
      </w:r>
    </w:p>
    <w:p w14:paraId="6DD69574">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苏仙公安监控345条</w:t>
      </w:r>
    </w:p>
    <w:p w14:paraId="298326C5">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苏仙公安监控链路需求为</w:t>
      </w:r>
      <w:r>
        <w:rPr>
          <w:rFonts w:hint="eastAsia" w:ascii="宋体" w:hAnsi="宋体" w:eastAsia="宋体" w:cs="宋体"/>
          <w:color w:val="auto"/>
          <w:spacing w:val="-3"/>
          <w:sz w:val="24"/>
          <w:szCs w:val="24"/>
          <w:highlight w:val="none"/>
          <w:lang w:val="en-US" w:eastAsia="zh-CN"/>
        </w:rPr>
        <w:t>345</w:t>
      </w:r>
      <w:r>
        <w:rPr>
          <w:rFonts w:ascii="宋体" w:hAnsi="宋体" w:eastAsia="宋体" w:cs="宋体"/>
          <w:color w:val="auto"/>
          <w:spacing w:val="-3"/>
          <w:sz w:val="24"/>
          <w:szCs w:val="24"/>
          <w:highlight w:val="none"/>
        </w:rPr>
        <w:t>条，通过在苏仙区各学校、村镇、社区以及路口安装监控，实时传输到苏仙公安内，确保能迅速发现城市内发生的问题、异常，可以马上出警解决这些问题，无原链路，现需求为104条100M电路，</w:t>
      </w:r>
      <w:r>
        <w:rPr>
          <w:rFonts w:hint="eastAsia" w:ascii="宋体" w:hAnsi="宋体" w:eastAsia="宋体" w:cs="宋体"/>
          <w:color w:val="auto"/>
          <w:spacing w:val="-3"/>
          <w:sz w:val="24"/>
          <w:szCs w:val="24"/>
          <w:highlight w:val="none"/>
          <w:lang w:val="en-US" w:eastAsia="zh-CN"/>
        </w:rPr>
        <w:t>24</w:t>
      </w:r>
      <w:r>
        <w:rPr>
          <w:rFonts w:ascii="宋体" w:hAnsi="宋体" w:eastAsia="宋体" w:cs="宋体"/>
          <w:color w:val="auto"/>
          <w:spacing w:val="-3"/>
          <w:sz w:val="24"/>
          <w:szCs w:val="24"/>
          <w:highlight w:val="none"/>
        </w:rPr>
        <w:t>1条50M电路。</w:t>
      </w:r>
    </w:p>
    <w:p w14:paraId="1F6DF416">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北湖公安监</w:t>
      </w:r>
      <w:r>
        <w:rPr>
          <w:rFonts w:hint="eastAsia" w:ascii="Arial" w:hAnsi="Arial" w:eastAsia="黑体" w:cs="宋体"/>
          <w:b/>
          <w:bCs/>
          <w:color w:val="auto"/>
          <w:kern w:val="2"/>
          <w:sz w:val="24"/>
          <w:szCs w:val="24"/>
          <w:highlight w:val="none"/>
          <w:lang w:val="en-US" w:eastAsia="zh-CN" w:bidi="ar-SA"/>
        </w:rPr>
        <w:t>控419条</w:t>
      </w:r>
    </w:p>
    <w:p w14:paraId="2346D709">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北湖公安监控链路需求为</w:t>
      </w:r>
      <w:r>
        <w:rPr>
          <w:rFonts w:hint="eastAsia" w:ascii="宋体" w:hAnsi="宋体" w:eastAsia="宋体" w:cs="宋体"/>
          <w:color w:val="auto"/>
          <w:spacing w:val="-3"/>
          <w:sz w:val="24"/>
          <w:szCs w:val="24"/>
          <w:highlight w:val="none"/>
          <w:lang w:val="en-US" w:eastAsia="zh-CN"/>
        </w:rPr>
        <w:t>419</w:t>
      </w:r>
      <w:r>
        <w:rPr>
          <w:rFonts w:ascii="宋体" w:hAnsi="宋体" w:eastAsia="宋体" w:cs="宋体"/>
          <w:color w:val="auto"/>
          <w:spacing w:val="-3"/>
          <w:sz w:val="24"/>
          <w:szCs w:val="24"/>
          <w:highlight w:val="none"/>
        </w:rPr>
        <w:t>条，通过在北湖区各学校、村镇、社区以及路口安装监控，实时传输到北湖公安内，确保能迅速发现城市内发生的问题、异常，可以马上出警解决这些问题，无原链路，现需求为</w:t>
      </w:r>
      <w:r>
        <w:rPr>
          <w:rFonts w:hint="eastAsia" w:ascii="宋体" w:hAnsi="宋体" w:eastAsia="宋体" w:cs="宋体"/>
          <w:color w:val="auto"/>
          <w:spacing w:val="-3"/>
          <w:sz w:val="24"/>
          <w:szCs w:val="24"/>
          <w:highlight w:val="none"/>
          <w:lang w:val="en-US" w:eastAsia="zh-CN"/>
        </w:rPr>
        <w:t>41</w:t>
      </w:r>
      <w:r>
        <w:rPr>
          <w:rFonts w:ascii="宋体" w:hAnsi="宋体" w:eastAsia="宋体" w:cs="宋体"/>
          <w:color w:val="auto"/>
          <w:spacing w:val="-3"/>
          <w:sz w:val="24"/>
          <w:szCs w:val="24"/>
          <w:highlight w:val="none"/>
        </w:rPr>
        <w:t>9条50M电路。</w:t>
      </w:r>
    </w:p>
    <w:p w14:paraId="64B57CEF">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视频专网无线网络</w:t>
      </w:r>
    </w:p>
    <w:p w14:paraId="5A357F23">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视频专网无线网络需求为配置智能天网4G/5G数据流量池，1</w:t>
      </w:r>
      <w:r>
        <w:rPr>
          <w:rFonts w:hint="eastAsia" w:ascii="宋体" w:hAnsi="宋体" w:eastAsia="宋体" w:cs="宋体"/>
          <w:color w:val="auto"/>
          <w:spacing w:val="-3"/>
          <w:sz w:val="24"/>
          <w:szCs w:val="24"/>
          <w:highlight w:val="none"/>
          <w:lang w:val="en-US" w:eastAsia="zh-CN"/>
        </w:rPr>
        <w:t>8</w:t>
      </w:r>
      <w:r>
        <w:rPr>
          <w:rFonts w:ascii="宋体" w:hAnsi="宋体" w:eastAsia="宋体" w:cs="宋体"/>
          <w:color w:val="auto"/>
          <w:spacing w:val="-3"/>
          <w:sz w:val="24"/>
          <w:szCs w:val="24"/>
          <w:highlight w:val="none"/>
        </w:rPr>
        <w:t>40G/月，</w:t>
      </w:r>
      <w:r>
        <w:rPr>
          <w:rFonts w:hint="eastAsia" w:ascii="宋体" w:hAnsi="宋体" w:eastAsia="宋体" w:cs="宋体"/>
          <w:color w:val="auto"/>
          <w:spacing w:val="-3"/>
          <w:sz w:val="24"/>
          <w:szCs w:val="24"/>
          <w:highlight w:val="none"/>
          <w:lang w:val="en-US" w:eastAsia="zh-CN"/>
        </w:rPr>
        <w:t>9</w:t>
      </w:r>
      <w:r>
        <w:rPr>
          <w:rFonts w:ascii="宋体" w:hAnsi="宋体" w:eastAsia="宋体" w:cs="宋体"/>
          <w:color w:val="auto"/>
          <w:spacing w:val="-3"/>
          <w:sz w:val="24"/>
          <w:szCs w:val="24"/>
          <w:highlight w:val="none"/>
        </w:rPr>
        <w:t>2张流量卡共用。</w:t>
      </w:r>
    </w:p>
    <w:p w14:paraId="09A2223F">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zh-CN" w:eastAsia="zh-CN" w:bidi="ar-SA"/>
        </w:rPr>
        <w:t>市城管局</w:t>
      </w:r>
    </w:p>
    <w:p w14:paraId="333042A7">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汇聚层需求</w:t>
      </w:r>
    </w:p>
    <w:p w14:paraId="70B4CD6C">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市城管局核心</w:t>
      </w:r>
      <w:r>
        <w:rPr>
          <w:rFonts w:hint="eastAsia" w:ascii="宋体" w:hAnsi="宋体" w:eastAsia="宋体" w:cs="宋体"/>
          <w:color w:val="auto"/>
          <w:sz w:val="24"/>
          <w:szCs w:val="24"/>
          <w:highlight w:val="none"/>
          <w:lang w:val="en-US" w:eastAsia="zh-CN"/>
        </w:rPr>
        <w:t>到视频专网核心交换机2条双路由裸光纤链路、城管局监控指挥中心到</w:t>
      </w:r>
      <w:r>
        <w:rPr>
          <w:rFonts w:hint="eastAsia" w:ascii="Times New Roman" w:hAnsi="宋体" w:eastAsia="宋体" w:cs="宋体"/>
          <w:color w:val="auto"/>
          <w:sz w:val="24"/>
          <w:szCs w:val="24"/>
          <w:highlight w:val="none"/>
          <w:lang w:val="en-US" w:eastAsia="zh-CN"/>
        </w:rPr>
        <w:t>专网核心交换机1条裸光纤链路、市城管局核心到区城管汇聚机2条双路由裸光纤链路。</w:t>
      </w:r>
    </w:p>
    <w:p w14:paraId="504298EB">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数字城管视频监控157条</w:t>
      </w:r>
    </w:p>
    <w:p w14:paraId="75BFB17A">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数字城管视频监控链路需求为157条10M电路。</w:t>
      </w:r>
    </w:p>
    <w:p w14:paraId="17CBB468">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市城管</w:t>
      </w:r>
      <w:r>
        <w:rPr>
          <w:rFonts w:hint="eastAsia" w:ascii="Arial" w:hAnsi="Arial" w:eastAsia="黑体" w:cs="宋体"/>
          <w:b/>
          <w:bCs/>
          <w:color w:val="auto"/>
          <w:kern w:val="2"/>
          <w:sz w:val="24"/>
          <w:szCs w:val="24"/>
          <w:highlight w:val="none"/>
          <w:lang w:val="en-US" w:eastAsia="zh-CN" w:bidi="ar-SA"/>
        </w:rPr>
        <w:t>－</w:t>
      </w:r>
      <w:r>
        <w:rPr>
          <w:rFonts w:ascii="Arial" w:hAnsi="Arial" w:eastAsia="黑体" w:cs="宋体"/>
          <w:b/>
          <w:bCs/>
          <w:color w:val="auto"/>
          <w:kern w:val="2"/>
          <w:sz w:val="24"/>
          <w:szCs w:val="24"/>
          <w:highlight w:val="none"/>
          <w:lang w:val="en-US" w:eastAsia="zh-CN" w:bidi="ar-SA"/>
        </w:rPr>
        <w:t>市质安站1条</w:t>
      </w:r>
    </w:p>
    <w:p w14:paraId="48EFD9C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市城管</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市质安站链路1条100M电路。</w:t>
      </w:r>
    </w:p>
    <w:p w14:paraId="3EBF6739">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市城管局至市公安局监控指挥中心1条</w:t>
      </w:r>
    </w:p>
    <w:p w14:paraId="2EC0BBE5">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市城管局至市公安局监控指挥中心链路需求为1条100M电路。</w:t>
      </w:r>
    </w:p>
    <w:p w14:paraId="2058AAAE">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市城管局－燕泉河道14条</w:t>
      </w:r>
    </w:p>
    <w:p w14:paraId="15843CD9">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市城管局</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燕泉河道监控链路需求为14条，14个点位均部署在燕泉河道旁，用于监控燕泉河道的异常水位。需求为14条10M电路。</w:t>
      </w:r>
    </w:p>
    <w:p w14:paraId="667A423D">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市城管局－垃圾焚烧电厂2条</w:t>
      </w:r>
    </w:p>
    <w:p w14:paraId="15EEE883">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市城管局</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垃圾焚烧电厂链路需求为2条10M电路。</w:t>
      </w:r>
    </w:p>
    <w:p w14:paraId="19A58FE3">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数字市政监控24条</w:t>
      </w:r>
    </w:p>
    <w:p w14:paraId="4772FF5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数字市政监控链路需求为24条10M电路。</w:t>
      </w:r>
    </w:p>
    <w:p w14:paraId="4BD675DD">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市政公司1条</w:t>
      </w:r>
    </w:p>
    <w:p w14:paraId="5F6FD1FF">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数字市政监控链路需求为1条200M电路。</w:t>
      </w:r>
    </w:p>
    <w:p w14:paraId="64F2BF82">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zh-CN" w:eastAsia="zh-CN" w:bidi="ar-SA"/>
        </w:rPr>
        <w:t>交通管理支队</w:t>
      </w:r>
    </w:p>
    <w:p w14:paraId="74BE1F0F">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汇聚层需求</w:t>
      </w:r>
    </w:p>
    <w:p w14:paraId="678F8E18">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交通管理支队</w:t>
      </w:r>
      <w:r>
        <w:rPr>
          <w:rFonts w:hint="eastAsia" w:ascii="宋体" w:hAnsi="宋体" w:eastAsia="宋体" w:cs="宋体"/>
          <w:color w:val="auto"/>
          <w:spacing w:val="-3"/>
          <w:sz w:val="24"/>
          <w:szCs w:val="24"/>
          <w:highlight w:val="none"/>
          <w:lang w:val="en-US" w:eastAsia="zh-CN"/>
        </w:rPr>
        <w:t>到9县大队需要9条1G链路</w:t>
      </w:r>
    </w:p>
    <w:p w14:paraId="198F0AE9">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数字交警监控280条</w:t>
      </w:r>
    </w:p>
    <w:p w14:paraId="1AFFC385">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数字交警监控链路需求为</w:t>
      </w:r>
      <w:r>
        <w:rPr>
          <w:rFonts w:hint="eastAsia" w:ascii="宋体" w:hAnsi="宋体" w:eastAsia="宋体" w:cs="宋体"/>
          <w:color w:val="auto"/>
          <w:spacing w:val="-3"/>
          <w:sz w:val="24"/>
          <w:szCs w:val="24"/>
          <w:highlight w:val="none"/>
          <w:lang w:val="en-US" w:eastAsia="zh-CN"/>
        </w:rPr>
        <w:t>280</w:t>
      </w:r>
      <w:r>
        <w:rPr>
          <w:rFonts w:ascii="宋体" w:hAnsi="宋体" w:eastAsia="宋体" w:cs="宋体"/>
          <w:color w:val="auto"/>
          <w:spacing w:val="-3"/>
          <w:sz w:val="24"/>
          <w:szCs w:val="24"/>
          <w:highlight w:val="none"/>
        </w:rPr>
        <w:t>条。大部分部署在市区各小学门口、路口交叉处。需求为1</w:t>
      </w:r>
      <w:r>
        <w:rPr>
          <w:rFonts w:hint="eastAsia" w:ascii="宋体" w:hAnsi="宋体" w:eastAsia="宋体" w:cs="宋体"/>
          <w:color w:val="auto"/>
          <w:spacing w:val="-3"/>
          <w:sz w:val="24"/>
          <w:szCs w:val="24"/>
          <w:highlight w:val="none"/>
          <w:lang w:val="en-US" w:eastAsia="zh-CN"/>
        </w:rPr>
        <w:t>59</w:t>
      </w:r>
      <w:r>
        <w:rPr>
          <w:rFonts w:ascii="宋体" w:hAnsi="宋体" w:eastAsia="宋体" w:cs="宋体"/>
          <w:color w:val="auto"/>
          <w:spacing w:val="-3"/>
          <w:sz w:val="24"/>
          <w:szCs w:val="24"/>
          <w:highlight w:val="none"/>
        </w:rPr>
        <w:t>条100M链路和12</w:t>
      </w:r>
      <w:r>
        <w:rPr>
          <w:rFonts w:hint="eastAsia" w:ascii="宋体" w:hAnsi="宋体" w:eastAsia="宋体" w:cs="宋体"/>
          <w:color w:val="auto"/>
          <w:spacing w:val="-3"/>
          <w:sz w:val="24"/>
          <w:szCs w:val="24"/>
          <w:highlight w:val="none"/>
          <w:lang w:val="en-US" w:eastAsia="zh-CN"/>
        </w:rPr>
        <w:t>1</w:t>
      </w:r>
      <w:r>
        <w:rPr>
          <w:rFonts w:ascii="宋体" w:hAnsi="宋体" w:eastAsia="宋体" w:cs="宋体"/>
          <w:color w:val="auto"/>
          <w:spacing w:val="-3"/>
          <w:sz w:val="24"/>
          <w:szCs w:val="24"/>
          <w:highlight w:val="none"/>
        </w:rPr>
        <w:t>条裸纤。</w:t>
      </w:r>
    </w:p>
    <w:p w14:paraId="678A28EC">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9县汇聚链路9条</w:t>
      </w:r>
    </w:p>
    <w:p w14:paraId="7A30FAA0">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视频专网汇聚层：9条1G电路。</w:t>
      </w:r>
    </w:p>
    <w:p w14:paraId="1B0A61A3">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市</w:t>
      </w:r>
      <w:r>
        <w:rPr>
          <w:rFonts w:hint="eastAsia" w:ascii="Arial" w:hAnsi="Arial" w:eastAsia="黑体" w:cs="宋体"/>
          <w:b/>
          <w:bCs/>
          <w:color w:val="auto"/>
          <w:kern w:val="2"/>
          <w:sz w:val="24"/>
          <w:szCs w:val="24"/>
          <w:highlight w:val="none"/>
          <w:lang w:val="zh-CN" w:eastAsia="zh-CN" w:bidi="ar-SA"/>
        </w:rPr>
        <w:t>数据局</w:t>
      </w:r>
    </w:p>
    <w:p w14:paraId="398B1E35">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核心层需求</w:t>
      </w:r>
    </w:p>
    <w:p w14:paraId="4B20ACC5">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电子政务外网核心交换机</w:t>
      </w:r>
      <w:r>
        <w:rPr>
          <w:rFonts w:hint="eastAsia" w:ascii="宋体" w:hAnsi="宋体" w:eastAsia="宋体" w:cs="宋体"/>
          <w:color w:val="auto"/>
          <w:spacing w:val="-3"/>
          <w:sz w:val="24"/>
          <w:szCs w:val="24"/>
          <w:highlight w:val="none"/>
          <w:lang w:val="en-US" w:eastAsia="zh-CN"/>
        </w:rPr>
        <w:t>到视频专网核心交换机2条裸光纤链路，</w:t>
      </w:r>
      <w:r>
        <w:rPr>
          <w:rFonts w:hint="eastAsia" w:ascii="宋体" w:hAnsi="宋体" w:eastAsia="宋体" w:cs="宋体"/>
          <w:color w:val="auto"/>
          <w:spacing w:val="-3"/>
          <w:sz w:val="24"/>
          <w:szCs w:val="24"/>
          <w:highlight w:val="none"/>
        </w:rPr>
        <w:t>城市大脑指挥中心</w:t>
      </w:r>
      <w:r>
        <w:rPr>
          <w:rFonts w:hint="eastAsia" w:ascii="宋体" w:hAnsi="宋体" w:eastAsia="宋体" w:cs="宋体"/>
          <w:color w:val="auto"/>
          <w:spacing w:val="-3"/>
          <w:sz w:val="24"/>
          <w:szCs w:val="24"/>
          <w:highlight w:val="none"/>
          <w:lang w:val="en-US" w:eastAsia="zh-CN"/>
        </w:rPr>
        <w:t>到视频专网核心交换机2条1G链路</w:t>
      </w:r>
      <w:r>
        <w:rPr>
          <w:rFonts w:ascii="宋体" w:hAnsi="宋体" w:eastAsia="宋体" w:cs="宋体"/>
          <w:color w:val="auto"/>
          <w:spacing w:val="-3"/>
          <w:sz w:val="24"/>
          <w:szCs w:val="24"/>
          <w:highlight w:val="none"/>
        </w:rPr>
        <w:t>。</w:t>
      </w:r>
    </w:p>
    <w:p w14:paraId="2F9AF360">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其他链路需求</w:t>
      </w:r>
    </w:p>
    <w:p w14:paraId="3BA1AB3A">
      <w:pPr>
        <w:keepNext w:val="0"/>
        <w:keepLines w:val="0"/>
        <w:widowControl/>
        <w:suppressLineNumbers w:val="0"/>
        <w:spacing w:line="360" w:lineRule="auto"/>
        <w:ind w:firstLine="468" w:firstLineChars="200"/>
        <w:jc w:val="left"/>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郴州市政府网站</w:t>
      </w:r>
      <w:r>
        <w:rPr>
          <w:rFonts w:hint="eastAsia" w:ascii="宋体" w:hAnsi="宋体" w:eastAsia="宋体" w:cs="宋体"/>
          <w:color w:val="auto"/>
          <w:spacing w:val="-3"/>
          <w:sz w:val="24"/>
          <w:szCs w:val="24"/>
          <w:highlight w:val="none"/>
        </w:rPr>
        <w:t>集约化平台IPv4/IPv6双栈</w:t>
      </w:r>
      <w:r>
        <w:rPr>
          <w:rFonts w:hint="eastAsia" w:ascii="宋体" w:hAnsi="宋体" w:eastAsia="宋体" w:cs="宋体"/>
          <w:color w:val="auto"/>
          <w:spacing w:val="-3"/>
          <w:sz w:val="24"/>
          <w:szCs w:val="24"/>
          <w:highlight w:val="none"/>
          <w:lang w:val="en-US" w:eastAsia="zh-CN"/>
        </w:rPr>
        <w:t>链路需求</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lang w:val="en-US" w:eastAsia="zh-CN"/>
        </w:rPr>
        <w:t>主要用于网络基础设施IPv6改造、</w:t>
      </w:r>
      <w:r>
        <w:rPr>
          <w:rFonts w:ascii="宋体" w:hAnsi="宋体" w:eastAsia="宋体" w:cs="宋体"/>
          <w:color w:val="auto"/>
          <w:kern w:val="0"/>
          <w:sz w:val="24"/>
          <w:szCs w:val="24"/>
          <w:highlight w:val="none"/>
          <w:lang w:val="en-US" w:eastAsia="zh-CN" w:bidi="ar"/>
        </w:rPr>
        <w:t>域名与DNS系统IPv6改造</w:t>
      </w:r>
      <w:r>
        <w:rPr>
          <w:rFonts w:hint="eastAsia" w:ascii="宋体" w:hAnsi="宋体" w:eastAsia="宋体" w:cs="宋体"/>
          <w:color w:val="auto"/>
          <w:kern w:val="0"/>
          <w:sz w:val="24"/>
          <w:szCs w:val="24"/>
          <w:highlight w:val="none"/>
          <w:lang w:val="en-US" w:eastAsia="zh-CN" w:bidi="ar"/>
        </w:rPr>
        <w:t>、业务平台IPv6适配改造</w:t>
      </w:r>
      <w:r>
        <w:rPr>
          <w:rFonts w:hint="eastAsia" w:ascii="宋体" w:hAnsi="宋体" w:eastAsia="宋体" w:cs="宋体"/>
          <w:color w:val="auto"/>
          <w:spacing w:val="-3"/>
          <w:sz w:val="24"/>
          <w:szCs w:val="24"/>
          <w:highlight w:val="none"/>
          <w:lang w:val="en-US" w:eastAsia="zh-CN"/>
        </w:rPr>
        <w:t>需</w:t>
      </w:r>
      <w:r>
        <w:rPr>
          <w:rFonts w:hint="eastAsia" w:ascii="宋体" w:hAnsi="宋体" w:eastAsia="宋体" w:cs="宋体"/>
          <w:color w:val="auto"/>
          <w:spacing w:val="-3"/>
          <w:sz w:val="24"/>
          <w:szCs w:val="24"/>
          <w:highlight w:val="none"/>
        </w:rPr>
        <w:t>政府中心机房</w:t>
      </w:r>
      <w:r>
        <w:rPr>
          <w:rFonts w:hint="eastAsia" w:ascii="宋体" w:hAnsi="宋体" w:eastAsia="宋体" w:cs="宋体"/>
          <w:color w:val="auto"/>
          <w:spacing w:val="-3"/>
          <w:sz w:val="24"/>
          <w:szCs w:val="24"/>
          <w:highlight w:val="none"/>
          <w:lang w:val="en-US" w:eastAsia="zh-CN"/>
        </w:rPr>
        <w:t>1条</w:t>
      </w:r>
      <w:r>
        <w:rPr>
          <w:rFonts w:hint="eastAsia" w:ascii="宋体" w:hAnsi="宋体" w:eastAsia="宋体" w:cs="宋体"/>
          <w:color w:val="auto"/>
          <w:spacing w:val="-3"/>
          <w:sz w:val="24"/>
          <w:szCs w:val="24"/>
          <w:highlight w:val="none"/>
        </w:rPr>
        <w:t>100M电路</w:t>
      </w:r>
      <w:r>
        <w:rPr>
          <w:rFonts w:hint="eastAsia" w:ascii="宋体" w:hAnsi="宋体" w:eastAsia="宋体" w:cs="宋体"/>
          <w:color w:val="auto"/>
          <w:spacing w:val="-3"/>
          <w:sz w:val="24"/>
          <w:szCs w:val="24"/>
          <w:highlight w:val="none"/>
          <w:lang w:eastAsia="zh-CN"/>
        </w:rPr>
        <w:t>、IPV6互联网IP地址</w:t>
      </w:r>
      <w:r>
        <w:rPr>
          <w:rFonts w:hint="eastAsia" w:ascii="宋体" w:hAnsi="宋体" w:eastAsia="宋体" w:cs="宋体"/>
          <w:color w:val="auto"/>
          <w:spacing w:val="-3"/>
          <w:sz w:val="24"/>
          <w:szCs w:val="24"/>
          <w:highlight w:val="none"/>
          <w:lang w:val="en-US" w:eastAsia="zh-CN"/>
        </w:rPr>
        <w:t>8个，以及市政府机房－东江湖大数据中心4条10G聚合电路</w:t>
      </w:r>
      <w:r>
        <w:rPr>
          <w:rFonts w:hint="default" w:ascii="宋体" w:hAnsi="宋体" w:eastAsia="宋体" w:cs="宋体"/>
          <w:color w:val="auto"/>
          <w:spacing w:val="-3"/>
          <w:sz w:val="24"/>
          <w:szCs w:val="24"/>
          <w:highlight w:val="none"/>
          <w:lang w:val="en-US" w:eastAsia="zh-CN"/>
        </w:rPr>
        <w:t>。</w:t>
      </w:r>
    </w:p>
    <w:p w14:paraId="5C02C249">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市机关事务管理局</w:t>
      </w:r>
    </w:p>
    <w:p w14:paraId="10211012">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default"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视频专网至</w:t>
      </w:r>
      <w:r>
        <w:rPr>
          <w:rFonts w:hint="eastAsia" w:ascii="宋体" w:hAnsi="宋体" w:eastAsia="宋体" w:cs="宋体"/>
          <w:color w:val="auto"/>
          <w:spacing w:val="-3"/>
          <w:sz w:val="24"/>
          <w:szCs w:val="24"/>
          <w:highlight w:val="none"/>
        </w:rPr>
        <w:t>市政府办公大楼消防监控中心</w:t>
      </w:r>
      <w:r>
        <w:rPr>
          <w:rFonts w:ascii="宋体" w:hAnsi="宋体" w:eastAsia="宋体" w:cs="宋体"/>
          <w:color w:val="auto"/>
          <w:spacing w:val="-3"/>
          <w:sz w:val="24"/>
          <w:szCs w:val="24"/>
          <w:highlight w:val="none"/>
        </w:rPr>
        <w:t>链路需求为</w:t>
      </w:r>
      <w:r>
        <w:rPr>
          <w:rFonts w:hint="eastAsia" w:ascii="宋体" w:hAnsi="宋体" w:eastAsia="宋体" w:cs="宋体"/>
          <w:color w:val="auto"/>
          <w:spacing w:val="-3"/>
          <w:sz w:val="24"/>
          <w:szCs w:val="24"/>
          <w:highlight w:val="none"/>
          <w:lang w:val="en-US" w:eastAsia="zh-CN"/>
        </w:rPr>
        <w:t>1</w:t>
      </w:r>
      <w:r>
        <w:rPr>
          <w:rFonts w:ascii="宋体" w:hAnsi="宋体" w:eastAsia="宋体" w:cs="宋体"/>
          <w:color w:val="auto"/>
          <w:spacing w:val="-3"/>
          <w:sz w:val="24"/>
          <w:szCs w:val="24"/>
          <w:highlight w:val="none"/>
        </w:rPr>
        <w:t>条裸纤。</w:t>
      </w:r>
    </w:p>
    <w:p w14:paraId="12FAECB9">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zh-CN" w:eastAsia="zh-CN" w:bidi="ar-SA"/>
        </w:rPr>
        <w:t>应急管理局视频监控</w:t>
      </w:r>
    </w:p>
    <w:p w14:paraId="75438B19">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应急管理局市应急平台核心</w:t>
      </w:r>
      <w:r>
        <w:rPr>
          <w:rFonts w:hint="eastAsia" w:ascii="宋体" w:hAnsi="宋体" w:eastAsia="宋体" w:cs="宋体"/>
          <w:color w:val="auto"/>
          <w:spacing w:val="-3"/>
          <w:sz w:val="24"/>
          <w:szCs w:val="24"/>
          <w:highlight w:val="none"/>
          <w:lang w:val="en-US" w:eastAsia="zh-CN"/>
        </w:rPr>
        <w:t>到视频专网核心交换机</w:t>
      </w:r>
      <w:r>
        <w:rPr>
          <w:rFonts w:ascii="宋体" w:hAnsi="宋体" w:eastAsia="宋体" w:cs="宋体"/>
          <w:color w:val="auto"/>
          <w:spacing w:val="-3"/>
          <w:sz w:val="24"/>
          <w:szCs w:val="24"/>
          <w:highlight w:val="none"/>
        </w:rPr>
        <w:t>需求为</w:t>
      </w:r>
      <w:r>
        <w:rPr>
          <w:rFonts w:hint="eastAsia" w:ascii="宋体" w:hAnsi="宋体" w:eastAsia="宋体" w:cs="宋体"/>
          <w:color w:val="auto"/>
          <w:spacing w:val="-3"/>
          <w:sz w:val="24"/>
          <w:szCs w:val="24"/>
          <w:highlight w:val="none"/>
          <w:lang w:val="en-US" w:eastAsia="zh-CN"/>
        </w:rPr>
        <w:t>2条双路由裸光纤链路</w:t>
      </w:r>
      <w:r>
        <w:rPr>
          <w:rFonts w:ascii="宋体" w:hAnsi="宋体" w:eastAsia="宋体" w:cs="宋体"/>
          <w:color w:val="auto"/>
          <w:spacing w:val="-3"/>
          <w:sz w:val="24"/>
          <w:szCs w:val="24"/>
          <w:highlight w:val="none"/>
        </w:rPr>
        <w:t>。</w:t>
      </w:r>
    </w:p>
    <w:p w14:paraId="11DBA233">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ascii="Arial" w:hAnsi="Arial" w:eastAsia="黑体" w:cs="宋体"/>
          <w:b/>
          <w:bCs/>
          <w:color w:val="auto"/>
          <w:kern w:val="2"/>
          <w:sz w:val="24"/>
          <w:szCs w:val="24"/>
          <w:highlight w:val="none"/>
          <w:lang w:val="zh-CN" w:eastAsia="zh-CN" w:bidi="ar-SA"/>
        </w:rPr>
        <w:t>交通</w:t>
      </w:r>
      <w:r>
        <w:rPr>
          <w:rFonts w:hint="eastAsia" w:ascii="Arial" w:hAnsi="Arial" w:eastAsia="黑体" w:cs="宋体"/>
          <w:b/>
          <w:bCs/>
          <w:color w:val="auto"/>
          <w:kern w:val="2"/>
          <w:sz w:val="24"/>
          <w:szCs w:val="24"/>
          <w:highlight w:val="none"/>
          <w:lang w:val="en-US" w:eastAsia="zh-CN" w:bidi="ar-SA"/>
        </w:rPr>
        <w:t>运输局</w:t>
      </w:r>
      <w:r>
        <w:rPr>
          <w:rFonts w:ascii="Arial" w:hAnsi="Arial" w:eastAsia="黑体" w:cs="宋体"/>
          <w:b/>
          <w:bCs/>
          <w:color w:val="auto"/>
          <w:kern w:val="2"/>
          <w:sz w:val="24"/>
          <w:szCs w:val="24"/>
          <w:highlight w:val="none"/>
          <w:lang w:val="zh-CN" w:eastAsia="zh-CN" w:bidi="ar-SA"/>
        </w:rPr>
        <w:t>执法支队监控</w:t>
      </w:r>
    </w:p>
    <w:p w14:paraId="373CEDB2">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执法支队监控需求为</w:t>
      </w:r>
      <w:r>
        <w:rPr>
          <w:rFonts w:hint="eastAsia" w:ascii="宋体" w:hAnsi="宋体" w:eastAsia="宋体" w:cs="宋体"/>
          <w:color w:val="auto"/>
          <w:spacing w:val="-3"/>
          <w:sz w:val="24"/>
          <w:szCs w:val="24"/>
          <w:highlight w:val="none"/>
          <w:lang w:val="en-US" w:eastAsia="zh-CN"/>
        </w:rPr>
        <w:t>6</w:t>
      </w:r>
      <w:r>
        <w:rPr>
          <w:rFonts w:ascii="宋体" w:hAnsi="宋体" w:eastAsia="宋体" w:cs="宋体"/>
          <w:color w:val="auto"/>
          <w:spacing w:val="-3"/>
          <w:sz w:val="24"/>
          <w:szCs w:val="24"/>
          <w:highlight w:val="none"/>
        </w:rPr>
        <w:t>条10M电路。</w:t>
      </w:r>
    </w:p>
    <w:p w14:paraId="5BD15339">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市</w:t>
      </w:r>
      <w:r>
        <w:rPr>
          <w:rFonts w:ascii="Arial" w:hAnsi="Arial" w:eastAsia="黑体" w:cs="宋体"/>
          <w:b/>
          <w:bCs/>
          <w:color w:val="auto"/>
          <w:kern w:val="2"/>
          <w:sz w:val="24"/>
          <w:szCs w:val="24"/>
          <w:highlight w:val="none"/>
          <w:lang w:val="zh-CN" w:eastAsia="zh-CN" w:bidi="ar-SA"/>
        </w:rPr>
        <w:t>水利局</w:t>
      </w:r>
    </w:p>
    <w:p w14:paraId="597D612B">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汇聚层需求</w:t>
      </w:r>
    </w:p>
    <w:p w14:paraId="66676FC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水利局</w:t>
      </w:r>
      <w:r>
        <w:rPr>
          <w:rFonts w:hint="eastAsia" w:ascii="宋体" w:hAnsi="宋体" w:eastAsia="宋体" w:cs="宋体"/>
          <w:color w:val="auto"/>
          <w:sz w:val="24"/>
          <w:szCs w:val="24"/>
          <w:highlight w:val="none"/>
          <w:lang w:val="en-US" w:eastAsia="zh-CN"/>
        </w:rPr>
        <w:t>到视频专网核心交换机1条裸光纤链路</w:t>
      </w:r>
      <w:r>
        <w:rPr>
          <w:rFonts w:hint="eastAsia" w:ascii="Times New Roman" w:hAnsi="宋体" w:eastAsia="宋体" w:cs="宋体"/>
          <w:color w:val="auto"/>
          <w:sz w:val="24"/>
          <w:szCs w:val="24"/>
          <w:highlight w:val="none"/>
          <w:lang w:val="en-US" w:eastAsia="zh-CN"/>
        </w:rPr>
        <w:t>。</w:t>
      </w:r>
    </w:p>
    <w:p w14:paraId="1C48D100">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数</w:t>
      </w:r>
      <w:r>
        <w:rPr>
          <w:rFonts w:hint="eastAsia" w:ascii="Arial" w:hAnsi="Arial" w:eastAsia="黑体" w:cs="宋体"/>
          <w:b/>
          <w:bCs/>
          <w:color w:val="auto"/>
          <w:kern w:val="2"/>
          <w:sz w:val="24"/>
          <w:szCs w:val="24"/>
          <w:highlight w:val="none"/>
          <w:lang w:val="en-US" w:eastAsia="zh-CN" w:bidi="ar-SA"/>
        </w:rPr>
        <w:t>字水利监控8条</w:t>
      </w:r>
    </w:p>
    <w:p w14:paraId="7F7F922D">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数字水利监控链路需求为</w:t>
      </w:r>
      <w:r>
        <w:rPr>
          <w:rFonts w:hint="eastAsia" w:ascii="宋体" w:hAnsi="宋体" w:eastAsia="宋体" w:cs="宋体"/>
          <w:color w:val="auto"/>
          <w:spacing w:val="-3"/>
          <w:sz w:val="24"/>
          <w:szCs w:val="24"/>
          <w:highlight w:val="none"/>
          <w:lang w:val="en-US" w:eastAsia="zh-CN"/>
        </w:rPr>
        <w:t>8</w:t>
      </w:r>
      <w:r>
        <w:rPr>
          <w:rFonts w:ascii="宋体" w:hAnsi="宋体" w:eastAsia="宋体" w:cs="宋体"/>
          <w:color w:val="auto"/>
          <w:spacing w:val="-3"/>
          <w:sz w:val="24"/>
          <w:szCs w:val="24"/>
          <w:highlight w:val="none"/>
        </w:rPr>
        <w:t>条，</w:t>
      </w:r>
      <w:r>
        <w:rPr>
          <w:rFonts w:hint="eastAsia" w:ascii="宋体" w:hAnsi="宋体" w:eastAsia="宋体" w:cs="宋体"/>
          <w:color w:val="auto"/>
          <w:spacing w:val="-3"/>
          <w:sz w:val="24"/>
          <w:szCs w:val="24"/>
          <w:highlight w:val="none"/>
          <w:lang w:val="en-US" w:eastAsia="zh-CN"/>
        </w:rPr>
        <w:t>分别</w:t>
      </w:r>
      <w:r>
        <w:rPr>
          <w:rFonts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7</w:t>
      </w:r>
      <w:r>
        <w:rPr>
          <w:rFonts w:ascii="宋体" w:hAnsi="宋体" w:eastAsia="宋体" w:cs="宋体"/>
          <w:color w:val="auto"/>
          <w:spacing w:val="-3"/>
          <w:sz w:val="24"/>
          <w:szCs w:val="24"/>
          <w:highlight w:val="none"/>
        </w:rPr>
        <w:t>条10M电路</w:t>
      </w:r>
      <w:r>
        <w:rPr>
          <w:rFonts w:hint="eastAsia" w:ascii="宋体" w:hAnsi="宋体" w:eastAsia="宋体" w:cs="宋体"/>
          <w:color w:val="auto"/>
          <w:spacing w:val="-3"/>
          <w:sz w:val="24"/>
          <w:szCs w:val="24"/>
          <w:highlight w:val="none"/>
          <w:lang w:eastAsia="zh-CN"/>
        </w:rPr>
        <w:t>和1条200M汇聚电路</w:t>
      </w:r>
      <w:r>
        <w:rPr>
          <w:rFonts w:ascii="宋体" w:hAnsi="宋体" w:eastAsia="宋体" w:cs="宋体"/>
          <w:color w:val="auto"/>
          <w:spacing w:val="-3"/>
          <w:sz w:val="24"/>
          <w:szCs w:val="24"/>
          <w:highlight w:val="none"/>
        </w:rPr>
        <w:t>。</w:t>
      </w:r>
    </w:p>
    <w:p w14:paraId="51E3AC00">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郴州市水</w:t>
      </w:r>
      <w:r>
        <w:rPr>
          <w:rFonts w:hint="eastAsia" w:ascii="Arial" w:hAnsi="Arial" w:eastAsia="黑体" w:cs="宋体"/>
          <w:b/>
          <w:bCs/>
          <w:color w:val="auto"/>
          <w:kern w:val="2"/>
          <w:sz w:val="24"/>
          <w:szCs w:val="24"/>
          <w:highlight w:val="none"/>
          <w:lang w:val="en-US" w:eastAsia="zh-CN" w:bidi="ar-SA"/>
        </w:rPr>
        <w:t>利局河湖监控100条</w:t>
      </w:r>
    </w:p>
    <w:p w14:paraId="374BF487">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郴州市水利局河湖监控100条20M电路。</w:t>
      </w:r>
    </w:p>
    <w:p w14:paraId="428E8D78">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水情监测设施18条</w:t>
      </w:r>
    </w:p>
    <w:p w14:paraId="3C2B08F9">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水情监测设施18条</w:t>
      </w:r>
      <w:r>
        <w:rPr>
          <w:rFonts w:ascii="宋体" w:hAnsi="宋体" w:eastAsia="宋体" w:cs="宋体"/>
          <w:color w:val="auto"/>
          <w:spacing w:val="-3"/>
          <w:sz w:val="24"/>
          <w:szCs w:val="24"/>
          <w:highlight w:val="none"/>
        </w:rPr>
        <w:t>20M电路。</w:t>
      </w:r>
    </w:p>
    <w:p w14:paraId="0C1EBF63">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郴州市水利局汇聚1条</w:t>
      </w:r>
    </w:p>
    <w:p w14:paraId="4095597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郴州市水利局</w:t>
      </w:r>
      <w:r>
        <w:rPr>
          <w:rFonts w:hint="eastAsia" w:ascii="宋体" w:hAnsi="宋体" w:eastAsia="宋体" w:cs="宋体"/>
          <w:color w:val="auto"/>
          <w:spacing w:val="-3"/>
          <w:sz w:val="24"/>
          <w:szCs w:val="24"/>
          <w:highlight w:val="none"/>
        </w:rPr>
        <w:t>视频专网汇聚层：</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rPr>
        <w:t>条裸光纤。</w:t>
      </w:r>
    </w:p>
    <w:p w14:paraId="4A1CFBC0">
      <w:pPr>
        <w:keepNext/>
        <w:keepLines/>
        <w:widowControl/>
        <w:numPr>
          <w:ilvl w:val="1"/>
          <w:numId w:val="7"/>
        </w:numPr>
        <w:bidi w:val="0"/>
        <w:spacing w:before="50" w:beforeLines="50" w:after="50" w:afterLines="50" w:line="360" w:lineRule="auto"/>
        <w:ind w:left="851" w:leftChars="0" w:hanging="851" w:firstLineChars="0"/>
        <w:jc w:val="both"/>
        <w:outlineLvl w:val="1"/>
        <w:rPr>
          <w:rFonts w:ascii="Times New Roman" w:hAnsi="Times New Roman" w:eastAsia="黑体" w:cs="宋体"/>
          <w:b/>
          <w:bCs/>
          <w:color w:val="auto"/>
          <w:kern w:val="2"/>
          <w:sz w:val="24"/>
          <w:szCs w:val="24"/>
          <w:highlight w:val="none"/>
          <w:lang w:val="zh-CN" w:eastAsia="zh-CN" w:bidi="ar-SA"/>
        </w:rPr>
      </w:pPr>
      <w:bookmarkStart w:id="168" w:name="bookmark42"/>
      <w:bookmarkEnd w:id="168"/>
      <w:bookmarkStart w:id="169" w:name="bookmark41"/>
      <w:bookmarkEnd w:id="169"/>
      <w:bookmarkStart w:id="170" w:name="_Toc2223"/>
      <w:r>
        <w:rPr>
          <w:rFonts w:ascii="Times New Roman" w:hAnsi="Times New Roman" w:eastAsia="黑体" w:cs="宋体"/>
          <w:b/>
          <w:bCs/>
          <w:color w:val="auto"/>
          <w:kern w:val="2"/>
          <w:sz w:val="24"/>
          <w:szCs w:val="24"/>
          <w:highlight w:val="none"/>
          <w:lang w:val="zh-CN" w:eastAsia="zh-CN" w:bidi="ar-SA"/>
        </w:rPr>
        <w:t>传输带宽确认</w:t>
      </w:r>
      <w:bookmarkEnd w:id="170"/>
    </w:p>
    <w:p w14:paraId="3637EABF">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71" w:name="bookmark105"/>
      <w:bookmarkEnd w:id="171"/>
      <w:r>
        <w:rPr>
          <w:rFonts w:ascii="Arial" w:hAnsi="Arial" w:eastAsia="黑体" w:cs="宋体"/>
          <w:b/>
          <w:bCs/>
          <w:color w:val="auto"/>
          <w:kern w:val="2"/>
          <w:sz w:val="24"/>
          <w:szCs w:val="24"/>
          <w:highlight w:val="none"/>
          <w:lang w:val="zh-CN" w:eastAsia="zh-CN" w:bidi="ar-SA"/>
        </w:rPr>
        <w:t>传输带宽提速需求</w:t>
      </w:r>
    </w:p>
    <w:p w14:paraId="66E6FF31">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以智能天网监控接入需求为例，对传输带宽需求进行测算核实。智能天网监控前端点位有2866个点位，包括城郊、城市、各卡口需要接入传输链路。</w:t>
      </w:r>
    </w:p>
    <w:p w14:paraId="2C9229A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智能天网监控前端各点位因业务需求，每个点位均配置了</w:t>
      </w:r>
      <w:r>
        <w:rPr>
          <w:rFonts w:hint="eastAsia" w:ascii="宋体" w:hAnsi="宋体" w:eastAsia="宋体" w:cs="宋体"/>
          <w:color w:val="auto"/>
          <w:spacing w:val="-3"/>
          <w:sz w:val="24"/>
          <w:szCs w:val="24"/>
          <w:highlight w:val="none"/>
          <w:lang w:val="en-US" w:eastAsia="zh-CN"/>
        </w:rPr>
        <w:t>3～8</w:t>
      </w:r>
      <w:r>
        <w:rPr>
          <w:rFonts w:ascii="宋体" w:hAnsi="宋体" w:eastAsia="宋体" w:cs="宋体"/>
          <w:color w:val="auto"/>
          <w:spacing w:val="-3"/>
          <w:sz w:val="24"/>
          <w:szCs w:val="24"/>
          <w:highlight w:val="none"/>
        </w:rPr>
        <w:t>个400W像素</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400W和800W像素</w:t>
      </w:r>
      <w:r>
        <w:rPr>
          <w:rFonts w:hint="eastAsia" w:ascii="宋体" w:hAnsi="宋体" w:eastAsia="宋体" w:cs="宋体"/>
          <w:color w:val="auto"/>
          <w:spacing w:val="-3"/>
          <w:sz w:val="24"/>
          <w:szCs w:val="24"/>
          <w:highlight w:val="none"/>
          <w:lang w:val="en-US" w:eastAsia="zh-CN"/>
        </w:rPr>
        <w:t>等不同的</w:t>
      </w:r>
      <w:r>
        <w:rPr>
          <w:rFonts w:ascii="宋体" w:hAnsi="宋体" w:eastAsia="宋体" w:cs="宋体"/>
          <w:color w:val="auto"/>
          <w:spacing w:val="-3"/>
          <w:sz w:val="24"/>
          <w:szCs w:val="24"/>
          <w:highlight w:val="none"/>
        </w:rPr>
        <w:t>摄像头，卡口处额外配置了900W像素摄像头，采用H</w:t>
      </w:r>
      <w:r>
        <w:rPr>
          <w:rFonts w:hint="eastAsia" w:ascii="宋体" w:hAnsi="宋体" w:eastAsia="宋体" w:cs="宋体"/>
          <w:color w:val="auto"/>
          <w:spacing w:val="-3"/>
          <w:sz w:val="24"/>
          <w:szCs w:val="24"/>
          <w:highlight w:val="none"/>
          <w:lang w:val="en-US" w:eastAsia="zh-CN"/>
        </w:rPr>
        <w:t>.</w:t>
      </w:r>
      <w:r>
        <w:rPr>
          <w:rFonts w:ascii="宋体" w:hAnsi="宋体" w:eastAsia="宋体" w:cs="宋体"/>
          <w:color w:val="auto"/>
          <w:spacing w:val="-3"/>
          <w:sz w:val="24"/>
          <w:szCs w:val="24"/>
          <w:highlight w:val="none"/>
        </w:rPr>
        <w:t>26</w:t>
      </w:r>
      <w:r>
        <w:rPr>
          <w:rFonts w:hint="eastAsia" w:ascii="宋体" w:hAnsi="宋体" w:eastAsia="宋体" w:cs="宋体"/>
          <w:color w:val="auto"/>
          <w:spacing w:val="-3"/>
          <w:sz w:val="24"/>
          <w:szCs w:val="24"/>
          <w:highlight w:val="none"/>
          <w:lang w:val="en-US" w:eastAsia="zh-CN"/>
        </w:rPr>
        <w:t>4和</w:t>
      </w:r>
      <w:r>
        <w:rPr>
          <w:rFonts w:ascii="宋体" w:hAnsi="宋体" w:eastAsia="宋体" w:cs="宋体"/>
          <w:color w:val="auto"/>
          <w:spacing w:val="-3"/>
          <w:sz w:val="24"/>
          <w:szCs w:val="24"/>
          <w:highlight w:val="none"/>
        </w:rPr>
        <w:t>H</w:t>
      </w:r>
      <w:r>
        <w:rPr>
          <w:rFonts w:hint="eastAsia" w:ascii="宋体" w:hAnsi="宋体" w:eastAsia="宋体" w:cs="宋体"/>
          <w:color w:val="auto"/>
          <w:spacing w:val="-3"/>
          <w:sz w:val="24"/>
          <w:szCs w:val="24"/>
          <w:highlight w:val="none"/>
          <w:lang w:val="en-US" w:eastAsia="zh-CN"/>
        </w:rPr>
        <w:t>.</w:t>
      </w:r>
      <w:r>
        <w:rPr>
          <w:rFonts w:ascii="宋体" w:hAnsi="宋体" w:eastAsia="宋体" w:cs="宋体"/>
          <w:color w:val="auto"/>
          <w:spacing w:val="-3"/>
          <w:sz w:val="24"/>
          <w:szCs w:val="24"/>
          <w:highlight w:val="none"/>
        </w:rPr>
        <w:t>26</w:t>
      </w:r>
      <w:r>
        <w:rPr>
          <w:rFonts w:hint="eastAsia" w:ascii="宋体" w:hAnsi="宋体" w:eastAsia="宋体" w:cs="宋体"/>
          <w:color w:val="auto"/>
          <w:spacing w:val="-3"/>
          <w:sz w:val="24"/>
          <w:szCs w:val="24"/>
          <w:highlight w:val="none"/>
          <w:lang w:val="en-US" w:eastAsia="zh-CN"/>
        </w:rPr>
        <w:t>4SVC两种</w:t>
      </w:r>
      <w:r>
        <w:rPr>
          <w:rFonts w:ascii="宋体" w:hAnsi="宋体" w:eastAsia="宋体" w:cs="宋体"/>
          <w:color w:val="auto"/>
          <w:spacing w:val="-3"/>
          <w:sz w:val="24"/>
          <w:szCs w:val="24"/>
          <w:highlight w:val="none"/>
        </w:rPr>
        <w:t>压缩方式。对摄像机图像传输到分局的视音频总码率的传输需求进行传输带宽测算。关系如下</w:t>
      </w:r>
      <w:r>
        <w:rPr>
          <w:rFonts w:hint="eastAsia" w:ascii="宋体" w:hAnsi="宋体" w:eastAsia="宋体" w:cs="宋体"/>
          <w:color w:val="auto"/>
          <w:spacing w:val="-3"/>
          <w:sz w:val="24"/>
          <w:szCs w:val="24"/>
          <w:highlight w:val="none"/>
          <w:lang w:val="en-US" w:eastAsia="zh-CN"/>
        </w:rPr>
        <w:t>表</w:t>
      </w:r>
      <w:r>
        <w:rPr>
          <w:rFonts w:ascii="宋体" w:hAnsi="宋体" w:eastAsia="宋体" w:cs="宋体"/>
          <w:color w:val="auto"/>
          <w:spacing w:val="-3"/>
          <w:sz w:val="24"/>
          <w:szCs w:val="24"/>
          <w:highlight w:val="none"/>
        </w:rPr>
        <w:t>：</w:t>
      </w:r>
    </w:p>
    <w:p w14:paraId="3799239E">
      <w:pPr>
        <w:spacing w:line="81" w:lineRule="exact"/>
        <w:ind w:firstLine="480" w:firstLineChars="200"/>
        <w:rPr>
          <w:rFonts w:ascii="宋体" w:hAnsi="宋体" w:eastAsia="宋体" w:cs="宋体"/>
          <w:color w:val="auto"/>
          <w:sz w:val="24"/>
          <w:szCs w:val="24"/>
          <w:highlight w:val="none"/>
        </w:rPr>
      </w:pPr>
    </w:p>
    <w:p w14:paraId="693D7E10">
      <w:pPr>
        <w:spacing w:before="126" w:line="219" w:lineRule="auto"/>
        <w:ind w:left="605" w:leftChars="0" w:firstLine="112" w:firstLineChars="47"/>
        <w:jc w:val="left"/>
        <w:rPr>
          <w:rFonts w:ascii="宋体" w:hAnsi="宋体" w:eastAsia="宋体" w:cs="宋体"/>
          <w:color w:val="auto"/>
          <w:spacing w:val="-5"/>
          <w:sz w:val="24"/>
          <w:szCs w:val="24"/>
          <w:highlight w:val="none"/>
        </w:rPr>
      </w:pPr>
      <w:r>
        <w:rPr>
          <w:rFonts w:ascii="宋体" w:hAnsi="宋体" w:eastAsia="宋体" w:cs="宋体"/>
          <w:color w:val="auto"/>
          <w:sz w:val="24"/>
          <w:szCs w:val="24"/>
          <w:highlight w:val="none"/>
        </w:rPr>
        <w:drawing>
          <wp:inline distT="0" distB="0" distL="114300" distR="114300">
            <wp:extent cx="5578475" cy="1297940"/>
            <wp:effectExtent l="0" t="0" r="3175" b="1651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24"/>
                    <a:stretch>
                      <a:fillRect/>
                    </a:stretch>
                  </pic:blipFill>
                  <pic:spPr>
                    <a:xfrm>
                      <a:off x="0" y="0"/>
                      <a:ext cx="5578475" cy="1297940"/>
                    </a:xfrm>
                    <a:prstGeom prst="rect">
                      <a:avLst/>
                    </a:prstGeom>
                    <a:noFill/>
                    <a:ln>
                      <a:noFill/>
                    </a:ln>
                  </pic:spPr>
                </pic:pic>
              </a:graphicData>
            </a:graphic>
          </wp:inline>
        </w:drawing>
      </w:r>
    </w:p>
    <w:p w14:paraId="0558637A">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说明</w:t>
      </w:r>
      <w:r>
        <w:rPr>
          <w:rFonts w:hint="eastAsia" w:ascii="宋体" w:hAnsi="宋体" w:eastAsia="宋体" w:cs="宋体"/>
          <w:color w:val="auto"/>
          <w:spacing w:val="-3"/>
          <w:sz w:val="24"/>
          <w:szCs w:val="24"/>
          <w:highlight w:val="none"/>
          <w:lang w:eastAsia="zh-CN"/>
        </w:rPr>
        <w:t>：</w:t>
      </w:r>
    </w:p>
    <w:p w14:paraId="4E0F54A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eastAsia="zh-CN"/>
        </w:rPr>
        <w:t>1.</w:t>
      </w:r>
      <w:r>
        <w:rPr>
          <w:rFonts w:hint="eastAsia" w:ascii="宋体" w:hAnsi="宋体" w:eastAsia="宋体" w:cs="宋体"/>
          <w:color w:val="auto"/>
          <w:spacing w:val="-3"/>
          <w:sz w:val="24"/>
          <w:szCs w:val="24"/>
          <w:highlight w:val="none"/>
        </w:rPr>
        <w:t>图像位深，每个像素所用的二进制位数。</w:t>
      </w:r>
    </w:p>
    <w:p w14:paraId="68593405">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eastAsia="zh-CN"/>
        </w:rPr>
        <w:t>2.</w:t>
      </w:r>
      <w:r>
        <w:rPr>
          <w:rFonts w:hint="eastAsia" w:ascii="宋体" w:hAnsi="宋体" w:eastAsia="宋体" w:cs="宋体"/>
          <w:color w:val="auto"/>
          <w:spacing w:val="-3"/>
          <w:sz w:val="24"/>
          <w:szCs w:val="24"/>
          <w:highlight w:val="none"/>
        </w:rPr>
        <w:t>单幅图像数据</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Mbit</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lang w:eastAsia="zh-CN"/>
        </w:rPr>
        <w:t>水平像</w:t>
      </w:r>
      <w:r>
        <w:rPr>
          <w:rFonts w:hint="eastAsia" w:ascii="宋体" w:hAnsi="宋体" w:eastAsia="宋体" w:cs="宋体"/>
          <w:color w:val="auto"/>
          <w:spacing w:val="-3"/>
          <w:sz w:val="24"/>
          <w:szCs w:val="24"/>
          <w:highlight w:val="none"/>
        </w:rPr>
        <w:t>数*垂直</w:t>
      </w:r>
      <w:r>
        <w:rPr>
          <w:rFonts w:hint="eastAsia" w:ascii="宋体" w:hAnsi="宋体" w:eastAsia="宋体" w:cs="宋体"/>
          <w:color w:val="auto"/>
          <w:spacing w:val="-3"/>
          <w:sz w:val="24"/>
          <w:szCs w:val="24"/>
          <w:highlight w:val="none"/>
          <w:lang w:eastAsia="zh-CN"/>
        </w:rPr>
        <w:t>像</w:t>
      </w:r>
      <w:r>
        <w:rPr>
          <w:rFonts w:hint="eastAsia" w:ascii="宋体" w:hAnsi="宋体" w:eastAsia="宋体" w:cs="宋体"/>
          <w:color w:val="auto"/>
          <w:spacing w:val="-3"/>
          <w:sz w:val="24"/>
          <w:szCs w:val="24"/>
          <w:highlight w:val="none"/>
        </w:rPr>
        <w:t>数*图像深/1024/1024。</w:t>
      </w:r>
    </w:p>
    <w:p w14:paraId="01000DD0">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eastAsia="zh-CN"/>
        </w:rPr>
        <w:t>3.</w:t>
      </w:r>
      <w:r>
        <w:rPr>
          <w:rFonts w:hint="eastAsia" w:ascii="宋体" w:hAnsi="宋体" w:eastAsia="宋体" w:cs="宋体"/>
          <w:color w:val="auto"/>
          <w:spacing w:val="-3"/>
          <w:sz w:val="24"/>
          <w:szCs w:val="24"/>
          <w:highlight w:val="none"/>
        </w:rPr>
        <w:t>帧率，视频每秒包含的多少幅静态图像，表示为fpsFrame/Sec</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或Hz帧都是全像素点位图。</w:t>
      </w:r>
    </w:p>
    <w:p w14:paraId="072DB6B0">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eastAsia="zh-CN"/>
        </w:rPr>
        <w:t>4.</w:t>
      </w:r>
      <w:r>
        <w:rPr>
          <w:rFonts w:hint="eastAsia" w:ascii="宋体" w:hAnsi="宋体" w:eastAsia="宋体" w:cs="宋体"/>
          <w:color w:val="auto"/>
          <w:spacing w:val="-3"/>
          <w:sz w:val="24"/>
          <w:szCs w:val="24"/>
          <w:highlight w:val="none"/>
        </w:rPr>
        <w:t>全帧码流，视频图像未经压缩处理时的视频数据，每</w:t>
      </w:r>
      <w:r>
        <w:rPr>
          <w:rFonts w:hint="eastAsia" w:ascii="宋体" w:hAnsi="宋体" w:eastAsia="宋体" w:cs="宋体"/>
          <w:color w:val="auto"/>
          <w:spacing w:val="-3"/>
          <w:sz w:val="24"/>
          <w:szCs w:val="24"/>
          <w:highlight w:val="none"/>
          <w:lang w:eastAsia="zh-CN"/>
        </w:rPr>
        <w:t>一帧</w:t>
      </w:r>
      <w:r>
        <w:rPr>
          <w:rFonts w:hint="eastAsia" w:ascii="宋体" w:hAnsi="宋体" w:eastAsia="宋体" w:cs="宋体"/>
          <w:color w:val="auto"/>
          <w:spacing w:val="-3"/>
          <w:sz w:val="24"/>
          <w:szCs w:val="24"/>
          <w:highlight w:val="none"/>
        </w:rPr>
        <w:t>是全像素点位图。</w:t>
      </w:r>
    </w:p>
    <w:p w14:paraId="4D664EFD">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eastAsia="zh-CN"/>
        </w:rPr>
        <w:t>5.</w:t>
      </w:r>
      <w:r>
        <w:rPr>
          <w:rFonts w:hint="eastAsia" w:ascii="宋体" w:hAnsi="宋体" w:eastAsia="宋体" w:cs="宋体"/>
          <w:color w:val="auto"/>
          <w:spacing w:val="-3"/>
          <w:sz w:val="24"/>
          <w:szCs w:val="24"/>
          <w:highlight w:val="none"/>
        </w:rPr>
        <w:t>压缩视频流，经过压缩处理后每秒视频数据流量，监控静态道路场景：H.264的压缩比 60:1～100:1</w:t>
      </w:r>
      <w:r>
        <w:rPr>
          <w:rFonts w:hint="eastAsia" w:ascii="宋体" w:hAnsi="宋体" w:eastAsia="宋体" w:cs="宋体"/>
          <w:color w:val="auto"/>
          <w:spacing w:val="-3"/>
          <w:sz w:val="24"/>
          <w:szCs w:val="24"/>
          <w:highlight w:val="none"/>
          <w:lang w:val="en-US" w:eastAsia="zh-CN"/>
        </w:rPr>
        <w:t>,</w:t>
      </w:r>
      <w:r>
        <w:rPr>
          <w:rFonts w:hint="eastAsia" w:ascii="宋体" w:hAnsi="宋体" w:eastAsia="宋体" w:cs="宋体"/>
          <w:color w:val="auto"/>
          <w:spacing w:val="-3"/>
          <w:sz w:val="24"/>
          <w:szCs w:val="24"/>
          <w:highlight w:val="none"/>
        </w:rPr>
        <w:t>人车流动剧烈场景H.264的压缩比：40:1～70:1</w:t>
      </w:r>
      <w:r>
        <w:rPr>
          <w:rFonts w:hint="eastAsia" w:ascii="宋体" w:hAnsi="宋体" w:eastAsia="宋体" w:cs="宋体"/>
          <w:color w:val="auto"/>
          <w:spacing w:val="-3"/>
          <w:sz w:val="24"/>
          <w:szCs w:val="24"/>
          <w:highlight w:val="none"/>
          <w:lang w:val="en-US" w:eastAsia="zh-CN"/>
        </w:rPr>
        <w:t>,为了实现分层可解码，编码约束增加，同等画质下</w:t>
      </w:r>
      <w:r>
        <w:rPr>
          <w:rFonts w:ascii="宋体" w:hAnsi="宋体" w:eastAsia="宋体" w:cs="宋体"/>
          <w:color w:val="auto"/>
          <w:spacing w:val="-3"/>
          <w:sz w:val="24"/>
          <w:szCs w:val="24"/>
          <w:highlight w:val="none"/>
        </w:rPr>
        <w:t>H</w:t>
      </w:r>
      <w:r>
        <w:rPr>
          <w:rFonts w:hint="eastAsia" w:ascii="宋体" w:hAnsi="宋体" w:eastAsia="宋体" w:cs="宋体"/>
          <w:color w:val="auto"/>
          <w:spacing w:val="-3"/>
          <w:sz w:val="24"/>
          <w:szCs w:val="24"/>
          <w:highlight w:val="none"/>
          <w:lang w:val="en-US" w:eastAsia="zh-CN"/>
        </w:rPr>
        <w:t>.</w:t>
      </w:r>
      <w:r>
        <w:rPr>
          <w:rFonts w:ascii="宋体" w:hAnsi="宋体" w:eastAsia="宋体" w:cs="宋体"/>
          <w:color w:val="auto"/>
          <w:spacing w:val="-3"/>
          <w:sz w:val="24"/>
          <w:szCs w:val="24"/>
          <w:highlight w:val="none"/>
        </w:rPr>
        <w:t>26</w:t>
      </w:r>
      <w:r>
        <w:rPr>
          <w:rFonts w:hint="eastAsia" w:ascii="宋体" w:hAnsi="宋体" w:eastAsia="宋体" w:cs="宋体"/>
          <w:color w:val="auto"/>
          <w:spacing w:val="-3"/>
          <w:sz w:val="24"/>
          <w:szCs w:val="24"/>
          <w:highlight w:val="none"/>
          <w:lang w:val="en-US" w:eastAsia="zh-CN"/>
        </w:rPr>
        <w:t>4SVC整体码率比普通 H.264 高出约 10%～18%</w:t>
      </w:r>
    </w:p>
    <w:p w14:paraId="0D64CD80">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eastAsia="zh-CN"/>
        </w:rPr>
        <w:t>6.</w:t>
      </w:r>
      <w:r>
        <w:rPr>
          <w:rFonts w:hint="eastAsia" w:ascii="宋体" w:hAnsi="宋体" w:eastAsia="宋体" w:cs="宋体"/>
          <w:color w:val="auto"/>
          <w:spacing w:val="-3"/>
          <w:sz w:val="24"/>
          <w:szCs w:val="24"/>
          <w:highlight w:val="none"/>
        </w:rPr>
        <w:t>网络带宽，考虑以太网利用率和IP数据包结构，视频所需网络带宽=压缩视频数据*1.3</w:t>
      </w:r>
    </w:p>
    <w:p w14:paraId="6370635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eastAsia="zh-CN"/>
        </w:rPr>
        <w:t>7.</w:t>
      </w:r>
      <w:r>
        <w:rPr>
          <w:rFonts w:hint="eastAsia" w:ascii="宋体" w:hAnsi="宋体" w:eastAsia="宋体" w:cs="宋体"/>
          <w:color w:val="auto"/>
          <w:spacing w:val="-3"/>
          <w:sz w:val="24"/>
          <w:szCs w:val="24"/>
          <w:highlight w:val="none"/>
        </w:rPr>
        <w:t>存储量</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视频压缩数据在硬盘等设备中占用的存储空间。注意</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硬</w:t>
      </w:r>
      <w:r>
        <w:rPr>
          <w:rFonts w:hint="eastAsia" w:ascii="宋体" w:hAnsi="宋体" w:eastAsia="宋体" w:cs="宋体"/>
          <w:color w:val="auto"/>
          <w:spacing w:val="-3"/>
          <w:sz w:val="24"/>
          <w:szCs w:val="24"/>
          <w:highlight w:val="none"/>
          <w:lang w:val="en-US" w:eastAsia="zh-CN"/>
        </w:rPr>
        <w:t>盘</w:t>
      </w:r>
      <w:r>
        <w:rPr>
          <w:rFonts w:hint="eastAsia" w:ascii="宋体" w:hAnsi="宋体" w:eastAsia="宋体" w:cs="宋体"/>
          <w:color w:val="auto"/>
          <w:spacing w:val="-3"/>
          <w:sz w:val="24"/>
          <w:szCs w:val="24"/>
          <w:highlight w:val="none"/>
        </w:rPr>
        <w:t>实际存储容量</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硬盘标称容量*0,9。</w:t>
      </w:r>
    </w:p>
    <w:p w14:paraId="63E235A0">
      <w:pPr>
        <w:keepNext w:val="0"/>
        <w:keepLines w:val="0"/>
        <w:pageBreakBefore w:val="0"/>
        <w:widowControl w:val="0"/>
        <w:kinsoku/>
        <w:wordWrap/>
        <w:overflowPunct/>
        <w:topLinePunct w:val="0"/>
        <w:autoSpaceDE/>
        <w:autoSpaceDN/>
        <w:bidi w:val="0"/>
        <w:adjustRightInd/>
        <w:snapToGrid/>
        <w:spacing w:line="377" w:lineRule="auto"/>
        <w:ind w:right="0" w:firstLine="480" w:firstLineChars="200"/>
        <w:jc w:val="both"/>
        <w:textAlignment w:val="auto"/>
        <w:rPr>
          <w:rFonts w:ascii="宋体" w:hAnsi="宋体" w:eastAsia="宋体" w:cs="宋体"/>
          <w:color w:val="auto"/>
          <w:sz w:val="24"/>
          <w:szCs w:val="24"/>
          <w:highlight w:val="none"/>
        </w:rPr>
      </w:pPr>
    </w:p>
    <w:p w14:paraId="4D050FA6">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72" w:name="bookmark43"/>
      <w:bookmarkEnd w:id="172"/>
      <w:r>
        <w:rPr>
          <w:rFonts w:ascii="Arial" w:hAnsi="Arial" w:eastAsia="黑体" w:cs="宋体"/>
          <w:b/>
          <w:bCs/>
          <w:color w:val="auto"/>
          <w:kern w:val="2"/>
          <w:sz w:val="24"/>
          <w:szCs w:val="24"/>
          <w:highlight w:val="none"/>
          <w:lang w:val="zh-CN" w:eastAsia="zh-CN" w:bidi="ar-SA"/>
        </w:rPr>
        <w:t>传输带宽测算</w:t>
      </w:r>
    </w:p>
    <w:p w14:paraId="61C1BFE5">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传输线路互联时，考虑到网络传输过程</w:t>
      </w:r>
      <w:r>
        <w:rPr>
          <w:rFonts w:hint="eastAsia" w:ascii="宋体" w:hAnsi="宋体" w:eastAsia="宋体" w:cs="宋体"/>
          <w:color w:val="auto"/>
          <w:spacing w:val="-3"/>
          <w:sz w:val="24"/>
          <w:szCs w:val="24"/>
          <w:highlight w:val="none"/>
          <w:lang w:eastAsia="zh-CN"/>
        </w:rPr>
        <w:t>及其他</w:t>
      </w:r>
      <w:r>
        <w:rPr>
          <w:rFonts w:ascii="宋体" w:hAnsi="宋体" w:eastAsia="宋体" w:cs="宋体"/>
          <w:color w:val="auto"/>
          <w:spacing w:val="-3"/>
          <w:sz w:val="24"/>
          <w:szCs w:val="24"/>
          <w:highlight w:val="none"/>
        </w:rPr>
        <w:t>应用的开销，链路的可用带宽（B）为理论带宽（C）的70%左右（可用带宽70%计算说明：二层数据帧在传输的过程中会占用近30%网络带宽开销，为应对突发数据量和缓解网络带宽满负荷运行预留40%带宽）。</w:t>
      </w:r>
    </w:p>
    <w:p w14:paraId="31C8F6C1">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带宽计算：</w:t>
      </w:r>
    </w:p>
    <w:p w14:paraId="2B7EBEE0">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理论带宽C=视音频总码率/30%</w:t>
      </w:r>
    </w:p>
    <w:p w14:paraId="30E29015">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可靠带宽A=理论带宽*30%</w:t>
      </w:r>
    </w:p>
    <w:p w14:paraId="29F886A3">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可用带宽B=理论带宽*70%</w:t>
      </w:r>
    </w:p>
    <w:p w14:paraId="72EDE824">
      <w:pPr>
        <w:spacing w:before="241" w:line="2781" w:lineRule="exact"/>
        <w:ind w:firstLine="480" w:firstLineChars="200"/>
        <w:rPr>
          <w:rFonts w:ascii="宋体" w:hAnsi="宋体" w:eastAsia="宋体" w:cs="宋体"/>
          <w:color w:val="auto"/>
          <w:sz w:val="24"/>
          <w:szCs w:val="24"/>
          <w:highlight w:val="none"/>
        </w:rPr>
      </w:pPr>
      <w:r>
        <w:rPr>
          <w:rFonts w:ascii="宋体" w:hAnsi="宋体" w:eastAsia="宋体" w:cs="宋体"/>
          <w:color w:val="auto"/>
          <w:position w:val="-55"/>
          <w:sz w:val="24"/>
          <w:szCs w:val="24"/>
          <w:highlight w:val="none"/>
        </w:rPr>
        <w:drawing>
          <wp:inline distT="0" distB="0" distL="114300" distR="114300">
            <wp:extent cx="5483860" cy="1765935"/>
            <wp:effectExtent l="0" t="0" r="2540" b="5715"/>
            <wp:docPr id="49" name="图片 15"/>
            <wp:cNvGraphicFramePr/>
            <a:graphic xmlns:a="http://schemas.openxmlformats.org/drawingml/2006/main">
              <a:graphicData uri="http://schemas.openxmlformats.org/drawingml/2006/picture">
                <pic:pic xmlns:pic="http://schemas.openxmlformats.org/drawingml/2006/picture">
                  <pic:nvPicPr>
                    <pic:cNvPr id="49" name="图片 15"/>
                    <pic:cNvPicPr/>
                  </pic:nvPicPr>
                  <pic:blipFill>
                    <a:blip r:embed="rId25"/>
                    <a:stretch>
                      <a:fillRect/>
                    </a:stretch>
                  </pic:blipFill>
                  <pic:spPr>
                    <a:xfrm>
                      <a:off x="0" y="0"/>
                      <a:ext cx="5483860" cy="1765935"/>
                    </a:xfrm>
                    <a:prstGeom prst="rect">
                      <a:avLst/>
                    </a:prstGeom>
                    <a:noFill/>
                    <a:ln>
                      <a:noFill/>
                    </a:ln>
                  </pic:spPr>
                </pic:pic>
              </a:graphicData>
            </a:graphic>
          </wp:inline>
        </w:drawing>
      </w:r>
    </w:p>
    <w:p w14:paraId="54748EB3">
      <w:pPr>
        <w:spacing w:before="78" w:line="327" w:lineRule="exact"/>
        <w:ind w:left="3407" w:firstLine="452" w:firstLineChars="200"/>
        <w:rPr>
          <w:rFonts w:ascii="宋体" w:hAnsi="宋体" w:eastAsia="宋体" w:cs="宋体"/>
          <w:color w:val="auto"/>
          <w:sz w:val="24"/>
          <w:szCs w:val="24"/>
          <w:highlight w:val="none"/>
        </w:rPr>
      </w:pPr>
      <w:r>
        <w:rPr>
          <w:rFonts w:ascii="宋体" w:hAnsi="宋体" w:eastAsia="宋体" w:cs="宋体"/>
          <w:color w:val="auto"/>
          <w:spacing w:val="-7"/>
          <w:position w:val="1"/>
          <w:sz w:val="24"/>
          <w:szCs w:val="24"/>
          <w:highlight w:val="none"/>
        </w:rPr>
        <w:t>图9带宽示意图</w:t>
      </w:r>
    </w:p>
    <w:p w14:paraId="0B0AC7BF">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1.视音频总码率≤A：图像传输稳定、流畅，延时最小；</w:t>
      </w:r>
    </w:p>
    <w:p w14:paraId="22831A36">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2.视音频总码率≤B：通过扩大接收端的缓冲区容量，可确保图像传输基本稳定、流畅，偶尔出现短暂的卡顿，延时相应增大；</w:t>
      </w:r>
    </w:p>
    <w:p w14:paraId="08A000C0">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3.视音频总码率≤C：即便增加客户端缓冲区容量，图像传输也会出现经常性的卡顿、丢帧现象，甚至长时间不响应，延时较大；</w:t>
      </w:r>
    </w:p>
    <w:p w14:paraId="7883107F">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4.视音频总码率＞C：网络链路基本不可用。</w:t>
      </w:r>
    </w:p>
    <w:p w14:paraId="6D27231D">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前端点位带宽需求根据摄像机图像传输到分局的视音频总码率的传输需求测算传输带宽。</w:t>
      </w:r>
    </w:p>
    <w:p w14:paraId="582B0709">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单路视音频码率计算所需带宽为：</w:t>
      </w:r>
    </w:p>
    <w:p w14:paraId="04B036A8">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单路200W像素视频按4Mbps码率计算，所需带宽为：4Mbps÷0.3≈13.4Mbps。</w:t>
      </w:r>
    </w:p>
    <w:p w14:paraId="3FA7F50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单路400W像素视频按6Mbps码率计算，所需带宽为：6Mbps÷0.3=20Mbps</w:t>
      </w:r>
    </w:p>
    <w:p w14:paraId="57DA0143">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单路800W像素及以上视频按12Mbps码率计算，所需带宽为：12Mbps÷0.3=40Mbps。</w:t>
      </w:r>
    </w:p>
    <w:p w14:paraId="5BEBBFF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单路900W像素及以上视频按14Mbps码率计算，所需带宽为：14Mbps÷0.3≈46.7Mbps。</w:t>
      </w:r>
    </w:p>
    <w:p w14:paraId="21B798A0">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单路900W像素抓拍摄像机按每秒4张照片并上传（一个摄像机拍2车道，每个车道拍2张），每张照片大小约为0.5MB，所需带宽为：0.5M*8*4=16Mbps。</w:t>
      </w:r>
    </w:p>
    <w:p w14:paraId="4DDFDBEF">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根据点位基础业务情况，带宽需求选择如下：</w:t>
      </w:r>
    </w:p>
    <w:p w14:paraId="5020A5E0">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城郊地区：一杆安装2个400W像素摄像机，带宽需求是20M*2=40M，带宽链路需租用50M。</w:t>
      </w:r>
    </w:p>
    <w:p w14:paraId="2526E76C">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城市地区：一杆安装2个400W像素摄像机和1个800W像素摄像机，带宽需求是20M*2+40M=80M，带宽链路需租用100M。</w:t>
      </w:r>
    </w:p>
    <w:p w14:paraId="35629EE9">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卡口区域：一杆安装1个400W像素摄像机、1个900W像素摄像机和1个900W像素抓拍摄像机，带宽需求是20M+46.7M+16M=82.7M，带宽链路需租用100M。</w:t>
      </w:r>
    </w:p>
    <w:p w14:paraId="18E30051">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按照智能天网监控点位实际业务需求对链路带宽进行测算，链路需求符合实际业务需要，合理租用带宽，没有造成资源浪费。</w:t>
      </w:r>
    </w:p>
    <w:p w14:paraId="2C413D6D">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73" w:name="bookmark44"/>
      <w:bookmarkEnd w:id="173"/>
      <w:r>
        <w:rPr>
          <w:rFonts w:ascii="Arial" w:hAnsi="Arial" w:eastAsia="黑体" w:cs="宋体"/>
          <w:b/>
          <w:bCs/>
          <w:color w:val="auto"/>
          <w:kern w:val="2"/>
          <w:sz w:val="24"/>
          <w:szCs w:val="24"/>
          <w:highlight w:val="none"/>
          <w:lang w:val="zh-CN" w:eastAsia="zh-CN" w:bidi="ar-SA"/>
        </w:rPr>
        <w:t>详细网络带宽需求</w:t>
      </w:r>
    </w:p>
    <w:p w14:paraId="5F5FC26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default" w:ascii="宋体" w:hAnsi="宋体" w:eastAsia="宋体" w:cs="宋体"/>
          <w:color w:val="auto"/>
          <w:spacing w:val="-3"/>
          <w:sz w:val="24"/>
          <w:szCs w:val="24"/>
          <w:highlight w:val="none"/>
          <w:lang w:val="en-US" w:eastAsia="zh-CN"/>
        </w:rPr>
      </w:pPr>
      <w:r>
        <w:rPr>
          <w:rFonts w:ascii="宋体" w:hAnsi="宋体" w:eastAsia="宋体" w:cs="宋体"/>
          <w:color w:val="auto"/>
          <w:spacing w:val="-3"/>
          <w:sz w:val="24"/>
          <w:szCs w:val="24"/>
          <w:highlight w:val="none"/>
        </w:rPr>
        <w:t>智能天网监控城郊地区采用50M传输带宽设计，城区地区、卡口区域采用100M传输带宽设计。</w:t>
      </w:r>
      <w:r>
        <w:rPr>
          <w:rFonts w:hint="eastAsia" w:ascii="宋体" w:hAnsi="宋体" w:eastAsia="宋体" w:cs="宋体"/>
          <w:color w:val="auto"/>
          <w:spacing w:val="-3"/>
          <w:sz w:val="24"/>
          <w:szCs w:val="24"/>
          <w:highlight w:val="none"/>
          <w:lang w:val="en-US" w:eastAsia="zh-CN"/>
        </w:rPr>
        <w:t>具体如下表：</w:t>
      </w:r>
    </w:p>
    <w:p w14:paraId="7E6EE4BC">
      <w:pPr>
        <w:spacing w:line="81" w:lineRule="exact"/>
        <w:ind w:firstLine="480" w:firstLineChars="200"/>
        <w:rPr>
          <w:rFonts w:ascii="宋体" w:hAnsi="宋体" w:eastAsia="宋体" w:cs="宋体"/>
          <w:color w:val="auto"/>
          <w:sz w:val="24"/>
          <w:szCs w:val="24"/>
          <w:highlight w:val="none"/>
        </w:rPr>
      </w:pPr>
    </w:p>
    <w:tbl>
      <w:tblPr>
        <w:tblStyle w:val="246"/>
        <w:tblW w:w="830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63"/>
        <w:gridCol w:w="1658"/>
        <w:gridCol w:w="1658"/>
        <w:gridCol w:w="1658"/>
        <w:gridCol w:w="1663"/>
      </w:tblGrid>
      <w:tr w14:paraId="33249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663" w:type="dxa"/>
            <w:shd w:val="clear" w:color="auto" w:fill="A5A5A5"/>
            <w:noWrap w:val="0"/>
            <w:vAlign w:val="top"/>
          </w:tcPr>
          <w:p w14:paraId="6C149B85">
            <w:pPr>
              <w:widowControl w:val="0"/>
              <w:spacing w:before="49" w:line="211" w:lineRule="auto"/>
              <w:ind w:left="596"/>
              <w:rPr>
                <w:rFonts w:ascii="Arial" w:hAnsi="Arial" w:eastAsia="宋体" w:cs="Times New Roman"/>
                <w:color w:val="auto"/>
                <w:sz w:val="24"/>
                <w:szCs w:val="24"/>
                <w:highlight w:val="none"/>
                <w:lang w:val="en-US" w:eastAsia="zh-CN" w:bidi="ar-SA"/>
              </w:rPr>
            </w:pPr>
            <w:r>
              <w:rPr>
                <w:rFonts w:ascii="Arial" w:hAnsi="Arial" w:eastAsia="宋体" w:cs="Times New Roman"/>
                <w:b/>
                <w:bCs/>
                <w:color w:val="auto"/>
                <w:spacing w:val="-7"/>
                <w:sz w:val="24"/>
                <w:szCs w:val="24"/>
                <w:highlight w:val="none"/>
                <w:lang w:val="en-US" w:eastAsia="zh-CN" w:bidi="ar-SA"/>
              </w:rPr>
              <w:t>序号</w:t>
            </w:r>
          </w:p>
        </w:tc>
        <w:tc>
          <w:tcPr>
            <w:tcW w:w="1658" w:type="dxa"/>
            <w:shd w:val="clear" w:color="auto" w:fill="A5A5A5"/>
            <w:noWrap w:val="0"/>
            <w:vAlign w:val="top"/>
          </w:tcPr>
          <w:p w14:paraId="01BB7802">
            <w:pPr>
              <w:widowControl w:val="0"/>
              <w:spacing w:before="49" w:line="211" w:lineRule="auto"/>
              <w:ind w:left="610"/>
              <w:rPr>
                <w:rFonts w:ascii="Arial" w:hAnsi="Arial" w:eastAsia="宋体" w:cs="Times New Roman"/>
                <w:color w:val="auto"/>
                <w:sz w:val="24"/>
                <w:szCs w:val="24"/>
                <w:highlight w:val="none"/>
                <w:lang w:val="en-US" w:eastAsia="zh-CN" w:bidi="ar-SA"/>
              </w:rPr>
            </w:pPr>
            <w:r>
              <w:rPr>
                <w:rFonts w:ascii="Arial" w:hAnsi="Arial" w:eastAsia="宋体" w:cs="Times New Roman"/>
                <w:b/>
                <w:bCs/>
                <w:color w:val="auto"/>
                <w:spacing w:val="-17"/>
                <w:sz w:val="24"/>
                <w:szCs w:val="24"/>
                <w:highlight w:val="none"/>
                <w:lang w:val="en-US" w:eastAsia="zh-CN" w:bidi="ar-SA"/>
              </w:rPr>
              <w:t>区域</w:t>
            </w:r>
          </w:p>
        </w:tc>
        <w:tc>
          <w:tcPr>
            <w:tcW w:w="1658" w:type="dxa"/>
            <w:shd w:val="clear" w:color="auto" w:fill="A5A5A5"/>
            <w:noWrap w:val="0"/>
            <w:vAlign w:val="top"/>
          </w:tcPr>
          <w:p w14:paraId="5D2D5056">
            <w:pPr>
              <w:widowControl w:val="0"/>
              <w:spacing w:before="49" w:line="211" w:lineRule="auto"/>
              <w:ind w:left="595"/>
              <w:rPr>
                <w:rFonts w:ascii="Arial" w:hAnsi="Arial" w:eastAsia="宋体" w:cs="Times New Roman"/>
                <w:color w:val="auto"/>
                <w:sz w:val="24"/>
                <w:szCs w:val="24"/>
                <w:highlight w:val="none"/>
                <w:lang w:val="en-US" w:eastAsia="zh-CN" w:bidi="ar-SA"/>
              </w:rPr>
            </w:pPr>
            <w:r>
              <w:rPr>
                <w:rFonts w:ascii="Arial" w:hAnsi="Arial" w:eastAsia="宋体" w:cs="Times New Roman"/>
                <w:b/>
                <w:bCs/>
                <w:color w:val="auto"/>
                <w:spacing w:val="-9"/>
                <w:sz w:val="24"/>
                <w:szCs w:val="24"/>
                <w:highlight w:val="none"/>
                <w:lang w:val="en-US" w:eastAsia="zh-CN" w:bidi="ar-SA"/>
              </w:rPr>
              <w:t>数量</w:t>
            </w:r>
          </w:p>
        </w:tc>
        <w:tc>
          <w:tcPr>
            <w:tcW w:w="1658" w:type="dxa"/>
            <w:shd w:val="clear" w:color="auto" w:fill="A5A5A5"/>
            <w:noWrap w:val="0"/>
            <w:vAlign w:val="top"/>
          </w:tcPr>
          <w:p w14:paraId="68A7E7F9">
            <w:pPr>
              <w:widowControl w:val="0"/>
              <w:spacing w:before="49" w:line="211" w:lineRule="auto"/>
              <w:ind w:left="360"/>
              <w:rPr>
                <w:rFonts w:ascii="Arial" w:hAnsi="Arial" w:eastAsia="宋体" w:cs="Times New Roman"/>
                <w:color w:val="auto"/>
                <w:sz w:val="24"/>
                <w:szCs w:val="24"/>
                <w:highlight w:val="none"/>
                <w:lang w:val="en-US" w:eastAsia="zh-CN" w:bidi="ar-SA"/>
              </w:rPr>
            </w:pPr>
            <w:r>
              <w:rPr>
                <w:rFonts w:ascii="Arial" w:hAnsi="Arial" w:eastAsia="宋体" w:cs="Times New Roman"/>
                <w:b/>
                <w:bCs/>
                <w:color w:val="auto"/>
                <w:spacing w:val="-6"/>
                <w:sz w:val="24"/>
                <w:szCs w:val="24"/>
                <w:highlight w:val="none"/>
                <w:lang w:val="en-US" w:eastAsia="zh-CN" w:bidi="ar-SA"/>
              </w:rPr>
              <w:t>带宽要求</w:t>
            </w:r>
          </w:p>
        </w:tc>
        <w:tc>
          <w:tcPr>
            <w:tcW w:w="1663" w:type="dxa"/>
            <w:shd w:val="clear" w:color="auto" w:fill="A5A5A5"/>
            <w:noWrap w:val="0"/>
            <w:vAlign w:val="top"/>
          </w:tcPr>
          <w:p w14:paraId="333521B7">
            <w:pPr>
              <w:widowControl w:val="0"/>
              <w:spacing w:before="49" w:line="211" w:lineRule="auto"/>
              <w:ind w:left="375"/>
              <w:rPr>
                <w:rFonts w:ascii="Arial" w:hAnsi="Arial" w:eastAsia="宋体" w:cs="Times New Roman"/>
                <w:color w:val="auto"/>
                <w:sz w:val="24"/>
                <w:szCs w:val="24"/>
                <w:highlight w:val="none"/>
                <w:lang w:val="en-US" w:eastAsia="zh-CN" w:bidi="ar-SA"/>
              </w:rPr>
            </w:pPr>
            <w:r>
              <w:rPr>
                <w:rFonts w:ascii="Arial" w:hAnsi="Arial" w:eastAsia="宋体" w:cs="Times New Roman"/>
                <w:b/>
                <w:bCs/>
                <w:color w:val="auto"/>
                <w:spacing w:val="-9"/>
                <w:sz w:val="24"/>
                <w:szCs w:val="24"/>
                <w:highlight w:val="none"/>
                <w:lang w:val="en-US" w:eastAsia="zh-CN" w:bidi="ar-SA"/>
              </w:rPr>
              <w:t>网络类型</w:t>
            </w:r>
          </w:p>
        </w:tc>
      </w:tr>
      <w:tr w14:paraId="1B4E4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1663" w:type="dxa"/>
            <w:noWrap w:val="0"/>
            <w:vAlign w:val="top"/>
          </w:tcPr>
          <w:p w14:paraId="2926FF1D">
            <w:pPr>
              <w:spacing w:before="77" w:line="197" w:lineRule="auto"/>
              <w:ind w:firstLine="480" w:firstLineChars="200"/>
              <w:rPr>
                <w:rFonts w:ascii="Arial" w:hAnsi="Arial" w:eastAsia="Arial" w:cs="Arial"/>
                <w:color w:val="auto"/>
                <w:sz w:val="24"/>
                <w:szCs w:val="24"/>
                <w:highlight w:val="none"/>
              </w:rPr>
            </w:pPr>
            <w:r>
              <w:rPr>
                <w:rFonts w:ascii="Arial" w:hAnsi="Arial" w:eastAsia="Arial" w:cs="Arial"/>
                <w:color w:val="auto"/>
                <w:sz w:val="24"/>
                <w:szCs w:val="24"/>
                <w:highlight w:val="none"/>
              </w:rPr>
              <w:t>1</w:t>
            </w:r>
          </w:p>
        </w:tc>
        <w:tc>
          <w:tcPr>
            <w:tcW w:w="1658" w:type="dxa"/>
            <w:noWrap w:val="0"/>
            <w:vAlign w:val="top"/>
          </w:tcPr>
          <w:p w14:paraId="0F75F515">
            <w:pPr>
              <w:widowControl w:val="0"/>
              <w:spacing w:before="45" w:line="210" w:lineRule="auto"/>
              <w:ind w:left="593"/>
              <w:rPr>
                <w:rFonts w:ascii="Arial" w:hAnsi="Arial" w:eastAsia="宋体" w:cs="Times New Roman"/>
                <w:color w:val="auto"/>
                <w:sz w:val="24"/>
                <w:szCs w:val="24"/>
                <w:highlight w:val="none"/>
                <w:lang w:val="en-US" w:eastAsia="zh-CN" w:bidi="ar-SA"/>
              </w:rPr>
            </w:pPr>
            <w:r>
              <w:rPr>
                <w:rFonts w:ascii="Arial" w:hAnsi="Arial" w:eastAsia="宋体" w:cs="Times New Roman"/>
                <w:color w:val="auto"/>
                <w:spacing w:val="-5"/>
                <w:sz w:val="24"/>
                <w:szCs w:val="24"/>
                <w:highlight w:val="none"/>
                <w:lang w:val="en-US" w:eastAsia="zh-CN" w:bidi="ar-SA"/>
              </w:rPr>
              <w:t>城郊</w:t>
            </w:r>
          </w:p>
        </w:tc>
        <w:tc>
          <w:tcPr>
            <w:tcW w:w="1658" w:type="dxa"/>
            <w:noWrap w:val="0"/>
            <w:vAlign w:val="top"/>
          </w:tcPr>
          <w:p w14:paraId="49BA3AF6">
            <w:pPr>
              <w:spacing w:before="3" w:line="315" w:lineRule="exact"/>
              <w:ind w:firstLine="472" w:firstLineChars="200"/>
              <w:rPr>
                <w:rFonts w:ascii="Arial" w:hAnsi="Arial" w:eastAsia="Arial" w:cs="Arial"/>
                <w:color w:val="auto"/>
                <w:sz w:val="24"/>
                <w:szCs w:val="24"/>
                <w:highlight w:val="none"/>
              </w:rPr>
            </w:pPr>
            <w:r>
              <w:rPr>
                <w:rFonts w:ascii="Arial" w:hAnsi="Arial" w:eastAsia="Arial" w:cs="Arial"/>
                <w:color w:val="auto"/>
                <w:spacing w:val="-2"/>
                <w:position w:val="1"/>
                <w:sz w:val="24"/>
                <w:szCs w:val="24"/>
                <w:highlight w:val="none"/>
              </w:rPr>
              <w:t>254</w:t>
            </w:r>
          </w:p>
        </w:tc>
        <w:tc>
          <w:tcPr>
            <w:tcW w:w="1658" w:type="dxa"/>
            <w:noWrap w:val="0"/>
            <w:vAlign w:val="top"/>
          </w:tcPr>
          <w:p w14:paraId="2002F161">
            <w:pPr>
              <w:spacing w:before="3" w:line="315" w:lineRule="exact"/>
              <w:ind w:firstLine="468" w:firstLineChars="200"/>
              <w:rPr>
                <w:rFonts w:ascii="Arial" w:hAnsi="Arial" w:eastAsia="Arial" w:cs="Arial"/>
                <w:color w:val="auto"/>
                <w:sz w:val="24"/>
                <w:szCs w:val="24"/>
                <w:highlight w:val="none"/>
              </w:rPr>
            </w:pPr>
            <w:r>
              <w:rPr>
                <w:rFonts w:ascii="Arial" w:hAnsi="Arial" w:eastAsia="Arial" w:cs="Arial"/>
                <w:color w:val="auto"/>
                <w:spacing w:val="-3"/>
                <w:position w:val="1"/>
                <w:sz w:val="24"/>
                <w:szCs w:val="24"/>
                <w:highlight w:val="none"/>
              </w:rPr>
              <w:t>50M</w:t>
            </w:r>
          </w:p>
        </w:tc>
        <w:tc>
          <w:tcPr>
            <w:tcW w:w="1663" w:type="dxa"/>
            <w:noWrap w:val="0"/>
            <w:vAlign w:val="top"/>
          </w:tcPr>
          <w:p w14:paraId="225C8BCA">
            <w:pPr>
              <w:widowControl w:val="0"/>
              <w:spacing w:before="45" w:line="210" w:lineRule="auto"/>
              <w:ind w:left="358"/>
              <w:rPr>
                <w:rFonts w:ascii="Arial" w:hAnsi="Arial" w:eastAsia="宋体" w:cs="Times New Roman"/>
                <w:color w:val="auto"/>
                <w:sz w:val="24"/>
                <w:szCs w:val="24"/>
                <w:highlight w:val="none"/>
                <w:lang w:val="en-US" w:eastAsia="zh-CN" w:bidi="ar-SA"/>
              </w:rPr>
            </w:pPr>
            <w:r>
              <w:rPr>
                <w:rFonts w:ascii="Arial" w:hAnsi="Arial" w:eastAsia="宋体" w:cs="Times New Roman"/>
                <w:color w:val="auto"/>
                <w:spacing w:val="-3"/>
                <w:sz w:val="24"/>
                <w:szCs w:val="24"/>
                <w:highlight w:val="none"/>
                <w:lang w:val="en-US" w:eastAsia="zh-CN" w:bidi="ar-SA"/>
              </w:rPr>
              <w:t>视频专网</w:t>
            </w:r>
          </w:p>
        </w:tc>
      </w:tr>
      <w:tr w14:paraId="0BD5A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663" w:type="dxa"/>
            <w:noWrap w:val="0"/>
            <w:vAlign w:val="top"/>
          </w:tcPr>
          <w:p w14:paraId="68E294A7">
            <w:pPr>
              <w:spacing w:before="79" w:line="197" w:lineRule="auto"/>
              <w:ind w:firstLine="480" w:firstLineChars="200"/>
              <w:rPr>
                <w:rFonts w:ascii="Arial" w:hAnsi="Arial" w:eastAsia="Arial" w:cs="Arial"/>
                <w:color w:val="auto"/>
                <w:sz w:val="24"/>
                <w:szCs w:val="24"/>
                <w:highlight w:val="none"/>
              </w:rPr>
            </w:pPr>
            <w:r>
              <w:rPr>
                <w:rFonts w:ascii="Arial" w:hAnsi="Arial" w:eastAsia="Arial" w:cs="Arial"/>
                <w:color w:val="auto"/>
                <w:sz w:val="24"/>
                <w:szCs w:val="24"/>
                <w:highlight w:val="none"/>
              </w:rPr>
              <w:t>2</w:t>
            </w:r>
          </w:p>
        </w:tc>
        <w:tc>
          <w:tcPr>
            <w:tcW w:w="1658" w:type="dxa"/>
            <w:noWrap w:val="0"/>
            <w:vAlign w:val="top"/>
          </w:tcPr>
          <w:p w14:paraId="169FE246">
            <w:pPr>
              <w:widowControl w:val="0"/>
              <w:spacing w:before="48" w:line="212" w:lineRule="auto"/>
              <w:ind w:left="233"/>
              <w:rPr>
                <w:rFonts w:ascii="Arial" w:hAnsi="Arial" w:eastAsia="宋体" w:cs="Times New Roman"/>
                <w:color w:val="auto"/>
                <w:sz w:val="24"/>
                <w:szCs w:val="24"/>
                <w:highlight w:val="none"/>
                <w:lang w:val="en-US" w:eastAsia="zh-CN" w:bidi="ar-SA"/>
              </w:rPr>
            </w:pPr>
            <w:r>
              <w:rPr>
                <w:rFonts w:ascii="Arial" w:hAnsi="Arial" w:eastAsia="宋体" w:cs="Times New Roman"/>
                <w:color w:val="auto"/>
                <w:spacing w:val="-2"/>
                <w:sz w:val="24"/>
                <w:szCs w:val="24"/>
                <w:highlight w:val="none"/>
                <w:lang w:val="en-US" w:eastAsia="zh-CN" w:bidi="ar-SA"/>
              </w:rPr>
              <w:t>城市、卡口</w:t>
            </w:r>
          </w:p>
        </w:tc>
        <w:tc>
          <w:tcPr>
            <w:tcW w:w="1658" w:type="dxa"/>
            <w:noWrap w:val="0"/>
            <w:vAlign w:val="top"/>
          </w:tcPr>
          <w:p w14:paraId="76B567F4">
            <w:pPr>
              <w:spacing w:before="5" w:line="318" w:lineRule="exact"/>
              <w:ind w:firstLine="472" w:firstLineChars="200"/>
              <w:rPr>
                <w:rFonts w:ascii="Arial" w:hAnsi="Arial" w:eastAsia="Arial" w:cs="Arial"/>
                <w:color w:val="auto"/>
                <w:sz w:val="24"/>
                <w:szCs w:val="24"/>
                <w:highlight w:val="none"/>
              </w:rPr>
            </w:pPr>
            <w:r>
              <w:rPr>
                <w:rFonts w:ascii="Arial" w:hAnsi="Arial" w:eastAsia="Arial" w:cs="Arial"/>
                <w:color w:val="auto"/>
                <w:spacing w:val="-2"/>
                <w:position w:val="1"/>
                <w:sz w:val="24"/>
                <w:szCs w:val="24"/>
                <w:highlight w:val="none"/>
              </w:rPr>
              <w:t>2612</w:t>
            </w:r>
          </w:p>
        </w:tc>
        <w:tc>
          <w:tcPr>
            <w:tcW w:w="1658" w:type="dxa"/>
            <w:noWrap w:val="0"/>
            <w:vAlign w:val="top"/>
          </w:tcPr>
          <w:p w14:paraId="710028B7">
            <w:pPr>
              <w:spacing w:before="5" w:line="318" w:lineRule="exact"/>
              <w:ind w:firstLine="452" w:firstLineChars="200"/>
              <w:rPr>
                <w:rFonts w:ascii="Arial" w:hAnsi="Arial" w:eastAsia="Arial" w:cs="Arial"/>
                <w:color w:val="auto"/>
                <w:sz w:val="24"/>
                <w:szCs w:val="24"/>
                <w:highlight w:val="none"/>
              </w:rPr>
            </w:pPr>
            <w:r>
              <w:rPr>
                <w:rFonts w:ascii="Arial" w:hAnsi="Arial" w:eastAsia="Arial" w:cs="Arial"/>
                <w:color w:val="auto"/>
                <w:spacing w:val="-7"/>
                <w:position w:val="1"/>
                <w:sz w:val="24"/>
                <w:szCs w:val="24"/>
                <w:highlight w:val="none"/>
              </w:rPr>
              <w:t>100M</w:t>
            </w:r>
          </w:p>
        </w:tc>
        <w:tc>
          <w:tcPr>
            <w:tcW w:w="1663" w:type="dxa"/>
            <w:noWrap w:val="0"/>
            <w:vAlign w:val="top"/>
          </w:tcPr>
          <w:p w14:paraId="3EE69266">
            <w:pPr>
              <w:widowControl w:val="0"/>
              <w:spacing w:before="48" w:line="212" w:lineRule="auto"/>
              <w:ind w:left="358"/>
              <w:rPr>
                <w:rFonts w:ascii="Arial" w:hAnsi="Arial" w:eastAsia="宋体" w:cs="Times New Roman"/>
                <w:color w:val="auto"/>
                <w:sz w:val="24"/>
                <w:szCs w:val="24"/>
                <w:highlight w:val="none"/>
                <w:lang w:val="en-US" w:eastAsia="zh-CN" w:bidi="ar-SA"/>
              </w:rPr>
            </w:pPr>
            <w:r>
              <w:rPr>
                <w:rFonts w:ascii="Arial" w:hAnsi="Arial" w:eastAsia="宋体" w:cs="Times New Roman"/>
                <w:color w:val="auto"/>
                <w:spacing w:val="-3"/>
                <w:sz w:val="24"/>
                <w:szCs w:val="24"/>
                <w:highlight w:val="none"/>
                <w:lang w:val="en-US" w:eastAsia="zh-CN" w:bidi="ar-SA"/>
              </w:rPr>
              <w:t>视频专网</w:t>
            </w:r>
          </w:p>
        </w:tc>
      </w:tr>
    </w:tbl>
    <w:p w14:paraId="0AA144DC">
      <w:pPr>
        <w:keepNext/>
        <w:keepLines/>
        <w:widowControl/>
        <w:numPr>
          <w:ilvl w:val="1"/>
          <w:numId w:val="7"/>
        </w:numPr>
        <w:bidi w:val="0"/>
        <w:spacing w:before="50" w:beforeLines="50" w:after="50" w:afterLines="50" w:line="360" w:lineRule="auto"/>
        <w:ind w:left="851" w:hanging="851" w:firstLineChars="0"/>
        <w:jc w:val="both"/>
        <w:outlineLvl w:val="1"/>
        <w:rPr>
          <w:rFonts w:ascii="Times New Roman" w:hAnsi="Times New Roman" w:eastAsia="黑体" w:cs="宋体"/>
          <w:b/>
          <w:bCs/>
          <w:color w:val="auto"/>
          <w:kern w:val="2"/>
          <w:sz w:val="24"/>
          <w:szCs w:val="24"/>
          <w:highlight w:val="none"/>
          <w:lang w:val="zh-CN" w:eastAsia="zh-CN" w:bidi="ar-SA"/>
        </w:rPr>
      </w:pPr>
      <w:bookmarkStart w:id="174" w:name="bookmark45"/>
      <w:bookmarkEnd w:id="174"/>
      <w:bookmarkStart w:id="175" w:name="bookmark46"/>
      <w:bookmarkEnd w:id="175"/>
      <w:bookmarkStart w:id="176" w:name="_Toc2590"/>
      <w:r>
        <w:rPr>
          <w:rFonts w:ascii="Times New Roman" w:hAnsi="Times New Roman" w:eastAsia="黑体" w:cs="宋体"/>
          <w:b/>
          <w:bCs/>
          <w:color w:val="auto"/>
          <w:kern w:val="2"/>
          <w:sz w:val="24"/>
          <w:szCs w:val="24"/>
          <w:highlight w:val="none"/>
          <w:lang w:val="zh-CN" w:eastAsia="zh-CN" w:bidi="ar-SA"/>
        </w:rPr>
        <w:t>网络质量及性能需求分析</w:t>
      </w:r>
      <w:bookmarkEnd w:id="176"/>
    </w:p>
    <w:p w14:paraId="31F646F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视频专网核心层和汇聚层须具备万兆带宽互联的能力，接入层</w:t>
      </w:r>
      <w:r>
        <w:rPr>
          <w:rFonts w:hint="eastAsia" w:ascii="宋体" w:hAnsi="宋体" w:eastAsia="宋体" w:cs="宋体"/>
          <w:color w:val="auto"/>
          <w:spacing w:val="2"/>
          <w:sz w:val="24"/>
          <w:szCs w:val="24"/>
          <w:highlight w:val="none"/>
          <w:lang w:eastAsia="zh-CN"/>
        </w:rPr>
        <w:t>须</w:t>
      </w:r>
      <w:r>
        <w:rPr>
          <w:rFonts w:hint="eastAsia" w:ascii="宋体" w:hAnsi="宋体" w:eastAsia="宋体" w:cs="宋体"/>
          <w:color w:val="auto"/>
          <w:spacing w:val="2"/>
          <w:sz w:val="24"/>
          <w:szCs w:val="24"/>
          <w:highlight w:val="none"/>
          <w:lang w:val="en-US" w:eastAsia="zh-CN"/>
        </w:rPr>
        <w:t>具备</w:t>
      </w:r>
      <w:r>
        <w:rPr>
          <w:rFonts w:ascii="宋体" w:hAnsi="宋体" w:eastAsia="宋体" w:cs="宋体"/>
          <w:color w:val="auto"/>
          <w:spacing w:val="2"/>
          <w:sz w:val="24"/>
          <w:szCs w:val="24"/>
          <w:highlight w:val="none"/>
        </w:rPr>
        <w:t>10M/100M/1000M的自由接入能力。</w:t>
      </w:r>
    </w:p>
    <w:p w14:paraId="2DD02DB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网络质量方面的设计依据：本网络承载视频监控任务，对网络实时性与服务质量的要求非常严格，必须满足如下指标：</w:t>
      </w:r>
    </w:p>
    <w:tbl>
      <w:tblPr>
        <w:tblStyle w:val="45"/>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40"/>
        <w:gridCol w:w="3771"/>
        <w:gridCol w:w="3263"/>
      </w:tblGrid>
      <w:tr w14:paraId="5FBAC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A944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性能指标</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5264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本项目链路指标标准</w:t>
            </w:r>
          </w:p>
        </w:tc>
        <w:tc>
          <w:tcPr>
            <w:tcW w:w="1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AAF3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监测方式</w:t>
            </w:r>
          </w:p>
        </w:tc>
      </w:tr>
      <w:tr w14:paraId="64476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94DB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端到端单向时延</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1D39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≤15ms（全域所有链路，含核心、汇聚、接入）</w:t>
            </w:r>
          </w:p>
        </w:tc>
        <w:tc>
          <w:tcPr>
            <w:tcW w:w="1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0395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7×24 小时实时采样，5 分钟粒度统计</w:t>
            </w:r>
          </w:p>
        </w:tc>
      </w:tr>
      <w:tr w14:paraId="7DEDF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040C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时延抖动</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83A7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≤50ms（</w:t>
            </w:r>
          </w:p>
        </w:tc>
        <w:tc>
          <w:tcPr>
            <w:tcW w:w="1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E47F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视频业务满载场景持续监测</w:t>
            </w:r>
          </w:p>
        </w:tc>
      </w:tr>
      <w:tr w14:paraId="20678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9B3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端到端丢包率</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33D9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CB5F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峰值满负载连续 15分钟采样</w:t>
            </w:r>
          </w:p>
        </w:tc>
      </w:tr>
      <w:tr w14:paraId="458E4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1106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链路年度可用在线率</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CA6D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≥99.9%</w:t>
            </w:r>
          </w:p>
        </w:tc>
        <w:tc>
          <w:tcPr>
            <w:tcW w:w="1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0B98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按月累计中断时长</w:t>
            </w:r>
          </w:p>
        </w:tc>
      </w:tr>
      <w:tr w14:paraId="67104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23B6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裸光纤光衰减</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CE97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≤0.35dB/km</w:t>
            </w:r>
          </w:p>
        </w:tc>
        <w:tc>
          <w:tcPr>
            <w:tcW w:w="1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0D30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每月全段光功率测试，衰减超标更换光缆</w:t>
            </w:r>
          </w:p>
        </w:tc>
      </w:tr>
    </w:tbl>
    <w:p w14:paraId="4D0B1F92">
      <w:pPr>
        <w:spacing w:line="81" w:lineRule="exact"/>
        <w:ind w:firstLine="480" w:firstLineChars="200"/>
        <w:rPr>
          <w:rFonts w:ascii="宋体" w:hAnsi="宋体" w:eastAsia="宋体" w:cs="宋体"/>
          <w:color w:val="auto"/>
          <w:sz w:val="24"/>
          <w:szCs w:val="24"/>
          <w:highlight w:val="none"/>
        </w:rPr>
      </w:pPr>
    </w:p>
    <w:p w14:paraId="4527E92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在带宽方面要求不能少于规定的带宽约定，且带宽峰值要高于要求带宽的10%。</w:t>
      </w:r>
    </w:p>
    <w:p w14:paraId="6FB52DC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网络传输性能：实时传输时，IP承载网的QoS等级要达到1级（交互式）或1级以上；端到端通信的网络时延应小于15ms；端到端通信的时延抖动应小于50ms；端到端通信的丢包率应小于</w:t>
      </w:r>
      <w:r>
        <w:rPr>
          <w:rFonts w:hint="eastAsia" w:ascii="宋体" w:hAnsi="宋体" w:eastAsia="宋体" w:cs="宋体"/>
          <w:i w:val="0"/>
          <w:iCs w:val="0"/>
          <w:color w:val="auto"/>
          <w:kern w:val="0"/>
          <w:sz w:val="24"/>
          <w:szCs w:val="24"/>
          <w:highlight w:val="none"/>
          <w:u w:val="none"/>
          <w:lang w:val="en-US" w:eastAsia="zh-CN" w:bidi="ar"/>
        </w:rPr>
        <w:t>≤1‰</w:t>
      </w:r>
      <w:r>
        <w:rPr>
          <w:rFonts w:ascii="宋体" w:hAnsi="宋体" w:eastAsia="宋体" w:cs="宋体"/>
          <w:color w:val="auto"/>
          <w:spacing w:val="2"/>
          <w:sz w:val="24"/>
          <w:szCs w:val="24"/>
          <w:highlight w:val="none"/>
        </w:rPr>
        <w:t>。</w:t>
      </w:r>
    </w:p>
    <w:p w14:paraId="1FCB9C1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为了保证系统具有高可靠性、可用性，必须尽量减少系统的平均无故障时间（MTBR）。因此，必须提高单元的独立性、可修复性、故障可维护性，实现故障部件的在线维护和更换。在用、备用部件之间的故障须做到尽可能互不影响或影响的概率相当小（0.01%），以保证处于备用状态的部件发生故障时，不影响冗余工作部件或其他关联部件的正常运行，确保冗余的有效性。</w:t>
      </w:r>
    </w:p>
    <w:p w14:paraId="779FDA17">
      <w:pPr>
        <w:keepNext/>
        <w:keepLines/>
        <w:widowControl/>
        <w:numPr>
          <w:ilvl w:val="1"/>
          <w:numId w:val="7"/>
        </w:numPr>
        <w:bidi w:val="0"/>
        <w:spacing w:before="50" w:beforeLines="50" w:after="50" w:afterLines="50" w:line="360" w:lineRule="auto"/>
        <w:ind w:left="851" w:leftChars="0" w:hanging="851" w:firstLineChars="0"/>
        <w:jc w:val="both"/>
        <w:outlineLvl w:val="1"/>
        <w:rPr>
          <w:rFonts w:ascii="Times New Roman" w:hAnsi="Times New Roman" w:eastAsia="黑体" w:cs="宋体"/>
          <w:b/>
          <w:bCs/>
          <w:color w:val="auto"/>
          <w:kern w:val="2"/>
          <w:sz w:val="24"/>
          <w:szCs w:val="24"/>
          <w:highlight w:val="none"/>
          <w:lang w:val="zh-CN" w:eastAsia="zh-CN" w:bidi="ar-SA"/>
        </w:rPr>
      </w:pPr>
      <w:bookmarkStart w:id="177" w:name="bookmark47"/>
      <w:bookmarkEnd w:id="177"/>
      <w:bookmarkStart w:id="178" w:name="_Toc31373"/>
      <w:r>
        <w:rPr>
          <w:rFonts w:ascii="Times New Roman" w:hAnsi="Times New Roman" w:eastAsia="黑体" w:cs="宋体"/>
          <w:b/>
          <w:bCs/>
          <w:color w:val="auto"/>
          <w:kern w:val="2"/>
          <w:sz w:val="24"/>
          <w:szCs w:val="24"/>
          <w:highlight w:val="none"/>
          <w:lang w:val="zh-CN" w:eastAsia="zh-CN" w:bidi="ar-SA"/>
        </w:rPr>
        <w:t>安全需求分析</w:t>
      </w:r>
      <w:bookmarkEnd w:id="178"/>
    </w:p>
    <w:p w14:paraId="3DA7CEC1">
      <w:pPr>
        <w:keepNext w:val="0"/>
        <w:keepLines w:val="0"/>
        <w:pageBreakBefore w:val="0"/>
        <w:widowControl w:val="0"/>
        <w:kinsoku/>
        <w:wordWrap/>
        <w:overflowPunct/>
        <w:topLinePunct w:val="0"/>
        <w:autoSpaceDE/>
        <w:autoSpaceDN/>
        <w:bidi w:val="0"/>
        <w:adjustRightInd/>
        <w:snapToGrid/>
        <w:spacing w:line="288"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在</w:t>
      </w:r>
      <w:r>
        <w:rPr>
          <w:rFonts w:hint="eastAsia" w:ascii="宋体" w:hAnsi="宋体" w:eastAsia="宋体" w:cs="宋体"/>
          <w:color w:val="auto"/>
          <w:spacing w:val="2"/>
          <w:sz w:val="24"/>
          <w:szCs w:val="24"/>
          <w:highlight w:val="none"/>
          <w:lang w:eastAsia="zh-CN"/>
        </w:rPr>
        <w:t>郴州市2026年度视频专网组网租赁项目</w:t>
      </w:r>
      <w:r>
        <w:rPr>
          <w:rFonts w:ascii="宋体" w:hAnsi="宋体" w:eastAsia="宋体" w:cs="宋体"/>
          <w:color w:val="auto"/>
          <w:spacing w:val="2"/>
          <w:sz w:val="24"/>
          <w:szCs w:val="24"/>
          <w:highlight w:val="none"/>
        </w:rPr>
        <w:t>中，要求运营商采用电路和裸光纤的接入方式开通电路。电路需为传统的数字传输电路，整个传输网络系统要与互联网需进行物理隔离，每条电路独占带宽。电路与电路之间互不干扰，不能共享带宽，确保电路的安全可靠运行。</w:t>
      </w:r>
    </w:p>
    <w:p w14:paraId="34740A95">
      <w:pPr>
        <w:keepNext w:val="0"/>
        <w:keepLines w:val="0"/>
        <w:pageBreakBefore w:val="0"/>
        <w:widowControl w:val="0"/>
        <w:kinsoku/>
        <w:wordWrap/>
        <w:overflowPunct/>
        <w:topLinePunct w:val="0"/>
        <w:autoSpaceDE/>
        <w:autoSpaceDN/>
        <w:bidi w:val="0"/>
        <w:adjustRightInd/>
        <w:snapToGrid/>
        <w:spacing w:line="288"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运营商需保证视频专网与互联网物理隔离。互联网与专网视频业务的对接只能在核心层进行，使用方须根据带宽需求及视频业务量配备相应的防火墙等设备。</w:t>
      </w:r>
    </w:p>
    <w:p w14:paraId="0C8D0E0F">
      <w:pPr>
        <w:keepNext w:val="0"/>
        <w:keepLines w:val="0"/>
        <w:pageBreakBefore w:val="0"/>
        <w:widowControl w:val="0"/>
        <w:kinsoku/>
        <w:wordWrap/>
        <w:overflowPunct/>
        <w:topLinePunct w:val="0"/>
        <w:autoSpaceDE/>
        <w:autoSpaceDN/>
        <w:bidi w:val="0"/>
        <w:adjustRightInd/>
        <w:snapToGrid/>
        <w:spacing w:line="288"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视频专网与各单位业务专网边界部署安全隔离设备，相应设备由各使用单位根据流量大小和密级自行配备，实现视频专网系统与各对接网络平台之间的访问控制；解决用户网络区域较多，边界不清、互访混乱的问题；抵御各种病毒攻击、恶意入侵、DDos泛洪攻击等安全攻击。</w:t>
      </w:r>
    </w:p>
    <w:p w14:paraId="3D636819">
      <w:pPr>
        <w:keepNext w:val="0"/>
        <w:keepLines w:val="0"/>
        <w:pageBreakBefore w:val="0"/>
        <w:widowControl w:val="0"/>
        <w:kinsoku/>
        <w:wordWrap/>
        <w:overflowPunct/>
        <w:topLinePunct w:val="0"/>
        <w:autoSpaceDE/>
        <w:autoSpaceDN/>
        <w:bidi w:val="0"/>
        <w:adjustRightInd/>
        <w:snapToGrid/>
        <w:spacing w:line="288"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郴州市公安视频传输网安全建设方案的产品部署从视频传输网准入安全、视频数据安全需求出发。统一收集摄像头等终端信息，汇总到各级管理平台进行统一管理，各级管理平台进行统一策略下发</w:t>
      </w:r>
      <w:r>
        <w:rPr>
          <w:rFonts w:hint="eastAsia" w:ascii="宋体" w:hAnsi="宋体" w:eastAsia="宋体" w:cs="宋体"/>
          <w:color w:val="auto"/>
          <w:spacing w:val="2"/>
          <w:sz w:val="24"/>
          <w:szCs w:val="24"/>
          <w:highlight w:val="none"/>
          <w:lang w:eastAsia="zh-CN"/>
        </w:rPr>
        <w:t>对</w:t>
      </w:r>
      <w:r>
        <w:rPr>
          <w:rFonts w:ascii="宋体" w:hAnsi="宋体" w:eastAsia="宋体" w:cs="宋体"/>
          <w:color w:val="auto"/>
          <w:spacing w:val="2"/>
          <w:sz w:val="24"/>
          <w:szCs w:val="24"/>
          <w:highlight w:val="none"/>
        </w:rPr>
        <w:t>视频传输网终端进行管控，平台采用旁路部署模式，不会对网络造成影响并有效防护网络的安全。</w:t>
      </w:r>
    </w:p>
    <w:p w14:paraId="6268A06E">
      <w:pPr>
        <w:keepNext w:val="0"/>
        <w:keepLines w:val="0"/>
        <w:pageBreakBefore w:val="0"/>
        <w:widowControl w:val="0"/>
        <w:kinsoku/>
        <w:wordWrap/>
        <w:overflowPunct/>
        <w:topLinePunct w:val="0"/>
        <w:autoSpaceDE/>
        <w:autoSpaceDN/>
        <w:bidi w:val="0"/>
        <w:adjustRightInd/>
        <w:snapToGrid/>
        <w:spacing w:line="288" w:lineRule="auto"/>
        <w:ind w:firstLine="488" w:firstLineChars="200"/>
        <w:textAlignment w:val="auto"/>
        <w:rPr>
          <w:rFonts w:hint="eastAsia"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基于目前郴州市公安视频传输网建设情况，由运营商提供统一的视频安全接入管理系统、视频数据安全防护系统，部署在市公安以实现视频传输网边界城墙牢固，抵御入侵并对视频数据进行全面防护。</w:t>
      </w:r>
    </w:p>
    <w:p w14:paraId="4BEEE9A1">
      <w:pPr>
        <w:keepNext w:val="0"/>
        <w:keepLines w:val="0"/>
        <w:pageBreakBefore w:val="0"/>
        <w:widowControl w:val="0"/>
        <w:kinsoku/>
        <w:wordWrap/>
        <w:overflowPunct/>
        <w:topLinePunct w:val="0"/>
        <w:autoSpaceDE/>
        <w:autoSpaceDN/>
        <w:bidi w:val="0"/>
        <w:adjustRightInd/>
        <w:snapToGrid/>
        <w:spacing w:line="288" w:lineRule="auto"/>
        <w:ind w:firstLine="488" w:firstLineChars="200"/>
        <w:textAlignment w:val="auto"/>
        <w:rPr>
          <w:rFonts w:hint="eastAsia" w:ascii="宋体" w:hAnsi="宋体" w:eastAsia="宋体" w:cs="宋体"/>
          <w:color w:val="FF0000"/>
          <w:spacing w:val="2"/>
          <w:sz w:val="24"/>
          <w:szCs w:val="24"/>
          <w:highlight w:val="none"/>
        </w:rPr>
      </w:pPr>
    </w:p>
    <w:p w14:paraId="48670A79">
      <w:pPr>
        <w:keepNext/>
        <w:keepLines/>
        <w:numPr>
          <w:ilvl w:val="1"/>
          <w:numId w:val="0"/>
        </w:numPr>
        <w:spacing w:line="360" w:lineRule="auto"/>
        <w:ind w:left="578" w:hanging="578"/>
        <w:jc w:val="left"/>
        <w:outlineLvl w:val="2"/>
        <w:rPr>
          <w:rFonts w:hint="eastAsia" w:ascii="黑体" w:hAnsi="黑体" w:eastAsia="黑体" w:cs="Times New Roman"/>
          <w:b/>
          <w:bCs/>
          <w:color w:val="FF0000"/>
          <w:sz w:val="28"/>
          <w:szCs w:val="32"/>
        </w:rPr>
      </w:pPr>
    </w:p>
    <w:p w14:paraId="65DB34E9">
      <w:pPr>
        <w:keepNext/>
        <w:keepLines/>
        <w:numPr>
          <w:ilvl w:val="1"/>
          <w:numId w:val="0"/>
        </w:numPr>
        <w:spacing w:line="360" w:lineRule="auto"/>
        <w:ind w:left="578" w:hanging="578"/>
        <w:jc w:val="left"/>
        <w:outlineLvl w:val="2"/>
        <w:rPr>
          <w:rFonts w:hint="eastAsia" w:ascii="黑体" w:hAnsi="黑体" w:eastAsia="黑体" w:cs="Times New Roman"/>
          <w:b/>
          <w:bCs/>
          <w:color w:val="FF0000"/>
          <w:sz w:val="28"/>
          <w:szCs w:val="32"/>
        </w:rPr>
      </w:pPr>
    </w:p>
    <w:p w14:paraId="3E4F6D7B">
      <w:pPr>
        <w:keepNext/>
        <w:keepLines/>
        <w:numPr>
          <w:ilvl w:val="1"/>
          <w:numId w:val="0"/>
        </w:numPr>
        <w:spacing w:line="360" w:lineRule="auto"/>
        <w:ind w:left="578" w:hanging="578"/>
        <w:jc w:val="center"/>
        <w:outlineLvl w:val="2"/>
        <w:rPr>
          <w:rFonts w:hint="eastAsia" w:ascii="宋体" w:hAnsi="宋体" w:eastAsia="宋体" w:cs="宋体"/>
          <w:b/>
          <w:bCs/>
          <w:color w:val="auto"/>
          <w:sz w:val="28"/>
          <w:szCs w:val="32"/>
        </w:rPr>
      </w:pPr>
      <w:r>
        <w:rPr>
          <w:rFonts w:hint="eastAsia" w:ascii="宋体" w:hAnsi="宋体" w:eastAsia="宋体" w:cs="宋体"/>
          <w:b/>
          <w:bCs/>
          <w:color w:val="auto"/>
          <w:sz w:val="28"/>
          <w:szCs w:val="32"/>
        </w:rPr>
        <w:t>六、建设方案</w:t>
      </w:r>
      <w:bookmarkEnd w:id="166"/>
      <w:bookmarkEnd w:id="167"/>
    </w:p>
    <w:p w14:paraId="2E1060FF">
      <w:pPr>
        <w:keepNext/>
        <w:keepLines/>
        <w:numPr>
          <w:ilvl w:val="1"/>
          <w:numId w:val="0"/>
        </w:numPr>
        <w:spacing w:line="360" w:lineRule="auto"/>
        <w:ind w:left="578" w:hanging="152"/>
        <w:jc w:val="left"/>
        <w:outlineLvl w:val="3"/>
        <w:rPr>
          <w:rFonts w:hint="eastAsia" w:ascii="宋体" w:hAnsi="宋体" w:eastAsia="宋体" w:cs="宋体"/>
          <w:b/>
          <w:bCs/>
          <w:color w:val="auto"/>
          <w:sz w:val="24"/>
          <w:szCs w:val="24"/>
        </w:rPr>
      </w:pPr>
      <w:bookmarkStart w:id="179" w:name="_Toc172716721"/>
      <w:bookmarkStart w:id="180" w:name="_Toc25573"/>
      <w:r>
        <w:rPr>
          <w:rFonts w:hint="eastAsia" w:ascii="宋体" w:hAnsi="宋体" w:eastAsia="宋体" w:cs="宋体"/>
          <w:b/>
          <w:bCs/>
          <w:color w:val="auto"/>
          <w:sz w:val="24"/>
          <w:szCs w:val="24"/>
        </w:rPr>
        <w:t>1、设计建设要求</w:t>
      </w:r>
      <w:bookmarkEnd w:id="179"/>
      <w:bookmarkEnd w:id="180"/>
    </w:p>
    <w:p w14:paraId="4F053FE1">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总体要求</w:t>
      </w:r>
    </w:p>
    <w:p w14:paraId="7CD9032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郴州市视频专网网络拓扑现状示意图清晰地表明，当前郴州市视频专网主要架构在公安视频专网基础之上。本期项目建设将严格遵循既有的建设模式，充分利用并保留现有市级核心层交换机设备以及覆盖9个县和2个区的汇聚层交换机资源。在链路部署方面，继续采用租赁运营商通信链路的方式实现各层级间的互联互通。本次设计工作的核心聚焦于对承载链路提出更为具体和严格的技术要求，重点提升其在安全性（如传输加密与访问控制）、稳定性（保障高可用性与故障快速恢复能力）、科学性（优化流量调度与资源分配）以及未来扩充能力（预留带宽扩展空间与接口兼容性）等关键维度的性能表现。</w:t>
      </w:r>
    </w:p>
    <w:p w14:paraId="34867102">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安全性要求</w:t>
      </w:r>
    </w:p>
    <w:p w14:paraId="36E6A8B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在</w:t>
      </w:r>
      <w:r>
        <w:rPr>
          <w:rFonts w:hint="eastAsia" w:ascii="宋体" w:hAnsi="宋体" w:eastAsia="宋体" w:cs="宋体"/>
          <w:color w:val="auto"/>
          <w:spacing w:val="2"/>
          <w:sz w:val="24"/>
          <w:szCs w:val="24"/>
          <w:highlight w:val="none"/>
          <w:lang w:eastAsia="zh-CN"/>
        </w:rPr>
        <w:t>郴州市2026年度视频专网组网租赁项目</w:t>
      </w:r>
      <w:r>
        <w:rPr>
          <w:rFonts w:hint="eastAsia" w:ascii="宋体" w:hAnsi="宋体" w:eastAsia="宋体" w:cs="宋体"/>
          <w:color w:val="auto"/>
          <w:spacing w:val="2"/>
          <w:sz w:val="24"/>
          <w:szCs w:val="24"/>
          <w:highlight w:val="none"/>
        </w:rPr>
        <w:t>中，要求运营商采用电路和裸光纤的接入方式开通电路。电路需为传统的数字传输电路，整个传输网络系统要与互联网需进行物理隔离，每条电路独占带宽。电路与电路之间互不干扰，不能共享带宽，确保电路的安全可靠运行。</w:t>
      </w:r>
    </w:p>
    <w:p w14:paraId="17DF8475">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bookmarkStart w:id="181" w:name="_Toc519890854"/>
      <w:bookmarkStart w:id="182" w:name="_Toc4056"/>
      <w:r>
        <w:rPr>
          <w:rFonts w:hint="eastAsia" w:ascii="Arial" w:hAnsi="Arial" w:eastAsia="黑体" w:cs="宋体"/>
          <w:b/>
          <w:bCs/>
          <w:color w:val="auto"/>
          <w:kern w:val="2"/>
          <w:sz w:val="24"/>
          <w:szCs w:val="24"/>
          <w:highlight w:val="none"/>
          <w:lang w:val="en-US" w:eastAsia="zh-CN" w:bidi="ar-SA"/>
        </w:rPr>
        <w:t>可靠性与安全性</w:t>
      </w:r>
      <w:bookmarkEnd w:id="181"/>
      <w:bookmarkEnd w:id="182"/>
    </w:p>
    <w:p w14:paraId="3E70AE8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1.传输稳定性保障。要求传输侧采用电路的传输方式，且</w:t>
      </w:r>
      <w:r>
        <w:rPr>
          <w:rFonts w:hint="eastAsia" w:ascii="宋体" w:hAnsi="宋体" w:eastAsia="宋体" w:cs="宋体"/>
          <w:color w:val="auto"/>
          <w:spacing w:val="2"/>
          <w:sz w:val="24"/>
          <w:szCs w:val="24"/>
          <w:highlight w:val="none"/>
          <w:lang w:eastAsia="zh-CN"/>
        </w:rPr>
        <w:t>须具备</w:t>
      </w:r>
      <w:r>
        <w:rPr>
          <w:rFonts w:hint="eastAsia" w:ascii="宋体" w:hAnsi="宋体" w:eastAsia="宋体" w:cs="宋体"/>
          <w:color w:val="auto"/>
          <w:spacing w:val="2"/>
          <w:sz w:val="24"/>
          <w:szCs w:val="24"/>
          <w:highlight w:val="none"/>
        </w:rPr>
        <w:t>环路保护，能提供稳定可靠的传输保障。郴州市视频专网租用网络要求运营商在不同路由方向上都具备环路保护，确保在单条上行光缆或上行板卡发生故障的情况时，业务可以稳定运行。</w:t>
      </w:r>
    </w:p>
    <w:p w14:paraId="0159D8F6">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2.网络可靠性保障。郴州市视频专网租用网络要求运营商的汇聚节点以及核心传输设备，都必须配备双电源冗余保护。确保在单个电源发生故障的情况时，不会引起设备运行中断。</w:t>
      </w:r>
    </w:p>
    <w:p w14:paraId="100DF90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3.设备选型可靠性保障。郴州市视频专网使用通信设备要求保证产品质量可靠，故障发生率低。</w:t>
      </w:r>
    </w:p>
    <w:p w14:paraId="3D9752C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4.冗余光缆纤芯保护。郴州市视频专网租用网络的核心机房、各片区汇聚机房以及重要的接入单位，要求运营商配备冗余纤芯资源，保证原有在用纤芯发生断纤故障情况时，可以有冗余纤芯供使用快速恢复业务。</w:t>
      </w:r>
    </w:p>
    <w:p w14:paraId="53FF066D">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科学性要求</w:t>
      </w:r>
    </w:p>
    <w:p w14:paraId="354A671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郴州市视频专网租用网络要求使用的电路和裸光纤，在设计上要全方面考虑电路施工、电路维护、电路升级以及电路改造和电路扩容等方面的科学合理性。对各大运营商进行比较，选择光结点机房分布合理、数量较多，分布较广的运营商，尽可能减小各个监控点的电路接入运营商光交接箱的距离，减少接入光缆的线路长度。在节约建设成</w:t>
      </w:r>
      <w:r>
        <w:rPr>
          <w:rFonts w:hint="eastAsia" w:ascii="宋体" w:hAnsi="宋体" w:eastAsia="宋体" w:cs="宋体"/>
          <w:color w:val="auto"/>
          <w:spacing w:val="2"/>
          <w:sz w:val="24"/>
          <w:szCs w:val="24"/>
          <w:highlight w:val="none"/>
          <w:lang w:eastAsia="zh-CN"/>
        </w:rPr>
        <w:t>本的</w:t>
      </w:r>
      <w:r>
        <w:rPr>
          <w:rFonts w:hint="eastAsia" w:ascii="宋体" w:hAnsi="宋体" w:eastAsia="宋体" w:cs="宋体"/>
          <w:color w:val="auto"/>
          <w:spacing w:val="2"/>
          <w:sz w:val="24"/>
          <w:szCs w:val="24"/>
          <w:highlight w:val="none"/>
        </w:rPr>
        <w:t>同时</w:t>
      </w:r>
      <w:r>
        <w:rPr>
          <w:rFonts w:hint="eastAsia" w:ascii="宋体" w:hAnsi="宋体" w:eastAsia="宋体" w:cs="宋体"/>
          <w:color w:val="auto"/>
          <w:spacing w:val="2"/>
          <w:sz w:val="24"/>
          <w:szCs w:val="24"/>
          <w:highlight w:val="none"/>
          <w:lang w:eastAsia="zh-CN"/>
        </w:rPr>
        <w:t>防止</w:t>
      </w:r>
      <w:r>
        <w:rPr>
          <w:rFonts w:hint="eastAsia" w:ascii="宋体" w:hAnsi="宋体" w:eastAsia="宋体" w:cs="宋体"/>
          <w:color w:val="auto"/>
          <w:spacing w:val="2"/>
          <w:sz w:val="24"/>
          <w:szCs w:val="24"/>
          <w:highlight w:val="none"/>
        </w:rPr>
        <w:t>电路故障风险的发生，保证业务稳定运行。</w:t>
      </w:r>
    </w:p>
    <w:p w14:paraId="113DECF2">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扩充能力要求</w:t>
      </w:r>
    </w:p>
    <w:p w14:paraId="3467175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郴州市视频专网租用网络的运营商应具备以下两个特点：</w:t>
      </w:r>
    </w:p>
    <w:p w14:paraId="51068FB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1.线路带宽方面：</w:t>
      </w:r>
    </w:p>
    <w:p w14:paraId="417F8BD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提供的传输设备至少需满足10G以上的高速率，保证带宽充足。能提供大量冗余的网络资源，能保证郴州市视频专网未来至少一年的监控点扩容需求。</w:t>
      </w:r>
    </w:p>
    <w:p w14:paraId="43C09B7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2.速率升级方面：</w:t>
      </w:r>
    </w:p>
    <w:p w14:paraId="0E54483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提供的传输和网络设备，具备在线升级的能力。实现平滑的升级，在升级过程中不会影响已有在用业务，对现有网络的影响小或没有影响。</w:t>
      </w:r>
    </w:p>
    <w:p w14:paraId="0CD00AD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传输电路技术选型要求</w:t>
      </w:r>
    </w:p>
    <w:p w14:paraId="691EB76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本项目要求</w:t>
      </w:r>
      <w:r>
        <w:rPr>
          <w:rFonts w:hint="eastAsia" w:ascii="宋体" w:hAnsi="宋体" w:eastAsia="宋体" w:cs="宋体"/>
          <w:color w:val="auto"/>
          <w:spacing w:val="2"/>
          <w:sz w:val="24"/>
          <w:szCs w:val="24"/>
          <w:highlight w:val="none"/>
          <w:lang w:val="en-US" w:eastAsia="zh-CN"/>
        </w:rPr>
        <w:t>供应商</w:t>
      </w:r>
      <w:r>
        <w:rPr>
          <w:rFonts w:ascii="宋体" w:hAnsi="宋体" w:eastAsia="宋体" w:cs="宋体"/>
          <w:color w:val="auto"/>
          <w:spacing w:val="2"/>
          <w:sz w:val="24"/>
          <w:szCs w:val="24"/>
          <w:highlight w:val="none"/>
        </w:rPr>
        <w:t>在实施过程中对前端摄像头数据回传的电路需选择成熟的传输技术。包含PON、裸光纤、OTN等技术。</w:t>
      </w:r>
    </w:p>
    <w:p w14:paraId="28CB80D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视频专网业务特点</w:t>
      </w:r>
    </w:p>
    <w:p w14:paraId="11BFE41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随着信息技术的广泛应用，党政单位客户对于OA办公、会议电视、视频监控等系统依赖性日益增强，数据专线互联需求随之增长迅猛。数据专线指通信网络运营商提供的数字电路、光纤等电路的租用和维护服务。党政客户可以自由选择4Mbps-10Gbps带宽通道及多种接口类型，通过建立安全、可靠、高速的专用数据通道环境，来承载语音、数据、视频等各类业务，以此实现党政客户分支机构网络互联、信息交互、视频会议等业务。</w:t>
      </w:r>
    </w:p>
    <w:p w14:paraId="74E0F02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党政客户由于其用户性质与业务内容的特殊性，通常对数据专线接入业务有以下要求：</w:t>
      </w:r>
    </w:p>
    <w:p w14:paraId="3279090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1.重安全：专网业务的数据必须确保安全性。</w:t>
      </w:r>
    </w:p>
    <w:p w14:paraId="505480E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2.高可靠：能够提供电信级的高业务可靠性。</w:t>
      </w:r>
    </w:p>
    <w:p w14:paraId="435C890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3.广覆盖：网络</w:t>
      </w:r>
      <w:r>
        <w:rPr>
          <w:rFonts w:hint="eastAsia" w:ascii="宋体" w:hAnsi="宋体" w:eastAsia="宋体" w:cs="宋体"/>
          <w:color w:val="auto"/>
          <w:spacing w:val="2"/>
          <w:sz w:val="24"/>
          <w:szCs w:val="24"/>
          <w:highlight w:val="none"/>
          <w:lang w:eastAsia="zh-CN"/>
        </w:rPr>
        <w:t>须具备</w:t>
      </w:r>
      <w:r>
        <w:rPr>
          <w:rFonts w:ascii="宋体" w:hAnsi="宋体" w:eastAsia="宋体" w:cs="宋体"/>
          <w:color w:val="auto"/>
          <w:spacing w:val="2"/>
          <w:sz w:val="24"/>
          <w:szCs w:val="24"/>
          <w:highlight w:val="none"/>
        </w:rPr>
        <w:t>较强的覆盖能力。</w:t>
      </w:r>
    </w:p>
    <w:p w14:paraId="0121C89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4.易扩展：业务承载专网须能同步扩展至新增分支机构、带宽资源可以根据业务发展需求灵活调整。</w:t>
      </w:r>
    </w:p>
    <w:p w14:paraId="00C9102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5.多带宽：可提供2～10M、155M（STM-1）、622M（STM-4）、2.5G（STM-16）、FE（百兆以太网）、GE（千兆以太网）等不同类型的多种速率带宽。</w:t>
      </w:r>
    </w:p>
    <w:p w14:paraId="4ACA7CA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目前运营商针对党政客户内网数据专线接入业务中应用最为广泛的主要包括PON电路接入技术、承载网接入技术、裸光纤接入技术、PON接入技术。根据视频专网的业务特点和管理要求，郴州视频专网监控点的接入电路建议采用裸光纤或PON电路方式进行接入。下面是对这两种接入方式的优劣势进行分析。</w:t>
      </w:r>
    </w:p>
    <w:p w14:paraId="0E957815">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PON传输技术介绍</w:t>
      </w:r>
    </w:p>
    <w:p w14:paraId="457A248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光网络（PON）是目前接入网所采用的主要技术。提供的带宽可以满足现在和未来各种宽带业务的需要，能解决宽带接入问题；设备成本、运维管理开销的费用都较低。综合经济技术分析表明，目前PON是实现FTTB/FTTH的主要技术。</w:t>
      </w:r>
    </w:p>
    <w:p w14:paraId="5197E5E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1.PON的基本结构</w:t>
      </w:r>
    </w:p>
    <w:p w14:paraId="373B3C9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PON是一种采用点到多点（P2MP）结构的单纤双向光接入网络。PON系统由局端的光线路终端（OLT）、光分配网络（ODN）和用户侧的光网络单元（ONU）组成，为单纤双向系统。在下行方向（OLT到ONU），OLT发送的信号通过ODN到达各个ONU。在上行方向（ONU到OLT），ONU发送的信号只会到达OLT，而不会到达其他ONU。为了避免数据冲突并提高网络效率，上行方向采用TDMA多址接入方式，并对各ONU的数据发送进行管理。ODN在OLT和ONU间提供光通道。PON的参考结构如下图所示。</w:t>
      </w:r>
    </w:p>
    <w:p w14:paraId="0FA59BA5">
      <w:pPr>
        <w:spacing w:line="412"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drawing>
          <wp:inline distT="0" distB="0" distL="114300" distR="114300">
            <wp:extent cx="4153535" cy="2334260"/>
            <wp:effectExtent l="0" t="0" r="18415" b="889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26"/>
                    <a:stretch>
                      <a:fillRect/>
                    </a:stretch>
                  </pic:blipFill>
                  <pic:spPr>
                    <a:xfrm>
                      <a:off x="0" y="0"/>
                      <a:ext cx="4153535" cy="2334260"/>
                    </a:xfrm>
                    <a:prstGeom prst="rect">
                      <a:avLst/>
                    </a:prstGeom>
                    <a:noFill/>
                    <a:ln>
                      <a:noFill/>
                    </a:ln>
                  </pic:spPr>
                </pic:pic>
              </a:graphicData>
            </a:graphic>
          </wp:inline>
        </w:drawing>
      </w:r>
    </w:p>
    <w:p w14:paraId="3672317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集中和接入，能完成光/电转换，带宽分配和控制各信道的连接，并有实时监控、管理及维护功能。ONU位于用户侧，实现各种电信号的处理与维护管理，提供用户侧接口。OLT与ONU之间通过无源光分路器连接，光分路器用于分发下行数据和集中上行数据。除了终端设备，PON系统中无需电器件，因此是无源的。</w:t>
      </w:r>
    </w:p>
    <w:p w14:paraId="6A6525A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PON在单根光纤上采用下行1490nm/上行1310nm波长组合的波分复用技术（WDM），上行方向是点到点方式，下行方向是广播方式。下图表示了PON的基本结构。</w:t>
      </w:r>
    </w:p>
    <w:p w14:paraId="016C43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z w:val="24"/>
          <w:szCs w:val="24"/>
          <w:highlight w:val="none"/>
        </w:rPr>
        <w:t>OLT位于网络侧，放在中心局端，它可以是一个</w:t>
      </w:r>
      <w:r>
        <w:rPr>
          <w:rFonts w:ascii="宋体" w:hAnsi="宋体" w:eastAsia="宋体" w:cs="宋体"/>
          <w:color w:val="auto"/>
          <w:spacing w:val="-1"/>
          <w:sz w:val="24"/>
          <w:szCs w:val="24"/>
          <w:highlight w:val="none"/>
        </w:rPr>
        <w:t>L2交换机或L3路由器，提</w:t>
      </w:r>
      <w:r>
        <w:rPr>
          <w:rFonts w:ascii="宋体" w:hAnsi="宋体" w:eastAsia="宋体" w:cs="宋体"/>
          <w:color w:val="auto"/>
          <w:spacing w:val="2"/>
          <w:sz w:val="24"/>
          <w:szCs w:val="24"/>
          <w:highlight w:val="none"/>
        </w:rPr>
        <w:t>供网络</w:t>
      </w:r>
    </w:p>
    <w:p w14:paraId="073049A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在下行方向，OLT将数据分组以广播的方式传输给所有的ONU，每个分组携带一个具有传输到目的地ONU标识符的信头。当数据分组到达ONU时，由ONU的MAC层进行地址解析，提取出属于自己的数据分组，丢弃其他的数据分组。</w:t>
      </w:r>
    </w:p>
    <w:p w14:paraId="60CF414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上行方向使用时分复用技术（TDM），多个ONU的上行信息组成一个TDM信息流传送到OLT。</w:t>
      </w:r>
    </w:p>
    <w:p w14:paraId="0AC7D3C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2.光线路终端（OLT）</w:t>
      </w:r>
    </w:p>
    <w:p w14:paraId="5E7F3F2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光线路终端（OLT）的作用是提供业务网络与ODN之间的光接口，提供各种手段来传递各种业务，OLT内部由核心层、业务层和公共层组成。业务层主要提供业务端口，支持多种业务；核心层提供交叉连接、复用、传输；公共层提供供电、维护管理功能。OLT的存在可以降低上层业务网络对接入侧设备之间的具体接口、承载手段、组网形式、设备管理等的紧耦合，并可以提供统一的光接入网的管理接口。</w:t>
      </w:r>
    </w:p>
    <w:p w14:paraId="4FC47A6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OLT核心功能包括：汇聚分发功能、DN适配功能。</w:t>
      </w:r>
    </w:p>
    <w:p w14:paraId="2E8A543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OLT业务接口功能包括：业务端口功能、业务接口适配功能、接口信令处理、业务接口保护。</w:t>
      </w:r>
    </w:p>
    <w:p w14:paraId="5EAFCA9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OLT公共功能主要包括OAM功能和供电功能。</w:t>
      </w:r>
    </w:p>
    <w:p w14:paraId="703D4066">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从OLT发出的光功率主要消耗在以下几处：</w:t>
      </w:r>
    </w:p>
    <w:p w14:paraId="231579A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（1）分路器：分路的数量越多损耗越大。</w:t>
      </w:r>
    </w:p>
    <w:p w14:paraId="4E9E07E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（2）光纤：距离越长，损耗越大。</w:t>
      </w:r>
    </w:p>
    <w:p w14:paraId="1EF6094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（3）ONU：数量越多，需要的OLT发射功率越大。为了保证每一个到达ONU的功率都高于接收灵敏度且有一定的余量，在设计时要根据实际的数量和地理分布进行预算。</w:t>
      </w:r>
    </w:p>
    <w:p w14:paraId="25F3F12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3.光分配网</w:t>
      </w:r>
    </w:p>
    <w:p w14:paraId="72317CD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光分配网（ODN）是OLT与ONU之间提供光传输手段，其主要功能是完成OLT与ONU之间的信息传输和分发作用，建立ONU与OLT之间的端到端的信息传送通道。</w:t>
      </w:r>
    </w:p>
    <w:p w14:paraId="6E4C486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ODN的配置通常为点到多点方式，即多个ONU通过一个ODN与一个OLT相连，这样，多个ONU可以共享OLT到ODN之间的光传输媒质和OLT的光电设备。</w:t>
      </w:r>
    </w:p>
    <w:p w14:paraId="528BE2F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（1）ODN的组成</w:t>
      </w:r>
    </w:p>
    <w:p w14:paraId="6F0E94B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组成ODN的主要无源器件有：单模光纤和光缆、连接器、无源光分路器（OBD）、无源光衰减器、光纤接头。</w:t>
      </w:r>
    </w:p>
    <w:p w14:paraId="4C7A9B8F">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（2）ODN的拓扑结构</w:t>
      </w:r>
    </w:p>
    <w:p w14:paraId="1BF63B7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ODN网络的拓扑结构通常是点到多点的结构，可分为星形、树状形、总线型和环形等。</w:t>
      </w:r>
    </w:p>
    <w:p w14:paraId="41D4878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（3）主备保护的设置</w:t>
      </w:r>
    </w:p>
    <w:p w14:paraId="4F0EE68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ODN网络的主备保护设置主要是对其传输的光信号设置有主备两个光传输波道，当主信道发生故障时则可自动转换到备用信道来传输光信号，包括光纤、OLT、</w:t>
      </w:r>
    </w:p>
    <w:p w14:paraId="01FF8FC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ONU和传输光纤的主备保护设置。主备传输光纤可以处于同一光缆中，也可以处于不同的光缆中，更可以将主备光缆安装设置在不同的管道中，这样其保护性能更好。</w:t>
      </w:r>
    </w:p>
    <w:p w14:paraId="430C758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（4）ODN的光传输特性</w:t>
      </w:r>
    </w:p>
    <w:p w14:paraId="3A4D309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ODN的设计特性应能保证可以提供任何目前可以预见到的业务，而无需较大的改动，这一要求对各种无源器件的特性存在较大影响。以下三点可能直接影响ODN光特性的要求：</w:t>
      </w:r>
    </w:p>
    <w:p w14:paraId="305BD60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光波长透明性：各种光无源器件不应影响传输光信号的透明性，对设计的光网络要求的光信号所占用的波段应当</w:t>
      </w:r>
      <w:r>
        <w:rPr>
          <w:rFonts w:hint="eastAsia" w:ascii="宋体" w:hAnsi="宋体" w:eastAsia="宋体" w:cs="宋体"/>
          <w:color w:val="auto"/>
          <w:spacing w:val="2"/>
          <w:sz w:val="24"/>
          <w:szCs w:val="24"/>
          <w:highlight w:val="none"/>
          <w:lang w:eastAsia="zh-CN"/>
        </w:rPr>
        <w:t>能完</w:t>
      </w:r>
      <w:r>
        <w:rPr>
          <w:rFonts w:ascii="宋体" w:hAnsi="宋体" w:eastAsia="宋体" w:cs="宋体"/>
          <w:color w:val="auto"/>
          <w:spacing w:val="2"/>
          <w:sz w:val="24"/>
          <w:szCs w:val="24"/>
          <w:highlight w:val="none"/>
        </w:rPr>
        <w:t>全透明地传送，这样为将来的WDM系统应用提供了基础。</w:t>
      </w:r>
    </w:p>
    <w:p w14:paraId="75775BB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可逆性：将ODN网络的输出端和输入端互换时，其ODN网络的传输特性不应发生明显的变化，即其传输带宽和光损耗特性的变化应微乎其微。这样可以简化网络的设计。</w:t>
      </w:r>
    </w:p>
    <w:p w14:paraId="05A39C3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全网性能的一致性：ODN网络对于传输的光信号应保持一致性，即ODN网络的传输特性应当与整个OFSAN乃至整个通信网保持一致，其传输带宽和光损耗特性应适合于整个OFSAN的要求。</w:t>
      </w:r>
    </w:p>
    <w:p w14:paraId="27142286">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（5）ODN的性能参数</w:t>
      </w:r>
    </w:p>
    <w:p w14:paraId="13590E1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决定整个系统光通道损耗性能的参数主要有以下3项：</w:t>
      </w:r>
    </w:p>
    <w:p w14:paraId="32115B5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ODN光通道损耗：即最小发送功率和最高接收灵敏度的差。</w:t>
      </w:r>
    </w:p>
    <w:p w14:paraId="109AC3D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最大容许通道损耗：即最大发送功率和最高接收灵敏度的差。</w:t>
      </w:r>
    </w:p>
    <w:p w14:paraId="25BDED9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最小容许通道损耗：即最小发送功率和最低接收灵敏度（过载点）的差。</w:t>
      </w:r>
    </w:p>
    <w:p w14:paraId="73442F7F">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（6）ODN的反射</w:t>
      </w:r>
    </w:p>
    <w:p w14:paraId="4CC5BA5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ODN的反射取决于构成ODN的各种器件的回损以及光通道上的任意反射点。一般来讲，所有离散反射必须优于−35dB，光纤接入的最大离散反射则应优于−50dB。</w:t>
      </w:r>
    </w:p>
    <w:p w14:paraId="3474D1E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4.光网络单元（ONU）</w:t>
      </w:r>
    </w:p>
    <w:p w14:paraId="3057F56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光网络单元（ONU）位于ODN和用户设备之间，提供用户与ODN之间的光接口和与用户侧的电接口，实现各种电信号的处理与维护管理。ONU内部由核心层、业务层和公共层组成，业务层主要指用户端口；核心层提供复用、光接口；公共层提供供电、维护管理。</w:t>
      </w:r>
    </w:p>
    <w:p w14:paraId="7C81E41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5.PON的应用模式</w:t>
      </w:r>
    </w:p>
    <w:p w14:paraId="378FC85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PON的业务透明性较好，原则上可适用于任何制式和速率信号。与点到点的有源光网络相比，PON技术的主要特点在于维护简单、成本较低（节省光纤和光接口）、传输带宽较高和高性能价格比。这些特点会使其在很长时间内保持竞争优势，PON一直被视为接入网未来的发展方向。</w:t>
      </w:r>
    </w:p>
    <w:p w14:paraId="1926C37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PON最适合的应用是：接入网络靠近客户的末端的部分；ONU服务的客户不强调</w:t>
      </w:r>
      <w:r>
        <w:rPr>
          <w:rFonts w:hint="eastAsia" w:ascii="宋体" w:hAnsi="宋体" w:eastAsia="宋体" w:cs="宋体"/>
          <w:color w:val="auto"/>
          <w:spacing w:val="2"/>
          <w:sz w:val="24"/>
          <w:szCs w:val="24"/>
          <w:highlight w:val="none"/>
          <w:lang w:eastAsia="zh-CN"/>
        </w:rPr>
        <w:t>必须</w:t>
      </w:r>
      <w:r>
        <w:rPr>
          <w:rFonts w:ascii="宋体" w:hAnsi="宋体" w:eastAsia="宋体" w:cs="宋体"/>
          <w:color w:val="auto"/>
          <w:spacing w:val="2"/>
          <w:sz w:val="24"/>
          <w:szCs w:val="24"/>
          <w:highlight w:val="none"/>
        </w:rPr>
        <w:t>冗余或迂回保护；OLT可以设立在生存性能好的节点处（例如有迂回保护的节点），用户地理位置相对集中的地方。</w:t>
      </w:r>
      <w:r>
        <w:rPr>
          <w:rFonts w:hint="eastAsia" w:ascii="宋体" w:hAnsi="宋体" w:eastAsia="宋体" w:cs="宋体"/>
          <w:color w:val="auto"/>
          <w:spacing w:val="2"/>
          <w:sz w:val="24"/>
          <w:szCs w:val="24"/>
          <w:highlight w:val="none"/>
          <w:lang w:val="en-US" w:eastAsia="zh-CN"/>
        </w:rPr>
        <w:t xml:space="preserve"> </w:t>
      </w:r>
    </w:p>
    <w:p w14:paraId="017CCBC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郴州市视频专网监控点接入采用PON技术。将拥有以下四个优势：</w:t>
      </w:r>
    </w:p>
    <w:p w14:paraId="39A245C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（1）高带宽：PON网络技术可以提供高达10Gbps的传输速率，以满足未来网络日益增长的对高带宽的需求。</w:t>
      </w:r>
    </w:p>
    <w:p w14:paraId="134B07A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（2）低成本：采用PON网络技术可以大幅降低建设成本，加快网络的普及和推广。</w:t>
      </w:r>
    </w:p>
    <w:p w14:paraId="1DE1D07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（3）易扩展：PON网络技术具有良好的可扩展性，可以根据业务需求随时增加节点数，</w:t>
      </w:r>
      <w:r>
        <w:rPr>
          <w:rFonts w:hint="eastAsia" w:ascii="宋体" w:hAnsi="宋体" w:eastAsia="宋体" w:cs="宋体"/>
          <w:color w:val="auto"/>
          <w:spacing w:val="2"/>
          <w:sz w:val="24"/>
          <w:szCs w:val="24"/>
          <w:highlight w:val="none"/>
          <w:lang w:eastAsia="zh-CN"/>
        </w:rPr>
        <w:t>满足</w:t>
      </w:r>
      <w:r>
        <w:rPr>
          <w:rFonts w:ascii="宋体" w:hAnsi="宋体" w:eastAsia="宋体" w:cs="宋体"/>
          <w:color w:val="auto"/>
          <w:spacing w:val="2"/>
          <w:sz w:val="24"/>
          <w:szCs w:val="24"/>
          <w:highlight w:val="none"/>
        </w:rPr>
        <w:t>党政单位未来不定期的业务需求需要。</w:t>
      </w:r>
    </w:p>
    <w:p w14:paraId="7C6A59B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（4）节能环保：由于PON技术是一种无源网络技术，不需要电源等设备，因此具有较低的能耗和环保优势。积极落实生态文明建设要求和国家</w:t>
      </w:r>
      <w:r>
        <w:rPr>
          <w:rFonts w:hint="eastAsia" w:ascii="宋体" w:hAnsi="宋体" w:eastAsia="宋体" w:cs="宋体"/>
          <w:color w:val="auto"/>
          <w:spacing w:val="2"/>
          <w:sz w:val="24"/>
          <w:szCs w:val="24"/>
          <w:highlight w:val="none"/>
          <w:lang w:eastAsia="zh-CN"/>
        </w:rPr>
        <w:t>“双碳”</w:t>
      </w:r>
      <w:r>
        <w:rPr>
          <w:rFonts w:ascii="宋体" w:hAnsi="宋体" w:eastAsia="宋体" w:cs="宋体"/>
          <w:color w:val="auto"/>
          <w:spacing w:val="2"/>
          <w:sz w:val="24"/>
          <w:szCs w:val="24"/>
          <w:highlight w:val="none"/>
        </w:rPr>
        <w:t>目标，践行绿色发展理念。</w:t>
      </w:r>
    </w:p>
    <w:p w14:paraId="0569C8DD">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裸光纤技术介绍</w:t>
      </w:r>
    </w:p>
    <w:p w14:paraId="4A4A0AE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裸光纤接入技术相对简单，不同于</w:t>
      </w:r>
      <w:r>
        <w:rPr>
          <w:rFonts w:hint="eastAsia" w:ascii="宋体" w:hAnsi="宋体" w:eastAsia="宋体" w:cs="宋体"/>
          <w:color w:val="auto"/>
          <w:spacing w:val="2"/>
          <w:sz w:val="24"/>
          <w:szCs w:val="24"/>
          <w:highlight w:val="none"/>
          <w:lang w:eastAsia="zh-CN"/>
        </w:rPr>
        <w:t>其他</w:t>
      </w:r>
      <w:r>
        <w:rPr>
          <w:rFonts w:ascii="宋体" w:hAnsi="宋体" w:eastAsia="宋体" w:cs="宋体"/>
          <w:color w:val="auto"/>
          <w:spacing w:val="2"/>
          <w:sz w:val="24"/>
          <w:szCs w:val="24"/>
          <w:highlight w:val="none"/>
        </w:rPr>
        <w:t>需要传输承载网支撑的传输技术，裸光纤只需业务两端的网络设备配备适配的光模块或光电转换器就可以实现高带宽的光纤传输。裸光纤直传是采用光导纤维为介质进行的数据、信号传输，具有信号质量高、传输速度快的特点，被广泛使用在近距离的接入应用场景中。而且光纤传输设备几乎不需要维护，数据传输可靠、稳定、容量大是其不可替代的优点。光纤传输优点具体如下：</w:t>
      </w:r>
    </w:p>
    <w:p w14:paraId="3E8296A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1.频带宽</w:t>
      </w:r>
    </w:p>
    <w:p w14:paraId="71F8040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频带的宽窄代表了传输容量的大小，尽管光纤传输对不同的频率的光有不同的损耗，但在最低损耗区的频带带宽可达30000GHz。</w:t>
      </w:r>
      <w:r>
        <w:rPr>
          <w:rFonts w:hint="eastAsia" w:ascii="宋体" w:hAnsi="宋体" w:eastAsia="宋体" w:cs="宋体"/>
          <w:color w:val="auto"/>
          <w:spacing w:val="2"/>
          <w:sz w:val="24"/>
          <w:szCs w:val="24"/>
          <w:highlight w:val="none"/>
          <w:lang w:eastAsia="zh-CN"/>
        </w:rPr>
        <w:t>两个</w:t>
      </w:r>
      <w:r>
        <w:rPr>
          <w:rFonts w:ascii="宋体" w:hAnsi="宋体" w:eastAsia="宋体" w:cs="宋体"/>
          <w:color w:val="auto"/>
          <w:spacing w:val="2"/>
          <w:sz w:val="24"/>
          <w:szCs w:val="24"/>
          <w:highlight w:val="none"/>
        </w:rPr>
        <w:t>光源的带宽仅占用了其中很小一部分的带宽。采用先进的</w:t>
      </w:r>
      <w:r>
        <w:rPr>
          <w:rFonts w:hint="eastAsia" w:ascii="宋体" w:hAnsi="宋体" w:eastAsia="宋体" w:cs="宋体"/>
          <w:color w:val="auto"/>
          <w:spacing w:val="2"/>
          <w:sz w:val="24"/>
          <w:szCs w:val="24"/>
          <w:highlight w:val="none"/>
          <w:lang w:eastAsia="zh-CN"/>
        </w:rPr>
        <w:t>相干光</w:t>
      </w:r>
      <w:r>
        <w:rPr>
          <w:rFonts w:ascii="宋体" w:hAnsi="宋体" w:eastAsia="宋体" w:cs="宋体"/>
          <w:color w:val="auto"/>
          <w:spacing w:val="2"/>
          <w:sz w:val="24"/>
          <w:szCs w:val="24"/>
          <w:highlight w:val="none"/>
        </w:rPr>
        <w:t>通信可以在30000GHz范围内安排2000个光载波，进行波分复用，提供高带宽的传输需求。</w:t>
      </w:r>
    </w:p>
    <w:p w14:paraId="066BC99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2.损耗低</w:t>
      </w:r>
    </w:p>
    <w:p w14:paraId="5D92759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光导纤维的损耗在1310nm窗口传输时，每公里传输损耗在0.35dB以下，在1550nm窗口传输时，每公里损耗更低为0.2dB以下，其损耗几乎不随温度而变化，不用担心因环境温度变化而造成的干线电平的波动。</w:t>
      </w:r>
    </w:p>
    <w:p w14:paraId="4F9A724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3.重量轻</w:t>
      </w:r>
    </w:p>
    <w:p w14:paraId="6AD4C98F">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因为光纤非常细，单模光纤纤芯直径一般为4nm-10nm，外径也只有125nm，加上防水层、加强筋、护套等，用4</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48根光纤组成的光缆直径还不到13mm，加上光纤是玻璃纤维，比重小，使它具有直径小、重量轻的特点，安装十分方便。</w:t>
      </w:r>
    </w:p>
    <w:p w14:paraId="458D84D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4.抗干扰能力强</w:t>
      </w:r>
    </w:p>
    <w:p w14:paraId="45DC6D0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光纤的基本组成成分是石英，只传光、不导电、不受电磁场的作用，在其中传输的光信号不受电磁场的影响，故光纤传输对电磁干扰、工业干扰有很强的抵御能力，因此，在光纤中传输的信号不易被窃听，因而利于保密。</w:t>
      </w:r>
    </w:p>
    <w:p w14:paraId="50ACEE7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5.保真度高</w:t>
      </w:r>
    </w:p>
    <w:p w14:paraId="5E785C2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光纤传输一般不需要中继放大，不会因为放大引入新的非线性失真，只要激光器的线性好，就可</w:t>
      </w:r>
      <w:r>
        <w:rPr>
          <w:rFonts w:hint="eastAsia" w:ascii="宋体" w:hAnsi="宋体" w:eastAsia="宋体" w:cs="宋体"/>
          <w:color w:val="auto"/>
          <w:spacing w:val="2"/>
          <w:sz w:val="24"/>
          <w:szCs w:val="24"/>
          <w:highlight w:val="none"/>
          <w:lang w:eastAsia="zh-CN"/>
        </w:rPr>
        <w:t>保真地</w:t>
      </w:r>
      <w:r>
        <w:rPr>
          <w:rFonts w:ascii="宋体" w:hAnsi="宋体" w:eastAsia="宋体" w:cs="宋体"/>
          <w:color w:val="auto"/>
          <w:spacing w:val="2"/>
          <w:sz w:val="24"/>
          <w:szCs w:val="24"/>
          <w:highlight w:val="none"/>
        </w:rPr>
        <w:t>传输信号。</w:t>
      </w:r>
    </w:p>
    <w:p w14:paraId="43A04E9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6.工作性能可靠</w:t>
      </w:r>
    </w:p>
    <w:p w14:paraId="6E494F3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一个系统的可靠性与组成该系统的设备数量有关，设备越多，发生故障的机会越大，光纤系统保护的设备数量较少，可靠性自然也更高。同时光纤设备的寿命都很长，无故障工作时间达</w:t>
      </w:r>
      <w:r>
        <w:rPr>
          <w:rFonts w:hint="eastAsia" w:ascii="宋体" w:hAnsi="宋体" w:eastAsia="宋体" w:cs="宋体"/>
          <w:color w:val="auto"/>
          <w:spacing w:val="2"/>
          <w:sz w:val="24"/>
          <w:szCs w:val="24"/>
          <w:highlight w:val="none"/>
          <w:lang w:eastAsia="zh-CN"/>
        </w:rPr>
        <w:t>50万—75万</w:t>
      </w:r>
      <w:r>
        <w:rPr>
          <w:rFonts w:ascii="宋体" w:hAnsi="宋体" w:eastAsia="宋体" w:cs="宋体"/>
          <w:color w:val="auto"/>
          <w:spacing w:val="2"/>
          <w:sz w:val="24"/>
          <w:szCs w:val="24"/>
          <w:highlight w:val="none"/>
        </w:rPr>
        <w:t>小时，正常情况下，正确</w:t>
      </w:r>
      <w:r>
        <w:rPr>
          <w:rFonts w:hint="eastAsia" w:ascii="宋体" w:hAnsi="宋体" w:eastAsia="宋体" w:cs="宋体"/>
          <w:color w:val="auto"/>
          <w:spacing w:val="2"/>
          <w:sz w:val="24"/>
          <w:szCs w:val="24"/>
          <w:highlight w:val="none"/>
          <w:lang w:eastAsia="zh-CN"/>
        </w:rPr>
        <w:t>安装好</w:t>
      </w:r>
      <w:r>
        <w:rPr>
          <w:rFonts w:ascii="宋体" w:hAnsi="宋体" w:eastAsia="宋体" w:cs="宋体"/>
          <w:color w:val="auto"/>
          <w:spacing w:val="2"/>
          <w:sz w:val="24"/>
          <w:szCs w:val="24"/>
          <w:highlight w:val="none"/>
        </w:rPr>
        <w:t>光纤系统的工作性能是非常可靠的。</w:t>
      </w:r>
    </w:p>
    <w:p w14:paraId="1F5F77BE">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OTN技术介绍</w:t>
      </w:r>
    </w:p>
    <w:p w14:paraId="4A33E4BF">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光传送网OTN，是ITU-T定义的下一代光传送网体系，从1998年开始制定，2003年左右体系标准基本完善。OTN技术由于其完善的性能监视、带外FEC、大容量、粗颗粒的调度能力，可向MESH网络结构演进等特性，已成为下一代骨干传输网络的主流技术。OTN是由G.872、G.709等建议定义的一种全新的光传送技术体制，它包括光层和电层的完整体系结构，对于各层网络都有相应的管理监控机制和网络</w:t>
      </w:r>
      <w:r>
        <w:rPr>
          <w:rFonts w:hint="eastAsia" w:ascii="宋体" w:hAnsi="宋体" w:eastAsia="宋体" w:cs="宋体"/>
          <w:color w:val="auto"/>
          <w:spacing w:val="2"/>
          <w:sz w:val="24"/>
          <w:szCs w:val="24"/>
          <w:highlight w:val="none"/>
          <w:lang w:eastAsia="zh-CN"/>
        </w:rPr>
        <w:t>生存</w:t>
      </w:r>
      <w:r>
        <w:rPr>
          <w:rFonts w:ascii="宋体" w:hAnsi="宋体" w:eastAsia="宋体" w:cs="宋体"/>
          <w:color w:val="auto"/>
          <w:spacing w:val="2"/>
          <w:sz w:val="24"/>
          <w:szCs w:val="24"/>
          <w:highlight w:val="none"/>
        </w:rPr>
        <w:t>机制。OTN的思想来源于SDH/SONET技术体制（例如映射、复用、交叉连接、嵌入式开销、保护、FEC等），把SDH/SONET的可运营可管理能力应用到WDM系统中，同时具备了SDH/SONET灵活可靠和WDM容量大的优势。</w:t>
      </w:r>
    </w:p>
    <w:p w14:paraId="66D99CC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随着信息化技术的发展，为适应信息化新技术的发展趋势以及流量高速发展的传输需求，OTN技术也经历了快速的发展。</w:t>
      </w:r>
    </w:p>
    <w:p w14:paraId="501B453F">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传输线路质量与可靠性保障措施</w:t>
      </w:r>
    </w:p>
    <w:p w14:paraId="2276DE1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选择合适的传输方</w:t>
      </w:r>
      <w:r>
        <w:rPr>
          <w:rFonts w:hint="eastAsia" w:ascii="宋体" w:hAnsi="宋体" w:eastAsia="宋体" w:cs="宋体"/>
          <w:color w:val="auto"/>
          <w:spacing w:val="2"/>
          <w:sz w:val="24"/>
          <w:szCs w:val="24"/>
          <w:highlight w:val="none"/>
          <w:lang w:eastAsia="zh-CN"/>
        </w:rPr>
        <w:t>式有</w:t>
      </w:r>
      <w:r>
        <w:rPr>
          <w:rFonts w:ascii="宋体" w:hAnsi="宋体" w:eastAsia="宋体" w:cs="宋体"/>
          <w:color w:val="auto"/>
          <w:spacing w:val="2"/>
          <w:sz w:val="24"/>
          <w:szCs w:val="24"/>
          <w:highlight w:val="none"/>
        </w:rPr>
        <w:t>利于郴州市视频专网业务运行，但同时也要从以下</w:t>
      </w:r>
      <w:r>
        <w:rPr>
          <w:rFonts w:hint="eastAsia" w:ascii="宋体" w:hAnsi="宋体" w:eastAsia="宋体" w:cs="宋体"/>
          <w:color w:val="auto"/>
          <w:spacing w:val="2"/>
          <w:sz w:val="24"/>
          <w:szCs w:val="24"/>
          <w:highlight w:val="none"/>
          <w:lang w:eastAsia="zh-CN"/>
        </w:rPr>
        <w:t>三个</w:t>
      </w:r>
      <w:r>
        <w:rPr>
          <w:rFonts w:ascii="宋体" w:hAnsi="宋体" w:eastAsia="宋体" w:cs="宋体"/>
          <w:color w:val="auto"/>
          <w:spacing w:val="2"/>
          <w:sz w:val="24"/>
          <w:szCs w:val="24"/>
          <w:highlight w:val="none"/>
        </w:rPr>
        <w:t>方面保障承载电路的安全稳定：</w:t>
      </w:r>
    </w:p>
    <w:p w14:paraId="5A9A4FB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1.采用高标准的机房环境和物理分离的传输路由</w:t>
      </w:r>
    </w:p>
    <w:p w14:paraId="2DBEDAF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（1）接入机房的选址：</w:t>
      </w:r>
    </w:p>
    <w:p w14:paraId="67A255D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要求接入机房选址要远离公共场所和涉外场所，机房要配置能控制、鉴别和记录进出人员的电子门禁系统和监控系统；机房要配备防雷击、防火、防水、防潮、防静电、温湿度控制等设施；机房供电线路要具备主备用双路供电系统，配置稳压器和过电压防护设备。</w:t>
      </w:r>
    </w:p>
    <w:p w14:paraId="730CE3B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（2）光缆线路的路由选择：</w:t>
      </w:r>
    </w:p>
    <w:p w14:paraId="7981320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要求重要传输光缆线路要具备物理分离的2条及以上路由，保障在1条光缆发生故障的情况下，不会影响业务传输的效率和质量。</w:t>
      </w:r>
    </w:p>
    <w:p w14:paraId="0C96305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2.做到与公众网络物理隔离</w:t>
      </w:r>
    </w:p>
    <w:p w14:paraId="6E6186A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采用PON电路网络传输数据电路，组建成点到多电点透明传输的专网，不提供与公众网络的接口，确保与Internet没有物理连接，实现与Internet等公共网络物理隔离。所有业务数据通过运营商的PON电路网络内部开通的专用带宽通道进行传输。点对点开通专用带宽通道，在SDH专用带宽通道内进行传送业务数据，确保不会发送到Internet等外部公共网络，且保证Internet等公共网络的病毒等不良数据不能侵入到PON网络内部。</w:t>
      </w:r>
    </w:p>
    <w:p w14:paraId="7B737182">
      <w:pPr>
        <w:keepNext/>
        <w:keepLines/>
        <w:widowControl/>
        <w:numPr>
          <w:ilvl w:val="1"/>
          <w:numId w:val="8"/>
        </w:numPr>
        <w:bidi w:val="0"/>
        <w:spacing w:before="50" w:beforeLines="50" w:after="50" w:afterLines="50" w:line="360" w:lineRule="auto"/>
        <w:ind w:left="851" w:leftChars="0" w:hanging="851" w:firstLineChars="0"/>
        <w:jc w:val="both"/>
        <w:outlineLvl w:val="1"/>
        <w:rPr>
          <w:rFonts w:ascii="Times New Roman" w:hAnsi="Times New Roman" w:eastAsia="黑体" w:cs="宋体"/>
          <w:b/>
          <w:bCs/>
          <w:color w:val="auto"/>
          <w:kern w:val="2"/>
          <w:sz w:val="24"/>
          <w:szCs w:val="24"/>
          <w:highlight w:val="none"/>
          <w:lang w:val="zh-CN" w:eastAsia="zh-CN" w:bidi="ar-SA"/>
        </w:rPr>
      </w:pPr>
      <w:bookmarkStart w:id="183" w:name="bookmark53"/>
      <w:bookmarkEnd w:id="183"/>
      <w:bookmarkStart w:id="184" w:name="_Toc26760"/>
      <w:r>
        <w:rPr>
          <w:rFonts w:ascii="Times New Roman" w:hAnsi="Times New Roman" w:eastAsia="黑体" w:cs="宋体"/>
          <w:b/>
          <w:bCs/>
          <w:color w:val="auto"/>
          <w:kern w:val="2"/>
          <w:sz w:val="24"/>
          <w:szCs w:val="24"/>
          <w:highlight w:val="none"/>
          <w:lang w:val="zh-CN" w:eastAsia="zh-CN" w:bidi="ar-SA"/>
        </w:rPr>
        <w:t>视频专网租赁要求</w:t>
      </w:r>
      <w:bookmarkEnd w:id="184"/>
    </w:p>
    <w:p w14:paraId="3213A65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本项目视频专网建设将视频网络分为三层，按照市级核心层、</w:t>
      </w:r>
      <w:r>
        <w:rPr>
          <w:rFonts w:hint="eastAsia" w:ascii="宋体" w:hAnsi="宋体" w:eastAsia="宋体" w:cs="宋体"/>
          <w:color w:val="auto"/>
          <w:spacing w:val="2"/>
          <w:sz w:val="24"/>
          <w:szCs w:val="24"/>
          <w:highlight w:val="none"/>
          <w:lang w:eastAsia="zh-CN"/>
        </w:rPr>
        <w:t>九县六</w:t>
      </w:r>
      <w:r>
        <w:rPr>
          <w:rFonts w:ascii="宋体" w:hAnsi="宋体" w:eastAsia="宋体" w:cs="宋体"/>
          <w:color w:val="auto"/>
          <w:spacing w:val="2"/>
          <w:sz w:val="24"/>
          <w:szCs w:val="24"/>
          <w:highlight w:val="none"/>
        </w:rPr>
        <w:t>区汇聚层、前端接入层的标准，统一规划，网络结构示意如下：</w:t>
      </w:r>
    </w:p>
    <w:p w14:paraId="2D8D4443">
      <w:pPr>
        <w:spacing w:line="11759" w:lineRule="exact"/>
        <w:ind w:firstLine="480" w:firstLineChars="200"/>
        <w:rPr>
          <w:rFonts w:ascii="宋体" w:hAnsi="宋体" w:eastAsia="宋体" w:cs="宋体"/>
          <w:color w:val="auto"/>
          <w:sz w:val="24"/>
          <w:szCs w:val="24"/>
          <w:highlight w:val="none"/>
        </w:rPr>
      </w:pPr>
      <w:r>
        <w:rPr>
          <w:rFonts w:ascii="宋体" w:hAnsi="宋体" w:eastAsia="宋体" w:cs="宋体"/>
          <w:color w:val="auto"/>
          <w:position w:val="-235"/>
          <w:sz w:val="24"/>
          <w:szCs w:val="24"/>
          <w:highlight w:val="none"/>
        </w:rPr>
        <w:drawing>
          <wp:inline distT="0" distB="0" distL="114300" distR="114300">
            <wp:extent cx="5271770" cy="7466330"/>
            <wp:effectExtent l="0" t="0" r="5080" b="1270"/>
            <wp:docPr id="50" name="图片 21"/>
            <wp:cNvGraphicFramePr/>
            <a:graphic xmlns:a="http://schemas.openxmlformats.org/drawingml/2006/main">
              <a:graphicData uri="http://schemas.openxmlformats.org/drawingml/2006/picture">
                <pic:pic xmlns:pic="http://schemas.openxmlformats.org/drawingml/2006/picture">
                  <pic:nvPicPr>
                    <pic:cNvPr id="50" name="图片 21"/>
                    <pic:cNvPicPr/>
                  </pic:nvPicPr>
                  <pic:blipFill>
                    <a:blip r:embed="rId27"/>
                    <a:stretch>
                      <a:fillRect/>
                    </a:stretch>
                  </pic:blipFill>
                  <pic:spPr>
                    <a:xfrm>
                      <a:off x="0" y="0"/>
                      <a:ext cx="5271770" cy="7466330"/>
                    </a:xfrm>
                    <a:prstGeom prst="rect">
                      <a:avLst/>
                    </a:prstGeom>
                    <a:noFill/>
                    <a:ln>
                      <a:noFill/>
                    </a:ln>
                  </pic:spPr>
                </pic:pic>
              </a:graphicData>
            </a:graphic>
          </wp:inline>
        </w:drawing>
      </w:r>
    </w:p>
    <w:p w14:paraId="0CFE8C6D">
      <w:pPr>
        <w:spacing w:before="233" w:line="327" w:lineRule="exact"/>
        <w:ind w:left="3157" w:firstLine="452" w:firstLineChars="200"/>
        <w:rPr>
          <w:rFonts w:ascii="宋体" w:hAnsi="宋体" w:eastAsia="宋体" w:cs="宋体"/>
          <w:color w:val="auto"/>
          <w:sz w:val="24"/>
          <w:szCs w:val="24"/>
          <w:highlight w:val="none"/>
        </w:rPr>
      </w:pPr>
      <w:r>
        <w:rPr>
          <w:rFonts w:ascii="宋体" w:hAnsi="宋体" w:eastAsia="宋体" w:cs="宋体"/>
          <w:color w:val="auto"/>
          <w:spacing w:val="-7"/>
          <w:position w:val="1"/>
          <w:sz w:val="24"/>
          <w:szCs w:val="24"/>
          <w:highlight w:val="none"/>
        </w:rPr>
        <w:t>图10本期建设拓扑图</w:t>
      </w:r>
    </w:p>
    <w:p w14:paraId="53CEB9B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在202</w:t>
      </w:r>
      <w:r>
        <w:rPr>
          <w:rFonts w:hint="eastAsia" w:ascii="宋体" w:hAnsi="宋体" w:eastAsia="宋体" w:cs="宋体"/>
          <w:color w:val="auto"/>
          <w:spacing w:val="2"/>
          <w:sz w:val="24"/>
          <w:szCs w:val="24"/>
          <w:highlight w:val="none"/>
          <w:lang w:val="en-US" w:eastAsia="zh-CN"/>
        </w:rPr>
        <w:t>5</w:t>
      </w:r>
      <w:r>
        <w:rPr>
          <w:rFonts w:ascii="宋体" w:hAnsi="宋体" w:eastAsia="宋体" w:cs="宋体"/>
          <w:color w:val="auto"/>
          <w:spacing w:val="2"/>
          <w:sz w:val="24"/>
          <w:szCs w:val="24"/>
          <w:highlight w:val="none"/>
        </w:rPr>
        <w:t>年度已完成对视频专网的网络结构调整，本期不对拓扑结构进行调整，各链路通过安全隔离边界进行接入保证安全性</w:t>
      </w:r>
    </w:p>
    <w:p w14:paraId="34569CDE">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85" w:name="bookmark54"/>
      <w:bookmarkEnd w:id="185"/>
      <w:r>
        <w:rPr>
          <w:rFonts w:ascii="Arial" w:hAnsi="Arial" w:eastAsia="黑体" w:cs="宋体"/>
          <w:b/>
          <w:bCs/>
          <w:color w:val="auto"/>
          <w:kern w:val="2"/>
          <w:sz w:val="24"/>
          <w:szCs w:val="24"/>
          <w:highlight w:val="none"/>
          <w:lang w:val="zh-CN" w:eastAsia="zh-CN" w:bidi="ar-SA"/>
        </w:rPr>
        <w:t>核心层建设要求</w:t>
      </w:r>
    </w:p>
    <w:p w14:paraId="57562A1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以市公安局中心机房的2台视频专网核心交换机为郴州市视频专网组网的核心，利旧原有各单位视频专网核心交换机，将公安接入业务与其他单位业务分离，下行采用主备双裸纤、主备万兆双链路与汇聚层交换机互联，实现对郴州市市辖范围内所有视频资源的接入。</w:t>
      </w:r>
    </w:p>
    <w:p w14:paraId="2B6F2F9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郴州市公安局监控中心及其他单位平台监控中心将直接从核心机房或汇聚机房建立高带宽专用网络连接。</w:t>
      </w:r>
    </w:p>
    <w:p w14:paraId="5C1C1FC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各县市分别从县政府中心机房或指定的汇聚机房调通到核心交换机的高带宽电路。考虑到视频专网的扩容，未来视频专网统一的接入软件平台将统一接入到郴州市公安局中心机房内的核心交换机。</w:t>
      </w:r>
    </w:p>
    <w:p w14:paraId="22FEEC05">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86" w:name="bookmark55"/>
      <w:bookmarkEnd w:id="186"/>
      <w:r>
        <w:rPr>
          <w:rFonts w:ascii="Arial" w:hAnsi="Arial" w:eastAsia="黑体" w:cs="宋体"/>
          <w:b/>
          <w:bCs/>
          <w:color w:val="auto"/>
          <w:kern w:val="2"/>
          <w:sz w:val="24"/>
          <w:szCs w:val="24"/>
          <w:highlight w:val="none"/>
          <w:lang w:val="zh-CN" w:eastAsia="zh-CN" w:bidi="ar-SA"/>
        </w:rPr>
        <w:t>汇聚层建设要求</w:t>
      </w:r>
    </w:p>
    <w:p w14:paraId="5BD13616">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汇聚层指由运营商提供市区范围内的汇聚机房，原有汇聚层共计部署了6对汇聚交换机，根据各单位调研反馈的需求，本期原则上不再进行汇聚层设备扩建。因此本次汇聚层链路租赁不超过6*2=12条裸纤上行至原公安视频专网核心交换机，且汇聚层各汇聚节点机房需提供不低于60个机架托管视频存储服务。</w:t>
      </w:r>
    </w:p>
    <w:p w14:paraId="1038BAE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相比各部门分头租赁视频网络而言，郴州市视频专网实现了一个主要功能，就是将汇聚交换机以及流媒服务器和存储设备托管到运营商的若干片区机房，提供视频云服务的功能，各接入用户单位将不再考虑平台和存储设备的投资，只需投资建设前端监控点，通过统一的IP及VLAN规划，并通过运营商的专用电路接入到视频专网内即可使用。</w:t>
      </w:r>
    </w:p>
    <w:p w14:paraId="03B32DA4">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87" w:name="bookmark56"/>
      <w:bookmarkEnd w:id="187"/>
      <w:r>
        <w:rPr>
          <w:rFonts w:ascii="Arial" w:hAnsi="Arial" w:eastAsia="黑体" w:cs="宋体"/>
          <w:b/>
          <w:bCs/>
          <w:color w:val="auto"/>
          <w:kern w:val="2"/>
          <w:sz w:val="24"/>
          <w:szCs w:val="24"/>
          <w:highlight w:val="none"/>
          <w:lang w:val="zh-CN" w:eastAsia="zh-CN" w:bidi="ar-SA"/>
        </w:rPr>
        <w:t>接入层建设要求</w:t>
      </w:r>
    </w:p>
    <w:p w14:paraId="51FFA9C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接入层主要指前端监控摄像机10M、20M、50M、100M、200M、1G带宽以及裸纤的使用单位接入网络。</w:t>
      </w:r>
    </w:p>
    <w:p w14:paraId="7EEA81A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根据调研需求，本期视频专网的监控点共计</w:t>
      </w:r>
      <w:r>
        <w:rPr>
          <w:rFonts w:hint="eastAsia" w:ascii="宋体" w:hAnsi="宋体" w:eastAsia="宋体" w:cs="宋体"/>
          <w:color w:val="auto"/>
          <w:spacing w:val="2"/>
          <w:sz w:val="24"/>
          <w:szCs w:val="24"/>
          <w:highlight w:val="none"/>
          <w:lang w:val="en-US" w:eastAsia="zh-CN"/>
        </w:rPr>
        <w:t>4543</w:t>
      </w:r>
      <w:r>
        <w:rPr>
          <w:rFonts w:ascii="宋体" w:hAnsi="宋体" w:eastAsia="宋体" w:cs="宋体"/>
          <w:color w:val="auto"/>
          <w:spacing w:val="2"/>
          <w:sz w:val="24"/>
          <w:szCs w:val="24"/>
          <w:highlight w:val="none"/>
        </w:rPr>
        <w:t>个。其中市公安局共计3</w:t>
      </w:r>
      <w:r>
        <w:rPr>
          <w:rFonts w:hint="eastAsia" w:ascii="宋体" w:hAnsi="宋体" w:eastAsia="宋体" w:cs="宋体"/>
          <w:color w:val="auto"/>
          <w:spacing w:val="2"/>
          <w:sz w:val="24"/>
          <w:szCs w:val="24"/>
          <w:highlight w:val="none"/>
          <w:lang w:val="en-US" w:eastAsia="zh-CN"/>
        </w:rPr>
        <w:t>931</w:t>
      </w:r>
      <w:r>
        <w:rPr>
          <w:rFonts w:ascii="宋体" w:hAnsi="宋体" w:eastAsia="宋体" w:cs="宋体"/>
          <w:color w:val="auto"/>
          <w:spacing w:val="2"/>
          <w:sz w:val="24"/>
          <w:szCs w:val="24"/>
          <w:highlight w:val="none"/>
        </w:rPr>
        <w:t>个监控点位，市直单位共计</w:t>
      </w:r>
      <w:r>
        <w:rPr>
          <w:rFonts w:hint="eastAsia" w:ascii="宋体" w:hAnsi="宋体" w:eastAsia="宋体" w:cs="宋体"/>
          <w:color w:val="auto"/>
          <w:spacing w:val="2"/>
          <w:sz w:val="24"/>
          <w:szCs w:val="24"/>
          <w:highlight w:val="none"/>
          <w:lang w:val="en-US" w:eastAsia="zh-CN"/>
        </w:rPr>
        <w:t>612</w:t>
      </w:r>
      <w:r>
        <w:rPr>
          <w:rFonts w:ascii="宋体" w:hAnsi="宋体" w:eastAsia="宋体" w:cs="宋体"/>
          <w:color w:val="auto"/>
          <w:spacing w:val="2"/>
          <w:sz w:val="24"/>
          <w:szCs w:val="24"/>
          <w:highlight w:val="none"/>
        </w:rPr>
        <w:t>个监控点位。</w:t>
      </w:r>
      <w:r>
        <w:rPr>
          <w:rFonts w:hint="eastAsia" w:ascii="宋体" w:hAnsi="宋体" w:eastAsia="宋体" w:cs="宋体"/>
          <w:color w:val="auto"/>
          <w:spacing w:val="2"/>
          <w:sz w:val="24"/>
          <w:szCs w:val="24"/>
          <w:highlight w:val="none"/>
          <w:lang w:val="en-US" w:eastAsia="zh-CN"/>
        </w:rPr>
        <w:t>供应商</w:t>
      </w:r>
      <w:r>
        <w:rPr>
          <w:rFonts w:ascii="宋体" w:hAnsi="宋体" w:eastAsia="宋体" w:cs="宋体"/>
          <w:color w:val="auto"/>
          <w:spacing w:val="2"/>
          <w:sz w:val="24"/>
          <w:szCs w:val="24"/>
          <w:highlight w:val="none"/>
        </w:rPr>
        <w:t>需选择成熟稳定的网络技术实现所有前端摄像头所采集数据的回传，按照附表1</w:t>
      </w:r>
      <w:r>
        <w:rPr>
          <w:rFonts w:hint="eastAsia" w:ascii="宋体" w:hAnsi="宋体" w:eastAsia="宋体" w:cs="宋体"/>
          <w:color w:val="auto"/>
          <w:spacing w:val="2"/>
          <w:sz w:val="24"/>
          <w:szCs w:val="24"/>
          <w:highlight w:val="none"/>
          <w:lang w:eastAsia="zh-CN"/>
        </w:rPr>
        <w:t>郴州市2026年度视频专网组网租赁项目</w:t>
      </w:r>
      <w:r>
        <w:rPr>
          <w:rFonts w:ascii="宋体" w:hAnsi="宋体" w:eastAsia="宋体" w:cs="宋体"/>
          <w:color w:val="auto"/>
          <w:spacing w:val="2"/>
          <w:sz w:val="24"/>
          <w:szCs w:val="24"/>
          <w:highlight w:val="none"/>
        </w:rPr>
        <w:t>需求表配置网络带宽。</w:t>
      </w:r>
    </w:p>
    <w:p w14:paraId="44244D9A">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88" w:name="bookmark57"/>
      <w:bookmarkEnd w:id="188"/>
      <w:r>
        <w:rPr>
          <w:rFonts w:ascii="Arial" w:hAnsi="Arial" w:eastAsia="黑体" w:cs="宋体"/>
          <w:b/>
          <w:bCs/>
          <w:color w:val="auto"/>
          <w:kern w:val="2"/>
          <w:sz w:val="24"/>
          <w:szCs w:val="24"/>
          <w:highlight w:val="none"/>
          <w:lang w:val="zh-CN" w:eastAsia="zh-CN" w:bidi="ar-SA"/>
        </w:rPr>
        <w:t>租赁链路边界</w:t>
      </w:r>
    </w:p>
    <w:p w14:paraId="1CFF5CF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本项目网络链路租赁服务</w:t>
      </w:r>
      <w:r>
        <w:rPr>
          <w:rFonts w:hint="eastAsia" w:ascii="宋体" w:hAnsi="宋体" w:eastAsia="宋体" w:cs="宋体"/>
          <w:color w:val="auto"/>
          <w:spacing w:val="2"/>
          <w:sz w:val="24"/>
          <w:szCs w:val="24"/>
          <w:highlight w:val="none"/>
          <w:lang w:val="en-US" w:eastAsia="zh-CN"/>
        </w:rPr>
        <w:t>供应商</w:t>
      </w:r>
      <w:r>
        <w:rPr>
          <w:rFonts w:ascii="宋体" w:hAnsi="宋体" w:eastAsia="宋体" w:cs="宋体"/>
          <w:color w:val="auto"/>
          <w:spacing w:val="2"/>
          <w:sz w:val="24"/>
          <w:szCs w:val="24"/>
          <w:highlight w:val="none"/>
        </w:rPr>
        <w:t>需提供不限于网络链路在内的其他服务，如：链路中间节点的光交、机房，需求单位的终端交换设备、ONU等设备服务，以保证租赁的链路能满足各使用部门的业务需求。</w:t>
      </w:r>
    </w:p>
    <w:p w14:paraId="3028F111">
      <w:pPr>
        <w:keepNext/>
        <w:keepLines/>
        <w:widowControl/>
        <w:numPr>
          <w:ilvl w:val="1"/>
          <w:numId w:val="8"/>
        </w:numPr>
        <w:bidi w:val="0"/>
        <w:spacing w:before="50" w:beforeLines="50" w:after="50" w:afterLines="50" w:line="360" w:lineRule="auto"/>
        <w:ind w:left="851" w:leftChars="0" w:hanging="851" w:firstLineChars="0"/>
        <w:jc w:val="both"/>
        <w:outlineLvl w:val="1"/>
        <w:rPr>
          <w:rFonts w:ascii="Times New Roman" w:hAnsi="Times New Roman" w:eastAsia="黑体" w:cs="宋体"/>
          <w:b/>
          <w:bCs/>
          <w:color w:val="auto"/>
          <w:kern w:val="2"/>
          <w:sz w:val="24"/>
          <w:szCs w:val="24"/>
          <w:highlight w:val="none"/>
          <w:lang w:val="zh-CN" w:eastAsia="zh-CN" w:bidi="ar-SA"/>
        </w:rPr>
      </w:pPr>
      <w:bookmarkStart w:id="189" w:name="bookmark58"/>
      <w:bookmarkEnd w:id="189"/>
      <w:bookmarkStart w:id="190" w:name="_Toc8281"/>
      <w:r>
        <w:rPr>
          <w:rFonts w:ascii="Times New Roman" w:hAnsi="Times New Roman" w:eastAsia="黑体" w:cs="宋体"/>
          <w:b/>
          <w:bCs/>
          <w:color w:val="auto"/>
          <w:kern w:val="2"/>
          <w:sz w:val="24"/>
          <w:szCs w:val="24"/>
          <w:highlight w:val="none"/>
          <w:lang w:val="zh-CN" w:eastAsia="zh-CN" w:bidi="ar-SA"/>
        </w:rPr>
        <w:t>其他链路要求</w:t>
      </w:r>
      <w:bookmarkEnd w:id="190"/>
    </w:p>
    <w:p w14:paraId="31A83EFF">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供应商</w:t>
      </w:r>
      <w:r>
        <w:rPr>
          <w:rFonts w:ascii="宋体" w:hAnsi="宋体" w:eastAsia="宋体" w:cs="宋体"/>
          <w:color w:val="auto"/>
          <w:spacing w:val="2"/>
          <w:sz w:val="24"/>
          <w:szCs w:val="24"/>
          <w:highlight w:val="none"/>
        </w:rPr>
        <w:t>需提供一条带宽为100M的专线至政府中心机房，并提供8个IPV6互联网IP地址，政务云备份链路</w:t>
      </w:r>
      <w:r>
        <w:rPr>
          <w:rFonts w:hint="eastAsia" w:ascii="宋体" w:hAnsi="宋体" w:eastAsia="宋体" w:cs="宋体"/>
          <w:color w:val="auto"/>
          <w:spacing w:val="2"/>
          <w:sz w:val="24"/>
          <w:szCs w:val="24"/>
          <w:highlight w:val="none"/>
          <w:lang w:val="en-US" w:eastAsia="zh-CN"/>
        </w:rPr>
        <w:t>4</w:t>
      </w:r>
      <w:r>
        <w:rPr>
          <w:rFonts w:ascii="宋体" w:hAnsi="宋体" w:eastAsia="宋体" w:cs="宋体"/>
          <w:color w:val="auto"/>
          <w:spacing w:val="2"/>
          <w:sz w:val="24"/>
          <w:szCs w:val="24"/>
          <w:highlight w:val="none"/>
        </w:rPr>
        <w:t>条</w:t>
      </w:r>
      <w:r>
        <w:rPr>
          <w:rFonts w:hint="eastAsia" w:ascii="宋体" w:hAnsi="宋体" w:eastAsia="宋体" w:cs="宋体"/>
          <w:color w:val="auto"/>
          <w:spacing w:val="2"/>
          <w:sz w:val="24"/>
          <w:szCs w:val="24"/>
          <w:highlight w:val="none"/>
          <w:lang w:val="en-US" w:eastAsia="zh-CN"/>
        </w:rPr>
        <w:t>1</w:t>
      </w:r>
      <w:r>
        <w:rPr>
          <w:rFonts w:ascii="宋体" w:hAnsi="宋体" w:eastAsia="宋体" w:cs="宋体"/>
          <w:color w:val="auto"/>
          <w:spacing w:val="2"/>
          <w:sz w:val="24"/>
          <w:szCs w:val="24"/>
          <w:highlight w:val="none"/>
        </w:rPr>
        <w:t>0G</w:t>
      </w:r>
      <w:r>
        <w:rPr>
          <w:rFonts w:hint="eastAsia" w:ascii="宋体" w:hAnsi="宋体" w:eastAsia="宋体" w:cs="宋体"/>
          <w:color w:val="auto"/>
          <w:spacing w:val="2"/>
          <w:sz w:val="24"/>
          <w:szCs w:val="24"/>
          <w:highlight w:val="none"/>
          <w:lang w:val="en-US" w:eastAsia="zh-CN"/>
        </w:rPr>
        <w:t>聚合</w:t>
      </w:r>
      <w:r>
        <w:rPr>
          <w:rFonts w:ascii="宋体" w:hAnsi="宋体" w:eastAsia="宋体" w:cs="宋体"/>
          <w:color w:val="auto"/>
          <w:spacing w:val="2"/>
          <w:sz w:val="24"/>
          <w:szCs w:val="24"/>
          <w:highlight w:val="none"/>
        </w:rPr>
        <w:t>电路。</w:t>
      </w:r>
    </w:p>
    <w:p w14:paraId="0BA33DEE">
      <w:pPr>
        <w:keepNext/>
        <w:keepLines/>
        <w:widowControl/>
        <w:numPr>
          <w:ilvl w:val="1"/>
          <w:numId w:val="8"/>
        </w:numPr>
        <w:bidi w:val="0"/>
        <w:spacing w:before="50" w:beforeLines="50" w:after="50" w:afterLines="50" w:line="360" w:lineRule="auto"/>
        <w:ind w:left="851" w:leftChars="0" w:hanging="851" w:firstLineChars="0"/>
        <w:jc w:val="both"/>
        <w:outlineLvl w:val="1"/>
        <w:rPr>
          <w:rFonts w:ascii="Times New Roman" w:hAnsi="Times New Roman" w:eastAsia="黑体" w:cs="宋体"/>
          <w:b/>
          <w:bCs/>
          <w:color w:val="auto"/>
          <w:kern w:val="2"/>
          <w:sz w:val="24"/>
          <w:szCs w:val="24"/>
          <w:highlight w:val="none"/>
          <w:lang w:val="zh-CN" w:eastAsia="zh-CN" w:bidi="ar-SA"/>
        </w:rPr>
      </w:pPr>
      <w:bookmarkStart w:id="191" w:name="bookmark59"/>
      <w:bookmarkEnd w:id="191"/>
      <w:bookmarkStart w:id="192" w:name="_Toc20602"/>
      <w:r>
        <w:rPr>
          <w:rFonts w:ascii="Times New Roman" w:hAnsi="Times New Roman" w:eastAsia="黑体" w:cs="宋体"/>
          <w:b/>
          <w:bCs/>
          <w:color w:val="auto"/>
          <w:kern w:val="2"/>
          <w:sz w:val="24"/>
          <w:szCs w:val="24"/>
          <w:highlight w:val="none"/>
          <w:lang w:val="zh-CN" w:eastAsia="zh-CN" w:bidi="ar-SA"/>
        </w:rPr>
        <w:t>“智能天网”汇聚机房托管要求</w:t>
      </w:r>
      <w:bookmarkEnd w:id="192"/>
    </w:p>
    <w:p w14:paraId="4FF1462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汇聚层各汇聚节点机房需根据前端业务收敛情况提供不低于60个机架托管视频存储服务。</w:t>
      </w:r>
    </w:p>
    <w:p w14:paraId="63CA19B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为确保视频专网整个平台稳定运行，原视频专网规划了6个采用运营商托管形式的中心城区汇聚机房，即将汇聚层存储、网络设备全部托管于运营商IDC标准机房。</w:t>
      </w:r>
    </w:p>
    <w:p w14:paraId="013BA8C9">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hint="eastAsia" w:ascii="宋体" w:hAnsi="宋体" w:eastAsia="宋体" w:cs="宋体"/>
          <w:color w:val="auto"/>
          <w:spacing w:val="2"/>
          <w:sz w:val="24"/>
          <w:szCs w:val="24"/>
          <w:highlight w:val="none"/>
          <w:lang w:eastAsia="zh-CN"/>
        </w:rPr>
      </w:pPr>
      <w:r>
        <w:rPr>
          <w:rFonts w:ascii="宋体" w:hAnsi="宋体" w:eastAsia="宋体" w:cs="宋体"/>
          <w:b/>
          <w:bCs/>
          <w:color w:val="auto"/>
          <w:spacing w:val="2"/>
          <w:sz w:val="24"/>
          <w:szCs w:val="24"/>
          <w:highlight w:val="none"/>
        </w:rPr>
        <w:t>本项目承建单位需按要求提供机房环境和相关设备，同时需承担托管机房迁移相关设备的搬迁服务，采购清单中智能天网机房托管服务已全部包含此部</w:t>
      </w:r>
      <w:r>
        <w:rPr>
          <w:rFonts w:hint="eastAsia" w:ascii="宋体" w:hAnsi="宋体" w:eastAsia="宋体" w:cs="宋体"/>
          <w:b/>
          <w:bCs/>
          <w:color w:val="auto"/>
          <w:spacing w:val="2"/>
          <w:sz w:val="24"/>
          <w:szCs w:val="24"/>
          <w:highlight w:val="none"/>
          <w:lang w:eastAsia="zh-CN"/>
        </w:rPr>
        <w:t>分</w:t>
      </w:r>
      <w:r>
        <w:rPr>
          <w:rFonts w:ascii="宋体" w:hAnsi="宋体" w:eastAsia="宋体" w:cs="宋体"/>
          <w:b/>
          <w:bCs/>
          <w:color w:val="auto"/>
          <w:spacing w:val="2"/>
          <w:sz w:val="24"/>
          <w:szCs w:val="24"/>
          <w:highlight w:val="none"/>
        </w:rPr>
        <w:t>服务费用，建设单位不再向承建单位支付因场地租用、机房建设以及机房配套设施建设等产生的任何费用</w:t>
      </w:r>
      <w:r>
        <w:rPr>
          <w:rFonts w:hint="eastAsia" w:ascii="宋体" w:hAnsi="宋体" w:eastAsia="宋体" w:cs="宋体"/>
          <w:b/>
          <w:bCs/>
          <w:color w:val="auto"/>
          <w:spacing w:val="2"/>
          <w:sz w:val="24"/>
          <w:szCs w:val="24"/>
          <w:highlight w:val="none"/>
          <w:lang w:eastAsia="zh-CN"/>
        </w:rPr>
        <w:t>。</w:t>
      </w:r>
    </w:p>
    <w:p w14:paraId="64A223AD">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zh-CN" w:eastAsia="zh-CN" w:bidi="ar-SA"/>
        </w:rPr>
        <w:t>汇聚机房</w:t>
      </w:r>
      <w:r>
        <w:rPr>
          <w:rFonts w:hint="eastAsia" w:ascii="Arial" w:hAnsi="Arial" w:eastAsia="黑体" w:cs="宋体"/>
          <w:b/>
          <w:bCs/>
          <w:color w:val="auto"/>
          <w:kern w:val="2"/>
          <w:sz w:val="24"/>
          <w:szCs w:val="24"/>
          <w:highlight w:val="none"/>
          <w:lang w:val="en-US" w:eastAsia="zh-CN" w:bidi="ar-SA"/>
        </w:rPr>
        <w:t>设备</w:t>
      </w:r>
      <w:r>
        <w:rPr>
          <w:rFonts w:hint="eastAsia" w:ascii="Arial" w:hAnsi="Arial" w:eastAsia="黑体" w:cs="宋体"/>
          <w:b/>
          <w:bCs/>
          <w:color w:val="auto"/>
          <w:kern w:val="2"/>
          <w:sz w:val="24"/>
          <w:szCs w:val="24"/>
          <w:highlight w:val="none"/>
          <w:lang w:val="zh-CN" w:eastAsia="zh-CN" w:bidi="ar-SA"/>
        </w:rPr>
        <w:t>搬迁相关要求</w:t>
      </w:r>
    </w:p>
    <w:p w14:paraId="41387F9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汇聚机房搬迁是一项涉及设备迁移、网络中断控制、数据安全保障等多方面的系统性工程，需遵循严格的规范和流程，以确保搬迁过程中业务不中断、数据不丢失、设备无损坏。以下从前期准备、实施过程、验收与收尾三个阶段梳理相关要求：</w:t>
      </w:r>
    </w:p>
    <w:p w14:paraId="520BE137">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前期准备阶段要求</w:t>
      </w:r>
    </w:p>
    <w:p w14:paraId="6228C78A">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需求调研与方案制定</w:t>
      </w:r>
    </w:p>
    <w:p w14:paraId="66A0B88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业务梳理：全面统计机房内所有设备（服务器、交换机、路由器、存储设备等）的型号、数量、配置参数、物理位置及连接关系，明确各设备承载的业务类型、重要程度、运行状态（如是否为核心业务、是否有冗余设备）。</w:t>
      </w:r>
    </w:p>
    <w:p w14:paraId="4EB533C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目标机房评估：对新机房的电力供应（UPS容量、供电稳定性、接地是否符合标准）、空调制冷（温湿度控制范围、通风情况）、机房空间（机柜数量、尺寸、承重能力）、消防系统（灭火方式、报警装置）、网络接入（光纤链路、带宽资源）等基础设施进行实地勘察，确保满足设备运行需求。</w:t>
      </w:r>
    </w:p>
    <w:p w14:paraId="64B60E4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搬迁方案编制：方案需包含搬迁范围、时间计划（分阶段搬迁安排、各环节耗时预估）、人员分工（技术组、搬运组、应急组等职责划分）、设备迁移顺序（优先非核心业务设备，再核心设备）、网络割接方案（IP地址重新规划、路由配置调整、链路测试）、应急处理预案（设备故障、网络中断、数据丢失等应对措施）。</w:t>
      </w:r>
    </w:p>
    <w:p w14:paraId="5C64920D">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资源筹备</w:t>
      </w:r>
    </w:p>
    <w:p w14:paraId="2C60C4C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设备与材料准备：准备搬迁所需的工具（螺丝刀、扳手、标签机等）、包装材料（防静电袋、泡沫、纸箱等）、临时线缆（网线、光纤跳线、电源线等）、备用设备（关键设备的冗余备件）。</w:t>
      </w:r>
    </w:p>
    <w:p w14:paraId="7B038846">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人员与资质确认：组建专业搬迁团队，包括技术人员（熟悉设备操作和网络配置）、搬运人员（具备设备搬运经验，避免设备损坏）；确保参与人员具备相关资质，如高压电工证（涉及电力操作时）。</w:t>
      </w:r>
    </w:p>
    <w:p w14:paraId="21D4262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外部协调：与电信运营商、设备厂商等外部单位沟通，确认网络链路迁移时间、设备技术支持等事宜；向业务部门提前通知搬迁计划，明确业务中断时间，获取用户配合。</w:t>
      </w:r>
    </w:p>
    <w:p w14:paraId="408F1796">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风险评估与预案</w:t>
      </w:r>
    </w:p>
    <w:p w14:paraId="6037113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风险识别：识别搬迁过程中可能存在的风险，如设备损坏（搬运过程中震动、碰撞）、数据丢失（迁移前未备份）、网络中断时间过长（割接方案不合理）、电力故障（新机房供电不稳定）等。</w:t>
      </w:r>
    </w:p>
    <w:p w14:paraId="422B985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应急预案制定：针对各类风险制定具体应对措施，如设备损坏时启用备用设备；数据丢失时通过备份恢复；网络中断</w:t>
      </w:r>
      <w:r>
        <w:rPr>
          <w:rFonts w:hint="eastAsia" w:ascii="宋体" w:hAnsi="宋体" w:eastAsia="宋体" w:cs="宋体"/>
          <w:color w:val="auto"/>
          <w:spacing w:val="2"/>
          <w:sz w:val="24"/>
          <w:szCs w:val="24"/>
          <w:highlight w:val="none"/>
          <w:lang w:eastAsia="zh-CN"/>
        </w:rPr>
        <w:t>时</w:t>
      </w:r>
      <w:r>
        <w:rPr>
          <w:rFonts w:hint="eastAsia" w:ascii="宋体" w:hAnsi="宋体" w:eastAsia="宋体" w:cs="宋体"/>
          <w:color w:val="auto"/>
          <w:spacing w:val="2"/>
          <w:sz w:val="24"/>
          <w:szCs w:val="24"/>
          <w:highlight w:val="none"/>
        </w:rPr>
        <w:t>启动临时链路；电力故障时切换至UPS供电。</w:t>
      </w:r>
    </w:p>
    <w:p w14:paraId="6FDB971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备份与测试：对所有设备的数据进行全量备份，并验证备份数据的完整性和可恢复性；对网络割接方案、应急处理流程进行模拟测试，确保方案可行。</w:t>
      </w:r>
    </w:p>
    <w:p w14:paraId="35DA8247">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实施过程阶段要求</w:t>
      </w:r>
    </w:p>
    <w:p w14:paraId="45CE489C">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设备下架与包装</w:t>
      </w:r>
    </w:p>
    <w:p w14:paraId="3AB422F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设备停机与检查：按照业务优先级依次停机，停机前确认业务已正常迁移或暂停，记录设备运行状态参数；检查设备外观是否有损坏、接口是否松动，拍照存档。</w:t>
      </w:r>
    </w:p>
    <w:p w14:paraId="509D6FA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线缆标识与拆除：使用标签机对设备的所有线缆（电源线、网线、光纤等）两端进行唯一标识（注明设备名称、接口编号），绘制线缆连接拓扑图；小心拆除线缆，避免拉扯导致接口损坏。</w:t>
      </w:r>
    </w:p>
    <w:p w14:paraId="477C795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包装与固定：将设备放入防静电袋，再装入填充泡沫的纸箱，确保设备在箱内无晃动；对精密设备（如服务器、存储阵列）采取防震措施，如使用防震垫；在包装箱外标注设备名称、编号、搬运注意事项（如“向上”“易碎”）。</w:t>
      </w:r>
    </w:p>
    <w:p w14:paraId="47E98511">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设备运输</w:t>
      </w:r>
    </w:p>
    <w:p w14:paraId="14246F1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运输车辆要求：选用具备防震、防潮功能的运输车辆，车厢内铺设防震垫；根据设备重量和尺寸合理摆放，避免堆叠挤压，重心不稳导致翻车。</w:t>
      </w:r>
    </w:p>
    <w:p w14:paraId="307D58B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运输过程监控：安排专人押运，实时监控运输状态，避免急刹车、剧烈颠簸等情况；运输途中保持设备直立，禁止倒置或倾斜超过规定角度（具体参照设备说明书）。</w:t>
      </w:r>
    </w:p>
    <w:p w14:paraId="001AC6B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到货验收：设备运抵新机房后，核对设备数量、编号与装箱清单是否一致，检查包装箱是否有破损；开箱检查设备外观，确认无损坏后签字确认。</w:t>
      </w:r>
    </w:p>
    <w:p w14:paraId="4CC21EE8">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设备上架与连接</w:t>
      </w:r>
    </w:p>
    <w:p w14:paraId="3EAB554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机柜规划与安装：根据新机房的机柜布局图，将机柜固定在指定位置，调整机柜水平度；按照设备功率、散热需求合理规划设备在机柜内的安装位置，确保通风良好。</w:t>
      </w:r>
    </w:p>
    <w:p w14:paraId="6497504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设备上架与线缆连接：按照设备编号依次上架，固定设备时使用专用螺丝，确保牢固；根据线缆标识和拓扑图连接线缆，连接后核对接口是否正确，避免错接。</w:t>
      </w:r>
    </w:p>
    <w:p w14:paraId="036B711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电力与网络测试：接通设备电源，检查设备供电是否正常；连接网络线缆，通过ping测试、链路检测等方式验证网络连通性，确认设备能正常接入网络。</w:t>
      </w:r>
    </w:p>
    <w:p w14:paraId="5B0798C9">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网络割接与业务恢复</w:t>
      </w:r>
    </w:p>
    <w:p w14:paraId="10D13EF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网络配置调整：根据新机房的网络规划，重新配置设备的IP地址、子网掩码、网关、路由协议等参数；配置防火墙规则、负载均衡策略等，确保网络安全和性能。</w:t>
      </w:r>
    </w:p>
    <w:p w14:paraId="72E3D90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业务启动与测试：按照与停机相反的顺序启动设备，先启动核心设备，再启动边缘设备；逐业务进行测试，验证业务功能是否正常（如数据传输、访问速度、服务响应时间等），对比搬迁前后的业务性能指标。</w:t>
      </w:r>
    </w:p>
    <w:p w14:paraId="5DF66D86">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中断时间控制：严格按照计划控制业务中断时间，如遇突发情况导致中断超时，立即启动应急方案，缩短影响范围。</w:t>
      </w:r>
    </w:p>
    <w:p w14:paraId="78761922">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 xml:space="preserve"> 验收测试</w:t>
      </w:r>
    </w:p>
    <w:p w14:paraId="092786A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本项目机房托管</w:t>
      </w:r>
      <w:r>
        <w:rPr>
          <w:rFonts w:hint="eastAsia" w:ascii="宋体" w:hAnsi="宋体" w:eastAsia="宋体" w:cs="宋体"/>
          <w:color w:val="auto"/>
          <w:spacing w:val="2"/>
          <w:sz w:val="24"/>
          <w:szCs w:val="24"/>
          <w:highlight w:val="none"/>
          <w:lang w:val="en-US" w:eastAsia="zh-CN"/>
        </w:rPr>
        <w:t>搬迁</w:t>
      </w:r>
      <w:r>
        <w:rPr>
          <w:rFonts w:hint="eastAsia" w:ascii="宋体" w:hAnsi="宋体" w:eastAsia="宋体" w:cs="宋体"/>
          <w:color w:val="auto"/>
          <w:spacing w:val="2"/>
          <w:sz w:val="24"/>
          <w:szCs w:val="24"/>
          <w:highlight w:val="none"/>
        </w:rPr>
        <w:t>全部完成后，</w:t>
      </w:r>
      <w:r>
        <w:rPr>
          <w:rFonts w:hint="eastAsia" w:ascii="宋体" w:hAnsi="宋体" w:eastAsia="宋体" w:cs="宋体"/>
          <w:color w:val="auto"/>
          <w:spacing w:val="2"/>
          <w:sz w:val="24"/>
          <w:szCs w:val="24"/>
          <w:highlight w:val="none"/>
          <w:lang w:val="en-US" w:eastAsia="zh-CN"/>
        </w:rPr>
        <w:t>供应</w:t>
      </w:r>
      <w:r>
        <w:rPr>
          <w:rFonts w:hint="eastAsia" w:ascii="宋体" w:hAnsi="宋体" w:eastAsia="宋体" w:cs="宋体"/>
          <w:color w:val="auto"/>
          <w:spacing w:val="2"/>
          <w:sz w:val="24"/>
          <w:szCs w:val="24"/>
          <w:highlight w:val="none"/>
        </w:rPr>
        <w:t>商须组织开展全项竣工验收测试，严禁自行自测自验。</w:t>
      </w:r>
      <w:r>
        <w:rPr>
          <w:rFonts w:hint="eastAsia" w:ascii="宋体" w:hAnsi="宋体" w:eastAsia="宋体" w:cs="宋体"/>
          <w:color w:val="auto"/>
          <w:spacing w:val="2"/>
          <w:sz w:val="24"/>
          <w:szCs w:val="24"/>
          <w:highlight w:val="none"/>
          <w:lang w:val="en-US" w:eastAsia="zh-CN"/>
        </w:rPr>
        <w:t>供应商</w:t>
      </w:r>
      <w:r>
        <w:rPr>
          <w:rFonts w:hint="eastAsia" w:ascii="宋体" w:hAnsi="宋体" w:eastAsia="宋体" w:cs="宋体"/>
          <w:color w:val="auto"/>
          <w:spacing w:val="2"/>
          <w:sz w:val="24"/>
          <w:szCs w:val="24"/>
          <w:highlight w:val="none"/>
        </w:rPr>
        <w:t>必须委托具备信息化/通信网络工程验收测评经营范围的第三方专业检测机构，对本项目所有</w:t>
      </w:r>
      <w:r>
        <w:rPr>
          <w:rFonts w:hint="eastAsia" w:ascii="宋体" w:hAnsi="宋体" w:eastAsia="宋体" w:cs="宋体"/>
          <w:color w:val="auto"/>
          <w:spacing w:val="2"/>
          <w:sz w:val="24"/>
          <w:szCs w:val="24"/>
          <w:highlight w:val="none"/>
          <w:lang w:val="en-US" w:eastAsia="zh-CN"/>
        </w:rPr>
        <w:t>机房搬迁</w:t>
      </w:r>
      <w:r>
        <w:rPr>
          <w:rFonts w:hint="eastAsia" w:ascii="宋体" w:hAnsi="宋体" w:eastAsia="宋体" w:cs="宋体"/>
          <w:color w:val="auto"/>
          <w:spacing w:val="2"/>
          <w:sz w:val="24"/>
          <w:szCs w:val="24"/>
          <w:highlight w:val="none"/>
        </w:rPr>
        <w:t>内容开展全面、合规的竣工验收检测，杜绝无资质机构、行业内部机构自测验收。</w:t>
      </w:r>
    </w:p>
    <w:p w14:paraId="1598E3F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第三方验收测试范围</w:t>
      </w:r>
      <w:r>
        <w:rPr>
          <w:rFonts w:hint="eastAsia" w:ascii="宋体" w:hAnsi="宋体" w:eastAsia="宋体" w:cs="宋体"/>
          <w:color w:val="auto"/>
          <w:spacing w:val="2"/>
          <w:sz w:val="24"/>
          <w:szCs w:val="24"/>
          <w:highlight w:val="none"/>
          <w:lang w:eastAsia="zh-CN"/>
        </w:rPr>
        <w:t>全面</w:t>
      </w:r>
      <w:r>
        <w:rPr>
          <w:rFonts w:hint="eastAsia" w:ascii="宋体" w:hAnsi="宋体" w:eastAsia="宋体" w:cs="宋体"/>
          <w:color w:val="auto"/>
          <w:spacing w:val="2"/>
          <w:sz w:val="24"/>
          <w:szCs w:val="24"/>
          <w:highlight w:val="none"/>
        </w:rPr>
        <w:t>覆盖本项目建设内容，包含但不限于：视频专网全层级链路性能测试、政务互联链路质量检测、网络时延/抖动/丢包/在线率等核心指标核验、汇聚机房托管环境及设备运行状态检测、前端监控点位运维质量验收、网络安全合规检测、系统整体运行稳定性测试等，所有测试指标需严格遵循本项目设计标准及优于现行国家、行业技术规范的相关要求。</w:t>
      </w:r>
    </w:p>
    <w:p w14:paraId="051666C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第三方检测机构需依据实测数据，出具正式、可溯源、具备法律效力的专项竣工验收报告，报告需明确标注各项测试指标达标情况、与国家标准及项目专项标准对比结果、整体验收合格结论，完整留存检测原始数据、测试日志、现场核验照片等佐证资料，不得出具空白报告、结论模糊报告或数据造假报告。</w:t>
      </w:r>
    </w:p>
    <w:p w14:paraId="17CB423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default"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供应商</w:t>
      </w:r>
      <w:r>
        <w:rPr>
          <w:rFonts w:hint="eastAsia" w:ascii="宋体" w:hAnsi="宋体" w:eastAsia="宋体" w:cs="宋体"/>
          <w:color w:val="auto"/>
          <w:spacing w:val="2"/>
          <w:sz w:val="24"/>
          <w:szCs w:val="24"/>
          <w:highlight w:val="none"/>
        </w:rPr>
        <w:t>须在</w:t>
      </w:r>
      <w:r>
        <w:rPr>
          <w:rFonts w:hint="eastAsia" w:ascii="宋体" w:hAnsi="宋体" w:eastAsia="宋体" w:cs="宋体"/>
          <w:color w:val="auto"/>
          <w:spacing w:val="2"/>
          <w:sz w:val="24"/>
          <w:szCs w:val="24"/>
          <w:highlight w:val="none"/>
          <w:lang w:val="en-US" w:eastAsia="zh-CN"/>
        </w:rPr>
        <w:t>机房设备搬迁</w:t>
      </w:r>
      <w:r>
        <w:rPr>
          <w:rFonts w:hint="eastAsia" w:ascii="宋体" w:hAnsi="宋体" w:eastAsia="宋体" w:cs="宋体"/>
          <w:color w:val="auto"/>
          <w:spacing w:val="2"/>
          <w:sz w:val="24"/>
          <w:szCs w:val="24"/>
          <w:highlight w:val="none"/>
        </w:rPr>
        <w:t>完工、自测合格后15个工作日内完成第三方全项检测及验收报告出具，并将全套验收报告、检测佐证资料统一提交至郴州市数据局备案，作为项目竣工验收、履约结算、质保期起算、项目归档的核心依据。若第三方验收结果存在指标不达标、内容缺失、资质无效等问题，视为项目验收不合格，</w:t>
      </w:r>
      <w:r>
        <w:rPr>
          <w:rFonts w:hint="eastAsia" w:ascii="宋体" w:hAnsi="宋体" w:eastAsia="宋体" w:cs="宋体"/>
          <w:color w:val="auto"/>
          <w:spacing w:val="2"/>
          <w:sz w:val="24"/>
          <w:szCs w:val="24"/>
          <w:highlight w:val="none"/>
          <w:lang w:eastAsia="zh-CN"/>
        </w:rPr>
        <w:t>供应商</w:t>
      </w:r>
      <w:r>
        <w:rPr>
          <w:rFonts w:hint="eastAsia" w:ascii="宋体" w:hAnsi="宋体" w:eastAsia="宋体" w:cs="宋体"/>
          <w:color w:val="auto"/>
          <w:spacing w:val="2"/>
          <w:sz w:val="24"/>
          <w:szCs w:val="24"/>
          <w:highlight w:val="none"/>
        </w:rPr>
        <w:t>须无条件限期整改，并重新委托第三方开展复测，产生的所有费用由</w:t>
      </w:r>
      <w:r>
        <w:rPr>
          <w:rFonts w:hint="eastAsia" w:ascii="宋体" w:hAnsi="宋体" w:eastAsia="宋体" w:cs="宋体"/>
          <w:color w:val="auto"/>
          <w:spacing w:val="2"/>
          <w:sz w:val="24"/>
          <w:szCs w:val="24"/>
          <w:highlight w:val="none"/>
          <w:lang w:eastAsia="zh-CN"/>
        </w:rPr>
        <w:t>供应商</w:t>
      </w:r>
      <w:r>
        <w:rPr>
          <w:rFonts w:hint="eastAsia" w:ascii="宋体" w:hAnsi="宋体" w:eastAsia="宋体" w:cs="宋体"/>
          <w:color w:val="auto"/>
          <w:spacing w:val="2"/>
          <w:sz w:val="24"/>
          <w:szCs w:val="24"/>
          <w:highlight w:val="none"/>
        </w:rPr>
        <w:t>自行承担。</w:t>
      </w:r>
      <w:r>
        <w:rPr>
          <w:rFonts w:hint="eastAsia" w:ascii="宋体" w:hAnsi="宋体" w:eastAsia="宋体" w:cs="宋体"/>
          <w:color w:val="auto"/>
          <w:spacing w:val="2"/>
          <w:sz w:val="24"/>
          <w:szCs w:val="24"/>
          <w:highlight w:val="none"/>
          <w:lang w:val="en-US" w:eastAsia="zh-CN"/>
        </w:rPr>
        <w:t>测试的内容包括但不限于以下内容：</w:t>
      </w:r>
    </w:p>
    <w:p w14:paraId="2E89E7C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设备与网络检查：检查所有设备是否正常运行，无告警信息；测试网络带宽、时延、丢包率等指标，确保达到业务要求；验证数据完整性，确认备份数据可正常恢复。</w:t>
      </w:r>
    </w:p>
    <w:p w14:paraId="509D33C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文档与标识确认：整理搬迁过程中的各类文档，包括设备清单、线缆连接图、网络配置文档、测试报告等；确认新机房内设备、机柜、线缆的标识清晰准确，便于后续维护。</w:t>
      </w:r>
    </w:p>
    <w:p w14:paraId="1879BD7F">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业务部门验收：邀请业务部门对搬迁后的业务运行情况进行验收，签署验收报告，确认业务恢复正常。</w:t>
      </w:r>
    </w:p>
    <w:p w14:paraId="5D94691D">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旧机房处理</w:t>
      </w:r>
    </w:p>
    <w:p w14:paraId="7537D56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设备与材料清理：拆除旧机房内的剩余线缆、机架等设施，清理包装材料和垃圾；对不再使用的设备进行资产登记，按照规定进行报废或回收处理。</w:t>
      </w:r>
    </w:p>
    <w:p w14:paraId="6308FF0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环境恢复：恢复旧机房的环境原貌，关闭水电、空调等设施，办理退租手续（如为租赁机房）。</w:t>
      </w:r>
    </w:p>
    <w:p w14:paraId="04A3D67A">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总结与复盘</w:t>
      </w:r>
    </w:p>
    <w:p w14:paraId="048F62F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搬迁总结：召开搬迁总结会议，梳理搬迁过程中的经验教训，记录问题处理方法和优化建议。</w:t>
      </w:r>
    </w:p>
    <w:p w14:paraId="04CF4F9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文档归档：将搬迁方案、测试报告、验收报告、设备文档等所有资料进行归档保存，为后续机房维护和再次搬迁提供参考。</w:t>
      </w:r>
    </w:p>
    <w:p w14:paraId="4DDD6D40">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特殊注意事项</w:t>
      </w:r>
    </w:p>
    <w:p w14:paraId="4BBCB8D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防静电要求：在设备下架、上架、线缆连接过程中，操作人员需佩戴防静电手环，避免静电损坏设备元器件。</w:t>
      </w:r>
    </w:p>
    <w:p w14:paraId="1069BA7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精密设备处理：对于服务器、存储设备、核心交换机等精密设备，搬运和安装时需轻拿轻放，避免剧烈</w:t>
      </w:r>
      <w:r>
        <w:rPr>
          <w:rFonts w:hint="eastAsia" w:ascii="宋体" w:hAnsi="宋体" w:eastAsia="宋体" w:cs="宋体"/>
          <w:color w:val="auto"/>
          <w:spacing w:val="2"/>
          <w:sz w:val="24"/>
          <w:szCs w:val="24"/>
          <w:highlight w:val="none"/>
          <w:lang w:eastAsia="zh-CN"/>
        </w:rPr>
        <w:t>振动</w:t>
      </w:r>
      <w:r>
        <w:rPr>
          <w:rFonts w:hint="eastAsia" w:ascii="宋体" w:hAnsi="宋体" w:eastAsia="宋体" w:cs="宋体"/>
          <w:color w:val="auto"/>
          <w:spacing w:val="2"/>
          <w:sz w:val="24"/>
          <w:szCs w:val="24"/>
          <w:highlight w:val="none"/>
        </w:rPr>
        <w:t>；光纤设备需注意防尘，接口未连接时需加盖防尘帽。</w:t>
      </w:r>
    </w:p>
    <w:p w14:paraId="3E42157F">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安全规范：严格遵守电力操作安全规范，进行高压电操作时需两人在场，一人操作一人监护；动火作业（如需要）需办理动火许可证，配备灭火器材。</w:t>
      </w:r>
    </w:p>
    <w:p w14:paraId="0DE2C77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合规性要求：搬迁过程需符合数据安全相关法规（如《</w:t>
      </w:r>
      <w:r>
        <w:rPr>
          <w:rFonts w:hint="eastAsia" w:ascii="宋体" w:hAnsi="宋体" w:eastAsia="宋体" w:cs="宋体"/>
          <w:color w:val="auto"/>
          <w:spacing w:val="2"/>
          <w:sz w:val="24"/>
          <w:szCs w:val="24"/>
          <w:highlight w:val="none"/>
          <w:lang w:eastAsia="zh-CN"/>
        </w:rPr>
        <w:t>中华人民共和国网络安全法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lang w:eastAsia="zh-CN"/>
        </w:rPr>
        <w:t>中华人民共和国数据安全法</w:t>
      </w:r>
      <w:r>
        <w:rPr>
          <w:rFonts w:hint="eastAsia" w:ascii="宋体" w:hAnsi="宋体" w:eastAsia="宋体" w:cs="宋体"/>
          <w:color w:val="auto"/>
          <w:spacing w:val="2"/>
          <w:sz w:val="24"/>
          <w:szCs w:val="24"/>
          <w:highlight w:val="none"/>
        </w:rPr>
        <w:t>》），确保数据迁移和处理过程合法合规，避免数据</w:t>
      </w:r>
      <w:r>
        <w:rPr>
          <w:rFonts w:hint="eastAsia" w:ascii="宋体" w:hAnsi="宋体" w:eastAsia="宋体" w:cs="宋体"/>
          <w:color w:val="auto"/>
          <w:spacing w:val="2"/>
          <w:sz w:val="24"/>
          <w:szCs w:val="24"/>
          <w:highlight w:val="none"/>
          <w:lang w:eastAsia="zh-CN"/>
        </w:rPr>
        <w:t>泄漏</w:t>
      </w:r>
      <w:r>
        <w:rPr>
          <w:rFonts w:hint="eastAsia" w:ascii="宋体" w:hAnsi="宋体" w:eastAsia="宋体" w:cs="宋体"/>
          <w:color w:val="auto"/>
          <w:spacing w:val="2"/>
          <w:sz w:val="24"/>
          <w:szCs w:val="24"/>
          <w:highlight w:val="none"/>
        </w:rPr>
        <w:t>。</w:t>
      </w:r>
    </w:p>
    <w:p w14:paraId="58C7415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通过严格遵循以上要求，可最大限度降低汇聚机房搬迁的风险，保障业务平稳过渡和设备安全运行。</w:t>
      </w:r>
    </w:p>
    <w:p w14:paraId="7D5E7E18">
      <w:pPr>
        <w:spacing w:before="26" w:line="376" w:lineRule="auto"/>
        <w:ind w:left="207" w:right="105" w:firstLine="476" w:firstLineChars="200"/>
        <w:jc w:val="both"/>
        <w:rPr>
          <w:rFonts w:ascii="宋体" w:hAnsi="宋体" w:eastAsia="宋体" w:cs="宋体"/>
          <w:color w:val="auto"/>
          <w:spacing w:val="-1"/>
          <w:sz w:val="24"/>
          <w:szCs w:val="24"/>
          <w:highlight w:val="none"/>
        </w:rPr>
      </w:pPr>
    </w:p>
    <w:p w14:paraId="46C0D0B7">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ascii="Arial" w:hAnsi="Arial" w:eastAsia="黑体" w:cs="宋体"/>
          <w:b/>
          <w:bCs/>
          <w:color w:val="auto"/>
          <w:kern w:val="2"/>
          <w:sz w:val="24"/>
          <w:szCs w:val="24"/>
          <w:highlight w:val="none"/>
          <w:lang w:val="zh-CN" w:eastAsia="zh-CN" w:bidi="ar-SA"/>
        </w:rPr>
        <w:t>托管机房</w:t>
      </w:r>
      <w:r>
        <w:rPr>
          <w:rFonts w:hint="eastAsia" w:ascii="Arial" w:hAnsi="Arial" w:eastAsia="黑体" w:cs="宋体"/>
          <w:b/>
          <w:bCs/>
          <w:color w:val="auto"/>
          <w:kern w:val="2"/>
          <w:sz w:val="24"/>
          <w:szCs w:val="24"/>
          <w:highlight w:val="none"/>
          <w:lang w:val="en-US" w:eastAsia="zh-CN" w:bidi="ar-SA"/>
        </w:rPr>
        <w:t>的相关要求</w:t>
      </w:r>
    </w:p>
    <w:p w14:paraId="3FD1EE35">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default"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机房设计标准要求</w:t>
      </w:r>
    </w:p>
    <w:p w14:paraId="1746E95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要求整个设备区布局合理、设计先进、施工规范、质量可靠，且符合《数据中心设计规范》（GB50174-2017）、《数据中心基础设施施工及验收规范》</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GB50462-2015</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等有关国家标准</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参考B类机房标准进行建设。</w:t>
      </w:r>
    </w:p>
    <w:p w14:paraId="2BBD9091">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托管机房空间要求</w:t>
      </w:r>
    </w:p>
    <w:p w14:paraId="1D6B251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每个托管机房均需按不少于10个42U机柜空间及配套设备空间进行规划设计，42U机柜标准为600×800×2000/mm（宽×深×高/mm）。</w:t>
      </w:r>
    </w:p>
    <w:p w14:paraId="488C1969">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托管机房功耗要求</w:t>
      </w:r>
    </w:p>
    <w:p w14:paraId="700DB1B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每个托管机房针对基础视频存储功耗均按不低于35</w:t>
      </w:r>
      <w:r>
        <w:rPr>
          <w:rFonts w:hint="eastAsia" w:ascii="宋体" w:hAnsi="宋体" w:eastAsia="宋体" w:cs="宋体"/>
          <w:color w:val="auto"/>
          <w:spacing w:val="2"/>
          <w:sz w:val="24"/>
          <w:szCs w:val="24"/>
          <w:highlight w:val="none"/>
          <w:lang w:eastAsia="zh-CN"/>
        </w:rPr>
        <w:t>kW</w:t>
      </w:r>
      <w:r>
        <w:rPr>
          <w:rFonts w:ascii="宋体" w:hAnsi="宋体" w:eastAsia="宋体" w:cs="宋体"/>
          <w:color w:val="auto"/>
          <w:spacing w:val="2"/>
          <w:sz w:val="24"/>
          <w:szCs w:val="24"/>
          <w:highlight w:val="none"/>
        </w:rPr>
        <w:t>规划设计，支持升级到50</w:t>
      </w:r>
      <w:r>
        <w:rPr>
          <w:rFonts w:hint="eastAsia" w:ascii="宋体" w:hAnsi="宋体" w:eastAsia="宋体" w:cs="宋体"/>
          <w:color w:val="auto"/>
          <w:spacing w:val="2"/>
          <w:sz w:val="24"/>
          <w:szCs w:val="24"/>
          <w:highlight w:val="none"/>
          <w:lang w:eastAsia="zh-CN"/>
        </w:rPr>
        <w:t>kW</w:t>
      </w:r>
      <w:r>
        <w:rPr>
          <w:rFonts w:ascii="宋体" w:hAnsi="宋体" w:eastAsia="宋体" w:cs="宋体"/>
          <w:color w:val="auto"/>
          <w:spacing w:val="2"/>
          <w:sz w:val="24"/>
          <w:szCs w:val="24"/>
          <w:highlight w:val="none"/>
        </w:rPr>
        <w:t>。</w:t>
      </w:r>
    </w:p>
    <w:p w14:paraId="065AA5C4">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配套要求</w:t>
      </w:r>
    </w:p>
    <w:p w14:paraId="43361FD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（1）每个托管机房均需提供配套存储、网络交换标准的42U机柜10个，42U机柜标准为600×800×2000/mm（宽×深×高/mm）；</w:t>
      </w:r>
    </w:p>
    <w:p w14:paraId="64BC50F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（2）每个托管机房均需提供配套综合布线、配套辅材等；</w:t>
      </w:r>
    </w:p>
    <w:p w14:paraId="74E695F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（3）每个托管机房均需提供24*365小时不间断电源及接入，后备电源时间不低于3小时。</w:t>
      </w:r>
    </w:p>
    <w:p w14:paraId="2B901956">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机房位置要求</w:t>
      </w:r>
    </w:p>
    <w:p w14:paraId="36EABD2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汇聚机房要求位于中心城区片区，能够满足本期前端点位的承载要求。以便于视频专网核心层、汇聚层及接入层组网。</w:t>
      </w:r>
    </w:p>
    <w:p w14:paraId="040D146C">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机房环境要求</w:t>
      </w:r>
    </w:p>
    <w:p w14:paraId="1FDD460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（1）机房应对托管存储设备进行分区、隔断处理。</w:t>
      </w:r>
    </w:p>
    <w:p w14:paraId="09AC5FF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（2）机房应防尘、防静电，配备防静电工作服和工作鞋。</w:t>
      </w:r>
    </w:p>
    <w:p w14:paraId="5FEF9AC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（3）机房温度要求：10度-26度，相对湿度要求：30%</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70%。如设备要求高于或低于以上标准，应以设备要求为准。机房内机架和操作台排列整齐，设备表面清洁、无灰尘和污迹，照明有应急备用。</w:t>
      </w:r>
    </w:p>
    <w:p w14:paraId="2C79341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（4）机房有专用接地装置，有防静电设施、防火和烟感探测装置。</w:t>
      </w:r>
    </w:p>
    <w:p w14:paraId="110EE3EF">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（5）机房内保证维护通道和消防通道畅通，不得在路口、过道和门窗附近堆放物品。</w:t>
      </w:r>
    </w:p>
    <w:p w14:paraId="3165B36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（6）机房内应设立分区标志，机架、DDF机架、终端设备、告警面板应做好明显的标签。</w:t>
      </w:r>
    </w:p>
    <w:p w14:paraId="6649184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（7）机房内可以放置必要的维护工具、仪表、资料、电路图、磁带柜，其他无关物品不得放置在机房内，物品放置必须整齐有序，取用方便。</w:t>
      </w:r>
    </w:p>
    <w:p w14:paraId="51B0814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（8）机房施工期间，工程物料不得堆放在机房内。机房施工必须有工程随工人员和维护人员在现场管理，工程结束后必须完成扫尾工作，包括工具电源关闭、物品归位。</w:t>
      </w:r>
    </w:p>
    <w:p w14:paraId="0D5DD8A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（9）实施机房环境的集中监控，监控内容包括：烟雾、温湿度、防盗、门禁、水浸、图像、动力系统等。</w:t>
      </w:r>
    </w:p>
    <w:p w14:paraId="192B4506">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（10）当班人员巡视必须注意以上机房环境要求，发现问题应及时解决并汇报上级主管。</w:t>
      </w:r>
    </w:p>
    <w:p w14:paraId="53AF10D7">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机房安全要求</w:t>
      </w:r>
    </w:p>
    <w:p w14:paraId="43FE405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（1）机房维护人员要严格遵守安全制度，确保设备和人身的安全。</w:t>
      </w:r>
    </w:p>
    <w:p w14:paraId="7834142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（2）机房内用电应注意安全，严禁使用电焊和气焊，严禁产生明火和有毒挥发气体；应在指定电源位置接入市电，严禁使用UPS电源，用电人员离开现场须关闭电源。</w:t>
      </w:r>
    </w:p>
    <w:p w14:paraId="6A69CC5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（3）机房内灭火器应保证功能良好，定期检修，安放在明显位置，机房维护人员要学会使用灭火器。</w:t>
      </w:r>
    </w:p>
    <w:p w14:paraId="2FEBB59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（4）消防设施配备应符合有关机房建设规范要求，消防系统应委托当地消防部门进行验收和定期检查。</w:t>
      </w:r>
    </w:p>
    <w:p w14:paraId="0C06EAA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（5）机房内严禁堆放易燃易爆物品，楼层间的电缆管道要用防火泥封堵隔离，严禁在机房内大面积使用化学溶剂。</w:t>
      </w:r>
    </w:p>
    <w:p w14:paraId="7E85262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（6）要特别加强雷雨、大风季节的机房安全管理，地线和防雷设施要定期检查测试。</w:t>
      </w:r>
    </w:p>
    <w:p w14:paraId="1E5CE08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（7）要定期检查鼠迹，采取措施，防止鼠害，所有施工遗留的孔洞必须进行封堵。</w:t>
      </w:r>
    </w:p>
    <w:p w14:paraId="08CDC39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（8）机房现场维护人员发现任何安全问题，均有权处理和制止，并立即汇报上级主管。</w:t>
      </w:r>
    </w:p>
    <w:p w14:paraId="7B301091">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机房管理要求</w:t>
      </w:r>
    </w:p>
    <w:p w14:paraId="633598B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（1）机房应安排人员值班，机房内所有人员应听从值班人员指挥，以维持机房安全与正常工作秩序。</w:t>
      </w:r>
    </w:p>
    <w:p w14:paraId="29BC09D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遵守机房内的各项规章制度和各种设备的操作规程；出入机房要登记，未经批准，任何与维护无关的人员禁止出入机房；设备操作必须戴防静电手套，穿防静电工作服和工作鞋；维护人员进入机房必须穿着统一工作服装，佩戴岗位标志牌。</w:t>
      </w:r>
    </w:p>
    <w:p w14:paraId="313E404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（3）非机房维护人员进入机房须遵守机房管理制度，服从当班人员的指挥。当班人员根据“临时出入证”和“施工出入证”予以配合并登记。</w:t>
      </w:r>
    </w:p>
    <w:p w14:paraId="3C283480">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托管机房运维服务能力要求</w:t>
      </w:r>
    </w:p>
    <w:p w14:paraId="4BB52F4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（1）托管机房是郴州市视频专网网络汇聚和数据存储节点，要求承建单位在机房网络、系统、数据运维方面具有符合国家管理标准的信息处置能力。</w:t>
      </w:r>
    </w:p>
    <w:p w14:paraId="5C9B05B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（2）投入的相关人员</w:t>
      </w:r>
      <w:r>
        <w:rPr>
          <w:rFonts w:hint="eastAsia" w:ascii="宋体" w:hAnsi="宋体" w:eastAsia="宋体" w:cs="宋体"/>
          <w:color w:val="auto"/>
          <w:spacing w:val="2"/>
          <w:sz w:val="24"/>
          <w:szCs w:val="24"/>
          <w:highlight w:val="none"/>
          <w:lang w:eastAsia="zh-CN"/>
        </w:rPr>
        <w:t>须具备</w:t>
      </w:r>
      <w:r>
        <w:rPr>
          <w:rFonts w:ascii="宋体" w:hAnsi="宋体" w:eastAsia="宋体" w:cs="宋体"/>
          <w:color w:val="auto"/>
          <w:spacing w:val="2"/>
          <w:sz w:val="24"/>
          <w:szCs w:val="24"/>
          <w:highlight w:val="none"/>
        </w:rPr>
        <w:t>信息安全应急处理能力以及应对紧急通信故障的技术支持能力，通过高素质的运维团队支撑托管机房的稳定可靠运维。</w:t>
      </w:r>
    </w:p>
    <w:p w14:paraId="7BA00B13">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机房其他要求</w:t>
      </w:r>
    </w:p>
    <w:p w14:paraId="4F55F386">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（1）在值班期内，应按时对机房、设备进行巡视，巡视时应特别注意告警、可移动设备的状态、正在施工的设备和相关的安全保卫等情况，不得任意关闭设备。</w:t>
      </w:r>
    </w:p>
    <w:p w14:paraId="246F2E7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（2）存放磁盘、磁带的环境应有电磁屏蔽措施，新购置磁盘磁带至少在机房放置24小时后方能使用。</w:t>
      </w:r>
    </w:p>
    <w:p w14:paraId="3DFADE0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（3）要加强对机房内施工的监督，防止人为事故的发生。</w:t>
      </w:r>
    </w:p>
    <w:p w14:paraId="7B0263C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（4）保持机房清洁整齐，定期打扫，严禁在机房内吸烟、饮食、睡觉、打电子游戏机以及</w:t>
      </w:r>
      <w:r>
        <w:rPr>
          <w:rFonts w:hint="eastAsia" w:ascii="宋体" w:hAnsi="宋体" w:eastAsia="宋体" w:cs="宋体"/>
          <w:color w:val="auto"/>
          <w:spacing w:val="2"/>
          <w:sz w:val="24"/>
          <w:szCs w:val="24"/>
          <w:highlight w:val="none"/>
          <w:lang w:eastAsia="zh-CN"/>
        </w:rPr>
        <w:t>其他</w:t>
      </w:r>
      <w:r>
        <w:rPr>
          <w:rFonts w:ascii="宋体" w:hAnsi="宋体" w:eastAsia="宋体" w:cs="宋体"/>
          <w:color w:val="auto"/>
          <w:spacing w:val="2"/>
          <w:sz w:val="24"/>
          <w:szCs w:val="24"/>
          <w:highlight w:val="none"/>
        </w:rPr>
        <w:t>与工作无关的事情。</w:t>
      </w:r>
    </w:p>
    <w:p w14:paraId="7755F7F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5）工程施工中，不得影响现有通信设备。施工人员应严格服从值班人员的管理，如有影响现用通信设备，或动用传输通道，必须事先以书面形式通知运行维护部门，及时做好防范措施，并按有关规章制度办理。</w:t>
      </w:r>
    </w:p>
    <w:p w14:paraId="52A8BF3B">
      <w:pPr>
        <w:keepNext/>
        <w:keepLines/>
        <w:widowControl/>
        <w:numPr>
          <w:ilvl w:val="1"/>
          <w:numId w:val="8"/>
        </w:numPr>
        <w:bidi w:val="0"/>
        <w:spacing w:before="50" w:beforeLines="50" w:after="50" w:afterLines="50" w:line="360" w:lineRule="auto"/>
        <w:ind w:left="851" w:leftChars="0" w:hanging="851" w:firstLineChars="0"/>
        <w:jc w:val="both"/>
        <w:outlineLvl w:val="1"/>
        <w:rPr>
          <w:rFonts w:ascii="Times New Roman" w:hAnsi="Times New Roman" w:eastAsia="黑体" w:cs="宋体"/>
          <w:b/>
          <w:bCs/>
          <w:color w:val="auto"/>
          <w:kern w:val="2"/>
          <w:sz w:val="24"/>
          <w:szCs w:val="24"/>
          <w:highlight w:val="none"/>
          <w:lang w:val="zh-CN" w:eastAsia="zh-CN" w:bidi="ar-SA"/>
        </w:rPr>
      </w:pPr>
      <w:bookmarkStart w:id="193" w:name="bookmark60"/>
      <w:bookmarkEnd w:id="193"/>
      <w:bookmarkStart w:id="194" w:name="_Toc25159"/>
      <w:r>
        <w:rPr>
          <w:rFonts w:ascii="Times New Roman" w:hAnsi="Times New Roman" w:eastAsia="黑体" w:cs="宋体"/>
          <w:b/>
          <w:bCs/>
          <w:color w:val="auto"/>
          <w:kern w:val="2"/>
          <w:sz w:val="24"/>
          <w:szCs w:val="24"/>
          <w:highlight w:val="none"/>
          <w:lang w:val="zh-CN" w:eastAsia="zh-CN" w:bidi="ar-SA"/>
        </w:rPr>
        <w:t>后期维护要求</w:t>
      </w:r>
      <w:bookmarkEnd w:id="194"/>
    </w:p>
    <w:p w14:paraId="72ADDE6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该项目为视频组网租赁，在租赁期间</w:t>
      </w:r>
      <w:r>
        <w:rPr>
          <w:rFonts w:hint="eastAsia" w:ascii="宋体" w:hAnsi="宋体" w:eastAsia="宋体" w:cs="宋体"/>
          <w:color w:val="auto"/>
          <w:spacing w:val="2"/>
          <w:sz w:val="24"/>
          <w:szCs w:val="24"/>
          <w:highlight w:val="none"/>
          <w:lang w:val="en-US" w:eastAsia="zh-CN"/>
        </w:rPr>
        <w:t>维护单位</w:t>
      </w:r>
      <w:r>
        <w:rPr>
          <w:rFonts w:ascii="宋体" w:hAnsi="宋体" w:eastAsia="宋体" w:cs="宋体"/>
          <w:color w:val="auto"/>
          <w:spacing w:val="2"/>
          <w:sz w:val="24"/>
          <w:szCs w:val="24"/>
          <w:highlight w:val="none"/>
        </w:rPr>
        <w:t>需保证所有链路的正常运行，因此本设计仅对</w:t>
      </w:r>
      <w:r>
        <w:rPr>
          <w:rFonts w:hint="eastAsia" w:ascii="宋体" w:hAnsi="宋体" w:eastAsia="宋体" w:cs="宋体"/>
          <w:color w:val="auto"/>
          <w:spacing w:val="2"/>
          <w:sz w:val="24"/>
          <w:szCs w:val="24"/>
          <w:highlight w:val="none"/>
          <w:lang w:val="en-US" w:eastAsia="zh-CN"/>
        </w:rPr>
        <w:t>供应商</w:t>
      </w:r>
      <w:r>
        <w:rPr>
          <w:rFonts w:ascii="宋体" w:hAnsi="宋体" w:eastAsia="宋体" w:cs="宋体"/>
          <w:color w:val="auto"/>
          <w:spacing w:val="2"/>
          <w:sz w:val="24"/>
          <w:szCs w:val="24"/>
          <w:highlight w:val="none"/>
        </w:rPr>
        <w:t>提出后期维护的相关要求。</w:t>
      </w:r>
    </w:p>
    <w:p w14:paraId="55F977E9">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95" w:name="bookmark61"/>
      <w:bookmarkEnd w:id="195"/>
      <w:r>
        <w:rPr>
          <w:rFonts w:ascii="Arial" w:hAnsi="Arial" w:eastAsia="黑体" w:cs="宋体"/>
          <w:b/>
          <w:bCs/>
          <w:color w:val="auto"/>
          <w:kern w:val="2"/>
          <w:sz w:val="24"/>
          <w:szCs w:val="24"/>
          <w:highlight w:val="none"/>
          <w:lang w:val="zh-CN" w:eastAsia="zh-CN" w:bidi="ar-SA"/>
        </w:rPr>
        <w:t>信息资产统计服务</w:t>
      </w:r>
    </w:p>
    <w:p w14:paraId="5A0464B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此项服务为基本服务</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包含在运行维护服务中，对郴州市视频专网现有的信息资产情况进行统计，更好</w:t>
      </w:r>
      <w:r>
        <w:rPr>
          <w:rFonts w:hint="eastAsia" w:ascii="宋体" w:hAnsi="宋体" w:eastAsia="宋体" w:cs="宋体"/>
          <w:color w:val="auto"/>
          <w:spacing w:val="2"/>
          <w:sz w:val="24"/>
          <w:szCs w:val="24"/>
          <w:highlight w:val="none"/>
          <w:lang w:eastAsia="zh-CN"/>
        </w:rPr>
        <w:t>地</w:t>
      </w:r>
      <w:r>
        <w:rPr>
          <w:rFonts w:ascii="宋体" w:hAnsi="宋体" w:eastAsia="宋体" w:cs="宋体"/>
          <w:color w:val="auto"/>
          <w:spacing w:val="2"/>
          <w:sz w:val="24"/>
          <w:szCs w:val="24"/>
          <w:highlight w:val="none"/>
        </w:rPr>
        <w:t>提供系统的运行维护服务。</w:t>
      </w:r>
    </w:p>
    <w:p w14:paraId="3ABC342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服务内容包括：</w:t>
      </w:r>
    </w:p>
    <w:p w14:paraId="04561E6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1.硬件设备型号、数量、版本等信息统计记录；</w:t>
      </w:r>
    </w:p>
    <w:p w14:paraId="0E2AE74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2.软件产品型号、版本和补丁等信息统计记录；</w:t>
      </w:r>
    </w:p>
    <w:p w14:paraId="6504079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3.网络结构、网络路由、网络IP地址统计记录；</w:t>
      </w:r>
    </w:p>
    <w:p w14:paraId="172DC13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4.</w:t>
      </w:r>
      <w:r>
        <w:rPr>
          <w:rFonts w:hint="eastAsia" w:ascii="宋体" w:hAnsi="宋体" w:eastAsia="宋体" w:cs="宋体"/>
          <w:color w:val="auto"/>
          <w:spacing w:val="2"/>
          <w:sz w:val="24"/>
          <w:szCs w:val="24"/>
          <w:highlight w:val="none"/>
          <w:lang w:eastAsia="zh-CN"/>
        </w:rPr>
        <w:t>其他</w:t>
      </w:r>
      <w:r>
        <w:rPr>
          <w:rFonts w:ascii="宋体" w:hAnsi="宋体" w:eastAsia="宋体" w:cs="宋体"/>
          <w:color w:val="auto"/>
          <w:spacing w:val="2"/>
          <w:sz w:val="24"/>
          <w:szCs w:val="24"/>
          <w:highlight w:val="none"/>
        </w:rPr>
        <w:t>附属设备的统计记录。</w:t>
      </w:r>
    </w:p>
    <w:p w14:paraId="4F4AE59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本项目运维服务过程中临时更换、增补的前端摄像机、电源、光猫、交换机、线缆、立杆、横臂、管道、存储硬盘、服务器板卡、网络模块等所有硬件设备。在服务期届满后，</w:t>
      </w:r>
      <w:r>
        <w:rPr>
          <w:rFonts w:hint="eastAsia" w:ascii="宋体" w:hAnsi="宋体" w:eastAsia="宋体" w:cs="宋体"/>
          <w:color w:val="auto"/>
          <w:spacing w:val="2"/>
          <w:sz w:val="24"/>
          <w:szCs w:val="24"/>
          <w:highlight w:val="none"/>
          <w:lang w:eastAsia="zh-CN"/>
        </w:rPr>
        <w:t>供应商</w:t>
      </w:r>
      <w:r>
        <w:rPr>
          <w:rFonts w:hint="eastAsia" w:ascii="宋体" w:hAnsi="宋体" w:eastAsia="宋体" w:cs="宋体"/>
          <w:color w:val="auto"/>
          <w:spacing w:val="2"/>
          <w:sz w:val="24"/>
          <w:szCs w:val="24"/>
          <w:highlight w:val="none"/>
        </w:rPr>
        <w:t>须完整移交全部新增/更换设备、配套辅材、设备台账、点位经纬度档案、链路配置文档，不得私自拆除、带走、损毁任何更换备件，逾期未完整移交，市数据局有权扣除全部维保尾款。</w:t>
      </w:r>
    </w:p>
    <w:p w14:paraId="12A7480C">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96" w:name="bookmark62"/>
      <w:bookmarkEnd w:id="196"/>
      <w:r>
        <w:rPr>
          <w:rFonts w:ascii="Arial" w:hAnsi="Arial" w:eastAsia="黑体" w:cs="宋体"/>
          <w:b/>
          <w:bCs/>
          <w:color w:val="auto"/>
          <w:kern w:val="2"/>
          <w:sz w:val="24"/>
          <w:szCs w:val="24"/>
          <w:highlight w:val="none"/>
          <w:lang w:val="zh-CN" w:eastAsia="zh-CN" w:bidi="ar-SA"/>
        </w:rPr>
        <w:t>智能天网前端监控点维护要求</w:t>
      </w:r>
    </w:p>
    <w:p w14:paraId="60B4312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为保障智能天网系统安全、健康运行，承建单位需组建智能天网前端监控维护团队。维护团队由中心值班人员和监控点现场维护工程师组成。在市公安局指挥中心设置中心值班人员1名，负责每天通过维护管理系统对前端设备网上巡检一次，每月现场巡检与调整，发现异常状况立即通过管理服务流程办法进行相应操作。</w:t>
      </w:r>
    </w:p>
    <w:p w14:paraId="3FBB2840">
      <w:pPr>
        <w:spacing w:line="4041" w:lineRule="exact"/>
        <w:ind w:firstLine="480" w:firstLineChars="200"/>
        <w:rPr>
          <w:rFonts w:ascii="宋体" w:hAnsi="宋体" w:eastAsia="宋体" w:cs="宋体"/>
          <w:color w:val="auto"/>
          <w:sz w:val="24"/>
          <w:szCs w:val="24"/>
          <w:highlight w:val="none"/>
        </w:rPr>
      </w:pPr>
      <w:r>
        <w:rPr>
          <w:rFonts w:ascii="宋体" w:hAnsi="宋体" w:eastAsia="宋体" w:cs="宋体"/>
          <w:color w:val="auto"/>
          <w:position w:val="-80"/>
          <w:sz w:val="24"/>
          <w:szCs w:val="24"/>
          <w:highlight w:val="none"/>
        </w:rPr>
        <w:drawing>
          <wp:inline distT="0" distB="0" distL="114300" distR="114300">
            <wp:extent cx="4998085" cy="2566035"/>
            <wp:effectExtent l="0" t="0" r="12065" b="5715"/>
            <wp:docPr id="57" name="图片 22"/>
            <wp:cNvGraphicFramePr/>
            <a:graphic xmlns:a="http://schemas.openxmlformats.org/drawingml/2006/main">
              <a:graphicData uri="http://schemas.openxmlformats.org/drawingml/2006/picture">
                <pic:pic xmlns:pic="http://schemas.openxmlformats.org/drawingml/2006/picture">
                  <pic:nvPicPr>
                    <pic:cNvPr id="57" name="图片 22"/>
                    <pic:cNvPicPr/>
                  </pic:nvPicPr>
                  <pic:blipFill>
                    <a:blip r:embed="rId28"/>
                    <a:stretch>
                      <a:fillRect/>
                    </a:stretch>
                  </pic:blipFill>
                  <pic:spPr>
                    <a:xfrm>
                      <a:off x="0" y="0"/>
                      <a:ext cx="4998085" cy="2566035"/>
                    </a:xfrm>
                    <a:prstGeom prst="rect">
                      <a:avLst/>
                    </a:prstGeom>
                    <a:noFill/>
                    <a:ln>
                      <a:noFill/>
                    </a:ln>
                  </pic:spPr>
                </pic:pic>
              </a:graphicData>
            </a:graphic>
          </wp:inline>
        </w:drawing>
      </w:r>
    </w:p>
    <w:p w14:paraId="4EDD6B4A">
      <w:pPr>
        <w:spacing w:before="224" w:line="219" w:lineRule="auto"/>
        <w:ind w:left="2446" w:firstLine="464" w:firstLineChars="20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图11现有运维管理系统流程示意图</w:t>
      </w:r>
    </w:p>
    <w:p w14:paraId="07325318">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运维范围</w:t>
      </w:r>
    </w:p>
    <w:p w14:paraId="21442B7F">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1.前端2866个点位的监控设备。详见附表3智能天网前端摄像头维护点表。</w:t>
      </w:r>
    </w:p>
    <w:p w14:paraId="51EBBFF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2.在运行维护期内，根据</w:t>
      </w:r>
      <w:r>
        <w:rPr>
          <w:rFonts w:hint="eastAsia" w:ascii="宋体" w:hAnsi="宋体" w:eastAsia="宋体" w:cs="宋体"/>
          <w:color w:val="auto"/>
          <w:spacing w:val="2"/>
          <w:sz w:val="24"/>
          <w:szCs w:val="24"/>
          <w:highlight w:val="none"/>
          <w:lang w:eastAsia="zh-CN"/>
        </w:rPr>
        <w:t>郴州市数据局</w:t>
      </w:r>
      <w:r>
        <w:rPr>
          <w:rFonts w:ascii="宋体" w:hAnsi="宋体" w:eastAsia="宋体" w:cs="宋体"/>
          <w:color w:val="auto"/>
          <w:spacing w:val="2"/>
          <w:sz w:val="24"/>
          <w:szCs w:val="24"/>
          <w:highlight w:val="none"/>
        </w:rPr>
        <w:t>的要求无条件接收智能天网前端摄像头的简单维护工作。</w:t>
      </w:r>
    </w:p>
    <w:p w14:paraId="1A7C8B3C">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工作内容</w:t>
      </w:r>
    </w:p>
    <w:p w14:paraId="56EB1449">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的智能天网前端监控点运维所产生的所有设备费、材料费等全部由供应商提供，所有维修、更换后的摄像机、电源、交换机、OLT、ONU、存储、立杆、横杆、管道、光缆、网线等设备/辅材，运行参数、性能指标不得低于原设计标准，画面码率、带宽、供电、防雷、防水、抗震、使用寿命全部不低于设备原设计参数，更换后需 72 小时压力测试达标方可验收。</w:t>
      </w:r>
    </w:p>
    <w:p w14:paraId="24CE2C54">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本项目年度针对价值较高的设备和材料设置了免费维保限额，限额内全部包含在合同运维总价内，超出限额部分按使用单位和供应商现场签证据实结算，未发生不计费；具体免费维保限额如下：</w:t>
      </w:r>
    </w:p>
    <w:p w14:paraId="19890F8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1.更换故障摄像机免费维保限额≤200台，超200台的部分据实结算；</w:t>
      </w:r>
    </w:p>
    <w:p w14:paraId="56922D5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2.杆件免费搬迁免费维保限额≤50杆，超出50杆的部分据实结算；</w:t>
      </w:r>
    </w:p>
    <w:p w14:paraId="67487D0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3.电缆修复更换总长免费维保限额≤1500米，超出1500米的部分据实结算；</w:t>
      </w:r>
    </w:p>
    <w:p w14:paraId="1F0DD40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4.管道改造总长免费维保限额≤900米，超出900米的部分据实结算；</w:t>
      </w:r>
    </w:p>
    <w:p w14:paraId="3A6F624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5.横臂调整免费维保限额≤50 根，超出50根的部分据实结算。</w:t>
      </w:r>
    </w:p>
    <w:p w14:paraId="320E7F48">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所有限额项目月度建立签证台账，年底统一清算，台账作为服务费结算唯一依据。以下为具体的工作内容：</w:t>
      </w:r>
    </w:p>
    <w:p w14:paraId="58A7BDC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w:t>
      </w:r>
      <w:r>
        <w:rPr>
          <w:rFonts w:hint="eastAsia" w:ascii="宋体" w:hAnsi="宋体" w:eastAsia="宋体" w:cs="宋体"/>
          <w:color w:val="auto"/>
          <w:spacing w:val="2"/>
          <w:sz w:val="24"/>
          <w:szCs w:val="24"/>
          <w:highlight w:val="none"/>
        </w:rPr>
        <w:t>机箱清洁、除锈</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机箱及机箱内设备故障设备更换</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防雷器、自动重合闸、电源、交换机、光猫等</w:t>
      </w:r>
      <w:r>
        <w:rPr>
          <w:rFonts w:hint="eastAsia" w:ascii="宋体" w:hAnsi="宋体" w:eastAsia="宋体" w:cs="宋体"/>
          <w:color w:val="auto"/>
          <w:spacing w:val="2"/>
          <w:sz w:val="24"/>
          <w:szCs w:val="24"/>
          <w:highlight w:val="none"/>
          <w:lang w:eastAsia="zh-CN"/>
        </w:rPr>
        <w:t>）；</w:t>
      </w:r>
    </w:p>
    <w:p w14:paraId="3C28002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2.</w:t>
      </w:r>
      <w:r>
        <w:rPr>
          <w:rFonts w:hint="eastAsia" w:ascii="宋体" w:hAnsi="宋体" w:eastAsia="宋体" w:cs="宋体"/>
          <w:color w:val="auto"/>
          <w:spacing w:val="2"/>
          <w:sz w:val="24"/>
          <w:szCs w:val="24"/>
          <w:highlight w:val="none"/>
        </w:rPr>
        <w:t>机箱到</w:t>
      </w:r>
      <w:r>
        <w:rPr>
          <w:rFonts w:hint="eastAsia" w:ascii="宋体" w:hAnsi="宋体" w:eastAsia="宋体" w:cs="宋体"/>
          <w:color w:val="auto"/>
          <w:spacing w:val="2"/>
          <w:sz w:val="24"/>
          <w:szCs w:val="24"/>
          <w:highlight w:val="none"/>
          <w:lang w:val="en-US" w:eastAsia="zh-CN"/>
        </w:rPr>
        <w:t>前端摄像机</w:t>
      </w:r>
      <w:r>
        <w:rPr>
          <w:rFonts w:hint="eastAsia" w:ascii="宋体" w:hAnsi="宋体" w:eastAsia="宋体" w:cs="宋体"/>
          <w:color w:val="auto"/>
          <w:spacing w:val="2"/>
          <w:sz w:val="24"/>
          <w:szCs w:val="24"/>
          <w:highlight w:val="none"/>
        </w:rPr>
        <w:t>电源线、网线的检测及更换</w:t>
      </w:r>
      <w:r>
        <w:rPr>
          <w:rFonts w:hint="eastAsia" w:ascii="宋体" w:hAnsi="宋体" w:eastAsia="宋体" w:cs="宋体"/>
          <w:color w:val="auto"/>
          <w:spacing w:val="2"/>
          <w:sz w:val="24"/>
          <w:szCs w:val="24"/>
          <w:highlight w:val="none"/>
          <w:lang w:eastAsia="zh-CN"/>
        </w:rPr>
        <w:t>；</w:t>
      </w:r>
    </w:p>
    <w:p w14:paraId="0BFAA6B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3.</w:t>
      </w:r>
      <w:r>
        <w:rPr>
          <w:rFonts w:hint="eastAsia" w:ascii="宋体" w:hAnsi="宋体" w:eastAsia="宋体" w:cs="宋体"/>
          <w:color w:val="auto"/>
          <w:spacing w:val="2"/>
          <w:sz w:val="24"/>
          <w:szCs w:val="24"/>
          <w:highlight w:val="none"/>
          <w:lang w:val="en-US" w:eastAsia="zh-CN"/>
        </w:rPr>
        <w:t>摄像机</w:t>
      </w:r>
      <w:r>
        <w:rPr>
          <w:rFonts w:hint="eastAsia" w:ascii="宋体" w:hAnsi="宋体" w:eastAsia="宋体" w:cs="宋体"/>
          <w:color w:val="auto"/>
          <w:spacing w:val="2"/>
          <w:sz w:val="24"/>
          <w:szCs w:val="24"/>
          <w:highlight w:val="none"/>
        </w:rPr>
        <w:t>掉线故障排查，</w:t>
      </w:r>
      <w:r>
        <w:rPr>
          <w:rFonts w:hint="eastAsia" w:ascii="宋体" w:hAnsi="宋体" w:eastAsia="宋体" w:cs="宋体"/>
          <w:color w:val="auto"/>
          <w:spacing w:val="2"/>
          <w:sz w:val="24"/>
          <w:szCs w:val="24"/>
          <w:highlight w:val="none"/>
          <w:lang w:val="en-US" w:eastAsia="zh-CN"/>
        </w:rPr>
        <w:t>摄像机</w:t>
      </w:r>
      <w:r>
        <w:rPr>
          <w:rFonts w:hint="eastAsia" w:ascii="宋体" w:hAnsi="宋体" w:eastAsia="宋体" w:cs="宋体"/>
          <w:color w:val="auto"/>
          <w:spacing w:val="2"/>
          <w:sz w:val="24"/>
          <w:szCs w:val="24"/>
          <w:highlight w:val="none"/>
        </w:rPr>
        <w:t>清洁；</w:t>
      </w:r>
    </w:p>
    <w:p w14:paraId="3057E8B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4.</w:t>
      </w:r>
      <w:r>
        <w:rPr>
          <w:rFonts w:hint="eastAsia" w:ascii="宋体" w:hAnsi="宋体" w:eastAsia="宋体" w:cs="宋体"/>
          <w:color w:val="auto"/>
          <w:spacing w:val="2"/>
          <w:sz w:val="24"/>
          <w:szCs w:val="24"/>
          <w:highlight w:val="none"/>
        </w:rPr>
        <w:t>200个</w:t>
      </w:r>
      <w:r>
        <w:rPr>
          <w:rFonts w:hint="eastAsia" w:ascii="宋体" w:hAnsi="宋体" w:eastAsia="宋体" w:cs="宋体"/>
          <w:color w:val="auto"/>
          <w:spacing w:val="2"/>
          <w:sz w:val="24"/>
          <w:szCs w:val="24"/>
          <w:highlight w:val="none"/>
          <w:lang w:val="en-US" w:eastAsia="zh-CN"/>
        </w:rPr>
        <w:t>以内的</w:t>
      </w:r>
      <w:r>
        <w:rPr>
          <w:rFonts w:hint="eastAsia" w:ascii="宋体" w:hAnsi="宋体" w:eastAsia="宋体" w:cs="宋体"/>
          <w:color w:val="auto"/>
          <w:spacing w:val="2"/>
          <w:sz w:val="24"/>
          <w:szCs w:val="24"/>
          <w:highlight w:val="none"/>
        </w:rPr>
        <w:t>前端</w:t>
      </w:r>
      <w:r>
        <w:rPr>
          <w:rFonts w:hint="eastAsia" w:ascii="宋体" w:hAnsi="宋体" w:eastAsia="宋体" w:cs="宋体"/>
          <w:color w:val="auto"/>
          <w:spacing w:val="2"/>
          <w:sz w:val="24"/>
          <w:szCs w:val="24"/>
          <w:highlight w:val="none"/>
          <w:lang w:val="en-US" w:eastAsia="zh-CN"/>
        </w:rPr>
        <w:t>摄像机</w:t>
      </w:r>
      <w:r>
        <w:rPr>
          <w:rFonts w:hint="eastAsia" w:ascii="宋体" w:hAnsi="宋体" w:eastAsia="宋体" w:cs="宋体"/>
          <w:color w:val="auto"/>
          <w:spacing w:val="2"/>
          <w:sz w:val="24"/>
          <w:szCs w:val="24"/>
          <w:highlight w:val="none"/>
        </w:rPr>
        <w:t>故障摄像机更换、调试</w:t>
      </w:r>
      <w:r>
        <w:rPr>
          <w:rFonts w:hint="eastAsia" w:ascii="宋体" w:hAnsi="宋体" w:eastAsia="宋体" w:cs="宋体"/>
          <w:color w:val="auto"/>
          <w:spacing w:val="2"/>
          <w:sz w:val="24"/>
          <w:szCs w:val="24"/>
          <w:highlight w:val="none"/>
          <w:lang w:eastAsia="zh-CN"/>
        </w:rPr>
        <w:t>；</w:t>
      </w:r>
    </w:p>
    <w:p w14:paraId="3E525AB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5.</w:t>
      </w:r>
      <w:r>
        <w:rPr>
          <w:rFonts w:hint="eastAsia" w:ascii="宋体" w:hAnsi="宋体" w:eastAsia="宋体" w:cs="宋体"/>
          <w:color w:val="auto"/>
          <w:spacing w:val="2"/>
          <w:sz w:val="24"/>
          <w:szCs w:val="24"/>
          <w:highlight w:val="none"/>
        </w:rPr>
        <w:t>前端治安</w:t>
      </w:r>
      <w:r>
        <w:rPr>
          <w:rFonts w:hint="eastAsia" w:ascii="宋体" w:hAnsi="宋体" w:eastAsia="宋体" w:cs="宋体"/>
          <w:color w:val="auto"/>
          <w:spacing w:val="2"/>
          <w:sz w:val="24"/>
          <w:szCs w:val="24"/>
          <w:highlight w:val="none"/>
          <w:lang w:val="en-US" w:eastAsia="zh-CN"/>
        </w:rPr>
        <w:t>摄像机</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lang w:val="en-US" w:eastAsia="zh-CN"/>
        </w:rPr>
        <w:t>球形摄像机</w:t>
      </w:r>
      <w:r>
        <w:rPr>
          <w:rFonts w:hint="eastAsia" w:ascii="宋体" w:hAnsi="宋体" w:eastAsia="宋体" w:cs="宋体"/>
          <w:color w:val="auto"/>
          <w:spacing w:val="2"/>
          <w:sz w:val="24"/>
          <w:szCs w:val="24"/>
          <w:highlight w:val="none"/>
        </w:rPr>
        <w:t>、高清点面联动</w:t>
      </w:r>
      <w:r>
        <w:rPr>
          <w:rFonts w:hint="eastAsia" w:ascii="宋体" w:hAnsi="宋体" w:eastAsia="宋体" w:cs="宋体"/>
          <w:color w:val="auto"/>
          <w:spacing w:val="2"/>
          <w:sz w:val="24"/>
          <w:szCs w:val="24"/>
          <w:highlight w:val="none"/>
          <w:lang w:val="en-US" w:eastAsia="zh-CN"/>
        </w:rPr>
        <w:t>摄像机</w:t>
      </w:r>
      <w:r>
        <w:rPr>
          <w:rFonts w:hint="eastAsia" w:ascii="宋体" w:hAnsi="宋体" w:eastAsia="宋体" w:cs="宋体"/>
          <w:color w:val="auto"/>
          <w:spacing w:val="2"/>
          <w:sz w:val="24"/>
          <w:szCs w:val="24"/>
          <w:highlight w:val="none"/>
        </w:rPr>
        <w:t>、卡口</w:t>
      </w:r>
      <w:r>
        <w:rPr>
          <w:rFonts w:hint="eastAsia" w:ascii="宋体" w:hAnsi="宋体" w:eastAsia="宋体" w:cs="宋体"/>
          <w:color w:val="auto"/>
          <w:spacing w:val="2"/>
          <w:sz w:val="24"/>
          <w:szCs w:val="24"/>
          <w:highlight w:val="none"/>
          <w:lang w:val="en-US" w:eastAsia="zh-CN"/>
        </w:rPr>
        <w:t>摄像机</w:t>
      </w:r>
      <w:r>
        <w:rPr>
          <w:rFonts w:hint="eastAsia" w:ascii="宋体" w:hAnsi="宋体" w:eastAsia="宋体" w:cs="宋体"/>
          <w:color w:val="auto"/>
          <w:spacing w:val="2"/>
          <w:sz w:val="24"/>
          <w:szCs w:val="24"/>
          <w:highlight w:val="none"/>
        </w:rPr>
        <w:t>固件升级</w:t>
      </w:r>
      <w:r>
        <w:rPr>
          <w:rFonts w:hint="eastAsia" w:ascii="宋体" w:hAnsi="宋体" w:eastAsia="宋体" w:cs="宋体"/>
          <w:color w:val="auto"/>
          <w:spacing w:val="2"/>
          <w:sz w:val="24"/>
          <w:szCs w:val="24"/>
          <w:highlight w:val="none"/>
          <w:lang w:eastAsia="zh-CN"/>
        </w:rPr>
        <w:t>；</w:t>
      </w:r>
    </w:p>
    <w:p w14:paraId="2B5353D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6.</w:t>
      </w:r>
      <w:r>
        <w:rPr>
          <w:rFonts w:hint="eastAsia" w:ascii="宋体" w:hAnsi="宋体" w:eastAsia="宋体" w:cs="宋体"/>
          <w:color w:val="auto"/>
          <w:spacing w:val="2"/>
          <w:sz w:val="24"/>
          <w:szCs w:val="24"/>
          <w:highlight w:val="none"/>
        </w:rPr>
        <w:t>摄像机覆盖角度、高度调整，镜头焦距调整</w:t>
      </w:r>
      <w:r>
        <w:rPr>
          <w:rFonts w:hint="eastAsia" w:ascii="宋体" w:hAnsi="宋体" w:eastAsia="宋体" w:cs="宋体"/>
          <w:color w:val="auto"/>
          <w:spacing w:val="2"/>
          <w:sz w:val="24"/>
          <w:szCs w:val="24"/>
          <w:highlight w:val="none"/>
          <w:lang w:eastAsia="zh-CN"/>
        </w:rPr>
        <w:t>；</w:t>
      </w:r>
    </w:p>
    <w:p w14:paraId="2441AF3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7.</w:t>
      </w:r>
      <w:r>
        <w:rPr>
          <w:rFonts w:hint="eastAsia" w:ascii="宋体" w:hAnsi="宋体" w:eastAsia="宋体" w:cs="宋体"/>
          <w:color w:val="auto"/>
          <w:spacing w:val="2"/>
          <w:sz w:val="24"/>
          <w:szCs w:val="24"/>
          <w:highlight w:val="none"/>
        </w:rPr>
        <w:t>球机预制位，看守位、巡逻方案设置、调整</w:t>
      </w:r>
    </w:p>
    <w:p w14:paraId="2D9DE1D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8.</w:t>
      </w:r>
      <w:r>
        <w:rPr>
          <w:rFonts w:hint="eastAsia" w:ascii="宋体" w:hAnsi="宋体" w:eastAsia="宋体" w:cs="宋体"/>
          <w:color w:val="auto"/>
          <w:spacing w:val="2"/>
          <w:sz w:val="24"/>
          <w:szCs w:val="24"/>
          <w:highlight w:val="none"/>
        </w:rPr>
        <w:t>枪</w:t>
      </w:r>
      <w:r>
        <w:rPr>
          <w:rFonts w:hint="eastAsia" w:ascii="宋体" w:hAnsi="宋体" w:eastAsia="宋体" w:cs="宋体"/>
          <w:color w:val="auto"/>
          <w:spacing w:val="2"/>
          <w:sz w:val="24"/>
          <w:szCs w:val="24"/>
          <w:highlight w:val="none"/>
          <w:lang w:val="en-US" w:eastAsia="zh-CN"/>
        </w:rPr>
        <w:t>型摄像</w:t>
      </w:r>
      <w:r>
        <w:rPr>
          <w:rFonts w:hint="eastAsia" w:ascii="宋体" w:hAnsi="宋体" w:eastAsia="宋体" w:cs="宋体"/>
          <w:color w:val="auto"/>
          <w:spacing w:val="2"/>
          <w:sz w:val="24"/>
          <w:szCs w:val="24"/>
          <w:highlight w:val="none"/>
        </w:rPr>
        <w:t>机、</w:t>
      </w:r>
      <w:r>
        <w:rPr>
          <w:rFonts w:hint="eastAsia" w:ascii="宋体" w:hAnsi="宋体" w:eastAsia="宋体" w:cs="宋体"/>
          <w:color w:val="auto"/>
          <w:spacing w:val="2"/>
          <w:sz w:val="24"/>
          <w:szCs w:val="24"/>
          <w:highlight w:val="none"/>
          <w:lang w:val="en-US" w:eastAsia="zh-CN"/>
        </w:rPr>
        <w:t>球形摄像机</w:t>
      </w:r>
      <w:r>
        <w:rPr>
          <w:rFonts w:hint="eastAsia" w:ascii="宋体" w:hAnsi="宋体" w:eastAsia="宋体" w:cs="宋体"/>
          <w:color w:val="auto"/>
          <w:spacing w:val="2"/>
          <w:sz w:val="24"/>
          <w:szCs w:val="24"/>
          <w:highlight w:val="none"/>
        </w:rPr>
        <w:t>、高清点面联动</w:t>
      </w:r>
      <w:r>
        <w:rPr>
          <w:rFonts w:hint="eastAsia" w:ascii="宋体" w:hAnsi="宋体" w:eastAsia="宋体" w:cs="宋体"/>
          <w:color w:val="auto"/>
          <w:spacing w:val="2"/>
          <w:sz w:val="24"/>
          <w:szCs w:val="24"/>
          <w:highlight w:val="none"/>
          <w:lang w:val="en-US" w:eastAsia="zh-CN"/>
        </w:rPr>
        <w:t>摄像机</w:t>
      </w:r>
      <w:r>
        <w:rPr>
          <w:rFonts w:hint="eastAsia" w:ascii="宋体" w:hAnsi="宋体" w:eastAsia="宋体" w:cs="宋体"/>
          <w:color w:val="auto"/>
          <w:spacing w:val="2"/>
          <w:sz w:val="24"/>
          <w:szCs w:val="24"/>
          <w:highlight w:val="none"/>
        </w:rPr>
        <w:t>、卡口</w:t>
      </w:r>
      <w:r>
        <w:rPr>
          <w:rFonts w:hint="eastAsia" w:ascii="宋体" w:hAnsi="宋体" w:eastAsia="宋体" w:cs="宋体"/>
          <w:color w:val="auto"/>
          <w:spacing w:val="2"/>
          <w:sz w:val="24"/>
          <w:szCs w:val="24"/>
          <w:highlight w:val="none"/>
          <w:lang w:val="en-US" w:eastAsia="zh-CN"/>
        </w:rPr>
        <w:t>摄像机</w:t>
      </w:r>
      <w:r>
        <w:rPr>
          <w:rFonts w:hint="eastAsia" w:ascii="宋体" w:hAnsi="宋体" w:eastAsia="宋体" w:cs="宋体"/>
          <w:color w:val="auto"/>
          <w:spacing w:val="2"/>
          <w:sz w:val="24"/>
          <w:szCs w:val="24"/>
          <w:highlight w:val="none"/>
        </w:rPr>
        <w:t>故障存储卡更换</w:t>
      </w:r>
      <w:r>
        <w:rPr>
          <w:rFonts w:hint="eastAsia" w:ascii="宋体" w:hAnsi="宋体" w:eastAsia="宋体" w:cs="宋体"/>
          <w:color w:val="auto"/>
          <w:spacing w:val="2"/>
          <w:sz w:val="24"/>
          <w:szCs w:val="24"/>
          <w:highlight w:val="none"/>
          <w:lang w:eastAsia="zh-CN"/>
        </w:rPr>
        <w:t>；</w:t>
      </w:r>
    </w:p>
    <w:p w14:paraId="7A63957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9.</w:t>
      </w:r>
      <w:r>
        <w:rPr>
          <w:rFonts w:hint="eastAsia" w:ascii="宋体" w:hAnsi="宋体" w:eastAsia="宋体" w:cs="宋体"/>
          <w:color w:val="auto"/>
          <w:spacing w:val="2"/>
          <w:sz w:val="24"/>
          <w:szCs w:val="24"/>
          <w:highlight w:val="none"/>
        </w:rPr>
        <w:t>补光灯、闪光灯清洁，故障补光灯、闪光灯更换，补光灯、闪光灯调整调试</w:t>
      </w:r>
      <w:r>
        <w:rPr>
          <w:rFonts w:hint="eastAsia" w:ascii="宋体" w:hAnsi="宋体" w:eastAsia="宋体" w:cs="宋体"/>
          <w:color w:val="auto"/>
          <w:spacing w:val="2"/>
          <w:sz w:val="24"/>
          <w:szCs w:val="24"/>
          <w:highlight w:val="none"/>
          <w:lang w:eastAsia="zh-CN"/>
        </w:rPr>
        <w:t>；</w:t>
      </w:r>
    </w:p>
    <w:p w14:paraId="76608DA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10.</w:t>
      </w:r>
      <w:r>
        <w:rPr>
          <w:rFonts w:hint="eastAsia" w:ascii="宋体" w:hAnsi="宋体" w:eastAsia="宋体" w:cs="宋体"/>
          <w:color w:val="auto"/>
          <w:spacing w:val="2"/>
          <w:sz w:val="24"/>
          <w:szCs w:val="24"/>
          <w:highlight w:val="none"/>
        </w:rPr>
        <w:t>前端</w:t>
      </w:r>
      <w:r>
        <w:rPr>
          <w:rFonts w:hint="eastAsia" w:ascii="宋体" w:hAnsi="宋体" w:eastAsia="宋体" w:cs="宋体"/>
          <w:color w:val="auto"/>
          <w:spacing w:val="2"/>
          <w:sz w:val="24"/>
          <w:szCs w:val="24"/>
          <w:highlight w:val="none"/>
          <w:lang w:eastAsia="zh-CN"/>
        </w:rPr>
        <w:t>标识牌</w:t>
      </w:r>
      <w:r>
        <w:rPr>
          <w:rFonts w:hint="eastAsia" w:ascii="宋体" w:hAnsi="宋体" w:eastAsia="宋体" w:cs="宋体"/>
          <w:color w:val="auto"/>
          <w:spacing w:val="2"/>
          <w:sz w:val="24"/>
          <w:szCs w:val="24"/>
          <w:highlight w:val="none"/>
        </w:rPr>
        <w:t>清洁、除锈和修复、补充</w:t>
      </w:r>
      <w:r>
        <w:rPr>
          <w:rFonts w:hint="eastAsia" w:ascii="宋体" w:hAnsi="宋体" w:eastAsia="宋体" w:cs="宋体"/>
          <w:color w:val="auto"/>
          <w:spacing w:val="2"/>
          <w:sz w:val="24"/>
          <w:szCs w:val="24"/>
          <w:highlight w:val="none"/>
          <w:lang w:eastAsia="zh-CN"/>
        </w:rPr>
        <w:t>；</w:t>
      </w:r>
    </w:p>
    <w:p w14:paraId="7C39155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11.</w:t>
      </w:r>
      <w:r>
        <w:rPr>
          <w:rFonts w:hint="eastAsia" w:ascii="宋体" w:hAnsi="宋体" w:eastAsia="宋体" w:cs="宋体"/>
          <w:color w:val="auto"/>
          <w:spacing w:val="2"/>
          <w:sz w:val="24"/>
          <w:szCs w:val="24"/>
          <w:highlight w:val="none"/>
        </w:rPr>
        <w:t>护罩、杆体、支架、扎带</w:t>
      </w:r>
      <w:r>
        <w:rPr>
          <w:rFonts w:hint="eastAsia" w:ascii="宋体" w:hAnsi="宋体" w:eastAsia="宋体" w:cs="宋体"/>
          <w:color w:val="auto"/>
          <w:spacing w:val="2"/>
          <w:sz w:val="24"/>
          <w:szCs w:val="24"/>
          <w:highlight w:val="none"/>
          <w:lang w:eastAsia="zh-CN"/>
        </w:rPr>
        <w:t>及</w:t>
      </w:r>
      <w:r>
        <w:rPr>
          <w:rFonts w:hint="eastAsia" w:ascii="宋体" w:hAnsi="宋体" w:eastAsia="宋体" w:cs="宋体"/>
          <w:color w:val="auto"/>
          <w:spacing w:val="2"/>
          <w:sz w:val="24"/>
          <w:szCs w:val="24"/>
          <w:highlight w:val="none"/>
        </w:rPr>
        <w:t>横臂维护</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清洁、除锈</w:t>
      </w:r>
      <w:r>
        <w:rPr>
          <w:rFonts w:hint="eastAsia" w:ascii="宋体" w:hAnsi="宋体" w:eastAsia="宋体" w:cs="宋体"/>
          <w:color w:val="auto"/>
          <w:spacing w:val="2"/>
          <w:sz w:val="24"/>
          <w:szCs w:val="24"/>
          <w:highlight w:val="none"/>
          <w:lang w:eastAsia="zh-CN"/>
        </w:rPr>
        <w:t>）；</w:t>
      </w:r>
    </w:p>
    <w:p w14:paraId="7D57A51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12.</w:t>
      </w:r>
      <w:r>
        <w:rPr>
          <w:rFonts w:hint="eastAsia" w:ascii="宋体" w:hAnsi="宋体" w:eastAsia="宋体" w:cs="宋体"/>
          <w:color w:val="auto"/>
          <w:spacing w:val="2"/>
          <w:sz w:val="24"/>
          <w:szCs w:val="24"/>
          <w:highlight w:val="none"/>
        </w:rPr>
        <w:t>取电上墙护管及接电端子维护、更换</w:t>
      </w:r>
      <w:r>
        <w:rPr>
          <w:rFonts w:hint="eastAsia" w:ascii="宋体" w:hAnsi="宋体" w:eastAsia="宋体" w:cs="宋体"/>
          <w:color w:val="auto"/>
          <w:spacing w:val="2"/>
          <w:sz w:val="24"/>
          <w:szCs w:val="24"/>
          <w:highlight w:val="none"/>
          <w:lang w:eastAsia="zh-CN"/>
        </w:rPr>
        <w:t>；</w:t>
      </w:r>
    </w:p>
    <w:p w14:paraId="2ADA1236">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13.</w:t>
      </w:r>
      <w:r>
        <w:rPr>
          <w:rFonts w:hint="eastAsia" w:ascii="宋体" w:hAnsi="宋体" w:eastAsia="宋体" w:cs="宋体"/>
          <w:color w:val="auto"/>
          <w:spacing w:val="2"/>
          <w:sz w:val="24"/>
          <w:szCs w:val="24"/>
          <w:highlight w:val="none"/>
        </w:rPr>
        <w:t>每年50杆</w:t>
      </w:r>
      <w:r>
        <w:rPr>
          <w:rFonts w:hint="eastAsia" w:ascii="宋体" w:hAnsi="宋体" w:eastAsia="宋体" w:cs="宋体"/>
          <w:color w:val="auto"/>
          <w:spacing w:val="2"/>
          <w:sz w:val="24"/>
          <w:szCs w:val="24"/>
          <w:highlight w:val="none"/>
          <w:lang w:val="en-US" w:eastAsia="zh-CN"/>
        </w:rPr>
        <w:t>以内</w:t>
      </w:r>
      <w:r>
        <w:rPr>
          <w:rFonts w:hint="eastAsia" w:ascii="宋体" w:hAnsi="宋体" w:eastAsia="宋体" w:cs="宋体"/>
          <w:color w:val="auto"/>
          <w:spacing w:val="2"/>
          <w:sz w:val="24"/>
          <w:szCs w:val="24"/>
          <w:highlight w:val="none"/>
        </w:rPr>
        <w:t>因城区改造等原因造成“智能天网”前端监控设备杆件搬迁</w:t>
      </w:r>
      <w:r>
        <w:rPr>
          <w:rFonts w:hint="eastAsia" w:ascii="宋体" w:hAnsi="宋体" w:eastAsia="宋体" w:cs="宋体"/>
          <w:color w:val="auto"/>
          <w:spacing w:val="2"/>
          <w:sz w:val="24"/>
          <w:szCs w:val="24"/>
          <w:highlight w:val="none"/>
          <w:lang w:eastAsia="zh-CN"/>
        </w:rPr>
        <w:t>；</w:t>
      </w:r>
    </w:p>
    <w:p w14:paraId="54E4E89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14.每年负责1500米内</w:t>
      </w:r>
      <w:r>
        <w:rPr>
          <w:rFonts w:hint="eastAsia" w:ascii="宋体" w:hAnsi="宋体" w:eastAsia="宋体" w:cs="宋体"/>
          <w:color w:val="auto"/>
          <w:spacing w:val="2"/>
          <w:sz w:val="24"/>
          <w:szCs w:val="24"/>
          <w:highlight w:val="none"/>
        </w:rPr>
        <w:t>电缆损坏和被盗的修复</w:t>
      </w:r>
      <w:r>
        <w:rPr>
          <w:rFonts w:hint="eastAsia" w:ascii="宋体" w:hAnsi="宋体" w:eastAsia="宋体" w:cs="宋体"/>
          <w:color w:val="auto"/>
          <w:spacing w:val="2"/>
          <w:sz w:val="24"/>
          <w:szCs w:val="24"/>
          <w:highlight w:val="none"/>
          <w:lang w:val="en-US" w:eastAsia="zh-CN"/>
        </w:rPr>
        <w:t>和</w:t>
      </w:r>
      <w:r>
        <w:rPr>
          <w:rFonts w:hint="eastAsia" w:ascii="宋体" w:hAnsi="宋体" w:eastAsia="宋体" w:cs="宋体"/>
          <w:color w:val="auto"/>
          <w:spacing w:val="2"/>
          <w:sz w:val="24"/>
          <w:szCs w:val="24"/>
          <w:highlight w:val="none"/>
        </w:rPr>
        <w:t>更换</w:t>
      </w:r>
      <w:r>
        <w:rPr>
          <w:rFonts w:hint="eastAsia" w:ascii="宋体" w:hAnsi="宋体" w:eastAsia="宋体" w:cs="宋体"/>
          <w:color w:val="auto"/>
          <w:spacing w:val="2"/>
          <w:sz w:val="24"/>
          <w:szCs w:val="24"/>
          <w:highlight w:val="none"/>
          <w:lang w:eastAsia="zh-CN"/>
        </w:rPr>
        <w:t>；</w:t>
      </w:r>
    </w:p>
    <w:p w14:paraId="7FFDE88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15.</w:t>
      </w:r>
      <w:r>
        <w:rPr>
          <w:rFonts w:hint="eastAsia" w:ascii="宋体" w:hAnsi="宋体" w:eastAsia="宋体" w:cs="宋体"/>
          <w:color w:val="auto"/>
          <w:spacing w:val="2"/>
          <w:sz w:val="24"/>
          <w:szCs w:val="24"/>
          <w:highlight w:val="none"/>
        </w:rPr>
        <w:t>前端点位电路及设施损坏修复及赔偿。</w:t>
      </w:r>
    </w:p>
    <w:p w14:paraId="36723D8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16.</w:t>
      </w:r>
      <w:r>
        <w:rPr>
          <w:rFonts w:hint="eastAsia" w:ascii="宋体" w:hAnsi="宋体" w:eastAsia="宋体" w:cs="宋体"/>
          <w:color w:val="auto"/>
          <w:spacing w:val="2"/>
          <w:sz w:val="24"/>
          <w:szCs w:val="24"/>
          <w:highlight w:val="none"/>
        </w:rPr>
        <w:t>每年900米</w:t>
      </w:r>
      <w:r>
        <w:rPr>
          <w:rFonts w:hint="eastAsia" w:ascii="宋体" w:hAnsi="宋体" w:eastAsia="宋体" w:cs="宋体"/>
          <w:color w:val="auto"/>
          <w:spacing w:val="2"/>
          <w:sz w:val="24"/>
          <w:szCs w:val="24"/>
          <w:highlight w:val="none"/>
          <w:lang w:val="en-US" w:eastAsia="zh-CN"/>
        </w:rPr>
        <w:t>以内的变更取电点</w:t>
      </w:r>
      <w:r>
        <w:rPr>
          <w:rFonts w:hint="eastAsia" w:ascii="宋体" w:hAnsi="宋体" w:eastAsia="宋体" w:cs="宋体"/>
          <w:color w:val="auto"/>
          <w:spacing w:val="2"/>
          <w:sz w:val="24"/>
          <w:szCs w:val="24"/>
          <w:highlight w:val="none"/>
        </w:rPr>
        <w:t>管道</w:t>
      </w:r>
      <w:r>
        <w:rPr>
          <w:rFonts w:hint="eastAsia" w:ascii="宋体" w:hAnsi="宋体" w:eastAsia="宋体" w:cs="宋体"/>
          <w:color w:val="auto"/>
          <w:spacing w:val="2"/>
          <w:sz w:val="24"/>
          <w:szCs w:val="24"/>
          <w:highlight w:val="none"/>
          <w:lang w:val="en-US" w:eastAsia="zh-CN"/>
        </w:rPr>
        <w:t>施工</w:t>
      </w:r>
      <w:r>
        <w:rPr>
          <w:rFonts w:hint="eastAsia" w:ascii="宋体" w:hAnsi="宋体" w:eastAsia="宋体" w:cs="宋体"/>
          <w:color w:val="auto"/>
          <w:spacing w:val="2"/>
          <w:sz w:val="24"/>
          <w:szCs w:val="24"/>
          <w:highlight w:val="none"/>
          <w:lang w:eastAsia="zh-CN"/>
        </w:rPr>
        <w:t>；</w:t>
      </w:r>
    </w:p>
    <w:p w14:paraId="01449C9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17.</w:t>
      </w:r>
      <w:r>
        <w:rPr>
          <w:rFonts w:hint="eastAsia" w:ascii="宋体" w:hAnsi="宋体" w:eastAsia="宋体" w:cs="宋体"/>
          <w:color w:val="auto"/>
          <w:spacing w:val="2"/>
          <w:sz w:val="24"/>
          <w:szCs w:val="24"/>
          <w:highlight w:val="none"/>
        </w:rPr>
        <w:t>每年50根</w:t>
      </w:r>
      <w:r>
        <w:rPr>
          <w:rFonts w:hint="eastAsia" w:ascii="宋体" w:hAnsi="宋体" w:eastAsia="宋体" w:cs="宋体"/>
          <w:color w:val="auto"/>
          <w:spacing w:val="2"/>
          <w:sz w:val="24"/>
          <w:szCs w:val="24"/>
          <w:highlight w:val="none"/>
          <w:lang w:val="en-US" w:eastAsia="zh-CN"/>
        </w:rPr>
        <w:t>以内的</w:t>
      </w:r>
      <w:r>
        <w:rPr>
          <w:rFonts w:hint="eastAsia" w:ascii="宋体" w:hAnsi="宋体" w:eastAsia="宋体" w:cs="宋体"/>
          <w:color w:val="auto"/>
          <w:spacing w:val="2"/>
          <w:sz w:val="24"/>
          <w:szCs w:val="24"/>
          <w:highlight w:val="none"/>
        </w:rPr>
        <w:t>横臂调整</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横臂</w:t>
      </w:r>
      <w:r>
        <w:rPr>
          <w:rFonts w:hint="eastAsia" w:ascii="宋体" w:hAnsi="宋体" w:eastAsia="宋体" w:cs="宋体"/>
          <w:color w:val="auto"/>
          <w:spacing w:val="2"/>
          <w:sz w:val="24"/>
          <w:szCs w:val="24"/>
          <w:highlight w:val="none"/>
          <w:lang w:val="en-US" w:eastAsia="zh-CN"/>
        </w:rPr>
        <w:t>利旧</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，超过50根的</w:t>
      </w:r>
      <w:r>
        <w:rPr>
          <w:rFonts w:hint="eastAsia" w:ascii="宋体" w:hAnsi="宋体" w:eastAsia="宋体" w:cs="宋体"/>
          <w:color w:val="auto"/>
          <w:spacing w:val="2"/>
          <w:sz w:val="24"/>
          <w:szCs w:val="24"/>
          <w:highlight w:val="none"/>
          <w:lang w:eastAsia="zh-CN"/>
        </w:rPr>
        <w:t>；</w:t>
      </w:r>
    </w:p>
    <w:p w14:paraId="2D1D554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18.</w:t>
      </w:r>
      <w:r>
        <w:rPr>
          <w:rFonts w:hint="eastAsia" w:ascii="宋体" w:hAnsi="宋体" w:eastAsia="宋体" w:cs="宋体"/>
          <w:color w:val="auto"/>
          <w:spacing w:val="2"/>
          <w:sz w:val="24"/>
          <w:szCs w:val="24"/>
          <w:highlight w:val="none"/>
        </w:rPr>
        <w:t>因感应雷造成的所有损坏设备修复、更换</w:t>
      </w:r>
      <w:r>
        <w:rPr>
          <w:rFonts w:hint="eastAsia" w:ascii="宋体" w:hAnsi="宋体" w:eastAsia="宋体" w:cs="宋体"/>
          <w:color w:val="auto"/>
          <w:spacing w:val="2"/>
          <w:sz w:val="24"/>
          <w:szCs w:val="24"/>
          <w:highlight w:val="none"/>
          <w:lang w:eastAsia="zh-CN"/>
        </w:rPr>
        <w:t>；</w:t>
      </w:r>
    </w:p>
    <w:p w14:paraId="111E7F6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19.</w:t>
      </w:r>
      <w:r>
        <w:rPr>
          <w:rFonts w:hint="eastAsia" w:ascii="宋体" w:hAnsi="宋体" w:eastAsia="宋体" w:cs="宋体"/>
          <w:color w:val="auto"/>
          <w:spacing w:val="2"/>
          <w:sz w:val="24"/>
          <w:szCs w:val="24"/>
          <w:highlight w:val="none"/>
        </w:rPr>
        <w:t>杆基础、穿线手井、井盖维护、修复</w:t>
      </w:r>
      <w:r>
        <w:rPr>
          <w:rFonts w:hint="eastAsia" w:ascii="宋体" w:hAnsi="宋体" w:eastAsia="宋体" w:cs="宋体"/>
          <w:color w:val="auto"/>
          <w:spacing w:val="2"/>
          <w:sz w:val="24"/>
          <w:szCs w:val="24"/>
          <w:highlight w:val="none"/>
          <w:lang w:eastAsia="zh-CN"/>
        </w:rPr>
        <w:t>；</w:t>
      </w:r>
    </w:p>
    <w:p w14:paraId="0D311F4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20.</w:t>
      </w:r>
      <w:r>
        <w:rPr>
          <w:rFonts w:hint="eastAsia" w:ascii="宋体" w:hAnsi="宋体" w:eastAsia="宋体" w:cs="宋体"/>
          <w:color w:val="auto"/>
          <w:spacing w:val="2"/>
          <w:sz w:val="24"/>
          <w:szCs w:val="24"/>
          <w:highlight w:val="none"/>
        </w:rPr>
        <w:t>前端点位经纬度数据的提供及更新</w:t>
      </w:r>
      <w:r>
        <w:rPr>
          <w:rFonts w:hint="eastAsia" w:ascii="宋体" w:hAnsi="宋体" w:eastAsia="宋体" w:cs="宋体"/>
          <w:color w:val="auto"/>
          <w:spacing w:val="2"/>
          <w:sz w:val="24"/>
          <w:szCs w:val="24"/>
          <w:highlight w:val="none"/>
          <w:lang w:eastAsia="zh-CN"/>
        </w:rPr>
        <w:t>；</w:t>
      </w:r>
    </w:p>
    <w:p w14:paraId="091CF00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21.</w:t>
      </w:r>
      <w:r>
        <w:rPr>
          <w:rFonts w:hint="eastAsia" w:ascii="宋体" w:hAnsi="宋体" w:eastAsia="宋体" w:cs="宋体"/>
          <w:color w:val="auto"/>
          <w:spacing w:val="2"/>
          <w:sz w:val="24"/>
          <w:szCs w:val="24"/>
          <w:highlight w:val="none"/>
        </w:rPr>
        <w:t>前端点位的维护资料的更新</w:t>
      </w:r>
      <w:r>
        <w:rPr>
          <w:rFonts w:hint="eastAsia" w:ascii="宋体" w:hAnsi="宋体" w:eastAsia="宋体" w:cs="宋体"/>
          <w:color w:val="auto"/>
          <w:spacing w:val="2"/>
          <w:sz w:val="24"/>
          <w:szCs w:val="24"/>
          <w:highlight w:val="none"/>
          <w:lang w:eastAsia="zh-CN"/>
        </w:rPr>
        <w:t>；</w:t>
      </w:r>
    </w:p>
    <w:p w14:paraId="6CB609E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22.</w:t>
      </w:r>
      <w:r>
        <w:rPr>
          <w:rFonts w:hint="eastAsia" w:ascii="宋体" w:hAnsi="宋体" w:eastAsia="宋体" w:cs="宋体"/>
          <w:color w:val="auto"/>
          <w:spacing w:val="2"/>
          <w:sz w:val="24"/>
          <w:szCs w:val="24"/>
          <w:highlight w:val="none"/>
        </w:rPr>
        <w:t>前端设备损坏检测、报价</w:t>
      </w:r>
      <w:r>
        <w:rPr>
          <w:rFonts w:hint="eastAsia" w:ascii="宋体" w:hAnsi="宋体" w:eastAsia="宋体" w:cs="宋体"/>
          <w:color w:val="auto"/>
          <w:spacing w:val="2"/>
          <w:sz w:val="24"/>
          <w:szCs w:val="24"/>
          <w:highlight w:val="none"/>
          <w:lang w:eastAsia="zh-CN"/>
        </w:rPr>
        <w:t>；</w:t>
      </w:r>
    </w:p>
    <w:p w14:paraId="52BDF74B">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服务要求</w:t>
      </w:r>
    </w:p>
    <w:p w14:paraId="01FFAAA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1.前端维护人员要求</w:t>
      </w:r>
    </w:p>
    <w:p w14:paraId="49DDC32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根据天网前端点位分布，前端维护人员分为四组，分布如下：</w:t>
      </w:r>
    </w:p>
    <w:p w14:paraId="7441365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维护一组：负责北湖区的前端设备、分局、派出所设备的维护。配备3名维护工程师、1名司机，一辆工程车和一套维护工具。</w:t>
      </w:r>
    </w:p>
    <w:p w14:paraId="54F770A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维护二组：负责苏仙区的前端设备、分局、派出所设备的维护。配备3名维护工程师、1名司机，一辆工程车和一套维护工具。</w:t>
      </w:r>
    </w:p>
    <w:p w14:paraId="15054C0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维护三组：负责高新区的前端设备、分局、派出所设备的维护，配备3名维护工程师、1名司机，一辆工程车和一套维护工具。</w:t>
      </w:r>
    </w:p>
    <w:p w14:paraId="120E1B6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维护四组：负责卡口的前端设备维护，配备3名维护工程师、1名司机，一辆高车和一套卡口维护专用工具。</w:t>
      </w:r>
    </w:p>
    <w:p w14:paraId="5341DB4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机动组：</w:t>
      </w:r>
      <w:r>
        <w:rPr>
          <w:rFonts w:hint="eastAsia" w:ascii="宋体" w:hAnsi="宋体" w:eastAsia="宋体" w:cs="宋体"/>
          <w:color w:val="auto"/>
          <w:spacing w:val="2"/>
          <w:sz w:val="24"/>
          <w:szCs w:val="24"/>
          <w:highlight w:val="none"/>
          <w:lang w:eastAsia="zh-CN"/>
        </w:rPr>
        <w:t>作为</w:t>
      </w:r>
      <w:r>
        <w:rPr>
          <w:rFonts w:ascii="宋体" w:hAnsi="宋体" w:eastAsia="宋体" w:cs="宋体"/>
          <w:color w:val="auto"/>
          <w:spacing w:val="2"/>
          <w:sz w:val="24"/>
          <w:szCs w:val="24"/>
          <w:highlight w:val="none"/>
        </w:rPr>
        <w:t>机动小组，直接归运行维护中心负责人领导，协助处理繁忙区域的工作，</w:t>
      </w:r>
      <w:r>
        <w:rPr>
          <w:rFonts w:hint="eastAsia" w:ascii="宋体" w:hAnsi="宋体" w:eastAsia="宋体" w:cs="宋体"/>
          <w:color w:val="auto"/>
          <w:spacing w:val="2"/>
          <w:sz w:val="24"/>
          <w:szCs w:val="24"/>
          <w:highlight w:val="none"/>
          <w:lang w:eastAsia="zh-CN"/>
        </w:rPr>
        <w:t>应对</w:t>
      </w:r>
      <w:r>
        <w:rPr>
          <w:rFonts w:ascii="宋体" w:hAnsi="宋体" w:eastAsia="宋体" w:cs="宋体"/>
          <w:color w:val="auto"/>
          <w:spacing w:val="2"/>
          <w:sz w:val="24"/>
          <w:szCs w:val="24"/>
          <w:highlight w:val="none"/>
        </w:rPr>
        <w:t>突发情况，配备3名工程师、1名司机，一辆工程车，一辆高车和一套维护工具。</w:t>
      </w:r>
    </w:p>
    <w:p w14:paraId="6915549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default" w:ascii="宋体" w:hAnsi="宋体" w:eastAsia="宋体" w:cs="宋体"/>
          <w:color w:val="auto"/>
          <w:spacing w:val="2"/>
          <w:sz w:val="24"/>
          <w:szCs w:val="24"/>
          <w:highlight w:val="none"/>
          <w:lang w:val="en-US" w:eastAsia="zh-CN"/>
        </w:rPr>
      </w:pPr>
      <w:r>
        <w:rPr>
          <w:rFonts w:ascii="宋体" w:hAnsi="宋体" w:eastAsia="宋体" w:cs="宋体"/>
          <w:color w:val="auto"/>
          <w:spacing w:val="2"/>
          <w:sz w:val="24"/>
          <w:szCs w:val="24"/>
          <w:highlight w:val="none"/>
        </w:rPr>
        <w:t>巡检组：每月负责对前端点位及设备的巡检工作，提交巡检报告，并担当机动组功能，应对突发情况及重大保障工作，配备1名工程师、1名司机，一辆工程车和一套维护工具。</w:t>
      </w:r>
      <w:r>
        <w:rPr>
          <w:rFonts w:hint="eastAsia" w:ascii="宋体" w:hAnsi="宋体" w:eastAsia="宋体" w:cs="宋体"/>
          <w:color w:val="auto"/>
          <w:spacing w:val="2"/>
          <w:sz w:val="24"/>
          <w:szCs w:val="24"/>
          <w:highlight w:val="none"/>
        </w:rPr>
        <w:t>前端维护需求</w:t>
      </w:r>
      <w:r>
        <w:rPr>
          <w:rFonts w:hint="eastAsia" w:ascii="宋体" w:hAnsi="宋体" w:eastAsia="宋体" w:cs="宋体"/>
          <w:color w:val="auto"/>
          <w:spacing w:val="2"/>
          <w:sz w:val="24"/>
          <w:szCs w:val="24"/>
          <w:highlight w:val="none"/>
          <w:lang w:eastAsia="zh-CN"/>
        </w:rPr>
        <w:t>清单</w:t>
      </w:r>
      <w:r>
        <w:rPr>
          <w:rFonts w:hint="eastAsia" w:ascii="宋体" w:hAnsi="宋体" w:eastAsia="宋体" w:cs="宋体"/>
          <w:color w:val="auto"/>
          <w:spacing w:val="2"/>
          <w:sz w:val="24"/>
          <w:szCs w:val="24"/>
          <w:highlight w:val="none"/>
          <w:lang w:val="en-US" w:eastAsia="zh-CN"/>
        </w:rPr>
        <w:t>如下：</w:t>
      </w:r>
    </w:p>
    <w:tbl>
      <w:tblPr>
        <w:tblStyle w:val="45"/>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6"/>
        <w:gridCol w:w="3851"/>
        <w:gridCol w:w="537"/>
        <w:gridCol w:w="537"/>
        <w:gridCol w:w="3311"/>
      </w:tblGrid>
      <w:tr w14:paraId="579FE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blHeader/>
        </w:trPr>
        <w:tc>
          <w:tcPr>
            <w:tcW w:w="306" w:type="pct"/>
            <w:tcBorders>
              <w:top w:val="single" w:color="000000" w:sz="4" w:space="0"/>
              <w:left w:val="single" w:color="000000" w:sz="4" w:space="0"/>
              <w:bottom w:val="single" w:color="000000" w:sz="4" w:space="0"/>
              <w:right w:val="single" w:color="000000" w:sz="4" w:space="0"/>
            </w:tcBorders>
            <w:shd w:val="clear" w:color="auto" w:fill="A5A5A5"/>
            <w:vAlign w:val="center"/>
          </w:tcPr>
          <w:p w14:paraId="28F0168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2195" w:type="pct"/>
            <w:tcBorders>
              <w:top w:val="single" w:color="000000" w:sz="4" w:space="0"/>
              <w:left w:val="single" w:color="000000" w:sz="4" w:space="0"/>
              <w:bottom w:val="single" w:color="000000" w:sz="4" w:space="0"/>
              <w:right w:val="single" w:color="000000" w:sz="4" w:space="0"/>
            </w:tcBorders>
            <w:shd w:val="clear" w:color="auto" w:fill="A5A5A5"/>
            <w:vAlign w:val="center"/>
          </w:tcPr>
          <w:p w14:paraId="1D90639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名称</w:t>
            </w:r>
          </w:p>
        </w:tc>
        <w:tc>
          <w:tcPr>
            <w:tcW w:w="306" w:type="pct"/>
            <w:tcBorders>
              <w:top w:val="single" w:color="000000" w:sz="4" w:space="0"/>
              <w:left w:val="single" w:color="000000" w:sz="4" w:space="0"/>
              <w:bottom w:val="single" w:color="000000" w:sz="4" w:space="0"/>
              <w:right w:val="single" w:color="000000" w:sz="4" w:space="0"/>
            </w:tcBorders>
            <w:shd w:val="clear" w:color="auto" w:fill="A5A5A5"/>
            <w:vAlign w:val="center"/>
          </w:tcPr>
          <w:p w14:paraId="6BB5DF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c>
          <w:tcPr>
            <w:tcW w:w="306" w:type="pct"/>
            <w:tcBorders>
              <w:top w:val="single" w:color="000000" w:sz="4" w:space="0"/>
              <w:left w:val="single" w:color="000000" w:sz="4" w:space="0"/>
              <w:bottom w:val="single" w:color="000000" w:sz="4" w:space="0"/>
              <w:right w:val="single" w:color="000000" w:sz="4" w:space="0"/>
            </w:tcBorders>
            <w:shd w:val="clear" w:color="auto" w:fill="A5A5A5"/>
            <w:vAlign w:val="center"/>
          </w:tcPr>
          <w:p w14:paraId="4ABAE46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1886" w:type="pct"/>
            <w:tcBorders>
              <w:top w:val="single" w:color="000000" w:sz="4" w:space="0"/>
              <w:left w:val="single" w:color="000000" w:sz="4" w:space="0"/>
              <w:bottom w:val="single" w:color="000000" w:sz="4" w:space="0"/>
              <w:right w:val="single" w:color="000000" w:sz="4" w:space="0"/>
            </w:tcBorders>
            <w:shd w:val="clear" w:color="auto" w:fill="A5A5A5"/>
            <w:vAlign w:val="center"/>
          </w:tcPr>
          <w:p w14:paraId="1781AC5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备注</w:t>
            </w:r>
          </w:p>
        </w:tc>
      </w:tr>
      <w:tr w14:paraId="18571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FF6D8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一、维护专用车辆</w:t>
            </w:r>
          </w:p>
        </w:tc>
      </w:tr>
      <w:tr w14:paraId="3B149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EFED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EA77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工程车辆（程力曲臂高车）</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6600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BE0A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辆</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E9E3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涉及高空作业需采用高空作业车</w:t>
            </w:r>
          </w:p>
        </w:tc>
      </w:tr>
      <w:tr w14:paraId="18C7D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C8B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AD8F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工程车辆（皮卡/面包车）</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BE3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5509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辆</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CA00C">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6F5A2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C6E2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8CAB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维护巡查车</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E4AC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43FD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辆</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B2A03">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5BE17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CF27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二、测试仪器、仪表</w:t>
            </w:r>
          </w:p>
        </w:tc>
      </w:tr>
      <w:tr w14:paraId="698F7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42C5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D02F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手提电脑</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610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39B5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5D8D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每人必备</w:t>
            </w:r>
          </w:p>
        </w:tc>
      </w:tr>
      <w:tr w14:paraId="06F63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8F17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C6AD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数字式万用表</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4C6B8">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DD5F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5902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每组必备，数量视需要自定</w:t>
            </w:r>
          </w:p>
        </w:tc>
      </w:tr>
      <w:tr w14:paraId="785A9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7A30F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三、杆体维护、抢修设备、工具</w:t>
            </w:r>
          </w:p>
        </w:tc>
      </w:tr>
      <w:tr w14:paraId="18DEE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ADD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0107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数码相机</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A7B4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3B31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F7EBB">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50ED7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9A2D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F078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汽油发电机</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D42E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FF32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5CA24">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3B0BC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5CC12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四、清洁专用工具</w:t>
            </w:r>
          </w:p>
        </w:tc>
      </w:tr>
      <w:tr w14:paraId="1F6F9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D67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4EBF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电子器件专用电动喷枪</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EA994">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427D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9CD1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日常维护组必备</w:t>
            </w:r>
          </w:p>
        </w:tc>
      </w:tr>
      <w:tr w14:paraId="01DBB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A37E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82EE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专业风干机</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A70A0">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CDB8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D0D7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日常维护组必备</w:t>
            </w:r>
          </w:p>
        </w:tc>
      </w:tr>
      <w:tr w14:paraId="7B4E6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4F3A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B3F6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专业摄像机镜头清洁工具箱</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B69A9">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3BC9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8F88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日常维护组必备</w:t>
            </w:r>
          </w:p>
        </w:tc>
      </w:tr>
      <w:tr w14:paraId="38249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B330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五、日常维护工具</w:t>
            </w:r>
          </w:p>
        </w:tc>
      </w:tr>
      <w:tr w14:paraId="0DF3A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9234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E3C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工具箱</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8188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5B04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B13B3">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178E4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496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ECDB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网线钳</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8DD1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7283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056BC">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01FDE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2AB0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35D4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网络测线仪</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CC4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02E8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73584">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13C3B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A59C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DB8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数字万用表</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D96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C296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157CD">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7C1C1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9B3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EEC9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一字螺丝刀（各型号）</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094D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ED64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5A776">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48FEB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989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6516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十字螺丝刀（各型号）</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41DC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9A5C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6638B">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27A0F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1653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E2D7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内六角螺丝刀（各型号）</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1237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009D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78939">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38FF4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2B0B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AB85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扳手</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E577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B74C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0E136">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06CE9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EB97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9B30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电笔</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72ED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EB0E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06C7F">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6C12A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18D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B1EA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电钻（含钻头）</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275C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CBA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D37AF">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1C34A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781C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B3C3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人字梯</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57E7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AE9B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DAEEC">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6614D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86D2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5AB9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常用电工工具套装</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EB2F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34F0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4D04C">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3DF44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644B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91CB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柴油电锯</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2CCF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23C5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75AA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夏秋季修剪树枝</w:t>
            </w:r>
          </w:p>
        </w:tc>
      </w:tr>
      <w:tr w14:paraId="17B9D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E986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A7F1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安全带</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03691">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E16B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41B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每组必备，数量视需要自定</w:t>
            </w:r>
          </w:p>
        </w:tc>
      </w:tr>
      <w:tr w14:paraId="51330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6A5C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B271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安全帽</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8D5E1">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E919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F4DC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每组必备，数量视需要自定</w:t>
            </w:r>
          </w:p>
        </w:tc>
      </w:tr>
      <w:tr w14:paraId="11F1C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EF5C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E9B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反光衣</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BF0F7">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6380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件</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D3E9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每组必备，数量视需要自定</w:t>
            </w:r>
          </w:p>
        </w:tc>
      </w:tr>
      <w:tr w14:paraId="7B6DF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DA6E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5DBA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施工标示牌</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74B3F">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44B3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E15B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每组必备，数量视需要自定</w:t>
            </w:r>
          </w:p>
        </w:tc>
      </w:tr>
      <w:tr w14:paraId="23B09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4AA7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EBB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灭火器</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C63E7">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7C10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DCBE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每组必备，数量视需要自定</w:t>
            </w:r>
          </w:p>
        </w:tc>
      </w:tr>
      <w:tr w14:paraId="2297B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AD533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六、办公用品</w:t>
            </w:r>
          </w:p>
        </w:tc>
      </w:tr>
      <w:tr w14:paraId="6472A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81D5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1DDB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标签打印机</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7C020">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467F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DE0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含标签纸，数量视需要自定</w:t>
            </w:r>
          </w:p>
        </w:tc>
      </w:tr>
      <w:tr w14:paraId="0C428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D8B0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3AA0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办公用扫描、复印、打印一体机</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C1D1B">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B46E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2876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数量视需要自定</w:t>
            </w:r>
          </w:p>
        </w:tc>
      </w:tr>
      <w:tr w14:paraId="282AE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4127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BB1C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文件夹、文件保管盒、文件柜</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84C19">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E6C2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E0B2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数量视需要自定</w:t>
            </w:r>
          </w:p>
        </w:tc>
      </w:tr>
      <w:tr w14:paraId="18BCA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05A4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C9F7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办公桌、椅</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FC045">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8579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F87E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数量视需要自定</w:t>
            </w:r>
          </w:p>
        </w:tc>
      </w:tr>
      <w:tr w14:paraId="11477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9827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1422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订书机、书钉</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29DB9">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44FA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B49F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数量视需要自定</w:t>
            </w:r>
          </w:p>
        </w:tc>
      </w:tr>
      <w:tr w14:paraId="0BF29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E975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DCB3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便携式带有USB数据接口、DVD刻录功能的光驱</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6B3FD">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A5D7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CE5C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数量视需要自定</w:t>
            </w:r>
          </w:p>
        </w:tc>
      </w:tr>
      <w:tr w14:paraId="2AB12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0BF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2DE8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网络性能监测工具</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5B5D4">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4D25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D401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数量视需要自定</w:t>
            </w:r>
          </w:p>
        </w:tc>
      </w:tr>
    </w:tbl>
    <w:p w14:paraId="05B8BB72">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p>
    <w:p w14:paraId="62A93D7F">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2.前端巡检方式</w:t>
      </w:r>
    </w:p>
    <w:p w14:paraId="41F4ED18">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（1）运维管理系统巡检</w:t>
      </w:r>
    </w:p>
    <w:p w14:paraId="28DB22D8">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每天中心值班人员通过在中心设置的运维管理系统对所有纳入监管之下的前端设备进行巡检，发现设备异常后立即通过服务管理流程办法进行相应操作。</w:t>
      </w:r>
    </w:p>
    <w:p w14:paraId="065385CF">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（2）人工巡检</w:t>
      </w:r>
    </w:p>
    <w:p w14:paraId="35ED3A05">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为防止运维管理系统出现意外宕机或系统故障，前端维护人员每天需通过视频监控管理系统对所负责区域的前端查看一次，每月对前端设备进行一次现场维护和清洁保养，如发现设备异常后立即通过服务管理流程办法进行相应操作。</w:t>
      </w:r>
    </w:p>
    <w:p w14:paraId="16344FC1">
      <w:pPr>
        <w:spacing w:line="11621" w:lineRule="exact"/>
        <w:ind w:firstLine="480" w:firstLineChars="200"/>
        <w:rPr>
          <w:rFonts w:ascii="宋体" w:hAnsi="宋体" w:eastAsia="宋体" w:cs="宋体"/>
          <w:color w:val="auto"/>
          <w:sz w:val="24"/>
          <w:szCs w:val="24"/>
          <w:highlight w:val="none"/>
        </w:rPr>
      </w:pPr>
      <w:r>
        <w:rPr>
          <w:rFonts w:ascii="宋体" w:hAnsi="宋体" w:eastAsia="宋体" w:cs="宋体"/>
          <w:color w:val="auto"/>
          <w:position w:val="-232"/>
          <w:sz w:val="24"/>
          <w:szCs w:val="24"/>
          <w:highlight w:val="none"/>
        </w:rPr>
        <w:drawing>
          <wp:inline distT="0" distB="0" distL="114300" distR="114300">
            <wp:extent cx="5259070" cy="7378065"/>
            <wp:effectExtent l="0" t="0" r="17780" b="13335"/>
            <wp:docPr id="52" name="图片 23"/>
            <wp:cNvGraphicFramePr/>
            <a:graphic xmlns:a="http://schemas.openxmlformats.org/drawingml/2006/main">
              <a:graphicData uri="http://schemas.openxmlformats.org/drawingml/2006/picture">
                <pic:pic xmlns:pic="http://schemas.openxmlformats.org/drawingml/2006/picture">
                  <pic:nvPicPr>
                    <pic:cNvPr id="52" name="图片 23"/>
                    <pic:cNvPicPr/>
                  </pic:nvPicPr>
                  <pic:blipFill>
                    <a:blip r:embed="rId29"/>
                    <a:stretch>
                      <a:fillRect/>
                    </a:stretch>
                  </pic:blipFill>
                  <pic:spPr>
                    <a:xfrm>
                      <a:off x="0" y="0"/>
                      <a:ext cx="5259070" cy="7378065"/>
                    </a:xfrm>
                    <a:prstGeom prst="rect">
                      <a:avLst/>
                    </a:prstGeom>
                    <a:noFill/>
                    <a:ln>
                      <a:noFill/>
                    </a:ln>
                  </pic:spPr>
                </pic:pic>
              </a:graphicData>
            </a:graphic>
          </wp:inline>
        </w:drawing>
      </w:r>
    </w:p>
    <w:p w14:paraId="52C5591D">
      <w:pPr>
        <w:spacing w:before="181" w:line="219" w:lineRule="auto"/>
        <w:ind w:left="2677" w:firstLine="468" w:firstLineChars="20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图12前端系统巡检流程示意图</w:t>
      </w:r>
    </w:p>
    <w:p w14:paraId="0E2B9B60">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3.前端巡检要求</w:t>
      </w:r>
    </w:p>
    <w:p w14:paraId="76C98308">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（1）前端维护人员在维护过程中，过往马路要遵守交通信号灯指示，严禁闯红灯行为；</w:t>
      </w:r>
    </w:p>
    <w:p w14:paraId="4AF2711C">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（2）维护用车辆严禁无驾照或超出驾照范围人员驾驶；</w:t>
      </w:r>
    </w:p>
    <w:p w14:paraId="5100B73C">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（3）在路口维护过程中，要配备足够的安全保障设施，现场施工人员佩戴安全帽、反光服及施工证件，高空作业者要佩戴安全带防护；</w:t>
      </w:r>
    </w:p>
    <w:p w14:paraId="27F51D17">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（4）在路口施工时，配备足够的反光锥桶，以警示路人和车辆绕行。锥桶的摆放距离应控制在：白天30m以外，夜间40m以外；拐弯处白天40m以外，夜间50m以外；</w:t>
      </w:r>
    </w:p>
    <w:p w14:paraId="7E4AA94F">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（5）高空作业车路口施工要实时打开警示灯和双闪，</w:t>
      </w:r>
      <w:r>
        <w:rPr>
          <w:rFonts w:hint="eastAsia" w:ascii="宋体" w:hAnsi="宋体" w:eastAsia="宋体" w:cs="宋体"/>
          <w:color w:val="auto"/>
          <w:spacing w:val="3"/>
          <w:sz w:val="24"/>
          <w:szCs w:val="24"/>
          <w:highlight w:val="none"/>
          <w:lang w:eastAsia="zh-CN"/>
        </w:rPr>
        <w:t>加大</w:t>
      </w:r>
      <w:r>
        <w:rPr>
          <w:rFonts w:hint="eastAsia" w:ascii="宋体" w:hAnsi="宋体" w:eastAsia="宋体" w:cs="宋体"/>
          <w:color w:val="auto"/>
          <w:spacing w:val="3"/>
          <w:sz w:val="24"/>
          <w:szCs w:val="24"/>
          <w:highlight w:val="none"/>
        </w:rPr>
        <w:t>行人和车辆的提醒力度；</w:t>
      </w:r>
    </w:p>
    <w:p w14:paraId="76939FF3">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（6）高空作业人员在高空作业期间，不仅要加强人身安全的防护，还要保护好设备的安全，避免设备坠落摔损；</w:t>
      </w:r>
    </w:p>
    <w:p w14:paraId="4D3015F3">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对于受不可抗拒因素（如修路、电力电网改造等）影响的无法正常使用的摄像机进行就近移位，对不能继续使用且没有良好移位选择的摄像机进行拆机，待选择新的安装地点后再对其进行安装，具体要求如下：</w:t>
      </w:r>
    </w:p>
    <w:p w14:paraId="39925205">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（1）点位不拆除、需要复装的进行免责确认并将复装点位反馈给运维中心；</w:t>
      </w:r>
    </w:p>
    <w:p w14:paraId="3D810BFB">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（2）前端配合天网维护中心，做好项目实施时与客户的协调工作；</w:t>
      </w:r>
    </w:p>
    <w:p w14:paraId="46A379F1">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（3）对于人为或自然灾害造成的立杆倾斜、倒落、摄像机损坏等首先进行责任鉴定，对人为造成的破坏的责成其赔偿，及时对其进行恢复。</w:t>
      </w:r>
    </w:p>
    <w:p w14:paraId="4B07DFB2">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4.工作机制要求</w:t>
      </w:r>
    </w:p>
    <w:p w14:paraId="566991CD">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（1）制定维保检查计划、工作管理制度、维保</w:t>
      </w:r>
      <w:r>
        <w:rPr>
          <w:rFonts w:hint="eastAsia" w:ascii="宋体" w:hAnsi="宋体" w:eastAsia="宋体" w:cs="宋体"/>
          <w:color w:val="auto"/>
          <w:spacing w:val="3"/>
          <w:sz w:val="24"/>
          <w:szCs w:val="24"/>
          <w:highlight w:val="none"/>
          <w:lang w:eastAsia="zh-CN"/>
        </w:rPr>
        <w:t>操作规程</w:t>
      </w:r>
      <w:r>
        <w:rPr>
          <w:rFonts w:hint="eastAsia" w:ascii="宋体" w:hAnsi="宋体" w:eastAsia="宋体" w:cs="宋体"/>
          <w:color w:val="auto"/>
          <w:spacing w:val="3"/>
          <w:sz w:val="24"/>
          <w:szCs w:val="24"/>
          <w:highlight w:val="none"/>
        </w:rPr>
        <w:t>；</w:t>
      </w:r>
    </w:p>
    <w:p w14:paraId="184C7A13">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（2）建立《安防值班人员职责</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安防控制室管理制度</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安防设施维保管理制度》等安防管理规章制度；</w:t>
      </w:r>
    </w:p>
    <w:p w14:paraId="50C44EB7">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（3）智能天网前端监控系统维护保养日志，建立维护保养档案，并每月出具维护保养检测报告。</w:t>
      </w:r>
    </w:p>
    <w:p w14:paraId="7CFE4D76">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5.维护保养技术及内容要求</w:t>
      </w:r>
    </w:p>
    <w:p w14:paraId="0866B735">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维护保养主要针对前端监控设备，包括摄像头固件升级、内存卡更换，补光灯、闪光灯清洁、调试，机箱、前端</w:t>
      </w:r>
      <w:r>
        <w:rPr>
          <w:rFonts w:hint="eastAsia" w:ascii="宋体" w:hAnsi="宋体" w:eastAsia="宋体" w:cs="宋体"/>
          <w:color w:val="auto"/>
          <w:spacing w:val="3"/>
          <w:sz w:val="24"/>
          <w:szCs w:val="24"/>
          <w:highlight w:val="none"/>
          <w:lang w:eastAsia="zh-CN"/>
        </w:rPr>
        <w:t>标识牌</w:t>
      </w:r>
      <w:r>
        <w:rPr>
          <w:rFonts w:hint="eastAsia" w:ascii="宋体" w:hAnsi="宋体" w:eastAsia="宋体" w:cs="宋体"/>
          <w:color w:val="auto"/>
          <w:spacing w:val="3"/>
          <w:sz w:val="24"/>
          <w:szCs w:val="24"/>
          <w:highlight w:val="none"/>
        </w:rPr>
        <w:t>、护罩、杆体、支架、扎带</w:t>
      </w:r>
      <w:r>
        <w:rPr>
          <w:rFonts w:hint="eastAsia" w:ascii="宋体" w:hAnsi="宋体" w:eastAsia="宋体" w:cs="宋体"/>
          <w:color w:val="auto"/>
          <w:spacing w:val="3"/>
          <w:sz w:val="24"/>
          <w:szCs w:val="24"/>
          <w:highlight w:val="none"/>
          <w:lang w:eastAsia="zh-CN"/>
        </w:rPr>
        <w:t>及</w:t>
      </w:r>
      <w:r>
        <w:rPr>
          <w:rFonts w:hint="eastAsia" w:ascii="宋体" w:hAnsi="宋体" w:eastAsia="宋体" w:cs="宋体"/>
          <w:color w:val="auto"/>
          <w:spacing w:val="3"/>
          <w:sz w:val="24"/>
          <w:szCs w:val="24"/>
          <w:highlight w:val="none"/>
        </w:rPr>
        <w:t>横臂清洁、除锈，</w:t>
      </w:r>
      <w:r>
        <w:rPr>
          <w:rFonts w:hint="eastAsia" w:ascii="宋体" w:hAnsi="宋体" w:eastAsia="宋体" w:cs="宋体"/>
          <w:color w:val="auto"/>
          <w:spacing w:val="3"/>
          <w:sz w:val="24"/>
          <w:szCs w:val="24"/>
          <w:highlight w:val="none"/>
          <w:lang w:val="en-US" w:eastAsia="zh-CN"/>
        </w:rPr>
        <w:t>摄像机</w:t>
      </w:r>
      <w:r>
        <w:rPr>
          <w:rFonts w:hint="eastAsia" w:ascii="宋体" w:hAnsi="宋体" w:eastAsia="宋体" w:cs="宋体"/>
          <w:color w:val="auto"/>
          <w:spacing w:val="3"/>
          <w:sz w:val="24"/>
          <w:szCs w:val="24"/>
          <w:highlight w:val="none"/>
        </w:rPr>
        <w:t>电源线、网线、取电上墙护管及接电端子的检测更换。</w:t>
      </w:r>
    </w:p>
    <w:p w14:paraId="223CD414">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6.日常维护工作要求</w:t>
      </w:r>
    </w:p>
    <w:p w14:paraId="29F6EAC4">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对维保设备进行日常巡查、修剪树枝、镜头清理、设备除尘、位置调整、设备维修、故障排除等，同时做好维保设备的防潮、防尘、防腐、防雷、防干扰等工作。</w:t>
      </w:r>
    </w:p>
    <w:p w14:paraId="244FEB97">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7.月巡检工作要求</w:t>
      </w:r>
    </w:p>
    <w:p w14:paraId="3D4E63F0">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每月对每个维保设备点位进行一次巡检，对修剪树枝、镜头清理、设备除尘、位置调整、设备维修、防潮、防尘、防腐、防雷、防干扰等工作做好详细记录，根据巡查记录做好日、月、季、年检修计划。</w:t>
      </w:r>
    </w:p>
    <w:p w14:paraId="2A1BA6E4">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8.年度检修工作要求</w:t>
      </w:r>
    </w:p>
    <w:p w14:paraId="3E06FA45">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每年对立杆、机柜进行防锈处理，对监控点防雷系统、光传输线路和电源线路进行全面检修，及时发现并排除故障，并做好全年检修汇总分析，出具年度运维工作报告。</w:t>
      </w:r>
    </w:p>
    <w:p w14:paraId="0206E270">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智能天网维护设备更换归属</w:t>
      </w:r>
    </w:p>
    <w:p w14:paraId="41FA4DCF">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本项目运维服务过程中临时更换、增补的前端摄像机、电源、光猫、交换机、线缆、立杆、横臂、管道、存储硬盘、服务器板卡、网络模块等所有硬件设备全部归各使用单位所有。服务期届满后，中标服务商须完整移交全部新增 / 更换设备、配套辅材、设备台账、点位经纬度档案、链路配置文档，不得私自拆除、带走、损毁任何更换备件，逾期未完整移交，市数据局有权扣除全部维保尾款。</w:t>
      </w:r>
    </w:p>
    <w:p w14:paraId="079FA059">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97" w:name="bookmark63"/>
      <w:bookmarkEnd w:id="197"/>
      <w:r>
        <w:rPr>
          <w:rFonts w:hint="eastAsia" w:ascii="Arial" w:hAnsi="Arial" w:eastAsia="黑体" w:cs="宋体"/>
          <w:b/>
          <w:bCs/>
          <w:color w:val="auto"/>
          <w:kern w:val="2"/>
          <w:sz w:val="24"/>
          <w:szCs w:val="24"/>
          <w:highlight w:val="none"/>
          <w:lang w:val="zh-CN" w:eastAsia="zh-CN" w:bidi="ar-SA"/>
        </w:rPr>
        <w:t>网络通信</w:t>
      </w:r>
      <w:r>
        <w:rPr>
          <w:rFonts w:ascii="Arial" w:hAnsi="Arial" w:eastAsia="黑体" w:cs="宋体"/>
          <w:b/>
          <w:bCs/>
          <w:color w:val="auto"/>
          <w:kern w:val="2"/>
          <w:sz w:val="24"/>
          <w:szCs w:val="24"/>
          <w:highlight w:val="none"/>
          <w:lang w:val="zh-CN" w:eastAsia="zh-CN" w:bidi="ar-SA"/>
        </w:rPr>
        <w:t>链路类运维服务</w:t>
      </w:r>
    </w:p>
    <w:p w14:paraId="12497081">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运维范围</w:t>
      </w:r>
    </w:p>
    <w:p w14:paraId="43646C82">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1.光缆的日常巡检、保养、维护和故障排除工作。</w:t>
      </w:r>
    </w:p>
    <w:p w14:paraId="555DDEA4">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2.传输链路的日常巡检、保养、维护和故障排除工作。</w:t>
      </w:r>
    </w:p>
    <w:p w14:paraId="675F73A9">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服务要求</w:t>
      </w:r>
    </w:p>
    <w:p w14:paraId="62CCEFA2">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通讯链路在线率应保证维持在</w:t>
      </w:r>
      <w:r>
        <w:rPr>
          <w:rFonts w:hint="eastAsia" w:ascii="宋体" w:hAnsi="宋体" w:eastAsia="宋体" w:cs="宋体"/>
          <w:color w:val="auto"/>
          <w:spacing w:val="3"/>
          <w:sz w:val="24"/>
          <w:szCs w:val="24"/>
          <w:highlight w:val="none"/>
          <w:lang w:val="en-US" w:eastAsia="zh-CN"/>
        </w:rPr>
        <w:t>99.9</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lang w:val="en-US" w:eastAsia="zh-CN"/>
        </w:rPr>
        <w:t>以上(剔除第三方免责情况)</w:t>
      </w:r>
      <w:r>
        <w:rPr>
          <w:rFonts w:hint="eastAsia" w:ascii="宋体" w:hAnsi="宋体" w:eastAsia="宋体" w:cs="宋体"/>
          <w:color w:val="auto"/>
          <w:spacing w:val="3"/>
          <w:sz w:val="24"/>
          <w:szCs w:val="24"/>
          <w:highlight w:val="none"/>
        </w:rPr>
        <w:t>，光纤运营维护单位应按合同要求做好租赁光纤的日常巡检、保养、维护和故障排除。光纤运营维护商应做到：每天对通信光缆进行巡查，一般故障在接到故障报修电话或发现故障后24小时内排除；特殊情况按郴州市数据局要求的时间排除故障，故障排除后应及时回复，并如实填写记录，每月汇总后上报</w:t>
      </w:r>
      <w:r>
        <w:rPr>
          <w:rFonts w:hint="eastAsia" w:ascii="宋体" w:hAnsi="宋体" w:eastAsia="宋体" w:cs="宋体"/>
          <w:color w:val="auto"/>
          <w:spacing w:val="3"/>
          <w:sz w:val="24"/>
          <w:szCs w:val="24"/>
          <w:highlight w:val="none"/>
          <w:lang w:eastAsia="zh-CN"/>
        </w:rPr>
        <w:t>郴州市数据局</w:t>
      </w:r>
      <w:r>
        <w:rPr>
          <w:rFonts w:hint="eastAsia" w:ascii="宋体" w:hAnsi="宋体" w:eastAsia="宋体" w:cs="宋体"/>
          <w:color w:val="auto"/>
          <w:spacing w:val="3"/>
          <w:sz w:val="24"/>
          <w:szCs w:val="24"/>
          <w:highlight w:val="none"/>
        </w:rPr>
        <w:t>。</w:t>
      </w:r>
    </w:p>
    <w:p w14:paraId="421D21C9">
      <w:pPr>
        <w:spacing w:line="383" w:lineRule="auto"/>
        <w:rPr>
          <w:rFonts w:ascii="宋体" w:hAnsi="宋体" w:eastAsia="宋体" w:cs="宋体"/>
          <w:color w:val="auto"/>
          <w:sz w:val="24"/>
          <w:szCs w:val="24"/>
          <w:highlight w:val="none"/>
        </w:rPr>
        <w:sectPr>
          <w:headerReference r:id="rId6" w:type="default"/>
          <w:footerReference r:id="rId7" w:type="default"/>
          <w:pgSz w:w="11906" w:h="16839"/>
          <w:pgMar w:top="1599" w:right="1563" w:bottom="1234" w:left="1785" w:header="825" w:footer="965" w:gutter="0"/>
          <w:pgNumType w:fmt="numberInDash"/>
          <w:cols w:space="720" w:num="1"/>
        </w:sectPr>
      </w:pPr>
    </w:p>
    <w:p w14:paraId="330C3FAD">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98" w:name="bookmark64"/>
      <w:bookmarkEnd w:id="198"/>
      <w:r>
        <w:rPr>
          <w:rFonts w:ascii="Arial" w:hAnsi="Arial" w:eastAsia="黑体" w:cs="宋体"/>
          <w:b/>
          <w:bCs/>
          <w:color w:val="auto"/>
          <w:kern w:val="2"/>
          <w:sz w:val="24"/>
          <w:szCs w:val="24"/>
          <w:highlight w:val="none"/>
          <w:lang w:val="zh-CN" w:eastAsia="zh-CN" w:bidi="ar-SA"/>
        </w:rPr>
        <w:t>应急响应</w:t>
      </w:r>
    </w:p>
    <w:p w14:paraId="21580B6A">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应急响应流程</w:t>
      </w:r>
    </w:p>
    <w:p w14:paraId="684206BD">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提供24小时响应服务，随时响应甲方技术咨询和故障信息，确保维保设备系统平稳有序运行。具体响应方式及时限根据故障级别确定如下：</w:t>
      </w:r>
    </w:p>
    <w:p w14:paraId="5AC6A68D">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rPr>
        <w:t>1.一级故障（核心主链路全断，全市大面积视频瘫痪）——</w:t>
      </w:r>
      <w:r>
        <w:rPr>
          <w:rFonts w:ascii="宋体" w:hAnsi="宋体" w:eastAsia="宋体" w:cs="宋体"/>
          <w:color w:val="auto"/>
          <w:sz w:val="24"/>
          <w:szCs w:val="24"/>
          <w:highlight w:val="none"/>
        </w:rPr>
        <w:t>任意一条核心主链路双路由同时中断、核心机房交换机整机宕机、6 个汇聚机房任一整机断电宕机、政务云聚合链路全部中断</w:t>
      </w:r>
      <w:r>
        <w:rPr>
          <w:rFonts w:hint="eastAsia" w:ascii="宋体" w:hAnsi="宋体" w:eastAsia="宋体" w:cs="宋体"/>
          <w:color w:val="auto"/>
          <w:sz w:val="24"/>
          <w:szCs w:val="24"/>
          <w:highlight w:val="none"/>
          <w:lang w:eastAsia="zh-CN"/>
        </w:rPr>
        <w:t>。</w:t>
      </w:r>
    </w:p>
    <w:p w14:paraId="37A75C07">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2.二级故障（单条核心主链路单路由中断 / 多条分支链路批量掉线≥20 条）——骨干单路由故障、片区汇聚下 20 路以上摄像头离线、机房存储集群故障；</w:t>
      </w:r>
    </w:p>
    <w:p w14:paraId="36E03FE9">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3.三级故障（单条分支链路 / 单点摄像头故障，无片区影响）——单台摄像头离线、单条 10/50/100M 接入链路中断、单杆设备损坏；</w:t>
      </w:r>
    </w:p>
    <w:p w14:paraId="7A90F7B0">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4.四级故障——纯咨询、参数调试、台账更新，无业务中断，对业务正常实现几乎无影响。</w:t>
      </w:r>
    </w:p>
    <w:p w14:paraId="75A87F82">
      <w:pPr>
        <w:spacing w:before="206" w:line="219" w:lineRule="auto"/>
        <w:ind w:left="3142" w:firstLine="438" w:firstLineChars="200"/>
        <w:rPr>
          <w:rFonts w:ascii="宋体" w:hAnsi="宋体" w:eastAsia="宋体" w:cs="宋体"/>
          <w:color w:val="auto"/>
          <w:sz w:val="24"/>
          <w:szCs w:val="24"/>
          <w:highlight w:val="none"/>
        </w:rPr>
      </w:pPr>
      <w:r>
        <w:rPr>
          <w:rFonts w:ascii="宋体" w:hAnsi="宋体" w:eastAsia="宋体" w:cs="宋体"/>
          <w:b/>
          <w:bCs/>
          <w:color w:val="auto"/>
          <w:spacing w:val="-11"/>
          <w:sz w:val="24"/>
          <w:szCs w:val="24"/>
          <w:highlight w:val="none"/>
        </w:rPr>
        <w:t>电话支持响应时间承诺</w:t>
      </w:r>
    </w:p>
    <w:p w14:paraId="61DB7202">
      <w:pPr>
        <w:spacing w:line="80" w:lineRule="exact"/>
        <w:ind w:firstLine="480" w:firstLineChars="200"/>
        <w:rPr>
          <w:rFonts w:ascii="宋体" w:hAnsi="宋体" w:eastAsia="宋体" w:cs="宋体"/>
          <w:color w:val="auto"/>
          <w:sz w:val="24"/>
          <w:szCs w:val="24"/>
          <w:highlight w:val="none"/>
        </w:rPr>
      </w:pPr>
    </w:p>
    <w:tbl>
      <w:tblPr>
        <w:tblStyle w:val="45"/>
        <w:tblW w:w="8856" w:type="dxa"/>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98"/>
        <w:gridCol w:w="2250"/>
        <w:gridCol w:w="1008"/>
        <w:gridCol w:w="1008"/>
        <w:gridCol w:w="1008"/>
        <w:gridCol w:w="1884"/>
      </w:tblGrid>
      <w:tr w14:paraId="4D3F4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51" w:hRule="atLeast"/>
        </w:trPr>
        <w:tc>
          <w:tcPr>
            <w:tcW w:w="4956" w:type="dxa"/>
            <w:gridSpan w:val="3"/>
            <w:tcBorders>
              <w:top w:val="single" w:color="000000" w:sz="4" w:space="0"/>
              <w:left w:val="single" w:color="000000" w:sz="4" w:space="0"/>
              <w:bottom w:val="single" w:color="000000" w:sz="4" w:space="0"/>
              <w:right w:val="single" w:color="000000" w:sz="4" w:space="0"/>
            </w:tcBorders>
            <w:shd w:val="clear" w:color="auto" w:fill="D7D7D7"/>
            <w:vAlign w:val="center"/>
          </w:tcPr>
          <w:p w14:paraId="4897F7E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故障级别</w:t>
            </w:r>
          </w:p>
        </w:tc>
        <w:tc>
          <w:tcPr>
            <w:tcW w:w="3900" w:type="dxa"/>
            <w:gridSpan w:val="3"/>
            <w:tcBorders>
              <w:top w:val="single" w:color="000000" w:sz="4" w:space="0"/>
              <w:left w:val="single" w:color="000000" w:sz="4" w:space="0"/>
              <w:bottom w:val="single" w:color="000000" w:sz="4" w:space="0"/>
              <w:right w:val="single" w:color="000000" w:sz="4" w:space="0"/>
            </w:tcBorders>
            <w:shd w:val="clear" w:color="auto" w:fill="D7D7D7"/>
            <w:vAlign w:val="center"/>
          </w:tcPr>
          <w:p w14:paraId="1D46F7A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响应时间</w:t>
            </w:r>
          </w:p>
        </w:tc>
      </w:tr>
      <w:tr w14:paraId="75A64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F1301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一级故障</w:t>
            </w:r>
          </w:p>
        </w:tc>
        <w:tc>
          <w:tcPr>
            <w:tcW w:w="3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53115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立即</w:t>
            </w:r>
          </w:p>
        </w:tc>
      </w:tr>
      <w:tr w14:paraId="4748C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4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2E335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二级故障</w:t>
            </w:r>
          </w:p>
        </w:tc>
        <w:tc>
          <w:tcPr>
            <w:tcW w:w="3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FE131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小于10分钟</w:t>
            </w:r>
          </w:p>
        </w:tc>
      </w:tr>
      <w:tr w14:paraId="0546F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4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F354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三级故障</w:t>
            </w:r>
          </w:p>
        </w:tc>
        <w:tc>
          <w:tcPr>
            <w:tcW w:w="3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E04B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小于20分钟</w:t>
            </w:r>
          </w:p>
        </w:tc>
      </w:tr>
      <w:tr w14:paraId="4EA7C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4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20971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四级故障</w:t>
            </w:r>
          </w:p>
        </w:tc>
        <w:tc>
          <w:tcPr>
            <w:tcW w:w="3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D478A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小于30分钟</w:t>
            </w:r>
          </w:p>
        </w:tc>
      </w:tr>
      <w:tr w14:paraId="19FFC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4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B2A23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技术咨询</w:t>
            </w:r>
          </w:p>
        </w:tc>
        <w:tc>
          <w:tcPr>
            <w:tcW w:w="3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07F5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小于30分钟</w:t>
            </w:r>
          </w:p>
        </w:tc>
      </w:tr>
      <w:tr w14:paraId="1F2D3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5271D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其它问题</w:t>
            </w:r>
          </w:p>
        </w:tc>
        <w:tc>
          <w:tcPr>
            <w:tcW w:w="3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6606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小于1小时</w:t>
            </w:r>
          </w:p>
        </w:tc>
      </w:tr>
      <w:tr w14:paraId="670D8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8856" w:type="dxa"/>
            <w:gridSpan w:val="6"/>
            <w:tcBorders>
              <w:top w:val="single" w:color="000000" w:sz="4" w:space="0"/>
              <w:left w:val="single" w:color="000000" w:sz="4" w:space="0"/>
              <w:bottom w:val="single" w:color="000000" w:sz="4" w:space="0"/>
              <w:right w:val="single" w:color="000000" w:sz="4" w:space="0"/>
            </w:tcBorders>
            <w:shd w:val="clear" w:color="auto" w:fill="D7D7D7"/>
            <w:vAlign w:val="center"/>
          </w:tcPr>
          <w:p w14:paraId="4BEF6C3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设备故障级别定义及修复时限</w:t>
            </w:r>
          </w:p>
        </w:tc>
      </w:tr>
      <w:tr w14:paraId="0A909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698"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666CF84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故障级别</w:t>
            </w:r>
          </w:p>
        </w:tc>
        <w:tc>
          <w:tcPr>
            <w:tcW w:w="2250"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6278AC0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故障级别定义</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D7D7D7"/>
            <w:vAlign w:val="center"/>
          </w:tcPr>
          <w:p w14:paraId="60D1A47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故障确诊时间</w:t>
            </w:r>
          </w:p>
        </w:tc>
        <w:tc>
          <w:tcPr>
            <w:tcW w:w="1008"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7525D19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抵达现场时间</w:t>
            </w:r>
          </w:p>
        </w:tc>
        <w:tc>
          <w:tcPr>
            <w:tcW w:w="1884"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1D44DAA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故障排除时间</w:t>
            </w:r>
          </w:p>
        </w:tc>
      </w:tr>
      <w:tr w14:paraId="6FF93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4" w:hRule="atLeast"/>
        </w:trPr>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1C1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一级故障</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559E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4"/>
                <w:szCs w:val="24"/>
                <w:highlight w:val="none"/>
                <w:u w:val="none"/>
              </w:rPr>
              <w:t>任意一条核心主链路双路由同时中断、核心机房交换机整机宕机、6 个汇聚机房任一整机断电宕机、政务云聚合链路全部中断</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B872B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2小时</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0A61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20分钟</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5373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远程确认故障原因或抵达现场后4小时</w:t>
            </w:r>
          </w:p>
        </w:tc>
      </w:tr>
      <w:tr w14:paraId="6F45A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0" w:hRule="atLeast"/>
        </w:trPr>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828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二级故障</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CC7D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4"/>
                <w:szCs w:val="24"/>
                <w:highlight w:val="none"/>
                <w:u w:val="none"/>
              </w:rPr>
              <w:t>骨干单路由故障、片区汇聚下 20 路以上摄像头离线、机房存储集群故障</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0648C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6小时</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8658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40分钟</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00B1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远程确认故障原因或抵达现场后8小时</w:t>
            </w:r>
          </w:p>
        </w:tc>
      </w:tr>
      <w:tr w14:paraId="5D0B5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4" w:hRule="atLeast"/>
        </w:trPr>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8E39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三级故障</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F172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单台摄像头离线、单条 10/50/100M 接入链路中断、单杆设备损坏</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C9A5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24小时</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6F5F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1小时</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CD2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远程确认故障原因或抵达现场后8小时</w:t>
            </w:r>
          </w:p>
        </w:tc>
      </w:tr>
      <w:tr w14:paraId="67082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4" w:hRule="atLeast"/>
        </w:trPr>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18A6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四级故障</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217A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4"/>
                <w:szCs w:val="24"/>
                <w:highlight w:val="none"/>
                <w:u w:val="none"/>
              </w:rPr>
              <w:t>纯咨询、参数调试、台账更新，无业务中断，对业务正常实现几乎无影响</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9FE7B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48小时</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C8A3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用户要求</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78E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用户满意时间</w:t>
            </w:r>
          </w:p>
        </w:tc>
      </w:tr>
    </w:tbl>
    <w:p w14:paraId="759FBACA">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应急、灾备预案与预演</w:t>
      </w:r>
    </w:p>
    <w:p w14:paraId="278250D5">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针对维护需求和服务质量要求，确定应急恢复计划的范围与目标，提供应急恢复方案，以保证系统可以连续稳定运作。应急恢复方案完成后，双方共同完成应急方案的测试预演，以验证其是否达到设定的</w:t>
      </w:r>
      <w:r>
        <w:rPr>
          <w:rFonts w:hint="eastAsia" w:ascii="宋体" w:hAnsi="宋体" w:eastAsia="宋体" w:cs="宋体"/>
          <w:color w:val="auto"/>
          <w:spacing w:val="3"/>
          <w:sz w:val="24"/>
          <w:szCs w:val="24"/>
          <w:highlight w:val="none"/>
          <w:lang w:eastAsia="zh-CN"/>
        </w:rPr>
        <w:t>应急</w:t>
      </w:r>
      <w:r>
        <w:rPr>
          <w:rFonts w:hint="eastAsia" w:ascii="宋体" w:hAnsi="宋体" w:eastAsia="宋体" w:cs="宋体"/>
          <w:color w:val="auto"/>
          <w:spacing w:val="3"/>
          <w:sz w:val="24"/>
          <w:szCs w:val="24"/>
          <w:highlight w:val="none"/>
        </w:rPr>
        <w:t>恢复目标；</w:t>
      </w:r>
    </w:p>
    <w:p w14:paraId="38D25DDB">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在系统正常维护期间，每半年举行一次应急故障的预演，应急恢复方案设计与预演的目的在于确保维保设备发生故障或面对意外灾难时，相关服务能在最短的时间内正常的监控业务继续进行，将损失降低到最小限度；乙方应配合甲方对维护人员进行应急方案操作培训以确保需要时可以立即启动。</w:t>
      </w:r>
    </w:p>
    <w:p w14:paraId="71F7C748">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宋体" w:hAnsi="宋体" w:eastAsia="宋体" w:cs="宋体"/>
          <w:b/>
          <w:bCs/>
          <w:color w:val="auto"/>
          <w:spacing w:val="3"/>
          <w:kern w:val="2"/>
          <w:sz w:val="24"/>
          <w:szCs w:val="24"/>
          <w:highlight w:val="none"/>
          <w:lang w:val="en-US" w:eastAsia="zh-CN" w:bidi="ar-SA"/>
        </w:rPr>
      </w:pPr>
      <w:r>
        <w:rPr>
          <w:rFonts w:hint="eastAsia" w:ascii="宋体" w:hAnsi="宋体" w:eastAsia="宋体" w:cs="宋体"/>
          <w:b/>
          <w:bCs/>
          <w:color w:val="auto"/>
          <w:spacing w:val="3"/>
          <w:kern w:val="2"/>
          <w:sz w:val="24"/>
          <w:szCs w:val="24"/>
          <w:highlight w:val="none"/>
          <w:lang w:val="en-US" w:eastAsia="zh-CN" w:bidi="ar-SA"/>
        </w:rPr>
        <w:t>故障免责说明</w:t>
      </w:r>
    </w:p>
    <w:p w14:paraId="2A29156D">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满足以下情形导致链路中断、设备损坏，不计入服务商考核扣分，不扣除服务费，服务商仅需配合灾后抢修，不计故障责任：</w:t>
      </w:r>
    </w:p>
    <w:p w14:paraId="33D904C1">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① 市政统一道路挖掘、管网改造、政府规划拆迁，提前 72 小时出具官方书面停工通知；</w:t>
      </w:r>
    </w:p>
    <w:p w14:paraId="093C03B1">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② 地震、洪水、台风、雷击特大暴雨、山体滑坡等气象地质灾害（以气象、应急部门预警公告为准）；</w:t>
      </w:r>
    </w:p>
    <w:p w14:paraId="3A723B8F">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③ 公安执法、重大安保临时管控、交通封路、重大活动政府强制断电；</w:t>
      </w:r>
    </w:p>
    <w:p w14:paraId="14442246">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④ 盗窃、人为恶意破坏、第三方施工单位违规挖断光缆（服务商已完成管线标识、巡护记录除外）；</w:t>
      </w:r>
    </w:p>
    <w:p w14:paraId="6021D73B">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⑤ 电力主干网大面积停电（非服务商机房 UPS、配电设备故障）；</w:t>
      </w:r>
    </w:p>
    <w:p w14:paraId="275943AE">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⑥ 国家通信干线统一割接、运营商省级骨干网络计划性维护（提前 3 个工作日书面告知市数据局）。</w:t>
      </w:r>
    </w:p>
    <w:p w14:paraId="31AB793A">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免责判定依据：服务商须留存现场照片、官方通知、报警记录、气象预警、巡线台账，无佐证材料不得免责。</w:t>
      </w:r>
    </w:p>
    <w:p w14:paraId="29584BB9">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维护考核要求</w:t>
      </w:r>
    </w:p>
    <w:p w14:paraId="3F6E4D4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本项目所有运维及服务考核工作，由各业务使用单位依据项目建设标准、技术规范及服务管理基本要求，结合日常使用情况开展量化考核打分；各单位按</w:t>
      </w:r>
      <w:r>
        <w:rPr>
          <w:rFonts w:hint="eastAsia" w:ascii="宋体" w:hAnsi="宋体" w:eastAsia="宋体" w:cs="宋体"/>
          <w:color w:val="auto"/>
          <w:sz w:val="24"/>
          <w:szCs w:val="24"/>
          <w:highlight w:val="none"/>
          <w:lang w:val="en-US" w:eastAsia="zh-CN"/>
        </w:rPr>
        <w:t>月度</w:t>
      </w:r>
      <w:r>
        <w:rPr>
          <w:rFonts w:hint="eastAsia" w:ascii="宋体" w:hAnsi="宋体" w:eastAsia="宋体" w:cs="宋体"/>
          <w:color w:val="auto"/>
          <w:sz w:val="24"/>
          <w:szCs w:val="24"/>
          <w:highlight w:val="none"/>
        </w:rPr>
        <w:t>完成考核评定，并将考核结果统一汇总报送至郴州市数据局，作为项目服务费结算、服务质量评价及年度履约考核的核心依据。</w:t>
      </w:r>
    </w:p>
    <w:p w14:paraId="2E3911AE">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常规运维考核​</w:t>
      </w:r>
    </w:p>
    <w:p w14:paraId="494BDDEA">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本项目常规运维考核内容与项目既定巡检、检修、维保工作内容一一对应，考核标准统一、前后闭环呼应。考核以服务商实际完成的巡查、检修、整改、台账归档情况为唯一评分依据，各类维保工作要求如下：</w:t>
      </w:r>
    </w:p>
    <w:p w14:paraId="2C015BB3">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1. 巡查考核：依据项目前端点位、机房设备、网络链路月度巡查标准，考核服务商日常巡检、故障排查、点位在线监测、隐患记录、问题台账更新等常态化工作完成质量，月度巡查全覆盖所有在用监控点位、汇聚设备及主干链路，巡查记录完整、真实、可追溯。</w:t>
      </w:r>
    </w:p>
    <w:p w14:paraId="426ABA6C">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2. 检修考核：考核服务商设备深度检测、链路性能核验、杆件防腐加固、管线排查、机房设备除尘、参数校准、隐患整改闭环等专项工作落实情况，检修需完成全量点位及设备抽样核验，问题整改100%闭环。并依据项目全年维保检修规范，考核服务商年度内整机普查、链路质量复测、设备老化排查、杆件管道整体修复、系统稳定性压力测试、台账全面更新、资产盘点移交等年度工作完成情况，检修完成后需形成完整年度运维检测总结报告。</w:t>
      </w:r>
    </w:p>
    <w:p w14:paraId="232E1578">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所有运维工作成果，统一纳入综合考核范围，由各使用单位核验打分后报送市数据局汇总结算，考核结果与服务费支付、履约评价直接挂钩。</w:t>
      </w:r>
    </w:p>
    <w:p w14:paraId="223FE238">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据实结算部分​</w:t>
      </w:r>
    </w:p>
    <w:p w14:paraId="0F7BC8EC">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列出故障摄像机更换与调试、杆件搬迁、电缆损坏和被盗的修复、管道变更、摄像机及横臂调整5项工作，均依据相关维保及甲方要求开展，计费标准为根据签证资料和上线情况确认数量或长度，未满规定数量（如摄像机更换未满200个）或长度（如电缆修复未满1500米）的按实际完成情况计费。具体如下表：</w:t>
      </w:r>
      <w:r>
        <w:rPr>
          <w:rFonts w:hint="eastAsia" w:ascii="宋体" w:hAnsi="宋体" w:eastAsia="宋体" w:cs="宋体"/>
          <w:color w:val="auto"/>
          <w:spacing w:val="3"/>
          <w:sz w:val="24"/>
          <w:szCs w:val="24"/>
          <w:highlight w:val="none"/>
        </w:rPr>
        <w:t>​</w:t>
      </w:r>
    </w:p>
    <w:tbl>
      <w:tblPr>
        <w:tblStyle w:val="45"/>
        <w:tblpPr w:leftFromText="180" w:rightFromText="180" w:vertAnchor="text" w:horzAnchor="page" w:tblpXSpec="center" w:tblpY="263"/>
        <w:tblOverlap w:val="never"/>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6"/>
        <w:gridCol w:w="2601"/>
        <w:gridCol w:w="2042"/>
        <w:gridCol w:w="3150"/>
      </w:tblGrid>
      <w:tr w14:paraId="4482C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jc w:val="center"/>
        </w:trPr>
        <w:tc>
          <w:tcPr>
            <w:tcW w:w="440"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1F5D0D3">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bCs/>
                <w:i w:val="0"/>
                <w:iCs w:val="0"/>
                <w:color w:val="auto"/>
                <w:sz w:val="22"/>
                <w:szCs w:val="22"/>
                <w:highlight w:val="none"/>
                <w:u w:val="none"/>
              </w:rPr>
            </w:pPr>
            <w:r>
              <w:rPr>
                <w:rFonts w:hint="eastAsia" w:ascii="宋体" w:hAnsi="宋体" w:eastAsia="宋体" w:cs="宋体"/>
                <w:b w:val="0"/>
                <w:bCs/>
                <w:i w:val="0"/>
                <w:iCs w:val="0"/>
                <w:color w:val="auto"/>
                <w:kern w:val="0"/>
                <w:sz w:val="22"/>
                <w:szCs w:val="22"/>
                <w:highlight w:val="none"/>
                <w:u w:val="none"/>
                <w:lang w:val="en-US" w:eastAsia="zh-CN" w:bidi="ar"/>
              </w:rPr>
              <w:t>序号</w:t>
            </w:r>
          </w:p>
        </w:tc>
        <w:tc>
          <w:tcPr>
            <w:tcW w:w="1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B43316">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bCs/>
                <w:i w:val="0"/>
                <w:iCs w:val="0"/>
                <w:color w:val="auto"/>
                <w:sz w:val="22"/>
                <w:szCs w:val="22"/>
                <w:highlight w:val="none"/>
                <w:u w:val="none"/>
              </w:rPr>
            </w:pPr>
            <w:r>
              <w:rPr>
                <w:rFonts w:hint="eastAsia" w:ascii="宋体" w:hAnsi="宋体" w:eastAsia="宋体" w:cs="宋体"/>
                <w:b w:val="0"/>
                <w:bCs/>
                <w:i w:val="0"/>
                <w:iCs w:val="0"/>
                <w:color w:val="auto"/>
                <w:kern w:val="0"/>
                <w:sz w:val="22"/>
                <w:szCs w:val="22"/>
                <w:highlight w:val="none"/>
                <w:u w:val="none"/>
                <w:lang w:val="en-US" w:eastAsia="zh-CN" w:bidi="ar"/>
              </w:rPr>
              <w:t>考核项目</w:t>
            </w:r>
          </w:p>
        </w:tc>
        <w:tc>
          <w:tcPr>
            <w:tcW w:w="12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1BAF5C">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bCs/>
                <w:i w:val="0"/>
                <w:iCs w:val="0"/>
                <w:color w:val="auto"/>
                <w:sz w:val="22"/>
                <w:szCs w:val="22"/>
                <w:highlight w:val="none"/>
                <w:u w:val="none"/>
              </w:rPr>
            </w:pPr>
            <w:r>
              <w:rPr>
                <w:rFonts w:hint="eastAsia" w:ascii="宋体" w:hAnsi="宋体" w:eastAsia="宋体" w:cs="宋体"/>
                <w:b w:val="0"/>
                <w:bCs/>
                <w:i w:val="0"/>
                <w:iCs w:val="0"/>
                <w:color w:val="auto"/>
                <w:kern w:val="0"/>
                <w:sz w:val="22"/>
                <w:szCs w:val="22"/>
                <w:highlight w:val="none"/>
                <w:u w:val="none"/>
                <w:lang w:val="en-US" w:eastAsia="zh-CN" w:bidi="ar"/>
              </w:rPr>
              <w:t>维护内容</w:t>
            </w:r>
          </w:p>
        </w:tc>
        <w:tc>
          <w:tcPr>
            <w:tcW w:w="18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4C72BC">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bCs/>
                <w:i w:val="0"/>
                <w:iCs w:val="0"/>
                <w:color w:val="auto"/>
                <w:sz w:val="22"/>
                <w:szCs w:val="22"/>
                <w:highlight w:val="none"/>
                <w:u w:val="none"/>
              </w:rPr>
            </w:pPr>
            <w:r>
              <w:rPr>
                <w:rFonts w:hint="eastAsia" w:ascii="宋体" w:hAnsi="宋体" w:eastAsia="宋体" w:cs="宋体"/>
                <w:b w:val="0"/>
                <w:bCs/>
                <w:i w:val="0"/>
                <w:iCs w:val="0"/>
                <w:color w:val="auto"/>
                <w:kern w:val="0"/>
                <w:sz w:val="22"/>
                <w:szCs w:val="22"/>
                <w:highlight w:val="none"/>
                <w:u w:val="none"/>
                <w:lang w:val="en-US" w:eastAsia="zh-CN" w:bidi="ar"/>
              </w:rPr>
              <w:t>考核标准</w:t>
            </w:r>
          </w:p>
        </w:tc>
      </w:tr>
      <w:tr w14:paraId="42B3B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5" w:hRule="atLeast"/>
          <w:jc w:val="center"/>
        </w:trPr>
        <w:tc>
          <w:tcPr>
            <w:tcW w:w="4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DC1262">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1</w:t>
            </w:r>
          </w:p>
        </w:tc>
        <w:tc>
          <w:tcPr>
            <w:tcW w:w="1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688A26">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故障摄像机更换、调试</w:t>
            </w:r>
          </w:p>
        </w:tc>
        <w:tc>
          <w:tcPr>
            <w:tcW w:w="12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86DFC6">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根据前端监控维保要求及甲方要求进行维保</w:t>
            </w:r>
          </w:p>
        </w:tc>
        <w:tc>
          <w:tcPr>
            <w:tcW w:w="18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C615E9">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default" w:ascii="宋体" w:hAnsi="宋体" w:eastAsia="宋体" w:cs="宋体"/>
                <w:b w:val="0"/>
                <w:i w:val="0"/>
                <w:iCs w:val="0"/>
                <w:color w:val="auto"/>
                <w:sz w:val="22"/>
                <w:szCs w:val="22"/>
                <w:highlight w:val="none"/>
                <w:u w:val="none"/>
                <w:lang w:val="en-US"/>
              </w:rPr>
            </w:pPr>
            <w:r>
              <w:rPr>
                <w:rFonts w:hint="eastAsia" w:ascii="宋体" w:hAnsi="宋体" w:eastAsia="宋体" w:cs="宋体"/>
                <w:b w:val="0"/>
                <w:i w:val="0"/>
                <w:iCs w:val="0"/>
                <w:color w:val="auto"/>
                <w:kern w:val="0"/>
                <w:sz w:val="22"/>
                <w:szCs w:val="22"/>
                <w:highlight w:val="none"/>
                <w:u w:val="none"/>
                <w:lang w:val="en-US" w:eastAsia="zh-CN" w:bidi="ar"/>
              </w:rPr>
              <w:t>根据提交的签证资料和上线情况进行确认数量，</w:t>
            </w:r>
            <w:r>
              <w:rPr>
                <w:rFonts w:hint="eastAsia" w:cs="宋体"/>
                <w:b w:val="0"/>
                <w:i w:val="0"/>
                <w:iCs w:val="0"/>
                <w:color w:val="auto"/>
                <w:kern w:val="0"/>
                <w:sz w:val="22"/>
                <w:szCs w:val="22"/>
                <w:highlight w:val="none"/>
                <w:u w:val="none"/>
                <w:lang w:val="en-US" w:eastAsia="zh-CN" w:bidi="ar"/>
              </w:rPr>
              <w:t>超出免费维保200个限额的部分，由使用单位按实际发生量予以结算</w:t>
            </w:r>
          </w:p>
        </w:tc>
      </w:tr>
      <w:tr w14:paraId="7A1A2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5" w:hRule="atLeast"/>
          <w:jc w:val="center"/>
        </w:trPr>
        <w:tc>
          <w:tcPr>
            <w:tcW w:w="4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F79B68">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2</w:t>
            </w:r>
          </w:p>
        </w:tc>
        <w:tc>
          <w:tcPr>
            <w:tcW w:w="14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AE056">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杆件搬迁</w:t>
            </w:r>
          </w:p>
        </w:tc>
        <w:tc>
          <w:tcPr>
            <w:tcW w:w="12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DFA3DB">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根据前端监控维保要求及甲方要求进行维保</w:t>
            </w:r>
          </w:p>
        </w:tc>
        <w:tc>
          <w:tcPr>
            <w:tcW w:w="18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C16932">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根据提交的签证资料和上线情况进行确认数量，</w:t>
            </w:r>
            <w:r>
              <w:rPr>
                <w:rFonts w:hint="eastAsia" w:cs="宋体"/>
                <w:b w:val="0"/>
                <w:i w:val="0"/>
                <w:iCs w:val="0"/>
                <w:color w:val="auto"/>
                <w:kern w:val="0"/>
                <w:sz w:val="22"/>
                <w:szCs w:val="22"/>
                <w:highlight w:val="none"/>
                <w:u w:val="none"/>
                <w:lang w:val="en-US" w:eastAsia="zh-CN" w:bidi="ar"/>
              </w:rPr>
              <w:t>超出免费维保50个限额的部分，由使用单位按实际发生量予以结算</w:t>
            </w:r>
          </w:p>
        </w:tc>
      </w:tr>
      <w:tr w14:paraId="04C51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5" w:hRule="atLeast"/>
          <w:jc w:val="center"/>
        </w:trPr>
        <w:tc>
          <w:tcPr>
            <w:tcW w:w="4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196BB2">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3</w:t>
            </w:r>
          </w:p>
        </w:tc>
        <w:tc>
          <w:tcPr>
            <w:tcW w:w="14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B9A80">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电缆损坏和被盗的修复</w:t>
            </w:r>
          </w:p>
        </w:tc>
        <w:tc>
          <w:tcPr>
            <w:tcW w:w="12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FA47F8">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根据前端监控维保要求及甲方要求进行维保</w:t>
            </w:r>
          </w:p>
        </w:tc>
        <w:tc>
          <w:tcPr>
            <w:tcW w:w="18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EEF524">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根据提交的签证资料和上线情况进行确认数量，</w:t>
            </w:r>
            <w:r>
              <w:rPr>
                <w:rFonts w:hint="eastAsia" w:cs="宋体"/>
                <w:b w:val="0"/>
                <w:i w:val="0"/>
                <w:iCs w:val="0"/>
                <w:color w:val="auto"/>
                <w:kern w:val="0"/>
                <w:sz w:val="22"/>
                <w:szCs w:val="22"/>
                <w:highlight w:val="none"/>
                <w:u w:val="none"/>
                <w:lang w:val="en-US" w:eastAsia="zh-CN" w:bidi="ar"/>
              </w:rPr>
              <w:t>超出免费维保1500米限额的部分，由使用单位按实际发生量予以结算</w:t>
            </w:r>
          </w:p>
        </w:tc>
      </w:tr>
      <w:tr w14:paraId="123AA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5" w:hRule="atLeast"/>
          <w:jc w:val="center"/>
        </w:trPr>
        <w:tc>
          <w:tcPr>
            <w:tcW w:w="4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9DF48B">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4</w:t>
            </w:r>
          </w:p>
        </w:tc>
        <w:tc>
          <w:tcPr>
            <w:tcW w:w="14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87EC3">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管道变更</w:t>
            </w:r>
          </w:p>
        </w:tc>
        <w:tc>
          <w:tcPr>
            <w:tcW w:w="12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27D414">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根据前端监控维保要求及甲方要求进行维保</w:t>
            </w:r>
          </w:p>
        </w:tc>
        <w:tc>
          <w:tcPr>
            <w:tcW w:w="18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C61DA5">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根据提交的签证资料和上线情况进行确认数量，</w:t>
            </w:r>
            <w:r>
              <w:rPr>
                <w:rFonts w:hint="eastAsia" w:cs="宋体"/>
                <w:b w:val="0"/>
                <w:i w:val="0"/>
                <w:iCs w:val="0"/>
                <w:color w:val="auto"/>
                <w:kern w:val="0"/>
                <w:sz w:val="22"/>
                <w:szCs w:val="22"/>
                <w:highlight w:val="none"/>
                <w:u w:val="none"/>
                <w:lang w:val="en-US" w:eastAsia="zh-CN" w:bidi="ar"/>
              </w:rPr>
              <w:t>超出免费维保900米限额的部分，由使用单位按实际发生量予以结算</w:t>
            </w:r>
          </w:p>
        </w:tc>
      </w:tr>
      <w:tr w14:paraId="6508A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2" w:hRule="atLeast"/>
          <w:jc w:val="center"/>
        </w:trPr>
        <w:tc>
          <w:tcPr>
            <w:tcW w:w="4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A4A2CC">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5</w:t>
            </w:r>
          </w:p>
        </w:tc>
        <w:tc>
          <w:tcPr>
            <w:tcW w:w="14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5C4C8">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摄像机及横臂调整</w:t>
            </w:r>
          </w:p>
        </w:tc>
        <w:tc>
          <w:tcPr>
            <w:tcW w:w="12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4D8A15">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根据前端监控维保要求及甲方要求进行维保</w:t>
            </w:r>
          </w:p>
        </w:tc>
        <w:tc>
          <w:tcPr>
            <w:tcW w:w="18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35C253">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根据提交的签证资料和上线情况进行确认数量，，</w:t>
            </w:r>
            <w:r>
              <w:rPr>
                <w:rFonts w:hint="eastAsia" w:cs="宋体"/>
                <w:b w:val="0"/>
                <w:i w:val="0"/>
                <w:iCs w:val="0"/>
                <w:color w:val="auto"/>
                <w:kern w:val="0"/>
                <w:sz w:val="22"/>
                <w:szCs w:val="22"/>
                <w:highlight w:val="none"/>
                <w:u w:val="none"/>
                <w:lang w:val="en-US" w:eastAsia="zh-CN" w:bidi="ar"/>
              </w:rPr>
              <w:t>超出免费维保50个限额的部分，由使用单位按实际发生量予以结算</w:t>
            </w:r>
          </w:p>
        </w:tc>
      </w:tr>
    </w:tbl>
    <w:p w14:paraId="4677E05A">
      <w:pPr>
        <w:keepNext w:val="0"/>
        <w:keepLines w:val="0"/>
        <w:pageBreakBefore w:val="0"/>
        <w:widowControl w:val="0"/>
        <w:kinsoku/>
        <w:wordWrap/>
        <w:overflowPunct/>
        <w:topLinePunct w:val="0"/>
        <w:autoSpaceDE/>
        <w:autoSpaceDN/>
        <w:bidi w:val="0"/>
        <w:adjustRightInd/>
        <w:snapToGrid/>
        <w:spacing w:line="372" w:lineRule="auto"/>
        <w:ind w:right="0"/>
        <w:jc w:val="both"/>
        <w:textAlignment w:val="auto"/>
        <w:rPr>
          <w:rFonts w:hint="default" w:ascii="宋体" w:hAnsi="宋体" w:eastAsia="宋体" w:cs="宋体"/>
          <w:color w:val="auto"/>
          <w:spacing w:val="3"/>
          <w:sz w:val="24"/>
          <w:szCs w:val="24"/>
          <w:highlight w:val="none"/>
          <w:lang w:val="en-US" w:eastAsia="zh-CN"/>
        </w:rPr>
      </w:pPr>
    </w:p>
    <w:p w14:paraId="0ED2224B">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网络链路运维考核​</w:t>
      </w:r>
    </w:p>
    <w:p w14:paraId="4031F09C">
      <w:pPr>
        <w:keepNext w:val="0"/>
        <w:keepLines w:val="0"/>
        <w:pageBreakBefore w:val="0"/>
        <w:widowControl w:val="0"/>
        <w:kinsoku/>
        <w:wordWrap/>
        <w:overflowPunct/>
        <w:topLinePunct w:val="0"/>
        <w:autoSpaceDE/>
        <w:autoSpaceDN/>
        <w:bidi w:val="0"/>
        <w:adjustRightInd/>
        <w:snapToGrid/>
        <w:spacing w:line="240"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涵盖网络带宽、网络安全性、网络稳定性、网络故障、巡查报告、用户反馈6个项目，规定了考核内容（如保障带宽、网络安全、稳定性等）、考核标准（如带宽不合格率、网络故障处理不及时等的扣分规则）及权值（总权值100分，网络故障30分，网络带宽25分，网络稳定性20分，网络安全性和用户反馈各10分，巡查报告5分）。</w:t>
      </w:r>
      <w:r>
        <w:rPr>
          <w:rFonts w:hint="eastAsia" w:ascii="宋体" w:hAnsi="宋体" w:eastAsia="宋体" w:cs="宋体"/>
          <w:color w:val="auto"/>
          <w:spacing w:val="3"/>
          <w:sz w:val="24"/>
          <w:szCs w:val="24"/>
          <w:highlight w:val="none"/>
          <w:lang w:val="en-US" w:eastAsia="zh-CN"/>
        </w:rPr>
        <w:t>具体如下表：</w:t>
      </w:r>
      <w:r>
        <w:rPr>
          <w:rFonts w:hint="eastAsia" w:ascii="宋体" w:hAnsi="宋体" w:eastAsia="宋体" w:cs="宋体"/>
          <w:color w:val="auto"/>
          <w:spacing w:val="3"/>
          <w:sz w:val="24"/>
          <w:szCs w:val="24"/>
          <w:highlight w:val="none"/>
        </w:rPr>
        <w:t>​</w:t>
      </w:r>
    </w:p>
    <w:tbl>
      <w:tblPr>
        <w:tblStyle w:val="45"/>
        <w:tblW w:w="873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500"/>
        <w:gridCol w:w="724"/>
        <w:gridCol w:w="3011"/>
        <w:gridCol w:w="3503"/>
        <w:gridCol w:w="500"/>
        <w:gridCol w:w="500"/>
      </w:tblGrid>
      <w:tr w14:paraId="2E1D2EC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170" w:hRule="atLeast"/>
          <w:tblHeader/>
        </w:trPr>
        <w:tc>
          <w:tcPr>
            <w:tcW w:w="0" w:type="auto"/>
            <w:tcBorders>
              <w:bottom w:val="single" w:color="000000" w:sz="4" w:space="0"/>
              <w:right w:val="single" w:color="000000" w:sz="4" w:space="0"/>
              <w:tl2br w:val="nil"/>
            </w:tcBorders>
            <w:shd w:val="clear" w:color="auto" w:fill="FFFFFF"/>
            <w:noWrap w:val="0"/>
            <w:vAlign w:val="center"/>
          </w:tcPr>
          <w:p w14:paraId="6AECD644">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序号</w:t>
            </w:r>
          </w:p>
        </w:tc>
        <w:tc>
          <w:tcPr>
            <w:tcW w:w="724" w:type="dxa"/>
            <w:tcBorders>
              <w:left w:val="single" w:color="000000" w:sz="4" w:space="0"/>
              <w:bottom w:val="single" w:color="000000" w:sz="4" w:space="0"/>
              <w:right w:val="single" w:color="000000" w:sz="4" w:space="0"/>
            </w:tcBorders>
            <w:shd w:val="clear" w:color="auto" w:fill="FFFFFF"/>
            <w:noWrap w:val="0"/>
            <w:vAlign w:val="center"/>
          </w:tcPr>
          <w:p w14:paraId="444FE3DC">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考核项目</w:t>
            </w:r>
          </w:p>
        </w:tc>
        <w:tc>
          <w:tcPr>
            <w:tcW w:w="3011" w:type="dxa"/>
            <w:tcBorders>
              <w:left w:val="single" w:color="000000" w:sz="4" w:space="0"/>
              <w:bottom w:val="single" w:color="000000" w:sz="4" w:space="0"/>
              <w:right w:val="single" w:color="000000" w:sz="4" w:space="0"/>
            </w:tcBorders>
            <w:shd w:val="clear" w:color="auto" w:fill="FFFFFF"/>
            <w:noWrap w:val="0"/>
            <w:vAlign w:val="center"/>
          </w:tcPr>
          <w:p w14:paraId="0E256AA6">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考核内容</w:t>
            </w:r>
          </w:p>
        </w:tc>
        <w:tc>
          <w:tcPr>
            <w:tcW w:w="0" w:type="auto"/>
            <w:tcBorders>
              <w:left w:val="single" w:color="000000" w:sz="4" w:space="0"/>
              <w:bottom w:val="single" w:color="000000" w:sz="4" w:space="0"/>
              <w:right w:val="single" w:color="000000" w:sz="4" w:space="0"/>
            </w:tcBorders>
            <w:shd w:val="clear" w:color="auto" w:fill="FFFFFF"/>
            <w:noWrap w:val="0"/>
            <w:vAlign w:val="center"/>
          </w:tcPr>
          <w:p w14:paraId="106D915C">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考核标准</w:t>
            </w:r>
          </w:p>
        </w:tc>
        <w:tc>
          <w:tcPr>
            <w:tcW w:w="0" w:type="auto"/>
            <w:tcBorders>
              <w:left w:val="single" w:color="000000" w:sz="4" w:space="0"/>
              <w:bottom w:val="single" w:color="000000" w:sz="4" w:space="0"/>
              <w:right w:val="single" w:color="000000" w:sz="4" w:space="0"/>
            </w:tcBorders>
            <w:shd w:val="clear" w:color="auto" w:fill="FFFFFF"/>
            <w:noWrap w:val="0"/>
            <w:vAlign w:val="center"/>
          </w:tcPr>
          <w:p w14:paraId="74EB3B43">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权值</w:t>
            </w:r>
          </w:p>
        </w:tc>
        <w:tc>
          <w:tcPr>
            <w:tcW w:w="0" w:type="auto"/>
            <w:tcBorders>
              <w:left w:val="single" w:color="000000" w:sz="4" w:space="0"/>
              <w:bottom w:val="single" w:color="000000" w:sz="4" w:space="0"/>
            </w:tcBorders>
            <w:shd w:val="clear" w:color="auto" w:fill="FFFFFF"/>
            <w:noWrap w:val="0"/>
            <w:vAlign w:val="center"/>
          </w:tcPr>
          <w:p w14:paraId="6F103309">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得分</w:t>
            </w:r>
          </w:p>
        </w:tc>
      </w:tr>
      <w:tr w14:paraId="1A1CF7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450" w:hRule="atLeast"/>
        </w:trPr>
        <w:tc>
          <w:tcPr>
            <w:tcW w:w="0" w:type="auto"/>
            <w:tcBorders>
              <w:top w:val="single" w:color="000000" w:sz="4" w:space="0"/>
              <w:bottom w:val="single" w:color="000000" w:sz="4" w:space="0"/>
              <w:right w:val="single" w:color="000000" w:sz="4" w:space="0"/>
            </w:tcBorders>
            <w:shd w:val="clear" w:color="auto" w:fill="FFFFFF"/>
            <w:noWrap w:val="0"/>
            <w:vAlign w:val="center"/>
          </w:tcPr>
          <w:p w14:paraId="2867FC1B">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1</w:t>
            </w:r>
          </w:p>
        </w:tc>
        <w:tc>
          <w:tcPr>
            <w:tcW w:w="72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CEFFE5">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网络带宽</w:t>
            </w:r>
          </w:p>
        </w:tc>
        <w:tc>
          <w:tcPr>
            <w:tcW w:w="3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55B448">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按照具体采购标准，确保视频专网网络线路满足对应的网络带宽要求</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9EC6D9">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每天定期或不定期核查各条网络线路带宽是否符合采购要求，不合格率不得高于1%，每高出1个百分点则扣除0.1分。按日扣分，每月汇总，扣完为止。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3657DE">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25</w:t>
            </w:r>
          </w:p>
        </w:tc>
        <w:tc>
          <w:tcPr>
            <w:tcW w:w="0" w:type="auto"/>
            <w:tcBorders>
              <w:top w:val="single" w:color="000000" w:sz="4" w:space="0"/>
              <w:left w:val="single" w:color="000000" w:sz="4" w:space="0"/>
              <w:bottom w:val="single" w:color="000000" w:sz="4" w:space="0"/>
            </w:tcBorders>
            <w:shd w:val="clear" w:color="auto" w:fill="FFFFFF"/>
            <w:noWrap w:val="0"/>
            <w:vAlign w:val="center"/>
          </w:tcPr>
          <w:p w14:paraId="6398C021">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p>
        </w:tc>
      </w:tr>
      <w:tr w14:paraId="3481A4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25" w:hRule="atLeast"/>
        </w:trPr>
        <w:tc>
          <w:tcPr>
            <w:tcW w:w="0" w:type="auto"/>
            <w:tcBorders>
              <w:top w:val="single" w:color="000000" w:sz="4" w:space="0"/>
              <w:bottom w:val="single" w:color="000000" w:sz="4" w:space="0"/>
              <w:right w:val="single" w:color="000000" w:sz="4" w:space="0"/>
            </w:tcBorders>
            <w:shd w:val="clear" w:color="auto" w:fill="FFFFFF"/>
            <w:noWrap w:val="0"/>
            <w:vAlign w:val="center"/>
          </w:tcPr>
          <w:p w14:paraId="0C920C25">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2</w:t>
            </w:r>
          </w:p>
        </w:tc>
        <w:tc>
          <w:tcPr>
            <w:tcW w:w="72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DF9664">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网络安全性</w:t>
            </w:r>
          </w:p>
        </w:tc>
        <w:tc>
          <w:tcPr>
            <w:tcW w:w="3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528E63">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部署安全防护策略，搭载安全防护设备，确保视频专网安全运行，无网络安全事故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23E7F6">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定期排查安全隐患，如出现安全问题，影响视频专网相关应用正常运行稳定，每出现一起扣1分。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E58791">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10</w:t>
            </w:r>
          </w:p>
        </w:tc>
        <w:tc>
          <w:tcPr>
            <w:tcW w:w="0" w:type="auto"/>
            <w:tcBorders>
              <w:top w:val="single" w:color="000000" w:sz="4" w:space="0"/>
              <w:left w:val="single" w:color="000000" w:sz="4" w:space="0"/>
              <w:bottom w:val="single" w:color="000000" w:sz="4" w:space="0"/>
            </w:tcBorders>
            <w:shd w:val="clear" w:color="auto" w:fill="FFFFFF"/>
            <w:noWrap w:val="0"/>
            <w:vAlign w:val="center"/>
          </w:tcPr>
          <w:p w14:paraId="63963DDD">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p>
        </w:tc>
      </w:tr>
      <w:tr w14:paraId="37F30B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450" w:hRule="atLeast"/>
        </w:trPr>
        <w:tc>
          <w:tcPr>
            <w:tcW w:w="0" w:type="auto"/>
            <w:tcBorders>
              <w:top w:val="single" w:color="000000" w:sz="4" w:space="0"/>
              <w:bottom w:val="single" w:color="000000" w:sz="4" w:space="0"/>
              <w:right w:val="single" w:color="000000" w:sz="4" w:space="0"/>
            </w:tcBorders>
            <w:shd w:val="clear" w:color="auto" w:fill="FFFFFF"/>
            <w:noWrap w:val="0"/>
            <w:vAlign w:val="center"/>
          </w:tcPr>
          <w:p w14:paraId="5433BB7B">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3</w:t>
            </w:r>
          </w:p>
        </w:tc>
        <w:tc>
          <w:tcPr>
            <w:tcW w:w="72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E7A8CC">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网络稳定性</w:t>
            </w:r>
          </w:p>
        </w:tc>
        <w:tc>
          <w:tcPr>
            <w:tcW w:w="3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F92F5A">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确保视频专网端到端通信的网络时延小于15ms，端到端通信的时延抖动小于50ms，端到端通信的丢包率小于1×10</w:t>
            </w:r>
            <w:r>
              <w:rPr>
                <w:rFonts w:hint="eastAsia" w:ascii="宋体" w:hAnsi="宋体" w:eastAsia="宋体" w:cs="宋体"/>
                <w:b w:val="0"/>
                <w:color w:val="auto"/>
                <w:kern w:val="2"/>
                <w:sz w:val="24"/>
                <w:szCs w:val="24"/>
                <w:highlight w:val="none"/>
                <w:vertAlign w:val="superscript"/>
                <w:lang w:val="en-US" w:eastAsia="zh-CN" w:bidi="ar-SA"/>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D10D0E">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实时监测视频专网网络线路运行情况，要求98%以上的网络线路符合相关标准，每低一个百分点则扣0.1分。按日扣分，每月汇总，扣完为止。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3BB5B8">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20</w:t>
            </w:r>
          </w:p>
        </w:tc>
        <w:tc>
          <w:tcPr>
            <w:tcW w:w="0" w:type="auto"/>
            <w:tcBorders>
              <w:top w:val="single" w:color="000000" w:sz="4" w:space="0"/>
              <w:left w:val="single" w:color="000000" w:sz="4" w:space="0"/>
              <w:bottom w:val="single" w:color="000000" w:sz="4" w:space="0"/>
            </w:tcBorders>
            <w:shd w:val="clear" w:color="auto" w:fill="FFFFFF"/>
            <w:noWrap w:val="0"/>
            <w:vAlign w:val="center"/>
          </w:tcPr>
          <w:p w14:paraId="48B7A2EF">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p>
        </w:tc>
      </w:tr>
      <w:tr w14:paraId="5C862D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170" w:hRule="atLeast"/>
        </w:trPr>
        <w:tc>
          <w:tcPr>
            <w:tcW w:w="0" w:type="auto"/>
            <w:tcBorders>
              <w:top w:val="single" w:color="000000" w:sz="4" w:space="0"/>
              <w:bottom w:val="single" w:color="000000" w:sz="4" w:space="0"/>
              <w:right w:val="single" w:color="000000" w:sz="4" w:space="0"/>
            </w:tcBorders>
            <w:shd w:val="clear" w:color="auto" w:fill="FFFFFF"/>
            <w:noWrap w:val="0"/>
            <w:vAlign w:val="center"/>
          </w:tcPr>
          <w:p w14:paraId="484EA8DA">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4</w:t>
            </w:r>
          </w:p>
        </w:tc>
        <w:tc>
          <w:tcPr>
            <w:tcW w:w="72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32444B">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网络故障</w:t>
            </w:r>
          </w:p>
        </w:tc>
        <w:tc>
          <w:tcPr>
            <w:tcW w:w="3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AA948D">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确保视频专网尽可能少地出现网络故障，若出现故障能够按要求及时处置相关问题，恢复网络畅通</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7261B5">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未按照要求及时处理网络故障保障网络畅通的，每出现一起扣0.5分。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C15AFB">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30</w:t>
            </w:r>
          </w:p>
        </w:tc>
        <w:tc>
          <w:tcPr>
            <w:tcW w:w="0" w:type="auto"/>
            <w:tcBorders>
              <w:top w:val="single" w:color="000000" w:sz="4" w:space="0"/>
              <w:left w:val="single" w:color="000000" w:sz="4" w:space="0"/>
              <w:bottom w:val="single" w:color="000000" w:sz="4" w:space="0"/>
            </w:tcBorders>
            <w:shd w:val="clear" w:color="auto" w:fill="FFFFFF"/>
            <w:noWrap w:val="0"/>
            <w:vAlign w:val="center"/>
          </w:tcPr>
          <w:p w14:paraId="6B3168E6">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p>
        </w:tc>
      </w:tr>
      <w:tr w14:paraId="737CA3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170" w:hRule="atLeast"/>
        </w:trPr>
        <w:tc>
          <w:tcPr>
            <w:tcW w:w="0" w:type="auto"/>
            <w:tcBorders>
              <w:top w:val="single" w:color="000000" w:sz="4" w:space="0"/>
              <w:bottom w:val="single" w:color="000000" w:sz="4" w:space="0"/>
              <w:right w:val="single" w:color="000000" w:sz="4" w:space="0"/>
            </w:tcBorders>
            <w:shd w:val="clear" w:color="auto" w:fill="FFFFFF"/>
            <w:noWrap w:val="0"/>
            <w:vAlign w:val="center"/>
          </w:tcPr>
          <w:p w14:paraId="693C7177">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5</w:t>
            </w:r>
          </w:p>
        </w:tc>
        <w:tc>
          <w:tcPr>
            <w:tcW w:w="72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DFA045">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巡查报告</w:t>
            </w:r>
          </w:p>
        </w:tc>
        <w:tc>
          <w:tcPr>
            <w:tcW w:w="3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32DCC4">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每日巡查，每周排查，每月全面检查，并最终形成工作报告</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4E8EFC">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spacing w:val="-8"/>
                <w:kern w:val="2"/>
                <w:sz w:val="24"/>
                <w:szCs w:val="24"/>
                <w:highlight w:val="none"/>
                <w:lang w:val="en-US" w:eastAsia="zh-CN" w:bidi="ar-SA"/>
              </w:rPr>
            </w:pPr>
            <w:r>
              <w:rPr>
                <w:rFonts w:hint="eastAsia" w:ascii="宋体" w:hAnsi="宋体" w:eastAsia="宋体" w:cs="宋体"/>
                <w:b w:val="0"/>
                <w:color w:val="auto"/>
                <w:spacing w:val="-8"/>
                <w:kern w:val="2"/>
                <w:sz w:val="24"/>
                <w:szCs w:val="24"/>
                <w:highlight w:val="none"/>
                <w:lang w:val="en-US" w:eastAsia="zh-CN" w:bidi="ar-SA"/>
              </w:rPr>
              <w:t>1.每缺一份日巡查报告，扣0.1分；</w:t>
            </w:r>
          </w:p>
          <w:p w14:paraId="7C6F3CD9">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spacing w:val="-8"/>
                <w:kern w:val="2"/>
                <w:sz w:val="24"/>
                <w:szCs w:val="24"/>
                <w:highlight w:val="none"/>
                <w:lang w:val="en-US" w:eastAsia="zh-CN" w:bidi="ar-SA"/>
              </w:rPr>
            </w:pPr>
            <w:r>
              <w:rPr>
                <w:rFonts w:hint="eastAsia" w:ascii="宋体" w:hAnsi="宋体" w:eastAsia="宋体" w:cs="宋体"/>
                <w:b w:val="0"/>
                <w:color w:val="auto"/>
                <w:spacing w:val="-8"/>
                <w:kern w:val="2"/>
                <w:sz w:val="24"/>
                <w:szCs w:val="24"/>
                <w:highlight w:val="none"/>
                <w:lang w:val="en-US" w:eastAsia="zh-CN" w:bidi="ar-SA"/>
              </w:rPr>
              <w:t>2.每缺一份周排查报告，扣0.2分；</w:t>
            </w:r>
          </w:p>
          <w:p w14:paraId="33D29460">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spacing w:val="-8"/>
                <w:kern w:val="2"/>
                <w:sz w:val="24"/>
                <w:szCs w:val="24"/>
                <w:highlight w:val="none"/>
                <w:lang w:val="en-US" w:eastAsia="zh-CN" w:bidi="ar-SA"/>
              </w:rPr>
              <w:t>3.每缺一份月检查报告，扣0.5分。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1B31F3">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5</w:t>
            </w:r>
          </w:p>
        </w:tc>
        <w:tc>
          <w:tcPr>
            <w:tcW w:w="0" w:type="auto"/>
            <w:tcBorders>
              <w:top w:val="single" w:color="000000" w:sz="4" w:space="0"/>
              <w:left w:val="single" w:color="000000" w:sz="4" w:space="0"/>
              <w:bottom w:val="single" w:color="000000" w:sz="4" w:space="0"/>
            </w:tcBorders>
            <w:shd w:val="clear" w:color="auto" w:fill="FFFFFF"/>
            <w:noWrap w:val="0"/>
            <w:vAlign w:val="center"/>
          </w:tcPr>
          <w:p w14:paraId="36037255">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p>
        </w:tc>
      </w:tr>
      <w:tr w14:paraId="74A0B3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759" w:hRule="atLeast"/>
        </w:trPr>
        <w:tc>
          <w:tcPr>
            <w:tcW w:w="0" w:type="auto"/>
            <w:tcBorders>
              <w:top w:val="single" w:color="000000" w:sz="4" w:space="0"/>
              <w:right w:val="single" w:color="000000" w:sz="4" w:space="0"/>
            </w:tcBorders>
            <w:shd w:val="clear" w:color="auto" w:fill="FFFFFF"/>
            <w:noWrap w:val="0"/>
            <w:vAlign w:val="center"/>
          </w:tcPr>
          <w:p w14:paraId="716E89D2">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6</w:t>
            </w:r>
          </w:p>
        </w:tc>
        <w:tc>
          <w:tcPr>
            <w:tcW w:w="724" w:type="dxa"/>
            <w:tcBorders>
              <w:top w:val="single" w:color="000000" w:sz="4" w:space="0"/>
              <w:left w:val="single" w:color="000000" w:sz="4" w:space="0"/>
              <w:right w:val="single" w:color="000000" w:sz="4" w:space="0"/>
            </w:tcBorders>
            <w:shd w:val="clear" w:color="auto" w:fill="FFFFFF"/>
            <w:noWrap w:val="0"/>
            <w:vAlign w:val="center"/>
          </w:tcPr>
          <w:p w14:paraId="41603E16">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用户反馈</w:t>
            </w:r>
          </w:p>
        </w:tc>
        <w:tc>
          <w:tcPr>
            <w:tcW w:w="3011" w:type="dxa"/>
            <w:tcBorders>
              <w:top w:val="single" w:color="000000" w:sz="4" w:space="0"/>
              <w:left w:val="single" w:color="000000" w:sz="4" w:space="0"/>
              <w:right w:val="single" w:color="000000" w:sz="4" w:space="0"/>
            </w:tcBorders>
            <w:shd w:val="clear" w:color="auto" w:fill="FFFFFF"/>
            <w:noWrap w:val="0"/>
            <w:vAlign w:val="center"/>
          </w:tcPr>
          <w:p w14:paraId="0753E41D">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视频专网的网络质量及维保服务能够全面满足业务应用单位的基本工作要求</w:t>
            </w:r>
          </w:p>
        </w:tc>
        <w:tc>
          <w:tcPr>
            <w:tcW w:w="0" w:type="auto"/>
            <w:tcBorders>
              <w:top w:val="single" w:color="000000" w:sz="4" w:space="0"/>
              <w:left w:val="single" w:color="000000" w:sz="4" w:space="0"/>
              <w:right w:val="single" w:color="000000" w:sz="4" w:space="0"/>
            </w:tcBorders>
            <w:shd w:val="clear" w:color="auto" w:fill="FFFFFF"/>
            <w:noWrap w:val="0"/>
            <w:vAlign w:val="center"/>
          </w:tcPr>
          <w:p w14:paraId="24992230">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1.开展业务应用单位满意度调查，满意度在98%以下的，每低1个百分点扣0.1分。</w:t>
            </w:r>
          </w:p>
          <w:p w14:paraId="0C5FBE87">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2.每出现一起业务应用单位网络故障或维保服务投诉，扣1分，扣完为止。</w:t>
            </w:r>
          </w:p>
        </w:tc>
        <w:tc>
          <w:tcPr>
            <w:tcW w:w="0" w:type="auto"/>
            <w:tcBorders>
              <w:top w:val="single" w:color="000000" w:sz="4" w:space="0"/>
              <w:left w:val="single" w:color="000000" w:sz="4" w:space="0"/>
              <w:right w:val="single" w:color="000000" w:sz="4" w:space="0"/>
            </w:tcBorders>
            <w:shd w:val="clear" w:color="auto" w:fill="FFFFFF"/>
            <w:noWrap w:val="0"/>
            <w:vAlign w:val="center"/>
          </w:tcPr>
          <w:p w14:paraId="1CF9A683">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10</w:t>
            </w:r>
          </w:p>
        </w:tc>
        <w:tc>
          <w:tcPr>
            <w:tcW w:w="0" w:type="auto"/>
            <w:tcBorders>
              <w:top w:val="single" w:color="000000" w:sz="4" w:space="0"/>
              <w:left w:val="single" w:color="000000" w:sz="4" w:space="0"/>
            </w:tcBorders>
            <w:shd w:val="clear" w:color="auto" w:fill="FFFFFF"/>
            <w:noWrap w:val="0"/>
            <w:vAlign w:val="center"/>
          </w:tcPr>
          <w:p w14:paraId="608F9E53">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p>
        </w:tc>
      </w:tr>
    </w:tbl>
    <w:p w14:paraId="1A43D953">
      <w:pPr>
        <w:keepNext w:val="0"/>
        <w:keepLines w:val="0"/>
        <w:pageBreakBefore w:val="0"/>
        <w:widowControl w:val="0"/>
        <w:kinsoku/>
        <w:wordWrap/>
        <w:overflowPunct/>
        <w:topLinePunct w:val="0"/>
        <w:bidi w:val="0"/>
        <w:snapToGrid/>
        <w:spacing w:line="377" w:lineRule="auto"/>
        <w:ind w:left="213" w:right="113" w:firstLine="0" w:firstLineChars="0"/>
        <w:textAlignment w:val="auto"/>
        <w:rPr>
          <w:rFonts w:hint="eastAsia" w:ascii="宋体" w:hAnsi="宋体" w:eastAsia="宋体" w:cs="宋体"/>
          <w:color w:val="auto"/>
          <w:spacing w:val="-1"/>
          <w:sz w:val="24"/>
          <w:szCs w:val="24"/>
          <w:highlight w:val="none"/>
        </w:rPr>
      </w:pPr>
    </w:p>
    <w:p w14:paraId="011D721E">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机房设备运维考核​</w:t>
      </w:r>
    </w:p>
    <w:p w14:paraId="0CBA4466">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包括设备完好率（涉及UPS电源、精密空调、监控检测系统，要求完好率100%以上）、机房安全保障、机房管理保障、机房日常巡查、应急处置、其他方面工作6个项目，明确了维护内容、考核标准（如设备运行不正常、未按要求落实工作等的扣分规则）及权值（总权值100分，机房日常巡查30分，应急处置22分，设备完好率30分，其余项目4</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10分不等）。</w:t>
      </w:r>
      <w:r>
        <w:rPr>
          <w:rFonts w:hint="eastAsia" w:ascii="宋体" w:hAnsi="宋体" w:eastAsia="宋体" w:cs="宋体"/>
          <w:color w:val="auto"/>
          <w:spacing w:val="3"/>
          <w:sz w:val="24"/>
          <w:szCs w:val="24"/>
          <w:highlight w:val="none"/>
          <w:lang w:val="en-US" w:eastAsia="zh-CN"/>
        </w:rPr>
        <w:t>具体如下表：</w:t>
      </w:r>
      <w:r>
        <w:rPr>
          <w:rFonts w:hint="eastAsia" w:ascii="宋体" w:hAnsi="宋体" w:eastAsia="宋体" w:cs="宋体"/>
          <w:color w:val="auto"/>
          <w:spacing w:val="3"/>
          <w:sz w:val="24"/>
          <w:szCs w:val="24"/>
          <w:highlight w:val="none"/>
        </w:rPr>
        <w:t>​</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1075"/>
        <w:gridCol w:w="2850"/>
        <w:gridCol w:w="2854"/>
        <w:gridCol w:w="604"/>
        <w:gridCol w:w="626"/>
      </w:tblGrid>
      <w:tr w14:paraId="46A46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0" w:type="auto"/>
            <w:tcBorders>
              <w:tl2br w:val="nil"/>
            </w:tcBorders>
            <w:shd w:val="clear" w:color="auto" w:fill="FFFFFF"/>
            <w:noWrap w:val="0"/>
            <w:vAlign w:val="center"/>
          </w:tcPr>
          <w:p w14:paraId="035B28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序号</w:t>
            </w:r>
          </w:p>
        </w:tc>
        <w:tc>
          <w:tcPr>
            <w:tcW w:w="1075" w:type="dxa"/>
            <w:shd w:val="clear" w:color="auto" w:fill="FFFFFF"/>
            <w:noWrap w:val="0"/>
            <w:vAlign w:val="center"/>
          </w:tcPr>
          <w:p w14:paraId="6D18F8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考核项目</w:t>
            </w:r>
          </w:p>
        </w:tc>
        <w:tc>
          <w:tcPr>
            <w:tcW w:w="2850" w:type="dxa"/>
            <w:shd w:val="clear" w:color="auto" w:fill="FFFFFF"/>
            <w:noWrap w:val="0"/>
            <w:vAlign w:val="center"/>
          </w:tcPr>
          <w:p w14:paraId="540A0C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维护内容</w:t>
            </w:r>
          </w:p>
        </w:tc>
        <w:tc>
          <w:tcPr>
            <w:tcW w:w="2854" w:type="dxa"/>
            <w:shd w:val="clear" w:color="auto" w:fill="FFFFFF"/>
            <w:noWrap w:val="0"/>
            <w:vAlign w:val="center"/>
          </w:tcPr>
          <w:p w14:paraId="409889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考核标准</w:t>
            </w:r>
          </w:p>
        </w:tc>
        <w:tc>
          <w:tcPr>
            <w:tcW w:w="0" w:type="auto"/>
            <w:shd w:val="clear" w:color="auto" w:fill="FFFFFF"/>
            <w:noWrap w:val="0"/>
            <w:vAlign w:val="center"/>
          </w:tcPr>
          <w:p w14:paraId="7FE452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权值</w:t>
            </w:r>
          </w:p>
        </w:tc>
        <w:tc>
          <w:tcPr>
            <w:tcW w:w="0" w:type="auto"/>
            <w:shd w:val="clear" w:color="auto" w:fill="FFFFFF"/>
            <w:noWrap w:val="0"/>
            <w:vAlign w:val="center"/>
          </w:tcPr>
          <w:p w14:paraId="7161BC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实际得分</w:t>
            </w:r>
          </w:p>
        </w:tc>
      </w:tr>
      <w:tr w14:paraId="2716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vMerge w:val="restart"/>
            <w:shd w:val="clear" w:color="auto" w:fill="FFFFFF"/>
            <w:noWrap w:val="0"/>
            <w:vAlign w:val="center"/>
          </w:tcPr>
          <w:p w14:paraId="7C07D5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1</w:t>
            </w:r>
          </w:p>
        </w:tc>
        <w:tc>
          <w:tcPr>
            <w:tcW w:w="1075" w:type="dxa"/>
            <w:vMerge w:val="restart"/>
            <w:shd w:val="clear" w:color="auto" w:fill="FFFFFF"/>
            <w:noWrap w:val="0"/>
            <w:vAlign w:val="center"/>
          </w:tcPr>
          <w:p w14:paraId="595831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设备完好率</w:t>
            </w:r>
          </w:p>
        </w:tc>
        <w:tc>
          <w:tcPr>
            <w:tcW w:w="2850" w:type="dxa"/>
            <w:shd w:val="clear" w:color="auto" w:fill="FFFFFF"/>
            <w:noWrap w:val="0"/>
            <w:vAlign w:val="center"/>
          </w:tcPr>
          <w:p w14:paraId="496FC1A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确保UPS电源运行正常，带载后备延时达到3小时以上，设备完好率达到100%以上。</w:t>
            </w:r>
          </w:p>
        </w:tc>
        <w:tc>
          <w:tcPr>
            <w:tcW w:w="2854" w:type="dxa"/>
            <w:shd w:val="clear" w:color="auto" w:fill="FFFFFF"/>
            <w:noWrap w:val="0"/>
            <w:vAlign w:val="center"/>
          </w:tcPr>
          <w:p w14:paraId="5D91AA3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发现一台运行不正常扣1分</w:t>
            </w:r>
          </w:p>
        </w:tc>
        <w:tc>
          <w:tcPr>
            <w:tcW w:w="0" w:type="auto"/>
            <w:shd w:val="clear" w:color="auto" w:fill="FFFFFF"/>
            <w:noWrap w:val="0"/>
            <w:vAlign w:val="center"/>
          </w:tcPr>
          <w:p w14:paraId="51B577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10</w:t>
            </w:r>
          </w:p>
        </w:tc>
        <w:tc>
          <w:tcPr>
            <w:tcW w:w="0" w:type="auto"/>
            <w:shd w:val="clear" w:color="auto" w:fill="FFFFFF"/>
            <w:noWrap w:val="0"/>
            <w:vAlign w:val="center"/>
          </w:tcPr>
          <w:p w14:paraId="2E358F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p>
        </w:tc>
      </w:tr>
      <w:tr w14:paraId="5059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vMerge w:val="continue"/>
            <w:shd w:val="clear" w:color="auto" w:fill="FFFFFF"/>
            <w:noWrap w:val="0"/>
            <w:vAlign w:val="center"/>
          </w:tcPr>
          <w:p w14:paraId="2278CA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p>
        </w:tc>
        <w:tc>
          <w:tcPr>
            <w:tcW w:w="1075" w:type="dxa"/>
            <w:vMerge w:val="continue"/>
            <w:shd w:val="clear" w:color="auto" w:fill="FFFFFF"/>
            <w:noWrap w:val="0"/>
            <w:vAlign w:val="center"/>
          </w:tcPr>
          <w:p w14:paraId="5F6A56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p>
        </w:tc>
        <w:tc>
          <w:tcPr>
            <w:tcW w:w="2850" w:type="dxa"/>
            <w:shd w:val="clear" w:color="auto" w:fill="FFFFFF"/>
            <w:noWrap w:val="0"/>
            <w:vAlign w:val="center"/>
          </w:tcPr>
          <w:p w14:paraId="3C0AB70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eastAsia="宋体" w:cs="宋体"/>
                <w:b w:val="0"/>
                <w:color w:val="auto"/>
                <w:spacing w:val="-6"/>
                <w:sz w:val="24"/>
                <w:szCs w:val="24"/>
                <w:highlight w:val="none"/>
              </w:rPr>
            </w:pPr>
            <w:r>
              <w:rPr>
                <w:rFonts w:ascii="宋体" w:hAnsi="宋体" w:eastAsia="宋体" w:cs="宋体"/>
                <w:b w:val="0"/>
                <w:color w:val="auto"/>
                <w:spacing w:val="-6"/>
                <w:sz w:val="24"/>
                <w:szCs w:val="24"/>
                <w:highlight w:val="none"/>
              </w:rPr>
              <w:t>确保精密空调运行正常，制冷效果良好，设备完好率达到100%以上。</w:t>
            </w:r>
          </w:p>
        </w:tc>
        <w:tc>
          <w:tcPr>
            <w:tcW w:w="2854" w:type="dxa"/>
            <w:shd w:val="clear" w:color="auto" w:fill="FFFFFF"/>
            <w:noWrap w:val="0"/>
            <w:vAlign w:val="center"/>
          </w:tcPr>
          <w:p w14:paraId="4731F07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发现一台运行不正常扣1分</w:t>
            </w:r>
          </w:p>
        </w:tc>
        <w:tc>
          <w:tcPr>
            <w:tcW w:w="0" w:type="auto"/>
            <w:shd w:val="clear" w:color="auto" w:fill="FFFFFF"/>
            <w:noWrap w:val="0"/>
            <w:vAlign w:val="center"/>
          </w:tcPr>
          <w:p w14:paraId="1004E7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10</w:t>
            </w:r>
          </w:p>
        </w:tc>
        <w:tc>
          <w:tcPr>
            <w:tcW w:w="0" w:type="auto"/>
            <w:shd w:val="clear" w:color="auto" w:fill="FFFFFF"/>
            <w:noWrap w:val="0"/>
            <w:vAlign w:val="center"/>
          </w:tcPr>
          <w:p w14:paraId="5E59D9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p>
        </w:tc>
      </w:tr>
      <w:tr w14:paraId="42B7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vMerge w:val="continue"/>
            <w:shd w:val="clear" w:color="auto" w:fill="FFFFFF"/>
            <w:noWrap w:val="0"/>
            <w:vAlign w:val="center"/>
          </w:tcPr>
          <w:p w14:paraId="72B533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p>
        </w:tc>
        <w:tc>
          <w:tcPr>
            <w:tcW w:w="1075" w:type="dxa"/>
            <w:vMerge w:val="continue"/>
            <w:shd w:val="clear" w:color="auto" w:fill="FFFFFF"/>
            <w:noWrap w:val="0"/>
            <w:vAlign w:val="center"/>
          </w:tcPr>
          <w:p w14:paraId="0FB42C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p>
        </w:tc>
        <w:tc>
          <w:tcPr>
            <w:tcW w:w="2850" w:type="dxa"/>
            <w:shd w:val="clear" w:color="auto" w:fill="FFFFFF"/>
            <w:noWrap w:val="0"/>
            <w:vAlign w:val="center"/>
          </w:tcPr>
          <w:p w14:paraId="2D89908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确保监控</w:t>
            </w:r>
            <w:r>
              <w:rPr>
                <w:rFonts w:hint="eastAsia" w:ascii="宋体" w:hAnsi="宋体" w:eastAsia="宋体" w:cs="宋体"/>
                <w:b w:val="0"/>
                <w:color w:val="auto"/>
                <w:sz w:val="24"/>
                <w:szCs w:val="24"/>
                <w:highlight w:val="none"/>
                <w:lang w:eastAsia="zh-CN"/>
              </w:rPr>
              <w:t>监测</w:t>
            </w:r>
            <w:r>
              <w:rPr>
                <w:rFonts w:ascii="宋体" w:hAnsi="宋体" w:eastAsia="宋体" w:cs="宋体"/>
                <w:b w:val="0"/>
                <w:color w:val="auto"/>
                <w:sz w:val="24"/>
                <w:szCs w:val="24"/>
                <w:highlight w:val="none"/>
              </w:rPr>
              <w:t>系统运行正常，系统完好率达到100%以上。</w:t>
            </w:r>
          </w:p>
        </w:tc>
        <w:tc>
          <w:tcPr>
            <w:tcW w:w="2854" w:type="dxa"/>
            <w:shd w:val="clear" w:color="auto" w:fill="FFFFFF"/>
            <w:noWrap w:val="0"/>
            <w:vAlign w:val="center"/>
          </w:tcPr>
          <w:p w14:paraId="44DDF05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发现一个系统运行不正常扣0.5分</w:t>
            </w:r>
          </w:p>
        </w:tc>
        <w:tc>
          <w:tcPr>
            <w:tcW w:w="0" w:type="auto"/>
            <w:shd w:val="clear" w:color="auto" w:fill="FFFFFF"/>
            <w:noWrap w:val="0"/>
            <w:vAlign w:val="center"/>
          </w:tcPr>
          <w:p w14:paraId="426023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10</w:t>
            </w:r>
          </w:p>
        </w:tc>
        <w:tc>
          <w:tcPr>
            <w:tcW w:w="0" w:type="auto"/>
            <w:shd w:val="clear" w:color="auto" w:fill="FFFFFF"/>
            <w:noWrap w:val="0"/>
            <w:vAlign w:val="center"/>
          </w:tcPr>
          <w:p w14:paraId="6440A9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p>
        </w:tc>
      </w:tr>
      <w:tr w14:paraId="1830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shd w:val="clear" w:color="auto" w:fill="FFFFFF"/>
            <w:noWrap w:val="0"/>
            <w:vAlign w:val="center"/>
          </w:tcPr>
          <w:p w14:paraId="3434B26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2</w:t>
            </w:r>
          </w:p>
        </w:tc>
        <w:tc>
          <w:tcPr>
            <w:tcW w:w="1075" w:type="dxa"/>
            <w:shd w:val="clear" w:color="auto" w:fill="FFFFFF"/>
            <w:noWrap w:val="0"/>
            <w:vAlign w:val="center"/>
          </w:tcPr>
          <w:p w14:paraId="5934B97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机房安全保障</w:t>
            </w:r>
          </w:p>
        </w:tc>
        <w:tc>
          <w:tcPr>
            <w:tcW w:w="2850" w:type="dxa"/>
            <w:shd w:val="clear" w:color="auto" w:fill="FFFFFF"/>
            <w:noWrap w:val="0"/>
            <w:vAlign w:val="center"/>
          </w:tcPr>
          <w:p w14:paraId="07AFC60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详见</w:t>
            </w:r>
            <w:r>
              <w:rPr>
                <w:rFonts w:hint="eastAsia" w:ascii="宋体" w:hAnsi="宋体" w:eastAsia="宋体" w:cs="宋体"/>
                <w:b w:val="0"/>
                <w:color w:val="auto"/>
                <w:sz w:val="24"/>
                <w:szCs w:val="24"/>
                <w:highlight w:val="none"/>
              </w:rPr>
              <w:t>5.4.2 托管机房的相关要求</w:t>
            </w:r>
          </w:p>
        </w:tc>
        <w:tc>
          <w:tcPr>
            <w:tcW w:w="2854" w:type="dxa"/>
            <w:shd w:val="clear" w:color="auto" w:fill="FFFFFF"/>
            <w:noWrap w:val="0"/>
            <w:vAlign w:val="center"/>
          </w:tcPr>
          <w:p w14:paraId="4C5928F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未按照具体要求落实相关工作的，每项扣0.5分</w:t>
            </w:r>
          </w:p>
        </w:tc>
        <w:tc>
          <w:tcPr>
            <w:tcW w:w="0" w:type="auto"/>
            <w:shd w:val="clear" w:color="auto" w:fill="FFFFFF"/>
            <w:noWrap w:val="0"/>
            <w:vAlign w:val="center"/>
          </w:tcPr>
          <w:p w14:paraId="009FBA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4</w:t>
            </w:r>
          </w:p>
        </w:tc>
        <w:tc>
          <w:tcPr>
            <w:tcW w:w="0" w:type="auto"/>
            <w:shd w:val="clear" w:color="auto" w:fill="FFFFFF"/>
            <w:noWrap w:val="0"/>
            <w:vAlign w:val="center"/>
          </w:tcPr>
          <w:p w14:paraId="0B00F94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p>
        </w:tc>
      </w:tr>
      <w:tr w14:paraId="31BB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shd w:val="clear" w:color="auto" w:fill="FFFFFF"/>
            <w:noWrap w:val="0"/>
            <w:vAlign w:val="center"/>
          </w:tcPr>
          <w:p w14:paraId="35E36DB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3</w:t>
            </w:r>
          </w:p>
        </w:tc>
        <w:tc>
          <w:tcPr>
            <w:tcW w:w="1075" w:type="dxa"/>
            <w:shd w:val="clear" w:color="auto" w:fill="FFFFFF"/>
            <w:noWrap w:val="0"/>
            <w:vAlign w:val="center"/>
          </w:tcPr>
          <w:p w14:paraId="7AA3C4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机房管理保障</w:t>
            </w:r>
          </w:p>
        </w:tc>
        <w:tc>
          <w:tcPr>
            <w:tcW w:w="2850" w:type="dxa"/>
            <w:shd w:val="clear" w:color="auto" w:fill="FFFFFF"/>
            <w:noWrap w:val="0"/>
            <w:vAlign w:val="center"/>
          </w:tcPr>
          <w:p w14:paraId="6113C57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hint="eastAsia" w:ascii="Times New Roman" w:hAnsi="宋体" w:eastAsia="宋体" w:cs="宋体"/>
                <w:b w:val="0"/>
                <w:color w:val="auto"/>
                <w:sz w:val="24"/>
                <w:szCs w:val="24"/>
                <w:highlight w:val="none"/>
                <w:lang w:val="en-US" w:eastAsia="zh-CN"/>
              </w:rPr>
              <w:t>详见</w:t>
            </w:r>
            <w:r>
              <w:rPr>
                <w:rFonts w:hint="eastAsia" w:ascii="宋体" w:hAnsi="宋体" w:eastAsia="宋体" w:cs="宋体"/>
                <w:b w:val="0"/>
                <w:color w:val="auto"/>
                <w:sz w:val="24"/>
                <w:szCs w:val="24"/>
                <w:highlight w:val="none"/>
              </w:rPr>
              <w:t>5.4.2 托管机房的相关要求</w:t>
            </w:r>
          </w:p>
        </w:tc>
        <w:tc>
          <w:tcPr>
            <w:tcW w:w="2854" w:type="dxa"/>
            <w:shd w:val="clear" w:color="auto" w:fill="FFFFFF"/>
            <w:noWrap w:val="0"/>
            <w:vAlign w:val="center"/>
          </w:tcPr>
          <w:p w14:paraId="5B0D38F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未按照具体要求落实相关工作的，每项扣0.5分</w:t>
            </w:r>
          </w:p>
        </w:tc>
        <w:tc>
          <w:tcPr>
            <w:tcW w:w="0" w:type="auto"/>
            <w:shd w:val="clear" w:color="auto" w:fill="FFFFFF"/>
            <w:noWrap w:val="0"/>
            <w:vAlign w:val="center"/>
          </w:tcPr>
          <w:p w14:paraId="33DBB6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4</w:t>
            </w:r>
          </w:p>
        </w:tc>
        <w:tc>
          <w:tcPr>
            <w:tcW w:w="0" w:type="auto"/>
            <w:shd w:val="clear" w:color="auto" w:fill="FFFFFF"/>
            <w:noWrap w:val="0"/>
            <w:vAlign w:val="center"/>
          </w:tcPr>
          <w:p w14:paraId="790BE1C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p>
        </w:tc>
      </w:tr>
      <w:tr w14:paraId="4036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shd w:val="clear" w:color="auto" w:fill="FFFFFF"/>
            <w:noWrap w:val="0"/>
            <w:vAlign w:val="center"/>
          </w:tcPr>
          <w:p w14:paraId="62EE92D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4</w:t>
            </w:r>
          </w:p>
        </w:tc>
        <w:tc>
          <w:tcPr>
            <w:tcW w:w="1075" w:type="dxa"/>
            <w:shd w:val="clear" w:color="auto" w:fill="FFFFFF"/>
            <w:noWrap w:val="0"/>
            <w:vAlign w:val="center"/>
          </w:tcPr>
          <w:p w14:paraId="56E8D4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机房日常巡查</w:t>
            </w:r>
          </w:p>
        </w:tc>
        <w:tc>
          <w:tcPr>
            <w:tcW w:w="2850" w:type="dxa"/>
            <w:shd w:val="clear" w:color="auto" w:fill="FFFFFF"/>
            <w:noWrap w:val="0"/>
            <w:vAlign w:val="center"/>
          </w:tcPr>
          <w:p w14:paraId="41A1BDA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eastAsia="宋体" w:cs="宋体"/>
                <w:b w:val="0"/>
                <w:color w:val="auto"/>
                <w:sz w:val="24"/>
                <w:szCs w:val="24"/>
                <w:highlight w:val="none"/>
              </w:rPr>
            </w:pPr>
            <w:r>
              <w:rPr>
                <w:rFonts w:hint="eastAsia" w:ascii="Times New Roman" w:hAnsi="宋体" w:eastAsia="宋体" w:cs="宋体"/>
                <w:b w:val="0"/>
                <w:color w:val="auto"/>
                <w:sz w:val="24"/>
                <w:szCs w:val="24"/>
                <w:highlight w:val="none"/>
                <w:lang w:val="en-US" w:eastAsia="zh-CN"/>
              </w:rPr>
              <w:t>详见</w:t>
            </w:r>
            <w:r>
              <w:rPr>
                <w:rFonts w:hint="eastAsia" w:ascii="宋体" w:hAnsi="宋体" w:eastAsia="宋体" w:cs="宋体"/>
                <w:b w:val="0"/>
                <w:color w:val="auto"/>
                <w:sz w:val="24"/>
                <w:szCs w:val="24"/>
                <w:highlight w:val="none"/>
              </w:rPr>
              <w:t>5.4.2 托管机房的相关要求</w:t>
            </w:r>
          </w:p>
        </w:tc>
        <w:tc>
          <w:tcPr>
            <w:tcW w:w="2854" w:type="dxa"/>
            <w:shd w:val="clear" w:color="auto" w:fill="FFFFFF"/>
            <w:noWrap w:val="0"/>
            <w:vAlign w:val="center"/>
          </w:tcPr>
          <w:p w14:paraId="27AC842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未按照要求进行日常巡查的，每项扣1分</w:t>
            </w:r>
          </w:p>
        </w:tc>
        <w:tc>
          <w:tcPr>
            <w:tcW w:w="0" w:type="auto"/>
            <w:shd w:val="clear" w:color="auto" w:fill="FFFFFF"/>
            <w:noWrap w:val="0"/>
            <w:vAlign w:val="center"/>
          </w:tcPr>
          <w:p w14:paraId="612E24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30</w:t>
            </w:r>
          </w:p>
        </w:tc>
        <w:tc>
          <w:tcPr>
            <w:tcW w:w="0" w:type="auto"/>
            <w:shd w:val="clear" w:color="auto" w:fill="FFFFFF"/>
            <w:noWrap w:val="0"/>
            <w:vAlign w:val="center"/>
          </w:tcPr>
          <w:p w14:paraId="460B21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p>
        </w:tc>
      </w:tr>
      <w:tr w14:paraId="204C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shd w:val="clear" w:color="auto" w:fill="FFFFFF"/>
            <w:noWrap w:val="0"/>
            <w:vAlign w:val="center"/>
          </w:tcPr>
          <w:p w14:paraId="11F91B9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5</w:t>
            </w:r>
          </w:p>
        </w:tc>
        <w:tc>
          <w:tcPr>
            <w:tcW w:w="1075" w:type="dxa"/>
            <w:shd w:val="clear" w:color="auto" w:fill="FFFFFF"/>
            <w:noWrap w:val="0"/>
            <w:vAlign w:val="center"/>
          </w:tcPr>
          <w:p w14:paraId="76593F2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应急处置</w:t>
            </w:r>
          </w:p>
        </w:tc>
        <w:tc>
          <w:tcPr>
            <w:tcW w:w="2850" w:type="dxa"/>
            <w:shd w:val="clear" w:color="auto" w:fill="FFFFFF"/>
            <w:noWrap w:val="0"/>
            <w:vAlign w:val="center"/>
          </w:tcPr>
          <w:p w14:paraId="02628E9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详见</w:t>
            </w:r>
            <w:r>
              <w:rPr>
                <w:rFonts w:hint="eastAsia" w:ascii="宋体" w:hAnsi="宋体" w:eastAsia="宋体" w:cs="宋体"/>
                <w:b w:val="0"/>
                <w:color w:val="auto"/>
                <w:sz w:val="24"/>
                <w:szCs w:val="24"/>
                <w:highlight w:val="none"/>
              </w:rPr>
              <w:t>5.5.4 应急响应</w:t>
            </w:r>
          </w:p>
        </w:tc>
        <w:tc>
          <w:tcPr>
            <w:tcW w:w="2854" w:type="dxa"/>
            <w:shd w:val="clear" w:color="auto" w:fill="FFFFFF"/>
            <w:noWrap w:val="0"/>
            <w:vAlign w:val="center"/>
          </w:tcPr>
          <w:p w14:paraId="366D2B3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未按</w:t>
            </w:r>
            <w:r>
              <w:rPr>
                <w:rFonts w:hint="eastAsia" w:ascii="宋体" w:hAnsi="宋体" w:eastAsia="宋体" w:cs="宋体"/>
                <w:b w:val="0"/>
                <w:color w:val="auto"/>
                <w:sz w:val="24"/>
                <w:szCs w:val="24"/>
                <w:highlight w:val="none"/>
                <w:lang w:eastAsia="zh-CN"/>
              </w:rPr>
              <w:t>照要</w:t>
            </w:r>
            <w:r>
              <w:rPr>
                <w:rFonts w:ascii="宋体" w:hAnsi="宋体" w:eastAsia="宋体" w:cs="宋体"/>
                <w:b w:val="0"/>
                <w:color w:val="auto"/>
                <w:sz w:val="24"/>
                <w:szCs w:val="24"/>
                <w:highlight w:val="none"/>
              </w:rPr>
              <w:t>求及时处置相关应急故障的，每项扣0.5分</w:t>
            </w:r>
          </w:p>
        </w:tc>
        <w:tc>
          <w:tcPr>
            <w:tcW w:w="0" w:type="auto"/>
            <w:shd w:val="clear" w:color="auto" w:fill="FFFFFF"/>
            <w:noWrap w:val="0"/>
            <w:vAlign w:val="center"/>
          </w:tcPr>
          <w:p w14:paraId="606128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22</w:t>
            </w:r>
          </w:p>
        </w:tc>
        <w:tc>
          <w:tcPr>
            <w:tcW w:w="0" w:type="auto"/>
            <w:shd w:val="clear" w:color="auto" w:fill="FFFFFF"/>
            <w:noWrap w:val="0"/>
            <w:vAlign w:val="center"/>
          </w:tcPr>
          <w:p w14:paraId="0A0E34E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p>
        </w:tc>
      </w:tr>
      <w:tr w14:paraId="618B1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0" w:type="auto"/>
            <w:shd w:val="clear" w:color="auto" w:fill="FFFFFF"/>
            <w:noWrap w:val="0"/>
            <w:vAlign w:val="center"/>
          </w:tcPr>
          <w:p w14:paraId="72B28A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6</w:t>
            </w:r>
          </w:p>
        </w:tc>
        <w:tc>
          <w:tcPr>
            <w:tcW w:w="1075" w:type="dxa"/>
            <w:shd w:val="clear" w:color="auto" w:fill="FFFFFF"/>
            <w:noWrap w:val="0"/>
            <w:vAlign w:val="center"/>
          </w:tcPr>
          <w:p w14:paraId="7DABDA2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其他方面工作</w:t>
            </w:r>
          </w:p>
        </w:tc>
        <w:tc>
          <w:tcPr>
            <w:tcW w:w="2850" w:type="dxa"/>
            <w:shd w:val="clear" w:color="auto" w:fill="FFFFFF"/>
            <w:noWrap w:val="0"/>
            <w:vAlign w:val="center"/>
          </w:tcPr>
          <w:p w14:paraId="727A059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积极协助市公安局做好“智能天网”汇聚层设备的巡查、监管和故障申报受理处置等方面工作</w:t>
            </w:r>
          </w:p>
        </w:tc>
        <w:tc>
          <w:tcPr>
            <w:tcW w:w="2854" w:type="dxa"/>
            <w:shd w:val="clear" w:color="auto" w:fill="FFFFFF"/>
            <w:noWrap w:val="0"/>
            <w:vAlign w:val="center"/>
          </w:tcPr>
          <w:p w14:paraId="393060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未及时响应市公安局要求做好相关工作的，每出现一起扣1分</w:t>
            </w:r>
          </w:p>
        </w:tc>
        <w:tc>
          <w:tcPr>
            <w:tcW w:w="0" w:type="auto"/>
            <w:shd w:val="clear" w:color="auto" w:fill="FFFFFF"/>
            <w:noWrap w:val="0"/>
            <w:vAlign w:val="center"/>
          </w:tcPr>
          <w:p w14:paraId="139E89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10</w:t>
            </w:r>
          </w:p>
        </w:tc>
        <w:tc>
          <w:tcPr>
            <w:tcW w:w="0" w:type="auto"/>
            <w:shd w:val="clear" w:color="auto" w:fill="FFFFFF"/>
            <w:noWrap w:val="0"/>
            <w:vAlign w:val="center"/>
          </w:tcPr>
          <w:p w14:paraId="326556B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p>
        </w:tc>
      </w:tr>
      <w:tr w14:paraId="52F6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0" w:type="auto"/>
            <w:gridSpan w:val="4"/>
            <w:shd w:val="clear" w:color="auto" w:fill="FFFFFF"/>
            <w:noWrap w:val="0"/>
            <w:vAlign w:val="center"/>
          </w:tcPr>
          <w:p w14:paraId="2847C6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合计</w:t>
            </w:r>
          </w:p>
        </w:tc>
        <w:tc>
          <w:tcPr>
            <w:tcW w:w="0" w:type="auto"/>
            <w:shd w:val="clear" w:color="auto" w:fill="FFFFFF"/>
            <w:noWrap w:val="0"/>
            <w:vAlign w:val="center"/>
          </w:tcPr>
          <w:p w14:paraId="2F753D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100</w:t>
            </w:r>
          </w:p>
        </w:tc>
        <w:tc>
          <w:tcPr>
            <w:tcW w:w="0" w:type="auto"/>
            <w:shd w:val="clear" w:color="auto" w:fill="FFFFFF"/>
            <w:noWrap w:val="0"/>
            <w:vAlign w:val="center"/>
          </w:tcPr>
          <w:p w14:paraId="0FA9BB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p>
        </w:tc>
      </w:tr>
    </w:tbl>
    <w:p w14:paraId="610EBAB6">
      <w:pPr>
        <w:keepNext w:val="0"/>
        <w:keepLines w:val="0"/>
        <w:pageBreakBefore w:val="0"/>
        <w:widowControl w:val="0"/>
        <w:kinsoku/>
        <w:wordWrap/>
        <w:overflowPunct/>
        <w:topLinePunct w:val="0"/>
        <w:autoSpaceDE/>
        <w:autoSpaceDN/>
        <w:bidi w:val="0"/>
        <w:adjustRightInd/>
        <w:snapToGrid/>
        <w:spacing w:line="377" w:lineRule="auto"/>
        <w:ind w:left="185" w:leftChars="88" w:right="113" w:firstLine="0" w:firstLineChars="0"/>
        <w:jc w:val="left"/>
        <w:textAlignment w:val="auto"/>
        <w:rPr>
          <w:rFonts w:hint="eastAsia" w:ascii="宋体" w:hAnsi="宋体" w:eastAsia="宋体" w:cs="宋体"/>
          <w:color w:val="auto"/>
          <w:spacing w:val="-1"/>
          <w:sz w:val="24"/>
          <w:szCs w:val="24"/>
          <w:highlight w:val="none"/>
        </w:rPr>
      </w:pPr>
    </w:p>
    <w:p w14:paraId="6BA7C603">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考核与服务费结算管理</w:t>
      </w:r>
    </w:p>
    <w:p w14:paraId="4E2D15C3">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考核组织与数据归集</w:t>
      </w:r>
    </w:p>
    <w:p w14:paraId="7FC836C5">
      <w:pPr>
        <w:keepNext w:val="0"/>
        <w:keepLines w:val="0"/>
        <w:pageBreakBefore w:val="0"/>
        <w:widowControl w:val="0"/>
        <w:kinsoku/>
        <w:wordWrap/>
        <w:overflowPunct/>
        <w:topLinePunct w:val="0"/>
        <w:autoSpaceDE/>
        <w:autoSpaceDN/>
        <w:bidi w:val="0"/>
        <w:adjustRightInd/>
        <w:snapToGrid/>
        <w:spacing w:line="360" w:lineRule="auto"/>
        <w:ind w:left="185" w:leftChars="88" w:right="113" w:firstLine="476" w:firstLineChars="200"/>
        <w:jc w:val="left"/>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考核主体：全市业务使用单位依据项目链路租赁、机房托管、前端监控点维护等分项服务标准，独立开展日常服务评价，</w:t>
      </w:r>
      <w:r>
        <w:rPr>
          <w:rFonts w:hint="eastAsia" w:ascii="宋体" w:hAnsi="宋体" w:eastAsia="宋体" w:cs="宋体"/>
          <w:color w:val="auto"/>
          <w:spacing w:val="-1"/>
          <w:sz w:val="24"/>
          <w:szCs w:val="24"/>
          <w:highlight w:val="none"/>
          <w:lang w:val="en-US" w:eastAsia="zh-CN"/>
        </w:rPr>
        <w:t>定期将</w:t>
      </w:r>
      <w:r>
        <w:rPr>
          <w:rFonts w:hint="eastAsia" w:ascii="宋体" w:hAnsi="宋体" w:eastAsia="宋体" w:cs="宋体"/>
          <w:color w:val="auto"/>
          <w:spacing w:val="-1"/>
          <w:sz w:val="24"/>
          <w:szCs w:val="24"/>
          <w:highlight w:val="none"/>
        </w:rPr>
        <w:t>出具考核打分表报送郴州市数据局。</w:t>
      </w:r>
    </w:p>
    <w:p w14:paraId="00A709D1">
      <w:pPr>
        <w:keepNext w:val="0"/>
        <w:keepLines w:val="0"/>
        <w:pageBreakBefore w:val="0"/>
        <w:widowControl w:val="0"/>
        <w:kinsoku/>
        <w:wordWrap/>
        <w:overflowPunct/>
        <w:topLinePunct w:val="0"/>
        <w:autoSpaceDE/>
        <w:autoSpaceDN/>
        <w:bidi w:val="0"/>
        <w:adjustRightInd/>
        <w:snapToGrid/>
        <w:spacing w:line="360" w:lineRule="auto"/>
        <w:ind w:left="185" w:leftChars="88" w:right="113" w:firstLine="476" w:firstLineChars="200"/>
        <w:jc w:val="left"/>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综合得分计算：市数据局汇总业务使用单位全年月度有效打分，</w:t>
      </w:r>
      <w:r>
        <w:rPr>
          <w:rFonts w:hint="eastAsia" w:ascii="宋体" w:hAnsi="宋体" w:eastAsia="宋体" w:cs="宋体"/>
          <w:color w:val="auto"/>
          <w:spacing w:val="-1"/>
          <w:sz w:val="24"/>
          <w:szCs w:val="24"/>
          <w:highlight w:val="none"/>
          <w:lang w:val="en-US" w:eastAsia="zh-CN"/>
        </w:rPr>
        <w:t>各</w:t>
      </w:r>
      <w:r>
        <w:rPr>
          <w:rFonts w:hint="eastAsia" w:ascii="宋体" w:hAnsi="宋体" w:eastAsia="宋体" w:cs="宋体"/>
          <w:color w:val="auto"/>
          <w:spacing w:val="-1"/>
          <w:sz w:val="24"/>
          <w:szCs w:val="24"/>
          <w:highlight w:val="none"/>
        </w:rPr>
        <w:t>业务使用单位</w:t>
      </w:r>
      <w:r>
        <w:rPr>
          <w:rFonts w:hint="eastAsia" w:ascii="宋体" w:hAnsi="宋体" w:eastAsia="宋体" w:cs="宋体"/>
          <w:color w:val="auto"/>
          <w:spacing w:val="-1"/>
          <w:sz w:val="24"/>
          <w:szCs w:val="24"/>
          <w:highlight w:val="none"/>
          <w:lang w:val="en-US" w:eastAsia="zh-CN"/>
        </w:rPr>
        <w:t>的权重一致，</w:t>
      </w:r>
      <w:r>
        <w:rPr>
          <w:rFonts w:hint="eastAsia" w:ascii="宋体" w:hAnsi="宋体" w:eastAsia="宋体" w:cs="宋体"/>
          <w:color w:val="auto"/>
          <w:spacing w:val="-1"/>
          <w:sz w:val="24"/>
          <w:szCs w:val="24"/>
          <w:highlight w:val="none"/>
        </w:rPr>
        <w:t>取平均分形成项目链路</w:t>
      </w:r>
      <w:r>
        <w:rPr>
          <w:rFonts w:hint="eastAsia" w:ascii="宋体" w:hAnsi="宋体" w:eastAsia="宋体" w:cs="宋体"/>
          <w:color w:val="auto"/>
          <w:spacing w:val="-1"/>
          <w:sz w:val="24"/>
          <w:szCs w:val="24"/>
          <w:highlight w:val="none"/>
          <w:lang w:val="en-US" w:eastAsia="zh-CN"/>
        </w:rPr>
        <w:t>租赁</w:t>
      </w:r>
      <w:r>
        <w:rPr>
          <w:rFonts w:hint="eastAsia" w:ascii="宋体" w:hAnsi="宋体" w:eastAsia="宋体" w:cs="宋体"/>
          <w:color w:val="auto"/>
          <w:spacing w:val="-1"/>
          <w:sz w:val="24"/>
          <w:szCs w:val="24"/>
          <w:highlight w:val="none"/>
        </w:rPr>
        <w:t>、机房托管</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前端监控点维护等分项的</w:t>
      </w:r>
      <w:r>
        <w:rPr>
          <w:rFonts w:hint="eastAsia" w:ascii="宋体" w:hAnsi="宋体" w:eastAsia="宋体" w:cs="宋体"/>
          <w:color w:val="auto"/>
          <w:spacing w:val="-1"/>
          <w:sz w:val="24"/>
          <w:szCs w:val="24"/>
          <w:highlight w:val="none"/>
        </w:rPr>
        <w:t>年度综合考核得分，作为</w:t>
      </w:r>
      <w:r>
        <w:rPr>
          <w:rFonts w:hint="eastAsia" w:ascii="宋体" w:hAnsi="宋体" w:eastAsia="宋体" w:cs="宋体"/>
          <w:color w:val="auto"/>
          <w:spacing w:val="-1"/>
          <w:sz w:val="24"/>
          <w:szCs w:val="24"/>
          <w:highlight w:val="none"/>
          <w:lang w:val="en-US" w:eastAsia="zh-CN"/>
        </w:rPr>
        <w:t>各分项的</w:t>
      </w:r>
      <w:r>
        <w:rPr>
          <w:rFonts w:hint="eastAsia" w:ascii="宋体" w:hAnsi="宋体" w:eastAsia="宋体" w:cs="宋体"/>
          <w:color w:val="auto"/>
          <w:spacing w:val="-1"/>
          <w:sz w:val="24"/>
          <w:szCs w:val="24"/>
          <w:highlight w:val="none"/>
        </w:rPr>
        <w:t>结算依据。</w:t>
      </w:r>
    </w:p>
    <w:p w14:paraId="6259654D">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结算原则</w:t>
      </w:r>
    </w:p>
    <w:p w14:paraId="42434FCF">
      <w:pPr>
        <w:keepNext w:val="0"/>
        <w:keepLines w:val="0"/>
        <w:pageBreakBefore w:val="0"/>
        <w:widowControl w:val="0"/>
        <w:kinsoku/>
        <w:wordWrap/>
        <w:overflowPunct/>
        <w:topLinePunct w:val="0"/>
        <w:autoSpaceDE/>
        <w:autoSpaceDN/>
        <w:bidi w:val="0"/>
        <w:adjustRightInd/>
        <w:snapToGrid/>
        <w:spacing w:line="377" w:lineRule="auto"/>
        <w:ind w:left="185" w:leftChars="88" w:right="113" w:firstLine="476" w:firstLineChars="200"/>
        <w:jc w:val="left"/>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项目服务费分两批结算：首期当年度结算，无考核扣分关联；</w:t>
      </w:r>
    </w:p>
    <w:p w14:paraId="76247071">
      <w:pPr>
        <w:keepNext w:val="0"/>
        <w:keepLines w:val="0"/>
        <w:pageBreakBefore w:val="0"/>
        <w:widowControl w:val="0"/>
        <w:kinsoku/>
        <w:wordWrap/>
        <w:overflowPunct/>
        <w:topLinePunct w:val="0"/>
        <w:autoSpaceDE/>
        <w:autoSpaceDN/>
        <w:bidi w:val="0"/>
        <w:adjustRightInd/>
        <w:snapToGrid/>
        <w:spacing w:line="377" w:lineRule="auto"/>
        <w:ind w:left="185" w:leftChars="88" w:right="113" w:firstLine="476" w:firstLineChars="200"/>
        <w:jc w:val="left"/>
        <w:textAlignment w:val="auto"/>
        <w:rPr>
          <w:rFonts w:hint="default" w:ascii="宋体" w:hAnsi="宋体" w:eastAsia="宋体" w:cs="宋体"/>
          <w:color w:val="auto"/>
          <w:spacing w:val="-1"/>
          <w:sz w:val="24"/>
          <w:szCs w:val="24"/>
          <w:highlight w:val="none"/>
          <w:lang w:val="en-US" w:eastAsia="zh-CN"/>
        </w:rPr>
      </w:pPr>
      <w:r>
        <w:rPr>
          <w:rFonts w:hint="eastAsia" w:ascii="宋体" w:hAnsi="宋体" w:eastAsia="宋体" w:cs="宋体"/>
          <w:color w:val="auto"/>
          <w:spacing w:val="-1"/>
          <w:sz w:val="24"/>
          <w:szCs w:val="24"/>
          <w:highlight w:val="none"/>
        </w:rPr>
        <w:t>尾款结算：服务期满出具年度综合得分后，结算剩余合同款项，结算比例严格按照年度综合得分</w:t>
      </w:r>
      <w:r>
        <w:rPr>
          <w:rFonts w:hint="eastAsia" w:ascii="宋体" w:hAnsi="宋体" w:eastAsia="宋体" w:cs="宋体"/>
          <w:color w:val="auto"/>
          <w:spacing w:val="-1"/>
          <w:sz w:val="24"/>
          <w:szCs w:val="24"/>
          <w:highlight w:val="none"/>
          <w:lang w:val="en-US" w:eastAsia="zh-CN"/>
        </w:rPr>
        <w:t>作为各分项的服务的考核系数</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计算过程大致如下，具体以合同为准。</w:t>
      </w:r>
    </w:p>
    <w:p w14:paraId="6F657848">
      <w:pPr>
        <w:keepNext w:val="0"/>
        <w:keepLines w:val="0"/>
        <w:pageBreakBefore w:val="0"/>
        <w:widowControl w:val="0"/>
        <w:kinsoku/>
        <w:wordWrap/>
        <w:overflowPunct/>
        <w:topLinePunct w:val="0"/>
        <w:autoSpaceDE/>
        <w:autoSpaceDN/>
        <w:bidi w:val="0"/>
        <w:adjustRightInd/>
        <w:snapToGrid/>
        <w:spacing w:line="360" w:lineRule="auto"/>
        <w:ind w:left="185" w:leftChars="88" w:right="113" w:firstLine="476" w:firstLineChars="200"/>
        <w:jc w:val="left"/>
        <w:textAlignment w:val="auto"/>
        <w:rPr>
          <w:rFonts w:hint="eastAsia" w:ascii="宋体" w:hAnsi="宋体" w:eastAsia="宋体" w:cs="宋体"/>
          <w:color w:val="auto"/>
          <w:spacing w:val="-1"/>
          <w:sz w:val="24"/>
          <w:szCs w:val="24"/>
          <w:highlight w:val="none"/>
          <w:lang w:val="en-US" w:eastAsia="zh-CN"/>
        </w:rPr>
      </w:pPr>
      <w:r>
        <w:rPr>
          <w:rFonts w:hint="eastAsia" w:ascii="宋体" w:hAnsi="宋体" w:eastAsia="宋体" w:cs="宋体"/>
          <w:color w:val="auto"/>
          <w:spacing w:val="-1"/>
          <w:sz w:val="24"/>
          <w:szCs w:val="24"/>
          <w:highlight w:val="none"/>
        </w:rPr>
        <w:t>∑ (各分项费用×相应考核系数)=网络线路租赁费用×该项运维考核系 数+“视频专网”机房托管服务×该项维保服务考核系数+“视频专网”前端摄像头维护费用×该项维保服务考核系数</w:t>
      </w:r>
      <w:r>
        <w:rPr>
          <w:rFonts w:hint="eastAsia" w:ascii="宋体" w:hAnsi="宋体" w:eastAsia="宋体" w:cs="宋体"/>
          <w:color w:val="auto"/>
          <w:spacing w:val="-1"/>
          <w:sz w:val="24"/>
          <w:szCs w:val="24"/>
          <w:highlight w:val="none"/>
          <w:lang w:val="en-US" w:eastAsia="zh-CN"/>
        </w:rPr>
        <w:t>+……</w:t>
      </w:r>
    </w:p>
    <w:p w14:paraId="02055327">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甲乙双方维保权责划分</w:t>
      </w:r>
    </w:p>
    <w:p w14:paraId="6E94C7F7">
      <w:pPr>
        <w:keepNext w:val="0"/>
        <w:keepLines w:val="0"/>
        <w:pageBreakBefore w:val="0"/>
        <w:widowControl w:val="0"/>
        <w:kinsoku/>
        <w:wordWrap/>
        <w:overflowPunct/>
        <w:topLinePunct w:val="0"/>
        <w:autoSpaceDE/>
        <w:autoSpaceDN/>
        <w:bidi w:val="0"/>
        <w:adjustRightInd/>
        <w:snapToGrid/>
        <w:spacing w:line="360" w:lineRule="auto"/>
        <w:ind w:left="185" w:leftChars="88" w:right="113" w:firstLine="714" w:firstLineChars="300"/>
        <w:jc w:val="left"/>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服务商全责范围：光缆链路、汇聚机房托管、前端监控立杆 / 摄像头 / 供电管线的巡检、维修、设备更换、杆件除锈防腐、管道修复、故障抢修、7×24 小时值守、重大活动驻场保障、全套运维台账整理，包含人工、高空作业车辆、全部配套辅材费用；年度免费限额外施工内容，凭甲乙双方签证单据实另行结算，不计入包干服务费。</w:t>
      </w:r>
    </w:p>
    <w:p w14:paraId="6B34FA2D">
      <w:pPr>
        <w:keepNext w:val="0"/>
        <w:keepLines w:val="0"/>
        <w:pageBreakBefore w:val="0"/>
        <w:widowControl w:val="0"/>
        <w:kinsoku/>
        <w:wordWrap/>
        <w:overflowPunct/>
        <w:topLinePunct w:val="0"/>
        <w:autoSpaceDE/>
        <w:autoSpaceDN/>
        <w:bidi w:val="0"/>
        <w:adjustRightInd/>
        <w:snapToGrid/>
        <w:spacing w:line="360" w:lineRule="auto"/>
        <w:ind w:left="185" w:leftChars="88" w:right="113" w:firstLine="476" w:firstLineChars="200"/>
        <w:jc w:val="left"/>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甲方（郴州市数据局 + 各使用单位）权责：提供业务需求清单、协调现场进场、开放机房通行权限、按期按考核结果支付对应服务款项，配合服务商完成点位现场核验。</w:t>
      </w:r>
    </w:p>
    <w:p w14:paraId="1668ACA3">
      <w:pPr>
        <w:keepNext w:val="0"/>
        <w:keepLines w:val="0"/>
        <w:pageBreakBefore w:val="0"/>
        <w:widowControl w:val="0"/>
        <w:kinsoku/>
        <w:wordWrap/>
        <w:overflowPunct/>
        <w:topLinePunct w:val="0"/>
        <w:autoSpaceDE/>
        <w:autoSpaceDN/>
        <w:bidi w:val="0"/>
        <w:adjustRightInd/>
        <w:snapToGrid/>
        <w:spacing w:line="360" w:lineRule="auto"/>
        <w:ind w:left="185" w:leftChars="88" w:right="113" w:firstLine="476" w:firstLineChars="200"/>
        <w:jc w:val="left"/>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权责边界：地震、洪水、第三方施工破坏、政府计划性管网改造等不可抗力 / 第三方责任造成设备、链路损毁，维修成本由甲乙双方另行协商分摊，不纳入常规维保包干服务范围。</w:t>
      </w:r>
    </w:p>
    <w:p w14:paraId="5DA922EA">
      <w:pPr>
        <w:keepNext/>
        <w:keepLines/>
        <w:widowControl/>
        <w:numPr>
          <w:ilvl w:val="1"/>
          <w:numId w:val="8"/>
        </w:numPr>
        <w:bidi w:val="0"/>
        <w:spacing w:before="50" w:beforeLines="50" w:after="50" w:afterLines="50" w:line="360" w:lineRule="auto"/>
        <w:ind w:left="851" w:leftChars="0" w:hanging="851" w:firstLineChars="0"/>
        <w:jc w:val="both"/>
        <w:outlineLvl w:val="1"/>
        <w:rPr>
          <w:rFonts w:hint="default" w:ascii="Times New Roman" w:hAnsi="Times New Roman" w:eastAsia="黑体" w:cs="宋体"/>
          <w:b/>
          <w:bCs/>
          <w:color w:val="auto"/>
          <w:kern w:val="2"/>
          <w:sz w:val="24"/>
          <w:szCs w:val="24"/>
          <w:highlight w:val="none"/>
          <w:lang w:val="en-US" w:eastAsia="zh-CN" w:bidi="ar-SA"/>
        </w:rPr>
      </w:pPr>
      <w:bookmarkStart w:id="199" w:name="_Toc2945"/>
      <w:r>
        <w:rPr>
          <w:rFonts w:hint="eastAsia" w:ascii="Times New Roman" w:hAnsi="Times New Roman" w:eastAsia="黑体" w:cs="宋体"/>
          <w:b/>
          <w:bCs/>
          <w:color w:val="auto"/>
          <w:kern w:val="2"/>
          <w:sz w:val="24"/>
          <w:szCs w:val="24"/>
          <w:highlight w:val="none"/>
          <w:lang w:val="en-US" w:eastAsia="zh-CN" w:bidi="ar-SA"/>
        </w:rPr>
        <w:t>重大活动期间驻场服务要求</w:t>
      </w:r>
      <w:bookmarkEnd w:id="199"/>
    </w:p>
    <w:p w14:paraId="0C14601F">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举办重大活动期间，为确保活动相关网络的稳定、高效运行，保障活动的顺利开展，需专业的网络服务团队提供驻场服务，对涉及的网络基础设施、信息系统等进行实时监控、维护与应急处理。</w:t>
      </w:r>
    </w:p>
    <w:p w14:paraId="08B8CD80">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zh-CN" w:eastAsia="zh-CN" w:bidi="ar-SA"/>
        </w:rPr>
        <w:t>驻场服务范围​</w:t>
      </w:r>
    </w:p>
    <w:p w14:paraId="215B2213">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rPr>
        <w:t>活动</w:t>
      </w:r>
      <w:r>
        <w:rPr>
          <w:rFonts w:hint="eastAsia" w:ascii="宋体" w:hAnsi="宋体" w:eastAsia="宋体" w:cs="宋体"/>
          <w:color w:val="auto"/>
          <w:spacing w:val="3"/>
          <w:sz w:val="24"/>
          <w:szCs w:val="24"/>
          <w:highlight w:val="none"/>
          <w:lang w:val="en-US" w:eastAsia="zh-CN"/>
        </w:rPr>
        <w:t>涉及本项目租赁的网络项目单位，市公安局、市城管局、市水利局、市应急管理局、市数据局等。</w:t>
      </w:r>
    </w:p>
    <w:p w14:paraId="53632A1A">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zh-CN" w:eastAsia="zh-CN" w:bidi="ar-SA"/>
        </w:rPr>
        <w:t>驻场服务时间​</w:t>
      </w:r>
    </w:p>
    <w:p w14:paraId="4B29F20E">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从活动前</w:t>
      </w:r>
      <w:r>
        <w:rPr>
          <w:rFonts w:hint="eastAsia" w:ascii="宋体" w:hAnsi="宋体" w:eastAsia="宋体" w:cs="宋体"/>
          <w:color w:val="auto"/>
          <w:spacing w:val="3"/>
          <w:sz w:val="24"/>
          <w:szCs w:val="24"/>
          <w:highlight w:val="none"/>
          <w:lang w:val="en-US" w:eastAsia="zh-CN"/>
        </w:rPr>
        <w:t>3</w:t>
      </w:r>
      <w:r>
        <w:rPr>
          <w:rFonts w:hint="eastAsia" w:ascii="宋体" w:hAnsi="宋体" w:eastAsia="宋体" w:cs="宋体"/>
          <w:color w:val="auto"/>
          <w:spacing w:val="3"/>
          <w:sz w:val="24"/>
          <w:szCs w:val="24"/>
          <w:highlight w:val="none"/>
        </w:rPr>
        <w:t>天开始至活动结束后</w:t>
      </w:r>
      <w:r>
        <w:rPr>
          <w:rFonts w:hint="eastAsia" w:ascii="宋体" w:hAnsi="宋体" w:eastAsia="宋体" w:cs="宋体"/>
          <w:color w:val="auto"/>
          <w:spacing w:val="3"/>
          <w:sz w:val="24"/>
          <w:szCs w:val="24"/>
          <w:highlight w:val="none"/>
          <w:lang w:val="en-US" w:eastAsia="zh-CN"/>
        </w:rPr>
        <w:t>2</w:t>
      </w:r>
      <w:r>
        <w:rPr>
          <w:rFonts w:hint="eastAsia" w:ascii="宋体" w:hAnsi="宋体" w:eastAsia="宋体" w:cs="宋体"/>
          <w:color w:val="auto"/>
          <w:spacing w:val="3"/>
          <w:sz w:val="24"/>
          <w:szCs w:val="24"/>
          <w:highlight w:val="none"/>
        </w:rPr>
        <w:t>天止，提供7×24小时不间断驻场服务。具体日期根据活动实际安排确定，以确保活动筹备、举办及收尾阶段网络的稳定运行。​</w:t>
      </w:r>
    </w:p>
    <w:p w14:paraId="612FD302">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驻场</w:t>
      </w:r>
      <w:r>
        <w:rPr>
          <w:rFonts w:hint="eastAsia" w:ascii="Arial" w:hAnsi="Arial" w:eastAsia="黑体" w:cs="宋体"/>
          <w:b/>
          <w:bCs/>
          <w:color w:val="auto"/>
          <w:kern w:val="2"/>
          <w:sz w:val="24"/>
          <w:szCs w:val="24"/>
          <w:highlight w:val="none"/>
          <w:lang w:val="zh-CN" w:eastAsia="zh-CN" w:bidi="ar-SA"/>
        </w:rPr>
        <w:t>人员要求​</w:t>
      </w:r>
    </w:p>
    <w:p w14:paraId="3CAD254B">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团队构成：组建不少于</w:t>
      </w:r>
      <w:r>
        <w:rPr>
          <w:rFonts w:hint="eastAsia" w:ascii="宋体" w:hAnsi="宋体" w:eastAsia="宋体" w:cs="宋体"/>
          <w:color w:val="auto"/>
          <w:spacing w:val="3"/>
          <w:sz w:val="24"/>
          <w:szCs w:val="24"/>
          <w:highlight w:val="none"/>
          <w:lang w:val="en-US" w:eastAsia="zh-CN"/>
        </w:rPr>
        <w:t>3</w:t>
      </w:r>
      <w:r>
        <w:rPr>
          <w:rFonts w:hint="eastAsia" w:ascii="宋体" w:hAnsi="宋体" w:eastAsia="宋体" w:cs="宋体"/>
          <w:color w:val="auto"/>
          <w:spacing w:val="3"/>
          <w:sz w:val="24"/>
          <w:szCs w:val="24"/>
          <w:highlight w:val="none"/>
        </w:rPr>
        <w:t>人的专业驻场服务团队，团队成员应涵盖网络工程师、系统工程师、安全工程师等不同专业领域，且具备丰富的网络保障经验。资质要求：​</w:t>
      </w:r>
    </w:p>
    <w:p w14:paraId="4B4522A2">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（1）网络工程师：具有政务视频专网运维经验，精通 PON、裸光纤、10G OTN 链路调试，熟悉三层交换机、OLT 设备配置，有市级天网或市级“雪亮工程”或市级视频专网保障案例并提供佐证材料；</w:t>
      </w:r>
    </w:p>
    <w:p w14:paraId="77F38AE0">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（2）系统工程师：熟练掌握视频存储服务器 VCN、磁盘阵列、机房 UPS、精密空调日常运维、故障排查；</w:t>
      </w:r>
    </w:p>
    <w:p w14:paraId="2B574ADB">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（3）安全专员：熟悉视频专网边界隔离、终端准入</w:t>
      </w:r>
      <w:r>
        <w:rPr>
          <w:rFonts w:hint="eastAsia" w:ascii="宋体" w:hAnsi="宋体" w:eastAsia="宋体" w:cs="宋体"/>
          <w:color w:val="auto"/>
          <w:spacing w:val="3"/>
          <w:sz w:val="24"/>
          <w:szCs w:val="24"/>
          <w:highlight w:val="none"/>
          <w:lang w:eastAsia="zh-CN"/>
        </w:rPr>
        <w:t>等</w:t>
      </w:r>
      <w:r>
        <w:rPr>
          <w:rFonts w:hint="eastAsia" w:ascii="宋体" w:hAnsi="宋体" w:eastAsia="宋体" w:cs="宋体"/>
          <w:color w:val="auto"/>
          <w:spacing w:val="3"/>
          <w:sz w:val="24"/>
          <w:szCs w:val="24"/>
          <w:highlight w:val="none"/>
        </w:rPr>
        <w:t>保基础防护，可处置 DDOS、越权访问、终端非法接入类安全告警；</w:t>
      </w:r>
    </w:p>
    <w:p w14:paraId="36F15B1E">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技术服务要求​</w:t>
      </w:r>
    </w:p>
    <w:p w14:paraId="6E9A8284">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网络监测</w:t>
      </w:r>
    </w:p>
    <w:p w14:paraId="53F1A0F2">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利用专业的网络监测工具，对活动相关网络的流量、带宽、延迟、丢包率等关键指标进行实时监测，每15分钟生成一次监测报告。​</w:t>
      </w:r>
    </w:p>
    <w:p w14:paraId="6C2AF98F">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建立网络拓扑实时可视化系统，直观展示网络架构及设备运行状态，便于快速定位网络故障点。​</w:t>
      </w:r>
    </w:p>
    <w:p w14:paraId="760AFF2A">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故障处理</w:t>
      </w:r>
    </w:p>
    <w:p w14:paraId="582D0D60">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对于网络故障，要求在10分钟内响应，30分钟内初步判断故障原因，并采取有效措施进行处理。对于重大网络故障，需在1小时内恢复关键业务网络的运行。​</w:t>
      </w:r>
    </w:p>
    <w:p w14:paraId="10C92271">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建立完善的故障处理流程和知识库，对每次故障处理过程进行详细记录，便于后续分析总结，提高故障处理效率。​</w:t>
      </w:r>
    </w:p>
    <w:p w14:paraId="56FD05CD">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安全防护​</w:t>
      </w:r>
    </w:p>
    <w:p w14:paraId="427E6CD4">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在活动前对相关网络进行全面的安全评估，包括漏洞扫描、渗透测试等，及时发现并修复安全隐患。​</w:t>
      </w:r>
    </w:p>
    <w:p w14:paraId="4A7FCB30">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活动期间，实时监测网络安全事件，对各类攻击行为进行及时阻断，并进行溯源分析。确保活动期间不发生因网络安全问题导致的活动中断或信息</w:t>
      </w:r>
      <w:r>
        <w:rPr>
          <w:rFonts w:hint="eastAsia" w:ascii="宋体" w:hAnsi="宋体" w:eastAsia="宋体" w:cs="宋体"/>
          <w:color w:val="auto"/>
          <w:spacing w:val="3"/>
          <w:sz w:val="24"/>
          <w:szCs w:val="24"/>
          <w:highlight w:val="none"/>
          <w:lang w:eastAsia="zh-CN"/>
        </w:rPr>
        <w:t>泄漏</w:t>
      </w:r>
      <w:r>
        <w:rPr>
          <w:rFonts w:hint="eastAsia" w:ascii="宋体" w:hAnsi="宋体" w:eastAsia="宋体" w:cs="宋体"/>
          <w:color w:val="auto"/>
          <w:spacing w:val="3"/>
          <w:sz w:val="24"/>
          <w:szCs w:val="24"/>
          <w:highlight w:val="none"/>
        </w:rPr>
        <w:t>事件。​</w:t>
      </w:r>
    </w:p>
    <w:p w14:paraId="1B585047">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定期更新安全设备的病毒库、特征库等，提升安全防护能力。​</w:t>
      </w:r>
    </w:p>
    <w:p w14:paraId="2A31A2DE">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系统优化</w:t>
      </w:r>
    </w:p>
    <w:p w14:paraId="34259816">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根据网络监测数据和实际业务需求，对网络及相关系统进行优化调整，如调整网络设备配置、优化服务器性能参数、合理分配网络带宽等，确保网络和系统能够满足活动期间的高并发业务需求。​</w:t>
      </w:r>
    </w:p>
    <w:p w14:paraId="37081E65">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在活动筹备阶段，对活动涉及的关键业务系统进行压力测试，根据测试结果提出优化建议并实施，保障系统在活动期间的稳定性和响应速度。​</w:t>
      </w:r>
    </w:p>
    <w:p w14:paraId="18B421D9">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设备及工具要求​</w:t>
      </w:r>
    </w:p>
    <w:p w14:paraId="05BE6BCC">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必备设备：驻场服务团队需自行配备必要的网络测试设备、安全检测工具及备用网络设备，包括但不限于：​</w:t>
      </w:r>
    </w:p>
    <w:p w14:paraId="2677CE75">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网络测试仪，用于检测网络线缆的连通性、性能指标等。​</w:t>
      </w:r>
    </w:p>
    <w:p w14:paraId="77AAB6E0">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便携式无线测试仪，可对无线网络信号强度、质量等进行现场测试。​</w:t>
      </w:r>
    </w:p>
    <w:p w14:paraId="24215806">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漏洞扫描设备，定期对网络进行安全漏洞扫描。</w:t>
      </w:r>
    </w:p>
    <w:p w14:paraId="54701057">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至少2台备用交换机、2台备用路由器及若干备用AP，以便在网络设备出现故障时能够及时进行替换，保障网络的不间断运行。​</w:t>
      </w:r>
    </w:p>
    <w:p w14:paraId="3BB49ECA">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工具软件：具备专业的网络管理软件、系统运维工具及安全防护软件，如：​网络管理软件（如华为iManagerN2000），用于对网络设备进行集中管理和监控。​</w:t>
      </w:r>
    </w:p>
    <w:p w14:paraId="25A6250D">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服务器运维工具（如SolarWindsServer&amp;ApplicationMonitor），可实时监测服务器的性能、运行状态等。​</w:t>
      </w:r>
    </w:p>
    <w:p w14:paraId="5CD7DA26">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杀毒软件（如卡巴斯基企业版）、防火墙软件（如天融信防火墙）等安全防护软件，确保网络和系统的安全。</w:t>
      </w:r>
    </w:p>
    <w:p w14:paraId="45DD5CA5">
      <w:pPr>
        <w:keepNext/>
        <w:keepLines/>
        <w:widowControl/>
        <w:numPr>
          <w:ilvl w:val="1"/>
          <w:numId w:val="8"/>
        </w:numPr>
        <w:bidi w:val="0"/>
        <w:spacing w:before="50" w:beforeLines="50" w:after="50" w:afterLines="50" w:line="360" w:lineRule="auto"/>
        <w:ind w:left="851" w:leftChars="0" w:hanging="851" w:firstLineChars="0"/>
        <w:jc w:val="both"/>
        <w:outlineLvl w:val="1"/>
        <w:rPr>
          <w:rFonts w:ascii="Times New Roman" w:hAnsi="Times New Roman" w:eastAsia="黑体" w:cs="宋体"/>
          <w:b/>
          <w:bCs/>
          <w:color w:val="auto"/>
          <w:kern w:val="2"/>
          <w:sz w:val="24"/>
          <w:szCs w:val="24"/>
          <w:highlight w:val="none"/>
          <w:lang w:val="zh-CN" w:eastAsia="zh-CN" w:bidi="ar-SA"/>
        </w:rPr>
      </w:pPr>
      <w:bookmarkStart w:id="200" w:name="bookmark65"/>
      <w:bookmarkEnd w:id="200"/>
      <w:bookmarkStart w:id="201" w:name="_Toc25695"/>
      <w:r>
        <w:rPr>
          <w:rFonts w:ascii="Times New Roman" w:hAnsi="Times New Roman" w:eastAsia="黑体" w:cs="宋体"/>
          <w:b/>
          <w:bCs/>
          <w:color w:val="auto"/>
          <w:kern w:val="2"/>
          <w:sz w:val="24"/>
          <w:szCs w:val="24"/>
          <w:highlight w:val="none"/>
          <w:lang w:val="zh-CN" w:eastAsia="zh-CN" w:bidi="ar-SA"/>
        </w:rPr>
        <w:t>网络接入安全</w:t>
      </w:r>
      <w:bookmarkEnd w:id="201"/>
    </w:p>
    <w:p w14:paraId="047A735A">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本项目为视频专网的租赁服务项目，不包含网络安全建设内容，但承建单位应按安全规范要求配合建设单位进行系统和网络安全建设并具备技术支持能力，在建设单位有信息安全技术支撑需求的情况下，有能力提供网络安全、系统安全、数据安全以及终端安全的支撑能力。</w:t>
      </w:r>
    </w:p>
    <w:p w14:paraId="0F2477B9">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202" w:name="bookmark66"/>
      <w:bookmarkEnd w:id="202"/>
      <w:r>
        <w:rPr>
          <w:rFonts w:ascii="Arial" w:hAnsi="Arial" w:eastAsia="黑体" w:cs="宋体"/>
          <w:b/>
          <w:bCs/>
          <w:color w:val="auto"/>
          <w:kern w:val="2"/>
          <w:sz w:val="24"/>
          <w:szCs w:val="24"/>
          <w:highlight w:val="none"/>
          <w:lang w:val="zh-CN" w:eastAsia="zh-CN" w:bidi="ar-SA"/>
        </w:rPr>
        <w:t>安全管理</w:t>
      </w:r>
    </w:p>
    <w:p w14:paraId="238F33F4">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本期郴州市视频专网建设必须符合国家相关法律法规、标准要求。郴州市视频专网与各部门视频传输网按照国家、行业相关安全管理规定进行连接，郴州市视频专网与各单位视频网络、电子政务外网实现安全隔离。各使用单位监控业务使用郴州市视频专网作为网络通道时，相关业务部门应向郴州市视频专网管理部门提交入网申请并完成相关登记，业务应用的安全由相关业务部门负责。</w:t>
      </w:r>
    </w:p>
    <w:p w14:paraId="6229D731">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203" w:name="bookmark67"/>
      <w:bookmarkEnd w:id="203"/>
      <w:r>
        <w:rPr>
          <w:rFonts w:ascii="Arial" w:hAnsi="Arial" w:eastAsia="黑体" w:cs="宋体"/>
          <w:b/>
          <w:bCs/>
          <w:color w:val="auto"/>
          <w:kern w:val="2"/>
          <w:sz w:val="24"/>
          <w:szCs w:val="24"/>
          <w:highlight w:val="none"/>
          <w:lang w:val="zh-CN" w:eastAsia="zh-CN" w:bidi="ar-SA"/>
        </w:rPr>
        <w:t>公安网接入安全</w:t>
      </w:r>
    </w:p>
    <w:p w14:paraId="5C11BAAC">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郴州市视频专网与公安网络之间的边界接入平台，应按照公安部《公安信息通信网边界接入平台安全规范（试行）——视频接入部分》（公信通</w:t>
      </w:r>
      <w:r>
        <w:rPr>
          <w:rFonts w:hint="eastAsia" w:ascii="宋体" w:hAnsi="宋体" w:eastAsia="宋体" w:cs="宋体"/>
          <w:color w:val="auto"/>
          <w:spacing w:val="3"/>
          <w:sz w:val="24"/>
          <w:szCs w:val="24"/>
          <w:highlight w:val="none"/>
          <w:lang w:eastAsia="zh-CN"/>
        </w:rPr>
        <w:t>〔2011〕5号</w:t>
      </w:r>
      <w:r>
        <w:rPr>
          <w:rFonts w:ascii="宋体" w:hAnsi="宋体" w:eastAsia="宋体" w:cs="宋体"/>
          <w:color w:val="auto"/>
          <w:spacing w:val="3"/>
          <w:sz w:val="24"/>
          <w:szCs w:val="24"/>
          <w:highlight w:val="none"/>
        </w:rPr>
        <w:t>）规范要求建设。</w:t>
      </w:r>
    </w:p>
    <w:p w14:paraId="5EE9827D">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204" w:name="bookmark68"/>
      <w:bookmarkEnd w:id="204"/>
      <w:r>
        <w:rPr>
          <w:rFonts w:ascii="Arial" w:hAnsi="Arial" w:eastAsia="黑体" w:cs="宋体"/>
          <w:b/>
          <w:bCs/>
          <w:color w:val="auto"/>
          <w:kern w:val="2"/>
          <w:sz w:val="24"/>
          <w:szCs w:val="24"/>
          <w:highlight w:val="none"/>
          <w:lang w:val="zh-CN" w:eastAsia="zh-CN" w:bidi="ar-SA"/>
        </w:rPr>
        <w:t>边界交互安全</w:t>
      </w:r>
    </w:p>
    <w:p w14:paraId="3B13E401">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1.视频资源接入链路</w:t>
      </w:r>
    </w:p>
    <w:p w14:paraId="0FF5BEC6">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在郴州市视频专网与各单位视频网络之间，应建设视频资源接入链路。该链路应支持视频流单向传输和视频控制信令双向传输，能够实现郴州市视频专网对各单位视频资源的单向调用。在安全防护的基础上，满足收集社会面视频资源的需求。</w:t>
      </w:r>
    </w:p>
    <w:p w14:paraId="06A68DB1">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2.向电子政务外网共享视频资源链路</w:t>
      </w:r>
    </w:p>
    <w:p w14:paraId="74CBF272">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在郴州市视频专网与电子政务外网之间，应</w:t>
      </w:r>
      <w:r>
        <w:rPr>
          <w:rFonts w:hint="eastAsia" w:ascii="宋体" w:hAnsi="宋体" w:eastAsia="宋体" w:cs="宋体"/>
          <w:color w:val="auto"/>
          <w:spacing w:val="3"/>
          <w:sz w:val="24"/>
          <w:szCs w:val="24"/>
          <w:highlight w:val="none"/>
          <w:lang w:eastAsia="zh-CN"/>
        </w:rPr>
        <w:t>建设</w:t>
      </w:r>
      <w:r>
        <w:rPr>
          <w:rFonts w:ascii="宋体" w:hAnsi="宋体" w:eastAsia="宋体" w:cs="宋体"/>
          <w:color w:val="auto"/>
          <w:spacing w:val="3"/>
          <w:sz w:val="24"/>
          <w:szCs w:val="24"/>
          <w:highlight w:val="none"/>
        </w:rPr>
        <w:t>共享视频资源链路。该链路仅支持郴州市视频专网将授权视频流单向推送至电子政务外网系统，各需求方通过访问系统实现对授权视频资源的查看，满足日常工作需求。</w:t>
      </w:r>
    </w:p>
    <w:p w14:paraId="24879F78">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205" w:name="bookmark69"/>
      <w:bookmarkEnd w:id="205"/>
      <w:r>
        <w:rPr>
          <w:rFonts w:ascii="Arial" w:hAnsi="Arial" w:eastAsia="黑体" w:cs="宋体"/>
          <w:b/>
          <w:bCs/>
          <w:color w:val="auto"/>
          <w:kern w:val="2"/>
          <w:sz w:val="24"/>
          <w:szCs w:val="24"/>
          <w:highlight w:val="none"/>
          <w:lang w:val="zh-CN" w:eastAsia="zh-CN" w:bidi="ar-SA"/>
        </w:rPr>
        <w:t>终端接入安全</w:t>
      </w:r>
    </w:p>
    <w:p w14:paraId="77DD54E5">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在视频专网中，应建设接入认证系统实现基于用户名和密码的身份认证，且满足支持用户名与接入终端的MAC地址、IP地址、VLAN、接入设备端口号等信息进行绑定的方式，来保证接入安全。</w:t>
      </w:r>
    </w:p>
    <w:p w14:paraId="15E25B31">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应遵循《全国公安机关图像信息联网总体技术方案》有关要求，</w:t>
      </w:r>
      <w:r>
        <w:rPr>
          <w:rFonts w:hint="eastAsia" w:ascii="宋体" w:hAnsi="宋体" w:eastAsia="宋体" w:cs="宋体"/>
          <w:color w:val="auto"/>
          <w:spacing w:val="3"/>
          <w:sz w:val="24"/>
          <w:szCs w:val="24"/>
          <w:highlight w:val="none"/>
          <w:lang w:eastAsia="zh-CN"/>
        </w:rPr>
        <w:t>对</w:t>
      </w:r>
      <w:r>
        <w:rPr>
          <w:rFonts w:ascii="宋体" w:hAnsi="宋体" w:eastAsia="宋体" w:cs="宋体"/>
          <w:color w:val="auto"/>
          <w:spacing w:val="3"/>
          <w:sz w:val="24"/>
          <w:szCs w:val="24"/>
          <w:highlight w:val="none"/>
        </w:rPr>
        <w:t>IP地址的划分遵循如下原则：</w:t>
      </w:r>
    </w:p>
    <w:p w14:paraId="12147C97">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1.唯一性：一个IP网络中不能有两个设备采用相同的IP地址。</w:t>
      </w:r>
    </w:p>
    <w:p w14:paraId="0BC21883">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2.简单性：地址分配应简单、易于管理，降低网络扩展的复杂性。</w:t>
      </w:r>
    </w:p>
    <w:p w14:paraId="43089EFF">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3.连续性：为每个单位划分一段连续的子网，连续地址在层次结构网络中易于进行路由总结，缩减路由表，提高路由算法的效率。</w:t>
      </w:r>
    </w:p>
    <w:p w14:paraId="605270B1">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4.可扩展性：地址分配在每一层次上都要留有余量，在网络规模扩展时能保证地址总结所需的连续性。</w:t>
      </w:r>
    </w:p>
    <w:p w14:paraId="4126ED89">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5.灵活性：地址分配应具有灵活性，可借助可变长子网掩码技术，以满足多种路由策略的优化，充分利用地址空间。</w:t>
      </w:r>
    </w:p>
    <w:p w14:paraId="5B6CD01D">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6.层次性：按照连续比特分割法，以一定层次和规则，将整个地址空间划分为大小不同、用途各异的规范化IP地址块空间。IP地址的划分应恪守CIDR标准，以有利于IP路由的聚集。</w:t>
      </w:r>
    </w:p>
    <w:p w14:paraId="2C26E1BF">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206" w:name="bookmark70"/>
      <w:bookmarkEnd w:id="206"/>
      <w:r>
        <w:rPr>
          <w:rFonts w:ascii="Arial" w:hAnsi="Arial" w:eastAsia="黑体" w:cs="宋体"/>
          <w:b/>
          <w:bCs/>
          <w:color w:val="auto"/>
          <w:kern w:val="2"/>
          <w:sz w:val="24"/>
          <w:szCs w:val="24"/>
          <w:highlight w:val="none"/>
          <w:lang w:val="zh-CN" w:eastAsia="zh-CN" w:bidi="ar-SA"/>
        </w:rPr>
        <w:t>安全保证技术</w:t>
      </w:r>
    </w:p>
    <w:p w14:paraId="26A4E96C">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带宽保证数据传输安全</w:t>
      </w:r>
    </w:p>
    <w:p w14:paraId="7D45EC70">
      <w:pPr>
        <w:keepNext w:val="0"/>
        <w:keepLines w:val="0"/>
        <w:pageBreakBefore w:val="0"/>
        <w:widowControl w:val="0"/>
        <w:kinsoku/>
        <w:wordWrap/>
        <w:overflowPunct/>
        <w:topLinePunct w:val="0"/>
        <w:autoSpaceDE/>
        <w:autoSpaceDN/>
        <w:bidi w:val="0"/>
        <w:adjustRightInd/>
        <w:snapToGrid/>
        <w:spacing w:line="382" w:lineRule="auto"/>
        <w:ind w:left="0" w:firstLine="472" w:firstLineChars="200"/>
        <w:jc w:val="both"/>
        <w:textAlignment w:val="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采用基于IP的分组传送网，运用分组传送技术，由标签交换生成弹性分组</w:t>
      </w:r>
      <w:r>
        <w:rPr>
          <w:rFonts w:ascii="宋体" w:hAnsi="宋体" w:eastAsia="宋体" w:cs="宋体"/>
          <w:color w:val="auto"/>
          <w:spacing w:val="-1"/>
          <w:sz w:val="24"/>
          <w:szCs w:val="24"/>
          <w:highlight w:val="none"/>
        </w:rPr>
        <w:t>管道LSP，当满业务的时候，通过精细的QoS划分和调度，保证高</w:t>
      </w:r>
      <w:r>
        <w:rPr>
          <w:rFonts w:ascii="宋体" w:hAnsi="宋体" w:eastAsia="宋体" w:cs="宋体"/>
          <w:color w:val="auto"/>
          <w:spacing w:val="-2"/>
          <w:sz w:val="24"/>
          <w:szCs w:val="24"/>
          <w:highlight w:val="none"/>
        </w:rPr>
        <w:t>质量的业务</w:t>
      </w:r>
      <w:r>
        <w:rPr>
          <w:rFonts w:ascii="宋体" w:hAnsi="宋体" w:eastAsia="宋体" w:cs="宋体"/>
          <w:color w:val="auto"/>
          <w:spacing w:val="3"/>
          <w:sz w:val="24"/>
          <w:szCs w:val="24"/>
          <w:highlight w:val="none"/>
        </w:rPr>
        <w:t>带宽需求优先得到满足。在业务空闲的时候，带宽可灵活地释放和实现共享，</w:t>
      </w:r>
      <w:r>
        <w:rPr>
          <w:rFonts w:ascii="宋体" w:hAnsi="宋体" w:eastAsia="宋体" w:cs="宋体"/>
          <w:color w:val="auto"/>
          <w:spacing w:val="-1"/>
          <w:sz w:val="24"/>
          <w:szCs w:val="24"/>
          <w:highlight w:val="none"/>
        </w:rPr>
        <w:t>极大提升网络效率，有效降低承载网的建设投资成本。</w:t>
      </w:r>
    </w:p>
    <w:p w14:paraId="367F38E2">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网络策略安全</w:t>
      </w:r>
    </w:p>
    <w:p w14:paraId="17911FD7">
      <w:pPr>
        <w:keepNext w:val="0"/>
        <w:keepLines w:val="0"/>
        <w:pageBreakBefore w:val="0"/>
        <w:widowControl w:val="0"/>
        <w:kinsoku/>
        <w:wordWrap/>
        <w:overflowPunct/>
        <w:topLinePunct w:val="0"/>
        <w:autoSpaceDE/>
        <w:autoSpaceDN/>
        <w:bidi w:val="0"/>
        <w:adjustRightInd/>
        <w:snapToGrid/>
        <w:spacing w:line="382" w:lineRule="auto"/>
        <w:ind w:lef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利用各种底层传输通道（如SDH/Eth</w:t>
      </w:r>
      <w:r>
        <w:rPr>
          <w:rFonts w:ascii="宋体" w:hAnsi="宋体" w:eastAsia="宋体" w:cs="宋体"/>
          <w:color w:val="auto"/>
          <w:spacing w:val="-4"/>
          <w:sz w:val="24"/>
          <w:szCs w:val="24"/>
          <w:highlight w:val="none"/>
        </w:rPr>
        <w:t>ernet/OTN</w:t>
      </w:r>
      <w:r>
        <w:rPr>
          <w:rFonts w:ascii="宋体" w:hAnsi="宋体" w:eastAsia="宋体" w:cs="宋体"/>
          <w:color w:val="auto"/>
          <w:spacing w:val="-42"/>
          <w:sz w:val="24"/>
          <w:szCs w:val="24"/>
          <w:highlight w:val="none"/>
        </w:rPr>
        <w:t>），</w:t>
      </w:r>
      <w:r>
        <w:rPr>
          <w:rFonts w:ascii="宋体" w:hAnsi="宋体" w:eastAsia="宋体" w:cs="宋体"/>
          <w:color w:val="auto"/>
          <w:spacing w:val="-4"/>
          <w:sz w:val="24"/>
          <w:szCs w:val="24"/>
          <w:highlight w:val="none"/>
        </w:rPr>
        <w:t>具有完善的OAM机制，</w:t>
      </w:r>
      <w:r>
        <w:rPr>
          <w:rFonts w:ascii="宋体" w:hAnsi="宋体" w:eastAsia="宋体" w:cs="宋体"/>
          <w:color w:val="auto"/>
          <w:spacing w:val="3"/>
          <w:sz w:val="24"/>
          <w:szCs w:val="24"/>
          <w:highlight w:val="none"/>
        </w:rPr>
        <w:t>精确的故障定位和严格的业务隔离功能，最大限度地管理和利用光纤资源，保</w:t>
      </w:r>
      <w:r>
        <w:rPr>
          <w:rFonts w:ascii="宋体" w:hAnsi="宋体" w:eastAsia="宋体" w:cs="宋体"/>
          <w:color w:val="auto"/>
          <w:spacing w:val="-2"/>
          <w:sz w:val="24"/>
          <w:szCs w:val="24"/>
          <w:highlight w:val="none"/>
        </w:rPr>
        <w:t>证业务安全性，在结合GMPLS后，实现资源的自动配置及网状网的高生存性。</w:t>
      </w:r>
      <w:r>
        <w:rPr>
          <w:rFonts w:ascii="宋体" w:hAnsi="宋体" w:eastAsia="宋体" w:cs="宋体"/>
          <w:color w:val="auto"/>
          <w:spacing w:val="3"/>
          <w:sz w:val="24"/>
          <w:szCs w:val="24"/>
          <w:highlight w:val="none"/>
        </w:rPr>
        <w:t>通过配置双路由，避免因链路故障导致电路全阻的风险，确保郴州市视频专网线路的稳定性和安全性。从网络安全方面考虑，郴州市视频专网在安全实施部</w:t>
      </w:r>
      <w:r>
        <w:rPr>
          <w:rFonts w:ascii="宋体" w:hAnsi="宋体" w:eastAsia="宋体" w:cs="宋体"/>
          <w:color w:val="auto"/>
          <w:spacing w:val="-1"/>
          <w:sz w:val="24"/>
          <w:szCs w:val="24"/>
          <w:highlight w:val="none"/>
        </w:rPr>
        <w:t>署过程</w:t>
      </w:r>
      <w:r>
        <w:rPr>
          <w:rFonts w:ascii="宋体" w:hAnsi="宋体" w:eastAsia="宋体" w:cs="宋体"/>
          <w:color w:val="auto"/>
          <w:spacing w:val="3"/>
          <w:sz w:val="24"/>
          <w:szCs w:val="24"/>
          <w:highlight w:val="none"/>
        </w:rPr>
        <w:t>中需要满足如下要求：</w:t>
      </w:r>
    </w:p>
    <w:p w14:paraId="259A0D79">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1.专网专用；</w:t>
      </w:r>
    </w:p>
    <w:p w14:paraId="2C1E6EA4">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2.采用VLAN隔离，各成员单位接入终端相互隔离；</w:t>
      </w:r>
    </w:p>
    <w:p w14:paraId="73858B70">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3.接入终端控制，ARP绑定</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前端IP和MAC地址绑定；</w:t>
      </w:r>
    </w:p>
    <w:p w14:paraId="0B9B6A61">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4.配置带宽远高于需求，路由自动迂回，设备冗余。</w:t>
      </w:r>
    </w:p>
    <w:p w14:paraId="09FECDAC">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管理安全</w:t>
      </w:r>
    </w:p>
    <w:p w14:paraId="237E2B80">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1.用户自管理性支持</w:t>
      </w:r>
    </w:p>
    <w:p w14:paraId="7A144D62">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作为底层传输网络，为郴州市视频专网提供的是一种完全透明化的信息通道，自主利用租用的带宽资源建立内部网络，并建立网管系统，保持对网络进行管理和监控。</w:t>
      </w:r>
    </w:p>
    <w:p w14:paraId="1ED6F42B">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2.接入设备统一网管</w:t>
      </w:r>
    </w:p>
    <w:p w14:paraId="579AC53F">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对郴州市视频专网采用的传输设备实施全程网管监控，并在网管系统上能够对所有设备进行7*24小时不间断的监控、故障派单和故障处理等。</w:t>
      </w:r>
    </w:p>
    <w:p w14:paraId="680D1CB9">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3.网络管理</w:t>
      </w:r>
    </w:p>
    <w:p w14:paraId="1B128E40">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供应商</w:t>
      </w:r>
      <w:r>
        <w:rPr>
          <w:rFonts w:ascii="宋体" w:hAnsi="宋体" w:eastAsia="宋体" w:cs="宋体"/>
          <w:color w:val="auto"/>
          <w:spacing w:val="3"/>
          <w:sz w:val="24"/>
          <w:szCs w:val="24"/>
          <w:highlight w:val="none"/>
        </w:rPr>
        <w:t>需从网络监控管理、应急操作管理和日常维护管理三个方面进行管理：</w:t>
      </w:r>
    </w:p>
    <w:p w14:paraId="1162996D">
      <w:pPr>
        <w:keepNext w:val="0"/>
        <w:keepLines w:val="0"/>
        <w:pageBreakBefore w:val="0"/>
        <w:widowControl w:val="0"/>
        <w:kinsoku/>
        <w:wordWrap/>
        <w:overflowPunct/>
        <w:topLinePunct w:val="0"/>
        <w:autoSpaceDE/>
        <w:autoSpaceDN/>
        <w:bidi w:val="0"/>
        <w:adjustRightInd/>
        <w:snapToGrid/>
        <w:spacing w:line="382" w:lineRule="auto"/>
        <w:ind w:left="0" w:firstLine="436"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11"/>
          <w:sz w:val="24"/>
          <w:szCs w:val="24"/>
          <w:highlight w:val="none"/>
        </w:rPr>
        <w:t>（</w:t>
      </w:r>
      <w:r>
        <w:rPr>
          <w:rFonts w:ascii="宋体" w:hAnsi="宋体" w:eastAsia="宋体" w:cs="宋体"/>
          <w:color w:val="auto"/>
          <w:spacing w:val="3"/>
          <w:sz w:val="24"/>
          <w:szCs w:val="24"/>
          <w:highlight w:val="none"/>
        </w:rPr>
        <w:t>1）日常管理</w:t>
      </w:r>
    </w:p>
    <w:p w14:paraId="5741B0F5">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日常管理主要包括故障诊断、配置和设备操作等内容，指导网络运维人员的日常维护管理工作。</w:t>
      </w:r>
    </w:p>
    <w:p w14:paraId="60F0D773">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（2）网络监控管理</w:t>
      </w:r>
    </w:p>
    <w:p w14:paraId="4A380647">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网络监控主要是通过网管系统实现对网络设备管理、服务器管理、机房管理、数据库管理、中间件管理等各种软硬件设备的一体化监控，统一进行信息采集和事件监控。</w:t>
      </w:r>
    </w:p>
    <w:p w14:paraId="3972C2F2">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（3）操作管理</w:t>
      </w:r>
    </w:p>
    <w:p w14:paraId="6BACD1FA">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操作管理主要是通过固定的操作流程，通过对故障设备进行主备切换、旁路和脱网隔离等方式，快速恢复网络系统的连通性。</w:t>
      </w:r>
    </w:p>
    <w:p w14:paraId="56B4CD3F">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设备配置安全保证</w:t>
      </w:r>
    </w:p>
    <w:p w14:paraId="0C24CC37">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1.设备稳定性</w:t>
      </w:r>
    </w:p>
    <w:p w14:paraId="348C178C">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所有传输设备按照电信级高可靠性要求配置，实现电源模块、交叉单元、业务模块、输出端口模块的1+1保护，业务端口的1：n保护以及线路侧的1：1保护。所有设备的输出端口均有n：1备份，当主端口出现故障的时候能够快速</w:t>
      </w:r>
      <w:r>
        <w:rPr>
          <w:rFonts w:hint="eastAsia" w:ascii="宋体" w:hAnsi="宋体" w:eastAsia="宋体" w:cs="宋体"/>
          <w:color w:val="auto"/>
          <w:spacing w:val="3"/>
          <w:sz w:val="24"/>
          <w:szCs w:val="24"/>
          <w:highlight w:val="none"/>
          <w:lang w:eastAsia="zh-CN"/>
        </w:rPr>
        <w:t>地</w:t>
      </w:r>
      <w:r>
        <w:rPr>
          <w:rFonts w:ascii="宋体" w:hAnsi="宋体" w:eastAsia="宋体" w:cs="宋体"/>
          <w:color w:val="auto"/>
          <w:spacing w:val="3"/>
          <w:sz w:val="24"/>
          <w:szCs w:val="24"/>
          <w:highlight w:val="none"/>
        </w:rPr>
        <w:t>切换到备份端口中去，保障线路稳定。</w:t>
      </w:r>
    </w:p>
    <w:p w14:paraId="02148351">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2.设备扩展性</w:t>
      </w:r>
    </w:p>
    <w:p w14:paraId="25B39D45">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传输设备的容量和所配置业务板卡满足业务传输需求，当业务需要扩展时，可以通过增加扩展板卡的方式实现设备的平滑升级。</w:t>
      </w:r>
    </w:p>
    <w:p w14:paraId="34F3075A">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中心机房网络设计安全</w:t>
      </w:r>
    </w:p>
    <w:p w14:paraId="6F183ECD">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郴州市视频专网的中心节点拟设在郴州市公安局中心机房。在机房部署2台核心交换机、1台汇聚交换机，满足郴州市视频专网对高带宽、高稳定性、高安全性和高可扩展性的需求。重要线路通过双路由光纤接入后，由传输设备提供GE等类型接口，实现核心层与汇聚层设备连接。</w:t>
      </w:r>
    </w:p>
    <w:p w14:paraId="0AB1476D">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由于郴州市公安局中心机房节点在整个视频网中处于核心地位，为保证系统可靠性，避免网络的单点故障，通往郴州市公安局中心机房的链路，提供</w:t>
      </w:r>
      <w:r>
        <w:rPr>
          <w:rFonts w:hint="eastAsia" w:ascii="宋体" w:hAnsi="宋体" w:eastAsia="宋体" w:cs="宋体"/>
          <w:color w:val="auto"/>
          <w:spacing w:val="3"/>
          <w:sz w:val="24"/>
          <w:szCs w:val="24"/>
          <w:highlight w:val="none"/>
          <w:lang w:eastAsia="zh-CN"/>
        </w:rPr>
        <w:t>接入端</w:t>
      </w:r>
      <w:r>
        <w:rPr>
          <w:rFonts w:ascii="宋体" w:hAnsi="宋体" w:eastAsia="宋体" w:cs="宋体"/>
          <w:color w:val="auto"/>
          <w:spacing w:val="3"/>
          <w:sz w:val="24"/>
          <w:szCs w:val="24"/>
          <w:highlight w:val="none"/>
        </w:rPr>
        <w:t>路由保护和冗余设备保护。主要灾备措施和自愈保护能力包括下列内容：</w:t>
      </w:r>
    </w:p>
    <w:p w14:paraId="5BF06636">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在郴州市公安局中心机房，市区汇聚机房采用两条不同物理路由的光缆接入公安核心交换机；9县汇聚机房采用两条不同物理路由的光缆接入郴州市公安局中心机房汇聚交换机后再采用两条不同物理路由的光缆接入公安核心交换机；新建设的汇聚交换机汇聚收敛市直单位视频监控和11区县政府视频上行双路由</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采用两条不同物理路由的光缆接入新增视频专网核心交换机；公安核心交换机采用两条不同物理路由的光缆接入视频专网核心交换机；视频专网核心交换机采用两条不同物理路由的光缆接入电子政务外网。组成一个具有高安全性和可靠性的传输接入自愈环，即依据光缆物理路由，组成环形网络，根据传输环固有的“自愈”特性，可以保证在一点发生物理损坏时另一环路</w:t>
      </w:r>
      <w:r>
        <w:rPr>
          <w:rFonts w:hint="eastAsia" w:ascii="宋体" w:hAnsi="宋体" w:eastAsia="宋体" w:cs="宋体"/>
          <w:color w:val="auto"/>
          <w:spacing w:val="3"/>
          <w:sz w:val="24"/>
          <w:szCs w:val="24"/>
          <w:highlight w:val="none"/>
          <w:lang w:eastAsia="zh-CN"/>
        </w:rPr>
        <w:t>有效地</w:t>
      </w:r>
      <w:r>
        <w:rPr>
          <w:rFonts w:ascii="宋体" w:hAnsi="宋体" w:eastAsia="宋体" w:cs="宋体"/>
          <w:color w:val="auto"/>
          <w:spacing w:val="3"/>
          <w:sz w:val="24"/>
          <w:szCs w:val="24"/>
          <w:highlight w:val="none"/>
        </w:rPr>
        <w:t>传输数据，而且是自动倒换，无须人工干预，倒换时间小于50ms。</w:t>
      </w:r>
    </w:p>
    <w:p w14:paraId="2FC7C48A">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本期新增设备完全按照电信级高可靠性要求配置，实现电源模块、光接口板、时钟板、交叉单元、业务模块、输出端口模块的1+1保护，接入板（EMS或EFS）“n+1”冷备份，业务端口的1：n保护以及线路侧的1</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1保护，即在设备板卡发生故障时自动倒换到备份板卡上，时间小于3ms。设备根据需要输出多个1GE等接口接入到视频监控点的路由器/交换机上。</w:t>
      </w:r>
    </w:p>
    <w:p w14:paraId="55ACAAFC">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传输设备的输出端口</w:t>
      </w:r>
      <w:r>
        <w:rPr>
          <w:rFonts w:hint="eastAsia" w:ascii="宋体" w:hAnsi="宋体" w:eastAsia="宋体" w:cs="宋体"/>
          <w:color w:val="auto"/>
          <w:spacing w:val="3"/>
          <w:sz w:val="24"/>
          <w:szCs w:val="24"/>
          <w:highlight w:val="none"/>
          <w:lang w:eastAsia="zh-CN"/>
        </w:rPr>
        <w:t>提供</w:t>
      </w:r>
      <w:r>
        <w:rPr>
          <w:rFonts w:ascii="宋体" w:hAnsi="宋体" w:eastAsia="宋体" w:cs="宋体"/>
          <w:color w:val="auto"/>
          <w:spacing w:val="3"/>
          <w:sz w:val="24"/>
          <w:szCs w:val="24"/>
          <w:highlight w:val="none"/>
        </w:rPr>
        <w:t>备份功能。当主端口出现故障的时候能够快速</w:t>
      </w:r>
      <w:r>
        <w:rPr>
          <w:rFonts w:hint="eastAsia" w:ascii="宋体" w:hAnsi="宋体" w:eastAsia="宋体" w:cs="宋体"/>
          <w:color w:val="auto"/>
          <w:spacing w:val="3"/>
          <w:sz w:val="24"/>
          <w:szCs w:val="24"/>
          <w:highlight w:val="none"/>
          <w:lang w:eastAsia="zh-CN"/>
        </w:rPr>
        <w:t>地</w:t>
      </w:r>
      <w:r>
        <w:rPr>
          <w:rFonts w:ascii="宋体" w:hAnsi="宋体" w:eastAsia="宋体" w:cs="宋体"/>
          <w:color w:val="auto"/>
          <w:spacing w:val="3"/>
          <w:sz w:val="24"/>
          <w:szCs w:val="24"/>
          <w:highlight w:val="none"/>
        </w:rPr>
        <w:t>切换到备份端口中去，从而保障郴州市视频专网线路的稳定性。</w:t>
      </w:r>
    </w:p>
    <w:p w14:paraId="615E9FC5">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各视频监控点网络设计安全</w:t>
      </w:r>
    </w:p>
    <w:p w14:paraId="345ACFBB">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在本次传输线路建设中，各视频监控点通过传输接入设备提供合适的接口汇聚</w:t>
      </w:r>
      <w:r>
        <w:rPr>
          <w:rFonts w:hint="eastAsia" w:ascii="宋体" w:hAnsi="宋体" w:eastAsia="宋体" w:cs="宋体"/>
          <w:color w:val="auto"/>
          <w:spacing w:val="3"/>
          <w:sz w:val="24"/>
          <w:szCs w:val="24"/>
          <w:highlight w:val="none"/>
          <w:lang w:eastAsia="zh-CN"/>
        </w:rPr>
        <w:t>接入</w:t>
      </w:r>
      <w:r>
        <w:rPr>
          <w:rFonts w:ascii="宋体" w:hAnsi="宋体" w:eastAsia="宋体" w:cs="宋体"/>
          <w:color w:val="auto"/>
          <w:spacing w:val="3"/>
          <w:sz w:val="24"/>
          <w:szCs w:val="24"/>
          <w:highlight w:val="none"/>
        </w:rPr>
        <w:t>郴州市公安局中心机房。视频</w:t>
      </w:r>
      <w:r>
        <w:rPr>
          <w:rFonts w:hint="eastAsia" w:ascii="宋体" w:hAnsi="宋体" w:eastAsia="宋体" w:cs="宋体"/>
          <w:color w:val="auto"/>
          <w:spacing w:val="3"/>
          <w:sz w:val="24"/>
          <w:szCs w:val="24"/>
          <w:highlight w:val="none"/>
          <w:lang w:eastAsia="zh-CN"/>
        </w:rPr>
        <w:t>监控</w:t>
      </w:r>
      <w:r>
        <w:rPr>
          <w:rFonts w:ascii="宋体" w:hAnsi="宋体" w:eastAsia="宋体" w:cs="宋体"/>
          <w:color w:val="auto"/>
          <w:spacing w:val="3"/>
          <w:sz w:val="24"/>
          <w:szCs w:val="24"/>
          <w:highlight w:val="none"/>
        </w:rPr>
        <w:t>设备根据业务发展需要进行扩容升级</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具有良好的网管功能。视频监控点的接入示意图如下图所示：</w:t>
      </w:r>
    </w:p>
    <w:p w14:paraId="358A00BF">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center"/>
        <w:textAlignment w:val="auto"/>
        <w:rPr>
          <w:rFonts w:ascii="宋体" w:hAnsi="宋体" w:eastAsia="宋体" w:cs="宋体"/>
          <w:color w:val="auto"/>
          <w:position w:val="-154"/>
          <w:sz w:val="24"/>
          <w:szCs w:val="24"/>
          <w:highlight w:val="none"/>
        </w:rPr>
      </w:pPr>
      <w:r>
        <w:rPr>
          <w:rFonts w:ascii="宋体" w:hAnsi="宋体" w:eastAsia="宋体" w:cs="宋体"/>
          <w:color w:val="auto"/>
          <w:position w:val="-154"/>
          <w:sz w:val="24"/>
          <w:szCs w:val="24"/>
          <w:highlight w:val="none"/>
        </w:rPr>
        <w:drawing>
          <wp:inline distT="0" distB="0" distL="114300" distR="114300">
            <wp:extent cx="1903095" cy="2885440"/>
            <wp:effectExtent l="0" t="0" r="1905" b="10160"/>
            <wp:docPr id="51" name="图片 24"/>
            <wp:cNvGraphicFramePr/>
            <a:graphic xmlns:a="http://schemas.openxmlformats.org/drawingml/2006/main">
              <a:graphicData uri="http://schemas.openxmlformats.org/drawingml/2006/picture">
                <pic:pic xmlns:pic="http://schemas.openxmlformats.org/drawingml/2006/picture">
                  <pic:nvPicPr>
                    <pic:cNvPr id="51" name="图片 24"/>
                    <pic:cNvPicPr/>
                  </pic:nvPicPr>
                  <pic:blipFill>
                    <a:blip r:embed="rId30"/>
                    <a:stretch>
                      <a:fillRect/>
                    </a:stretch>
                  </pic:blipFill>
                  <pic:spPr>
                    <a:xfrm>
                      <a:off x="0" y="0"/>
                      <a:ext cx="1903095" cy="2885440"/>
                    </a:xfrm>
                    <a:prstGeom prst="rect">
                      <a:avLst/>
                    </a:prstGeom>
                    <a:noFill/>
                    <a:ln>
                      <a:noFill/>
                    </a:ln>
                  </pic:spPr>
                </pic:pic>
              </a:graphicData>
            </a:graphic>
          </wp:inline>
        </w:drawing>
      </w:r>
    </w:p>
    <w:p w14:paraId="5DD5C26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color w:val="auto"/>
          <w:position w:val="-154"/>
          <w:sz w:val="24"/>
          <w:szCs w:val="24"/>
          <w:highlight w:val="none"/>
        </w:rPr>
        <w:sectPr>
          <w:headerReference r:id="rId8" w:type="default"/>
          <w:footerReference r:id="rId9" w:type="default"/>
          <w:pgSz w:w="11906" w:h="16839"/>
          <w:pgMar w:top="1440" w:right="1800" w:bottom="1440" w:left="1800" w:header="825" w:footer="965" w:gutter="0"/>
          <w:pgNumType w:fmt="numberInDash"/>
          <w:cols w:space="720" w:num="1"/>
        </w:sectPr>
      </w:pPr>
      <w:r>
        <w:rPr>
          <w:rFonts w:ascii="宋体" w:hAnsi="宋体" w:eastAsia="宋体" w:cs="宋体"/>
          <w:color w:val="auto"/>
          <w:spacing w:val="-6"/>
          <w:position w:val="1"/>
          <w:sz w:val="24"/>
          <w:szCs w:val="24"/>
          <w:highlight w:val="none"/>
        </w:rPr>
        <w:t>图13视频监控点接入示意图</w:t>
      </w:r>
    </w:p>
    <w:p w14:paraId="300F84CB">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全光网技术安全</w:t>
      </w:r>
    </w:p>
    <w:p w14:paraId="7EC7CBAD">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采用全光网方式实现各监控点节点网络进行建设，通过以下优点保证安全：</w:t>
      </w:r>
    </w:p>
    <w:p w14:paraId="104FC46C">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1.全程全网，实现光纤接入</w:t>
      </w:r>
    </w:p>
    <w:p w14:paraId="4EFEF4EF">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本次通信网</w:t>
      </w:r>
      <w:r>
        <w:rPr>
          <w:rFonts w:hint="eastAsia" w:ascii="宋体" w:hAnsi="宋体" w:eastAsia="宋体" w:cs="宋体"/>
          <w:color w:val="auto"/>
          <w:spacing w:val="3"/>
          <w:sz w:val="24"/>
          <w:szCs w:val="24"/>
          <w:highlight w:val="none"/>
          <w:lang w:eastAsia="zh-CN"/>
        </w:rPr>
        <w:t>络</w:t>
      </w:r>
      <w:r>
        <w:rPr>
          <w:rFonts w:ascii="宋体" w:hAnsi="宋体" w:eastAsia="宋体" w:cs="宋体"/>
          <w:color w:val="auto"/>
          <w:spacing w:val="3"/>
          <w:sz w:val="24"/>
          <w:szCs w:val="24"/>
          <w:highlight w:val="none"/>
        </w:rPr>
        <w:t>改造方案采用了业界最先进的“全光网络”技术，为郴州市视频专网组网提供“全光网络”解决方案，从技术角度分析，具有保密性好、带宽得到保证、升级灵活、抗干扰能力强、信号传输质量好等特点，可以保证专用网络对安全性、可靠性和技术先进性等方面的要求。</w:t>
      </w:r>
    </w:p>
    <w:p w14:paraId="045D2084">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2.全程全网采用统一网络技术，实现统一网络管理和备品备件管理</w:t>
      </w:r>
    </w:p>
    <w:p w14:paraId="05EABDC8">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提供的专线业务从网络的核心层到接入层，采用统一的技术体制和技术标准，针对郴州市视频专网组网的业务需求，提供统一的接入设备。这样可以有</w:t>
      </w:r>
      <w:r>
        <w:rPr>
          <w:rFonts w:hint="eastAsia" w:ascii="宋体" w:hAnsi="宋体" w:eastAsia="宋体" w:cs="宋体"/>
          <w:color w:val="auto"/>
          <w:spacing w:val="3"/>
          <w:sz w:val="24"/>
          <w:szCs w:val="24"/>
          <w:highlight w:val="none"/>
        </w:rPr>
        <w:t>效保证网络的服务质量、可管理性和可维护性。</w:t>
      </w:r>
    </w:p>
    <w:p w14:paraId="537B4DEE">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3.良好的可扩展性和可升级性</w:t>
      </w:r>
    </w:p>
    <w:p w14:paraId="2F5854F5">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提供的专线业务解决了传统专线接入的瓶颈问题。线路接入可以根据各单位需求提供传输带宽，其灵活的扩展性能能够更快更有效地满足郴州市视频专网各单位监控所需的短期和长期的业务发展需要。本次设计方案的接入设备配置和用户设备配置在中心节点和一级节点均预留了一定的扩展空间，完全可以配合郴州市视频专网发展的要求，实现平滑升级。</w:t>
      </w:r>
    </w:p>
    <w:p w14:paraId="33F05869">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4.成熟稳定的技术，提供高品质的专线服务</w:t>
      </w:r>
    </w:p>
    <w:p w14:paraId="337C6D9E">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成熟的传输技术目前广泛应用于各行各业中，运营商的传输电路已经为众多的金融等重要行业客户提供了优质的服务，其稳定性、可靠性得到了实践检验。</w:t>
      </w:r>
    </w:p>
    <w:p w14:paraId="593D4BDC">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5.灵活的组网方式和自愈功能</w:t>
      </w:r>
    </w:p>
    <w:p w14:paraId="1175F0D0">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提供的专线业务组网灵活多样，可根据实际情况提供环形、星型、链型、树型等多种组网方式，且环形网具有自愈功能，即利用其本身的自愈环合能力达到链路纠错，同时又利用路由协议防止链路故障造成的网络停顿，提高网络的稳定性。骨干网、本地网和城域网都采用环网的连接方式，一旦一侧的线路发生中断，设备都可在小于50ms的时间对业务进行自动倒换，使客户端感觉不到业务的中断。</w:t>
      </w:r>
    </w:p>
    <w:p w14:paraId="4264E239">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线路性能指标要求</w:t>
      </w:r>
    </w:p>
    <w:p w14:paraId="7EE7198F">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lang w:val="en-US" w:eastAsia="zh-CN"/>
        </w:rPr>
      </w:pPr>
      <w:r>
        <w:rPr>
          <w:rFonts w:ascii="宋体" w:hAnsi="宋体" w:eastAsia="宋体" w:cs="宋体"/>
          <w:color w:val="auto"/>
          <w:spacing w:val="3"/>
          <w:sz w:val="24"/>
          <w:szCs w:val="24"/>
          <w:highlight w:val="none"/>
        </w:rPr>
        <w:t>线路性能指标</w:t>
      </w:r>
      <w:r>
        <w:rPr>
          <w:rFonts w:hint="eastAsia" w:ascii="宋体" w:hAnsi="宋体" w:eastAsia="宋体" w:cs="宋体"/>
          <w:color w:val="auto"/>
          <w:spacing w:val="3"/>
          <w:sz w:val="24"/>
          <w:szCs w:val="24"/>
          <w:highlight w:val="none"/>
          <w:lang w:val="en-US" w:eastAsia="zh-CN"/>
        </w:rPr>
        <w:t>如下：</w:t>
      </w:r>
    </w:p>
    <w:p w14:paraId="5CF61DEF">
      <w:pPr>
        <w:spacing w:line="81" w:lineRule="exact"/>
        <w:ind w:firstLine="480" w:firstLineChars="200"/>
        <w:rPr>
          <w:rFonts w:ascii="宋体" w:hAnsi="宋体" w:eastAsia="宋体" w:cs="宋体"/>
          <w:color w:val="auto"/>
          <w:sz w:val="24"/>
          <w:szCs w:val="24"/>
          <w:highlight w:val="none"/>
        </w:rPr>
      </w:pPr>
    </w:p>
    <w:tbl>
      <w:tblPr>
        <w:tblStyle w:val="4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52"/>
        <w:gridCol w:w="3737"/>
        <w:gridCol w:w="3371"/>
      </w:tblGrid>
      <w:tr w14:paraId="307FE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9B3D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性能指标</w:t>
            </w:r>
          </w:p>
        </w:tc>
        <w:tc>
          <w:tcPr>
            <w:tcW w:w="20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AC8D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本项目链路指标标准</w:t>
            </w:r>
          </w:p>
        </w:tc>
        <w:tc>
          <w:tcPr>
            <w:tcW w:w="1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3755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监测方式</w:t>
            </w:r>
          </w:p>
        </w:tc>
      </w:tr>
      <w:tr w14:paraId="12994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DB5C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端到端单向时延</w:t>
            </w:r>
          </w:p>
        </w:tc>
        <w:tc>
          <w:tcPr>
            <w:tcW w:w="20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AE8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≤15ms（全域所有链路，含核心、汇聚、接入）</w:t>
            </w:r>
          </w:p>
        </w:tc>
        <w:tc>
          <w:tcPr>
            <w:tcW w:w="1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DD21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7×24 小时实时采样，5 分钟粒度统计</w:t>
            </w:r>
          </w:p>
        </w:tc>
      </w:tr>
      <w:tr w14:paraId="354A6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51F1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时延抖动</w:t>
            </w:r>
          </w:p>
        </w:tc>
        <w:tc>
          <w:tcPr>
            <w:tcW w:w="20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2BA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≤50ms（</w:t>
            </w:r>
          </w:p>
        </w:tc>
        <w:tc>
          <w:tcPr>
            <w:tcW w:w="1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3B27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视频业务满载场景持续监测</w:t>
            </w:r>
          </w:p>
        </w:tc>
      </w:tr>
      <w:tr w14:paraId="4641F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0C3A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端到端丢包率</w:t>
            </w:r>
          </w:p>
        </w:tc>
        <w:tc>
          <w:tcPr>
            <w:tcW w:w="20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6DC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841F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峰值满负载连续 15分钟采样</w:t>
            </w:r>
          </w:p>
        </w:tc>
      </w:tr>
      <w:tr w14:paraId="76978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CD88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链路年度可用在线率</w:t>
            </w:r>
          </w:p>
        </w:tc>
        <w:tc>
          <w:tcPr>
            <w:tcW w:w="20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64F5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≥99.9%</w:t>
            </w:r>
          </w:p>
        </w:tc>
        <w:tc>
          <w:tcPr>
            <w:tcW w:w="1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9CC6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按月累计中断时长</w:t>
            </w:r>
          </w:p>
        </w:tc>
      </w:tr>
      <w:tr w14:paraId="7CBFC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C96F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裸光纤光衰减</w:t>
            </w:r>
          </w:p>
        </w:tc>
        <w:tc>
          <w:tcPr>
            <w:tcW w:w="20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CA8A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≤0.35dB/km</w:t>
            </w:r>
          </w:p>
        </w:tc>
        <w:tc>
          <w:tcPr>
            <w:tcW w:w="1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9657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每月全段光功率测试，衰减超标更换光缆</w:t>
            </w:r>
          </w:p>
        </w:tc>
      </w:tr>
    </w:tbl>
    <w:p w14:paraId="7F754EB2">
      <w:pPr>
        <w:spacing w:line="245" w:lineRule="auto"/>
        <w:ind w:firstLine="480" w:firstLineChars="200"/>
        <w:rPr>
          <w:rFonts w:ascii="宋体" w:hAnsi="宋体" w:eastAsia="宋体" w:cs="宋体"/>
          <w:color w:val="auto"/>
          <w:sz w:val="24"/>
          <w:szCs w:val="24"/>
          <w:highlight w:val="none"/>
        </w:rPr>
      </w:pPr>
    </w:p>
    <w:p w14:paraId="2CC585EA">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lang w:val="en-US" w:eastAsia="zh-CN"/>
        </w:rPr>
      </w:pPr>
      <w:r>
        <w:rPr>
          <w:rFonts w:ascii="宋体" w:hAnsi="宋体" w:eastAsia="宋体" w:cs="宋体"/>
          <w:color w:val="auto"/>
          <w:spacing w:val="3"/>
          <w:sz w:val="24"/>
          <w:szCs w:val="24"/>
          <w:highlight w:val="none"/>
        </w:rPr>
        <w:t>带宽速率指标</w:t>
      </w:r>
      <w:r>
        <w:rPr>
          <w:rFonts w:hint="eastAsia" w:ascii="宋体" w:hAnsi="宋体" w:eastAsia="宋体" w:cs="宋体"/>
          <w:color w:val="auto"/>
          <w:spacing w:val="3"/>
          <w:sz w:val="24"/>
          <w:szCs w:val="24"/>
          <w:highlight w:val="none"/>
          <w:lang w:val="en-US" w:eastAsia="zh-CN"/>
        </w:rPr>
        <w:t>如下：</w:t>
      </w:r>
    </w:p>
    <w:tbl>
      <w:tblPr>
        <w:tblStyle w:val="246"/>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334"/>
        <w:gridCol w:w="5514"/>
      </w:tblGrid>
      <w:tr w14:paraId="6C1DC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1884" w:type="pct"/>
            <w:shd w:val="clear" w:color="auto" w:fill="A5A5A5"/>
            <w:noWrap w:val="0"/>
            <w:vAlign w:val="top"/>
          </w:tcPr>
          <w:p w14:paraId="0D131A16">
            <w:pPr>
              <w:widowControl w:val="0"/>
              <w:spacing w:before="93" w:line="219"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b/>
                <w:bCs/>
                <w:color w:val="auto"/>
                <w:spacing w:val="-11"/>
                <w:sz w:val="24"/>
                <w:szCs w:val="24"/>
                <w:highlight w:val="none"/>
                <w:lang w:val="en-US" w:eastAsia="zh-CN" w:bidi="ar-SA"/>
              </w:rPr>
              <w:t>带宽</w:t>
            </w:r>
          </w:p>
        </w:tc>
        <w:tc>
          <w:tcPr>
            <w:tcW w:w="3115" w:type="pct"/>
            <w:shd w:val="clear" w:color="auto" w:fill="A5A5A5"/>
            <w:noWrap w:val="0"/>
            <w:vAlign w:val="top"/>
          </w:tcPr>
          <w:p w14:paraId="2110EE02">
            <w:pPr>
              <w:widowControl w:val="0"/>
              <w:spacing w:before="93" w:line="219"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b/>
                <w:bCs/>
                <w:color w:val="auto"/>
                <w:spacing w:val="-5"/>
                <w:sz w:val="24"/>
                <w:szCs w:val="24"/>
                <w:highlight w:val="none"/>
                <w:lang w:val="en-US" w:eastAsia="zh-CN" w:bidi="ar-SA"/>
              </w:rPr>
              <w:t>链路速率</w:t>
            </w:r>
          </w:p>
        </w:tc>
      </w:tr>
      <w:tr w14:paraId="042109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884" w:type="pct"/>
            <w:noWrap w:val="0"/>
            <w:vAlign w:val="top"/>
          </w:tcPr>
          <w:p w14:paraId="3F344D1D">
            <w:pPr>
              <w:widowControl w:val="0"/>
              <w:spacing w:before="87"/>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10"/>
                <w:sz w:val="24"/>
                <w:szCs w:val="24"/>
                <w:highlight w:val="none"/>
                <w:lang w:val="en-US" w:eastAsia="zh-CN" w:bidi="ar-SA"/>
              </w:rPr>
              <w:t>10M</w:t>
            </w:r>
          </w:p>
        </w:tc>
        <w:tc>
          <w:tcPr>
            <w:tcW w:w="3115" w:type="pct"/>
            <w:noWrap w:val="0"/>
            <w:vAlign w:val="top"/>
          </w:tcPr>
          <w:p w14:paraId="2F5F2CE5">
            <w:pPr>
              <w:widowControl w:val="0"/>
              <w:spacing w:before="88" w:line="224"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4"/>
                <w:sz w:val="24"/>
                <w:szCs w:val="24"/>
                <w:highlight w:val="none"/>
                <w:lang w:val="en-US" w:eastAsia="zh-CN" w:bidi="ar-SA"/>
              </w:rPr>
              <w:t>1.25MB/S</w:t>
            </w:r>
          </w:p>
        </w:tc>
      </w:tr>
      <w:tr w14:paraId="654C1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884" w:type="pct"/>
            <w:noWrap w:val="0"/>
            <w:vAlign w:val="top"/>
          </w:tcPr>
          <w:p w14:paraId="08784A2D">
            <w:pPr>
              <w:widowControl w:val="0"/>
              <w:spacing w:before="87"/>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5"/>
                <w:sz w:val="24"/>
                <w:szCs w:val="24"/>
                <w:highlight w:val="none"/>
                <w:lang w:val="en-US" w:eastAsia="zh-CN" w:bidi="ar-SA"/>
              </w:rPr>
              <w:t>20M</w:t>
            </w:r>
          </w:p>
        </w:tc>
        <w:tc>
          <w:tcPr>
            <w:tcW w:w="3115" w:type="pct"/>
            <w:noWrap w:val="0"/>
            <w:vAlign w:val="top"/>
          </w:tcPr>
          <w:p w14:paraId="428D3B53">
            <w:pPr>
              <w:widowControl w:val="0"/>
              <w:spacing w:before="88" w:line="224"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2"/>
                <w:sz w:val="24"/>
                <w:szCs w:val="24"/>
                <w:highlight w:val="none"/>
                <w:lang w:val="en-US" w:eastAsia="zh-CN" w:bidi="ar-SA"/>
              </w:rPr>
              <w:t>2.5MB/S</w:t>
            </w:r>
          </w:p>
        </w:tc>
      </w:tr>
      <w:tr w14:paraId="1CFFD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884" w:type="pct"/>
            <w:noWrap w:val="0"/>
            <w:vAlign w:val="top"/>
          </w:tcPr>
          <w:p w14:paraId="07102E21">
            <w:pPr>
              <w:widowControl w:val="0"/>
              <w:spacing w:before="88"/>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5"/>
                <w:sz w:val="24"/>
                <w:szCs w:val="24"/>
                <w:highlight w:val="none"/>
                <w:lang w:val="en-US" w:eastAsia="zh-CN" w:bidi="ar-SA"/>
              </w:rPr>
              <w:t>50M</w:t>
            </w:r>
          </w:p>
        </w:tc>
        <w:tc>
          <w:tcPr>
            <w:tcW w:w="3115" w:type="pct"/>
            <w:noWrap w:val="0"/>
            <w:vAlign w:val="top"/>
          </w:tcPr>
          <w:p w14:paraId="77BB9615">
            <w:pPr>
              <w:widowControl w:val="0"/>
              <w:spacing w:before="89" w:line="224"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2"/>
                <w:sz w:val="24"/>
                <w:szCs w:val="24"/>
                <w:highlight w:val="none"/>
                <w:lang w:val="en-US" w:eastAsia="zh-CN" w:bidi="ar-SA"/>
              </w:rPr>
              <w:t>6.25MB/S</w:t>
            </w:r>
          </w:p>
        </w:tc>
      </w:tr>
      <w:tr w14:paraId="3996F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884" w:type="pct"/>
            <w:noWrap w:val="0"/>
            <w:vAlign w:val="top"/>
          </w:tcPr>
          <w:p w14:paraId="4EF1445B">
            <w:pPr>
              <w:widowControl w:val="0"/>
              <w:spacing w:before="91"/>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7"/>
                <w:sz w:val="24"/>
                <w:szCs w:val="24"/>
                <w:highlight w:val="none"/>
                <w:lang w:val="en-US" w:eastAsia="zh-CN" w:bidi="ar-SA"/>
              </w:rPr>
              <w:t>100M</w:t>
            </w:r>
          </w:p>
        </w:tc>
        <w:tc>
          <w:tcPr>
            <w:tcW w:w="3115" w:type="pct"/>
            <w:noWrap w:val="0"/>
            <w:vAlign w:val="top"/>
          </w:tcPr>
          <w:p w14:paraId="3C51391D">
            <w:pPr>
              <w:widowControl w:val="0"/>
              <w:spacing w:before="92" w:line="224"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4"/>
                <w:sz w:val="24"/>
                <w:szCs w:val="24"/>
                <w:highlight w:val="none"/>
                <w:lang w:val="en-US" w:eastAsia="zh-CN" w:bidi="ar-SA"/>
              </w:rPr>
              <w:t>12.5MB/S</w:t>
            </w:r>
          </w:p>
        </w:tc>
      </w:tr>
      <w:tr w14:paraId="14C9F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884" w:type="pct"/>
            <w:noWrap w:val="0"/>
            <w:vAlign w:val="top"/>
          </w:tcPr>
          <w:p w14:paraId="2D74F479">
            <w:pPr>
              <w:widowControl w:val="0"/>
              <w:spacing w:before="9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4"/>
                <w:sz w:val="24"/>
                <w:szCs w:val="24"/>
                <w:highlight w:val="none"/>
                <w:lang w:val="en-US" w:eastAsia="zh-CN" w:bidi="ar-SA"/>
              </w:rPr>
              <w:t>200M</w:t>
            </w:r>
          </w:p>
        </w:tc>
        <w:tc>
          <w:tcPr>
            <w:tcW w:w="3115" w:type="pct"/>
            <w:noWrap w:val="0"/>
            <w:vAlign w:val="top"/>
          </w:tcPr>
          <w:p w14:paraId="535E9A96">
            <w:pPr>
              <w:widowControl w:val="0"/>
              <w:spacing w:before="91" w:line="224"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3"/>
                <w:sz w:val="24"/>
                <w:szCs w:val="24"/>
                <w:highlight w:val="none"/>
                <w:lang w:val="en-US" w:eastAsia="zh-CN" w:bidi="ar-SA"/>
              </w:rPr>
              <w:t>25MB/S</w:t>
            </w:r>
          </w:p>
        </w:tc>
      </w:tr>
      <w:tr w14:paraId="5594D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884" w:type="pct"/>
            <w:noWrap w:val="0"/>
            <w:vAlign w:val="top"/>
          </w:tcPr>
          <w:p w14:paraId="2C1EECFB">
            <w:pPr>
              <w:widowControl w:val="0"/>
              <w:spacing w:before="89"/>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14"/>
                <w:sz w:val="24"/>
                <w:szCs w:val="24"/>
                <w:highlight w:val="none"/>
                <w:lang w:val="en-US" w:eastAsia="zh-CN" w:bidi="ar-SA"/>
              </w:rPr>
              <w:t>1G</w:t>
            </w:r>
          </w:p>
        </w:tc>
        <w:tc>
          <w:tcPr>
            <w:tcW w:w="3115" w:type="pct"/>
            <w:noWrap w:val="0"/>
            <w:vAlign w:val="top"/>
          </w:tcPr>
          <w:p w14:paraId="73AD7CA1">
            <w:pPr>
              <w:widowControl w:val="0"/>
              <w:spacing w:before="90" w:line="224"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4"/>
                <w:sz w:val="24"/>
                <w:szCs w:val="24"/>
                <w:highlight w:val="none"/>
                <w:lang w:val="en-US" w:eastAsia="zh-CN" w:bidi="ar-SA"/>
              </w:rPr>
              <w:t>128MB/S</w:t>
            </w:r>
          </w:p>
        </w:tc>
      </w:tr>
      <w:tr w14:paraId="35BD8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1884" w:type="pct"/>
            <w:noWrap w:val="0"/>
            <w:vAlign w:val="top"/>
          </w:tcPr>
          <w:p w14:paraId="2C426B15">
            <w:pPr>
              <w:widowControl w:val="0"/>
              <w:spacing w:before="9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10"/>
                <w:sz w:val="24"/>
                <w:szCs w:val="24"/>
                <w:highlight w:val="none"/>
                <w:lang w:val="en-US" w:eastAsia="zh-CN" w:bidi="ar-SA"/>
              </w:rPr>
              <w:t>10G</w:t>
            </w:r>
          </w:p>
        </w:tc>
        <w:tc>
          <w:tcPr>
            <w:tcW w:w="3115" w:type="pct"/>
            <w:noWrap w:val="0"/>
            <w:vAlign w:val="top"/>
          </w:tcPr>
          <w:p w14:paraId="34246E4A">
            <w:pPr>
              <w:widowControl w:val="0"/>
              <w:spacing w:before="91" w:line="224"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4"/>
                <w:sz w:val="24"/>
                <w:szCs w:val="24"/>
                <w:highlight w:val="none"/>
                <w:lang w:val="en-US" w:eastAsia="zh-CN" w:bidi="ar-SA"/>
              </w:rPr>
              <w:t>1.25GB/S</w:t>
            </w:r>
          </w:p>
        </w:tc>
      </w:tr>
    </w:tbl>
    <w:p w14:paraId="54F16C0E">
      <w:pPr>
        <w:spacing w:line="266" w:lineRule="auto"/>
        <w:ind w:left="0" w:leftChars="0" w:firstLine="0" w:firstLineChars="0"/>
        <w:rPr>
          <w:rFonts w:ascii="宋体" w:hAnsi="宋体" w:eastAsia="宋体" w:cs="宋体"/>
          <w:color w:val="auto"/>
          <w:sz w:val="24"/>
          <w:szCs w:val="24"/>
          <w:highlight w:val="none"/>
        </w:rPr>
      </w:pPr>
    </w:p>
    <w:p w14:paraId="00C0A2F0">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上表为</w:t>
      </w:r>
      <w:r>
        <w:rPr>
          <w:rFonts w:hint="eastAsia" w:ascii="宋体" w:hAnsi="宋体" w:eastAsia="宋体" w:cs="宋体"/>
          <w:color w:val="auto"/>
          <w:spacing w:val="3"/>
          <w:sz w:val="24"/>
          <w:szCs w:val="24"/>
          <w:highlight w:val="none"/>
          <w:lang w:val="en-US" w:eastAsia="zh-CN"/>
        </w:rPr>
        <w:t>供应商</w:t>
      </w:r>
      <w:r>
        <w:rPr>
          <w:rFonts w:ascii="宋体" w:hAnsi="宋体" w:eastAsia="宋体" w:cs="宋体"/>
          <w:color w:val="auto"/>
          <w:spacing w:val="3"/>
          <w:sz w:val="24"/>
          <w:szCs w:val="24"/>
          <w:highlight w:val="none"/>
        </w:rPr>
        <w:t>提供链路带宽的最低速率值，无论在网络抖动、雷暴等极端天气等何种情况下，</w:t>
      </w:r>
      <w:r>
        <w:rPr>
          <w:rFonts w:hint="eastAsia" w:ascii="宋体" w:hAnsi="宋体" w:eastAsia="宋体" w:cs="宋体"/>
          <w:color w:val="auto"/>
          <w:spacing w:val="3"/>
          <w:sz w:val="24"/>
          <w:szCs w:val="24"/>
          <w:highlight w:val="none"/>
          <w:lang w:val="en-US" w:eastAsia="zh-CN"/>
        </w:rPr>
        <w:t>供应商</w:t>
      </w:r>
      <w:r>
        <w:rPr>
          <w:rFonts w:ascii="宋体" w:hAnsi="宋体" w:eastAsia="宋体" w:cs="宋体"/>
          <w:color w:val="auto"/>
          <w:spacing w:val="3"/>
          <w:sz w:val="24"/>
          <w:szCs w:val="24"/>
          <w:highlight w:val="none"/>
        </w:rPr>
        <w:t>需提供良</w:t>
      </w:r>
      <w:r>
        <w:rPr>
          <w:rFonts w:hint="eastAsia" w:ascii="宋体" w:hAnsi="宋体" w:eastAsia="宋体" w:cs="宋体"/>
          <w:color w:val="auto"/>
          <w:spacing w:val="3"/>
          <w:sz w:val="24"/>
          <w:szCs w:val="24"/>
          <w:highlight w:val="none"/>
          <w:lang w:eastAsia="zh-CN"/>
        </w:rPr>
        <w:t>好的</w:t>
      </w:r>
      <w:r>
        <w:rPr>
          <w:rFonts w:ascii="宋体" w:hAnsi="宋体" w:eastAsia="宋体" w:cs="宋体"/>
          <w:color w:val="auto"/>
          <w:spacing w:val="3"/>
          <w:sz w:val="24"/>
          <w:szCs w:val="24"/>
          <w:highlight w:val="none"/>
        </w:rPr>
        <w:t>网络带宽，测试带宽的实时传输速率一定要满足上表的链路速率，保证数据能够正常传输，不影响各使用单位视频业务使用以及用户使用体验。</w:t>
      </w:r>
    </w:p>
    <w:p w14:paraId="5FF65133">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网络可靠保证</w:t>
      </w:r>
    </w:p>
    <w:p w14:paraId="4E17B6E1">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从传输链路可靠性、网络设备可靠性和协议可靠性三个方面进行设计，保证视频在传输过程中，重要环节在出现设备损坏或失败时，还能够保证正常传输。</w:t>
      </w:r>
    </w:p>
    <w:p w14:paraId="41804471">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1.传输链路可靠性</w:t>
      </w:r>
    </w:p>
    <w:p w14:paraId="3196DA8C">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通过链路聚合技术来进行保障传输链路的可靠。将</w:t>
      </w:r>
      <w:r>
        <w:rPr>
          <w:rFonts w:hint="eastAsia" w:ascii="宋体" w:hAnsi="宋体" w:eastAsia="宋体" w:cs="宋体"/>
          <w:color w:val="auto"/>
          <w:spacing w:val="3"/>
          <w:sz w:val="24"/>
          <w:szCs w:val="24"/>
          <w:highlight w:val="none"/>
          <w:lang w:eastAsia="zh-CN"/>
        </w:rPr>
        <w:t>两个</w:t>
      </w:r>
      <w:r>
        <w:rPr>
          <w:rFonts w:ascii="宋体" w:hAnsi="宋体" w:eastAsia="宋体" w:cs="宋体"/>
          <w:color w:val="auto"/>
          <w:spacing w:val="3"/>
          <w:sz w:val="24"/>
          <w:szCs w:val="24"/>
          <w:highlight w:val="none"/>
        </w:rPr>
        <w:t>及以上数据信道组合成一个单个的数据信道，该数据信道是以一个单个更高带宽的逻辑链路出现，服务器存储交换机和指挥中心交换机同样采用链路汇聚与核心交换机相连。链路聚合提高网络的可靠性，在关键线路上实现冗余功能。</w:t>
      </w:r>
    </w:p>
    <w:p w14:paraId="3CAACCF7">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通过链路聚合连接在一起的2台设备，将数据分配到被聚合连接的设备上实现负载分担，保障了传输链路的可靠性。</w:t>
      </w:r>
    </w:p>
    <w:p w14:paraId="02353571">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2.网络设备可靠性</w:t>
      </w:r>
    </w:p>
    <w:p w14:paraId="252C5A0F">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传输网络各节点网络设备提供全方位的可靠性、安全性技术，能够满足电信级网络的可靠性、安全性的要求，主要从以下几个方面来进行保障。满足以下备份要求：</w:t>
      </w:r>
    </w:p>
    <w:p w14:paraId="5764FE15">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（1）关键部件冗余备份</w:t>
      </w:r>
    </w:p>
    <w:p w14:paraId="20103E32">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核心层交换机设备支持主控板单配置和双配置（冗余方式）两种工作方式，且主控板支持热备份功能。当主控板双配置时，主用板正常工作，备用板处于Standby状态。系统支持两种倒换方式，自动倒换和强制倒换两种方式。自动倒换的触发条件包括主用板发生严重故障、主用板复位，强制倒换通过控制台命令触发。另外用户可以通过控制台命令强行禁止主控板的主备倒换，倒换时间为50ms。设备系统内部支持管理总线的备份，系统供电电源的1+1备份。另外系统各单板及电源、风扇模块均具有热插拔功能。使得设备或网络出现严重异常时，系统能够快速地恢复和</w:t>
      </w:r>
      <w:r>
        <w:rPr>
          <w:rFonts w:hint="eastAsia" w:ascii="宋体" w:hAnsi="宋体" w:eastAsia="宋体" w:cs="宋体"/>
          <w:color w:val="auto"/>
          <w:spacing w:val="3"/>
          <w:sz w:val="24"/>
          <w:szCs w:val="24"/>
          <w:highlight w:val="none"/>
          <w:lang w:eastAsia="zh-CN"/>
        </w:rPr>
        <w:t>做出反应</w:t>
      </w:r>
      <w:r>
        <w:rPr>
          <w:rFonts w:ascii="宋体" w:hAnsi="宋体" w:eastAsia="宋体" w:cs="宋体"/>
          <w:color w:val="auto"/>
          <w:spacing w:val="3"/>
          <w:sz w:val="24"/>
          <w:szCs w:val="24"/>
          <w:highlight w:val="none"/>
        </w:rPr>
        <w:t>，从而提高系统的平均无故障运行时间，尽可能地降低不可靠因素对正常业务的影响。</w:t>
      </w:r>
    </w:p>
    <w:p w14:paraId="170F37E3">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（2）核心设备冗余备份</w:t>
      </w:r>
    </w:p>
    <w:p w14:paraId="18D8927A">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核心层交换机需要</w:t>
      </w:r>
      <w:r>
        <w:rPr>
          <w:rFonts w:hint="eastAsia" w:ascii="宋体" w:hAnsi="宋体" w:eastAsia="宋体" w:cs="宋体"/>
          <w:color w:val="auto"/>
          <w:spacing w:val="3"/>
          <w:sz w:val="24"/>
          <w:szCs w:val="24"/>
          <w:highlight w:val="none"/>
          <w:lang w:eastAsia="zh-CN"/>
        </w:rPr>
        <w:t>有</w:t>
      </w:r>
      <w:r>
        <w:rPr>
          <w:rFonts w:ascii="宋体" w:hAnsi="宋体" w:eastAsia="宋体" w:cs="宋体"/>
          <w:color w:val="auto"/>
          <w:spacing w:val="3"/>
          <w:sz w:val="24"/>
          <w:szCs w:val="24"/>
          <w:highlight w:val="none"/>
        </w:rPr>
        <w:t>冗余备份要求，通过双核心交换机虚拟化（多个资源单一逻辑表示）来保障系统稳定性，双核心交换机虚拟化可在整个虚拟架构内实现控制平面和数据平面所有信息的冗余备份和无间断的三层转发，</w:t>
      </w:r>
      <w:r>
        <w:rPr>
          <w:rFonts w:hint="eastAsia" w:ascii="宋体" w:hAnsi="宋体" w:eastAsia="宋体" w:cs="宋体"/>
          <w:color w:val="auto"/>
          <w:spacing w:val="3"/>
          <w:sz w:val="24"/>
          <w:szCs w:val="24"/>
          <w:highlight w:val="none"/>
          <w:lang w:eastAsia="zh-CN"/>
        </w:rPr>
        <w:t>极大地</w:t>
      </w:r>
      <w:r>
        <w:rPr>
          <w:rFonts w:ascii="宋体" w:hAnsi="宋体" w:eastAsia="宋体" w:cs="宋体"/>
          <w:color w:val="auto"/>
          <w:spacing w:val="3"/>
          <w:sz w:val="24"/>
          <w:szCs w:val="24"/>
          <w:highlight w:val="none"/>
        </w:rPr>
        <w:t>增强了虚拟架构的可靠性和高性能，同时消除了单点故障，避免了业务中断。</w:t>
      </w:r>
    </w:p>
    <w:p w14:paraId="107FB84C">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（3）传输告警定制抑制</w:t>
      </w:r>
    </w:p>
    <w:p w14:paraId="36D4864A">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核心层交换机对网络可靠性高，网络中的核心交换机能够快速检测到故障信息。当接口启动快速检测功能后，告警信息上报速度加快，引起接口的物理层状态频繁在Up和Down之间切换，导致网络反复振荡。需要对告警进行过滤和抑制，避免网络频繁振荡。传输告警抑制功能可以有效实现对告警信号进行过滤和抑制，避免接口的反复振荡。提供告警定制功能，使得告警对接口状态变化的影响可以有效控制。</w:t>
      </w:r>
    </w:p>
    <w:p w14:paraId="4045CA49">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（4）快速链路故障检测</w:t>
      </w:r>
    </w:p>
    <w:p w14:paraId="03CA99F6">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核心层交换机具备BFD（BidirectionalForwardingDetection）功能，主要是用于检测两个转发点之间故障的网络协议，用于快速检测、监控网络中链路或者IP路由的转发连通状况。BFD在双向链路两端同时发送检测报文，检测两个方向上的链路状态，实现毫秒级别的链路缺陷检测，支持BFD单跳检测和多跳检测，同时能够支持多种应用。</w:t>
      </w:r>
    </w:p>
    <w:p w14:paraId="3FDE753F">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3.协议可靠性</w:t>
      </w:r>
    </w:p>
    <w:p w14:paraId="2ECE9AA5">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应遵循《信息技术开放系统互连网络层安全协议》（GB/T17963-2000）。</w:t>
      </w:r>
    </w:p>
    <w:p w14:paraId="0D7983C8">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207" w:name="bookmark71"/>
      <w:bookmarkEnd w:id="207"/>
      <w:r>
        <w:rPr>
          <w:rFonts w:ascii="Arial" w:hAnsi="Arial" w:eastAsia="黑体" w:cs="宋体"/>
          <w:b/>
          <w:bCs/>
          <w:color w:val="auto"/>
          <w:kern w:val="2"/>
          <w:sz w:val="24"/>
          <w:szCs w:val="24"/>
          <w:highlight w:val="none"/>
          <w:lang w:val="zh-CN" w:eastAsia="zh-CN" w:bidi="ar-SA"/>
        </w:rPr>
        <w:t>第二路由保护</w:t>
      </w:r>
    </w:p>
    <w:p w14:paraId="3BA511CF">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郴州市视频专网承载着整个郴州市政府、各市直单位、委办的视频传输业务，对整个郴州市的安全稳定发</w:t>
      </w:r>
      <w:r>
        <w:rPr>
          <w:rFonts w:hint="eastAsia" w:ascii="宋体" w:hAnsi="宋体" w:eastAsia="宋体" w:cs="宋体"/>
          <w:color w:val="auto"/>
          <w:spacing w:val="3"/>
          <w:sz w:val="24"/>
          <w:szCs w:val="24"/>
          <w:highlight w:val="none"/>
          <w:lang w:eastAsia="zh-CN"/>
        </w:rPr>
        <w:t>展具</w:t>
      </w:r>
      <w:r>
        <w:rPr>
          <w:rFonts w:ascii="宋体" w:hAnsi="宋体" w:eastAsia="宋体" w:cs="宋体"/>
          <w:color w:val="auto"/>
          <w:spacing w:val="3"/>
          <w:sz w:val="24"/>
          <w:szCs w:val="24"/>
          <w:highlight w:val="none"/>
        </w:rPr>
        <w:t>有重要的作用。若链路阻断，会对城市安全稳定运行造成重要影响。因此，在核心层、汇聚层、接入层重要场景需配置物理路由上不重叠的第二路由。</w:t>
      </w:r>
    </w:p>
    <w:p w14:paraId="6C8D144F">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default" w:ascii="宋体" w:hAnsi="宋体" w:eastAsia="宋体" w:cs="宋体"/>
          <w:color w:val="auto"/>
          <w:spacing w:val="3"/>
          <w:sz w:val="24"/>
          <w:szCs w:val="24"/>
          <w:highlight w:val="none"/>
          <w:lang w:val="en-US" w:eastAsia="zh-CN"/>
        </w:rPr>
      </w:pPr>
      <w:r>
        <w:rPr>
          <w:rFonts w:ascii="宋体" w:hAnsi="宋体" w:eastAsia="宋体" w:cs="宋体"/>
          <w:color w:val="auto"/>
          <w:spacing w:val="3"/>
          <w:sz w:val="24"/>
          <w:szCs w:val="24"/>
          <w:highlight w:val="none"/>
        </w:rPr>
        <w:t>为保障第二路的安全性、可靠性，其中裸纤需建设在物理路由上不重叠的第二路由，路由采用不同产权单位的传输管道进行光缆敷设；长距离传输电路建议采用不同产权单位的传输机房、传输设备开通的电路；尽可能的避免因各种意外事故或自然灾害对重要节点链路同时造成损害，从而导致视频专网重要节点网络中断等网络安全事故的发生。</w:t>
      </w:r>
      <w:r>
        <w:rPr>
          <w:rFonts w:hint="eastAsia" w:ascii="宋体" w:hAnsi="宋体" w:eastAsia="宋体" w:cs="宋体"/>
          <w:color w:val="auto"/>
          <w:spacing w:val="3"/>
          <w:sz w:val="24"/>
          <w:szCs w:val="24"/>
          <w:highlight w:val="none"/>
          <w:lang w:val="en-US" w:eastAsia="zh-CN"/>
        </w:rPr>
        <w:t>以下为使用</w:t>
      </w:r>
      <w:r>
        <w:rPr>
          <w:rFonts w:hint="eastAsia" w:ascii="宋体" w:hAnsi="宋体" w:eastAsia="宋体" w:cs="宋体"/>
          <w:color w:val="auto"/>
          <w:spacing w:val="3"/>
          <w:sz w:val="24"/>
          <w:szCs w:val="24"/>
          <w:highlight w:val="none"/>
        </w:rPr>
        <w:t>第二路由保护</w:t>
      </w:r>
      <w:r>
        <w:rPr>
          <w:rFonts w:hint="eastAsia" w:ascii="宋体" w:hAnsi="宋体" w:eastAsia="宋体" w:cs="宋体"/>
          <w:color w:val="auto"/>
          <w:spacing w:val="3"/>
          <w:sz w:val="24"/>
          <w:szCs w:val="24"/>
          <w:highlight w:val="none"/>
          <w:lang w:val="en-US" w:eastAsia="zh-CN"/>
        </w:rPr>
        <w:t>的必须性：</w:t>
      </w:r>
    </w:p>
    <w:p w14:paraId="409F303B">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1、避免单点故障</w:t>
      </w:r>
    </w:p>
    <w:p w14:paraId="2F677FE5">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单光纤断缆、运营商设备故障、机房施工割接、外线偷盗、管道损坏，会直接导致单位全部政务业务断网，无法上报报表、办理审批、接收上级文件、使用统一身份认证、数据共享平台，引发政务履职事故。</w:t>
      </w:r>
    </w:p>
    <w:p w14:paraId="557C9C4C">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2、保障业务连续性</w:t>
      </w:r>
    </w:p>
    <w:p w14:paraId="3C00CBA6">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应急值守、防汛、综治、疫情调度、突发事件指挥等关键场景，政务外网中断属于重大网信隐患，主备切换可实现分钟级甚至秒级恢复。</w:t>
      </w:r>
    </w:p>
    <w:p w14:paraId="78EEC16A">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3、满足等保合规</w:t>
      </w:r>
    </w:p>
    <w:p w14:paraId="57AA5AB6">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三级等保要求：通信链路冗余、关键路径无单点故障；不做主备链路，等保测评对应项直接扣分、无法过检。</w:t>
      </w:r>
    </w:p>
    <w:p w14:paraId="6130F225">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4、分摊带宽压力、可做负载分担</w:t>
      </w:r>
    </w:p>
    <w:p w14:paraId="1A6A7E25">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闲时主备冗余，高峰期可配置负载均衡，两条链路同时承载业务，提升整体出口带宽。</w:t>
      </w:r>
    </w:p>
    <w:p w14:paraId="06C5FB0D">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本期建议配置双路由链路96条+1项：24条+1项裸纤、2条</w:t>
      </w:r>
      <w:r>
        <w:rPr>
          <w:rFonts w:hint="eastAsia" w:ascii="宋体" w:hAnsi="宋体" w:eastAsia="宋体" w:cs="宋体"/>
          <w:color w:val="auto"/>
          <w:spacing w:val="3"/>
          <w:sz w:val="24"/>
          <w:szCs w:val="24"/>
          <w:highlight w:val="none"/>
          <w:lang w:val="en-US" w:eastAsia="zh-CN"/>
        </w:rPr>
        <w:t>1</w:t>
      </w:r>
      <w:r>
        <w:rPr>
          <w:rFonts w:ascii="宋体" w:hAnsi="宋体" w:eastAsia="宋体" w:cs="宋体"/>
          <w:color w:val="auto"/>
          <w:spacing w:val="3"/>
          <w:sz w:val="24"/>
          <w:szCs w:val="24"/>
          <w:highlight w:val="none"/>
        </w:rPr>
        <w:t>0G电路、22条10G电路、20条1G电路、26条200M电路、2条100M电路。具体情况如下：</w:t>
      </w:r>
    </w:p>
    <w:p w14:paraId="07DF60E9">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1.核心层双路由链路：</w:t>
      </w:r>
    </w:p>
    <w:p w14:paraId="0C1ED2C3">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（1）电子政务外网到核心层裸纤链路；</w:t>
      </w:r>
    </w:p>
    <w:p w14:paraId="28738466">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（2）城市大脑指挥中心到核心层1G电路；</w:t>
      </w:r>
    </w:p>
    <w:p w14:paraId="0AC0D133">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（3）核心层到汇聚层机房裸纤链路；</w:t>
      </w:r>
    </w:p>
    <w:p w14:paraId="1835F3EA">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（4）核心层到9个县市汇聚点10G电路。</w:t>
      </w:r>
    </w:p>
    <w:p w14:paraId="16C1732F">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2.汇聚层双路由链路：</w:t>
      </w:r>
    </w:p>
    <w:p w14:paraId="44938F24">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（1）汇聚层至3个公安分局裸纤链路；</w:t>
      </w:r>
    </w:p>
    <w:p w14:paraId="4B03C241">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（2）汇聚层到高铁西站裸纤链路；</w:t>
      </w:r>
    </w:p>
    <w:p w14:paraId="7D0CD1E4">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（3）机场分局到核心层裸纤链路；</w:t>
      </w:r>
    </w:p>
    <w:p w14:paraId="0B3881AA">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（4）核心层到市城管局裸纤链路；</w:t>
      </w:r>
    </w:p>
    <w:p w14:paraId="4AC1C6D4">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（5）汇聚层至高速总队郴州支队裸纤链路；</w:t>
      </w:r>
    </w:p>
    <w:p w14:paraId="01A0E66B">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（6）汇聚层到市</w:t>
      </w:r>
      <w:r>
        <w:rPr>
          <w:rFonts w:hint="eastAsia" w:ascii="宋体" w:hAnsi="宋体" w:eastAsia="宋体" w:cs="宋体"/>
          <w:color w:val="auto"/>
          <w:spacing w:val="3"/>
          <w:sz w:val="24"/>
          <w:szCs w:val="24"/>
          <w:highlight w:val="none"/>
          <w:lang w:eastAsia="zh-CN"/>
        </w:rPr>
        <w:t>交通管理支队</w:t>
      </w:r>
      <w:r>
        <w:rPr>
          <w:rFonts w:ascii="宋体" w:hAnsi="宋体" w:eastAsia="宋体" w:cs="宋体"/>
          <w:color w:val="auto"/>
          <w:spacing w:val="3"/>
          <w:sz w:val="24"/>
          <w:szCs w:val="24"/>
          <w:highlight w:val="none"/>
        </w:rPr>
        <w:t>裸纤链路；</w:t>
      </w:r>
    </w:p>
    <w:p w14:paraId="372BC23B">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（7）汇聚层到市应急办裸纤链路；</w:t>
      </w:r>
    </w:p>
    <w:p w14:paraId="6B0FFA07">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（8）汇聚层到苏仙区政府裸纤链路；</w:t>
      </w:r>
    </w:p>
    <w:p w14:paraId="234A4713">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（9）汇聚层到北湖区政府裸纤链路；</w:t>
      </w:r>
    </w:p>
    <w:p w14:paraId="7CC3FFF2">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（10）9县政府视频核心1G电路；</w:t>
      </w:r>
    </w:p>
    <w:p w14:paraId="321E7F58">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（11）东江湖大数据中心到汇聚层10G电路（城市大脑）；</w:t>
      </w:r>
    </w:p>
    <w:p w14:paraId="6EE73F1D">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（12）东江湖大数据中心到核心层10G电路（公安）。</w:t>
      </w:r>
    </w:p>
    <w:p w14:paraId="422324D7">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3.接入层双路由链路：</w:t>
      </w:r>
    </w:p>
    <w:p w14:paraId="699CEA06">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（1）13个派出所200M电路；</w:t>
      </w:r>
    </w:p>
    <w:p w14:paraId="07CBE176">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（2）铁路派出所100M电路。</w:t>
      </w:r>
    </w:p>
    <w:p w14:paraId="51A6516B">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4.其他双路由链路：</w:t>
      </w:r>
    </w:p>
    <w:p w14:paraId="0CAC53F1">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eastAsia" w:ascii="宋体" w:hAnsi="宋体" w:eastAsia="宋体" w:cs="宋体"/>
          <w:color w:val="FF0000"/>
          <w:spacing w:val="3"/>
          <w:sz w:val="24"/>
          <w:szCs w:val="24"/>
          <w:highlight w:val="none"/>
        </w:rPr>
      </w:pPr>
      <w:r>
        <w:rPr>
          <w:rFonts w:ascii="宋体" w:hAnsi="宋体" w:eastAsia="宋体" w:cs="宋体"/>
          <w:color w:val="auto"/>
          <w:spacing w:val="3"/>
          <w:sz w:val="24"/>
          <w:szCs w:val="24"/>
          <w:highlight w:val="none"/>
        </w:rPr>
        <w:t>（1）市政府机房到东江湖大数据中心</w:t>
      </w:r>
      <w:r>
        <w:rPr>
          <w:rFonts w:hint="eastAsia" w:ascii="宋体" w:hAnsi="宋体" w:eastAsia="宋体" w:cs="宋体"/>
          <w:color w:val="auto"/>
          <w:spacing w:val="3"/>
          <w:sz w:val="24"/>
          <w:szCs w:val="24"/>
          <w:highlight w:val="none"/>
          <w:lang w:val="en-US" w:eastAsia="zh-CN"/>
        </w:rPr>
        <w:t>10</w:t>
      </w:r>
      <w:r>
        <w:rPr>
          <w:rFonts w:ascii="宋体" w:hAnsi="宋体" w:eastAsia="宋体" w:cs="宋体"/>
          <w:color w:val="auto"/>
          <w:spacing w:val="3"/>
          <w:sz w:val="24"/>
          <w:szCs w:val="24"/>
          <w:highlight w:val="none"/>
        </w:rPr>
        <w:t>G电路。</w:t>
      </w:r>
    </w:p>
    <w:p w14:paraId="49169566">
      <w:pPr>
        <w:widowControl w:val="0"/>
        <w:spacing w:before="161" w:after="120" w:line="327" w:lineRule="exact"/>
        <w:ind w:left="786"/>
        <w:jc w:val="both"/>
        <w:rPr>
          <w:rFonts w:ascii="宋体" w:hAnsi="宋体" w:eastAsia="宋体" w:cs="宋体"/>
          <w:color w:val="FF0000"/>
          <w:kern w:val="2"/>
          <w:sz w:val="24"/>
          <w:szCs w:val="24"/>
          <w:lang w:val="en-US" w:eastAsia="zh-CN" w:bidi="ar-SA"/>
        </w:rPr>
      </w:pPr>
    </w:p>
    <w:p w14:paraId="1E077CAB">
      <w:pPr>
        <w:tabs>
          <w:tab w:val="left" w:pos="840"/>
        </w:tabs>
        <w:spacing w:line="360" w:lineRule="auto"/>
        <w:ind w:left="567"/>
        <w:rPr>
          <w:rFonts w:ascii="Arial" w:hAnsi="Arial" w:eastAsia="宋体" w:cs="Arial"/>
          <w:color w:val="FF0000"/>
          <w:sz w:val="24"/>
          <w:szCs w:val="21"/>
          <w:lang w:val="zh-CN"/>
        </w:rPr>
      </w:pPr>
    </w:p>
    <w:p w14:paraId="629192F5">
      <w:pPr>
        <w:keepNext/>
        <w:keepLines/>
        <w:numPr>
          <w:ilvl w:val="1"/>
          <w:numId w:val="0"/>
        </w:numPr>
        <w:spacing w:line="360" w:lineRule="auto"/>
        <w:ind w:left="578" w:hanging="578"/>
        <w:jc w:val="center"/>
        <w:outlineLvl w:val="2"/>
        <w:rPr>
          <w:rFonts w:ascii="黑体" w:hAnsi="黑体" w:eastAsia="黑体" w:cs="Times New Roman"/>
          <w:b/>
          <w:bCs/>
          <w:color w:val="auto"/>
          <w:sz w:val="28"/>
          <w:szCs w:val="32"/>
        </w:rPr>
      </w:pPr>
      <w:bookmarkStart w:id="208" w:name="_Toc26936"/>
      <w:bookmarkStart w:id="209" w:name="_Toc172716768"/>
      <w:r>
        <w:rPr>
          <w:rFonts w:hint="eastAsia" w:ascii="黑体" w:hAnsi="黑体" w:eastAsia="黑体" w:cs="Times New Roman"/>
          <w:b/>
          <w:bCs/>
          <w:color w:val="auto"/>
          <w:sz w:val="28"/>
          <w:szCs w:val="32"/>
        </w:rPr>
        <w:t>七、环保、消防和节能</w:t>
      </w:r>
      <w:bookmarkEnd w:id="208"/>
      <w:bookmarkEnd w:id="209"/>
    </w:p>
    <w:p w14:paraId="61EBB7D3">
      <w:pPr>
        <w:pStyle w:val="4"/>
        <w:widowControl/>
        <w:numPr>
          <w:ilvl w:val="0"/>
          <w:numId w:val="0"/>
        </w:numPr>
        <w:bidi w:val="0"/>
        <w:spacing w:before="50" w:beforeLines="50" w:after="50" w:afterLines="50"/>
        <w:ind w:leftChars="0" w:firstLine="241" w:firstLineChars="100"/>
        <w:rPr>
          <w:rFonts w:hint="eastAsia" w:ascii="Times New Roman" w:hAnsi="Times New Roman" w:eastAsia="黑体" w:cs="宋体"/>
          <w:color w:val="auto"/>
          <w:sz w:val="24"/>
          <w:szCs w:val="24"/>
          <w:highlight w:val="none"/>
          <w:lang w:val="en-US" w:eastAsia="zh-CN"/>
        </w:rPr>
      </w:pPr>
      <w:bookmarkStart w:id="210" w:name="_Toc12810"/>
      <w:bookmarkStart w:id="211" w:name="_Toc172716769"/>
      <w:r>
        <w:rPr>
          <w:rFonts w:hint="eastAsia" w:ascii="黑体" w:hAnsi="黑体" w:eastAsia="黑体" w:cs="Times New Roman"/>
          <w:b/>
          <w:bCs/>
          <w:color w:val="auto"/>
          <w:sz w:val="24"/>
          <w:szCs w:val="24"/>
        </w:rPr>
        <w:t>1、</w:t>
      </w:r>
      <w:bookmarkEnd w:id="210"/>
      <w:bookmarkEnd w:id="211"/>
      <w:bookmarkStart w:id="212" w:name="_Toc14406"/>
      <w:r>
        <w:rPr>
          <w:rFonts w:hint="eastAsia" w:ascii="Times New Roman" w:hAnsi="Times New Roman" w:eastAsia="黑体" w:cs="宋体"/>
          <w:color w:val="auto"/>
          <w:sz w:val="24"/>
          <w:szCs w:val="24"/>
          <w:highlight w:val="none"/>
          <w:lang w:val="en-US" w:eastAsia="zh-CN"/>
        </w:rPr>
        <w:t>环境影响及保护措施分析</w:t>
      </w:r>
      <w:bookmarkEnd w:id="212"/>
    </w:p>
    <w:p w14:paraId="7EAAF105">
      <w:pPr>
        <w:keepNext/>
        <w:keepLines/>
        <w:widowControl w:val="0"/>
        <w:numPr>
          <w:ilvl w:val="2"/>
          <w:numId w:val="9"/>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213" w:name="bookmark109"/>
      <w:bookmarkEnd w:id="213"/>
      <w:r>
        <w:rPr>
          <w:rFonts w:ascii="Arial" w:hAnsi="Arial" w:eastAsia="黑体" w:cs="宋体"/>
          <w:b/>
          <w:bCs/>
          <w:color w:val="auto"/>
          <w:kern w:val="2"/>
          <w:sz w:val="24"/>
          <w:szCs w:val="24"/>
          <w:highlight w:val="none"/>
          <w:lang w:val="zh-CN" w:eastAsia="zh-CN" w:bidi="ar-SA"/>
        </w:rPr>
        <w:t>环境影响分析</w:t>
      </w:r>
    </w:p>
    <w:p w14:paraId="2559E898">
      <w:pPr>
        <w:spacing w:before="253" w:line="377" w:lineRule="auto"/>
        <w:ind w:left="209" w:right="105" w:firstLine="492" w:firstLineChars="20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项目建设应贯彻《中华人民共和国环境保护法》、严格控制环境污染、保</w:t>
      </w:r>
      <w:r>
        <w:rPr>
          <w:rFonts w:ascii="宋体" w:hAnsi="宋体" w:eastAsia="宋体" w:cs="宋体"/>
          <w:color w:val="auto"/>
          <w:sz w:val="24"/>
          <w:szCs w:val="24"/>
          <w:highlight w:val="none"/>
        </w:rPr>
        <w:t>护环境和生态平衡是我国企业和公民的神圣</w:t>
      </w:r>
      <w:r>
        <w:rPr>
          <w:rFonts w:ascii="宋体" w:hAnsi="宋体" w:eastAsia="宋体" w:cs="宋体"/>
          <w:color w:val="auto"/>
          <w:spacing w:val="-1"/>
          <w:sz w:val="24"/>
          <w:szCs w:val="24"/>
          <w:highlight w:val="none"/>
        </w:rPr>
        <w:t>职责，必须认真贯彻执行。</w:t>
      </w:r>
    </w:p>
    <w:p w14:paraId="2CA997AC">
      <w:pPr>
        <w:spacing w:line="218" w:lineRule="auto"/>
        <w:ind w:firstLine="476" w:firstLineChars="2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本项目建设会产生小部分垃圾、</w:t>
      </w:r>
      <w:r>
        <w:rPr>
          <w:rFonts w:hint="eastAsia" w:ascii="宋体" w:hAnsi="宋体" w:eastAsia="宋体" w:cs="宋体"/>
          <w:color w:val="auto"/>
          <w:spacing w:val="-1"/>
          <w:sz w:val="24"/>
          <w:szCs w:val="24"/>
          <w:highlight w:val="none"/>
          <w:lang w:eastAsia="zh-CN"/>
        </w:rPr>
        <w:t>噪声</w:t>
      </w:r>
      <w:r>
        <w:rPr>
          <w:rFonts w:ascii="宋体" w:hAnsi="宋体" w:eastAsia="宋体" w:cs="宋体"/>
          <w:color w:val="auto"/>
          <w:spacing w:val="-1"/>
          <w:sz w:val="24"/>
          <w:szCs w:val="24"/>
          <w:highlight w:val="none"/>
        </w:rPr>
        <w:t>等，都在合理可控的范围内。</w:t>
      </w:r>
    </w:p>
    <w:p w14:paraId="576D7D48">
      <w:pPr>
        <w:keepNext/>
        <w:keepLines/>
        <w:widowControl w:val="0"/>
        <w:numPr>
          <w:ilvl w:val="2"/>
          <w:numId w:val="9"/>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214" w:name="bookmark75"/>
      <w:bookmarkEnd w:id="214"/>
      <w:r>
        <w:rPr>
          <w:rFonts w:ascii="Arial" w:hAnsi="Arial" w:eastAsia="黑体" w:cs="宋体"/>
          <w:b/>
          <w:bCs/>
          <w:color w:val="auto"/>
          <w:kern w:val="2"/>
          <w:sz w:val="24"/>
          <w:szCs w:val="24"/>
          <w:highlight w:val="none"/>
          <w:lang w:val="zh-CN" w:eastAsia="zh-CN" w:bidi="ar-SA"/>
        </w:rPr>
        <w:t>保护措施</w:t>
      </w:r>
    </w:p>
    <w:p w14:paraId="61AD2AC3">
      <w:pPr>
        <w:keepNext w:val="0"/>
        <w:keepLines w:val="0"/>
        <w:pageBreakBefore w:val="0"/>
        <w:widowControl w:val="0"/>
        <w:kinsoku/>
        <w:wordWrap/>
        <w:overflowPunct/>
        <w:topLinePunct w:val="0"/>
        <w:autoSpaceDE/>
        <w:autoSpaceDN/>
        <w:bidi w:val="0"/>
        <w:adjustRightInd/>
        <w:snapToGrid/>
        <w:spacing w:line="360" w:lineRule="auto"/>
        <w:ind w:left="0" w:firstLine="464" w:firstLineChars="200"/>
        <w:textAlignment w:val="auto"/>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项目建设需严格遵照《GB/T51391-2019通信工程建设环境保护技术标准》</w:t>
      </w:r>
      <w:r>
        <w:rPr>
          <w:rFonts w:ascii="宋体" w:hAnsi="宋体" w:eastAsia="宋体" w:cs="宋体"/>
          <w:color w:val="auto"/>
          <w:spacing w:val="-2"/>
          <w:sz w:val="24"/>
          <w:szCs w:val="24"/>
          <w:highlight w:val="none"/>
        </w:rPr>
        <w:t>进行环境保护。</w:t>
      </w:r>
      <w:r>
        <w:rPr>
          <w:rFonts w:ascii="宋体" w:hAnsi="宋体" w:eastAsia="宋体" w:cs="宋体"/>
          <w:color w:val="auto"/>
          <w:spacing w:val="3"/>
          <w:sz w:val="24"/>
          <w:szCs w:val="24"/>
          <w:highlight w:val="none"/>
        </w:rPr>
        <w:t>对于项目建设时产生的装修边角料尽可能由装修单位回收以充分使用，对于其他的废渣应统一收集处理。设备的包装纸箱等可回收再生利用的物品，应</w:t>
      </w:r>
      <w:r>
        <w:rPr>
          <w:rFonts w:ascii="宋体" w:hAnsi="宋体" w:eastAsia="宋体" w:cs="宋体"/>
          <w:color w:val="auto"/>
          <w:spacing w:val="-1"/>
          <w:sz w:val="24"/>
          <w:szCs w:val="24"/>
          <w:highlight w:val="none"/>
        </w:rPr>
        <w:t>分类集中，交相关单位回收利用。</w:t>
      </w:r>
    </w:p>
    <w:p w14:paraId="7F53096D">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项目建设施工过程中，采取必要的隔音措施来降低施工产生的噪声影响，同时会产生较大噪音的工序应安排在无人办公、休息的时间进行。</w:t>
      </w:r>
    </w:p>
    <w:p w14:paraId="1D340F72">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项目运行过程中，会产生少量办公废弃物及办公、生活污水。设置分类垃圾桶等设施设备，并配置清洁工及时清扫、处理、集中，每天由市政垃圾车运送到垃圾场处理。办公、生活污水经现有配套处理设施处理后排入市政污水管网。项目运行期间，注意对员工的工作环境采取</w:t>
      </w:r>
      <w:r>
        <w:rPr>
          <w:rFonts w:hint="eastAsia" w:ascii="宋体" w:hAnsi="宋体" w:eastAsia="宋体" w:cs="宋体"/>
          <w:color w:val="auto"/>
          <w:spacing w:val="3"/>
          <w:sz w:val="24"/>
          <w:szCs w:val="24"/>
          <w:highlight w:val="none"/>
          <w:lang w:eastAsia="zh-CN"/>
        </w:rPr>
        <w:t>多重</w:t>
      </w:r>
      <w:r>
        <w:rPr>
          <w:rFonts w:ascii="宋体" w:hAnsi="宋体" w:eastAsia="宋体" w:cs="宋体"/>
          <w:color w:val="auto"/>
          <w:spacing w:val="3"/>
          <w:sz w:val="24"/>
          <w:szCs w:val="24"/>
          <w:highlight w:val="none"/>
        </w:rPr>
        <w:t>保护措施，特别是针对电脑辐射，采取相应的保护措施。</w:t>
      </w:r>
    </w:p>
    <w:p w14:paraId="24518027">
      <w:pPr>
        <w:keepNext/>
        <w:keepLines/>
        <w:widowControl/>
        <w:numPr>
          <w:ilvl w:val="1"/>
          <w:numId w:val="9"/>
        </w:numPr>
        <w:bidi w:val="0"/>
        <w:spacing w:before="50" w:beforeLines="50" w:after="50" w:afterLines="50" w:line="360" w:lineRule="auto"/>
        <w:ind w:left="851" w:leftChars="0" w:hanging="851" w:firstLineChars="0"/>
        <w:jc w:val="both"/>
        <w:outlineLvl w:val="1"/>
        <w:rPr>
          <w:rFonts w:hint="eastAsia" w:ascii="Times New Roman" w:hAnsi="Times New Roman" w:eastAsia="黑体" w:cs="宋体"/>
          <w:b/>
          <w:bCs/>
          <w:color w:val="auto"/>
          <w:kern w:val="2"/>
          <w:sz w:val="24"/>
          <w:szCs w:val="24"/>
          <w:highlight w:val="none"/>
          <w:lang w:val="en-US" w:eastAsia="zh-CN" w:bidi="ar-SA"/>
        </w:rPr>
      </w:pPr>
      <w:bookmarkStart w:id="215" w:name="bookmark76"/>
      <w:bookmarkEnd w:id="215"/>
      <w:bookmarkStart w:id="216" w:name="_Toc29111"/>
      <w:r>
        <w:rPr>
          <w:rFonts w:hint="eastAsia" w:ascii="Times New Roman" w:hAnsi="Times New Roman" w:eastAsia="黑体" w:cs="宋体"/>
          <w:b/>
          <w:bCs/>
          <w:color w:val="auto"/>
          <w:kern w:val="2"/>
          <w:sz w:val="24"/>
          <w:szCs w:val="24"/>
          <w:highlight w:val="none"/>
          <w:lang w:val="en-US" w:eastAsia="zh-CN" w:bidi="ar-SA"/>
        </w:rPr>
        <w:t>消防</w:t>
      </w:r>
      <w:bookmarkEnd w:id="216"/>
    </w:p>
    <w:p w14:paraId="27E9FE4E">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项目建设过程中，遵循“预防为主，消防结合”的方针，严格贯彻执行国家《建筑设计防火规范》。设计中采取以下消防措施：</w:t>
      </w:r>
    </w:p>
    <w:p w14:paraId="1EA63104">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w:t>
      </w:r>
      <w:r>
        <w:rPr>
          <w:rFonts w:hint="eastAsia" w:ascii="宋体" w:hAnsi="宋体" w:eastAsia="宋体" w:cs="宋体"/>
          <w:color w:val="auto"/>
          <w:spacing w:val="3"/>
          <w:sz w:val="24"/>
          <w:szCs w:val="24"/>
          <w:highlight w:val="none"/>
          <w:lang w:val="en-US" w:eastAsia="zh-CN"/>
        </w:rPr>
        <w:t>供应商</w:t>
      </w:r>
      <w:r>
        <w:rPr>
          <w:rFonts w:ascii="宋体" w:hAnsi="宋体" w:eastAsia="宋体" w:cs="宋体"/>
          <w:color w:val="auto"/>
          <w:spacing w:val="3"/>
          <w:sz w:val="24"/>
          <w:szCs w:val="24"/>
          <w:highlight w:val="none"/>
        </w:rPr>
        <w:t>拟采用的机房不能用可燃材料，或采用防火涂料加以保护；</w:t>
      </w:r>
    </w:p>
    <w:p w14:paraId="3488A285">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2.机房需保证通风良好，以保证正常工作和机器的散热；</w:t>
      </w:r>
    </w:p>
    <w:p w14:paraId="7F58B96C">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3.按最大负载电流来选配电源导线和开关；</w:t>
      </w:r>
    </w:p>
    <w:p w14:paraId="151440CA">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4.电缆应采用金属套管或选用阻燃电缆；</w:t>
      </w:r>
    </w:p>
    <w:p w14:paraId="2E0F7A34">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5.电气设备与线路、开关的设置应避开可燃物。</w:t>
      </w:r>
    </w:p>
    <w:p w14:paraId="47F73FA4">
      <w:pPr>
        <w:keepNext/>
        <w:keepLines/>
        <w:widowControl/>
        <w:numPr>
          <w:ilvl w:val="1"/>
          <w:numId w:val="9"/>
        </w:numPr>
        <w:bidi w:val="0"/>
        <w:spacing w:before="50" w:beforeLines="50" w:after="50" w:afterLines="50" w:line="360" w:lineRule="auto"/>
        <w:ind w:left="851" w:leftChars="0" w:hanging="851" w:firstLineChars="0"/>
        <w:jc w:val="both"/>
        <w:outlineLvl w:val="1"/>
        <w:rPr>
          <w:rFonts w:hint="eastAsia" w:ascii="Times New Roman" w:hAnsi="Times New Roman" w:eastAsia="黑体" w:cs="宋体"/>
          <w:b/>
          <w:bCs/>
          <w:color w:val="auto"/>
          <w:kern w:val="2"/>
          <w:sz w:val="24"/>
          <w:szCs w:val="24"/>
          <w:highlight w:val="none"/>
          <w:lang w:val="en-US" w:eastAsia="zh-CN" w:bidi="ar-SA"/>
        </w:rPr>
      </w:pPr>
      <w:bookmarkStart w:id="217" w:name="bookmark77"/>
      <w:bookmarkEnd w:id="217"/>
      <w:bookmarkStart w:id="218" w:name="_Toc21355"/>
      <w:r>
        <w:rPr>
          <w:rFonts w:hint="eastAsia" w:ascii="Times New Roman" w:hAnsi="Times New Roman" w:eastAsia="黑体" w:cs="宋体"/>
          <w:b/>
          <w:bCs/>
          <w:color w:val="auto"/>
          <w:kern w:val="2"/>
          <w:sz w:val="24"/>
          <w:szCs w:val="24"/>
          <w:highlight w:val="none"/>
          <w:lang w:val="en-US" w:eastAsia="zh-CN" w:bidi="ar-SA"/>
        </w:rPr>
        <w:t>职业安全</w:t>
      </w:r>
      <w:bookmarkEnd w:id="218"/>
    </w:p>
    <w:p w14:paraId="7B8FBA7C">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所有用电设备的金属外壳以及所有金属支架均与接地装置连接，设有安全接地，配电系统设有短路保护、过电流保护装置，保证用电安全。</w:t>
      </w:r>
    </w:p>
    <w:p w14:paraId="2E3B3160">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电子设备采取防静电、防辐射措施，防止设备对工作人员的伤害。电气、照明按有关规范选择相应的防爆</w:t>
      </w:r>
      <w:r>
        <w:rPr>
          <w:rFonts w:hint="eastAsia" w:ascii="宋体" w:hAnsi="宋体" w:eastAsia="宋体" w:cs="宋体"/>
          <w:color w:val="auto"/>
          <w:spacing w:val="3"/>
          <w:sz w:val="24"/>
          <w:szCs w:val="24"/>
          <w:highlight w:val="none"/>
          <w:lang w:eastAsia="zh-CN"/>
        </w:rPr>
        <w:t>电气设备</w:t>
      </w:r>
      <w:r>
        <w:rPr>
          <w:rFonts w:ascii="宋体" w:hAnsi="宋体" w:eastAsia="宋体" w:cs="宋体"/>
          <w:color w:val="auto"/>
          <w:spacing w:val="3"/>
          <w:sz w:val="24"/>
          <w:szCs w:val="24"/>
          <w:highlight w:val="none"/>
        </w:rPr>
        <w:t>和照明灯具，对设备、管道进行防雷。</w:t>
      </w:r>
    </w:p>
    <w:p w14:paraId="6BB2BB92">
      <w:pPr>
        <w:keepNext/>
        <w:keepLines/>
        <w:widowControl/>
        <w:numPr>
          <w:ilvl w:val="1"/>
          <w:numId w:val="9"/>
        </w:numPr>
        <w:bidi w:val="0"/>
        <w:spacing w:before="50" w:beforeLines="50" w:after="50" w:afterLines="50" w:line="360" w:lineRule="auto"/>
        <w:ind w:left="851" w:leftChars="0" w:hanging="851" w:firstLineChars="0"/>
        <w:jc w:val="both"/>
        <w:outlineLvl w:val="1"/>
        <w:rPr>
          <w:rFonts w:hint="eastAsia" w:ascii="Times New Roman" w:hAnsi="Times New Roman" w:eastAsia="黑体" w:cs="宋体"/>
          <w:b/>
          <w:bCs/>
          <w:color w:val="auto"/>
          <w:kern w:val="2"/>
          <w:sz w:val="24"/>
          <w:szCs w:val="24"/>
          <w:highlight w:val="none"/>
          <w:lang w:val="en-US" w:eastAsia="zh-CN" w:bidi="ar-SA"/>
        </w:rPr>
      </w:pPr>
      <w:bookmarkStart w:id="219" w:name="_Toc2541"/>
      <w:r>
        <w:rPr>
          <w:rFonts w:hint="eastAsia" w:ascii="Times New Roman" w:hAnsi="Times New Roman" w:eastAsia="黑体" w:cs="宋体"/>
          <w:b/>
          <w:bCs/>
          <w:color w:val="auto"/>
          <w:kern w:val="2"/>
          <w:sz w:val="24"/>
          <w:szCs w:val="24"/>
          <w:highlight w:val="none"/>
          <w:lang w:val="en-US" w:eastAsia="zh-CN" w:bidi="ar-SA"/>
        </w:rPr>
        <w:t>节能分析</w:t>
      </w:r>
      <w:bookmarkEnd w:id="219"/>
    </w:p>
    <w:p w14:paraId="378628FB">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能源是进行社会主义现代化建设和提高人民生活水平的物质基础，因此，合理地利用能源、降低能源消耗，提高能源的利用率，增强节约能源意识，对我国有极其重要的现实意义。</w:t>
      </w:r>
    </w:p>
    <w:p w14:paraId="744569AE">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在项目建设过程中，将严格遵守国家的有关规定，控制能耗，根据有关国家和部门规范和标准，采取的主要的节能措施有：</w:t>
      </w:r>
    </w:p>
    <w:p w14:paraId="2548B891">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1.设备选型对节能提出要求，采用能耗低、技术先进的设备；</w:t>
      </w:r>
    </w:p>
    <w:p w14:paraId="231854E4">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2.选用的各类配套设备，均选用优质节能系列产品；</w:t>
      </w:r>
    </w:p>
    <w:p w14:paraId="7E2B410E">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3.各种管道应采取保温、保冷、隔热等措施；</w:t>
      </w:r>
    </w:p>
    <w:p w14:paraId="02A268E9">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4.空调、电源等设置自动监控系统，根据要求自动调节，节约能源；</w:t>
      </w:r>
    </w:p>
    <w:p w14:paraId="0DF8427C">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5.机房采用低导温系数、高隔热的新型装饰材料。</w:t>
      </w:r>
    </w:p>
    <w:p w14:paraId="5464D12F">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default" w:ascii="宋体" w:hAnsi="宋体" w:eastAsia="宋体" w:cs="宋体"/>
          <w:color w:val="auto"/>
          <w:spacing w:val="3"/>
          <w:sz w:val="24"/>
          <w:szCs w:val="24"/>
          <w:highlight w:val="none"/>
          <w:lang w:val="en-US" w:eastAsia="zh-CN"/>
        </w:rPr>
      </w:pPr>
      <w:r>
        <w:rPr>
          <w:rFonts w:ascii="宋体" w:hAnsi="宋体" w:eastAsia="宋体" w:cs="宋体"/>
          <w:color w:val="auto"/>
          <w:spacing w:val="3"/>
          <w:sz w:val="24"/>
          <w:szCs w:val="24"/>
          <w:highlight w:val="none"/>
        </w:rPr>
        <w:t>本项目遵守《节能产品政府采购实施意见》财库</w:t>
      </w:r>
      <w:r>
        <w:rPr>
          <w:rFonts w:hint="eastAsia" w:ascii="宋体" w:hAnsi="宋体" w:eastAsia="宋体" w:cs="宋体"/>
          <w:color w:val="auto"/>
          <w:spacing w:val="3"/>
          <w:sz w:val="24"/>
          <w:szCs w:val="24"/>
          <w:highlight w:val="none"/>
          <w:lang w:eastAsia="zh-CN"/>
        </w:rPr>
        <w:t>〔2004〕185号</w:t>
      </w:r>
      <w:r>
        <w:rPr>
          <w:rFonts w:ascii="宋体" w:hAnsi="宋体" w:eastAsia="宋体" w:cs="宋体"/>
          <w:color w:val="auto"/>
          <w:spacing w:val="3"/>
          <w:sz w:val="24"/>
          <w:szCs w:val="24"/>
          <w:highlight w:val="none"/>
        </w:rPr>
        <w:t>，在设备采购时购买节能型设备以节约电能。</w:t>
      </w:r>
    </w:p>
    <w:p w14:paraId="631C9D35">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eastAsia" w:ascii="宋体" w:hAnsi="宋体" w:eastAsia="宋体" w:cs="宋体"/>
          <w:color w:val="FF0000"/>
          <w:spacing w:val="3"/>
          <w:sz w:val="24"/>
          <w:szCs w:val="24"/>
          <w:highlight w:val="none"/>
          <w:lang w:val="en-US" w:eastAsia="zh-CN"/>
        </w:rPr>
      </w:pPr>
    </w:p>
    <w:p w14:paraId="43BAF280">
      <w:pPr>
        <w:widowControl w:val="0"/>
        <w:spacing w:before="163" w:after="120" w:line="367" w:lineRule="auto"/>
        <w:ind w:left="219" w:right="80" w:firstLine="469"/>
        <w:jc w:val="both"/>
        <w:rPr>
          <w:rFonts w:ascii="Arial" w:hAnsi="Arial" w:eastAsia="宋体" w:cs="Arial"/>
          <w:snapToGrid w:val="0"/>
          <w:color w:val="FF0000"/>
          <w:kern w:val="0"/>
          <w:sz w:val="24"/>
          <w:szCs w:val="21"/>
          <w:lang w:val="en-US" w:eastAsia="zh-CN" w:bidi="ar-SA"/>
        </w:rPr>
      </w:pPr>
    </w:p>
    <w:p w14:paraId="686071DF">
      <w:pPr>
        <w:rPr>
          <w:rFonts w:hint="eastAsia" w:ascii="黑体" w:hAnsi="黑体" w:eastAsia="黑体" w:cs="Times New Roman"/>
          <w:b/>
          <w:bCs/>
          <w:color w:val="FF0000"/>
          <w:sz w:val="28"/>
          <w:szCs w:val="32"/>
        </w:rPr>
      </w:pPr>
    </w:p>
    <w:p w14:paraId="1257B411">
      <w:pPr>
        <w:keepNext/>
        <w:keepLines/>
        <w:numPr>
          <w:ilvl w:val="0"/>
          <w:numId w:val="10"/>
        </w:numPr>
        <w:spacing w:line="360" w:lineRule="auto"/>
        <w:ind w:left="578" w:hanging="578"/>
        <w:jc w:val="center"/>
        <w:outlineLvl w:val="2"/>
        <w:rPr>
          <w:rFonts w:hint="eastAsia" w:ascii="黑体" w:hAnsi="黑体" w:eastAsia="黑体" w:cs="Times New Roman"/>
          <w:b/>
          <w:bCs/>
          <w:color w:val="auto"/>
          <w:sz w:val="28"/>
          <w:szCs w:val="32"/>
          <w:lang w:val="en-US" w:eastAsia="zh-CN"/>
        </w:rPr>
      </w:pPr>
      <w:bookmarkStart w:id="220" w:name="_Toc7102"/>
      <w:r>
        <w:rPr>
          <w:rFonts w:hint="eastAsia" w:ascii="黑体" w:hAnsi="黑体" w:eastAsia="黑体" w:cs="Times New Roman"/>
          <w:b/>
          <w:bCs/>
          <w:color w:val="auto"/>
          <w:sz w:val="28"/>
          <w:szCs w:val="32"/>
          <w:lang w:val="en-US" w:eastAsia="zh-CN"/>
        </w:rPr>
        <w:t>项目风险分析</w:t>
      </w:r>
    </w:p>
    <w:bookmarkEnd w:id="220"/>
    <w:p w14:paraId="0F113EAC">
      <w:pPr>
        <w:keepNext/>
        <w:keepLines/>
        <w:widowControl/>
        <w:numPr>
          <w:ilvl w:val="0"/>
          <w:numId w:val="0"/>
        </w:numPr>
        <w:bidi w:val="0"/>
        <w:spacing w:before="50" w:beforeLines="50" w:after="50" w:afterLines="50" w:line="360" w:lineRule="auto"/>
        <w:ind w:leftChars="0" w:firstLine="482" w:firstLineChars="200"/>
        <w:jc w:val="both"/>
        <w:outlineLvl w:val="1"/>
        <w:rPr>
          <w:rFonts w:ascii="Times New Roman" w:hAnsi="Times New Roman" w:eastAsia="黑体" w:cs="宋体"/>
          <w:b/>
          <w:bCs/>
          <w:color w:val="auto"/>
          <w:kern w:val="2"/>
          <w:sz w:val="24"/>
          <w:szCs w:val="24"/>
          <w:highlight w:val="none"/>
          <w:lang w:val="zh-CN" w:eastAsia="zh-CN" w:bidi="ar-SA"/>
        </w:rPr>
      </w:pPr>
      <w:bookmarkStart w:id="221" w:name="_Toc19270"/>
      <w:r>
        <w:rPr>
          <w:rFonts w:hint="eastAsia" w:ascii="Times New Roman" w:hAnsi="Times New Roman" w:eastAsia="黑体" w:cs="宋体"/>
          <w:b/>
          <w:bCs/>
          <w:color w:val="auto"/>
          <w:kern w:val="2"/>
          <w:sz w:val="24"/>
          <w:szCs w:val="24"/>
          <w:highlight w:val="none"/>
          <w:lang w:val="en-US" w:eastAsia="zh-CN" w:bidi="ar-SA"/>
        </w:rPr>
        <w:t>1.</w:t>
      </w:r>
      <w:r>
        <w:rPr>
          <w:rFonts w:ascii="Times New Roman" w:hAnsi="Times New Roman" w:eastAsia="黑体" w:cs="宋体"/>
          <w:b/>
          <w:bCs/>
          <w:color w:val="auto"/>
          <w:kern w:val="2"/>
          <w:sz w:val="24"/>
          <w:szCs w:val="24"/>
          <w:highlight w:val="none"/>
          <w:lang w:val="zh-CN" w:eastAsia="zh-CN" w:bidi="ar-SA"/>
        </w:rPr>
        <w:t>风险识别与分析</w:t>
      </w:r>
      <w:bookmarkEnd w:id="221"/>
    </w:p>
    <w:p w14:paraId="142AEB91">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本项目的建设是一项相对复杂的工程，全过程将不可避免面临管理、安全、各方面的风险。</w:t>
      </w:r>
    </w:p>
    <w:p w14:paraId="0E80E03B">
      <w:pPr>
        <w:keepNext/>
        <w:keepLines/>
        <w:widowControl w:val="0"/>
        <w:numPr>
          <w:ilvl w:val="2"/>
          <w:numId w:val="11"/>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zh-CN" w:eastAsia="zh-CN" w:bidi="ar-SA"/>
        </w:rPr>
        <w:t>技术</w:t>
      </w:r>
      <w:r>
        <w:rPr>
          <w:rFonts w:ascii="Arial" w:hAnsi="Arial" w:eastAsia="黑体" w:cs="宋体"/>
          <w:b/>
          <w:bCs/>
          <w:color w:val="auto"/>
          <w:kern w:val="2"/>
          <w:sz w:val="24"/>
          <w:szCs w:val="24"/>
          <w:highlight w:val="none"/>
          <w:lang w:val="zh-CN" w:eastAsia="zh-CN" w:bidi="ar-SA"/>
        </w:rPr>
        <w:t>风险</w:t>
      </w:r>
      <w:r>
        <w:rPr>
          <w:rFonts w:hint="eastAsia" w:ascii="Arial" w:hAnsi="Arial" w:eastAsia="黑体" w:cs="宋体"/>
          <w:b/>
          <w:bCs/>
          <w:color w:val="auto"/>
          <w:kern w:val="2"/>
          <w:sz w:val="24"/>
          <w:szCs w:val="24"/>
          <w:highlight w:val="none"/>
          <w:lang w:val="en-US" w:eastAsia="zh-CN" w:bidi="ar-SA"/>
        </w:rPr>
        <w:t>分析</w:t>
      </w:r>
    </w:p>
    <w:p w14:paraId="3217DB40">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汇聚机房托管设备搬迁风险</w:t>
      </w:r>
    </w:p>
    <w:p w14:paraId="5587068A">
      <w:pPr>
        <w:widowControl w:val="0"/>
        <w:numPr>
          <w:ilvl w:val="4"/>
          <w:numId w:val="11"/>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数据完整性风险</w:t>
      </w:r>
    </w:p>
    <w:p w14:paraId="14718CAC">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VCN3000 存储服务器存储大量智能天网监控视频数据，搬迁过程中若断电流程不规范、数据备份不完整，可能导致数据丢失或损坏。该设备采用磁盘阵列架构，强制断电可能引发 RAID 阵列一致性校验失败，导致部分视频片段无法读取。</w:t>
      </w:r>
    </w:p>
    <w:p w14:paraId="247C5177">
      <w:pPr>
        <w:widowControl w:val="0"/>
        <w:numPr>
          <w:ilvl w:val="4"/>
          <w:numId w:val="11"/>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硬件适配风险</w:t>
      </w:r>
    </w:p>
    <w:p w14:paraId="1F164666">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VCN3000 设备服役年限较长，部分接口（如 SATA 硬盘接口、以太网接口）可能存在老化，搬迁后可能出现与新机房机柜电源、网络布线的适配问题，导致设备无法正常供电或联网。</w:t>
      </w:r>
    </w:p>
    <w:p w14:paraId="4E9E55DD">
      <w:pPr>
        <w:widowControl w:val="0"/>
        <w:numPr>
          <w:ilvl w:val="4"/>
          <w:numId w:val="11"/>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高可用性风险</w:t>
      </w:r>
    </w:p>
    <w:p w14:paraId="73A6545F">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OceanStor 5000F 作为核心存储设备，采用双控制器冗余架构，搬迁过程中若控制器切换不当或缓存数据未同步，可能导致存储集群故障，影响视频数据读写服务。</w:t>
      </w:r>
    </w:p>
    <w:p w14:paraId="0911D690">
      <w:pPr>
        <w:widowControl w:val="0"/>
        <w:numPr>
          <w:ilvl w:val="4"/>
          <w:numId w:val="11"/>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精密部件损坏风险</w:t>
      </w:r>
    </w:p>
    <w:p w14:paraId="4CAF81A5">
      <w:pPr>
        <w:spacing w:line="360" w:lineRule="auto"/>
        <w:ind w:firstLine="492"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val="en-US" w:eastAsia="zh-CN"/>
        </w:rPr>
        <w:t>机房托管</w:t>
      </w:r>
      <w:r>
        <w:rPr>
          <w:rFonts w:hint="eastAsia" w:ascii="宋体" w:hAnsi="宋体" w:eastAsia="宋体" w:cs="宋体"/>
          <w:color w:val="auto"/>
          <w:spacing w:val="3"/>
          <w:sz w:val="24"/>
          <w:szCs w:val="24"/>
          <w:highlight w:val="none"/>
          <w:lang w:eastAsia="zh-CN"/>
        </w:rPr>
        <w:t>设备包含精密部件（如光纤通道卡、缓存模块），对振动、静电</w:t>
      </w:r>
      <w:r>
        <w:rPr>
          <w:rFonts w:hint="eastAsia" w:ascii="宋体" w:hAnsi="宋体" w:eastAsia="宋体" w:cs="宋体"/>
          <w:color w:val="auto"/>
          <w:sz w:val="24"/>
          <w:szCs w:val="24"/>
          <w:highlight w:val="none"/>
          <w:lang w:eastAsia="zh-CN"/>
        </w:rPr>
        <w:t>敏</w:t>
      </w:r>
      <w:r>
        <w:rPr>
          <w:rFonts w:hint="eastAsia" w:ascii="宋体" w:hAnsi="宋体" w:eastAsia="宋体" w:cs="宋体"/>
          <w:color w:val="auto"/>
          <w:spacing w:val="3"/>
          <w:sz w:val="24"/>
          <w:szCs w:val="24"/>
          <w:highlight w:val="none"/>
          <w:lang w:eastAsia="zh-CN"/>
        </w:rPr>
        <w:t>感，搬迁过程中若防护不当，可能导致部件接触不良或物理损坏，影响存储性能。</w:t>
      </w:r>
    </w:p>
    <w:p w14:paraId="72299009">
      <w:pPr>
        <w:widowControl w:val="0"/>
        <w:numPr>
          <w:ilvl w:val="4"/>
          <w:numId w:val="11"/>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配置丢失风险</w:t>
      </w:r>
    </w:p>
    <w:p w14:paraId="1CDC34FE">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S7706 交换机作为汇聚层核心设备，存储大量网络配置（如 VLAN 划分、路由策略、安全规则），搬迁过程中若配置未备份或备份文件损坏，可能导致设备重启后配置丢失，需重新部署，延长业务中断时间。</w:t>
      </w:r>
    </w:p>
    <w:p w14:paraId="5FCDAF8F">
      <w:pPr>
        <w:widowControl w:val="0"/>
        <w:numPr>
          <w:ilvl w:val="4"/>
          <w:numId w:val="11"/>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链路对接风险</w:t>
      </w:r>
    </w:p>
    <w:p w14:paraId="17CE7D65">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val="en-US" w:eastAsia="zh-CN"/>
        </w:rPr>
        <w:t>汇聚</w:t>
      </w:r>
      <w:r>
        <w:rPr>
          <w:rFonts w:hint="eastAsia" w:ascii="宋体" w:hAnsi="宋体" w:eastAsia="宋体" w:cs="宋体"/>
          <w:color w:val="auto"/>
          <w:spacing w:val="3"/>
          <w:sz w:val="24"/>
          <w:szCs w:val="24"/>
          <w:highlight w:val="none"/>
          <w:lang w:eastAsia="zh-CN"/>
        </w:rPr>
        <w:t>交换机搬迁后需重新连接核心层、接入层链路，若端口标识不清、光纤极性错误或链路协商失败，可能导致链路不通，影响视频数据上传至核心机房。</w:t>
      </w:r>
    </w:p>
    <w:p w14:paraId="5D1AD876">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网络架构兼容性风险</w:t>
      </w:r>
    </w:p>
    <w:p w14:paraId="12D646E0">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rPr>
        <w:t>本项目在现有网络架构基础上</w:t>
      </w:r>
      <w:r>
        <w:rPr>
          <w:rFonts w:hint="eastAsia" w:ascii="宋体" w:hAnsi="宋体" w:eastAsia="宋体" w:cs="宋体"/>
          <w:color w:val="auto"/>
          <w:spacing w:val="3"/>
          <w:sz w:val="24"/>
          <w:szCs w:val="24"/>
          <w:highlight w:val="none"/>
          <w:lang w:val="en-US" w:eastAsia="zh-CN"/>
        </w:rPr>
        <w:t>租用新的链路</w:t>
      </w:r>
      <w:r>
        <w:rPr>
          <w:rFonts w:hint="eastAsia" w:ascii="宋体" w:hAnsi="宋体" w:eastAsia="宋体" w:cs="宋体"/>
          <w:color w:val="auto"/>
          <w:spacing w:val="3"/>
          <w:sz w:val="24"/>
          <w:szCs w:val="24"/>
          <w:highlight w:val="none"/>
        </w:rPr>
        <w:t>，可能存在新租赁链路与原有核心层、汇聚层设备（如市公安局S10506X-G核心交换机、S7706汇聚交换机）兼容性不足的问题，导致数据传输中断或带宽不达标。此外，本期租用的4625条+1项链路涉及多种规格（裸光纤、10G电路、1G电路等），不同传输技术（PON、OTN、裸光纤直传）的混合组网可能引发协议冲突</w:t>
      </w:r>
      <w:r>
        <w:rPr>
          <w:rFonts w:hint="eastAsia" w:ascii="宋体" w:hAnsi="宋体" w:eastAsia="宋体" w:cs="宋体"/>
          <w:color w:val="auto"/>
          <w:spacing w:val="3"/>
          <w:sz w:val="24"/>
          <w:szCs w:val="24"/>
          <w:highlight w:val="none"/>
          <w:lang w:eastAsia="zh-CN"/>
        </w:rPr>
        <w:t>。</w:t>
      </w:r>
    </w:p>
    <w:p w14:paraId="55D3CDB1">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高带宽传输稳定性风险</w:t>
      </w:r>
    </w:p>
    <w:p w14:paraId="24A6EE77">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智能天网800W/900W像素摄像头采用</w:t>
      </w:r>
      <w:r>
        <w:rPr>
          <w:rFonts w:hint="eastAsia" w:ascii="宋体" w:hAnsi="宋体" w:eastAsia="宋体" w:cs="宋体"/>
          <w:color w:val="auto"/>
          <w:spacing w:val="3"/>
          <w:sz w:val="24"/>
          <w:szCs w:val="24"/>
          <w:highlight w:val="none"/>
          <w:lang w:eastAsia="zh-CN"/>
        </w:rPr>
        <w:t>H.264</w:t>
      </w:r>
      <w:r>
        <w:rPr>
          <w:rFonts w:hint="eastAsia" w:ascii="宋体" w:hAnsi="宋体" w:eastAsia="宋体" w:cs="宋体"/>
          <w:color w:val="auto"/>
          <w:spacing w:val="3"/>
          <w:sz w:val="24"/>
          <w:szCs w:val="24"/>
          <w:highlight w:val="none"/>
        </w:rPr>
        <w:t>编码，单路码流达12-14Mbps，2984条100M电路和1076条50M电路需同时承载多路高清视频流，可能因带宽分配不合理导致丢包率超过1×10⁻³、时延抖动</w:t>
      </w:r>
      <w:r>
        <w:rPr>
          <w:rFonts w:hint="eastAsia" w:ascii="宋体" w:hAnsi="宋体" w:eastAsia="宋体" w:cs="宋体"/>
          <w:color w:val="auto"/>
          <w:spacing w:val="3"/>
          <w:sz w:val="24"/>
          <w:szCs w:val="24"/>
          <w:highlight w:val="none"/>
          <w:lang w:eastAsia="zh-CN"/>
        </w:rPr>
        <w:t>超过</w:t>
      </w:r>
      <w:r>
        <w:rPr>
          <w:rFonts w:hint="eastAsia" w:ascii="宋体" w:hAnsi="宋体" w:eastAsia="宋体" w:cs="宋体"/>
          <w:color w:val="auto"/>
          <w:spacing w:val="3"/>
          <w:sz w:val="24"/>
          <w:szCs w:val="24"/>
          <w:highlight w:val="none"/>
        </w:rPr>
        <w:t>50ms，影响视频实时性。</w:t>
      </w:r>
    </w:p>
    <w:p w14:paraId="6E8F29E1">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割接期间业务中断风险</w:t>
      </w:r>
    </w:p>
    <w:p w14:paraId="1FCAE699">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rPr>
        <w:t>原有租赁网络到期后，新链路割接需对4385条既有链路和新增163条链路进行设备调试（如ONU配置、VLAN划分、路由协议更新），可能导致公安天网、数字城管等关键业务中断超4小时，违反“99.9%可用性”要求</w:t>
      </w:r>
      <w:r>
        <w:rPr>
          <w:rFonts w:hint="eastAsia" w:ascii="宋体" w:hAnsi="宋体" w:eastAsia="宋体" w:cs="宋体"/>
          <w:color w:val="auto"/>
          <w:spacing w:val="3"/>
          <w:sz w:val="24"/>
          <w:szCs w:val="24"/>
          <w:highlight w:val="none"/>
          <w:lang w:eastAsia="zh-CN"/>
        </w:rPr>
        <w:t>。</w:t>
      </w:r>
    </w:p>
    <w:p w14:paraId="7F732A2F">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设备调试兼容性风险</w:t>
      </w:r>
    </w:p>
    <w:p w14:paraId="4E569BD2">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割接后需对前端2866个摄像头、60个机房机柜设备进行参数配置（如IP地址划分、端口映射），可能因新旧设备固件版本不一致（如摄像头支持H.26</w:t>
      </w:r>
      <w:r>
        <w:rPr>
          <w:rFonts w:hint="eastAsia" w:ascii="宋体" w:hAnsi="宋体" w:eastAsia="宋体" w:cs="宋体"/>
          <w:color w:val="auto"/>
          <w:spacing w:val="3"/>
          <w:sz w:val="24"/>
          <w:szCs w:val="24"/>
          <w:highlight w:val="none"/>
          <w:lang w:val="en-US" w:eastAsia="zh-CN"/>
        </w:rPr>
        <w:t>5</w:t>
      </w:r>
      <w:r>
        <w:rPr>
          <w:rFonts w:hint="eastAsia" w:ascii="宋体" w:hAnsi="宋体" w:eastAsia="宋体" w:cs="宋体"/>
          <w:color w:val="auto"/>
          <w:spacing w:val="3"/>
          <w:sz w:val="24"/>
          <w:szCs w:val="24"/>
          <w:highlight w:val="none"/>
          <w:lang w:eastAsia="zh-CN"/>
        </w:rPr>
        <w:t>但后端存储仅支持H.264）导致视频无法存储，或因VLAN配置错误引发跨网段访问故障。</w:t>
      </w:r>
    </w:p>
    <w:p w14:paraId="12FF2578">
      <w:pPr>
        <w:keepNext/>
        <w:keepLines/>
        <w:widowControl w:val="0"/>
        <w:numPr>
          <w:ilvl w:val="2"/>
          <w:numId w:val="11"/>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ascii="Arial" w:hAnsi="Arial" w:eastAsia="黑体" w:cs="宋体"/>
          <w:b/>
          <w:bCs/>
          <w:color w:val="auto"/>
          <w:kern w:val="2"/>
          <w:sz w:val="24"/>
          <w:szCs w:val="24"/>
          <w:highlight w:val="none"/>
          <w:lang w:val="zh-CN" w:eastAsia="zh-CN" w:bidi="ar-SA"/>
        </w:rPr>
        <w:t>安全风险</w:t>
      </w:r>
    </w:p>
    <w:p w14:paraId="5433AB5D">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数据集中到</w:t>
      </w:r>
      <w:r>
        <w:rPr>
          <w:rFonts w:hint="eastAsia" w:ascii="宋体" w:hAnsi="宋体" w:eastAsia="宋体" w:cs="宋体"/>
          <w:color w:val="auto"/>
          <w:spacing w:val="3"/>
          <w:sz w:val="24"/>
          <w:szCs w:val="24"/>
          <w:highlight w:val="none"/>
          <w:lang w:eastAsia="zh-CN"/>
        </w:rPr>
        <w:t>郴州市数据局</w:t>
      </w:r>
      <w:r>
        <w:rPr>
          <w:rFonts w:ascii="宋体" w:hAnsi="宋体" w:eastAsia="宋体" w:cs="宋体"/>
          <w:color w:val="auto"/>
          <w:spacing w:val="3"/>
          <w:sz w:val="24"/>
          <w:szCs w:val="24"/>
          <w:highlight w:val="none"/>
        </w:rPr>
        <w:t>机房和郴州市公安局机房后，安全问题是一个非常关键的问题，如果安全管理跟不上，就可能造成数据滥用和国家机密、个人隐私泄露等问题。同时项目安全面临着系统稳定性和集中化的风险，网络一旦出现问题，可能出现数据丢失、乱码、更新不及时等风险；此外如水、电、温度等自然灾害也会对集中的计算机造成巨大的损害。</w:t>
      </w:r>
    </w:p>
    <w:p w14:paraId="359E9100">
      <w:pPr>
        <w:keepNext/>
        <w:keepLines/>
        <w:widowControl w:val="0"/>
        <w:numPr>
          <w:ilvl w:val="2"/>
          <w:numId w:val="11"/>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非技术风险分析</w:t>
      </w:r>
    </w:p>
    <w:p w14:paraId="212A9D0D">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管理机构认识上的风险。租赁项目</w:t>
      </w:r>
      <w:r>
        <w:rPr>
          <w:rFonts w:hint="eastAsia" w:ascii="宋体" w:hAnsi="宋体" w:eastAsia="宋体" w:cs="宋体"/>
          <w:color w:val="auto"/>
          <w:spacing w:val="3"/>
          <w:sz w:val="24"/>
          <w:szCs w:val="24"/>
          <w:highlight w:val="none"/>
          <w:lang w:eastAsia="zh-CN"/>
        </w:rPr>
        <w:t>是一</w:t>
      </w:r>
      <w:r>
        <w:rPr>
          <w:rFonts w:ascii="宋体" w:hAnsi="宋体" w:eastAsia="宋体" w:cs="宋体"/>
          <w:color w:val="auto"/>
          <w:spacing w:val="3"/>
          <w:sz w:val="24"/>
          <w:szCs w:val="24"/>
          <w:highlight w:val="none"/>
        </w:rPr>
        <w:t>个周期跨度长、技术方案迭代演进、资金人力投入庞大的服务工程，如果存在认知上的偏差，容易导致项目开展实施上偏离轨道。</w:t>
      </w:r>
    </w:p>
    <w:p w14:paraId="06D7C16D">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项目范围、需求是否稳定。会根据实际需求或建设周期有所变化，导致原设备性能、服务内容不能满足实际需求，增加了项目规划、设计和实施的难度。项目范围、需求的不稳定和不可控将会构成项目的成本风险和进度风险。</w:t>
      </w:r>
    </w:p>
    <w:p w14:paraId="6111CB69">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运维管理风险。运维过程中运维管理人员能力不足、重视不够或者管理手段单一等因素将带来系统管理风险。运营商、系统集成商、系统供应商后期支持力度不足也是</w:t>
      </w:r>
      <w:r>
        <w:rPr>
          <w:rFonts w:hint="eastAsia" w:ascii="宋体" w:hAnsi="宋体" w:eastAsia="宋体" w:cs="宋体"/>
          <w:color w:val="auto"/>
          <w:spacing w:val="3"/>
          <w:sz w:val="24"/>
          <w:szCs w:val="24"/>
          <w:highlight w:val="none"/>
          <w:lang w:eastAsia="zh-CN"/>
        </w:rPr>
        <w:t>必须</w:t>
      </w:r>
      <w:r>
        <w:rPr>
          <w:rFonts w:ascii="宋体" w:hAnsi="宋体" w:eastAsia="宋体" w:cs="宋体"/>
          <w:color w:val="auto"/>
          <w:spacing w:val="3"/>
          <w:sz w:val="24"/>
          <w:szCs w:val="24"/>
          <w:highlight w:val="none"/>
        </w:rPr>
        <w:t>考虑的风险要素。</w:t>
      </w:r>
    </w:p>
    <w:p w14:paraId="0C6D5430">
      <w:pPr>
        <w:keepNext/>
        <w:keepLines/>
        <w:widowControl/>
        <w:numPr>
          <w:ilvl w:val="1"/>
          <w:numId w:val="11"/>
        </w:numPr>
        <w:bidi w:val="0"/>
        <w:spacing w:before="50" w:beforeLines="50" w:after="50" w:afterLines="50" w:line="360" w:lineRule="auto"/>
        <w:ind w:left="851" w:leftChars="0" w:hanging="851" w:firstLineChars="0"/>
        <w:jc w:val="both"/>
        <w:outlineLvl w:val="1"/>
        <w:rPr>
          <w:rFonts w:ascii="Times New Roman" w:hAnsi="Times New Roman" w:eastAsia="黑体" w:cs="宋体"/>
          <w:b/>
          <w:bCs/>
          <w:color w:val="auto"/>
          <w:kern w:val="2"/>
          <w:sz w:val="24"/>
          <w:szCs w:val="24"/>
          <w:highlight w:val="none"/>
          <w:lang w:val="zh-CN" w:eastAsia="zh-CN" w:bidi="ar-SA"/>
        </w:rPr>
      </w:pPr>
      <w:bookmarkStart w:id="222" w:name="bookmark94"/>
      <w:bookmarkEnd w:id="222"/>
      <w:bookmarkStart w:id="223" w:name="_Toc8318"/>
      <w:r>
        <w:rPr>
          <w:rFonts w:ascii="Times New Roman" w:hAnsi="Times New Roman" w:eastAsia="黑体" w:cs="宋体"/>
          <w:b/>
          <w:bCs/>
          <w:color w:val="auto"/>
          <w:kern w:val="2"/>
          <w:sz w:val="24"/>
          <w:szCs w:val="24"/>
          <w:highlight w:val="none"/>
          <w:lang w:val="zh-CN" w:eastAsia="zh-CN" w:bidi="ar-SA"/>
        </w:rPr>
        <w:t>风险对策与控制</w:t>
      </w:r>
      <w:bookmarkEnd w:id="223"/>
    </w:p>
    <w:p w14:paraId="0B8C2AE9">
      <w:pPr>
        <w:keepNext/>
        <w:keepLines/>
        <w:widowControl w:val="0"/>
        <w:numPr>
          <w:ilvl w:val="2"/>
          <w:numId w:val="11"/>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ascii="Arial" w:hAnsi="Arial" w:eastAsia="黑体" w:cs="宋体"/>
          <w:b/>
          <w:bCs/>
          <w:color w:val="auto"/>
          <w:kern w:val="2"/>
          <w:sz w:val="24"/>
          <w:szCs w:val="24"/>
          <w:highlight w:val="none"/>
          <w:lang w:val="zh-CN" w:eastAsia="zh-CN" w:bidi="ar-SA"/>
        </w:rPr>
        <w:t>技术风险的控制</w:t>
      </w:r>
    </w:p>
    <w:p w14:paraId="24F4FF03">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汇聚机房托管设备搬迁风险对策</w:t>
      </w:r>
    </w:p>
    <w:p w14:paraId="0BD615FD">
      <w:pPr>
        <w:widowControl w:val="0"/>
        <w:numPr>
          <w:ilvl w:val="4"/>
          <w:numId w:val="11"/>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数据完整性风险对策</w:t>
      </w:r>
    </w:p>
    <w:p w14:paraId="67199A66">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数据全量备份：搬迁前 72 小时启动数据备份流程，通过专用备份软件将存储数据同步至临时备份服务器，备份完成后校验数据完整性（哈希值比对），确保备份成功率 100%。</w:t>
      </w:r>
    </w:p>
    <w:p w14:paraId="7B4A450C">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规范断电流程：严格按照设备手册执行断电操作，先停止视频写入任务，待磁盘阵列缓存数据完全写入后，依次关闭存储服务器电源、阵列柜电源，避免强制断电。</w:t>
      </w:r>
    </w:p>
    <w:p w14:paraId="6179A0AB">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数据迁移验证：搬迁后通电启动时，优先检查 RAID 阵列状态，通过设备管理界面确认所有磁盘正常在线，无坏道或一致性错误；随机抽取 10% 的历史视频文件进行播放测试，验证数据完整性。</w:t>
      </w:r>
    </w:p>
    <w:p w14:paraId="027A22CB">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硬件适配风险对策</w:t>
      </w:r>
    </w:p>
    <w:p w14:paraId="5DD65678">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硬件预检：搬迁前全面检测设备接口状态，更换老化的电源接口、网线接口；对硬盘进行健康度检测（SMART 指令），提前更换预警硬盘。</w:t>
      </w:r>
    </w:p>
    <w:p w14:paraId="007ABEBC">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机柜兼容性改造：新机房机柜预留适配 VCN3000 的电源接口（如 16A 工业插座），并根据设备尺寸调整机柜内部滑道，确保安装稳固。</w:t>
      </w:r>
    </w:p>
    <w:p w14:paraId="27976D1E">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临时适配方案：准备接口转换适配器（如 SATA 转 SAS、千兆电口转光口），应对新旧接口不兼容问题，保障设备通电后可正常接入网络。</w:t>
      </w:r>
    </w:p>
    <w:p w14:paraId="6BFF1B27">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高可用性风险对策</w:t>
      </w:r>
    </w:p>
    <w:p w14:paraId="3EEF87C7">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冗余切换测试：搬迁前在原机房进行控制器主备切换测试，验证故障切换功能正常；通过存储管理软件确认缓存数据已完全同步至磁盘，避免切换过程中数据丢失。</w:t>
      </w:r>
    </w:p>
    <w:p w14:paraId="5E0FE0CF">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分步断电迁移：先关闭备用控制器电源，迁移完成并通电验证后，再关闭主控制器，确保任一时刻至少有一个控制器处于可恢复状态。</w:t>
      </w:r>
    </w:p>
    <w:p w14:paraId="26B764A0">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集群重建预案：若搬迁后出现集群故障，立即启动预设的集群重建流程，通过管理软件重新配置控制器互联链路、逻辑卷映射，恢复存储服务。</w:t>
      </w:r>
    </w:p>
    <w:p w14:paraId="5AD06A10">
      <w:pPr>
        <w:widowControl w:val="0"/>
        <w:numPr>
          <w:ilvl w:val="4"/>
          <w:numId w:val="11"/>
        </w:numPr>
        <w:bidi w:val="0"/>
        <w:spacing w:before="120" w:after="120" w:line="360" w:lineRule="auto"/>
        <w:ind w:left="0" w:leftChars="0" w:firstLine="0" w:firstLineChars="0"/>
        <w:jc w:val="both"/>
        <w:outlineLvl w:val="4"/>
        <w:rPr>
          <w:rFonts w:hint="default"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精密部件损坏风险对策</w:t>
      </w:r>
    </w:p>
    <w:p w14:paraId="511AEBF5">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专业包装运输：使用原厂防震包装，将光纤通道卡、缓存模块等易损部件拆卸后单独存储于防静电包装盒，运输过程中避免剧烈振动（振动加速度≤5G）。</w:t>
      </w:r>
    </w:p>
    <w:p w14:paraId="48A513D1">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现场防静电措施：新机房地面铺设防静电地板，操作人员佩戴防静电手环，设备安装前进行静电释放处理。</w:t>
      </w:r>
    </w:p>
    <w:p w14:paraId="3BED48F1">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部件功能测试：搬迁后逐一检查精密部件的接口连接状态，通过设备诊断工具进行功能测试，确保光纤通道卡数据传输速率达标、缓存模块读写正常。</w:t>
      </w:r>
    </w:p>
    <w:p w14:paraId="1CE04915">
      <w:pPr>
        <w:widowControl w:val="0"/>
        <w:numPr>
          <w:ilvl w:val="4"/>
          <w:numId w:val="11"/>
        </w:numPr>
        <w:bidi w:val="0"/>
        <w:spacing w:before="120" w:after="120" w:line="360" w:lineRule="auto"/>
        <w:ind w:left="0" w:leftChars="0" w:firstLine="0" w:firstLineChars="0"/>
        <w:jc w:val="both"/>
        <w:outlineLvl w:val="4"/>
        <w:rPr>
          <w:rFonts w:hint="default"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配置丢失风险对策</w:t>
      </w:r>
    </w:p>
    <w:p w14:paraId="01E94552">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多重配置备份：通过交换机 Console 口、Web 管理界面、TFTP 服务器三种方式备份配置文件，备份文件存储于本地服务器和移动硬盘双介质，备份后验证文件完整性。</w:t>
      </w:r>
    </w:p>
    <w:p w14:paraId="3F87D692">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配置固化操作：在断电前执行配置保存命令（save），确保运行配置写入启动配置文件；记录设备关键参数（如 IP 地址、端口速率、链路聚合模式），形成纸质配置清单备用。</w:t>
      </w:r>
    </w:p>
    <w:p w14:paraId="7EF12345">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快速恢复机制：搬迁后优先导入备份配置文件，通过配置比对工具校验与原配置的一致性，对差异项进行人工核对调整，缩短配置恢复时间。</w:t>
      </w:r>
    </w:p>
    <w:p w14:paraId="39E81CF8">
      <w:pPr>
        <w:widowControl w:val="0"/>
        <w:numPr>
          <w:ilvl w:val="4"/>
          <w:numId w:val="11"/>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链路对接风险对策</w:t>
      </w:r>
    </w:p>
    <w:p w14:paraId="095EB14B">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链路标签化管理：搬迁前对交换机所有端口及连接光纤进行编号标识，记录 “端口号 - 链路类型 - 对端设备” 对应关系，形成链路拓扑图。</w:t>
      </w:r>
    </w:p>
    <w:p w14:paraId="57E5A5AE">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光纤预测试：新机房链路部署前，使用光功率计测试光纤衰减值（单模光纤≤0.35dB/km），通过 OTDR 检测光纤断点或弯曲过度问题，确保链路质量达标。</w:t>
      </w:r>
    </w:p>
    <w:p w14:paraId="2E18494B">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分步链路激活：搬迁后按 “核心层链路→汇聚层链路→接入层链路” 顺序逐一连接，每激活一条链路通过 ping 命令、端口指示灯状态验证连通性，出现故障立即回退排查。</w:t>
      </w:r>
    </w:p>
    <w:p w14:paraId="7192CF23">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网络架构兼容性风险对策</w:t>
      </w:r>
    </w:p>
    <w:p w14:paraId="211044B8">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前期开展全面的设备兼容性测试，要求</w:t>
      </w:r>
      <w:r>
        <w:rPr>
          <w:rFonts w:hint="eastAsia" w:ascii="宋体" w:hAnsi="宋体" w:eastAsia="宋体" w:cs="宋体"/>
          <w:color w:val="auto"/>
          <w:spacing w:val="3"/>
          <w:sz w:val="24"/>
          <w:szCs w:val="24"/>
          <w:highlight w:val="none"/>
          <w:lang w:val="en-US" w:eastAsia="zh-CN"/>
        </w:rPr>
        <w:t>供应商</w:t>
      </w:r>
      <w:r>
        <w:rPr>
          <w:rFonts w:hint="eastAsia" w:ascii="宋体" w:hAnsi="宋体" w:eastAsia="宋体" w:cs="宋体"/>
          <w:color w:val="auto"/>
          <w:spacing w:val="3"/>
          <w:sz w:val="24"/>
          <w:szCs w:val="24"/>
          <w:highlight w:val="none"/>
        </w:rPr>
        <w:t>提供与现有</w:t>
      </w:r>
      <w:r>
        <w:rPr>
          <w:rFonts w:hint="eastAsia" w:ascii="宋体" w:hAnsi="宋体" w:eastAsia="宋体" w:cs="宋体"/>
          <w:color w:val="auto"/>
          <w:spacing w:val="3"/>
          <w:sz w:val="24"/>
          <w:szCs w:val="24"/>
          <w:highlight w:val="none"/>
          <w:lang w:val="en-US" w:eastAsia="zh-CN"/>
        </w:rPr>
        <w:t>网络设备</w:t>
      </w:r>
      <w:r>
        <w:rPr>
          <w:rFonts w:hint="eastAsia" w:ascii="宋体" w:hAnsi="宋体" w:eastAsia="宋体" w:cs="宋体"/>
          <w:color w:val="auto"/>
          <w:spacing w:val="3"/>
          <w:sz w:val="24"/>
          <w:szCs w:val="24"/>
          <w:highlight w:val="none"/>
        </w:rPr>
        <w:t>等品牌设备的互通测试报告，确保新链路与核心交换机、OLT设备的协议匹配（如支持GB/T28181-2022视频联网协议）。​</w:t>
      </w:r>
    </w:p>
    <w:p w14:paraId="7DAC6719">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对混合组网的链路进行分段验证，针对裸光纤链路采用单模光纤传输（支持10Gbps以上速率），对PON接入的链路进行分光比优化（不超过1:32），避免光衰过大导致的信号丢失。​</w:t>
      </w:r>
    </w:p>
    <w:p w14:paraId="7A26B3E5">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保留原有网络拓扑图在新增链路部署前进行仿真测试，模拟峰值流量下的网络负载，确保链路带宽利用率不超过70%。</w:t>
      </w:r>
    </w:p>
    <w:p w14:paraId="3A62A1A8">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高带宽传输稳定性风险对策</w:t>
      </w:r>
    </w:p>
    <w:p w14:paraId="59535989">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采用QoS（服务质量）分级调度，为公安卡口、应急指挥等关键点位配置带宽优先级，确保其丢包率≤0.5×10⁻³、时延≤100ms。​</w:t>
      </w:r>
    </w:p>
    <w:p w14:paraId="7FB1A30D">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在汇聚层部署流量监控系统（如华为iManagerN2000），实时监测链路带宽利用率，当单条链路负载超过80%时自动触发告警，通过链路聚合技术（LACP）扩容带宽。​</w:t>
      </w:r>
    </w:p>
    <w:p w14:paraId="32BE0486">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对9县2区的10G汇聚链路采用双路由保护，确保单路由故障时50ms内自动切换至备用路由。</w:t>
      </w:r>
    </w:p>
    <w:p w14:paraId="5D1209F0">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割接期间业务中断风险对策</w:t>
      </w:r>
    </w:p>
    <w:p w14:paraId="74FD8DB0">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制定“双窗口割接”方案：核心层、汇聚层割接安排在凌晨2:00-5:00（业务低峰期），接入层采用“先并行运行、后断旧链路”的方式，确保新旧链路切换时间≤30分钟。​</w:t>
      </w:r>
    </w:p>
    <w:p w14:paraId="096AE8FC">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对公安14个派出所的200M电路、</w:t>
      </w:r>
      <w:r>
        <w:rPr>
          <w:rFonts w:hint="eastAsia" w:ascii="宋体" w:hAnsi="宋体" w:eastAsia="宋体" w:cs="宋体"/>
          <w:color w:val="auto"/>
          <w:spacing w:val="3"/>
          <w:sz w:val="24"/>
          <w:szCs w:val="24"/>
          <w:highlight w:val="none"/>
          <w:lang w:eastAsia="zh-CN"/>
        </w:rPr>
        <w:t>交通管理支队</w:t>
      </w:r>
      <w:r>
        <w:rPr>
          <w:rFonts w:hint="eastAsia" w:ascii="宋体" w:hAnsi="宋体" w:eastAsia="宋体" w:cs="宋体"/>
          <w:color w:val="auto"/>
          <w:spacing w:val="3"/>
          <w:sz w:val="24"/>
          <w:szCs w:val="24"/>
          <w:highlight w:val="none"/>
        </w:rPr>
        <w:t>121条裸光纤等关键链路，配置临时备用4G/5G路由（使用项目内92张流量卡资源），割接期间通过无线链路临时承载业务。​</w:t>
      </w:r>
    </w:p>
    <w:p w14:paraId="3EAB0D30">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成立由建设单位、</w:t>
      </w:r>
      <w:r>
        <w:rPr>
          <w:rFonts w:hint="eastAsia" w:ascii="宋体" w:hAnsi="宋体" w:eastAsia="宋体" w:cs="宋体"/>
          <w:color w:val="auto"/>
          <w:spacing w:val="3"/>
          <w:sz w:val="24"/>
          <w:szCs w:val="24"/>
          <w:highlight w:val="none"/>
          <w:lang w:val="en-US" w:eastAsia="zh-CN"/>
        </w:rPr>
        <w:t>供应商</w:t>
      </w:r>
      <w:r>
        <w:rPr>
          <w:rFonts w:hint="eastAsia" w:ascii="宋体" w:hAnsi="宋体" w:eastAsia="宋体" w:cs="宋体"/>
          <w:color w:val="auto"/>
          <w:spacing w:val="3"/>
          <w:sz w:val="24"/>
          <w:szCs w:val="24"/>
          <w:highlight w:val="none"/>
        </w:rPr>
        <w:t>、设备厂商组成的联合指挥部，割接前24小时进行全流程演练，留存应急预案（含联系方式、备用设备清单）。</w:t>
      </w:r>
    </w:p>
    <w:p w14:paraId="77EF1A7D">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设备调试兼容性风险对策</w:t>
      </w:r>
    </w:p>
    <w:p w14:paraId="23E509D8">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要求提供兼容性清单，制定统一的IP地址规划方案（遵循CIDR标准），割接后通过Ping测试和端口扫描验证连通性。对调试后的链路进行72小时压力测试，模拟98%线路满负载场景，重点监测丢包率、时延等指标（参照表5《IP承载网络端到端通信质量要求表》）。</w:t>
      </w:r>
    </w:p>
    <w:p w14:paraId="2E8B2F4D">
      <w:pPr>
        <w:keepNext/>
        <w:keepLines/>
        <w:widowControl w:val="0"/>
        <w:numPr>
          <w:ilvl w:val="2"/>
          <w:numId w:val="11"/>
        </w:numPr>
        <w:bidi w:val="0"/>
        <w:adjustRightInd w:val="0"/>
        <w:spacing w:before="50" w:beforeLines="50" w:after="50" w:afterLines="50" w:line="360" w:lineRule="auto"/>
        <w:ind w:left="420" w:leftChars="0" w:hanging="180" w:firstLineChars="0"/>
        <w:jc w:val="both"/>
        <w:outlineLvl w:val="2"/>
        <w:rPr>
          <w:rFonts w:hint="default"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安全风险对策</w:t>
      </w:r>
    </w:p>
    <w:p w14:paraId="210D2C27">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1）技术和管理并重的原则。整个系统安全建设强度取决于系统中最薄弱的环节，计算机网络信息系统的安全问题从来不是单纯的技术问题，必须采取技术和管理相结合的，从多个层次上</w:t>
      </w:r>
      <w:r>
        <w:rPr>
          <w:rFonts w:hint="eastAsia" w:ascii="宋体" w:hAnsi="宋体" w:eastAsia="宋体" w:cs="宋体"/>
          <w:color w:val="auto"/>
          <w:spacing w:val="3"/>
          <w:sz w:val="24"/>
          <w:szCs w:val="24"/>
          <w:highlight w:val="none"/>
          <w:lang w:eastAsia="zh-CN"/>
        </w:rPr>
        <w:t>考虑</w:t>
      </w:r>
      <w:r>
        <w:rPr>
          <w:rFonts w:ascii="宋体" w:hAnsi="宋体" w:eastAsia="宋体" w:cs="宋体"/>
          <w:color w:val="auto"/>
          <w:spacing w:val="3"/>
          <w:sz w:val="24"/>
          <w:szCs w:val="24"/>
          <w:highlight w:val="none"/>
        </w:rPr>
        <w:t>整体的安全措施。</w:t>
      </w:r>
    </w:p>
    <w:p w14:paraId="7C0D62FE">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2）全方位原则。应从基础平台（物理、系统）网络平台、应用平台、数据库以及安全管理等方面全方位</w:t>
      </w:r>
      <w:r>
        <w:rPr>
          <w:rFonts w:hint="eastAsia" w:ascii="宋体" w:hAnsi="宋体" w:eastAsia="宋体" w:cs="宋体"/>
          <w:color w:val="auto"/>
          <w:spacing w:val="3"/>
          <w:sz w:val="24"/>
          <w:szCs w:val="24"/>
          <w:highlight w:val="none"/>
          <w:lang w:eastAsia="zh-CN"/>
        </w:rPr>
        <w:t>地</w:t>
      </w:r>
      <w:r>
        <w:rPr>
          <w:rFonts w:ascii="宋体" w:hAnsi="宋体" w:eastAsia="宋体" w:cs="宋体"/>
          <w:color w:val="auto"/>
          <w:spacing w:val="3"/>
          <w:sz w:val="24"/>
          <w:szCs w:val="24"/>
          <w:highlight w:val="none"/>
        </w:rPr>
        <w:t>进行安全设计和统一管理。</w:t>
      </w:r>
    </w:p>
    <w:p w14:paraId="5F885698">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3）动态性原则。随着网络脆弱性的改变和威胁攻击技术的发展，必须及时地、不断地改进和完善系统的安全措施，及时进行系统技术和设备的升级更新。</w:t>
      </w:r>
    </w:p>
    <w:p w14:paraId="56502AE4">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4）扩展性原则。考虑到政府机构改革导致的职能、业务流程及时性、办事方式、办事结果形式等的</w:t>
      </w:r>
      <w:r>
        <w:rPr>
          <w:rFonts w:hint="eastAsia" w:ascii="宋体" w:hAnsi="宋体" w:eastAsia="宋体" w:cs="宋体"/>
          <w:color w:val="auto"/>
          <w:spacing w:val="3"/>
          <w:sz w:val="24"/>
          <w:szCs w:val="24"/>
          <w:highlight w:val="none"/>
          <w:lang w:eastAsia="zh-CN"/>
        </w:rPr>
        <w:t>变化</w:t>
      </w:r>
      <w:r>
        <w:rPr>
          <w:rFonts w:ascii="宋体" w:hAnsi="宋体" w:eastAsia="宋体" w:cs="宋体"/>
          <w:color w:val="auto"/>
          <w:spacing w:val="3"/>
          <w:sz w:val="24"/>
          <w:szCs w:val="24"/>
          <w:highlight w:val="none"/>
        </w:rPr>
        <w:t>，系统的设计必须强调可扩展性、可变更性、必须既满足共性要求又能灵活定制。</w:t>
      </w:r>
    </w:p>
    <w:p w14:paraId="246AC070">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从制度上、监督上、技术手段上多方面加强对系统管理、使用、维护人员的管理</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z w:val="24"/>
          <w:szCs w:val="24"/>
          <w:highlight w:val="none"/>
        </w:rPr>
        <w:t>非技术风险的控制</w:t>
      </w:r>
    </w:p>
    <w:p w14:paraId="3DE91798">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项目目标的对策</w:t>
      </w:r>
    </w:p>
    <w:p w14:paraId="099411C1">
      <w:pPr>
        <w:keepNext w:val="0"/>
        <w:keepLines w:val="0"/>
        <w:pageBreakBefore w:val="0"/>
        <w:widowControl w:val="0"/>
        <w:kinsoku/>
        <w:wordWrap/>
        <w:overflowPunct/>
        <w:topLinePunct w:val="0"/>
        <w:autoSpaceDE/>
        <w:autoSpaceDN/>
        <w:bidi w:val="0"/>
        <w:adjustRightInd/>
        <w:snapToGrid/>
        <w:spacing w:line="377" w:lineRule="auto"/>
        <w:ind w:left="0" w:firstLine="472" w:firstLineChars="200"/>
        <w:textAlignment w:val="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坚持明确需求、准确定位、总体规划、分步实施是本项目建设的基本思路。</w:t>
      </w:r>
      <w:r>
        <w:rPr>
          <w:rFonts w:ascii="宋体" w:hAnsi="宋体" w:eastAsia="宋体" w:cs="宋体"/>
          <w:color w:val="auto"/>
          <w:spacing w:val="3"/>
          <w:sz w:val="24"/>
          <w:szCs w:val="24"/>
          <w:highlight w:val="none"/>
        </w:rPr>
        <w:t>在需求分析过程中，充分调研各单位的网络现状，全面分析各单位业务应用建</w:t>
      </w:r>
      <w:r>
        <w:rPr>
          <w:rFonts w:ascii="宋体" w:hAnsi="宋体" w:eastAsia="宋体" w:cs="宋体"/>
          <w:color w:val="auto"/>
          <w:spacing w:val="-2"/>
          <w:sz w:val="24"/>
          <w:szCs w:val="24"/>
          <w:highlight w:val="none"/>
        </w:rPr>
        <w:t>设的现实需求、潜在需求和预期需求，准确把握发展需求、准确把握系统定位，</w:t>
      </w:r>
      <w:r>
        <w:rPr>
          <w:rFonts w:ascii="宋体" w:hAnsi="宋体" w:eastAsia="宋体" w:cs="宋体"/>
          <w:color w:val="auto"/>
          <w:sz w:val="24"/>
          <w:szCs w:val="24"/>
          <w:highlight w:val="none"/>
        </w:rPr>
        <w:t>在需求分析中力求准确界定工程建设实施的各个环节，</w:t>
      </w:r>
      <w:r>
        <w:rPr>
          <w:rFonts w:ascii="宋体" w:hAnsi="宋体" w:eastAsia="宋体" w:cs="宋体"/>
          <w:color w:val="auto"/>
          <w:spacing w:val="-1"/>
          <w:sz w:val="24"/>
          <w:szCs w:val="24"/>
          <w:highlight w:val="none"/>
        </w:rPr>
        <w:t>降低项目的目标风险。</w:t>
      </w:r>
    </w:p>
    <w:p w14:paraId="5B822D49">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项目边界风险的对策</w:t>
      </w:r>
    </w:p>
    <w:p w14:paraId="7AC41520">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经过多轮次、多层面的充分沟通，将项目建设的边界鉴定明确，进一步对项目主体建设内容集中建设，优先完成重要、关键项目内容。优先满足政府服务职能支撑。</w:t>
      </w:r>
    </w:p>
    <w:p w14:paraId="3C8138EF">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项目范围风险</w:t>
      </w:r>
    </w:p>
    <w:p w14:paraId="222A0292">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在项目合同中，对项目的实施范围做尽可能清晰</w:t>
      </w:r>
      <w:r>
        <w:rPr>
          <w:rFonts w:hint="eastAsia" w:ascii="宋体" w:hAnsi="宋体" w:eastAsia="宋体" w:cs="宋体"/>
          <w:color w:val="auto"/>
          <w:spacing w:val="3"/>
          <w:sz w:val="24"/>
          <w:szCs w:val="24"/>
          <w:highlight w:val="none"/>
          <w:lang w:eastAsia="zh-CN"/>
        </w:rPr>
        <w:t>地</w:t>
      </w:r>
      <w:r>
        <w:rPr>
          <w:rFonts w:ascii="宋体" w:hAnsi="宋体" w:eastAsia="宋体" w:cs="宋体"/>
          <w:color w:val="auto"/>
          <w:spacing w:val="3"/>
          <w:sz w:val="24"/>
          <w:szCs w:val="24"/>
          <w:highlight w:val="none"/>
        </w:rPr>
        <w:t>界定。宁愿多花一些时间在项目实施前的范围界定工作上，也不要在项目实施过程中，面对众多功能时，实施方与用户意见不统一，花费大量人力和时间在重新协调上，而导致项目不能按时完成。</w:t>
      </w:r>
    </w:p>
    <w:p w14:paraId="4D1CD0A9">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项目管理风险的对策</w:t>
      </w:r>
    </w:p>
    <w:p w14:paraId="3D9BB0FF">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在项目实施前期，要选择确定经验丰富的实施负责人，合理、明确制定项目的工作计划，落实项目管理的人员和职责，建立建设单位负责人、项目实施负责人、各项任务负责人的长效沟通机制，同时加强对实施方的过程监督管理</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在项目实施过程中及时发现问题、解决问题，降低项目管理风险。</w:t>
      </w:r>
    </w:p>
    <w:p w14:paraId="3CD4534B">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项目进度风险的对策</w:t>
      </w:r>
    </w:p>
    <w:p w14:paraId="3625CEAE">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建议在项目实施的时间管理（进度管理）上，需要充分考虑各种潜在因素，适当留有余地；任务分解详细度适中，便于考核；在执行过程中，应强调项目按进度执行的重要性，在考虑任何问题时，都要将保持进度作为先决条件；同时，合理利用赶工及快速跟进等方法，充分利用资源。</w:t>
      </w:r>
    </w:p>
    <w:p w14:paraId="56A696F9">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项目人力资源风险的对策</w:t>
      </w:r>
    </w:p>
    <w:p w14:paraId="65EEDF61">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建议双方都应对参与人员进行认真</w:t>
      </w:r>
      <w:r>
        <w:rPr>
          <w:rFonts w:hint="eastAsia" w:ascii="宋体" w:hAnsi="宋体" w:eastAsia="宋体" w:cs="宋体"/>
          <w:color w:val="auto"/>
          <w:spacing w:val="3"/>
          <w:sz w:val="24"/>
          <w:szCs w:val="24"/>
          <w:highlight w:val="none"/>
          <w:lang w:eastAsia="zh-CN"/>
        </w:rPr>
        <w:t>地</w:t>
      </w:r>
      <w:r>
        <w:rPr>
          <w:rFonts w:ascii="宋体" w:hAnsi="宋体" w:eastAsia="宋体" w:cs="宋体"/>
          <w:color w:val="auto"/>
          <w:spacing w:val="3"/>
          <w:sz w:val="24"/>
          <w:szCs w:val="24"/>
          <w:highlight w:val="none"/>
        </w:rPr>
        <w:t>评估，这种评估应该是双方面的。同时，应保证项目人员对项目的投入程度。应将参与项目人员的业绩评估与项目实施的状况相关联，明确项目是在该阶段项目相关人员最重要的本职工作；制定适当的奖惩措施；在双方中建立“一把手工程”的思想，层层“一把手”，即各级负责人针对实施向下行使全权、对上担负全责，将一把手从个体概念延伸到有机结合的群。</w:t>
      </w:r>
    </w:p>
    <w:p w14:paraId="6DF44D87">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经济风险的对策</w:t>
      </w:r>
    </w:p>
    <w:p w14:paraId="6801F1D9">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设计时充分考虑市场的历史变动趋势以及相关影响因素，同时，做好充分的调研和预估，保证最终的价格在一个可控的范围内。</w:t>
      </w:r>
    </w:p>
    <w:p w14:paraId="67ABF559">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与现有信息化系统对接的</w:t>
      </w:r>
      <w:r>
        <w:rPr>
          <w:rFonts w:hint="eastAsia" w:ascii="Arial" w:hAnsi="Arial" w:eastAsia="黑体" w:cs="宋体"/>
          <w:b/>
          <w:bCs/>
          <w:color w:val="auto"/>
          <w:kern w:val="2"/>
          <w:sz w:val="24"/>
          <w:szCs w:val="24"/>
          <w:highlight w:val="none"/>
          <w:lang w:val="en-US" w:eastAsia="zh-CN" w:bidi="ar-SA"/>
        </w:rPr>
        <w:t>风险</w:t>
      </w:r>
      <w:r>
        <w:rPr>
          <w:rFonts w:ascii="Arial" w:hAnsi="Arial" w:eastAsia="黑体" w:cs="宋体"/>
          <w:b/>
          <w:bCs/>
          <w:color w:val="auto"/>
          <w:kern w:val="2"/>
          <w:sz w:val="24"/>
          <w:szCs w:val="24"/>
          <w:highlight w:val="none"/>
          <w:lang w:val="en-US" w:eastAsia="zh-CN" w:bidi="ar-SA"/>
        </w:rPr>
        <w:t>对策</w:t>
      </w:r>
    </w:p>
    <w:p w14:paraId="7C57A605">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本项目设计过程中充分调研涉及现有信息化系统的业务以及具体的业务实现，并结合项目特点，提前制定多种对接方式。同时，确保新建系统的先进性和兼容性。</w:t>
      </w:r>
    </w:p>
    <w:p w14:paraId="64EDF35A">
      <w:pPr>
        <w:jc w:val="center"/>
        <w:rPr>
          <w:rFonts w:hint="eastAsia" w:ascii="黑体" w:hAnsi="黑体" w:eastAsia="黑体" w:cs="Times New Roman"/>
          <w:b/>
          <w:bCs/>
          <w:color w:val="auto"/>
          <w:sz w:val="28"/>
          <w:szCs w:val="32"/>
          <w:lang w:val="en-US" w:eastAsia="zh-CN"/>
        </w:rPr>
      </w:pPr>
    </w:p>
    <w:p w14:paraId="54348547">
      <w:pPr>
        <w:jc w:val="center"/>
        <w:rPr>
          <w:rFonts w:hint="eastAsia" w:ascii="黑体" w:hAnsi="黑体" w:eastAsia="黑体" w:cs="Times New Roman"/>
          <w:b/>
          <w:bCs/>
          <w:color w:val="auto"/>
          <w:sz w:val="28"/>
          <w:szCs w:val="32"/>
          <w:lang w:val="en-US" w:eastAsia="zh-CN"/>
        </w:rPr>
      </w:pPr>
    </w:p>
    <w:p w14:paraId="5523C04C">
      <w:pPr>
        <w:jc w:val="center"/>
        <w:rPr>
          <w:rFonts w:ascii="黑体" w:hAnsi="黑体" w:eastAsia="黑体" w:cs="Times New Roman"/>
          <w:b/>
          <w:bCs/>
          <w:color w:val="auto"/>
          <w:sz w:val="28"/>
          <w:szCs w:val="32"/>
        </w:rPr>
      </w:pPr>
      <w:r>
        <w:rPr>
          <w:rFonts w:hint="eastAsia" w:ascii="黑体" w:hAnsi="黑体" w:eastAsia="黑体" w:cs="Times New Roman"/>
          <w:b/>
          <w:bCs/>
          <w:color w:val="auto"/>
          <w:sz w:val="28"/>
          <w:szCs w:val="32"/>
          <w:lang w:val="en-US" w:eastAsia="zh-CN"/>
        </w:rPr>
        <w:t>九</w:t>
      </w:r>
      <w:r>
        <w:rPr>
          <w:rFonts w:hint="eastAsia" w:ascii="黑体" w:hAnsi="黑体" w:eastAsia="黑体" w:cs="Times New Roman"/>
          <w:b/>
          <w:bCs/>
          <w:color w:val="auto"/>
          <w:sz w:val="28"/>
          <w:szCs w:val="32"/>
        </w:rPr>
        <w:t>、项目实施要求</w:t>
      </w:r>
    </w:p>
    <w:p w14:paraId="2563FD68">
      <w:pPr>
        <w:keepNext/>
        <w:keepLines/>
        <w:numPr>
          <w:ilvl w:val="1"/>
          <w:numId w:val="0"/>
        </w:numPr>
        <w:spacing w:line="360" w:lineRule="auto"/>
        <w:ind w:left="578" w:hanging="152"/>
        <w:jc w:val="left"/>
        <w:outlineLvl w:val="3"/>
        <w:rPr>
          <w:rFonts w:ascii="黑体" w:hAnsi="黑体" w:eastAsia="黑体" w:cs="Times New Roman"/>
          <w:b/>
          <w:bCs/>
          <w:color w:val="auto"/>
          <w:sz w:val="28"/>
          <w:szCs w:val="32"/>
        </w:rPr>
      </w:pPr>
      <w:bookmarkStart w:id="224" w:name="_Toc172716776"/>
      <w:r>
        <w:rPr>
          <w:rFonts w:hint="eastAsia" w:ascii="黑体" w:hAnsi="黑体" w:eastAsia="黑体" w:cs="Times New Roman"/>
          <w:b/>
          <w:bCs/>
          <w:color w:val="auto"/>
          <w:sz w:val="28"/>
          <w:szCs w:val="32"/>
        </w:rPr>
        <w:t>1、项目建设期</w:t>
      </w:r>
      <w:bookmarkEnd w:id="224"/>
    </w:p>
    <w:p w14:paraId="2B1E549E">
      <w:pPr>
        <w:widowControl/>
        <w:spacing w:line="360" w:lineRule="auto"/>
        <w:ind w:firstLine="480" w:firstLineChars="200"/>
        <w:rPr>
          <w:rFonts w:ascii="Arial" w:hAnsi="Arial" w:eastAsia="宋体" w:cs="Arial"/>
          <w:snapToGrid w:val="0"/>
          <w:color w:val="auto"/>
          <w:kern w:val="0"/>
          <w:sz w:val="24"/>
          <w:szCs w:val="21"/>
        </w:rPr>
      </w:pPr>
      <w:r>
        <w:rPr>
          <w:rFonts w:hint="eastAsia" w:ascii="Arial" w:hAnsi="Arial" w:eastAsia="宋体" w:cs="Arial"/>
          <w:snapToGrid w:val="0"/>
          <w:color w:val="auto"/>
          <w:kern w:val="0"/>
          <w:sz w:val="24"/>
          <w:szCs w:val="21"/>
          <w:lang w:eastAsia="zh-CN"/>
        </w:rPr>
        <w:t>郴州市202</w:t>
      </w:r>
      <w:r>
        <w:rPr>
          <w:rFonts w:hint="eastAsia" w:ascii="Arial" w:hAnsi="Arial" w:eastAsia="宋体" w:cs="Arial"/>
          <w:snapToGrid w:val="0"/>
          <w:color w:val="auto"/>
          <w:kern w:val="0"/>
          <w:sz w:val="24"/>
          <w:szCs w:val="21"/>
          <w:lang w:val="en-US" w:eastAsia="zh-CN"/>
        </w:rPr>
        <w:t>6</w:t>
      </w:r>
      <w:r>
        <w:rPr>
          <w:rFonts w:hint="eastAsia" w:ascii="Arial" w:hAnsi="Arial" w:eastAsia="宋体" w:cs="Arial"/>
          <w:snapToGrid w:val="0"/>
          <w:color w:val="auto"/>
          <w:kern w:val="0"/>
          <w:sz w:val="24"/>
          <w:szCs w:val="21"/>
          <w:lang w:eastAsia="zh-CN"/>
        </w:rPr>
        <w:t>年度视频专网组网租赁项目</w:t>
      </w:r>
      <w:r>
        <w:rPr>
          <w:rFonts w:hint="eastAsia" w:ascii="Arial" w:hAnsi="Arial" w:eastAsia="宋体" w:cs="Arial"/>
          <w:snapToGrid w:val="0"/>
          <w:color w:val="auto"/>
          <w:kern w:val="0"/>
          <w:sz w:val="24"/>
          <w:szCs w:val="21"/>
        </w:rPr>
        <w:t>是一项系统工程，综合考虑实际业务需求、建设内容及规模、统筹协调及项目风险控制等各种因素，按采购人要求完成所有链路的开通和软硬件设备的安装调试。</w:t>
      </w:r>
    </w:p>
    <w:p w14:paraId="5B166D37">
      <w:pPr>
        <w:keepNext/>
        <w:keepLines/>
        <w:numPr>
          <w:ilvl w:val="1"/>
          <w:numId w:val="0"/>
        </w:numPr>
        <w:spacing w:line="360" w:lineRule="auto"/>
        <w:ind w:left="578" w:hanging="152"/>
        <w:jc w:val="left"/>
        <w:outlineLvl w:val="3"/>
        <w:rPr>
          <w:rFonts w:ascii="黑体" w:hAnsi="黑体" w:eastAsia="黑体" w:cs="Times New Roman"/>
          <w:b/>
          <w:bCs/>
          <w:color w:val="auto"/>
          <w:sz w:val="28"/>
          <w:szCs w:val="32"/>
        </w:rPr>
      </w:pPr>
      <w:bookmarkStart w:id="225" w:name="_Toc172716777"/>
      <w:r>
        <w:rPr>
          <w:rFonts w:hint="eastAsia" w:ascii="黑体" w:hAnsi="黑体" w:eastAsia="黑体" w:cs="Times New Roman"/>
          <w:b/>
          <w:bCs/>
          <w:color w:val="auto"/>
          <w:sz w:val="28"/>
          <w:szCs w:val="32"/>
        </w:rPr>
        <w:t>2、项目网络租赁期</w:t>
      </w:r>
      <w:bookmarkEnd w:id="225"/>
    </w:p>
    <w:p w14:paraId="0F888AFA">
      <w:pPr>
        <w:widowControl/>
        <w:spacing w:line="360" w:lineRule="auto"/>
        <w:ind w:left="567"/>
        <w:rPr>
          <w:rFonts w:ascii="Arial" w:hAnsi="Arial" w:eastAsia="宋体" w:cs="Arial"/>
          <w:snapToGrid w:val="0"/>
          <w:color w:val="auto"/>
          <w:kern w:val="0"/>
          <w:sz w:val="24"/>
          <w:szCs w:val="21"/>
        </w:rPr>
      </w:pPr>
      <w:r>
        <w:rPr>
          <w:rFonts w:hint="eastAsia" w:ascii="Arial" w:hAnsi="Arial" w:eastAsia="宋体" w:cs="Times New Roman"/>
          <w:color w:val="auto"/>
          <w:kern w:val="2"/>
          <w:sz w:val="24"/>
          <w:szCs w:val="24"/>
          <w:highlight w:val="none"/>
          <w:lang w:eastAsia="zh-CN" w:bidi="ar-SA"/>
        </w:rPr>
        <w:t>本项目服务周期为 12个月</w:t>
      </w:r>
      <w:r>
        <w:rPr>
          <w:rFonts w:hint="eastAsia" w:ascii="Arial" w:hAnsi="Arial" w:eastAsia="宋体" w:cs="Arial"/>
          <w:snapToGrid w:val="0"/>
          <w:color w:val="auto"/>
          <w:kern w:val="0"/>
          <w:sz w:val="24"/>
          <w:szCs w:val="21"/>
        </w:rPr>
        <w:t>。</w:t>
      </w:r>
    </w:p>
    <w:p w14:paraId="0EB9C96B">
      <w:pPr>
        <w:keepNext/>
        <w:keepLines/>
        <w:numPr>
          <w:ilvl w:val="1"/>
          <w:numId w:val="0"/>
        </w:numPr>
        <w:spacing w:line="360" w:lineRule="auto"/>
        <w:ind w:left="578" w:hanging="152"/>
        <w:jc w:val="left"/>
        <w:outlineLvl w:val="3"/>
        <w:rPr>
          <w:rFonts w:ascii="黑体" w:hAnsi="黑体" w:eastAsia="黑体" w:cs="Times New Roman"/>
          <w:b/>
          <w:bCs/>
          <w:color w:val="auto"/>
          <w:sz w:val="28"/>
          <w:szCs w:val="32"/>
        </w:rPr>
      </w:pPr>
      <w:bookmarkStart w:id="226" w:name="_Toc172716778"/>
      <w:r>
        <w:rPr>
          <w:rFonts w:hint="eastAsia" w:ascii="黑体" w:hAnsi="黑体" w:eastAsia="黑体" w:cs="Times New Roman"/>
          <w:b/>
          <w:bCs/>
          <w:color w:val="auto"/>
          <w:sz w:val="28"/>
          <w:szCs w:val="32"/>
        </w:rPr>
        <w:t>3、其他要求</w:t>
      </w:r>
      <w:bookmarkEnd w:id="226"/>
    </w:p>
    <w:p w14:paraId="719917E6">
      <w:pPr>
        <w:adjustRightInd w:val="0"/>
        <w:snapToGrid w:val="0"/>
        <w:spacing w:line="440" w:lineRule="exact"/>
        <w:ind w:firstLine="480" w:firstLineChars="200"/>
        <w:rPr>
          <w:rFonts w:ascii="宋体" w:hAnsi="宋体" w:eastAsia="宋体" w:cs="Times New Roman"/>
          <w:snapToGrid w:val="0"/>
          <w:color w:val="FF0000"/>
          <w:kern w:val="0"/>
          <w:sz w:val="24"/>
          <w:szCs w:val="21"/>
        </w:rPr>
      </w:pPr>
      <w:r>
        <w:rPr>
          <w:rFonts w:hint="eastAsia" w:ascii="宋体" w:hAnsi="宋体" w:eastAsia="宋体" w:cs="Times New Roman"/>
          <w:snapToGrid w:val="0"/>
          <w:color w:val="auto"/>
          <w:kern w:val="0"/>
          <w:sz w:val="24"/>
          <w:szCs w:val="21"/>
        </w:rPr>
        <w:t>★1</w:t>
      </w:r>
      <w:r>
        <w:rPr>
          <w:rFonts w:hint="eastAsia" w:ascii="宋体" w:hAnsi="宋体" w:eastAsia="宋体" w:cs="Times New Roman"/>
          <w:snapToGrid w:val="0"/>
          <w:color w:val="auto"/>
          <w:kern w:val="0"/>
          <w:sz w:val="24"/>
          <w:szCs w:val="21"/>
          <w:highlight w:val="none"/>
        </w:rPr>
        <w:t>、如本项目中标人为非现有的视频专网运营商，</w:t>
      </w:r>
      <w:r>
        <w:rPr>
          <w:rFonts w:hint="eastAsia" w:ascii="宋体" w:hAnsi="宋体" w:cs="Times New Roman"/>
          <w:snapToGrid w:val="0"/>
          <w:color w:val="auto"/>
          <w:kern w:val="0"/>
          <w:sz w:val="24"/>
          <w:szCs w:val="21"/>
          <w:highlight w:val="none"/>
          <w:lang w:val="en-US" w:eastAsia="zh-CN"/>
        </w:rPr>
        <w:t>从中标之日起、</w:t>
      </w:r>
      <w:r>
        <w:rPr>
          <w:rFonts w:hint="eastAsia" w:ascii="宋体" w:hAnsi="宋体" w:eastAsia="宋体" w:cs="Times New Roman"/>
          <w:snapToGrid w:val="0"/>
          <w:color w:val="auto"/>
          <w:kern w:val="0"/>
          <w:sz w:val="24"/>
          <w:szCs w:val="21"/>
          <w:highlight w:val="none"/>
        </w:rPr>
        <w:t>在组网割接完成并进入网络租赁期前，中标人需保证业务不被中断(业务中断的判断标准：在网在线率低于85%超过24小时以上视为业务中断)</w:t>
      </w:r>
      <w:r>
        <w:rPr>
          <w:rFonts w:hint="eastAsia" w:ascii="宋体" w:hAnsi="宋体" w:cs="Times New Roman"/>
          <w:snapToGrid w:val="0"/>
          <w:color w:val="auto"/>
          <w:kern w:val="0"/>
          <w:sz w:val="24"/>
          <w:szCs w:val="21"/>
          <w:highlight w:val="none"/>
          <w:lang w:eastAsia="zh-CN"/>
        </w:rPr>
        <w:t>，</w:t>
      </w:r>
      <w:r>
        <w:rPr>
          <w:rFonts w:hint="eastAsia" w:ascii="宋体" w:hAnsi="宋体" w:cs="Times New Roman"/>
          <w:snapToGrid w:val="0"/>
          <w:color w:val="auto"/>
          <w:kern w:val="0"/>
          <w:sz w:val="24"/>
          <w:szCs w:val="21"/>
          <w:highlight w:val="none"/>
          <w:lang w:val="en-US" w:eastAsia="zh-CN"/>
        </w:rPr>
        <w:t>有关割接时间不超过1个月，期间</w:t>
      </w:r>
      <w:r>
        <w:rPr>
          <w:rFonts w:hint="eastAsia" w:ascii="宋体" w:hAnsi="宋体" w:eastAsia="宋体" w:cs="Times New Roman"/>
          <w:snapToGrid w:val="0"/>
          <w:color w:val="auto"/>
          <w:kern w:val="0"/>
          <w:sz w:val="24"/>
          <w:szCs w:val="21"/>
          <w:highlight w:val="none"/>
        </w:rPr>
        <w:t>费用由</w:t>
      </w:r>
      <w:r>
        <w:rPr>
          <w:rFonts w:hint="eastAsia" w:ascii="宋体" w:hAnsi="宋体" w:cs="Times New Roman"/>
          <w:snapToGrid w:val="0"/>
          <w:color w:val="auto"/>
          <w:kern w:val="0"/>
          <w:sz w:val="24"/>
          <w:szCs w:val="21"/>
          <w:highlight w:val="none"/>
          <w:lang w:val="en-US" w:eastAsia="zh-CN"/>
        </w:rPr>
        <w:t>中标人和原供应商</w:t>
      </w:r>
      <w:r>
        <w:rPr>
          <w:rFonts w:hint="eastAsia" w:ascii="宋体" w:hAnsi="宋体" w:eastAsia="宋体" w:cs="Times New Roman"/>
          <w:snapToGrid w:val="0"/>
          <w:color w:val="auto"/>
          <w:kern w:val="0"/>
          <w:sz w:val="24"/>
          <w:szCs w:val="21"/>
          <w:highlight w:val="none"/>
        </w:rPr>
        <w:t>另行约定。要求投标人在投标文件中出具书面承诺书，承诺如果业务被中断，视为自愿放弃中标资格，承诺书格式自拟并加盖投标人公章。</w:t>
      </w:r>
    </w:p>
    <w:p w14:paraId="10F28B53">
      <w:pPr>
        <w:adjustRightInd w:val="0"/>
        <w:snapToGrid w:val="0"/>
        <w:spacing w:beforeLines="50" w:line="360" w:lineRule="auto"/>
        <w:ind w:firstLine="424" w:firstLineChars="177"/>
        <w:rPr>
          <w:rFonts w:ascii="宋体" w:hAnsi="宋体" w:eastAsia="宋体" w:cs="Times New Roman"/>
          <w:snapToGrid w:val="0"/>
          <w:color w:val="auto"/>
          <w:kern w:val="0"/>
          <w:sz w:val="24"/>
          <w:szCs w:val="21"/>
        </w:rPr>
      </w:pPr>
      <w:r>
        <w:rPr>
          <w:rFonts w:hint="eastAsia" w:ascii="宋体" w:hAnsi="宋体" w:eastAsia="宋体" w:cs="Times New Roman"/>
          <w:snapToGrid w:val="0"/>
          <w:color w:val="auto"/>
          <w:kern w:val="0"/>
          <w:sz w:val="24"/>
          <w:szCs w:val="21"/>
        </w:rPr>
        <w:t>2、中标人应向采购人提供主材设备的供货合同、正规有效发票（复印件）、专项货款转账凭证的证明材料。</w:t>
      </w:r>
      <w:r>
        <w:rPr>
          <w:rFonts w:ascii="宋体" w:hAnsi="宋体" w:eastAsia="宋体" w:cs="Times New Roman"/>
          <w:snapToGrid w:val="0"/>
          <w:color w:val="auto"/>
          <w:kern w:val="0"/>
          <w:sz w:val="24"/>
          <w:szCs w:val="21"/>
        </w:rPr>
        <w:t>要求投标人针对以上内容在投标文件中出具承诺书</w:t>
      </w:r>
      <w:r>
        <w:rPr>
          <w:rFonts w:hint="eastAsia" w:ascii="宋体" w:hAnsi="宋体" w:eastAsia="宋体" w:cs="Times New Roman"/>
          <w:snapToGrid w:val="0"/>
          <w:color w:val="auto"/>
          <w:kern w:val="0"/>
          <w:sz w:val="24"/>
          <w:szCs w:val="21"/>
        </w:rPr>
        <w:t>（格式自拟）</w:t>
      </w:r>
      <w:r>
        <w:rPr>
          <w:rFonts w:ascii="宋体" w:hAnsi="宋体" w:eastAsia="宋体" w:cs="Times New Roman"/>
          <w:snapToGrid w:val="0"/>
          <w:color w:val="auto"/>
          <w:kern w:val="0"/>
          <w:sz w:val="24"/>
          <w:szCs w:val="21"/>
        </w:rPr>
        <w:t>原件并加盖投标人公章</w:t>
      </w:r>
      <w:r>
        <w:rPr>
          <w:rFonts w:hint="eastAsia" w:ascii="宋体" w:hAnsi="宋体" w:eastAsia="宋体" w:cs="Times New Roman"/>
          <w:snapToGrid w:val="0"/>
          <w:color w:val="auto"/>
          <w:kern w:val="0"/>
          <w:sz w:val="24"/>
          <w:szCs w:val="21"/>
        </w:rPr>
        <w:t>。</w:t>
      </w:r>
    </w:p>
    <w:p w14:paraId="5B6E9994">
      <w:pPr>
        <w:adjustRightInd w:val="0"/>
        <w:snapToGrid w:val="0"/>
        <w:spacing w:beforeLines="50" w:line="360" w:lineRule="auto"/>
        <w:ind w:firstLine="424" w:firstLineChars="177"/>
        <w:rPr>
          <w:rFonts w:hint="eastAsia" w:ascii="宋体" w:hAnsi="宋体" w:eastAsia="宋体" w:cs="Times New Roman"/>
          <w:snapToGrid w:val="0"/>
          <w:color w:val="auto"/>
          <w:kern w:val="0"/>
          <w:sz w:val="24"/>
          <w:szCs w:val="21"/>
          <w:highlight w:val="none"/>
        </w:rPr>
      </w:pPr>
      <w:r>
        <w:rPr>
          <w:rFonts w:hint="eastAsia" w:ascii="宋体" w:hAnsi="宋体" w:eastAsia="宋体" w:cs="Times New Roman"/>
          <w:snapToGrid w:val="0"/>
          <w:color w:val="auto"/>
          <w:kern w:val="0"/>
          <w:sz w:val="24"/>
          <w:szCs w:val="21"/>
          <w:highlight w:val="none"/>
        </w:rPr>
        <w:t>3、合同最终支付金额根据结算情况据实支付。</w:t>
      </w:r>
    </w:p>
    <w:p w14:paraId="0FD78521">
      <w:pPr>
        <w:adjustRightInd w:val="0"/>
        <w:snapToGrid w:val="0"/>
        <w:spacing w:beforeLines="50" w:line="360" w:lineRule="auto"/>
        <w:ind w:firstLine="424" w:firstLineChars="177"/>
        <w:rPr>
          <w:rFonts w:hint="eastAsia" w:ascii="宋体" w:hAnsi="宋体" w:eastAsia="宋体" w:cs="Times New Roman"/>
          <w:snapToGrid w:val="0"/>
          <w:color w:val="auto"/>
          <w:kern w:val="0"/>
          <w:sz w:val="24"/>
          <w:szCs w:val="21"/>
          <w:highlight w:val="none"/>
          <w:lang w:val="en-US" w:eastAsia="zh-CN"/>
        </w:rPr>
      </w:pPr>
      <w:r>
        <w:rPr>
          <w:rFonts w:hint="eastAsia" w:ascii="宋体" w:hAnsi="宋体" w:eastAsia="宋体" w:cs="Times New Roman"/>
          <w:snapToGrid w:val="0"/>
          <w:color w:val="auto"/>
          <w:kern w:val="0"/>
          <w:sz w:val="24"/>
          <w:szCs w:val="21"/>
          <w:highlight w:val="none"/>
          <w:lang w:val="en-US" w:eastAsia="zh-CN"/>
        </w:rPr>
        <w:t>4、外场施工由中标人独立完成，破道破绿工程应该按城市管理的要求恢复到位。</w:t>
      </w:r>
    </w:p>
    <w:p w14:paraId="6CFD5EEC">
      <w:pPr>
        <w:keepNext w:val="0"/>
        <w:keepLines w:val="0"/>
        <w:pageBreakBefore w:val="0"/>
        <w:widowControl w:val="0"/>
        <w:kinsoku/>
        <w:wordWrap/>
        <w:overflowPunct/>
        <w:topLinePunct w:val="0"/>
        <w:autoSpaceDE/>
        <w:autoSpaceDN/>
        <w:bidi w:val="0"/>
        <w:adjustRightInd/>
        <w:snapToGrid/>
        <w:spacing w:line="377" w:lineRule="auto"/>
        <w:ind w:left="0" w:right="0" w:firstLine="480" w:firstLineChars="200"/>
        <w:textAlignment w:val="auto"/>
        <w:rPr>
          <w:rFonts w:hint="eastAsia" w:ascii="宋体" w:hAnsi="宋体" w:eastAsia="宋体" w:cs="宋体"/>
          <w:color w:val="auto"/>
          <w:spacing w:val="-1"/>
          <w:sz w:val="24"/>
          <w:szCs w:val="24"/>
          <w:highlight w:val="none"/>
        </w:rPr>
      </w:pPr>
      <w:r>
        <w:rPr>
          <w:rFonts w:hint="eastAsia" w:ascii="宋体" w:hAnsi="宋体" w:cs="Times New Roman"/>
          <w:snapToGrid w:val="0"/>
          <w:color w:val="auto"/>
          <w:kern w:val="0"/>
          <w:sz w:val="24"/>
          <w:szCs w:val="21"/>
          <w:highlight w:val="none"/>
          <w:lang w:val="en-US" w:eastAsia="zh-CN"/>
        </w:rPr>
        <w:t>5、</w:t>
      </w:r>
      <w:r>
        <w:rPr>
          <w:rFonts w:hint="eastAsia" w:ascii="宋体" w:hAnsi="宋体" w:eastAsia="宋体" w:cs="宋体"/>
          <w:color w:val="auto"/>
          <w:spacing w:val="-1"/>
          <w:sz w:val="24"/>
          <w:szCs w:val="24"/>
          <w:highlight w:val="none"/>
        </w:rPr>
        <w:t>视频专网将统一租赁专用网络，在网络规划建设过程中，所有汇聚层以下的交换机、路由器、线路架设等网络及机房设备均由</w:t>
      </w:r>
      <w:r>
        <w:rPr>
          <w:rFonts w:hint="eastAsia" w:ascii="宋体" w:hAnsi="宋体" w:eastAsia="宋体" w:cs="宋体"/>
          <w:color w:val="auto"/>
          <w:spacing w:val="-1"/>
          <w:sz w:val="24"/>
          <w:szCs w:val="24"/>
          <w:highlight w:val="none"/>
          <w:lang w:val="en-US" w:eastAsia="zh-CN"/>
        </w:rPr>
        <w:t>供应商</w:t>
      </w:r>
      <w:r>
        <w:rPr>
          <w:rFonts w:hint="eastAsia" w:ascii="宋体" w:hAnsi="宋体" w:eastAsia="宋体" w:cs="宋体"/>
          <w:color w:val="auto"/>
          <w:spacing w:val="-1"/>
          <w:sz w:val="24"/>
          <w:szCs w:val="24"/>
          <w:highlight w:val="none"/>
        </w:rPr>
        <w:t>投入。具体线路数量由郴州市数据局、相关业务使用单位与</w:t>
      </w:r>
      <w:r>
        <w:rPr>
          <w:rFonts w:hint="eastAsia" w:ascii="宋体" w:hAnsi="宋体" w:eastAsia="宋体" w:cs="宋体"/>
          <w:color w:val="auto"/>
          <w:spacing w:val="-1"/>
          <w:sz w:val="24"/>
          <w:szCs w:val="24"/>
          <w:highlight w:val="none"/>
          <w:lang w:val="en-US" w:eastAsia="zh-CN"/>
        </w:rPr>
        <w:t>供应商</w:t>
      </w:r>
      <w:r>
        <w:rPr>
          <w:rFonts w:hint="eastAsia" w:ascii="宋体" w:hAnsi="宋体" w:eastAsia="宋体" w:cs="宋体"/>
          <w:color w:val="auto"/>
          <w:spacing w:val="-1"/>
          <w:sz w:val="24"/>
          <w:szCs w:val="24"/>
          <w:highlight w:val="none"/>
        </w:rPr>
        <w:t>核定。</w:t>
      </w:r>
    </w:p>
    <w:p w14:paraId="732742A7">
      <w:pPr>
        <w:keepNext w:val="0"/>
        <w:keepLines w:val="0"/>
        <w:pageBreakBefore w:val="0"/>
        <w:widowControl w:val="0"/>
        <w:kinsoku/>
        <w:wordWrap/>
        <w:overflowPunct/>
        <w:topLinePunct w:val="0"/>
        <w:autoSpaceDE/>
        <w:autoSpaceDN/>
        <w:bidi w:val="0"/>
        <w:adjustRightInd/>
        <w:snapToGrid/>
        <w:spacing w:line="377" w:lineRule="auto"/>
        <w:ind w:left="0" w:right="0" w:firstLine="476" w:firstLineChars="200"/>
        <w:textAlignment w:val="auto"/>
        <w:rPr>
          <w:rFonts w:hint="eastAsia" w:ascii="宋体" w:hAnsi="宋体" w:cs="Times New Roman"/>
          <w:snapToGrid w:val="0"/>
          <w:color w:val="auto"/>
          <w:kern w:val="0"/>
          <w:sz w:val="24"/>
          <w:szCs w:val="21"/>
          <w:highlight w:val="yellow"/>
          <w:lang w:val="en-US" w:eastAsia="zh-CN"/>
        </w:rPr>
      </w:pPr>
      <w:r>
        <w:rPr>
          <w:rFonts w:hint="eastAsia" w:ascii="宋体" w:hAnsi="宋体" w:eastAsia="宋体" w:cs="宋体"/>
          <w:color w:val="auto"/>
          <w:spacing w:val="-1"/>
          <w:sz w:val="24"/>
          <w:szCs w:val="24"/>
          <w:highlight w:val="none"/>
        </w:rPr>
        <w:t>本项目所有租赁链路、传输电路、裸光纤、物联网流量等租赁服务，统一执行当月开通当月计费、未开通不计费的据实结算原则。计费起算节点以链路完成光路调通、端口激活、业务正常上线，且经</w:t>
      </w:r>
      <w:r>
        <w:rPr>
          <w:rFonts w:hint="eastAsia" w:ascii="宋体" w:hAnsi="宋体" w:eastAsia="宋体" w:cs="宋体"/>
          <w:color w:val="auto"/>
          <w:spacing w:val="-1"/>
          <w:sz w:val="24"/>
          <w:szCs w:val="24"/>
          <w:highlight w:val="none"/>
          <w:lang w:val="en-US" w:eastAsia="zh-CN"/>
        </w:rPr>
        <w:t>使用</w:t>
      </w:r>
      <w:r>
        <w:rPr>
          <w:rFonts w:hint="eastAsia" w:ascii="宋体" w:hAnsi="宋体" w:eastAsia="宋体" w:cs="宋体"/>
          <w:color w:val="auto"/>
          <w:spacing w:val="-1"/>
          <w:sz w:val="24"/>
          <w:szCs w:val="24"/>
          <w:highlight w:val="none"/>
        </w:rPr>
        <w:t>方</w:t>
      </w:r>
      <w:r>
        <w:rPr>
          <w:rFonts w:hint="eastAsia" w:ascii="宋体" w:hAnsi="宋体" w:eastAsia="宋体" w:cs="宋体"/>
          <w:color w:val="auto"/>
          <w:spacing w:val="-1"/>
          <w:sz w:val="24"/>
          <w:szCs w:val="24"/>
          <w:highlight w:val="none"/>
          <w:lang w:val="en-US" w:eastAsia="zh-CN"/>
        </w:rPr>
        <w:t>和供应商</w:t>
      </w:r>
      <w:r>
        <w:rPr>
          <w:rFonts w:hint="eastAsia" w:ascii="宋体" w:hAnsi="宋体" w:eastAsia="宋体" w:cs="宋体"/>
          <w:color w:val="auto"/>
          <w:spacing w:val="-1"/>
          <w:sz w:val="24"/>
          <w:szCs w:val="24"/>
          <w:highlight w:val="none"/>
        </w:rPr>
        <w:t>现场验收确认的实际开通日期为准，按自然月据实折算租赁费用。凡未完成部署、未验收开通、未投入正式业务运行的链路，不产生任何租赁费用，不纳入服务费结算范围。项目服务期内，所有新增、变更、退租的链路资源，均按照实际开通使用时长按月折算结算，杜绝空租计费、预计费、未开通计费等情况，全程以开通验收台账作为结算唯一依据。</w:t>
      </w:r>
    </w:p>
    <w:p w14:paraId="37F8FE94">
      <w:pPr>
        <w:keepNext/>
        <w:keepLines/>
        <w:numPr>
          <w:ilvl w:val="1"/>
          <w:numId w:val="0"/>
        </w:numPr>
        <w:spacing w:line="360" w:lineRule="auto"/>
        <w:ind w:left="578" w:hanging="152"/>
        <w:jc w:val="left"/>
        <w:outlineLvl w:val="3"/>
        <w:rPr>
          <w:rFonts w:ascii="黑体" w:hAnsi="黑体" w:eastAsia="黑体" w:cs="Times New Roman"/>
          <w:b/>
          <w:bCs/>
          <w:color w:val="auto"/>
          <w:sz w:val="28"/>
          <w:szCs w:val="32"/>
        </w:rPr>
      </w:pPr>
      <w:bookmarkStart w:id="227" w:name="_Toc172716779"/>
      <w:r>
        <w:rPr>
          <w:rFonts w:hint="eastAsia" w:ascii="黑体" w:hAnsi="黑体" w:eastAsia="黑体" w:cs="Times New Roman"/>
          <w:b/>
          <w:bCs/>
          <w:color w:val="auto"/>
          <w:sz w:val="28"/>
          <w:szCs w:val="32"/>
        </w:rPr>
        <w:t>4、保密要求</w:t>
      </w:r>
      <w:bookmarkEnd w:id="227"/>
    </w:p>
    <w:p w14:paraId="498906E3">
      <w:pPr>
        <w:adjustRightInd w:val="0"/>
        <w:snapToGrid w:val="0"/>
        <w:spacing w:line="440" w:lineRule="exact"/>
        <w:ind w:firstLine="480" w:firstLineChars="200"/>
        <w:rPr>
          <w:rFonts w:hint="eastAsia" w:ascii="宋体" w:hAnsi="宋体" w:eastAsia="宋体" w:cs="Times New Roman"/>
          <w:snapToGrid w:val="0"/>
          <w:color w:val="auto"/>
          <w:kern w:val="0"/>
          <w:sz w:val="24"/>
          <w:szCs w:val="21"/>
        </w:rPr>
      </w:pPr>
      <w:r>
        <w:rPr>
          <w:rFonts w:hint="eastAsia" w:ascii="宋体" w:hAnsi="宋体" w:eastAsia="宋体" w:cs="Times New Roman"/>
          <w:snapToGrid w:val="0"/>
          <w:color w:val="auto"/>
          <w:kern w:val="0"/>
          <w:sz w:val="24"/>
          <w:szCs w:val="21"/>
        </w:rPr>
        <w:t>中标人应如约承担合同履行时所应该尽的一切保密义务。中标人对项目实施过程中的资料、数据进行保密，未经采购人书面同意不得泄露，且保密责任不因合同的中止或解除而失效。要求投标人针对此内容在投标文件中出具书面承诺书（格式自拟）原件并加盖投标人公章。</w:t>
      </w:r>
    </w:p>
    <w:p w14:paraId="36695C95">
      <w:pPr>
        <w:adjustRightInd w:val="0"/>
        <w:snapToGrid w:val="0"/>
        <w:spacing w:line="440" w:lineRule="exact"/>
        <w:ind w:firstLine="480" w:firstLineChars="200"/>
        <w:rPr>
          <w:rFonts w:hint="default" w:ascii="宋体" w:hAnsi="宋体" w:eastAsia="宋体" w:cs="Times New Roman"/>
          <w:snapToGrid w:val="0"/>
          <w:color w:val="auto"/>
          <w:kern w:val="0"/>
          <w:sz w:val="24"/>
          <w:szCs w:val="21"/>
          <w:lang w:val="en-US" w:eastAsia="zh-CN"/>
        </w:rPr>
      </w:pPr>
    </w:p>
    <w:p w14:paraId="4959E083">
      <w:pPr>
        <w:keepNext/>
        <w:keepLines/>
        <w:numPr>
          <w:ilvl w:val="1"/>
          <w:numId w:val="0"/>
        </w:numPr>
        <w:spacing w:line="360" w:lineRule="auto"/>
        <w:ind w:left="578" w:hanging="578"/>
        <w:jc w:val="center"/>
        <w:outlineLvl w:val="2"/>
        <w:rPr>
          <w:rFonts w:ascii="黑体" w:hAnsi="黑体" w:eastAsia="黑体" w:cs="Times New Roman"/>
          <w:b/>
          <w:bCs/>
          <w:color w:val="auto"/>
          <w:sz w:val="28"/>
          <w:szCs w:val="32"/>
        </w:rPr>
      </w:pPr>
      <w:r>
        <w:rPr>
          <w:rFonts w:hint="eastAsia" w:ascii="黑体" w:hAnsi="黑体" w:eastAsia="黑体" w:cs="Times New Roman"/>
          <w:b/>
          <w:bCs/>
          <w:color w:val="auto"/>
          <w:sz w:val="28"/>
          <w:szCs w:val="32"/>
          <w:lang w:val="en-US" w:eastAsia="zh-CN"/>
        </w:rPr>
        <w:t>十</w:t>
      </w:r>
      <w:r>
        <w:rPr>
          <w:rFonts w:hint="eastAsia" w:ascii="黑体" w:hAnsi="黑体" w:eastAsia="黑体" w:cs="Times New Roman"/>
          <w:b/>
          <w:bCs/>
          <w:color w:val="auto"/>
          <w:sz w:val="28"/>
          <w:szCs w:val="32"/>
        </w:rPr>
        <w:t>、项目建设内容清单一览表</w:t>
      </w:r>
    </w:p>
    <w:p w14:paraId="2E576E0D">
      <w:pPr>
        <w:keepNext/>
        <w:keepLines/>
        <w:pageBreakBefore w:val="0"/>
        <w:widowControl w:val="0"/>
        <w:kinsoku/>
        <w:wordWrap/>
        <w:overflowPunct/>
        <w:topLinePunct w:val="0"/>
        <w:autoSpaceDE/>
        <w:autoSpaceDN/>
        <w:bidi w:val="0"/>
        <w:snapToGrid/>
        <w:spacing w:before="260" w:after="260" w:line="416" w:lineRule="auto"/>
        <w:ind w:left="240" w:leftChars="0" w:firstLine="0" w:firstLineChars="0"/>
        <w:jc w:val="both"/>
        <w:outlineLvl w:val="2"/>
        <w:rPr>
          <w:rFonts w:hint="eastAsia" w:ascii="Times New Roman" w:hAnsi="Times New Roman" w:eastAsia="宋体" w:cs="Times New Roman"/>
          <w:b/>
          <w:bCs/>
          <w:color w:val="auto"/>
          <w:kern w:val="2"/>
          <w:sz w:val="28"/>
          <w:szCs w:val="28"/>
          <w:lang w:val="en-US" w:eastAsia="zh-CN" w:bidi="ar-SA"/>
        </w:rPr>
      </w:pPr>
      <w:r>
        <w:rPr>
          <w:rFonts w:hint="eastAsia" w:ascii="宋体" w:hAnsi="宋体" w:eastAsia="宋体" w:cs="Times New Roman"/>
          <w:b/>
          <w:bCs/>
          <w:color w:val="auto"/>
          <w:kern w:val="2"/>
          <w:sz w:val="28"/>
          <w:szCs w:val="28"/>
          <w:u w:val="dottedHeavy"/>
          <w:lang w:val="en-US" w:eastAsia="zh-CN" w:bidi="ar-SA"/>
        </w:rPr>
        <w:t>1、</w:t>
      </w:r>
      <w:r>
        <w:rPr>
          <w:rFonts w:hint="eastAsia" w:ascii="Times New Roman" w:hAnsi="Times New Roman" w:eastAsia="宋体" w:cs="Times New Roman"/>
          <w:b/>
          <w:bCs/>
          <w:color w:val="auto"/>
          <w:kern w:val="2"/>
          <w:sz w:val="28"/>
          <w:szCs w:val="28"/>
          <w:lang w:val="en-US" w:eastAsia="zh-CN" w:bidi="ar-SA"/>
        </w:rPr>
        <w:t>视频专网链路租赁</w:t>
      </w:r>
    </w:p>
    <w:tbl>
      <w:tblPr>
        <w:tblStyle w:val="4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1176"/>
        <w:gridCol w:w="2028"/>
        <w:gridCol w:w="1883"/>
        <w:gridCol w:w="1113"/>
        <w:gridCol w:w="2164"/>
      </w:tblGrid>
      <w:tr w14:paraId="4CF80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blHeader/>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4E40C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视频专网链路租赁</w:t>
            </w:r>
          </w:p>
        </w:tc>
      </w:tr>
      <w:tr w14:paraId="21E73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blHeader/>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C8BD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2D9C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网络层级</w:t>
            </w:r>
          </w:p>
        </w:tc>
        <w:tc>
          <w:tcPr>
            <w:tcW w:w="11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1CD9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需求单位</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5472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链路要求</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4AC9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c>
          <w:tcPr>
            <w:tcW w:w="11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6A09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r>
      <w:tr w14:paraId="2BB11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FFD9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6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AC7E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视频专网核心层</w:t>
            </w: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A9EE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市数据局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E021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裸纤</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0D6B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8BD9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2B2F6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3A69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5802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CEA8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市数据局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593F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1G</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8A6F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02DD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1DA9E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E86B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172D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A2C3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7B46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裸纤</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E86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A47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77344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E04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CE3B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5596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7C36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10G</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20BC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0F3E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0F9FA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DACB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7A74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5148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市公安局(互联网专线)</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1867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1G</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EDCD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6726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2095C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E6B6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6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B1C4C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视频专网汇聚层</w:t>
            </w: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8773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B57D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裸纤</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0AEB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D009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69CB5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7356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4162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3DC1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407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10G</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9954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8825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38E8B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9004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0C92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3180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BE22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10G</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3830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7BA3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140DA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F0BB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1346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6AB1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8A53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1G</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416C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0F2B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2288A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2500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9B15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nil"/>
              <w:left w:val="single" w:color="000000" w:sz="8" w:space="0"/>
              <w:bottom w:val="single" w:color="000000" w:sz="8" w:space="0"/>
              <w:right w:val="single" w:color="000000" w:sz="8" w:space="0"/>
            </w:tcBorders>
            <w:shd w:val="clear" w:color="auto" w:fill="auto"/>
            <w:vAlign w:val="center"/>
          </w:tcPr>
          <w:p w14:paraId="2AF828D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市城管局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D09E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裸纤</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BD9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A6C4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22837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66ED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DBDF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EA72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交通管理支队</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5E5B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1G</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DAA8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20A1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26803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8745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8F75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4408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水利局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DDC3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裸纤</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DBDF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F0F5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4F622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AF08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BD43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4275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市应急管理局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E30F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裸纤</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5D0E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5FAB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73561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D33E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9791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A6A3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市机关事务管理局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97C3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裸纤</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7A9D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FDD4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3C8AD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AA19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649" w:type="pct"/>
            <w:vMerge w:val="restart"/>
            <w:tcBorders>
              <w:top w:val="single" w:color="000000" w:sz="4" w:space="0"/>
              <w:left w:val="single" w:color="000000" w:sz="4" w:space="0"/>
              <w:bottom w:val="nil"/>
              <w:right w:val="single" w:color="000000" w:sz="4" w:space="0"/>
            </w:tcBorders>
            <w:shd w:val="clear" w:color="auto" w:fill="auto"/>
            <w:vAlign w:val="center"/>
          </w:tcPr>
          <w:p w14:paraId="14E4973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视频专网接入层</w:t>
            </w: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AA02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6D55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1G</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590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202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13853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8E6A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3BAC7B3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2E00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ABCE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2252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1FC5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32858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BC4F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27819FA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71A4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EAF5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98C1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2823</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B5E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6BA83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C807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7E35C9D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02D4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A94A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519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1076</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48C8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55F1B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76E4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78A9C5F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299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市城管局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D927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F87F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3E6D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234D7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6C4F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6273C1A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7BEF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市城管局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B4DD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45D6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205C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417C1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BB99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24FCDBD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0294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市城管局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A333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F617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197</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A25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1CC74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E69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3285071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77B1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交通管理支队</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B3A8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BF34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159</w:t>
            </w:r>
          </w:p>
        </w:tc>
        <w:tc>
          <w:tcPr>
            <w:tcW w:w="11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9007D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24112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524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740F53D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E43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交通管理支队</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1251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裸纤</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284E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121</w:t>
            </w:r>
          </w:p>
        </w:tc>
        <w:tc>
          <w:tcPr>
            <w:tcW w:w="11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B55F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r>
      <w:tr w14:paraId="6534C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869C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38E8B79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4CC9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交通运输局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446A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6EBA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3827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0E01C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DA8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65D2936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43FA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水利局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BF4D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21B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447F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3916B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6B92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2DE84AF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B812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水利局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95B0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735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118</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8A77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3F0DF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3C9C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74DE030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4ED7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水利局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9EF2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6852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6F20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496C9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C859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D500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视频专网无线网络</w:t>
            </w: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DD82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A3FD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4B4C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6760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r>
    </w:tbl>
    <w:p w14:paraId="0700C24A">
      <w:pPr>
        <w:keepNext/>
        <w:keepLines/>
        <w:widowControl w:val="0"/>
        <w:bidi w:val="0"/>
        <w:spacing w:before="260" w:after="260" w:line="416" w:lineRule="auto"/>
        <w:ind w:left="240" w:leftChars="0" w:firstLineChars="0"/>
        <w:jc w:val="both"/>
        <w:outlineLvl w:val="2"/>
        <w:rPr>
          <w:rFonts w:hint="eastAsia" w:ascii="Times New Roman" w:hAnsi="Times New Roman" w:eastAsia="宋体" w:cs="Times New Roman"/>
          <w:b/>
          <w:bCs/>
          <w:color w:val="FF0000"/>
          <w:kern w:val="2"/>
          <w:sz w:val="32"/>
          <w:szCs w:val="32"/>
          <w:lang w:val="en-US" w:eastAsia="zh-CN" w:bidi="ar-SA"/>
        </w:rPr>
      </w:pPr>
    </w:p>
    <w:p w14:paraId="5B7F5587">
      <w:pPr>
        <w:keepNext/>
        <w:keepLines/>
        <w:widowControl w:val="0"/>
        <w:numPr>
          <w:ilvl w:val="0"/>
          <w:numId w:val="12"/>
        </w:numPr>
        <w:bidi w:val="0"/>
        <w:spacing w:before="260" w:after="260" w:line="416" w:lineRule="auto"/>
        <w:ind w:left="240" w:leftChars="0" w:firstLineChars="0"/>
        <w:jc w:val="both"/>
        <w:outlineLvl w:val="2"/>
        <w:rPr>
          <w:rFonts w:hint="eastAsia" w:ascii="Times New Roman" w:hAnsi="Times New Roman" w:eastAsia="宋体" w:cs="Times New Roman"/>
          <w:b/>
          <w:bCs/>
          <w:color w:val="auto"/>
          <w:kern w:val="2"/>
          <w:sz w:val="28"/>
          <w:szCs w:val="28"/>
          <w:lang w:val="en-US" w:eastAsia="zh-CN" w:bidi="ar-SA"/>
        </w:rPr>
      </w:pPr>
      <w:r>
        <w:rPr>
          <w:rFonts w:hint="eastAsia" w:ascii="Times New Roman" w:hAnsi="Times New Roman" w:eastAsia="宋体" w:cs="Times New Roman"/>
          <w:b/>
          <w:bCs/>
          <w:color w:val="auto"/>
          <w:kern w:val="2"/>
          <w:sz w:val="28"/>
          <w:szCs w:val="28"/>
          <w:lang w:val="en-US" w:eastAsia="zh-CN" w:bidi="ar-SA"/>
        </w:rPr>
        <w:t>其他链路</w:t>
      </w:r>
    </w:p>
    <w:tbl>
      <w:tblPr>
        <w:tblStyle w:val="4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0"/>
        <w:gridCol w:w="756"/>
        <w:gridCol w:w="1033"/>
        <w:gridCol w:w="3823"/>
        <w:gridCol w:w="852"/>
        <w:gridCol w:w="1846"/>
      </w:tblGrid>
      <w:tr w14:paraId="7C50F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FD3B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其他链路</w:t>
            </w:r>
          </w:p>
        </w:tc>
      </w:tr>
      <w:tr w14:paraId="47D31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ED1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3C3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需求单位</w:t>
            </w:r>
          </w:p>
        </w:tc>
        <w:tc>
          <w:tcPr>
            <w:tcW w:w="26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45DC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项目名称</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E03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525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r>
      <w:tr w14:paraId="5C6A0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292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689A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市数据局</w:t>
            </w:r>
          </w:p>
        </w:tc>
        <w:tc>
          <w:tcPr>
            <w:tcW w:w="5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ECA8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IPV6互联网链路</w:t>
            </w:r>
          </w:p>
        </w:tc>
        <w:tc>
          <w:tcPr>
            <w:tcW w:w="21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772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政府中心机房100M电路</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CAF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639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4A453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4E7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173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市数据局</w:t>
            </w:r>
          </w:p>
        </w:tc>
        <w:tc>
          <w:tcPr>
            <w:tcW w:w="5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7B00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auto"/>
                <w:sz w:val="24"/>
                <w:szCs w:val="24"/>
                <w:highlight w:val="none"/>
                <w:u w:val="none"/>
              </w:rPr>
            </w:pPr>
          </w:p>
        </w:tc>
        <w:tc>
          <w:tcPr>
            <w:tcW w:w="21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936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IPV6互联网IP地址</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A56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AE3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4BFD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9A5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723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市数据局</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AAE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政务云备份链路</w:t>
            </w:r>
          </w:p>
        </w:tc>
        <w:tc>
          <w:tcPr>
            <w:tcW w:w="21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AB5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市政府机房-东江湖大数据中心10G电路</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D60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104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bl>
    <w:p w14:paraId="3521C751">
      <w:pPr>
        <w:keepNext/>
        <w:keepLines/>
        <w:widowControl w:val="0"/>
        <w:numPr>
          <w:ilvl w:val="0"/>
          <w:numId w:val="0"/>
        </w:numPr>
        <w:bidi w:val="0"/>
        <w:spacing w:before="260" w:after="260" w:line="416" w:lineRule="auto"/>
        <w:ind w:left="240" w:leftChars="0"/>
        <w:jc w:val="both"/>
        <w:outlineLvl w:val="2"/>
        <w:rPr>
          <w:rFonts w:hint="eastAsia" w:ascii="Times New Roman" w:hAnsi="Times New Roman" w:eastAsia="宋体" w:cs="Times New Roman"/>
          <w:b/>
          <w:bCs/>
          <w:color w:val="auto"/>
          <w:kern w:val="2"/>
          <w:sz w:val="32"/>
          <w:szCs w:val="32"/>
          <w:lang w:val="en-US" w:eastAsia="zh-CN" w:bidi="ar-SA"/>
        </w:rPr>
      </w:pPr>
    </w:p>
    <w:p w14:paraId="2A3A182C">
      <w:pPr>
        <w:keepNext/>
        <w:keepLines/>
        <w:widowControl w:val="0"/>
        <w:bidi w:val="0"/>
        <w:spacing w:before="260" w:after="260" w:line="416" w:lineRule="auto"/>
        <w:ind w:left="240" w:leftChars="0" w:firstLineChars="0"/>
        <w:jc w:val="both"/>
        <w:outlineLvl w:val="2"/>
        <w:rPr>
          <w:rFonts w:hint="eastAsia" w:ascii="Times New Roman" w:hAnsi="Times New Roman" w:eastAsia="宋体" w:cs="Times New Roman"/>
          <w:b/>
          <w:bCs/>
          <w:color w:val="auto"/>
          <w:kern w:val="2"/>
          <w:sz w:val="28"/>
          <w:szCs w:val="28"/>
          <w:lang w:val="en-US" w:eastAsia="zh-CN" w:bidi="ar-SA"/>
        </w:rPr>
      </w:pPr>
      <w:r>
        <w:rPr>
          <w:rFonts w:hint="eastAsia" w:ascii="宋体" w:hAnsi="宋体" w:eastAsia="宋体" w:cs="Times New Roman"/>
          <w:b/>
          <w:bCs/>
          <w:color w:val="auto"/>
          <w:kern w:val="2"/>
          <w:sz w:val="28"/>
          <w:szCs w:val="28"/>
          <w:lang w:val="en-US" w:eastAsia="zh-CN" w:bidi="ar-SA"/>
        </w:rPr>
        <w:t>3、</w:t>
      </w:r>
      <w:r>
        <w:rPr>
          <w:rFonts w:hint="eastAsia" w:ascii="Times New Roman" w:hAnsi="Times New Roman" w:eastAsia="宋体" w:cs="Times New Roman"/>
          <w:b/>
          <w:bCs/>
          <w:color w:val="auto"/>
          <w:kern w:val="2"/>
          <w:sz w:val="28"/>
          <w:szCs w:val="28"/>
          <w:lang w:val="en-US" w:eastAsia="zh-CN" w:bidi="ar-SA"/>
        </w:rPr>
        <w:t>智能天网”汇聚机房托管</w:t>
      </w:r>
    </w:p>
    <w:tbl>
      <w:tblPr>
        <w:tblStyle w:val="4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6"/>
        <w:gridCol w:w="837"/>
        <w:gridCol w:w="736"/>
        <w:gridCol w:w="536"/>
        <w:gridCol w:w="6415"/>
      </w:tblGrid>
      <w:tr w14:paraId="1F145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723B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“智能天网”汇聚机房托管</w:t>
            </w:r>
          </w:p>
        </w:tc>
      </w:tr>
      <w:tr w14:paraId="18B9E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7C02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04506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BE96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53F5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D930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备注</w:t>
            </w:r>
          </w:p>
        </w:tc>
      </w:tr>
      <w:tr w14:paraId="00E29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8"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E60D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A980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机房托管费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8E8F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标准机柜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9EC7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EFEE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60个标准42U机柜年度租赁、机房UPS /空调 /消防/门禁配套、机房设备整体搬迁服务全部包含在机房托管服务费内，无额外搬迁收费</w:t>
            </w:r>
          </w:p>
        </w:tc>
      </w:tr>
    </w:tbl>
    <w:p w14:paraId="74CF6389">
      <w:pPr>
        <w:adjustRightInd w:val="0"/>
        <w:snapToGrid w:val="0"/>
        <w:spacing w:line="440" w:lineRule="exact"/>
        <w:rPr>
          <w:rFonts w:hint="eastAsia" w:ascii="宋体" w:hAnsi="宋体" w:eastAsia="宋体" w:cs="Times New Roman"/>
          <w:b/>
          <w:color w:val="FF0000"/>
          <w:szCs w:val="21"/>
          <w:lang w:val="en-US" w:eastAsia="zh-CN"/>
        </w:rPr>
      </w:pPr>
    </w:p>
    <w:p w14:paraId="4F68621E">
      <w:pPr>
        <w:keepNext/>
        <w:keepLines/>
        <w:widowControl w:val="0"/>
        <w:numPr>
          <w:ilvl w:val="0"/>
          <w:numId w:val="13"/>
        </w:numPr>
        <w:bidi w:val="0"/>
        <w:spacing w:before="260" w:after="260" w:line="416" w:lineRule="auto"/>
        <w:ind w:left="240" w:leftChars="0" w:firstLineChars="0"/>
        <w:jc w:val="both"/>
        <w:outlineLvl w:val="2"/>
        <w:rPr>
          <w:rFonts w:hint="eastAsia" w:ascii="Times New Roman" w:hAnsi="Times New Roman" w:eastAsia="宋体" w:cs="Times New Roman"/>
          <w:b/>
          <w:bCs/>
          <w:color w:val="auto"/>
          <w:kern w:val="2"/>
          <w:sz w:val="28"/>
          <w:szCs w:val="28"/>
          <w:lang w:val="en-US" w:eastAsia="zh-CN" w:bidi="ar-SA"/>
        </w:rPr>
      </w:pPr>
      <w:r>
        <w:rPr>
          <w:rFonts w:hint="eastAsia" w:ascii="Times New Roman" w:hAnsi="Times New Roman" w:eastAsia="宋体" w:cs="Times New Roman"/>
          <w:b/>
          <w:bCs/>
          <w:color w:val="auto"/>
          <w:kern w:val="2"/>
          <w:sz w:val="28"/>
          <w:szCs w:val="28"/>
          <w:lang w:val="en-US" w:eastAsia="zh-CN" w:bidi="ar-SA"/>
        </w:rPr>
        <w:t>智能天网维护</w:t>
      </w:r>
    </w:p>
    <w:tbl>
      <w:tblPr>
        <w:tblStyle w:val="4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1"/>
        <w:gridCol w:w="451"/>
        <w:gridCol w:w="451"/>
        <w:gridCol w:w="727"/>
        <w:gridCol w:w="6980"/>
      </w:tblGrid>
      <w:tr w14:paraId="2C51A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1D3D7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智能天网维护费</w:t>
            </w:r>
          </w:p>
        </w:tc>
      </w:tr>
      <w:tr w14:paraId="50EF4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9FB7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3A4D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项目</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3A27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单位</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15CF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数量</w:t>
            </w:r>
          </w:p>
        </w:tc>
        <w:tc>
          <w:tcPr>
            <w:tcW w:w="3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655E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前端监控点日常维护工作内容</w:t>
            </w:r>
          </w:p>
        </w:tc>
      </w:tr>
      <w:tr w14:paraId="0023C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9"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3C4A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51C2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智能天网前端摄像头维护费</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28E0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点位</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1F1C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2866</w:t>
            </w:r>
          </w:p>
        </w:tc>
        <w:tc>
          <w:tcPr>
            <w:tcW w:w="3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2F6D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1.机箱清洁、除锈，机箱及机箱内设备故障设备更换（防雷器、自动重合闸、电源、交换机、光猫等）；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2.机箱到前端摄像机电源线、网线的检测及更换；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3.摄像机掉线故障排查，摄像机清洁；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4.200个以内的前端摄像机故障摄像机更换、调试；</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5.前端治安摄像机、球形摄像机、高清点面联动摄像机、卡口摄像机固件升级；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6.摄像机覆盖角度、高度调整，镜头焦距调整；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7.球机预制位，看守位、巡逻方案设置、调整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8.枪型摄像机、球形摄像机、高清点面联动摄像机、卡口摄像机故障存储卡更换；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9.补光灯、闪光灯清洁，故障补光灯、闪光灯更换，补光灯、闪光灯调整调试；</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10.前端标识牌清洁、除锈和修复、补充；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11.护罩、杆体、支架、扎带及横臂维护（清洁、除锈）；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12.取电上墙护管及接电端子维护、更换；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13.每年50杆以内因城区改造等原因造成“智能天网”前端监控设备杆件搬迁；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14.每年负责1500米内电缆损坏和被盗的修复和更换；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15.前端点位电路及设施损坏修复及赔偿。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16.每年900米以内的变更取电点管道施工；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17.每年50根以内的横臂调整（横臂利旧），超过50根的；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18.因感应雷造成的所有损坏设备修复、更换；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19.杆基础、穿线手井、井盖维护、修复；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20.前端点位经纬度数据的提供及更新；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21.前端点位的维护资料的更新；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22.前端设备损坏检测、报价；</w:t>
            </w:r>
          </w:p>
        </w:tc>
      </w:tr>
    </w:tbl>
    <w:p w14:paraId="28170215">
      <w:pPr>
        <w:keepNext/>
        <w:keepLines/>
        <w:numPr>
          <w:ilvl w:val="1"/>
          <w:numId w:val="0"/>
        </w:numPr>
        <w:spacing w:line="240" w:lineRule="auto"/>
        <w:ind w:left="578" w:hanging="578"/>
        <w:jc w:val="left"/>
        <w:rPr>
          <w:rFonts w:hint="eastAsia" w:ascii="宋体" w:hAnsi="宋体" w:eastAsia="宋体" w:cs="Times New Roman"/>
          <w:b/>
          <w:color w:val="auto"/>
          <w:szCs w:val="21"/>
        </w:rPr>
      </w:pPr>
      <w:r>
        <w:rPr>
          <w:rFonts w:hint="eastAsia" w:ascii="宋体" w:hAnsi="宋体" w:eastAsia="宋体" w:cs="Times New Roman"/>
          <w:snapToGrid w:val="0"/>
          <w:color w:val="auto"/>
          <w:kern w:val="0"/>
          <w:sz w:val="24"/>
          <w:szCs w:val="21"/>
        </w:rPr>
        <w:t>以上内容作为分项报价的依据。</w:t>
      </w:r>
    </w:p>
    <w:p w14:paraId="37A21E1F">
      <w:pPr>
        <w:adjustRightInd w:val="0"/>
        <w:snapToGrid w:val="0"/>
        <w:spacing w:line="240" w:lineRule="auto"/>
        <w:ind w:firstLine="422" w:firstLineChars="200"/>
        <w:rPr>
          <w:rFonts w:hint="eastAsia" w:ascii="宋体" w:hAnsi="宋体" w:eastAsia="宋体" w:cs="Times New Roman"/>
          <w:b/>
          <w:color w:val="FF0000"/>
          <w:szCs w:val="21"/>
        </w:rPr>
      </w:pPr>
    </w:p>
    <w:p w14:paraId="663FAC23">
      <w:pPr>
        <w:adjustRightInd w:val="0"/>
        <w:snapToGrid w:val="0"/>
        <w:spacing w:line="240" w:lineRule="auto"/>
        <w:ind w:firstLine="422" w:firstLineChars="200"/>
        <w:rPr>
          <w:rFonts w:ascii="宋体" w:hAnsi="宋体" w:eastAsia="宋体" w:cs="Times New Roman"/>
          <w:b/>
          <w:color w:val="auto"/>
          <w:szCs w:val="21"/>
        </w:rPr>
      </w:pPr>
      <w:r>
        <w:rPr>
          <w:rFonts w:hint="eastAsia" w:ascii="宋体" w:hAnsi="宋体" w:eastAsia="宋体" w:cs="Times New Roman"/>
          <w:b/>
          <w:color w:val="auto"/>
          <w:szCs w:val="21"/>
        </w:rPr>
        <w:t>备注：</w:t>
      </w:r>
    </w:p>
    <w:p w14:paraId="4F087DAC">
      <w:pPr>
        <w:adjustRightInd w:val="0"/>
        <w:snapToGrid w:val="0"/>
        <w:spacing w:line="240" w:lineRule="auto"/>
        <w:ind w:firstLine="480" w:firstLineChars="200"/>
        <w:rPr>
          <w:rFonts w:ascii="宋体" w:hAnsi="宋体" w:eastAsia="宋体" w:cs="Times New Roman"/>
          <w:snapToGrid w:val="0"/>
          <w:color w:val="auto"/>
          <w:kern w:val="0"/>
          <w:sz w:val="24"/>
          <w:szCs w:val="21"/>
        </w:rPr>
      </w:pPr>
      <w:r>
        <w:rPr>
          <w:rFonts w:hint="eastAsia" w:ascii="宋体" w:hAnsi="宋体" w:eastAsia="宋体" w:cs="Times New Roman"/>
          <w:snapToGrid w:val="0"/>
          <w:color w:val="auto"/>
          <w:kern w:val="0"/>
          <w:sz w:val="24"/>
          <w:szCs w:val="21"/>
        </w:rPr>
        <w:t>1、本招标文件采购需求中标注“★”号的为实质性要求条款，对实质性要求条款中任何一条的偏离（即不满足或不响应），均将被视为无效投标。</w:t>
      </w:r>
    </w:p>
    <w:p w14:paraId="3E09E254">
      <w:pPr>
        <w:rPr>
          <w:rFonts w:ascii="Calibri" w:hAnsi="Calibri" w:cs="Times New Roman"/>
          <w:color w:val="FF0000"/>
        </w:rPr>
      </w:pPr>
    </w:p>
    <w:p w14:paraId="47C425E0">
      <w:pPr>
        <w:rPr>
          <w:rFonts w:hint="eastAsia" w:ascii="黑体" w:hAnsi="黑体" w:eastAsia="黑体"/>
          <w:b/>
          <w:bCs/>
          <w:sz w:val="28"/>
          <w:szCs w:val="32"/>
        </w:rPr>
      </w:pPr>
    </w:p>
    <w:p w14:paraId="5E068BE5">
      <w:pPr>
        <w:rPr>
          <w:rFonts w:hint="eastAsia" w:ascii="黑体" w:hAnsi="黑体" w:eastAsia="黑体"/>
          <w:b/>
          <w:bCs/>
          <w:sz w:val="28"/>
          <w:szCs w:val="32"/>
        </w:rPr>
      </w:pPr>
    </w:p>
    <w:bookmarkEnd w:id="137"/>
    <w:bookmarkEnd w:id="138"/>
    <w:p w14:paraId="53944DDA">
      <w:pPr>
        <w:pStyle w:val="23"/>
        <w:adjustRightInd w:val="0"/>
        <w:snapToGrid w:val="0"/>
        <w:spacing w:line="360" w:lineRule="auto"/>
        <w:jc w:val="center"/>
        <w:outlineLvl w:val="0"/>
        <w:rPr>
          <w:rFonts w:hint="eastAsia" w:ascii="黑体" w:hAnsi="华文中宋" w:eastAsia="黑体"/>
          <w:b/>
          <w:sz w:val="32"/>
          <w:szCs w:val="32"/>
        </w:rPr>
      </w:pPr>
      <w:bookmarkStart w:id="228" w:name="_Toc29913944"/>
      <w:bookmarkStart w:id="229" w:name="_Toc172716780"/>
      <w:bookmarkStart w:id="230" w:name="_Toc12981"/>
    </w:p>
    <w:p w14:paraId="6D5857B5">
      <w:pPr>
        <w:pStyle w:val="23"/>
        <w:adjustRightInd w:val="0"/>
        <w:snapToGrid w:val="0"/>
        <w:spacing w:line="360" w:lineRule="auto"/>
        <w:jc w:val="center"/>
        <w:outlineLvl w:val="0"/>
        <w:rPr>
          <w:rFonts w:hint="eastAsia" w:ascii="黑体" w:hAnsi="华文中宋" w:eastAsia="黑体"/>
          <w:b/>
          <w:sz w:val="32"/>
          <w:szCs w:val="32"/>
        </w:rPr>
      </w:pPr>
    </w:p>
    <w:p w14:paraId="468EAEE0">
      <w:pPr>
        <w:pStyle w:val="23"/>
        <w:adjustRightInd w:val="0"/>
        <w:snapToGrid w:val="0"/>
        <w:spacing w:line="360" w:lineRule="auto"/>
        <w:jc w:val="center"/>
        <w:outlineLvl w:val="0"/>
        <w:rPr>
          <w:rFonts w:hint="eastAsia" w:ascii="黑体" w:hAnsi="华文中宋" w:eastAsia="黑体"/>
          <w:b/>
          <w:sz w:val="32"/>
          <w:szCs w:val="32"/>
        </w:rPr>
      </w:pPr>
    </w:p>
    <w:p w14:paraId="7869D5BF">
      <w:pPr>
        <w:pStyle w:val="23"/>
        <w:adjustRightInd w:val="0"/>
        <w:snapToGrid w:val="0"/>
        <w:spacing w:line="360" w:lineRule="auto"/>
        <w:jc w:val="center"/>
        <w:outlineLvl w:val="0"/>
        <w:rPr>
          <w:rFonts w:hint="eastAsia" w:ascii="黑体" w:hAnsi="华文中宋" w:eastAsia="黑体"/>
          <w:b/>
          <w:sz w:val="32"/>
          <w:szCs w:val="32"/>
        </w:rPr>
      </w:pPr>
    </w:p>
    <w:p w14:paraId="26FB990A">
      <w:pPr>
        <w:pStyle w:val="23"/>
        <w:adjustRightInd w:val="0"/>
        <w:snapToGrid w:val="0"/>
        <w:spacing w:line="360" w:lineRule="auto"/>
        <w:jc w:val="center"/>
        <w:outlineLvl w:val="0"/>
        <w:rPr>
          <w:rFonts w:ascii="黑体" w:hAnsi="华文中宋" w:eastAsia="黑体"/>
          <w:b/>
          <w:sz w:val="32"/>
          <w:szCs w:val="32"/>
        </w:rPr>
      </w:pPr>
      <w:r>
        <w:rPr>
          <w:rFonts w:hint="eastAsia" w:ascii="黑体" w:hAnsi="华文中宋" w:eastAsia="黑体"/>
          <w:b/>
          <w:sz w:val="32"/>
          <w:szCs w:val="32"/>
        </w:rPr>
        <w:t>第六章 政府采购合同</w:t>
      </w:r>
      <w:bookmarkEnd w:id="228"/>
      <w:bookmarkEnd w:id="229"/>
      <w:bookmarkEnd w:id="230"/>
    </w:p>
    <w:p w14:paraId="02DF8B2C">
      <w:pPr>
        <w:pStyle w:val="4"/>
        <w:adjustRightInd w:val="0"/>
        <w:snapToGrid w:val="0"/>
        <w:jc w:val="center"/>
        <w:rPr>
          <w:rFonts w:ascii="黑体" w:hAnsi="华文中宋" w:eastAsia="黑体"/>
          <w:sz w:val="28"/>
          <w:szCs w:val="28"/>
        </w:rPr>
      </w:pPr>
      <w:bookmarkStart w:id="231" w:name="_Toc172716781"/>
      <w:bookmarkStart w:id="232" w:name="_Toc29913945"/>
      <w:bookmarkStart w:id="233" w:name="_Toc27385"/>
      <w:r>
        <w:rPr>
          <w:rFonts w:hint="eastAsia" w:ascii="黑体" w:hAnsi="华文中宋" w:eastAsia="黑体"/>
          <w:sz w:val="28"/>
          <w:szCs w:val="28"/>
        </w:rPr>
        <w:t>第一节 政府采购合同协议书</w:t>
      </w:r>
      <w:bookmarkEnd w:id="231"/>
      <w:bookmarkEnd w:id="232"/>
      <w:bookmarkEnd w:id="233"/>
    </w:p>
    <w:p w14:paraId="50095AC4">
      <w:pPr>
        <w:adjustRightInd w:val="0"/>
        <w:snapToGrid w:val="0"/>
        <w:spacing w:before="156" w:beforeLines="50" w:line="360" w:lineRule="auto"/>
        <w:ind w:firstLine="5460" w:firstLineChars="2600"/>
        <w:rPr>
          <w:rFonts w:ascii="宋体" w:hAnsi="宋体"/>
          <w:b/>
          <w:color w:val="auto"/>
          <w:szCs w:val="21"/>
        </w:rPr>
      </w:pPr>
      <w:r>
        <w:rPr>
          <w:rFonts w:hint="eastAsia" w:ascii="宋体" w:hAnsi="宋体"/>
          <w:color w:val="auto"/>
          <w:szCs w:val="21"/>
        </w:rPr>
        <w:t>采购合同编号：</w:t>
      </w:r>
      <w:r>
        <w:rPr>
          <w:rFonts w:ascii="宋体" w:hAnsi="宋体"/>
          <w:color w:val="auto"/>
          <w:szCs w:val="21"/>
          <w:u w:val="single"/>
        </w:rPr>
        <w:t xml:space="preserve">                 </w:t>
      </w:r>
    </w:p>
    <w:p w14:paraId="2252488D">
      <w:pPr>
        <w:adjustRightInd w:val="0"/>
        <w:snapToGrid w:val="0"/>
        <w:spacing w:before="156" w:beforeLines="50" w:line="360" w:lineRule="auto"/>
        <w:jc w:val="center"/>
        <w:rPr>
          <w:rFonts w:ascii="宋体" w:hAnsi="宋体"/>
          <w:b/>
          <w:color w:val="auto"/>
          <w:szCs w:val="21"/>
        </w:rPr>
      </w:pPr>
    </w:p>
    <w:p w14:paraId="6A6BD2C9">
      <w:pPr>
        <w:adjustRightInd w:val="0"/>
        <w:snapToGrid w:val="0"/>
        <w:spacing w:before="156" w:beforeLines="50" w:line="360" w:lineRule="auto"/>
        <w:rPr>
          <w:rFonts w:ascii="宋体" w:hAnsi="宋体"/>
          <w:color w:val="auto"/>
          <w:szCs w:val="21"/>
        </w:rPr>
      </w:pPr>
      <w:r>
        <w:rPr>
          <w:rFonts w:hint="eastAsia" w:ascii="宋体" w:hAnsi="宋体"/>
          <w:color w:val="auto"/>
          <w:szCs w:val="21"/>
        </w:rPr>
        <w:t>采购人（全称）：</w:t>
      </w:r>
      <w:r>
        <w:rPr>
          <w:rFonts w:hint="eastAsia" w:ascii="宋体" w:hAnsi="宋体"/>
          <w:color w:val="auto"/>
          <w:szCs w:val="21"/>
          <w:u w:val="single"/>
        </w:rPr>
        <w:t xml:space="preserve">                             </w:t>
      </w:r>
      <w:r>
        <w:rPr>
          <w:rFonts w:hint="eastAsia" w:ascii="宋体" w:hAnsi="宋体"/>
          <w:color w:val="auto"/>
          <w:szCs w:val="21"/>
        </w:rPr>
        <w:t>（甲方）</w:t>
      </w:r>
    </w:p>
    <w:p w14:paraId="573404E3">
      <w:pPr>
        <w:adjustRightInd w:val="0"/>
        <w:snapToGrid w:val="0"/>
        <w:spacing w:before="156" w:beforeLines="50" w:line="360" w:lineRule="auto"/>
        <w:rPr>
          <w:rFonts w:ascii="宋体" w:hAnsi="宋体"/>
          <w:color w:val="auto"/>
          <w:szCs w:val="21"/>
        </w:rPr>
      </w:pPr>
      <w:r>
        <w:rPr>
          <w:rFonts w:hint="eastAsia" w:ascii="宋体" w:hAnsi="宋体"/>
          <w:color w:val="auto"/>
          <w:szCs w:val="21"/>
        </w:rPr>
        <w:t>供应商（全称）：</w:t>
      </w:r>
      <w:r>
        <w:rPr>
          <w:rFonts w:hint="eastAsia" w:ascii="宋体" w:hAnsi="宋体"/>
          <w:color w:val="auto"/>
          <w:szCs w:val="21"/>
          <w:u w:val="single"/>
        </w:rPr>
        <w:t xml:space="preserve">                             </w:t>
      </w:r>
      <w:r>
        <w:rPr>
          <w:rFonts w:hint="eastAsia" w:ascii="宋体" w:hAnsi="宋体"/>
          <w:color w:val="auto"/>
          <w:szCs w:val="21"/>
        </w:rPr>
        <w:t>（乙方）</w:t>
      </w:r>
    </w:p>
    <w:p w14:paraId="4788B6DC">
      <w:pPr>
        <w:pStyle w:val="19"/>
        <w:adjustRightInd w:val="0"/>
        <w:snapToGrid w:val="0"/>
        <w:spacing w:before="156" w:beforeLines="50" w:after="0" w:line="360" w:lineRule="auto"/>
        <w:rPr>
          <w:rFonts w:ascii="宋体" w:hAnsi="宋体"/>
          <w:color w:val="auto"/>
          <w:szCs w:val="21"/>
        </w:rPr>
      </w:pPr>
    </w:p>
    <w:p w14:paraId="137DBBB9">
      <w:pPr>
        <w:pStyle w:val="19"/>
        <w:adjustRightInd w:val="0"/>
        <w:snapToGrid w:val="0"/>
        <w:spacing w:before="156" w:beforeLines="50" w:after="0" w:line="360" w:lineRule="auto"/>
        <w:ind w:left="0" w:leftChars="0" w:firstLine="420" w:firstLineChars="200"/>
        <w:rPr>
          <w:rFonts w:ascii="宋体" w:hAnsi="宋体"/>
          <w:color w:val="auto"/>
          <w:szCs w:val="21"/>
        </w:rPr>
      </w:pPr>
      <w:r>
        <w:rPr>
          <w:rFonts w:hint="eastAsia" w:ascii="宋体" w:hAnsi="宋体"/>
          <w:color w:val="auto"/>
          <w:szCs w:val="21"/>
        </w:rPr>
        <w:t>为了保护甲、乙双方合法权益，根据《中华人民共和国民法典》、《中华人民共和国政府采购法》及其他有关法律、法规、规章，双方签订本合同协议书。</w:t>
      </w:r>
    </w:p>
    <w:p w14:paraId="0993C867">
      <w:pPr>
        <w:adjustRightInd w:val="0"/>
        <w:snapToGrid w:val="0"/>
        <w:spacing w:before="156" w:beforeLines="50" w:line="360" w:lineRule="auto"/>
        <w:ind w:firstLine="422" w:firstLineChars="200"/>
        <w:rPr>
          <w:rFonts w:ascii="宋体" w:hAnsi="宋体"/>
          <w:b/>
          <w:color w:val="auto"/>
          <w:szCs w:val="21"/>
        </w:rPr>
      </w:pPr>
      <w:r>
        <w:rPr>
          <w:rFonts w:hint="eastAsia" w:ascii="宋体" w:hAnsi="宋体"/>
          <w:b/>
          <w:color w:val="auto"/>
          <w:szCs w:val="21"/>
        </w:rPr>
        <w:t>1.项目信息</w:t>
      </w:r>
    </w:p>
    <w:p w14:paraId="4FD0EE50">
      <w:pPr>
        <w:pStyle w:val="19"/>
        <w:adjustRightInd w:val="0"/>
        <w:snapToGrid w:val="0"/>
        <w:spacing w:before="156" w:beforeLines="50" w:after="0" w:line="360" w:lineRule="auto"/>
        <w:rPr>
          <w:rFonts w:ascii="宋体" w:hAnsi="宋体"/>
          <w:color w:val="auto"/>
          <w:szCs w:val="21"/>
        </w:rPr>
      </w:pPr>
      <w:r>
        <w:rPr>
          <w:rFonts w:hint="eastAsia" w:ascii="宋体" w:hAnsi="宋体"/>
          <w:color w:val="auto"/>
          <w:szCs w:val="21"/>
        </w:rPr>
        <w:t>（1）采购项目名称：</w:t>
      </w:r>
      <w:r>
        <w:rPr>
          <w:rFonts w:ascii="宋体" w:hAnsi="宋体"/>
          <w:color w:val="auto"/>
          <w:szCs w:val="21"/>
          <w:u w:val="single"/>
        </w:rPr>
        <w:t xml:space="preserve">                                          </w:t>
      </w:r>
    </w:p>
    <w:p w14:paraId="3DAD5636">
      <w:pPr>
        <w:pStyle w:val="19"/>
        <w:adjustRightInd w:val="0"/>
        <w:snapToGrid w:val="0"/>
        <w:spacing w:before="156" w:beforeLines="50" w:after="0" w:line="360" w:lineRule="auto"/>
        <w:rPr>
          <w:rFonts w:ascii="宋体" w:hAnsi="宋体"/>
          <w:color w:val="auto"/>
          <w:szCs w:val="21"/>
        </w:rPr>
      </w:pPr>
      <w:r>
        <w:rPr>
          <w:rFonts w:hint="eastAsia" w:ascii="宋体" w:hAnsi="宋体"/>
          <w:color w:val="auto"/>
          <w:szCs w:val="21"/>
        </w:rPr>
        <w:t>（2）采购计划编号：</w:t>
      </w:r>
      <w:r>
        <w:rPr>
          <w:rFonts w:ascii="宋体" w:hAnsi="宋体"/>
          <w:color w:val="auto"/>
          <w:szCs w:val="21"/>
          <w:u w:val="single"/>
        </w:rPr>
        <w:t xml:space="preserve">                          </w:t>
      </w:r>
      <w:r>
        <w:rPr>
          <w:rFonts w:ascii="宋体" w:hAnsi="宋体"/>
          <w:color w:val="auto"/>
          <w:szCs w:val="21"/>
        </w:rPr>
        <w:t xml:space="preserve"> </w:t>
      </w:r>
    </w:p>
    <w:p w14:paraId="0D87D042">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（3）项目内容：</w:t>
      </w:r>
      <w:r>
        <w:rPr>
          <w:rFonts w:hint="eastAsia" w:ascii="宋体" w:hAnsi="宋体"/>
          <w:color w:val="auto"/>
          <w:szCs w:val="21"/>
          <w:u w:val="single"/>
        </w:rPr>
        <w:t xml:space="preserve">                             </w:t>
      </w:r>
    </w:p>
    <w:p w14:paraId="5A94A09E">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（4）项目负责人：</w:t>
      </w:r>
      <w:r>
        <w:rPr>
          <w:rFonts w:hint="eastAsia" w:ascii="宋体" w:hAnsi="宋体"/>
          <w:color w:val="auto"/>
          <w:szCs w:val="21"/>
          <w:u w:val="single"/>
        </w:rPr>
        <w:t xml:space="preserve">              </w:t>
      </w:r>
      <w:r>
        <w:rPr>
          <w:rFonts w:hint="eastAsia" w:ascii="宋体" w:hAnsi="宋体"/>
          <w:color w:val="auto"/>
          <w:szCs w:val="21"/>
        </w:rPr>
        <w:t xml:space="preserve"> 。</w:t>
      </w:r>
    </w:p>
    <w:p w14:paraId="6F92436C">
      <w:pPr>
        <w:adjustRightInd w:val="0"/>
        <w:snapToGrid w:val="0"/>
        <w:spacing w:before="156" w:beforeLines="50" w:line="360" w:lineRule="auto"/>
        <w:ind w:firstLine="413" w:firstLineChars="196"/>
        <w:rPr>
          <w:rFonts w:ascii="宋体" w:hAnsi="宋体"/>
          <w:b/>
          <w:color w:val="auto"/>
          <w:szCs w:val="21"/>
        </w:rPr>
      </w:pPr>
      <w:r>
        <w:rPr>
          <w:rFonts w:hint="eastAsia" w:ascii="宋体" w:hAnsi="宋体"/>
          <w:b/>
          <w:color w:val="auto"/>
          <w:szCs w:val="21"/>
        </w:rPr>
        <w:t>2.合同金额</w:t>
      </w:r>
    </w:p>
    <w:p w14:paraId="759095B9">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（1）合同金额小写：</w:t>
      </w:r>
      <w:r>
        <w:rPr>
          <w:rFonts w:hint="eastAsia" w:ascii="宋体" w:hAnsi="宋体"/>
          <w:color w:val="auto"/>
          <w:szCs w:val="21"/>
          <w:u w:val="single"/>
        </w:rPr>
        <w:t xml:space="preserve">                      </w:t>
      </w:r>
    </w:p>
    <w:p w14:paraId="7C1D1463">
      <w:pPr>
        <w:adjustRightInd w:val="0"/>
        <w:snapToGrid w:val="0"/>
        <w:spacing w:before="156" w:beforeLines="50" w:line="360" w:lineRule="auto"/>
        <w:ind w:firstLine="1260" w:firstLineChars="600"/>
        <w:rPr>
          <w:rFonts w:ascii="宋体" w:hAnsi="宋体"/>
          <w:b/>
          <w:color w:val="auto"/>
          <w:szCs w:val="21"/>
        </w:rPr>
      </w:pPr>
      <w:r>
        <w:rPr>
          <w:rFonts w:hint="eastAsia" w:ascii="宋体" w:hAnsi="宋体"/>
          <w:color w:val="auto"/>
          <w:szCs w:val="21"/>
        </w:rPr>
        <w:t>大写：</w:t>
      </w:r>
      <w:r>
        <w:rPr>
          <w:rFonts w:hint="eastAsia" w:ascii="宋体" w:hAnsi="宋体"/>
          <w:color w:val="auto"/>
          <w:szCs w:val="21"/>
          <w:u w:val="single"/>
        </w:rPr>
        <w:t xml:space="preserve">                      </w:t>
      </w:r>
    </w:p>
    <w:p w14:paraId="33311407">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（2）具体标的见附件。</w:t>
      </w:r>
    </w:p>
    <w:p w14:paraId="3F75EA2E">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（3）合同价格形式：</w:t>
      </w:r>
      <w:r>
        <w:rPr>
          <w:rFonts w:hint="eastAsia" w:ascii="宋体" w:hAnsi="宋体"/>
          <w:color w:val="auto"/>
          <w:szCs w:val="21"/>
          <w:u w:val="single"/>
        </w:rPr>
        <w:t xml:space="preserve">           </w:t>
      </w:r>
      <w:r>
        <w:rPr>
          <w:rFonts w:hint="eastAsia" w:ascii="宋体" w:hAnsi="宋体"/>
          <w:color w:val="auto"/>
          <w:szCs w:val="21"/>
        </w:rPr>
        <w:t xml:space="preserve"> 。</w:t>
      </w:r>
    </w:p>
    <w:p w14:paraId="49FB5639">
      <w:pPr>
        <w:adjustRightInd w:val="0"/>
        <w:snapToGrid w:val="0"/>
        <w:spacing w:before="156" w:beforeLines="50" w:line="360" w:lineRule="auto"/>
        <w:ind w:firstLine="422" w:firstLineChars="200"/>
        <w:rPr>
          <w:rFonts w:ascii="宋体" w:hAnsi="宋体"/>
          <w:color w:val="auto"/>
          <w:szCs w:val="21"/>
          <w:u w:val="single"/>
        </w:rPr>
      </w:pPr>
      <w:r>
        <w:rPr>
          <w:rFonts w:hint="eastAsia" w:ascii="宋体" w:hAnsi="宋体"/>
          <w:b/>
          <w:color w:val="auto"/>
          <w:szCs w:val="21"/>
        </w:rPr>
        <w:t>3.履行合同的时间、地点及方式</w:t>
      </w:r>
      <w:r>
        <w:rPr>
          <w:rFonts w:hint="eastAsia" w:ascii="宋体" w:hAnsi="宋体"/>
          <w:color w:val="auto"/>
          <w:szCs w:val="21"/>
          <w:u w:val="single"/>
        </w:rPr>
        <w:t xml:space="preserve"> </w:t>
      </w:r>
    </w:p>
    <w:p w14:paraId="5D117B70">
      <w:pPr>
        <w:adjustRightInd w:val="0"/>
        <w:snapToGrid w:val="0"/>
        <w:spacing w:before="156" w:beforeLines="50" w:line="360" w:lineRule="auto"/>
        <w:ind w:firstLine="630" w:firstLineChars="300"/>
        <w:rPr>
          <w:rFonts w:ascii="宋体" w:hAnsi="宋体"/>
          <w:color w:val="auto"/>
          <w:szCs w:val="21"/>
        </w:rPr>
      </w:pPr>
      <w:r>
        <w:rPr>
          <w:rFonts w:hint="eastAsia" w:ascii="宋体" w:hAnsi="宋体"/>
          <w:color w:val="auto"/>
          <w:szCs w:val="21"/>
        </w:rPr>
        <w:t>起始日期：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日，完成日期：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日。总日历天数：</w:t>
      </w:r>
      <w:r>
        <w:rPr>
          <w:rFonts w:hint="eastAsia" w:ascii="宋体" w:hAnsi="宋体"/>
          <w:color w:val="auto"/>
          <w:szCs w:val="21"/>
          <w:u w:val="single"/>
        </w:rPr>
        <w:t xml:space="preserve">     </w:t>
      </w:r>
      <w:r>
        <w:rPr>
          <w:rFonts w:hint="eastAsia" w:ascii="宋体" w:hAnsi="宋体"/>
          <w:color w:val="auto"/>
          <w:szCs w:val="21"/>
        </w:rPr>
        <w:t>天。</w:t>
      </w:r>
    </w:p>
    <w:p w14:paraId="6876C1EB">
      <w:pPr>
        <w:adjustRightInd w:val="0"/>
        <w:snapToGrid w:val="0"/>
        <w:spacing w:before="156" w:beforeLines="50" w:line="360" w:lineRule="auto"/>
        <w:ind w:firstLine="630" w:firstLineChars="300"/>
        <w:rPr>
          <w:rFonts w:ascii="宋体" w:hAnsi="宋体"/>
          <w:color w:val="auto"/>
          <w:szCs w:val="21"/>
          <w:u w:val="single"/>
        </w:rPr>
      </w:pPr>
      <w:r>
        <w:rPr>
          <w:rFonts w:hint="eastAsia" w:ascii="宋体" w:hAnsi="宋体"/>
          <w:color w:val="auto"/>
          <w:szCs w:val="21"/>
        </w:rPr>
        <w:t>地点</w:t>
      </w:r>
      <w:r>
        <w:rPr>
          <w:rFonts w:hint="eastAsia" w:ascii="宋体" w:hAnsi="宋体"/>
          <w:b/>
          <w:color w:val="auto"/>
          <w:szCs w:val="21"/>
        </w:rPr>
        <w:t>：</w:t>
      </w:r>
      <w:r>
        <w:rPr>
          <w:rFonts w:hint="eastAsia" w:ascii="宋体" w:hAnsi="宋体"/>
          <w:color w:val="auto"/>
          <w:szCs w:val="21"/>
          <w:u w:val="single"/>
        </w:rPr>
        <w:t xml:space="preserve">                             </w:t>
      </w:r>
    </w:p>
    <w:p w14:paraId="64C45F12">
      <w:pPr>
        <w:adjustRightInd w:val="0"/>
        <w:snapToGrid w:val="0"/>
        <w:spacing w:before="156" w:beforeLines="50" w:line="360" w:lineRule="auto"/>
        <w:ind w:firstLine="630" w:firstLineChars="300"/>
        <w:rPr>
          <w:rFonts w:ascii="宋体" w:hAnsi="宋体"/>
          <w:color w:val="auto"/>
          <w:szCs w:val="21"/>
        </w:rPr>
      </w:pPr>
      <w:r>
        <w:rPr>
          <w:rFonts w:hint="eastAsia" w:ascii="宋体" w:hAnsi="宋体"/>
          <w:color w:val="auto"/>
          <w:szCs w:val="21"/>
        </w:rPr>
        <w:t>方式：</w:t>
      </w:r>
      <w:r>
        <w:rPr>
          <w:rFonts w:hint="eastAsia" w:ascii="宋体" w:hAnsi="宋体"/>
          <w:color w:val="auto"/>
          <w:szCs w:val="21"/>
          <w:u w:val="single"/>
        </w:rPr>
        <w:t xml:space="preserve">                             </w:t>
      </w:r>
    </w:p>
    <w:p w14:paraId="0F353E8E">
      <w:pPr>
        <w:adjustRightInd w:val="0"/>
        <w:snapToGrid w:val="0"/>
        <w:spacing w:before="156" w:beforeLines="50" w:line="360" w:lineRule="auto"/>
        <w:ind w:firstLine="422" w:firstLineChars="200"/>
        <w:rPr>
          <w:rFonts w:ascii="宋体" w:hAnsi="宋体"/>
          <w:b/>
          <w:color w:val="auto"/>
          <w:szCs w:val="21"/>
        </w:rPr>
      </w:pPr>
      <w:r>
        <w:rPr>
          <w:rFonts w:hint="eastAsia" w:ascii="宋体" w:hAnsi="宋体"/>
          <w:b/>
          <w:color w:val="auto"/>
          <w:szCs w:val="21"/>
        </w:rPr>
        <w:t>4.付款：</w:t>
      </w:r>
    </w:p>
    <w:p w14:paraId="66F17A42">
      <w:pPr>
        <w:adjustRightInd w:val="0"/>
        <w:snapToGrid w:val="0"/>
        <w:spacing w:before="156" w:beforeLines="50" w:line="360" w:lineRule="auto"/>
        <w:ind w:firstLine="630" w:firstLineChars="300"/>
        <w:rPr>
          <w:rFonts w:ascii="宋体" w:hAnsi="宋体"/>
          <w:bCs/>
          <w:color w:val="auto"/>
          <w:szCs w:val="21"/>
        </w:rPr>
      </w:pPr>
      <w:r>
        <w:rPr>
          <w:rFonts w:hint="eastAsia" w:ascii="宋体" w:hAnsi="宋体"/>
          <w:color w:val="auto"/>
          <w:szCs w:val="21"/>
        </w:rPr>
        <w:t>1、</w:t>
      </w:r>
      <w:r>
        <w:rPr>
          <w:rFonts w:hint="eastAsia" w:ascii="宋体" w:hAnsi="宋体"/>
          <w:color w:val="auto"/>
          <w:szCs w:val="21"/>
          <w:u w:val="single"/>
        </w:rPr>
        <w:t xml:space="preserve">                                             </w:t>
      </w:r>
      <w:r>
        <w:rPr>
          <w:rFonts w:hint="eastAsia" w:ascii="宋体" w:hAnsi="宋体"/>
          <w:color w:val="auto"/>
          <w:szCs w:val="21"/>
        </w:rPr>
        <w:t xml:space="preserve">。  </w:t>
      </w:r>
    </w:p>
    <w:p w14:paraId="6E114418">
      <w:pPr>
        <w:adjustRightInd w:val="0"/>
        <w:snapToGrid w:val="0"/>
        <w:spacing w:before="156" w:beforeLines="50" w:line="360" w:lineRule="auto"/>
        <w:ind w:firstLine="422" w:firstLineChars="200"/>
        <w:rPr>
          <w:rFonts w:ascii="宋体" w:hAnsi="宋体"/>
          <w:b/>
          <w:color w:val="auto"/>
          <w:szCs w:val="21"/>
        </w:rPr>
      </w:pPr>
      <w:r>
        <w:rPr>
          <w:rFonts w:hint="eastAsia" w:ascii="宋体" w:hAnsi="宋体"/>
          <w:b/>
          <w:color w:val="auto"/>
          <w:szCs w:val="21"/>
        </w:rPr>
        <w:t>5.解决合同纠纷方式</w:t>
      </w:r>
    </w:p>
    <w:p w14:paraId="324306CF">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首先通过双方协商解决，协商解决不成，则通过以下途径之一解决纠纷：</w:t>
      </w:r>
    </w:p>
    <w:p w14:paraId="23F5FA76">
      <w:pPr>
        <w:adjustRightInd w:val="0"/>
        <w:snapToGrid w:val="0"/>
        <w:spacing w:before="156" w:beforeLines="50" w:line="360" w:lineRule="auto"/>
        <w:ind w:firstLine="840" w:firstLineChars="400"/>
        <w:rPr>
          <w:rFonts w:ascii="宋体" w:hAnsi="宋体"/>
          <w:color w:val="auto"/>
          <w:szCs w:val="21"/>
        </w:rPr>
      </w:pPr>
      <w:r>
        <w:rPr>
          <w:rFonts w:hint="eastAsia" w:ascii="宋体" w:hAnsi="宋体"/>
          <w:color w:val="auto"/>
          <w:szCs w:val="21"/>
        </w:rPr>
        <w:t>□ 提请仲裁       □ 向人民法院提起诉讼</w:t>
      </w:r>
    </w:p>
    <w:p w14:paraId="49AA1AD4">
      <w:pPr>
        <w:adjustRightInd w:val="0"/>
        <w:snapToGrid w:val="0"/>
        <w:spacing w:before="156" w:beforeLines="50" w:line="360" w:lineRule="auto"/>
        <w:ind w:firstLine="422" w:firstLineChars="200"/>
        <w:rPr>
          <w:rFonts w:ascii="宋体" w:hAnsi="宋体"/>
          <w:b/>
          <w:color w:val="auto"/>
          <w:szCs w:val="21"/>
        </w:rPr>
      </w:pPr>
      <w:r>
        <w:rPr>
          <w:rFonts w:hint="eastAsia" w:ascii="宋体" w:hAnsi="宋体"/>
          <w:b/>
          <w:color w:val="auto"/>
          <w:szCs w:val="21"/>
        </w:rPr>
        <w:t>6.组成合同的文件</w:t>
      </w:r>
    </w:p>
    <w:p w14:paraId="791E860B">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本协议书与下列文件一起构成合同文件，如下述文件之间有任何抵触、矛盾或歧义，应按以下顺序解释：</w:t>
      </w:r>
    </w:p>
    <w:p w14:paraId="521D5CC2">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（1）在采购或合同履行过程中乙方作出的承诺以及双方协商达成的变更或补充协议</w:t>
      </w:r>
    </w:p>
    <w:p w14:paraId="698F777E">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（2）本合同协议书</w:t>
      </w:r>
    </w:p>
    <w:p w14:paraId="3B3FC5C9">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（3）中标通知书</w:t>
      </w:r>
    </w:p>
    <w:p w14:paraId="4FB36FD7">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（4）投标文件</w:t>
      </w:r>
    </w:p>
    <w:p w14:paraId="31ECDC1A">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（5）政府采购合同专用条款</w:t>
      </w:r>
    </w:p>
    <w:p w14:paraId="5317D861">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（6）政府采购合同通用条款</w:t>
      </w:r>
    </w:p>
    <w:p w14:paraId="7B2115B3">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（7）标准、规范及有关技术文件，图纸。</w:t>
      </w:r>
    </w:p>
    <w:p w14:paraId="0DE40B07">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（8）其他合同文件。</w:t>
      </w:r>
    </w:p>
    <w:p w14:paraId="572E8A57">
      <w:pPr>
        <w:adjustRightInd w:val="0"/>
        <w:snapToGrid w:val="0"/>
        <w:spacing w:before="156" w:beforeLines="50" w:line="360" w:lineRule="auto"/>
        <w:ind w:firstLine="310" w:firstLineChars="147"/>
        <w:rPr>
          <w:rFonts w:ascii="宋体" w:hAnsi="宋体"/>
          <w:b/>
          <w:color w:val="auto"/>
          <w:szCs w:val="21"/>
        </w:rPr>
      </w:pPr>
      <w:r>
        <w:rPr>
          <w:rFonts w:hint="eastAsia" w:ascii="宋体" w:hAnsi="宋体"/>
          <w:b/>
          <w:color w:val="auto"/>
          <w:szCs w:val="21"/>
        </w:rPr>
        <w:t>7.合同生效</w:t>
      </w:r>
    </w:p>
    <w:p w14:paraId="7CB3209B">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本合同自</w:t>
      </w:r>
      <w:r>
        <w:rPr>
          <w:rFonts w:hint="eastAsia" w:ascii="宋体" w:hAnsi="宋体"/>
          <w:color w:val="auto"/>
          <w:szCs w:val="21"/>
          <w:u w:val="single"/>
        </w:rPr>
        <w:t xml:space="preserve">                               </w:t>
      </w:r>
      <w:r>
        <w:rPr>
          <w:rFonts w:hint="eastAsia" w:ascii="宋体" w:hAnsi="宋体"/>
          <w:color w:val="auto"/>
          <w:szCs w:val="21"/>
        </w:rPr>
        <w:t>生效。</w:t>
      </w:r>
    </w:p>
    <w:p w14:paraId="155C7946">
      <w:pPr>
        <w:adjustRightInd w:val="0"/>
        <w:snapToGrid w:val="0"/>
        <w:spacing w:before="156" w:beforeLines="50" w:line="360" w:lineRule="auto"/>
        <w:ind w:firstLine="310" w:firstLineChars="147"/>
        <w:rPr>
          <w:rFonts w:ascii="宋体" w:hAnsi="宋体"/>
          <w:b/>
          <w:color w:val="auto"/>
          <w:szCs w:val="21"/>
        </w:rPr>
      </w:pPr>
      <w:r>
        <w:rPr>
          <w:rFonts w:hint="eastAsia" w:ascii="宋体" w:hAnsi="宋体"/>
          <w:b/>
          <w:color w:val="auto"/>
          <w:szCs w:val="21"/>
        </w:rPr>
        <w:t>8.合同份数</w:t>
      </w:r>
    </w:p>
    <w:p w14:paraId="264C531D">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本合同一式</w:t>
      </w:r>
      <w:r>
        <w:rPr>
          <w:rFonts w:hint="eastAsia" w:ascii="宋体" w:hAnsi="宋体"/>
          <w:color w:val="auto"/>
          <w:szCs w:val="21"/>
          <w:u w:val="single"/>
        </w:rPr>
        <w:t xml:space="preserve">    </w:t>
      </w:r>
      <w:r>
        <w:rPr>
          <w:rFonts w:hint="eastAsia" w:ascii="宋体" w:hAnsi="宋体"/>
          <w:color w:val="auto"/>
          <w:szCs w:val="21"/>
        </w:rPr>
        <w:t>份，采购人执</w:t>
      </w:r>
      <w:r>
        <w:rPr>
          <w:rFonts w:hint="eastAsia" w:ascii="宋体" w:hAnsi="宋体"/>
          <w:color w:val="auto"/>
          <w:szCs w:val="21"/>
          <w:u w:val="single"/>
        </w:rPr>
        <w:t xml:space="preserve">   </w:t>
      </w:r>
      <w:r>
        <w:rPr>
          <w:rFonts w:hint="eastAsia" w:ascii="宋体" w:hAnsi="宋体"/>
          <w:color w:val="auto"/>
          <w:szCs w:val="21"/>
        </w:rPr>
        <w:t>份，供应商执</w:t>
      </w:r>
      <w:r>
        <w:rPr>
          <w:rFonts w:hint="eastAsia" w:ascii="宋体" w:hAnsi="宋体"/>
          <w:color w:val="auto"/>
          <w:szCs w:val="21"/>
          <w:u w:val="single"/>
        </w:rPr>
        <w:t xml:space="preserve">   </w:t>
      </w:r>
      <w:r>
        <w:rPr>
          <w:rFonts w:hint="eastAsia" w:ascii="宋体" w:hAnsi="宋体"/>
          <w:color w:val="auto"/>
          <w:szCs w:val="21"/>
        </w:rPr>
        <w:t>份，均具有同等法律效力。</w:t>
      </w:r>
    </w:p>
    <w:p w14:paraId="4305BDD3">
      <w:pPr>
        <w:adjustRightInd w:val="0"/>
        <w:snapToGrid w:val="0"/>
        <w:spacing w:before="156" w:beforeLines="50" w:line="360" w:lineRule="auto"/>
        <w:rPr>
          <w:rFonts w:ascii="宋体" w:hAnsi="宋体"/>
          <w:color w:val="auto"/>
          <w:szCs w:val="21"/>
        </w:rPr>
      </w:pPr>
    </w:p>
    <w:p w14:paraId="1222D301">
      <w:pPr>
        <w:adjustRightInd w:val="0"/>
        <w:snapToGrid w:val="0"/>
        <w:spacing w:before="156" w:beforeLines="50" w:line="360" w:lineRule="auto"/>
        <w:rPr>
          <w:rFonts w:ascii="宋体" w:hAnsi="宋体"/>
          <w:color w:val="auto"/>
          <w:szCs w:val="21"/>
        </w:rPr>
      </w:pPr>
      <w:r>
        <w:rPr>
          <w:rFonts w:hint="eastAsia" w:ascii="宋体" w:hAnsi="宋体"/>
          <w:color w:val="auto"/>
          <w:szCs w:val="21"/>
        </w:rPr>
        <w:t>合同订立时间：</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1BA4A848">
      <w:pPr>
        <w:adjustRightInd w:val="0"/>
        <w:snapToGrid w:val="0"/>
        <w:spacing w:before="156" w:beforeLines="50" w:line="360" w:lineRule="auto"/>
        <w:rPr>
          <w:rFonts w:ascii="宋体" w:hAnsi="宋体"/>
          <w:color w:val="auto"/>
          <w:szCs w:val="21"/>
        </w:rPr>
      </w:pPr>
      <w:r>
        <w:rPr>
          <w:rFonts w:hint="eastAsia" w:ascii="宋体" w:hAnsi="宋体"/>
          <w:color w:val="auto"/>
          <w:szCs w:val="21"/>
        </w:rPr>
        <w:t>合同订立地点：</w:t>
      </w:r>
      <w:r>
        <w:rPr>
          <w:rFonts w:hint="eastAsia" w:ascii="宋体" w:hAnsi="宋体"/>
          <w:color w:val="auto"/>
          <w:szCs w:val="21"/>
          <w:u w:val="single"/>
        </w:rPr>
        <w:t xml:space="preserve">                           </w:t>
      </w:r>
    </w:p>
    <w:p w14:paraId="73E70AF5">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 xml:space="preserve">    </w:t>
      </w:r>
    </w:p>
    <w:p w14:paraId="192EBF31">
      <w:pPr>
        <w:adjustRightInd w:val="0"/>
        <w:snapToGrid w:val="0"/>
        <w:spacing w:before="156" w:beforeLines="50" w:line="360" w:lineRule="auto"/>
        <w:rPr>
          <w:rFonts w:ascii="宋体" w:hAnsi="宋体"/>
          <w:color w:val="auto"/>
          <w:szCs w:val="21"/>
        </w:rPr>
      </w:pPr>
      <w:r>
        <w:rPr>
          <w:rFonts w:hint="eastAsia" w:ascii="宋体" w:hAnsi="宋体"/>
          <w:color w:val="auto"/>
          <w:szCs w:val="21"/>
        </w:rPr>
        <w:t>甲      方：（公章）                     乙      方：（公章）</w:t>
      </w:r>
    </w:p>
    <w:p w14:paraId="2DA54405">
      <w:pPr>
        <w:adjustRightInd w:val="0"/>
        <w:snapToGrid w:val="0"/>
        <w:spacing w:before="156" w:beforeLines="50" w:line="360" w:lineRule="auto"/>
        <w:rPr>
          <w:rFonts w:ascii="宋体" w:hAnsi="宋体"/>
          <w:color w:val="auto"/>
          <w:szCs w:val="21"/>
        </w:rPr>
      </w:pPr>
      <w:r>
        <w:rPr>
          <w:rFonts w:hint="eastAsia" w:ascii="宋体" w:hAnsi="宋体"/>
          <w:color w:val="auto"/>
          <w:szCs w:val="21"/>
        </w:rPr>
        <w:t>法定代表人：</w:t>
      </w:r>
      <w:r>
        <w:rPr>
          <w:rFonts w:hint="eastAsia" w:ascii="宋体" w:hAnsi="宋体"/>
          <w:color w:val="auto"/>
          <w:szCs w:val="21"/>
          <w:u w:val="single"/>
        </w:rPr>
        <w:t xml:space="preserve">                   </w:t>
      </w:r>
      <w:r>
        <w:rPr>
          <w:rFonts w:hint="eastAsia" w:ascii="宋体" w:hAnsi="宋体"/>
          <w:color w:val="auto"/>
          <w:szCs w:val="21"/>
        </w:rPr>
        <w:t xml:space="preserve">         法定代表人：</w:t>
      </w:r>
      <w:r>
        <w:rPr>
          <w:rFonts w:hint="eastAsia" w:ascii="宋体" w:hAnsi="宋体"/>
          <w:color w:val="auto"/>
          <w:szCs w:val="21"/>
          <w:u w:val="single"/>
        </w:rPr>
        <w:t xml:space="preserve">                   </w:t>
      </w:r>
    </w:p>
    <w:p w14:paraId="0DC9C8B2">
      <w:pPr>
        <w:adjustRightInd w:val="0"/>
        <w:snapToGrid w:val="0"/>
        <w:spacing w:before="156" w:beforeLines="50" w:line="360" w:lineRule="auto"/>
        <w:rPr>
          <w:rFonts w:ascii="宋体" w:hAnsi="宋体"/>
          <w:color w:val="auto"/>
          <w:szCs w:val="21"/>
        </w:rPr>
      </w:pPr>
      <w:r>
        <w:rPr>
          <w:rFonts w:hint="eastAsia" w:ascii="宋体" w:hAnsi="宋体"/>
          <w:color w:val="auto"/>
          <w:szCs w:val="21"/>
        </w:rPr>
        <w:t>委托代理人：</w:t>
      </w:r>
      <w:r>
        <w:rPr>
          <w:rFonts w:hint="eastAsia" w:ascii="宋体" w:hAnsi="宋体"/>
          <w:color w:val="auto"/>
          <w:szCs w:val="21"/>
          <w:u w:val="single"/>
        </w:rPr>
        <w:t xml:space="preserve">                   </w:t>
      </w:r>
      <w:r>
        <w:rPr>
          <w:rFonts w:hint="eastAsia" w:ascii="宋体" w:hAnsi="宋体"/>
          <w:color w:val="auto"/>
          <w:szCs w:val="21"/>
        </w:rPr>
        <w:t xml:space="preserve">         委托代理人：</w:t>
      </w:r>
      <w:r>
        <w:rPr>
          <w:rFonts w:hint="eastAsia" w:ascii="宋体" w:hAnsi="宋体"/>
          <w:color w:val="auto"/>
          <w:szCs w:val="21"/>
          <w:u w:val="single"/>
        </w:rPr>
        <w:t xml:space="preserve">                   </w:t>
      </w:r>
    </w:p>
    <w:p w14:paraId="48817DEC">
      <w:pPr>
        <w:adjustRightInd w:val="0"/>
        <w:snapToGrid w:val="0"/>
        <w:spacing w:before="156" w:beforeLines="50" w:line="360" w:lineRule="auto"/>
        <w:rPr>
          <w:rFonts w:ascii="宋体" w:hAnsi="宋体"/>
          <w:color w:val="auto"/>
          <w:szCs w:val="21"/>
        </w:rPr>
      </w:pPr>
      <w:r>
        <w:rPr>
          <w:rFonts w:hint="eastAsia" w:ascii="宋体" w:hAnsi="宋体"/>
          <w:color w:val="auto"/>
          <w:szCs w:val="21"/>
        </w:rPr>
        <w:t>电      话：</w:t>
      </w:r>
      <w:r>
        <w:rPr>
          <w:rFonts w:hint="eastAsia" w:ascii="宋体" w:hAnsi="宋体"/>
          <w:color w:val="auto"/>
          <w:szCs w:val="21"/>
          <w:u w:val="single"/>
        </w:rPr>
        <w:t xml:space="preserve">                   </w:t>
      </w:r>
      <w:r>
        <w:rPr>
          <w:rFonts w:hint="eastAsia" w:ascii="宋体" w:hAnsi="宋体"/>
          <w:color w:val="auto"/>
          <w:szCs w:val="21"/>
        </w:rPr>
        <w:t xml:space="preserve">         电      话：</w:t>
      </w:r>
      <w:r>
        <w:rPr>
          <w:rFonts w:hint="eastAsia" w:ascii="宋体" w:hAnsi="宋体"/>
          <w:color w:val="auto"/>
          <w:szCs w:val="21"/>
          <w:u w:val="single"/>
        </w:rPr>
        <w:t xml:space="preserve">                   </w:t>
      </w:r>
    </w:p>
    <w:p w14:paraId="57582E1E">
      <w:pPr>
        <w:adjustRightInd w:val="0"/>
        <w:snapToGrid w:val="0"/>
        <w:spacing w:before="156" w:beforeLines="50" w:line="360" w:lineRule="auto"/>
        <w:rPr>
          <w:rFonts w:ascii="宋体" w:hAnsi="宋体"/>
          <w:color w:val="auto"/>
          <w:szCs w:val="21"/>
        </w:rPr>
      </w:pPr>
      <w:r>
        <w:rPr>
          <w:rFonts w:hint="eastAsia" w:ascii="宋体" w:hAnsi="宋体"/>
          <w:color w:val="auto"/>
          <w:szCs w:val="21"/>
        </w:rPr>
        <w:t>传      真：</w:t>
      </w:r>
      <w:r>
        <w:rPr>
          <w:rFonts w:hint="eastAsia" w:ascii="宋体" w:hAnsi="宋体"/>
          <w:color w:val="auto"/>
          <w:szCs w:val="21"/>
          <w:u w:val="single"/>
        </w:rPr>
        <w:t xml:space="preserve">                   </w:t>
      </w:r>
      <w:r>
        <w:rPr>
          <w:rFonts w:hint="eastAsia" w:ascii="宋体" w:hAnsi="宋体"/>
          <w:color w:val="auto"/>
          <w:szCs w:val="21"/>
        </w:rPr>
        <w:t xml:space="preserve">         传      真：</w:t>
      </w:r>
      <w:r>
        <w:rPr>
          <w:rFonts w:hint="eastAsia" w:ascii="宋体" w:hAnsi="宋体"/>
          <w:color w:val="auto"/>
          <w:szCs w:val="21"/>
          <w:u w:val="single"/>
        </w:rPr>
        <w:t xml:space="preserve">                   </w:t>
      </w:r>
    </w:p>
    <w:p w14:paraId="724AC9BF">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 xml:space="preserve">                                    开 户 银 行：</w:t>
      </w:r>
      <w:r>
        <w:rPr>
          <w:rFonts w:hint="eastAsia" w:ascii="宋体" w:hAnsi="宋体"/>
          <w:color w:val="auto"/>
          <w:szCs w:val="21"/>
          <w:u w:val="single"/>
        </w:rPr>
        <w:t xml:space="preserve">                   </w:t>
      </w:r>
    </w:p>
    <w:p w14:paraId="27D5CB4F">
      <w:pPr>
        <w:adjustRightInd w:val="0"/>
        <w:snapToGrid w:val="0"/>
        <w:spacing w:before="156" w:beforeLines="50" w:line="360" w:lineRule="auto"/>
        <w:jc w:val="center"/>
        <w:rPr>
          <w:rFonts w:ascii="宋体" w:hAnsi="宋体"/>
          <w:b/>
          <w:color w:val="auto"/>
          <w:szCs w:val="21"/>
        </w:rPr>
      </w:pPr>
      <w:r>
        <w:rPr>
          <w:rFonts w:hint="eastAsia" w:ascii="宋体" w:hAnsi="宋体"/>
          <w:color w:val="auto"/>
          <w:szCs w:val="21"/>
        </w:rPr>
        <w:t xml:space="preserve">         帐       号：</w:t>
      </w:r>
      <w:r>
        <w:rPr>
          <w:rFonts w:hint="eastAsia" w:ascii="宋体" w:hAnsi="宋体"/>
          <w:color w:val="auto"/>
          <w:szCs w:val="21"/>
          <w:u w:val="single"/>
        </w:rPr>
        <w:t xml:space="preserve">                 </w:t>
      </w:r>
    </w:p>
    <w:p w14:paraId="26CC854C">
      <w:pPr>
        <w:adjustRightInd w:val="0"/>
        <w:snapToGrid w:val="0"/>
        <w:spacing w:beforeLines="50" w:line="360" w:lineRule="auto"/>
        <w:ind w:firstLine="5460" w:firstLineChars="2600"/>
        <w:rPr>
          <w:rFonts w:hint="eastAsia" w:asciiTheme="minorEastAsia" w:hAnsiTheme="minorEastAsia" w:eastAsiaTheme="minorEastAsia"/>
          <w:szCs w:val="21"/>
        </w:rPr>
      </w:pPr>
    </w:p>
    <w:p w14:paraId="03F10A2A">
      <w:pPr>
        <w:rPr>
          <w:rFonts w:ascii="黑体" w:hAnsi="黑体" w:eastAsia="黑体"/>
          <w:b/>
          <w:bCs/>
          <w:sz w:val="28"/>
          <w:szCs w:val="28"/>
        </w:rPr>
      </w:pPr>
      <w:bookmarkStart w:id="234" w:name="_Toc18102"/>
      <w:bookmarkStart w:id="235" w:name="_Toc172716794"/>
      <w:bookmarkStart w:id="236" w:name="_Toc29913947"/>
      <w:r>
        <w:rPr>
          <w:rFonts w:ascii="黑体" w:hAnsi="黑体" w:eastAsia="黑体"/>
          <w:b/>
          <w:bCs/>
          <w:sz w:val="28"/>
          <w:szCs w:val="28"/>
        </w:rPr>
        <w:br w:type="page"/>
      </w:r>
    </w:p>
    <w:p w14:paraId="2DACEC54">
      <w:pPr>
        <w:autoSpaceDE w:val="0"/>
        <w:autoSpaceDN w:val="0"/>
        <w:adjustRightInd w:val="0"/>
        <w:snapToGrid w:val="0"/>
        <w:spacing w:before="50" w:line="360" w:lineRule="auto"/>
        <w:ind w:firstLine="562" w:firstLineChars="200"/>
        <w:jc w:val="center"/>
        <w:rPr>
          <w:rFonts w:ascii="黑体" w:hAnsi="黑体" w:eastAsia="黑体"/>
          <w:b/>
          <w:bCs/>
          <w:sz w:val="28"/>
          <w:szCs w:val="28"/>
        </w:rPr>
      </w:pPr>
    </w:p>
    <w:p w14:paraId="50C5AAA2">
      <w:pPr>
        <w:pStyle w:val="5"/>
        <w:adjustRightInd w:val="0"/>
        <w:snapToGrid w:val="0"/>
        <w:spacing w:beforeLines="50"/>
        <w:jc w:val="center"/>
        <w:rPr>
          <w:rFonts w:ascii="黑体" w:hAnsi="黑体" w:eastAsia="黑体"/>
          <w:sz w:val="44"/>
          <w:szCs w:val="44"/>
        </w:rPr>
      </w:pPr>
      <w:r>
        <w:rPr>
          <w:rFonts w:hint="eastAsia" w:ascii="黑体" w:hAnsi="黑体" w:eastAsia="黑体"/>
          <w:sz w:val="28"/>
          <w:szCs w:val="28"/>
        </w:rPr>
        <w:t>第二节 政府采购合同通用条款</w:t>
      </w:r>
      <w:bookmarkEnd w:id="234"/>
      <w:bookmarkEnd w:id="235"/>
    </w:p>
    <w:p w14:paraId="77E9E0A6">
      <w:pPr>
        <w:tabs>
          <w:tab w:val="left" w:pos="8820"/>
          <w:tab w:val="left" w:pos="9345"/>
          <w:tab w:val="left" w:pos="9765"/>
        </w:tabs>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1.</w:t>
      </w:r>
      <w:r>
        <w:rPr>
          <w:rFonts w:hint="eastAsia" w:asciiTheme="minorEastAsia" w:hAnsiTheme="minorEastAsia" w:eastAsiaTheme="minorEastAsia"/>
          <w:b/>
          <w:bCs/>
          <w:sz w:val="24"/>
        </w:rPr>
        <w:t>定义</w:t>
      </w:r>
    </w:p>
    <w:p w14:paraId="78BFFD8D">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1.1合同当事人</w:t>
      </w:r>
    </w:p>
    <w:p w14:paraId="71116B4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（1）采购人（以下称甲方）是指使用财政性资金，通过政府采购程序向供应商购买货物、服务的国家机关、事业单位、团体组织。本次采购的甲方名称、地址见</w:t>
      </w:r>
      <w:r>
        <w:rPr>
          <w:rFonts w:hint="eastAsia" w:asciiTheme="minorEastAsia" w:hAnsiTheme="minorEastAsia" w:eastAsiaTheme="minorEastAsia"/>
          <w:b/>
          <w:szCs w:val="21"/>
        </w:rPr>
        <w:t>【政府采购合同专用条款】。</w:t>
      </w:r>
    </w:p>
    <w:p w14:paraId="7756FD22">
      <w:pPr>
        <w:autoSpaceDE w:val="0"/>
        <w:autoSpaceDN w:val="0"/>
        <w:adjustRightInd w:val="0"/>
        <w:snapToGrid w:val="0"/>
        <w:spacing w:before="50" w:line="360" w:lineRule="auto"/>
        <w:ind w:firstLine="420" w:firstLineChars="200"/>
        <w:jc w:val="left"/>
        <w:rPr>
          <w:rFonts w:asciiTheme="minorEastAsia" w:hAnsiTheme="minorEastAsia" w:eastAsiaTheme="minorEastAsia"/>
          <w:b/>
          <w:szCs w:val="21"/>
        </w:rPr>
      </w:pPr>
      <w:r>
        <w:rPr>
          <w:rFonts w:hint="eastAsia" w:asciiTheme="minorEastAsia" w:hAnsiTheme="minorEastAsia" w:eastAsiaTheme="minorEastAsia"/>
          <w:szCs w:val="21"/>
        </w:rPr>
        <w:t>（2）供应商（以下称乙方）是指参加政府采购活动而取得中标结果，并向采购人提供货物、服务的法人、其他组织或者自然人。</w:t>
      </w:r>
    </w:p>
    <w:p w14:paraId="14A892DE">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1.2本合同下列术语应解释为：</w:t>
      </w:r>
    </w:p>
    <w:p w14:paraId="39F021B1">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（1）“合同”系指甲乙双方签署的、政府采购合同协议书中载明的甲乙双方所达成的协议，包括所有的附件、附录和上述文件所提到的构成合同的所有文件。</w:t>
      </w:r>
    </w:p>
    <w:p w14:paraId="56370F5B">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（2）“合同价”系指根据本合同规定乙方在正确地完全履行合同义务后甲方应支付给乙方的价款。</w:t>
      </w:r>
    </w:p>
    <w:p w14:paraId="5BEF63AB">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（3）“货物”系指乙方根据本合同规定须向甲方提供的各种形态和种类的物品，包括原材料、设备、产品（包括软件）及相关的其备品备件、工具、手册及其它技术资料和材料。</w:t>
      </w:r>
    </w:p>
    <w:p w14:paraId="2505BD6D">
      <w:pPr>
        <w:tabs>
          <w:tab w:val="left" w:pos="570"/>
          <w:tab w:val="left" w:pos="8880"/>
          <w:tab w:val="left" w:pos="9555"/>
        </w:tabs>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463A35C0">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（5）“合同条款”系指本合同条款。</w:t>
      </w:r>
    </w:p>
    <w:p w14:paraId="1FBFC0B5">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（6）“项目现场”系指本合同项下货物安装、运行的现场，其名称见</w:t>
      </w:r>
      <w:r>
        <w:rPr>
          <w:rFonts w:hint="eastAsia" w:asciiTheme="minorEastAsia" w:hAnsiTheme="minorEastAsia" w:eastAsiaTheme="minorEastAsia"/>
          <w:b/>
          <w:szCs w:val="21"/>
        </w:rPr>
        <w:t>【政府采购合同专用条款】</w:t>
      </w:r>
      <w:r>
        <w:rPr>
          <w:rFonts w:hint="eastAsia" w:asciiTheme="minorEastAsia" w:hAnsiTheme="minorEastAsia" w:eastAsiaTheme="minorEastAsia"/>
          <w:szCs w:val="21"/>
        </w:rPr>
        <w:t>。</w:t>
      </w:r>
    </w:p>
    <w:p w14:paraId="087B13E4">
      <w:pPr>
        <w:autoSpaceDE w:val="0"/>
        <w:autoSpaceDN w:val="0"/>
        <w:adjustRightInd w:val="0"/>
        <w:snapToGrid w:val="0"/>
        <w:spacing w:before="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2.合同的适用范围</w:t>
      </w:r>
    </w:p>
    <w:p w14:paraId="322B009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2.1 本合同条款适用于没有被本合同其他部分的条款所取代的范围。</w:t>
      </w:r>
    </w:p>
    <w:p w14:paraId="6BCA5248">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 合同内容根据招标文件、投标文件而确定。</w:t>
      </w:r>
    </w:p>
    <w:p w14:paraId="06B0426F">
      <w:pPr>
        <w:autoSpaceDE w:val="0"/>
        <w:autoSpaceDN w:val="0"/>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3.</w:t>
      </w:r>
      <w:r>
        <w:rPr>
          <w:rFonts w:hint="eastAsia" w:asciiTheme="minorEastAsia" w:hAnsiTheme="minorEastAsia" w:eastAsiaTheme="minorEastAsia"/>
          <w:b/>
          <w:sz w:val="24"/>
        </w:rPr>
        <w:t>合同标的及金额</w:t>
      </w:r>
    </w:p>
    <w:p w14:paraId="39335C6D">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3.1 合同标的及金额应与中标结果一致。</w:t>
      </w:r>
    </w:p>
    <w:p w14:paraId="132FB3AB">
      <w:pPr>
        <w:autoSpaceDE w:val="0"/>
        <w:autoSpaceDN w:val="0"/>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4.</w:t>
      </w:r>
      <w:r>
        <w:rPr>
          <w:rFonts w:hint="eastAsia" w:asciiTheme="minorEastAsia" w:hAnsiTheme="minorEastAsia" w:eastAsiaTheme="minorEastAsia"/>
          <w:b/>
          <w:sz w:val="24"/>
        </w:rPr>
        <w:t>合同价款</w:t>
      </w:r>
    </w:p>
    <w:p w14:paraId="27E6C529">
      <w:pPr>
        <w:adjustRightInd w:val="0"/>
        <w:snapToGrid w:val="0"/>
        <w:spacing w:before="50" w:line="360" w:lineRule="auto"/>
        <w:ind w:firstLine="420" w:firstLineChars="200"/>
        <w:jc w:val="left"/>
        <w:rPr>
          <w:rFonts w:asciiTheme="minorEastAsia" w:hAnsiTheme="minorEastAsia" w:eastAsiaTheme="minorEastAsia"/>
          <w:b/>
          <w:bCs/>
          <w:i/>
          <w:iCs/>
          <w:szCs w:val="21"/>
        </w:rPr>
      </w:pPr>
      <w:r>
        <w:rPr>
          <w:rFonts w:hint="eastAsia" w:asciiTheme="minorEastAsia" w:hAnsiTheme="minorEastAsia" w:eastAsiaTheme="minorEastAsia"/>
          <w:szCs w:val="21"/>
        </w:rPr>
        <w:t>4.1具体合同价款见本合同第3.1条。乙方为履行本合同而发生的所有费用均应包含在合同价款中，甲方不再另行支付其它任何费用。</w:t>
      </w:r>
    </w:p>
    <w:p w14:paraId="32999B58">
      <w:pPr>
        <w:adjustRightInd w:val="0"/>
        <w:snapToGrid w:val="0"/>
        <w:spacing w:before="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5.履行合同的时间、地点和方式</w:t>
      </w:r>
    </w:p>
    <w:p w14:paraId="7AC2412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5.1 乙方应当在甲方确定的时间、指定的地点履行合同，具体的服务时间、地点和方式见</w:t>
      </w:r>
      <w:r>
        <w:rPr>
          <w:rFonts w:hint="eastAsia" w:asciiTheme="minorEastAsia" w:hAnsiTheme="minorEastAsia" w:eastAsiaTheme="minorEastAsia"/>
          <w:b/>
          <w:szCs w:val="21"/>
        </w:rPr>
        <w:t>【政府采购合同专用条款】</w:t>
      </w:r>
      <w:r>
        <w:rPr>
          <w:rFonts w:hint="eastAsia" w:asciiTheme="minorEastAsia" w:hAnsiTheme="minorEastAsia" w:eastAsiaTheme="minorEastAsia"/>
          <w:szCs w:val="21"/>
        </w:rPr>
        <w:t>。</w:t>
      </w:r>
    </w:p>
    <w:p w14:paraId="62BFAC4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5.2 乙方提供服务的应当在甲方指定的地点完成服务项目。</w:t>
      </w:r>
    </w:p>
    <w:p w14:paraId="775E7FC2">
      <w:pPr>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6.服务</w:t>
      </w:r>
      <w:r>
        <w:rPr>
          <w:rFonts w:hint="eastAsia" w:asciiTheme="minorEastAsia" w:hAnsiTheme="minorEastAsia" w:eastAsiaTheme="minorEastAsia"/>
          <w:b/>
          <w:sz w:val="24"/>
        </w:rPr>
        <w:t>的验收</w:t>
      </w:r>
    </w:p>
    <w:p w14:paraId="35889FE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6.1</w:t>
      </w:r>
      <w:r>
        <w:rPr>
          <w:rFonts w:hint="eastAsia" w:asciiTheme="minorEastAsia" w:hAnsiTheme="minorEastAsia" w:eastAsiaTheme="minorEastAsia"/>
          <w:szCs w:val="21"/>
        </w:rPr>
        <w:t>乙方提供的服务由甲方或者甲方的最终用户负责验收。</w:t>
      </w:r>
    </w:p>
    <w:p w14:paraId="337D5C2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6.2</w:t>
      </w:r>
      <w:r>
        <w:rPr>
          <w:rFonts w:hint="eastAsia" w:asciiTheme="minorEastAsia" w:hAnsiTheme="minorEastAsia" w:eastAsiaTheme="minorEastAsia"/>
          <w:szCs w:val="21"/>
        </w:rPr>
        <w:t>甲方或者甲方的最终用户应当按照采购合同规定的技术、服务等要求组织对乙方履约的验收，并出具验收书。验收书应当包括每一项技术、服务等要求的履约情况。</w:t>
      </w:r>
    </w:p>
    <w:p w14:paraId="209E07E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6.3 在验收过程中发现数量不足或有质量、安全、技术等问题，乙方应负责按照甲方的要求采取补足、更换等处理措施，并承担由此发生的一切费用和损失。</w:t>
      </w:r>
    </w:p>
    <w:p w14:paraId="73E7D07D">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6.4 甲方在乙方按合同规定提交服务或安装、调试后，无正当理由而拖延接收、验收或拒绝接收、验收的，应承担因此给乙方造成的直接损失。</w:t>
      </w:r>
    </w:p>
    <w:p w14:paraId="745D68C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6.5</w:t>
      </w:r>
      <w:r>
        <w:rPr>
          <w:rFonts w:hint="eastAsia" w:asciiTheme="minorEastAsia" w:hAnsiTheme="minorEastAsia" w:eastAsiaTheme="minorEastAsia"/>
          <w:szCs w:val="21"/>
        </w:rPr>
        <w:t>大型或者复杂的项目，应当邀请国家认可的质量检测机构参加验收，并由其出具验收报告单。</w:t>
      </w:r>
    </w:p>
    <w:p w14:paraId="3A6DB58C">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6.6</w:t>
      </w:r>
      <w:r>
        <w:rPr>
          <w:rFonts w:hint="eastAsia" w:asciiTheme="minorEastAsia" w:hAnsiTheme="minorEastAsia" w:eastAsiaTheme="minorEastAsia"/>
          <w:szCs w:val="21"/>
        </w:rPr>
        <w:t>政府向社会公众提供的公共服务项目，验收时应当邀请服务对象参与并出具意见，验收结果应当向社会公告。</w:t>
      </w:r>
    </w:p>
    <w:p w14:paraId="2BF1EF2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6.7 乙方提供的进口产品，乙方应出示中华人民共和国进出口商品检验部门出具的检验证书（招标文件第五章采购需求另有约定的除外）。</w:t>
      </w:r>
    </w:p>
    <w:p w14:paraId="745E5C17">
      <w:pPr>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7.货物包装要求</w:t>
      </w:r>
    </w:p>
    <w:p w14:paraId="3FC1CCC5">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332E171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7.2 每一个包装箱内应附一份详细装箱单、质量证书和保修保养证书。</w:t>
      </w:r>
    </w:p>
    <w:p w14:paraId="001E5813">
      <w:pPr>
        <w:adjustRightInd w:val="0"/>
        <w:snapToGrid w:val="0"/>
        <w:spacing w:before="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8.运输和保险</w:t>
      </w:r>
    </w:p>
    <w:p w14:paraId="681A9211">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8.1乙方负责办理将货物运抵本合同第5.1条规定的交货地点的一切运输事项，相关费用应包括在合同总价中。</w:t>
      </w:r>
    </w:p>
    <w:p w14:paraId="0DCB7ED4">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8.2乙方应向保险公司投保以甲方为受益人的发运合同货物发票金额的110％运输一切险。</w:t>
      </w:r>
    </w:p>
    <w:p w14:paraId="3E811143">
      <w:pPr>
        <w:adjustRightInd w:val="0"/>
        <w:snapToGrid w:val="0"/>
        <w:spacing w:before="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9.质量标准和保证</w:t>
      </w:r>
    </w:p>
    <w:p w14:paraId="75E49395">
      <w:pPr>
        <w:pStyle w:val="23"/>
        <w:adjustRightInd w:val="0"/>
        <w:snapToGrid w:val="0"/>
        <w:spacing w:before="50" w:line="360" w:lineRule="auto"/>
        <w:ind w:firstLine="420" w:firstLineChars="200"/>
        <w:jc w:val="left"/>
        <w:rPr>
          <w:rFonts w:asciiTheme="minorEastAsia" w:hAnsiTheme="minorEastAsia" w:eastAsiaTheme="minorEastAsia"/>
          <w:b/>
        </w:rPr>
      </w:pPr>
      <w:r>
        <w:rPr>
          <w:rFonts w:hint="eastAsia" w:asciiTheme="minorEastAsia" w:hAnsiTheme="minorEastAsia" w:eastAsiaTheme="minorEastAsia"/>
        </w:rPr>
        <w:t>9.1 质量标准</w:t>
      </w:r>
    </w:p>
    <w:p w14:paraId="3595211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（1）本合同下交付的服务应符合招标文件第四章“技术规格、参数与要求”所述的标准。如果没有提及适用标准，则应符合中华人民共和国有关机构发布的最新版本的标准。</w:t>
      </w:r>
    </w:p>
    <w:p w14:paraId="2D478C5D">
      <w:pPr>
        <w:pStyle w:val="23"/>
        <w:adjustRightInd w:val="0"/>
        <w:snapToGrid w:val="0"/>
        <w:spacing w:before="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（2）采用中华人民共和国法定计量单位。</w:t>
      </w:r>
    </w:p>
    <w:p w14:paraId="262430B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（3）乙方所提供的服务还应符合国家有关安全、环保、卫生等规定。</w:t>
      </w:r>
    </w:p>
    <w:p w14:paraId="54AD63E8">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9.2 保证</w:t>
      </w:r>
    </w:p>
    <w:p w14:paraId="587D03F2">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Theme="minorEastAsia" w:hAnsiTheme="minorEastAsia" w:eastAsiaTheme="minorEastAsia"/>
          <w:b/>
          <w:szCs w:val="21"/>
        </w:rPr>
        <w:t>【政府采购合同专用条款】</w:t>
      </w:r>
      <w:r>
        <w:rPr>
          <w:rFonts w:hint="eastAsia" w:asciiTheme="minorEastAsia" w:hAnsiTheme="minorEastAsia" w:eastAsiaTheme="minorEastAsia"/>
          <w:szCs w:val="21"/>
        </w:rPr>
        <w:t>规定或乙方承诺（两者以较长的为准）的质量保证期内，本保证保持有效。</w:t>
      </w:r>
    </w:p>
    <w:p w14:paraId="5882924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（2）在质量保证期内所发现的缺陷，甲方应尽快以书面形式通知乙方。</w:t>
      </w:r>
    </w:p>
    <w:p w14:paraId="7B93300F">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（3）乙方收到通知后应在</w:t>
      </w:r>
      <w:r>
        <w:rPr>
          <w:rFonts w:hint="eastAsia" w:asciiTheme="minorEastAsia" w:hAnsiTheme="minorEastAsia" w:eastAsiaTheme="minorEastAsia"/>
          <w:b/>
          <w:szCs w:val="21"/>
        </w:rPr>
        <w:t>【政府采购合同专用条款】</w:t>
      </w:r>
      <w:r>
        <w:rPr>
          <w:rFonts w:hint="eastAsia" w:asciiTheme="minorEastAsia" w:hAnsiTheme="minorEastAsia" w:eastAsiaTheme="minorEastAsia"/>
          <w:szCs w:val="21"/>
        </w:rPr>
        <w:t>规定的响应时间内以合理的速度免费维修或更换有缺陷的货物或部件。</w:t>
      </w:r>
    </w:p>
    <w:p w14:paraId="5C4E468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35C61429">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（5）乙方在约定的时间内未能弥补缺陷，甲方可采取必要的补救措施，但其风险和费用将由乙方承担，甲方根据合同规定对乙方行使的其他权利不受影响。</w:t>
      </w:r>
    </w:p>
    <w:p w14:paraId="5E92A347">
      <w:pPr>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10.权利瑕疵担保</w:t>
      </w:r>
    </w:p>
    <w:p w14:paraId="4CABC6F4">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10.1 乙方保证对其出售的服务享有合法的权利。</w:t>
      </w:r>
    </w:p>
    <w:p w14:paraId="5B9F8958">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10.2 乙方保证在其出售的服务上不存在任何未曾向甲方透露的担保物权，如抵押权、质押权、留置权等。</w:t>
      </w:r>
    </w:p>
    <w:p w14:paraId="320FC77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10.3 如甲方使用该服务构成上述侵权的，则由乙方承担全部责任。</w:t>
      </w:r>
    </w:p>
    <w:p w14:paraId="1C61FFF7">
      <w:pPr>
        <w:autoSpaceDE w:val="0"/>
        <w:autoSpaceDN w:val="0"/>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11.知识产权保护</w:t>
      </w:r>
    </w:p>
    <w:p w14:paraId="06B1C3B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11.1 乙方对其所提供的服务应当享有知识产权或经权利人合法授权，保证没有侵犯任何第三人的知识产权和商业秘密等权利。</w:t>
      </w:r>
    </w:p>
    <w:p w14:paraId="09D71663">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11.2 甲方使用乙方提供的服务对第三人构成侵权的，应当由乙方承担全部法律责任，给甲方造成损害的，乙方应当承担赔偿责任。</w:t>
      </w:r>
    </w:p>
    <w:p w14:paraId="18BFA7AC">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11.3 甲方委托乙方开发的产品，甲方享有知识产权，未经甲方许可不得转让任何第三人。</w:t>
      </w:r>
    </w:p>
    <w:p w14:paraId="6FAC1B0F">
      <w:pPr>
        <w:autoSpaceDE w:val="0"/>
        <w:autoSpaceDN w:val="0"/>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12.保密义务</w:t>
      </w:r>
    </w:p>
    <w:p w14:paraId="3722008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12.1 甲、乙双方在采购和履行合同过程中所获悉的对方属于保密的内容，双方均有保密义务。</w:t>
      </w:r>
    </w:p>
    <w:p w14:paraId="486A43AA">
      <w:pPr>
        <w:autoSpaceDE w:val="0"/>
        <w:autoSpaceDN w:val="0"/>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13.合同价款支付</w:t>
      </w:r>
    </w:p>
    <w:p w14:paraId="64979759">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13.1验收合格后，乙方出具正规发票给甲方，凭甲方开具的《政府采购合同验收报告单》办理合同价</w:t>
      </w:r>
      <w:r>
        <w:rPr>
          <w:rFonts w:hint="eastAsia" w:asciiTheme="minorEastAsia" w:hAnsiTheme="minorEastAsia" w:eastAsiaTheme="minorEastAsia"/>
          <w:bCs/>
          <w:szCs w:val="21"/>
        </w:rPr>
        <w:t>款</w:t>
      </w:r>
      <w:r>
        <w:rPr>
          <w:rFonts w:hint="eastAsia" w:asciiTheme="minorEastAsia" w:hAnsiTheme="minorEastAsia" w:eastAsiaTheme="minorEastAsia"/>
          <w:szCs w:val="21"/>
        </w:rPr>
        <w:t>结算手续。</w:t>
      </w:r>
    </w:p>
    <w:p w14:paraId="0EFE7ED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13.2 合同价款构成中应当由财政支付的部分，甲方应当在货物验收合格后的十五个工作日内向国库管理部门申请支付，经国库管理部门审核后直接支付给乙方。</w:t>
      </w:r>
    </w:p>
    <w:p w14:paraId="39C2699E">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13.3 合同价款构成中应当由甲方自行支付的部分，甲方应当在货物验收合格后十五个工作内支付。</w:t>
      </w:r>
    </w:p>
    <w:p w14:paraId="4B8021CB">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13.4支付合同价</w:t>
      </w:r>
      <w:r>
        <w:rPr>
          <w:rFonts w:hint="eastAsia" w:asciiTheme="minorEastAsia" w:hAnsiTheme="minorEastAsia" w:eastAsiaTheme="minorEastAsia"/>
          <w:bCs/>
          <w:szCs w:val="21"/>
        </w:rPr>
        <w:t>款</w:t>
      </w:r>
      <w:r>
        <w:rPr>
          <w:rFonts w:hint="eastAsia" w:asciiTheme="minorEastAsia" w:hAnsiTheme="minorEastAsia" w:eastAsiaTheme="minorEastAsia"/>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19E8D99F">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13.5 合同价款支付方式</w:t>
      </w:r>
      <w:r>
        <w:rPr>
          <w:rFonts w:hint="eastAsia" w:asciiTheme="minorEastAsia" w:hAnsiTheme="minorEastAsia" w:eastAsiaTheme="minorEastAsia"/>
          <w:bCs/>
          <w:szCs w:val="21"/>
        </w:rPr>
        <w:t>和条件在</w:t>
      </w:r>
      <w:r>
        <w:rPr>
          <w:rFonts w:hint="eastAsia" w:asciiTheme="minorEastAsia" w:hAnsiTheme="minorEastAsia" w:eastAsiaTheme="minorEastAsia"/>
          <w:b/>
          <w:szCs w:val="21"/>
        </w:rPr>
        <w:t>【政府采购合同专用条款】</w:t>
      </w:r>
      <w:r>
        <w:rPr>
          <w:rFonts w:hint="eastAsia" w:asciiTheme="minorEastAsia" w:hAnsiTheme="minorEastAsia" w:eastAsiaTheme="minorEastAsia"/>
          <w:szCs w:val="21"/>
        </w:rPr>
        <w:t>中另有规定。</w:t>
      </w:r>
    </w:p>
    <w:p w14:paraId="2F703B93">
      <w:pPr>
        <w:autoSpaceDE w:val="0"/>
        <w:autoSpaceDN w:val="0"/>
        <w:adjustRightInd w:val="0"/>
        <w:snapToGrid w:val="0"/>
        <w:spacing w:before="50" w:line="360" w:lineRule="auto"/>
        <w:jc w:val="left"/>
        <w:rPr>
          <w:rFonts w:asciiTheme="minorEastAsia" w:hAnsiTheme="minorEastAsia" w:eastAsiaTheme="minorEastAsia"/>
          <w:b/>
          <w:sz w:val="24"/>
        </w:rPr>
      </w:pPr>
      <w:r>
        <w:rPr>
          <w:rFonts w:hint="eastAsia" w:asciiTheme="minorEastAsia" w:hAnsiTheme="minorEastAsia" w:eastAsiaTheme="minorEastAsia"/>
          <w:b/>
          <w:bCs/>
          <w:sz w:val="24"/>
        </w:rPr>
        <w:t>14.</w:t>
      </w:r>
      <w:r>
        <w:rPr>
          <w:rFonts w:hint="eastAsia"/>
          <w:b/>
          <w:sz w:val="24"/>
        </w:rPr>
        <w:t>乙方应提供的</w:t>
      </w:r>
      <w:r>
        <w:rPr>
          <w:rFonts w:hint="eastAsia" w:asciiTheme="minorEastAsia" w:hAnsiTheme="minorEastAsia" w:eastAsiaTheme="minorEastAsia"/>
          <w:b/>
          <w:sz w:val="24"/>
        </w:rPr>
        <w:t>服务</w:t>
      </w:r>
    </w:p>
    <w:p w14:paraId="4944D94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14.1 乙方应向甲方提交所提供货物的技术文件，包括相应的中文技术文件，如：产品目录、图纸、操作手册、使用说明、维护手册或服务指南。这些文件应包装好随同货物一起发运。</w:t>
      </w:r>
    </w:p>
    <w:p w14:paraId="3A40944F">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14.2 乙方还应提供下列服务：</w:t>
      </w:r>
    </w:p>
    <w:p w14:paraId="1765F12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（1）货物的现场移动、安装、调试、启动监督及技术支持；</w:t>
      </w:r>
    </w:p>
    <w:p w14:paraId="7CC21C0C">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（2）提供货物组装和维修所需的专用工具和辅助材料；</w:t>
      </w:r>
    </w:p>
    <w:p w14:paraId="100D955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（3）在合同各方商定的一定期限内对所有的货物实施运行监督、维修，但前提条件是该服务并不能免除乙方在质量保证期内所承担的义务；</w:t>
      </w:r>
    </w:p>
    <w:p w14:paraId="21F4386C">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（4）在制造商或项目现场就货物的安装、启动、运营、维护对甲方操作人员进行培训；</w:t>
      </w:r>
    </w:p>
    <w:p w14:paraId="59772E85">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w:t>
      </w:r>
      <w:r>
        <w:rPr>
          <w:rFonts w:hint="eastAsia" w:asciiTheme="minorEastAsia" w:hAnsiTheme="minorEastAsia" w:eastAsiaTheme="minorEastAsia"/>
          <w:b/>
          <w:szCs w:val="21"/>
        </w:rPr>
        <w:t>【政府采购合同专用条款】</w:t>
      </w:r>
      <w:r>
        <w:rPr>
          <w:rFonts w:hint="eastAsia" w:asciiTheme="minorEastAsia" w:hAnsiTheme="minorEastAsia" w:eastAsiaTheme="minorEastAsia"/>
          <w:szCs w:val="21"/>
        </w:rPr>
        <w:t>规定由乙方提供的其他服务。</w:t>
      </w:r>
    </w:p>
    <w:p w14:paraId="20CD7F4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14.3 乙方提供的服务的费用应包含在合同价款中，甲方不再另行支付。</w:t>
      </w:r>
    </w:p>
    <w:p w14:paraId="29C9BB6E">
      <w:pPr>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15.违约责任</w:t>
      </w:r>
    </w:p>
    <w:p w14:paraId="660912BF">
      <w:pPr>
        <w:adjustRightInd w:val="0"/>
        <w:snapToGrid w:val="0"/>
        <w:spacing w:before="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15.1质量瑕疵的补救措施和索赔</w:t>
      </w:r>
    </w:p>
    <w:p w14:paraId="3DAD043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如果乙方提供的服务或产品不符合质量标准或存在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0C430162">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①乙方同意退货并将货款退还给甲方，由此发生的一切费用和损失由乙方承担。</w:t>
      </w:r>
    </w:p>
    <w:p w14:paraId="7C19270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②根据货物的质量状况以及甲方所遭受的损失，经过甲乙双方商定降低货物的价格。</w:t>
      </w:r>
    </w:p>
    <w:p w14:paraId="21C760E0">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6974688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如不足以弥补甲方损失的，甲方有权进一步要求乙方赔偿。</w:t>
      </w:r>
    </w:p>
    <w:p w14:paraId="58AB9C9D">
      <w:pPr>
        <w:autoSpaceDE w:val="0"/>
        <w:autoSpaceDN w:val="0"/>
        <w:adjustRightInd w:val="0"/>
        <w:snapToGrid w:val="0"/>
        <w:spacing w:before="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15.2 迟延交付服务的违约责任</w:t>
      </w:r>
    </w:p>
    <w:p w14:paraId="508705C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68618FD0">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（2）除本合同</w:t>
      </w:r>
      <w:r>
        <w:rPr>
          <w:rFonts w:hint="eastAsia" w:asciiTheme="minorEastAsia" w:hAnsiTheme="minorEastAsia" w:eastAsiaTheme="minorEastAsia"/>
          <w:bCs/>
          <w:szCs w:val="21"/>
        </w:rPr>
        <w:t>第20条</w:t>
      </w:r>
      <w:r>
        <w:rPr>
          <w:rFonts w:hint="eastAsia" w:asciiTheme="minorEastAsia" w:hAnsiTheme="minorEastAsia" w:eastAsiaTheme="minorEastAsia"/>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4F9FA0F0">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0866DFF8">
      <w:pPr>
        <w:autoSpaceDE w:val="0"/>
        <w:autoSpaceDN w:val="0"/>
        <w:adjustRightInd w:val="0"/>
        <w:snapToGrid w:val="0"/>
        <w:spacing w:before="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16.合同的变更</w:t>
      </w:r>
    </w:p>
    <w:p w14:paraId="5ACB0C14">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16.1 在合同履行过程中，甲、乙双方可就合同履行的时间、地点和方式等协商进行变更。协商一致后，双方应签订书面的补充协议。</w:t>
      </w:r>
    </w:p>
    <w:p w14:paraId="2D1998A8">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16.2 在不改变合同其他条款的前提下，甲方有权在合同价款百分之十的范围内追加与合同标的相同的货物或服务，并就此与乙方签订补充合同，乙方不得拒绝。</w:t>
      </w:r>
    </w:p>
    <w:p w14:paraId="26CD111F">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16.3 除双方签署书面协议，并成为合同不可分割的一部分外，本合同条件不得有任何变更。</w:t>
      </w:r>
    </w:p>
    <w:p w14:paraId="5CB9808E">
      <w:pPr>
        <w:autoSpaceDE w:val="0"/>
        <w:autoSpaceDN w:val="0"/>
        <w:adjustRightInd w:val="0"/>
        <w:snapToGrid w:val="0"/>
        <w:spacing w:before="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17.合同中止与终止</w:t>
      </w:r>
    </w:p>
    <w:p w14:paraId="7AC4FED3">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17.1合同的中止</w:t>
      </w:r>
    </w:p>
    <w:p w14:paraId="36F2303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（1）合同在履行过程中，因采购计划调整，甲方可以要求中止履行，待计划确定后继续履行；</w:t>
      </w:r>
    </w:p>
    <w:p w14:paraId="5B7F677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（2）合同履行过程中因供应商就采购过程或结果提起投诉的，甲方认为有必要或财政部门责令中止的，应当中止合同的履行。</w:t>
      </w:r>
    </w:p>
    <w:p w14:paraId="5C0875C2">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17.2合同的终止</w:t>
      </w:r>
    </w:p>
    <w:p w14:paraId="36153023">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（1）合同因有效期限届满而终止；</w:t>
      </w:r>
    </w:p>
    <w:p w14:paraId="0C067622">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（2）乙方未能依照本合同约定条件履行合同，已构成根本性违约的，甲方有权终止本合同，并追究乙方的违约责任。</w:t>
      </w:r>
    </w:p>
    <w:p w14:paraId="5BCA32B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（3）如果乙方丧失履约能力或被宣告破产，甲方可在任何时候以书面形式通知乙方终止合同而不给乙方补偿。</w:t>
      </w:r>
    </w:p>
    <w:p w14:paraId="074D724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（4）如果乙方在履行合同过程中有不正当竞争行为，甲方有权解除合同，并按《中华人民共和国反不正当竞争法》规定由有关部门追究其法律责任。</w:t>
      </w:r>
    </w:p>
    <w:p w14:paraId="3B2673A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（5）如果合同的履行将损害国家利益或社会公共利益，甲方有权终止合同的履行，给乙方造成损失的予以相应补偿。</w:t>
      </w:r>
    </w:p>
    <w:p w14:paraId="7D2AAFCC">
      <w:pPr>
        <w:autoSpaceDE w:val="0"/>
        <w:autoSpaceDN w:val="0"/>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18.合同转让和分包</w:t>
      </w:r>
    </w:p>
    <w:p w14:paraId="380AA7D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 xml:space="preserve">18.1 </w:t>
      </w:r>
      <w:r>
        <w:rPr>
          <w:rFonts w:hint="eastAsia" w:asciiTheme="minorEastAsia" w:hAnsiTheme="minorEastAsia" w:eastAsiaTheme="minorEastAsia"/>
          <w:szCs w:val="21"/>
          <w:highlight w:val="none"/>
          <w:lang w:val="en-US" w:eastAsia="zh-CN"/>
        </w:rPr>
        <w:t>本项目不允许分包</w:t>
      </w:r>
      <w:r>
        <w:rPr>
          <w:rFonts w:hint="eastAsia" w:asciiTheme="minorEastAsia" w:hAnsiTheme="minorEastAsia" w:eastAsiaTheme="minorEastAsia"/>
          <w:szCs w:val="21"/>
          <w:highlight w:val="none"/>
        </w:rPr>
        <w:t>。</w:t>
      </w:r>
    </w:p>
    <w:p w14:paraId="37E0BDC8">
      <w:pPr>
        <w:autoSpaceDE w:val="0"/>
        <w:autoSpaceDN w:val="0"/>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19.不可抗力</w:t>
      </w:r>
    </w:p>
    <w:p w14:paraId="4936B71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19.1 不可抗力是指合同双方不可预见、不可避免、不可克服的自然灾害和社会事件。</w:t>
      </w:r>
    </w:p>
    <w:p w14:paraId="4564E483">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19.2 任何一方对由于不可抗力造成的部分或全部不能履行合同不承担违约责任。但迟延履行后发生不可抗力的，不能免除责任。</w:t>
      </w:r>
    </w:p>
    <w:p w14:paraId="2DC6DCE5">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19.3 遇有不可抗力的一方，应在三日内将事件的情况以书面形式通知另一方，并在事件发生后十日内，向另一方提交合同不能履行或部分不能履行或需要延期履行理由的报告。</w:t>
      </w:r>
    </w:p>
    <w:p w14:paraId="0A5C22A8">
      <w:pPr>
        <w:autoSpaceDE w:val="0"/>
        <w:autoSpaceDN w:val="0"/>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20.解决争议的方法</w:t>
      </w:r>
    </w:p>
    <w:p w14:paraId="533AD04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20.1 合同各方应通过友好协商，解决在执行合同过程中所发生的或与合同有关的一切争端。如从协商开始后十日内仍不能解决，可以向财政部门提请调解。</w:t>
      </w:r>
    </w:p>
    <w:p w14:paraId="3EE7291B">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20.2 调解不成可以按</w:t>
      </w:r>
      <w:r>
        <w:rPr>
          <w:rFonts w:hint="eastAsia" w:asciiTheme="minorEastAsia" w:hAnsiTheme="minorEastAsia" w:eastAsiaTheme="minorEastAsia"/>
          <w:b/>
          <w:szCs w:val="21"/>
        </w:rPr>
        <w:t>【政府采购合同专用条款】</w:t>
      </w:r>
      <w:r>
        <w:rPr>
          <w:rFonts w:hint="eastAsia" w:asciiTheme="minorEastAsia" w:hAnsiTheme="minorEastAsia" w:eastAsiaTheme="minorEastAsia"/>
          <w:szCs w:val="21"/>
        </w:rPr>
        <w:t>中约定中规定下列方式之一提起仲裁或诉讼：</w:t>
      </w:r>
    </w:p>
    <w:p w14:paraId="67D50E6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（1）向甲方所在地仲裁机构提起仲裁；</w:t>
      </w:r>
    </w:p>
    <w:p w14:paraId="4494787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（2）向甲方所在地人民法院提起诉讼。</w:t>
      </w:r>
    </w:p>
    <w:p w14:paraId="7D75283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20.3 如仲裁或诉讼事项不影响合同其它部分的履行，则在仲裁或诉讼期间，除正在进行仲裁或诉讼的部分外，合同的其它部分应继续执行。</w:t>
      </w:r>
    </w:p>
    <w:p w14:paraId="76DFF01F">
      <w:pPr>
        <w:autoSpaceDE w:val="0"/>
        <w:autoSpaceDN w:val="0"/>
        <w:adjustRightInd w:val="0"/>
        <w:snapToGrid w:val="0"/>
        <w:spacing w:before="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21.法律适用</w:t>
      </w:r>
    </w:p>
    <w:p w14:paraId="48E9D902">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21.1 本合同适用中华人民共和国现行法律、行政法规和规章，如合同条款与法律、行政法规和规章不一致的，按照法律、行政法规和规章修改本合同。</w:t>
      </w:r>
    </w:p>
    <w:p w14:paraId="072C837F">
      <w:pPr>
        <w:autoSpaceDE w:val="0"/>
        <w:autoSpaceDN w:val="0"/>
        <w:adjustRightInd w:val="0"/>
        <w:snapToGrid w:val="0"/>
        <w:spacing w:before="50" w:line="360" w:lineRule="auto"/>
        <w:jc w:val="left"/>
        <w:rPr>
          <w:rFonts w:asciiTheme="minorEastAsia" w:hAnsiTheme="minorEastAsia" w:eastAsiaTheme="minorEastAsia"/>
          <w:b/>
          <w:sz w:val="24"/>
        </w:rPr>
      </w:pPr>
      <w:r>
        <w:rPr>
          <w:rFonts w:hint="eastAsia" w:asciiTheme="minorEastAsia" w:hAnsiTheme="minorEastAsia" w:eastAsiaTheme="minorEastAsia"/>
          <w:b/>
          <w:bCs/>
          <w:sz w:val="24"/>
        </w:rPr>
        <w:t>22.</w:t>
      </w:r>
      <w:r>
        <w:rPr>
          <w:rFonts w:hint="eastAsia" w:asciiTheme="minorEastAsia" w:hAnsiTheme="minorEastAsia" w:eastAsiaTheme="minorEastAsia"/>
          <w:b/>
          <w:sz w:val="24"/>
        </w:rPr>
        <w:t>通知</w:t>
      </w:r>
    </w:p>
    <w:p w14:paraId="50F18391">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22.1本合同一方给另一方的通知均应采用书面形式，传真或快递送到本合同中规定的对方的地址和办理签收手续，</w:t>
      </w:r>
    </w:p>
    <w:p w14:paraId="0462EE69">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22.2通知以送到之日或通知书中规定的生效之日起生效，两者中以较迟之日为准。</w:t>
      </w:r>
    </w:p>
    <w:p w14:paraId="33441B78">
      <w:pPr>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23. 合同未尽事项</w:t>
      </w:r>
    </w:p>
    <w:p w14:paraId="29B1A9EB">
      <w:pPr>
        <w:adjustRightInd w:val="0"/>
        <w:snapToGrid w:val="0"/>
        <w:spacing w:before="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23.1合同未尽事项见</w:t>
      </w:r>
      <w:r>
        <w:rPr>
          <w:rFonts w:hint="eastAsia" w:asciiTheme="minorEastAsia" w:hAnsiTheme="minorEastAsia" w:eastAsiaTheme="minorEastAsia"/>
          <w:b/>
          <w:szCs w:val="21"/>
        </w:rPr>
        <w:t>【政府采购合同专用条款】。</w:t>
      </w:r>
    </w:p>
    <w:p w14:paraId="1273B7A4">
      <w:pPr>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24.合同生效</w:t>
      </w:r>
    </w:p>
    <w:p w14:paraId="1540C9E2">
      <w:bookmarkStart w:id="237" w:name="_Toc18579"/>
      <w:r>
        <w:t xml:space="preserve">24.1 </w:t>
      </w:r>
      <w:r>
        <w:rPr>
          <w:rFonts w:hint="eastAsia"/>
        </w:rPr>
        <w:t>本合同在合同双方签字盖章后生效。</w:t>
      </w:r>
      <w:bookmarkEnd w:id="237"/>
    </w:p>
    <w:p w14:paraId="6AA7C9C8">
      <w:r>
        <w:rPr>
          <w:rFonts w:hint="eastAsia"/>
        </w:rPr>
        <w:br w:type="page"/>
      </w:r>
    </w:p>
    <w:p w14:paraId="129FBD9C">
      <w:pPr>
        <w:pStyle w:val="5"/>
        <w:jc w:val="center"/>
        <w:rPr>
          <w:rFonts w:ascii="黑体" w:hAnsi="黑体" w:eastAsia="黑体" w:cs="黑体"/>
          <w:sz w:val="28"/>
          <w:szCs w:val="28"/>
        </w:rPr>
      </w:pPr>
      <w:bookmarkStart w:id="238" w:name="_Toc172716795"/>
      <w:r>
        <w:rPr>
          <w:rFonts w:hint="eastAsia" w:ascii="黑体" w:hAnsi="黑体" w:eastAsia="黑体" w:cs="黑体"/>
          <w:sz w:val="28"/>
          <w:szCs w:val="28"/>
        </w:rPr>
        <w:t>第三节 政府采购合同专用条款</w:t>
      </w:r>
      <w:bookmarkEnd w:id="238"/>
    </w:p>
    <w:p w14:paraId="7395EC97"/>
    <w:tbl>
      <w:tblPr>
        <w:tblStyle w:val="45"/>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73B438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371C91B">
            <w:pPr>
              <w:adjustRightInd w:val="0"/>
              <w:snapToGrid w:val="0"/>
              <w:spacing w:line="360" w:lineRule="auto"/>
              <w:jc w:val="center"/>
              <w:rPr>
                <w:rFonts w:ascii="宋体" w:hAnsi="宋体"/>
                <w:szCs w:val="21"/>
              </w:rPr>
            </w:pPr>
            <w:r>
              <w:rPr>
                <w:rFonts w:hint="eastAsia" w:ascii="宋体" w:hAnsi="宋体"/>
                <w:szCs w:val="21"/>
              </w:rPr>
              <w:t>本章第二节</w:t>
            </w:r>
          </w:p>
          <w:p w14:paraId="696B0623">
            <w:pPr>
              <w:adjustRightInd w:val="0"/>
              <w:snapToGrid w:val="0"/>
              <w:spacing w:line="360" w:lineRule="auto"/>
              <w:jc w:val="center"/>
              <w:rPr>
                <w:rFonts w:ascii="宋体" w:hAnsi="宋体"/>
                <w:szCs w:val="21"/>
              </w:rPr>
            </w:pPr>
            <w:r>
              <w:rPr>
                <w:rFonts w:hint="eastAsia" w:ascii="宋体" w:hAnsi="宋体"/>
                <w:szCs w:val="21"/>
              </w:rPr>
              <w:t>第1.1款</w:t>
            </w:r>
          </w:p>
        </w:tc>
        <w:tc>
          <w:tcPr>
            <w:tcW w:w="1843" w:type="dxa"/>
            <w:vAlign w:val="center"/>
          </w:tcPr>
          <w:p w14:paraId="1580D8AF">
            <w:pPr>
              <w:adjustRightInd w:val="0"/>
              <w:snapToGrid w:val="0"/>
              <w:spacing w:line="360" w:lineRule="auto"/>
              <w:jc w:val="left"/>
              <w:rPr>
                <w:rFonts w:ascii="宋体" w:hAnsi="宋体"/>
                <w:szCs w:val="21"/>
              </w:rPr>
            </w:pPr>
            <w:r>
              <w:rPr>
                <w:rFonts w:hint="eastAsia" w:ascii="宋体" w:hAnsi="宋体"/>
                <w:szCs w:val="21"/>
              </w:rPr>
              <w:t xml:space="preserve">甲方名称、地址 </w:t>
            </w:r>
          </w:p>
        </w:tc>
        <w:tc>
          <w:tcPr>
            <w:tcW w:w="5464" w:type="dxa"/>
            <w:vAlign w:val="center"/>
          </w:tcPr>
          <w:p w14:paraId="3351D7EF">
            <w:pPr>
              <w:adjustRightInd w:val="0"/>
              <w:snapToGrid w:val="0"/>
              <w:spacing w:line="360" w:lineRule="exact"/>
              <w:jc w:val="left"/>
              <w:rPr>
                <w:rFonts w:hint="eastAsia" w:ascii="宋体" w:eastAsia="宋体"/>
                <w:lang w:eastAsia="zh-CN"/>
              </w:rPr>
            </w:pPr>
            <w:r>
              <w:rPr>
                <w:rFonts w:hint="eastAsia" w:ascii="宋体"/>
              </w:rPr>
              <w:t>名称：</w:t>
            </w:r>
            <w:r>
              <w:rPr>
                <w:rFonts w:hint="eastAsia" w:ascii="宋体"/>
                <w:lang w:eastAsia="zh-CN"/>
              </w:rPr>
              <w:t>郴州市数据局</w:t>
            </w:r>
          </w:p>
          <w:p w14:paraId="4D00D1FF">
            <w:pPr>
              <w:adjustRightInd w:val="0"/>
              <w:snapToGrid w:val="0"/>
              <w:spacing w:line="360" w:lineRule="exact"/>
              <w:jc w:val="left"/>
              <w:rPr>
                <w:rFonts w:ascii="宋体"/>
              </w:rPr>
            </w:pPr>
            <w:r>
              <w:rPr>
                <w:rFonts w:hint="eastAsia" w:ascii="宋体"/>
              </w:rPr>
              <w:t>地址：</w:t>
            </w:r>
            <w:r>
              <w:rPr>
                <w:rFonts w:hint="eastAsia" w:ascii="宋体" w:cs="宋体"/>
              </w:rPr>
              <w:t>郴州市青年大道市民服务中心</w:t>
            </w:r>
          </w:p>
        </w:tc>
      </w:tr>
      <w:tr w14:paraId="0B7FF9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7D50781">
            <w:pPr>
              <w:adjustRightInd w:val="0"/>
              <w:snapToGrid w:val="0"/>
              <w:spacing w:line="360" w:lineRule="auto"/>
              <w:jc w:val="center"/>
              <w:rPr>
                <w:rFonts w:ascii="宋体" w:hAnsi="宋体"/>
                <w:szCs w:val="21"/>
              </w:rPr>
            </w:pPr>
            <w:r>
              <w:rPr>
                <w:rFonts w:hint="eastAsia" w:ascii="宋体" w:hAnsi="宋体"/>
                <w:szCs w:val="21"/>
              </w:rPr>
              <w:t>本章第二节</w:t>
            </w:r>
          </w:p>
          <w:p w14:paraId="4E14952C">
            <w:pPr>
              <w:adjustRightInd w:val="0"/>
              <w:snapToGrid w:val="0"/>
              <w:spacing w:line="360" w:lineRule="auto"/>
              <w:jc w:val="center"/>
              <w:rPr>
                <w:rFonts w:ascii="宋体" w:hAnsi="宋体"/>
                <w:szCs w:val="21"/>
              </w:rPr>
            </w:pPr>
            <w:r>
              <w:rPr>
                <w:rFonts w:hint="eastAsia" w:ascii="宋体" w:hAnsi="宋体"/>
                <w:szCs w:val="21"/>
              </w:rPr>
              <w:t>第1.2（6）项</w:t>
            </w:r>
          </w:p>
        </w:tc>
        <w:tc>
          <w:tcPr>
            <w:tcW w:w="1843" w:type="dxa"/>
            <w:vAlign w:val="center"/>
          </w:tcPr>
          <w:p w14:paraId="4A15D369">
            <w:pPr>
              <w:adjustRightInd w:val="0"/>
              <w:snapToGrid w:val="0"/>
              <w:spacing w:line="360" w:lineRule="auto"/>
              <w:jc w:val="left"/>
              <w:rPr>
                <w:rFonts w:ascii="宋体" w:hAnsi="宋体"/>
                <w:szCs w:val="21"/>
              </w:rPr>
            </w:pPr>
            <w:r>
              <w:rPr>
                <w:rFonts w:hint="eastAsia" w:ascii="宋体" w:hAnsi="宋体"/>
                <w:szCs w:val="21"/>
              </w:rPr>
              <w:t>项目现场</w:t>
            </w:r>
          </w:p>
        </w:tc>
        <w:tc>
          <w:tcPr>
            <w:tcW w:w="5464" w:type="dxa"/>
            <w:vAlign w:val="center"/>
          </w:tcPr>
          <w:p w14:paraId="4CAA6F70">
            <w:pPr>
              <w:adjustRightInd w:val="0"/>
              <w:snapToGrid w:val="0"/>
              <w:spacing w:line="360" w:lineRule="exact"/>
              <w:jc w:val="left"/>
              <w:rPr>
                <w:rFonts w:ascii="宋体"/>
              </w:rPr>
            </w:pPr>
            <w:r>
              <w:rPr>
                <w:rFonts w:hint="eastAsia" w:ascii="宋体"/>
                <w:lang w:eastAsia="zh-CN"/>
              </w:rPr>
              <w:t>郴州市数据局</w:t>
            </w:r>
            <w:r>
              <w:rPr>
                <w:rFonts w:hint="eastAsia" w:ascii="宋体"/>
              </w:rPr>
              <w:t>指定地点。</w:t>
            </w:r>
          </w:p>
        </w:tc>
      </w:tr>
      <w:tr w14:paraId="3D7228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1F09C6B9">
            <w:pPr>
              <w:adjustRightInd w:val="0"/>
              <w:snapToGrid w:val="0"/>
              <w:spacing w:line="360" w:lineRule="auto"/>
              <w:jc w:val="center"/>
              <w:rPr>
                <w:rFonts w:ascii="宋体" w:hAnsi="宋体"/>
                <w:szCs w:val="21"/>
              </w:rPr>
            </w:pPr>
            <w:r>
              <w:rPr>
                <w:rFonts w:hint="eastAsia" w:ascii="宋体" w:hAnsi="宋体"/>
                <w:szCs w:val="21"/>
              </w:rPr>
              <w:t>本章第二节</w:t>
            </w:r>
          </w:p>
          <w:p w14:paraId="1A902C81">
            <w:pPr>
              <w:adjustRightInd w:val="0"/>
              <w:snapToGrid w:val="0"/>
              <w:spacing w:line="360" w:lineRule="auto"/>
              <w:jc w:val="center"/>
              <w:rPr>
                <w:rFonts w:ascii="宋体" w:hAnsi="宋体"/>
                <w:szCs w:val="21"/>
              </w:rPr>
            </w:pPr>
            <w:r>
              <w:rPr>
                <w:rFonts w:hint="eastAsia" w:ascii="宋体" w:hAnsi="宋体"/>
                <w:szCs w:val="21"/>
              </w:rPr>
              <w:t>第5.1款</w:t>
            </w:r>
          </w:p>
        </w:tc>
        <w:tc>
          <w:tcPr>
            <w:tcW w:w="1843" w:type="dxa"/>
            <w:vAlign w:val="center"/>
          </w:tcPr>
          <w:p w14:paraId="7E295717">
            <w:pPr>
              <w:adjustRightInd w:val="0"/>
              <w:snapToGrid w:val="0"/>
              <w:spacing w:line="360" w:lineRule="auto"/>
              <w:jc w:val="left"/>
              <w:rPr>
                <w:rFonts w:ascii="宋体" w:hAnsi="宋体"/>
                <w:color w:val="auto"/>
                <w:szCs w:val="21"/>
              </w:rPr>
            </w:pPr>
            <w:r>
              <w:rPr>
                <w:rFonts w:hint="eastAsia" w:ascii="宋体" w:hAnsi="宋体"/>
                <w:color w:val="auto"/>
                <w:szCs w:val="21"/>
              </w:rPr>
              <w:t>履行合同的时间、地点及方式</w:t>
            </w:r>
          </w:p>
        </w:tc>
        <w:tc>
          <w:tcPr>
            <w:tcW w:w="5464" w:type="dxa"/>
            <w:vAlign w:val="center"/>
          </w:tcPr>
          <w:p w14:paraId="7E778B39">
            <w:pPr>
              <w:adjustRightInd w:val="0"/>
              <w:snapToGrid w:val="0"/>
              <w:spacing w:line="360" w:lineRule="exact"/>
              <w:rPr>
                <w:rFonts w:ascii="宋体" w:hAnsi="宋体"/>
                <w:color w:val="auto"/>
              </w:rPr>
            </w:pPr>
            <w:r>
              <w:rPr>
                <w:rFonts w:hint="eastAsia" w:ascii="宋体" w:hAnsi="宋体" w:cs="宋体"/>
                <w:color w:val="auto"/>
                <w:lang w:val="en-US" w:eastAsia="zh-CN"/>
              </w:rPr>
              <w:t>1</w:t>
            </w:r>
            <w:r>
              <w:rPr>
                <w:rFonts w:hint="eastAsia" w:ascii="宋体" w:hAnsi="宋体" w:cs="宋体"/>
                <w:color w:val="auto"/>
              </w:rPr>
              <w:t>、</w:t>
            </w:r>
            <w:r>
              <w:rPr>
                <w:rFonts w:hint="eastAsia" w:ascii="宋体" w:hAnsi="宋体"/>
                <w:color w:val="auto"/>
              </w:rPr>
              <w:t>视频专网组网</w:t>
            </w:r>
            <w:r>
              <w:rPr>
                <w:rFonts w:hint="eastAsia" w:ascii="宋体" w:hAnsi="宋体" w:cs="宋体"/>
                <w:color w:val="auto"/>
              </w:rPr>
              <w:t>网络租赁期：本项目服务周期为 12个月。</w:t>
            </w:r>
          </w:p>
          <w:p w14:paraId="559A9B93">
            <w:pPr>
              <w:adjustRightInd w:val="0"/>
              <w:snapToGrid w:val="0"/>
              <w:spacing w:line="360" w:lineRule="exact"/>
              <w:rPr>
                <w:rFonts w:ascii="宋体" w:hAnsi="宋体"/>
                <w:color w:val="auto"/>
              </w:rPr>
            </w:pPr>
            <w:r>
              <w:rPr>
                <w:rFonts w:hint="eastAsia" w:ascii="宋体" w:hAnsi="宋体"/>
                <w:color w:val="auto"/>
                <w:lang w:val="en-US" w:eastAsia="zh-CN"/>
              </w:rPr>
              <w:t>2</w:t>
            </w:r>
            <w:r>
              <w:rPr>
                <w:rFonts w:hint="eastAsia" w:ascii="宋体" w:hAnsi="宋体"/>
                <w:color w:val="auto"/>
              </w:rPr>
              <w:t>、实施地点：</w:t>
            </w:r>
            <w:r>
              <w:rPr>
                <w:rFonts w:hint="eastAsia" w:ascii="宋体"/>
                <w:color w:val="auto"/>
                <w:lang w:eastAsia="zh-CN"/>
              </w:rPr>
              <w:t>郴州市数据局</w:t>
            </w:r>
            <w:r>
              <w:rPr>
                <w:rFonts w:hint="eastAsia" w:ascii="宋体"/>
                <w:color w:val="auto"/>
              </w:rPr>
              <w:t>指定地点</w:t>
            </w:r>
            <w:r>
              <w:rPr>
                <w:rFonts w:hint="eastAsia" w:ascii="宋体" w:hAnsi="宋体"/>
                <w:color w:val="auto"/>
              </w:rPr>
              <w:t>。</w:t>
            </w:r>
          </w:p>
        </w:tc>
      </w:tr>
      <w:tr w14:paraId="3631E2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00C40B90">
            <w:pPr>
              <w:adjustRightInd w:val="0"/>
              <w:snapToGrid w:val="0"/>
              <w:spacing w:line="360" w:lineRule="auto"/>
              <w:jc w:val="center"/>
              <w:rPr>
                <w:rFonts w:ascii="宋体" w:hAnsi="宋体"/>
                <w:szCs w:val="21"/>
              </w:rPr>
            </w:pPr>
            <w:r>
              <w:rPr>
                <w:rFonts w:hint="eastAsia" w:ascii="宋体" w:hAnsi="宋体"/>
                <w:szCs w:val="21"/>
              </w:rPr>
              <w:t>本章第二节</w:t>
            </w:r>
          </w:p>
          <w:p w14:paraId="706A2CF4">
            <w:pPr>
              <w:adjustRightInd w:val="0"/>
              <w:snapToGrid w:val="0"/>
              <w:spacing w:line="360" w:lineRule="auto"/>
              <w:jc w:val="center"/>
              <w:rPr>
                <w:rFonts w:ascii="宋体" w:hAnsi="宋体"/>
                <w:szCs w:val="21"/>
              </w:rPr>
            </w:pPr>
            <w:r>
              <w:rPr>
                <w:rFonts w:hint="eastAsia" w:ascii="宋体" w:hAnsi="宋体"/>
                <w:szCs w:val="21"/>
              </w:rPr>
              <w:t>第9.2（1）项</w:t>
            </w:r>
          </w:p>
        </w:tc>
        <w:tc>
          <w:tcPr>
            <w:tcW w:w="1843" w:type="dxa"/>
            <w:vAlign w:val="center"/>
          </w:tcPr>
          <w:p w14:paraId="10A1B505">
            <w:pPr>
              <w:adjustRightInd w:val="0"/>
              <w:snapToGrid w:val="0"/>
              <w:spacing w:line="360" w:lineRule="exact"/>
              <w:jc w:val="center"/>
              <w:rPr>
                <w:rFonts w:ascii="宋体"/>
              </w:rPr>
            </w:pPr>
            <w:r>
              <w:rPr>
                <w:rFonts w:hint="eastAsia" w:ascii="宋体" w:hAnsi="宋体" w:cs="宋体"/>
              </w:rPr>
              <w:t>质量保证期</w:t>
            </w:r>
          </w:p>
        </w:tc>
        <w:tc>
          <w:tcPr>
            <w:tcW w:w="5464" w:type="dxa"/>
            <w:vAlign w:val="center"/>
          </w:tcPr>
          <w:p w14:paraId="594E48CC">
            <w:pPr>
              <w:adjustRightInd w:val="0"/>
              <w:snapToGrid w:val="0"/>
              <w:spacing w:line="360" w:lineRule="exact"/>
              <w:rPr>
                <w:rFonts w:ascii="宋体" w:hAnsi="宋体"/>
                <w:szCs w:val="21"/>
              </w:rPr>
            </w:pPr>
            <w:r>
              <w:rPr>
                <w:rFonts w:hint="eastAsia" w:ascii="宋体" w:hAnsi="宋体"/>
              </w:rPr>
              <w:t>与服务期一致</w:t>
            </w:r>
            <w:r>
              <w:rPr>
                <w:rFonts w:hint="eastAsia" w:ascii="宋体" w:hAnsi="宋体"/>
                <w:szCs w:val="21"/>
              </w:rPr>
              <w:t>。</w:t>
            </w:r>
          </w:p>
        </w:tc>
      </w:tr>
      <w:tr w14:paraId="533457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9E3DA17">
            <w:pPr>
              <w:adjustRightInd w:val="0"/>
              <w:snapToGrid w:val="0"/>
              <w:spacing w:line="360" w:lineRule="auto"/>
              <w:jc w:val="center"/>
              <w:rPr>
                <w:rFonts w:ascii="宋体" w:hAnsi="宋体"/>
                <w:szCs w:val="21"/>
              </w:rPr>
            </w:pPr>
            <w:r>
              <w:rPr>
                <w:rFonts w:hint="eastAsia" w:ascii="宋体" w:hAnsi="宋体"/>
                <w:szCs w:val="21"/>
              </w:rPr>
              <w:t>本章第二节</w:t>
            </w:r>
          </w:p>
          <w:p w14:paraId="4D34F168">
            <w:pPr>
              <w:adjustRightInd w:val="0"/>
              <w:snapToGrid w:val="0"/>
              <w:spacing w:line="360" w:lineRule="auto"/>
              <w:jc w:val="center"/>
              <w:rPr>
                <w:rFonts w:ascii="宋体" w:hAnsi="宋体"/>
                <w:szCs w:val="21"/>
              </w:rPr>
            </w:pPr>
            <w:r>
              <w:rPr>
                <w:rFonts w:hint="eastAsia" w:ascii="宋体" w:hAnsi="宋体"/>
                <w:szCs w:val="21"/>
              </w:rPr>
              <w:t>第9.2（3）项</w:t>
            </w:r>
          </w:p>
        </w:tc>
        <w:tc>
          <w:tcPr>
            <w:tcW w:w="1843" w:type="dxa"/>
            <w:vAlign w:val="center"/>
          </w:tcPr>
          <w:p w14:paraId="3D8308E7">
            <w:pPr>
              <w:adjustRightInd w:val="0"/>
              <w:snapToGrid w:val="0"/>
              <w:spacing w:line="360" w:lineRule="exact"/>
              <w:jc w:val="center"/>
              <w:rPr>
                <w:rFonts w:ascii="宋体" w:hAnsi="宋体" w:cs="宋体"/>
              </w:rPr>
            </w:pPr>
            <w:r>
              <w:rPr>
                <w:rFonts w:hint="eastAsia" w:ascii="宋体" w:hAnsi="宋体" w:cs="宋体"/>
              </w:rPr>
              <w:t>响应时间</w:t>
            </w:r>
          </w:p>
        </w:tc>
        <w:tc>
          <w:tcPr>
            <w:tcW w:w="5464" w:type="dxa"/>
            <w:vAlign w:val="center"/>
          </w:tcPr>
          <w:p w14:paraId="4C429F23">
            <w:pPr>
              <w:adjustRightInd w:val="0"/>
              <w:snapToGrid w:val="0"/>
              <w:spacing w:line="360" w:lineRule="exact"/>
              <w:rPr>
                <w:rFonts w:ascii="宋体" w:hAnsi="宋体"/>
                <w:szCs w:val="21"/>
              </w:rPr>
            </w:pPr>
            <w:r>
              <w:rPr>
                <w:rFonts w:hint="eastAsia" w:ascii="宋体" w:hAnsi="宋体"/>
                <w:szCs w:val="21"/>
              </w:rPr>
              <w:t>应采购人要求采取电话咨询响应服务、远程技术支持服务和现场技术服务</w:t>
            </w:r>
            <w:r>
              <w:rPr>
                <w:rFonts w:hint="eastAsia" w:ascii="宋体" w:hAnsi="宋体"/>
              </w:rPr>
              <w:t>。</w:t>
            </w:r>
          </w:p>
        </w:tc>
      </w:tr>
      <w:tr w14:paraId="0EE6D0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73AD3DE">
            <w:pPr>
              <w:adjustRightInd w:val="0"/>
              <w:snapToGrid w:val="0"/>
              <w:spacing w:line="360" w:lineRule="auto"/>
              <w:jc w:val="center"/>
              <w:rPr>
                <w:rFonts w:ascii="宋体" w:hAnsi="宋体"/>
                <w:szCs w:val="21"/>
              </w:rPr>
            </w:pPr>
            <w:r>
              <w:rPr>
                <w:rFonts w:hint="eastAsia" w:ascii="宋体" w:hAnsi="宋体"/>
                <w:szCs w:val="21"/>
              </w:rPr>
              <w:t>本章第二节</w:t>
            </w:r>
          </w:p>
          <w:p w14:paraId="65CCCF10">
            <w:pPr>
              <w:adjustRightInd w:val="0"/>
              <w:snapToGrid w:val="0"/>
              <w:spacing w:line="360" w:lineRule="auto"/>
              <w:jc w:val="center"/>
              <w:rPr>
                <w:rFonts w:ascii="宋体" w:hAnsi="宋体"/>
                <w:szCs w:val="21"/>
              </w:rPr>
            </w:pPr>
            <w:r>
              <w:rPr>
                <w:rFonts w:hint="eastAsia" w:ascii="宋体" w:hAnsi="宋体"/>
                <w:szCs w:val="21"/>
              </w:rPr>
              <w:t>第13.5款</w:t>
            </w:r>
          </w:p>
        </w:tc>
        <w:tc>
          <w:tcPr>
            <w:tcW w:w="1843" w:type="dxa"/>
            <w:vAlign w:val="center"/>
          </w:tcPr>
          <w:p w14:paraId="2C5676A7">
            <w:pPr>
              <w:adjustRightInd w:val="0"/>
              <w:snapToGrid w:val="0"/>
              <w:spacing w:line="360" w:lineRule="exact"/>
              <w:jc w:val="center"/>
              <w:rPr>
                <w:rFonts w:ascii="宋体" w:hAnsi="宋体" w:cs="宋体"/>
              </w:rPr>
            </w:pPr>
            <w:r>
              <w:rPr>
                <w:rFonts w:hint="eastAsia" w:ascii="宋体" w:hAnsi="宋体" w:cs="宋体"/>
              </w:rPr>
              <w:t>合同价款支付方式和条件</w:t>
            </w:r>
          </w:p>
        </w:tc>
        <w:tc>
          <w:tcPr>
            <w:tcW w:w="5464" w:type="dxa"/>
            <w:vAlign w:val="center"/>
          </w:tcPr>
          <w:p w14:paraId="2936741B">
            <w:pPr>
              <w:spacing w:line="360" w:lineRule="exact"/>
              <w:rPr>
                <w:rFonts w:ascii="宋体" w:hAnsi="宋体"/>
                <w:b/>
                <w:szCs w:val="21"/>
              </w:rPr>
            </w:pPr>
            <w:r>
              <w:rPr>
                <w:rFonts w:hint="eastAsia" w:ascii="宋体" w:hAnsi="宋体"/>
                <w:b/>
                <w:szCs w:val="21"/>
              </w:rPr>
              <w:t>合同价款支付方式：</w:t>
            </w:r>
          </w:p>
          <w:p w14:paraId="6B7D950B">
            <w:pPr>
              <w:spacing w:line="360" w:lineRule="exact"/>
              <w:rPr>
                <w:rFonts w:ascii="宋体" w:hAnsi="宋体" w:cs="宋体"/>
                <w:szCs w:val="21"/>
              </w:rPr>
            </w:pPr>
            <w:r>
              <w:rPr>
                <w:rFonts w:hint="eastAsia" w:ascii="宋体" w:hAnsi="宋体" w:cs="宋体"/>
                <w:szCs w:val="21"/>
              </w:rPr>
              <w:t>根据《视频专网网络线路运行保障考核办法》进行绩效考核后的结果，分期付款。（具体以合同约定为准）</w:t>
            </w:r>
          </w:p>
          <w:p w14:paraId="7480C3B4">
            <w:pPr>
              <w:spacing w:line="360" w:lineRule="exact"/>
              <w:rPr>
                <w:rFonts w:ascii="宋体" w:hAnsi="宋体"/>
                <w:b/>
                <w:szCs w:val="21"/>
              </w:rPr>
            </w:pPr>
            <w:r>
              <w:rPr>
                <w:rFonts w:hint="eastAsia" w:ascii="宋体" w:hAnsi="宋体"/>
                <w:b/>
                <w:szCs w:val="21"/>
              </w:rPr>
              <w:t>支付凭证：</w:t>
            </w:r>
          </w:p>
          <w:p w14:paraId="4AA655F5">
            <w:pPr>
              <w:adjustRightInd w:val="0"/>
              <w:snapToGrid w:val="0"/>
              <w:spacing w:line="360" w:lineRule="exact"/>
              <w:jc w:val="left"/>
              <w:rPr>
                <w:rFonts w:ascii="宋体" w:hAnsi="宋体"/>
                <w:szCs w:val="21"/>
              </w:rPr>
            </w:pPr>
            <w:r>
              <w:rPr>
                <w:rFonts w:hint="eastAsia" w:ascii="宋体" w:hAnsi="宋体"/>
                <w:szCs w:val="21"/>
              </w:rPr>
              <w:t>双方签订的合同、相关部门验收合格证、供应商开具的增值税发票，税款包含在合同总价款内。</w:t>
            </w:r>
          </w:p>
          <w:p w14:paraId="3B59BC95">
            <w:pPr>
              <w:adjustRightInd w:val="0"/>
              <w:snapToGrid w:val="0"/>
              <w:spacing w:line="360" w:lineRule="exact"/>
              <w:jc w:val="left"/>
              <w:rPr>
                <w:rFonts w:ascii="宋体" w:hAnsi="宋体" w:cs="宋体"/>
                <w:szCs w:val="21"/>
              </w:rPr>
            </w:pPr>
            <w:r>
              <w:rPr>
                <w:rFonts w:hint="eastAsia" w:ascii="宋体" w:hAnsi="宋体" w:cs="宋体"/>
                <w:szCs w:val="21"/>
              </w:rPr>
              <w:t>合同最终支付金额根据结算情况据实支付。</w:t>
            </w:r>
          </w:p>
        </w:tc>
      </w:tr>
      <w:tr w14:paraId="3CD943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4B42434">
            <w:pPr>
              <w:adjustRightInd w:val="0"/>
              <w:snapToGrid w:val="0"/>
              <w:spacing w:line="360" w:lineRule="auto"/>
              <w:jc w:val="center"/>
              <w:rPr>
                <w:rFonts w:ascii="宋体" w:hAnsi="宋体"/>
                <w:szCs w:val="21"/>
              </w:rPr>
            </w:pPr>
            <w:r>
              <w:rPr>
                <w:rFonts w:hint="eastAsia" w:ascii="宋体" w:hAnsi="宋体"/>
                <w:szCs w:val="21"/>
              </w:rPr>
              <w:t>本章第二节</w:t>
            </w:r>
          </w:p>
          <w:p w14:paraId="12BB7875">
            <w:pPr>
              <w:adjustRightInd w:val="0"/>
              <w:snapToGrid w:val="0"/>
              <w:spacing w:line="360" w:lineRule="auto"/>
              <w:jc w:val="center"/>
              <w:rPr>
                <w:rFonts w:ascii="宋体" w:hAnsi="宋体"/>
                <w:szCs w:val="21"/>
              </w:rPr>
            </w:pPr>
            <w:r>
              <w:rPr>
                <w:rFonts w:hint="eastAsia" w:ascii="宋体" w:hAnsi="宋体"/>
                <w:szCs w:val="21"/>
              </w:rPr>
              <w:t>第14.2（5）项</w:t>
            </w:r>
          </w:p>
        </w:tc>
        <w:tc>
          <w:tcPr>
            <w:tcW w:w="1843" w:type="dxa"/>
            <w:vAlign w:val="center"/>
          </w:tcPr>
          <w:p w14:paraId="712A92B2">
            <w:pPr>
              <w:adjustRightInd w:val="0"/>
              <w:snapToGrid w:val="0"/>
              <w:spacing w:line="360" w:lineRule="auto"/>
              <w:jc w:val="left"/>
              <w:rPr>
                <w:rFonts w:ascii="宋体" w:hAnsi="宋体"/>
                <w:szCs w:val="21"/>
              </w:rPr>
            </w:pPr>
            <w:r>
              <w:rPr>
                <w:rFonts w:hint="eastAsia" w:ascii="宋体" w:hAnsi="宋体"/>
                <w:szCs w:val="21"/>
              </w:rPr>
              <w:t>乙方提供的其他服务</w:t>
            </w:r>
          </w:p>
        </w:tc>
        <w:tc>
          <w:tcPr>
            <w:tcW w:w="5464" w:type="dxa"/>
            <w:vAlign w:val="center"/>
          </w:tcPr>
          <w:p w14:paraId="66B82407">
            <w:pPr>
              <w:adjustRightInd w:val="0"/>
              <w:snapToGrid w:val="0"/>
              <w:spacing w:line="360" w:lineRule="auto"/>
              <w:jc w:val="left"/>
              <w:rPr>
                <w:rFonts w:ascii="宋体" w:hAnsi="宋体"/>
                <w:szCs w:val="21"/>
              </w:rPr>
            </w:pPr>
            <w:r>
              <w:rPr>
                <w:rFonts w:hint="eastAsia" w:ascii="宋体" w:hAnsi="宋体"/>
                <w:szCs w:val="21"/>
                <w:u w:val="single"/>
              </w:rPr>
              <w:t xml:space="preserve">              </w:t>
            </w:r>
            <w:r>
              <w:rPr>
                <w:rFonts w:hint="eastAsia" w:ascii="宋体" w:hAnsi="宋体"/>
                <w:szCs w:val="21"/>
              </w:rPr>
              <w:t>，或第五章采购需求。</w:t>
            </w:r>
          </w:p>
        </w:tc>
      </w:tr>
      <w:tr w14:paraId="60CA8C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CB23487">
            <w:pPr>
              <w:adjustRightInd w:val="0"/>
              <w:snapToGrid w:val="0"/>
              <w:spacing w:line="360" w:lineRule="auto"/>
              <w:jc w:val="center"/>
              <w:rPr>
                <w:rFonts w:ascii="宋体" w:hAnsi="宋体"/>
                <w:szCs w:val="21"/>
              </w:rPr>
            </w:pPr>
            <w:r>
              <w:rPr>
                <w:rFonts w:hint="eastAsia" w:ascii="宋体" w:hAnsi="宋体"/>
                <w:szCs w:val="21"/>
              </w:rPr>
              <w:t>本章第二节</w:t>
            </w:r>
          </w:p>
          <w:p w14:paraId="1C300832">
            <w:pPr>
              <w:adjustRightInd w:val="0"/>
              <w:snapToGrid w:val="0"/>
              <w:spacing w:line="360" w:lineRule="auto"/>
              <w:jc w:val="center"/>
              <w:rPr>
                <w:rFonts w:ascii="宋体" w:hAnsi="宋体"/>
                <w:bCs/>
                <w:szCs w:val="21"/>
              </w:rPr>
            </w:pPr>
            <w:r>
              <w:rPr>
                <w:rFonts w:hint="eastAsia" w:ascii="宋体" w:hAnsi="宋体"/>
                <w:szCs w:val="21"/>
              </w:rPr>
              <w:t>第20.2款</w:t>
            </w:r>
          </w:p>
        </w:tc>
        <w:tc>
          <w:tcPr>
            <w:tcW w:w="1843" w:type="dxa"/>
            <w:vAlign w:val="center"/>
          </w:tcPr>
          <w:p w14:paraId="4F5F00D3">
            <w:pPr>
              <w:adjustRightInd w:val="0"/>
              <w:snapToGrid w:val="0"/>
              <w:spacing w:line="360" w:lineRule="auto"/>
              <w:jc w:val="left"/>
              <w:rPr>
                <w:rFonts w:ascii="宋体" w:hAnsi="宋体"/>
                <w:bCs/>
                <w:szCs w:val="21"/>
              </w:rPr>
            </w:pPr>
            <w:r>
              <w:rPr>
                <w:rFonts w:hint="eastAsia" w:ascii="宋体" w:hAnsi="宋体"/>
                <w:szCs w:val="21"/>
              </w:rPr>
              <w:t>解决争议的方式</w:t>
            </w:r>
          </w:p>
        </w:tc>
        <w:tc>
          <w:tcPr>
            <w:tcW w:w="5464" w:type="dxa"/>
            <w:vAlign w:val="center"/>
          </w:tcPr>
          <w:p w14:paraId="389C5310">
            <w:pPr>
              <w:adjustRightInd w:val="0"/>
              <w:snapToGrid w:val="0"/>
              <w:spacing w:line="360" w:lineRule="auto"/>
              <w:jc w:val="left"/>
              <w:rPr>
                <w:rFonts w:ascii="宋体" w:hAnsi="宋体"/>
                <w:szCs w:val="21"/>
              </w:rPr>
            </w:pPr>
            <w:r>
              <w:rPr>
                <w:rFonts w:hint="eastAsia" w:ascii="宋体" w:hAnsi="宋体"/>
                <w:szCs w:val="21"/>
              </w:rPr>
              <w:t>□ 诉讼</w:t>
            </w:r>
          </w:p>
          <w:p w14:paraId="57971A6E">
            <w:pPr>
              <w:adjustRightInd w:val="0"/>
              <w:snapToGrid w:val="0"/>
              <w:spacing w:line="360" w:lineRule="auto"/>
              <w:jc w:val="left"/>
              <w:rPr>
                <w:rFonts w:ascii="宋体" w:hAnsi="宋体"/>
                <w:szCs w:val="21"/>
              </w:rPr>
            </w:pPr>
            <w:r>
              <w:rPr>
                <w:rFonts w:hint="eastAsia" w:ascii="MS Gothic" w:hAnsi="MS Gothic" w:eastAsia="MS Gothic" w:cs="MS Gothic"/>
              </w:rPr>
              <w:t>■</w:t>
            </w:r>
            <w:r>
              <w:rPr>
                <w:rFonts w:hint="eastAsia" w:ascii="宋体" w:hAnsi="宋体"/>
                <w:szCs w:val="21"/>
              </w:rPr>
              <w:t xml:space="preserve"> 仲裁</w:t>
            </w:r>
          </w:p>
        </w:tc>
      </w:tr>
      <w:tr w14:paraId="46C784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0BF62FB1">
            <w:pPr>
              <w:adjustRightInd w:val="0"/>
              <w:snapToGrid w:val="0"/>
              <w:spacing w:line="360" w:lineRule="auto"/>
              <w:jc w:val="center"/>
              <w:rPr>
                <w:rFonts w:ascii="宋体" w:hAnsi="宋体"/>
                <w:szCs w:val="21"/>
              </w:rPr>
            </w:pPr>
            <w:r>
              <w:rPr>
                <w:rFonts w:hint="eastAsia" w:ascii="宋体" w:hAnsi="宋体"/>
                <w:szCs w:val="21"/>
              </w:rPr>
              <w:t>本章第二节</w:t>
            </w:r>
          </w:p>
          <w:p w14:paraId="44F97438">
            <w:pPr>
              <w:adjustRightInd w:val="0"/>
              <w:snapToGrid w:val="0"/>
              <w:spacing w:line="360" w:lineRule="auto"/>
              <w:jc w:val="center"/>
              <w:rPr>
                <w:rFonts w:ascii="宋体" w:hAnsi="宋体"/>
                <w:szCs w:val="21"/>
              </w:rPr>
            </w:pPr>
            <w:r>
              <w:rPr>
                <w:rFonts w:hint="eastAsia" w:ascii="宋体" w:hAnsi="宋体"/>
                <w:szCs w:val="21"/>
              </w:rPr>
              <w:t>第23.1款</w:t>
            </w:r>
          </w:p>
        </w:tc>
        <w:tc>
          <w:tcPr>
            <w:tcW w:w="1843" w:type="dxa"/>
            <w:vAlign w:val="center"/>
          </w:tcPr>
          <w:p w14:paraId="52FAABFA">
            <w:pPr>
              <w:adjustRightInd w:val="0"/>
              <w:snapToGrid w:val="0"/>
              <w:spacing w:line="360" w:lineRule="auto"/>
              <w:jc w:val="left"/>
              <w:rPr>
                <w:rFonts w:ascii="宋体" w:hAnsi="宋体"/>
                <w:szCs w:val="21"/>
              </w:rPr>
            </w:pPr>
            <w:r>
              <w:rPr>
                <w:rFonts w:hint="eastAsia" w:ascii="宋体" w:hAnsi="宋体"/>
                <w:bCs/>
                <w:szCs w:val="21"/>
              </w:rPr>
              <w:t>合同未尽事项</w:t>
            </w:r>
          </w:p>
        </w:tc>
        <w:tc>
          <w:tcPr>
            <w:tcW w:w="5464" w:type="dxa"/>
            <w:vAlign w:val="center"/>
          </w:tcPr>
          <w:p w14:paraId="7B9710FD">
            <w:pPr>
              <w:adjustRightInd w:val="0"/>
              <w:snapToGrid w:val="0"/>
              <w:spacing w:line="360" w:lineRule="auto"/>
              <w:jc w:val="left"/>
              <w:rPr>
                <w:rFonts w:ascii="宋体" w:hAnsi="宋体"/>
                <w:szCs w:val="21"/>
                <w:u w:val="single"/>
              </w:rPr>
            </w:pPr>
            <w:r>
              <w:rPr>
                <w:rFonts w:hint="eastAsia" w:ascii="宋体" w:hAnsi="宋体"/>
                <w:szCs w:val="21"/>
                <w:u w:val="single"/>
              </w:rPr>
              <w:t>协商解决。</w:t>
            </w:r>
          </w:p>
        </w:tc>
      </w:tr>
    </w:tbl>
    <w:p w14:paraId="715C62D2">
      <w:pPr>
        <w:jc w:val="center"/>
        <w:rPr>
          <w:rFonts w:hAnsi="宋体"/>
          <w:b/>
          <w:bCs/>
          <w:sz w:val="52"/>
          <w:szCs w:val="30"/>
        </w:rPr>
      </w:pPr>
      <w:r>
        <w:rPr>
          <w:rFonts w:ascii="黑体" w:hAnsi="华文中宋" w:eastAsia="黑体"/>
          <w:b/>
          <w:bCs/>
          <w:sz w:val="28"/>
          <w:szCs w:val="28"/>
        </w:rPr>
        <w:br w:type="page"/>
      </w:r>
      <w:bookmarkEnd w:id="236"/>
    </w:p>
    <w:p w14:paraId="55D5CCBD"/>
    <w:p w14:paraId="6444B2FC">
      <w:pPr>
        <w:pStyle w:val="23"/>
        <w:adjustRightInd w:val="0"/>
        <w:snapToGrid w:val="0"/>
        <w:spacing w:line="360" w:lineRule="auto"/>
        <w:jc w:val="center"/>
        <w:outlineLvl w:val="0"/>
        <w:rPr>
          <w:rFonts w:ascii="黑体" w:hAnsi="华文中宋" w:eastAsia="黑体"/>
          <w:b/>
          <w:sz w:val="32"/>
          <w:szCs w:val="32"/>
        </w:rPr>
      </w:pPr>
      <w:bookmarkStart w:id="239" w:name="_Toc29913948"/>
      <w:bookmarkStart w:id="240" w:name="_Toc172716796"/>
      <w:bookmarkStart w:id="241" w:name="_Toc23469"/>
      <w:r>
        <w:rPr>
          <w:rFonts w:hint="eastAsia" w:ascii="黑体" w:hAnsi="华文中宋" w:eastAsia="黑体"/>
          <w:b/>
          <w:sz w:val="32"/>
          <w:szCs w:val="32"/>
        </w:rPr>
        <w:t>第七章 投标文件的组成</w:t>
      </w:r>
      <w:bookmarkEnd w:id="239"/>
      <w:bookmarkEnd w:id="240"/>
      <w:bookmarkEnd w:id="241"/>
    </w:p>
    <w:p w14:paraId="48B1D3BA">
      <w:pPr>
        <w:adjustRightInd w:val="0"/>
        <w:snapToGrid w:val="0"/>
        <w:spacing w:line="360" w:lineRule="auto"/>
        <w:ind w:left="-88" w:leftChars="-42"/>
        <w:jc w:val="center"/>
        <w:rPr>
          <w:b/>
          <w:bCs/>
          <w:sz w:val="32"/>
        </w:rPr>
      </w:pPr>
    </w:p>
    <w:p w14:paraId="4E97FB63">
      <w:pPr>
        <w:adjustRightInd w:val="0"/>
        <w:snapToGrid w:val="0"/>
        <w:spacing w:beforeLines="50" w:line="360" w:lineRule="auto"/>
        <w:jc w:val="left"/>
        <w:rPr>
          <w:rFonts w:ascii="宋体" w:hAnsi="宋体"/>
          <w:b/>
          <w:szCs w:val="21"/>
        </w:rPr>
      </w:pPr>
      <w:r>
        <w:rPr>
          <w:rFonts w:hint="eastAsia" w:ascii="宋体" w:hAnsi="宋体"/>
          <w:b/>
          <w:szCs w:val="21"/>
        </w:rPr>
        <w:t>第一部分 资格证明文件</w:t>
      </w:r>
    </w:p>
    <w:p w14:paraId="6CF773E4">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一、开标一览表</w:t>
      </w:r>
    </w:p>
    <w:p w14:paraId="1A4E642B">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二、法定代表人（单位负责人）身份证明或授权委托书</w:t>
      </w:r>
    </w:p>
    <w:p w14:paraId="2D2A8AB8">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三、投标人提供的资格证明文件</w:t>
      </w:r>
    </w:p>
    <w:p w14:paraId="6C4E473A">
      <w:pPr>
        <w:adjustRightInd w:val="0"/>
        <w:snapToGrid w:val="0"/>
        <w:spacing w:beforeLines="50" w:line="360" w:lineRule="auto"/>
        <w:jc w:val="left"/>
        <w:rPr>
          <w:rFonts w:ascii="宋体" w:hAnsi="宋体"/>
          <w:b/>
          <w:szCs w:val="21"/>
        </w:rPr>
      </w:pPr>
      <w:r>
        <w:rPr>
          <w:rFonts w:hint="eastAsia" w:ascii="宋体" w:hAnsi="宋体"/>
          <w:b/>
          <w:szCs w:val="21"/>
        </w:rPr>
        <w:t>第二部分 商务技术文件</w:t>
      </w:r>
    </w:p>
    <w:p w14:paraId="4A478538">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四、投标函</w:t>
      </w:r>
    </w:p>
    <w:p w14:paraId="07856DBD">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五、分项报价</w:t>
      </w:r>
    </w:p>
    <w:p w14:paraId="3D3DBC92">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六、采购需求（服务及配套货物）响应</w:t>
      </w:r>
    </w:p>
    <w:p w14:paraId="089DABA5">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七、合同条款偏离表</w:t>
      </w:r>
    </w:p>
    <w:p w14:paraId="5C7A4CDA">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八、采购需求（服务及配套货物）偏离表</w:t>
      </w:r>
    </w:p>
    <w:p w14:paraId="30487609">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九、享受政府采购政策优惠的证明资料和清单表</w:t>
      </w:r>
    </w:p>
    <w:p w14:paraId="72C7398A">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十、投标服务（服务及配套货物）符合招标文件规定的证明文件</w:t>
      </w:r>
    </w:p>
    <w:p w14:paraId="3F148EE5">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十一、投标人认为需提供的其他资料</w:t>
      </w:r>
    </w:p>
    <w:p w14:paraId="6112956F">
      <w:pPr>
        <w:adjustRightInd w:val="0"/>
        <w:snapToGrid w:val="0"/>
        <w:spacing w:beforeLines="50" w:line="360" w:lineRule="auto"/>
        <w:ind w:firstLine="422" w:firstLineChars="200"/>
        <w:jc w:val="left"/>
        <w:rPr>
          <w:rFonts w:asciiTheme="minorEastAsia" w:hAnsiTheme="minorEastAsia" w:eastAsiaTheme="minorEastAsia"/>
          <w:b/>
          <w:szCs w:val="21"/>
        </w:rPr>
      </w:pPr>
      <w:r>
        <w:rPr>
          <w:rFonts w:hint="eastAsia" w:asciiTheme="minorEastAsia" w:hAnsiTheme="minorEastAsia" w:eastAsiaTheme="minorEastAsia"/>
          <w:b/>
          <w:szCs w:val="21"/>
        </w:rPr>
        <w:t>注：1、投标人应按照电子招标文件格式及投标工具编制资格证明文件，不得将其编制到商务和技术文件中。否则，由于编制失误所产生的后果，由投标人自行承担。</w:t>
      </w:r>
    </w:p>
    <w:p w14:paraId="71A94FF3">
      <w:pPr>
        <w:adjustRightInd w:val="0"/>
        <w:snapToGrid w:val="0"/>
        <w:spacing w:beforeLines="50" w:line="360" w:lineRule="auto"/>
        <w:ind w:firstLine="422" w:firstLineChars="200"/>
        <w:jc w:val="left"/>
        <w:rPr>
          <w:rFonts w:asciiTheme="minorEastAsia" w:hAnsiTheme="minorEastAsia" w:eastAsiaTheme="minorEastAsia"/>
          <w:b/>
          <w:szCs w:val="21"/>
        </w:rPr>
      </w:pPr>
      <w:r>
        <w:rPr>
          <w:rFonts w:hint="eastAsia" w:asciiTheme="minorEastAsia" w:hAnsiTheme="minorEastAsia" w:eastAsiaTheme="minorEastAsia"/>
          <w:b/>
          <w:szCs w:val="21"/>
        </w:rPr>
        <w:t>2、投标人应按照电子招标文件格式及投标工具编制商务和技术及综合评分表相关资料。否则，由于编制失误所产生的后果，由投标人自行承担。</w:t>
      </w:r>
    </w:p>
    <w:p w14:paraId="1EAB5E96">
      <w:pPr>
        <w:adjustRightInd w:val="0"/>
        <w:snapToGrid w:val="0"/>
        <w:spacing w:beforeLines="50" w:line="360" w:lineRule="auto"/>
        <w:ind w:firstLine="420" w:firstLineChars="200"/>
        <w:jc w:val="left"/>
        <w:rPr>
          <w:rFonts w:asciiTheme="minorEastAsia" w:hAnsiTheme="minorEastAsia" w:eastAsiaTheme="minorEastAsia"/>
          <w:szCs w:val="21"/>
        </w:rPr>
      </w:pPr>
    </w:p>
    <w:p w14:paraId="35285794">
      <w:pPr>
        <w:adjustRightInd w:val="0"/>
        <w:snapToGrid w:val="0"/>
        <w:spacing w:line="360" w:lineRule="auto"/>
        <w:jc w:val="center"/>
        <w:rPr>
          <w:rFonts w:ascii="仿宋_GB2312" w:hAnsi="宋体" w:eastAsia="仿宋_GB2312"/>
          <w:szCs w:val="21"/>
        </w:rPr>
      </w:pPr>
    </w:p>
    <w:p w14:paraId="5A5FC8D9">
      <w:pPr>
        <w:adjustRightInd w:val="0"/>
        <w:snapToGrid w:val="0"/>
        <w:spacing w:line="360" w:lineRule="auto"/>
        <w:jc w:val="center"/>
        <w:rPr>
          <w:rFonts w:ascii="黑体" w:eastAsia="黑体"/>
          <w:sz w:val="32"/>
          <w:szCs w:val="32"/>
        </w:rPr>
      </w:pPr>
      <w:r>
        <w:rPr>
          <w:rFonts w:ascii="仿宋_GB2312" w:hAnsi="宋体" w:eastAsia="仿宋_GB2312"/>
          <w:szCs w:val="21"/>
        </w:rPr>
        <w:br w:type="page"/>
      </w:r>
    </w:p>
    <w:p w14:paraId="03F5B293">
      <w:pPr>
        <w:adjustRightInd w:val="0"/>
        <w:snapToGrid w:val="0"/>
        <w:spacing w:line="360" w:lineRule="auto"/>
        <w:jc w:val="center"/>
        <w:rPr>
          <w:rFonts w:ascii="黑体" w:eastAsia="黑体"/>
          <w:sz w:val="32"/>
          <w:szCs w:val="32"/>
        </w:rPr>
      </w:pPr>
    </w:p>
    <w:p w14:paraId="15BD86D7">
      <w:pPr>
        <w:adjustRightInd w:val="0"/>
        <w:snapToGrid w:val="0"/>
        <w:spacing w:line="360" w:lineRule="auto"/>
        <w:jc w:val="center"/>
        <w:rPr>
          <w:rFonts w:ascii="黑体" w:eastAsia="黑体"/>
          <w:sz w:val="32"/>
          <w:szCs w:val="32"/>
        </w:rPr>
      </w:pPr>
    </w:p>
    <w:p w14:paraId="34EC41B1">
      <w:pPr>
        <w:adjustRightInd w:val="0"/>
        <w:snapToGrid w:val="0"/>
        <w:spacing w:line="360" w:lineRule="auto"/>
        <w:jc w:val="center"/>
        <w:rPr>
          <w:rFonts w:ascii="黑体" w:eastAsia="黑体"/>
          <w:sz w:val="32"/>
          <w:szCs w:val="32"/>
        </w:rPr>
      </w:pPr>
    </w:p>
    <w:p w14:paraId="73F4636C">
      <w:pPr>
        <w:pStyle w:val="23"/>
        <w:adjustRightInd w:val="0"/>
        <w:snapToGrid w:val="0"/>
        <w:spacing w:line="360" w:lineRule="auto"/>
        <w:jc w:val="center"/>
        <w:rPr>
          <w:rFonts w:asciiTheme="minorEastAsia" w:hAnsiTheme="minorEastAsia" w:eastAsiaTheme="minorEastAsia"/>
          <w:b/>
          <w:bCs/>
          <w:sz w:val="72"/>
          <w:szCs w:val="72"/>
        </w:rPr>
      </w:pPr>
      <w:r>
        <w:rPr>
          <w:rFonts w:hint="eastAsia" w:asciiTheme="minorEastAsia" w:hAnsiTheme="minorEastAsia" w:eastAsiaTheme="minorEastAsia"/>
          <w:b/>
          <w:bCs/>
          <w:sz w:val="72"/>
          <w:szCs w:val="72"/>
        </w:rPr>
        <w:t>政府采购</w:t>
      </w:r>
    </w:p>
    <w:p w14:paraId="4601A132">
      <w:pPr>
        <w:adjustRightInd w:val="0"/>
        <w:snapToGrid w:val="0"/>
        <w:spacing w:line="360" w:lineRule="auto"/>
        <w:jc w:val="center"/>
        <w:rPr>
          <w:rFonts w:asciiTheme="minorEastAsia" w:hAnsiTheme="minorEastAsia" w:eastAsiaTheme="minorEastAsia"/>
          <w:b/>
          <w:bCs/>
          <w:sz w:val="84"/>
          <w:szCs w:val="84"/>
        </w:rPr>
      </w:pPr>
      <w:r>
        <w:rPr>
          <w:rFonts w:hint="eastAsia" w:asciiTheme="minorEastAsia" w:hAnsiTheme="minorEastAsia" w:eastAsiaTheme="minorEastAsia"/>
          <w:b/>
          <w:bCs/>
          <w:sz w:val="84"/>
          <w:szCs w:val="84"/>
        </w:rPr>
        <w:t>投 标 文 件</w:t>
      </w:r>
    </w:p>
    <w:p w14:paraId="6425E7B2">
      <w:pPr>
        <w:pStyle w:val="4"/>
        <w:adjustRightInd w:val="0"/>
        <w:snapToGrid w:val="0"/>
        <w:jc w:val="center"/>
        <w:rPr>
          <w:rFonts w:ascii="黑体" w:hAnsi="黑体" w:eastAsia="黑体"/>
          <w:sz w:val="44"/>
          <w:szCs w:val="44"/>
        </w:rPr>
      </w:pPr>
      <w:bookmarkStart w:id="242" w:name="_Toc29913949"/>
      <w:bookmarkStart w:id="243" w:name="_Toc172716797"/>
      <w:bookmarkStart w:id="244" w:name="_Toc4223"/>
      <w:r>
        <w:rPr>
          <w:rFonts w:hint="eastAsia" w:ascii="黑体" w:hAnsi="黑体" w:eastAsia="黑体"/>
          <w:sz w:val="44"/>
          <w:szCs w:val="44"/>
        </w:rPr>
        <w:t>第一部分 资格证明文件</w:t>
      </w:r>
      <w:bookmarkEnd w:id="242"/>
      <w:bookmarkEnd w:id="243"/>
      <w:bookmarkEnd w:id="244"/>
    </w:p>
    <w:p w14:paraId="4B598EA3">
      <w:pPr>
        <w:adjustRightInd w:val="0"/>
        <w:snapToGrid w:val="0"/>
        <w:spacing w:line="360" w:lineRule="auto"/>
        <w:rPr>
          <w:rFonts w:ascii="黑体" w:hAnsi="黑体" w:eastAsia="黑体"/>
          <w:b/>
          <w:sz w:val="32"/>
          <w:szCs w:val="32"/>
        </w:rPr>
      </w:pPr>
    </w:p>
    <w:p w14:paraId="708258F4">
      <w:pPr>
        <w:adjustRightInd w:val="0"/>
        <w:snapToGrid w:val="0"/>
        <w:spacing w:line="360" w:lineRule="auto"/>
        <w:rPr>
          <w:rFonts w:asciiTheme="minorEastAsia" w:hAnsiTheme="minorEastAsia" w:eastAsiaTheme="minorEastAsia"/>
          <w:b/>
          <w:sz w:val="30"/>
          <w:szCs w:val="30"/>
        </w:rPr>
      </w:pPr>
      <w:r>
        <w:rPr>
          <w:rFonts w:hint="eastAsia" w:asciiTheme="minorEastAsia" w:hAnsiTheme="minorEastAsia" w:eastAsiaTheme="minorEastAsia"/>
          <w:b/>
          <w:sz w:val="32"/>
          <w:szCs w:val="32"/>
        </w:rPr>
        <w:t xml:space="preserve">                     </w:t>
      </w:r>
    </w:p>
    <w:p w14:paraId="2A8C5B37">
      <w:pPr>
        <w:pStyle w:val="23"/>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采购项目名称:</w:t>
      </w:r>
      <w:r>
        <w:rPr>
          <w:rFonts w:hint="eastAsia" w:asciiTheme="minorEastAsia" w:hAnsiTheme="minorEastAsia" w:eastAsiaTheme="minorEastAsia"/>
          <w:b/>
          <w:bCs/>
          <w:sz w:val="30"/>
          <w:szCs w:val="30"/>
          <w:u w:val="single"/>
        </w:rPr>
        <w:t xml:space="preserve">                       </w:t>
      </w:r>
    </w:p>
    <w:p w14:paraId="0E0585E9">
      <w:pPr>
        <w:pStyle w:val="23"/>
        <w:adjustRightInd w:val="0"/>
        <w:snapToGrid w:val="0"/>
        <w:spacing w:line="360" w:lineRule="auto"/>
        <w:ind w:firstLine="1988" w:firstLineChars="660"/>
        <w:rPr>
          <w:rFonts w:asciiTheme="minorEastAsia" w:hAnsiTheme="minorEastAsia" w:eastAsiaTheme="minorEastAsia"/>
          <w:b/>
          <w:bCs/>
          <w:sz w:val="30"/>
          <w:szCs w:val="30"/>
        </w:rPr>
      </w:pPr>
      <w:r>
        <w:rPr>
          <w:rFonts w:hint="eastAsia" w:asciiTheme="minorEastAsia" w:hAnsiTheme="minorEastAsia" w:eastAsiaTheme="minorEastAsia"/>
          <w:b/>
          <w:bCs/>
          <w:sz w:val="30"/>
          <w:szCs w:val="30"/>
        </w:rPr>
        <w:t>采   购   人：</w:t>
      </w:r>
      <w:r>
        <w:rPr>
          <w:rFonts w:hint="eastAsia" w:asciiTheme="minorEastAsia" w:hAnsiTheme="minorEastAsia" w:eastAsiaTheme="minorEastAsia"/>
          <w:b/>
          <w:bCs/>
          <w:sz w:val="30"/>
          <w:szCs w:val="30"/>
          <w:u w:val="single"/>
        </w:rPr>
        <w:t xml:space="preserve">                       </w:t>
      </w:r>
    </w:p>
    <w:p w14:paraId="0A3D2D3C">
      <w:pPr>
        <w:pStyle w:val="23"/>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政府采购编号:</w:t>
      </w:r>
      <w:r>
        <w:rPr>
          <w:rFonts w:hint="eastAsia" w:asciiTheme="minorEastAsia" w:hAnsiTheme="minorEastAsia" w:eastAsiaTheme="minorEastAsia"/>
          <w:b/>
          <w:bCs/>
          <w:sz w:val="30"/>
          <w:szCs w:val="30"/>
          <w:u w:val="single"/>
        </w:rPr>
        <w:t xml:space="preserve">                       </w:t>
      </w:r>
    </w:p>
    <w:p w14:paraId="1AC4DFEF">
      <w:pPr>
        <w:pStyle w:val="23"/>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采购代理编号:</w:t>
      </w:r>
      <w:r>
        <w:rPr>
          <w:rFonts w:hint="eastAsia" w:asciiTheme="minorEastAsia" w:hAnsiTheme="minorEastAsia" w:eastAsiaTheme="minorEastAsia"/>
          <w:b/>
          <w:bCs/>
          <w:sz w:val="30"/>
          <w:szCs w:val="30"/>
          <w:u w:val="single"/>
        </w:rPr>
        <w:t xml:space="preserve">                       </w:t>
      </w:r>
    </w:p>
    <w:p w14:paraId="3014A686">
      <w:pPr>
        <w:pStyle w:val="23"/>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采购代理机构：</w:t>
      </w:r>
      <w:r>
        <w:rPr>
          <w:rFonts w:hint="eastAsia" w:asciiTheme="minorEastAsia" w:hAnsiTheme="minorEastAsia" w:eastAsiaTheme="minorEastAsia"/>
          <w:b/>
          <w:bCs/>
          <w:sz w:val="30"/>
          <w:szCs w:val="30"/>
          <w:u w:val="single"/>
        </w:rPr>
        <w:t xml:space="preserve">                      </w:t>
      </w:r>
    </w:p>
    <w:p w14:paraId="7843EC06">
      <w:pPr>
        <w:adjustRightInd w:val="0"/>
        <w:snapToGrid w:val="0"/>
        <w:spacing w:line="360" w:lineRule="auto"/>
        <w:rPr>
          <w:rFonts w:ascii="黑体" w:hAnsi="黑体" w:eastAsia="黑体"/>
          <w:sz w:val="30"/>
          <w:szCs w:val="30"/>
        </w:rPr>
      </w:pPr>
    </w:p>
    <w:p w14:paraId="659E9C7E">
      <w:pPr>
        <w:adjustRightInd w:val="0"/>
        <w:snapToGrid w:val="0"/>
        <w:rPr>
          <w:rFonts w:ascii="黑体" w:hAnsi="宋体" w:eastAsia="黑体"/>
          <w:sz w:val="30"/>
          <w:szCs w:val="30"/>
        </w:rPr>
      </w:pPr>
    </w:p>
    <w:p w14:paraId="1E72DEBE">
      <w:pPr>
        <w:adjustRightInd w:val="0"/>
        <w:snapToGrid w:val="0"/>
        <w:spacing w:line="360" w:lineRule="auto"/>
        <w:rPr>
          <w:rFonts w:ascii="黑体" w:hAnsi="宋体" w:eastAsia="黑体"/>
          <w:sz w:val="30"/>
          <w:szCs w:val="30"/>
        </w:rPr>
      </w:pPr>
    </w:p>
    <w:p w14:paraId="5EEA43BB">
      <w:pPr>
        <w:adjustRightInd w:val="0"/>
        <w:snapToGrid w:val="0"/>
        <w:spacing w:line="360" w:lineRule="auto"/>
        <w:rPr>
          <w:rFonts w:ascii="黑体" w:hAnsi="宋体" w:eastAsia="黑体"/>
          <w:sz w:val="30"/>
          <w:szCs w:val="30"/>
        </w:rPr>
      </w:pPr>
    </w:p>
    <w:p w14:paraId="6DD17EDB">
      <w:pPr>
        <w:adjustRightInd w:val="0"/>
        <w:snapToGrid w:val="0"/>
        <w:spacing w:line="360" w:lineRule="auto"/>
        <w:rPr>
          <w:rFonts w:ascii="黑体" w:hAnsi="宋体" w:eastAsia="黑体"/>
          <w:sz w:val="30"/>
          <w:szCs w:val="30"/>
        </w:rPr>
      </w:pPr>
    </w:p>
    <w:p w14:paraId="6F4EA34B">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0019F138">
      <w:pPr>
        <w:adjustRightInd w:val="0"/>
        <w:snapToGrid w:val="0"/>
        <w:spacing w:line="360" w:lineRule="auto"/>
        <w:jc w:val="center"/>
        <w:rPr>
          <w:rFonts w:ascii="黑体" w:eastAsia="黑体"/>
          <w:sz w:val="28"/>
          <w:szCs w:val="28"/>
        </w:rPr>
      </w:pPr>
      <w:r>
        <w:rPr>
          <w:rFonts w:hint="eastAsia" w:ascii="黑体" w:hAnsi="宋体" w:eastAsia="黑体"/>
          <w:sz w:val="32"/>
          <w:szCs w:val="32"/>
        </w:rPr>
        <w:t>年  月  日</w:t>
      </w:r>
      <w:r>
        <w:rPr>
          <w:rFonts w:ascii="黑体" w:eastAsia="黑体"/>
          <w:sz w:val="28"/>
          <w:szCs w:val="28"/>
        </w:rPr>
        <w:br w:type="page"/>
      </w:r>
    </w:p>
    <w:p w14:paraId="60AC5D4B">
      <w:pPr>
        <w:pStyle w:val="5"/>
        <w:adjustRightInd w:val="0"/>
        <w:snapToGrid w:val="0"/>
        <w:spacing w:before="0" w:after="0" w:line="360" w:lineRule="auto"/>
        <w:jc w:val="center"/>
        <w:rPr>
          <w:rFonts w:ascii="黑体" w:hAnsi="宋体" w:eastAsia="黑体"/>
          <w:sz w:val="28"/>
          <w:szCs w:val="28"/>
        </w:rPr>
      </w:pPr>
      <w:bookmarkStart w:id="245" w:name="_Toc16153"/>
      <w:bookmarkStart w:id="246" w:name="_Toc172716798"/>
      <w:bookmarkStart w:id="247" w:name="_Toc29913950"/>
      <w:r>
        <w:rPr>
          <w:rFonts w:hint="eastAsia" w:ascii="黑体" w:hAnsi="宋体" w:eastAsia="黑体"/>
          <w:sz w:val="28"/>
          <w:szCs w:val="28"/>
        </w:rPr>
        <w:t>一、开标一览表</w:t>
      </w:r>
      <w:bookmarkEnd w:id="245"/>
      <w:bookmarkEnd w:id="246"/>
      <w:bookmarkEnd w:id="247"/>
    </w:p>
    <w:p w14:paraId="7F9E2D85">
      <w:pPr>
        <w:adjustRightInd w:val="0"/>
        <w:snapToGrid w:val="0"/>
        <w:spacing w:line="360" w:lineRule="auto"/>
        <w:ind w:left="-88" w:leftChars="-42"/>
        <w:jc w:val="center"/>
        <w:rPr>
          <w:rFonts w:ascii="仿宋_GB2312" w:hAnsi="宋体" w:eastAsia="仿宋_GB2312"/>
          <w:sz w:val="24"/>
        </w:rPr>
      </w:pPr>
    </w:p>
    <w:p w14:paraId="233F9BF2">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政府采购计划号：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w:t>
      </w:r>
    </w:p>
    <w:p w14:paraId="04299001">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委托代理编号：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项目名称：</w:t>
      </w:r>
      <w:r>
        <w:rPr>
          <w:rFonts w:hint="eastAsia" w:asciiTheme="minorEastAsia" w:hAnsiTheme="minorEastAsia" w:eastAsiaTheme="minorEastAsia"/>
          <w:szCs w:val="21"/>
          <w:u w:val="single"/>
        </w:rPr>
        <w:t>____            ______</w:t>
      </w:r>
      <w:r>
        <w:rPr>
          <w:rFonts w:hint="eastAsia" w:asciiTheme="minorEastAsia" w:hAnsiTheme="minorEastAsia" w:eastAsiaTheme="minorEastAsia"/>
          <w:szCs w:val="21"/>
        </w:rPr>
        <w:t xml:space="preserve"> </w:t>
      </w:r>
    </w:p>
    <w:p w14:paraId="65EB4D2B">
      <w:pPr>
        <w:adjustRightInd w:val="0"/>
        <w:snapToGrid w:val="0"/>
        <w:spacing w:line="360" w:lineRule="auto"/>
        <w:rPr>
          <w:rFonts w:asciiTheme="minorEastAsia" w:hAnsiTheme="minorEastAsia" w:eastAsiaTheme="minorEastAsia"/>
          <w:b/>
          <w:szCs w:val="21"/>
        </w:rPr>
      </w:pPr>
      <w:r>
        <w:rPr>
          <w:rFonts w:hint="eastAsia" w:asciiTheme="minorEastAsia" w:hAnsiTheme="minorEastAsia" w:eastAsiaTheme="minorEastAsia"/>
          <w:szCs w:val="21"/>
        </w:rPr>
        <w:t>包号：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包名称：</w:t>
      </w:r>
      <w:r>
        <w:rPr>
          <w:rFonts w:hint="eastAsia" w:asciiTheme="minorEastAsia" w:hAnsiTheme="minorEastAsia" w:eastAsiaTheme="minorEastAsia"/>
          <w:szCs w:val="21"/>
          <w:u w:val="single"/>
        </w:rPr>
        <w:t>__    ________</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104514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1D5DF2FF">
            <w:pPr>
              <w:adjustRightInd w:val="0"/>
              <w:snapToGrid w:val="0"/>
              <w:spacing w:line="360" w:lineRule="auto"/>
              <w:jc w:val="center"/>
              <w:rPr>
                <w:rFonts w:asciiTheme="minorEastAsia" w:hAnsiTheme="minorEastAsia" w:eastAsiaTheme="minorEastAsia"/>
                <w:b/>
                <w:kern w:val="0"/>
                <w:sz w:val="20"/>
                <w:szCs w:val="21"/>
              </w:rPr>
            </w:pPr>
            <w:r>
              <w:rPr>
                <w:rFonts w:hint="eastAsia" w:asciiTheme="minorEastAsia" w:hAnsiTheme="minorEastAsia" w:eastAsiaTheme="minorEastAsia"/>
                <w:b/>
                <w:kern w:val="0"/>
                <w:szCs w:val="21"/>
              </w:rPr>
              <w:t>投标报价</w:t>
            </w:r>
          </w:p>
        </w:tc>
        <w:tc>
          <w:tcPr>
            <w:tcW w:w="3119" w:type="dxa"/>
            <w:vAlign w:val="center"/>
          </w:tcPr>
          <w:p w14:paraId="6A558BD9">
            <w:pPr>
              <w:adjustRightInd w:val="0"/>
              <w:snapToGrid w:val="0"/>
              <w:spacing w:line="360" w:lineRule="auto"/>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其他内容</w:t>
            </w:r>
          </w:p>
        </w:tc>
      </w:tr>
      <w:tr w14:paraId="7EA5DA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39C244EA">
            <w:pPr>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小写金额：</w:t>
            </w:r>
            <w:r>
              <w:rPr>
                <w:rFonts w:hint="eastAsia" w:asciiTheme="minorEastAsia" w:hAnsiTheme="minorEastAsia" w:eastAsiaTheme="minorEastAsia"/>
                <w:kern w:val="0"/>
                <w:szCs w:val="21"/>
                <w:u w:val="single"/>
              </w:rPr>
              <w:t>__    _______</w:t>
            </w:r>
            <w:r>
              <w:rPr>
                <w:rFonts w:hint="eastAsia" w:asciiTheme="minorEastAsia" w:hAnsiTheme="minorEastAsia" w:eastAsiaTheme="minorEastAsia"/>
                <w:kern w:val="0"/>
                <w:szCs w:val="21"/>
              </w:rPr>
              <w:t>（</w:t>
            </w:r>
            <w:r>
              <w:rPr>
                <w:rFonts w:hint="eastAsia" w:asciiTheme="minorEastAsia" w:hAnsiTheme="minorEastAsia" w:eastAsiaTheme="minorEastAsia"/>
                <w:kern w:val="0"/>
                <w:sz w:val="20"/>
                <w:szCs w:val="21"/>
              </w:rPr>
              <w:t>人民币元</w:t>
            </w:r>
            <w:r>
              <w:rPr>
                <w:rFonts w:hint="eastAsia" w:asciiTheme="minorEastAsia" w:hAnsiTheme="minorEastAsia" w:eastAsiaTheme="minorEastAsia"/>
                <w:kern w:val="0"/>
                <w:szCs w:val="21"/>
              </w:rPr>
              <w:t>）</w:t>
            </w:r>
          </w:p>
          <w:p w14:paraId="6D7A7427">
            <w:pPr>
              <w:adjustRightInd w:val="0"/>
              <w:snapToGrid w:val="0"/>
              <w:spacing w:line="360" w:lineRule="auto"/>
              <w:jc w:val="center"/>
              <w:rPr>
                <w:rFonts w:asciiTheme="minorEastAsia" w:hAnsiTheme="minorEastAsia" w:eastAsiaTheme="minorEastAsia"/>
                <w:kern w:val="0"/>
                <w:szCs w:val="21"/>
                <w:u w:val="single"/>
              </w:rPr>
            </w:pPr>
            <w:r>
              <w:rPr>
                <w:rFonts w:hint="eastAsia" w:asciiTheme="minorEastAsia" w:hAnsiTheme="minorEastAsia" w:eastAsiaTheme="minorEastAsia"/>
                <w:kern w:val="0"/>
                <w:szCs w:val="21"/>
              </w:rPr>
              <w:t>大写金额：</w:t>
            </w:r>
            <w:r>
              <w:rPr>
                <w:rFonts w:hint="eastAsia" w:asciiTheme="minorEastAsia" w:hAnsiTheme="minorEastAsia" w:eastAsiaTheme="minorEastAsia"/>
                <w:kern w:val="0"/>
                <w:szCs w:val="21"/>
                <w:u w:val="single"/>
              </w:rPr>
              <w:t>__    _______</w:t>
            </w:r>
            <w:r>
              <w:rPr>
                <w:rFonts w:hint="eastAsia" w:asciiTheme="minorEastAsia" w:hAnsiTheme="minorEastAsia" w:eastAsiaTheme="minorEastAsia"/>
                <w:kern w:val="0"/>
                <w:szCs w:val="21"/>
              </w:rPr>
              <w:t>（</w:t>
            </w:r>
            <w:r>
              <w:rPr>
                <w:rFonts w:hint="eastAsia" w:asciiTheme="minorEastAsia" w:hAnsiTheme="minorEastAsia" w:eastAsiaTheme="minorEastAsia"/>
                <w:kern w:val="0"/>
                <w:sz w:val="20"/>
                <w:szCs w:val="21"/>
              </w:rPr>
              <w:t>人民币元</w:t>
            </w:r>
            <w:r>
              <w:rPr>
                <w:rFonts w:hint="eastAsia" w:asciiTheme="minorEastAsia" w:hAnsiTheme="minorEastAsia" w:eastAsiaTheme="minorEastAsia"/>
                <w:kern w:val="0"/>
                <w:szCs w:val="21"/>
              </w:rPr>
              <w:t>）</w:t>
            </w:r>
          </w:p>
          <w:p w14:paraId="7C43DD79">
            <w:pPr>
              <w:adjustRightInd w:val="0"/>
              <w:snapToGrid w:val="0"/>
              <w:spacing w:line="360" w:lineRule="auto"/>
              <w:jc w:val="center"/>
              <w:rPr>
                <w:rFonts w:asciiTheme="minorEastAsia" w:hAnsiTheme="minorEastAsia" w:eastAsiaTheme="minorEastAsia"/>
                <w:kern w:val="0"/>
                <w:sz w:val="20"/>
                <w:szCs w:val="21"/>
              </w:rPr>
            </w:pPr>
            <w:r>
              <w:rPr>
                <w:rFonts w:hint="eastAsia" w:asciiTheme="minorEastAsia" w:hAnsiTheme="minorEastAsia" w:eastAsiaTheme="minorEastAsia"/>
                <w:kern w:val="0"/>
                <w:szCs w:val="21"/>
              </w:rPr>
              <w:t>（</w:t>
            </w:r>
            <w:r>
              <w:rPr>
                <w:rFonts w:hint="eastAsia" w:ascii="黑体" w:hAnsi="黑体" w:eastAsia="黑体"/>
                <w:kern w:val="0"/>
                <w:sz w:val="24"/>
              </w:rPr>
              <w:t>大写金额与小写金额不一致时，以大写金额为准</w:t>
            </w:r>
            <w:r>
              <w:rPr>
                <w:rFonts w:hint="eastAsia" w:asciiTheme="minorEastAsia" w:hAnsiTheme="minorEastAsia" w:eastAsiaTheme="minorEastAsia"/>
                <w:kern w:val="0"/>
                <w:szCs w:val="21"/>
              </w:rPr>
              <w:t>）</w:t>
            </w:r>
          </w:p>
        </w:tc>
        <w:tc>
          <w:tcPr>
            <w:tcW w:w="3119" w:type="dxa"/>
            <w:vAlign w:val="center"/>
          </w:tcPr>
          <w:p w14:paraId="592CEA2B">
            <w:pPr>
              <w:adjustRightInd w:val="0"/>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服务期限：</w:t>
            </w:r>
            <w:r>
              <w:rPr>
                <w:rFonts w:hint="eastAsia" w:asciiTheme="minorEastAsia" w:hAnsiTheme="minorEastAsia" w:eastAsiaTheme="minorEastAsia"/>
                <w:kern w:val="0"/>
                <w:szCs w:val="21"/>
                <w:u w:val="single"/>
              </w:rPr>
              <w:t xml:space="preserve">          </w:t>
            </w:r>
          </w:p>
        </w:tc>
      </w:tr>
    </w:tbl>
    <w:p w14:paraId="1F65838F">
      <w:pPr>
        <w:adjustRightInd w:val="0"/>
        <w:snapToGrid w:val="0"/>
        <w:spacing w:line="360" w:lineRule="auto"/>
        <w:rPr>
          <w:rFonts w:asciiTheme="minorEastAsia" w:hAnsiTheme="minorEastAsia" w:eastAsiaTheme="minorEastAsia"/>
          <w:b/>
          <w:szCs w:val="21"/>
        </w:rPr>
      </w:pPr>
    </w:p>
    <w:p w14:paraId="6565ACC3">
      <w:pPr>
        <w:adjustRightInd w:val="0"/>
        <w:snapToGrid w:val="0"/>
        <w:spacing w:line="360" w:lineRule="auto"/>
        <w:rPr>
          <w:rFonts w:asciiTheme="minorEastAsia" w:hAnsiTheme="minorEastAsia" w:eastAsiaTheme="minorEastAsia"/>
          <w:b/>
          <w:szCs w:val="21"/>
        </w:rPr>
      </w:pPr>
    </w:p>
    <w:p w14:paraId="13B6703A">
      <w:pPr>
        <w:adjustRightInd w:val="0"/>
        <w:snapToGrid w:val="0"/>
        <w:spacing w:line="360" w:lineRule="auto"/>
        <w:rPr>
          <w:rFonts w:asciiTheme="minorEastAsia" w:hAnsiTheme="minorEastAsia" w:eastAsiaTheme="minorEastAsia"/>
          <w:b/>
          <w:szCs w:val="21"/>
        </w:rPr>
      </w:pPr>
    </w:p>
    <w:p w14:paraId="381892C7">
      <w:pPr>
        <w:adjustRightInd w:val="0"/>
        <w:snapToGrid w:val="0"/>
        <w:spacing w:line="360" w:lineRule="auto"/>
        <w:rPr>
          <w:rFonts w:asciiTheme="minorEastAsia" w:hAnsiTheme="minorEastAsia" w:eastAsiaTheme="minorEastAsia"/>
          <w:b/>
          <w:szCs w:val="21"/>
        </w:rPr>
      </w:pPr>
      <w:r>
        <w:rPr>
          <w:rFonts w:hint="eastAsia" w:asciiTheme="minorEastAsia" w:hAnsiTheme="minorEastAsia" w:eastAsiaTheme="minorEastAsia"/>
          <w:b/>
          <w:szCs w:val="21"/>
        </w:rPr>
        <w:t>备注：1、本“开标一览表”所填报价应与交易平台上所填电子“开标一览表”报价一致，否则，以交易平台上所填电子“开标一览表”报价为准。</w:t>
      </w:r>
    </w:p>
    <w:p w14:paraId="7DCB9424">
      <w:pPr>
        <w:adjustRightInd w:val="0"/>
        <w:snapToGrid w:val="0"/>
        <w:spacing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2、本表须按包填写，一个“包号”一份。</w:t>
      </w:r>
    </w:p>
    <w:p w14:paraId="33C9298B">
      <w:pPr>
        <w:adjustRightInd w:val="0"/>
        <w:snapToGrid w:val="0"/>
        <w:spacing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3、投标人提交两份及以上投标报价不同的“开标一览表”，且未书面说明哪个有效或以哪个为准的，其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w:t>
      </w:r>
    </w:p>
    <w:p w14:paraId="28A000A4">
      <w:pPr>
        <w:adjustRightInd w:val="0"/>
        <w:snapToGrid w:val="0"/>
        <w:spacing w:line="360" w:lineRule="auto"/>
        <w:ind w:firstLine="630" w:firstLineChars="300"/>
        <w:jc w:val="left"/>
        <w:rPr>
          <w:rFonts w:asciiTheme="minorEastAsia" w:hAnsiTheme="minorEastAsia" w:eastAsiaTheme="minorEastAsia"/>
        </w:rPr>
      </w:pPr>
      <w:r>
        <w:rPr>
          <w:rFonts w:hint="eastAsia" w:asciiTheme="minorEastAsia" w:hAnsiTheme="minorEastAsia" w:eastAsiaTheme="minorEastAsia"/>
          <w:szCs w:val="21"/>
        </w:rPr>
        <w:t>4、</w:t>
      </w:r>
      <w:r>
        <w:rPr>
          <w:rFonts w:hint="eastAsia" w:asciiTheme="minorEastAsia" w:hAnsiTheme="minorEastAsia" w:eastAsiaTheme="minorEastAsia"/>
        </w:rPr>
        <w:t>投标人在投标截止时间前修改“开标一览表”中的投标报价的，应同时修改投标文件“分项报价明细表”“享受政府采购政策优惠的证明资料”以及“联合体协议书”（如果影响）等相关内容。</w:t>
      </w:r>
    </w:p>
    <w:p w14:paraId="0B7B5678">
      <w:pPr>
        <w:adjustRightInd w:val="0"/>
        <w:snapToGrid w:val="0"/>
        <w:spacing w:line="360" w:lineRule="auto"/>
        <w:ind w:firstLine="420" w:firstLineChars="200"/>
        <w:rPr>
          <w:rFonts w:asciiTheme="minorEastAsia" w:hAnsiTheme="minorEastAsia" w:eastAsiaTheme="minorEastAsia"/>
          <w:szCs w:val="21"/>
        </w:rPr>
      </w:pPr>
    </w:p>
    <w:p w14:paraId="448881C1">
      <w:pPr>
        <w:adjustRightInd w:val="0"/>
        <w:snapToGrid w:val="0"/>
        <w:spacing w:line="360" w:lineRule="auto"/>
        <w:ind w:firstLine="420" w:firstLineChars="200"/>
        <w:rPr>
          <w:rFonts w:asciiTheme="minorEastAsia" w:hAnsiTheme="minorEastAsia" w:eastAsiaTheme="minorEastAsia"/>
          <w:szCs w:val="21"/>
        </w:rPr>
      </w:pPr>
    </w:p>
    <w:p w14:paraId="4D41EFFA">
      <w:pPr>
        <w:adjustRightInd w:val="0"/>
        <w:snapToGrid w:val="0"/>
        <w:spacing w:line="360" w:lineRule="auto"/>
        <w:rPr>
          <w:rFonts w:asciiTheme="minorEastAsia" w:hAnsiTheme="minorEastAsia" w:eastAsiaTheme="minorEastAsia"/>
          <w:szCs w:val="21"/>
        </w:rPr>
      </w:pPr>
    </w:p>
    <w:p w14:paraId="46C914C2">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投标人名称（盖单位电子章）：</w:t>
      </w:r>
    </w:p>
    <w:p w14:paraId="7B9C5916">
      <w:pPr>
        <w:adjustRightInd w:val="0"/>
        <w:snapToGrid w:val="0"/>
        <w:spacing w:line="360" w:lineRule="auto"/>
        <w:rPr>
          <w:rFonts w:asciiTheme="minorEastAsia" w:hAnsiTheme="minorEastAsia" w:eastAsiaTheme="minorEastAsia"/>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szCs w:val="21"/>
        </w:rPr>
        <w:t>或其授权的代理人（签字或签章）：</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_</w:t>
      </w:r>
    </w:p>
    <w:p w14:paraId="7DAABE3E">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日期：</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月</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日</w:t>
      </w:r>
    </w:p>
    <w:p w14:paraId="1FE187D8">
      <w:pPr>
        <w:adjustRightInd w:val="0"/>
        <w:snapToGrid w:val="0"/>
        <w:spacing w:line="360" w:lineRule="auto"/>
        <w:rPr>
          <w:rFonts w:asciiTheme="minorEastAsia" w:hAnsiTheme="minorEastAsia" w:eastAsiaTheme="minorEastAsia"/>
          <w:szCs w:val="21"/>
        </w:rPr>
      </w:pPr>
      <w:r>
        <w:rPr>
          <w:rFonts w:asciiTheme="minorEastAsia" w:hAnsiTheme="minorEastAsia" w:eastAsiaTheme="minorEastAsia"/>
          <w:szCs w:val="21"/>
        </w:rPr>
        <w:br w:type="page"/>
      </w:r>
      <w:bookmarkStart w:id="248" w:name="_Toc29913951"/>
    </w:p>
    <w:bookmarkEnd w:id="248"/>
    <w:p w14:paraId="63CB15A8">
      <w:pPr>
        <w:pStyle w:val="5"/>
        <w:jc w:val="center"/>
        <w:rPr>
          <w:rFonts w:ascii="黑体" w:hAnsi="黑体" w:eastAsia="黑体" w:cs="黑体"/>
          <w:sz w:val="28"/>
          <w:szCs w:val="28"/>
        </w:rPr>
      </w:pPr>
      <w:bookmarkStart w:id="249" w:name="_Toc29913953"/>
      <w:bookmarkStart w:id="250" w:name="_Toc172716799"/>
      <w:r>
        <w:rPr>
          <w:rFonts w:hint="eastAsia" w:ascii="黑体" w:hAnsi="黑体" w:eastAsia="黑体" w:cs="黑体"/>
          <w:sz w:val="28"/>
          <w:szCs w:val="28"/>
        </w:rPr>
        <w:t>二、法定代表人（单位负责人）身份证明</w:t>
      </w:r>
      <w:bookmarkEnd w:id="249"/>
      <w:bookmarkEnd w:id="250"/>
    </w:p>
    <w:p w14:paraId="3032018D">
      <w:pP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4"/>
          <w:szCs w:val="21"/>
        </w:rPr>
      </w:pPr>
    </w:p>
    <w:p w14:paraId="23BBFBA8">
      <w:pP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position w:val="-4"/>
          <w:szCs w:val="21"/>
        </w:rPr>
        <w:t>投标</w:t>
      </w:r>
      <w:r>
        <w:rPr>
          <w:rFonts w:hint="eastAsia" w:cs="微软雅黑" w:asciiTheme="minorEastAsia" w:hAnsiTheme="minorEastAsia" w:eastAsiaTheme="minorEastAsia"/>
          <w:spacing w:val="-2"/>
          <w:kern w:val="0"/>
          <w:position w:val="-4"/>
          <w:szCs w:val="21"/>
        </w:rPr>
        <w:t>人</w:t>
      </w:r>
      <w:r>
        <w:rPr>
          <w:rFonts w:hint="eastAsia" w:cs="微软雅黑" w:asciiTheme="minorEastAsia" w:hAnsiTheme="minorEastAsia" w:eastAsiaTheme="minorEastAsia"/>
          <w:kern w:val="0"/>
          <w:position w:val="-4"/>
          <w:szCs w:val="21"/>
        </w:rPr>
        <w:t>名</w:t>
      </w:r>
      <w:r>
        <w:rPr>
          <w:rFonts w:hint="eastAsia" w:cs="微软雅黑" w:asciiTheme="minorEastAsia" w:hAnsiTheme="minorEastAsia" w:eastAsiaTheme="minorEastAsia"/>
          <w:spacing w:val="-2"/>
          <w:kern w:val="0"/>
          <w:position w:val="-4"/>
          <w:szCs w:val="21"/>
        </w:rPr>
        <w:t>称</w:t>
      </w:r>
      <w:r>
        <w:rPr>
          <w:rFonts w:hint="eastAsia" w:cs="微软雅黑" w:asciiTheme="minorEastAsia" w:hAnsiTheme="minorEastAsia" w:eastAsiaTheme="minorEastAsia"/>
          <w:kern w:val="0"/>
          <w:position w:val="-4"/>
          <w:szCs w:val="21"/>
        </w:rPr>
        <w:t>：</w:t>
      </w:r>
      <w:r>
        <w:rPr>
          <w:rFonts w:hint="eastAsia" w:ascii="宋体" w:hAnsi="宋体"/>
          <w:szCs w:val="21"/>
          <w:u w:val="single"/>
        </w:rPr>
        <w:t xml:space="preserve">                 </w:t>
      </w:r>
    </w:p>
    <w:p w14:paraId="15849635">
      <w:pP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2"/>
          <w:szCs w:val="21"/>
        </w:rPr>
      </w:pPr>
      <w:r>
        <w:rPr>
          <w:rFonts w:hint="eastAsia" w:cs="微软雅黑" w:asciiTheme="minorEastAsia" w:hAnsiTheme="minorEastAsia" w:eastAsiaTheme="minorEastAsia"/>
          <w:kern w:val="0"/>
          <w:position w:val="-2"/>
          <w:szCs w:val="21"/>
        </w:rPr>
        <w:t>统一社会信用代码：</w:t>
      </w:r>
      <w:r>
        <w:rPr>
          <w:rFonts w:hint="eastAsia" w:ascii="宋体" w:hAnsi="宋体"/>
          <w:szCs w:val="21"/>
          <w:u w:val="single"/>
        </w:rPr>
        <w:t xml:space="preserve">                 </w:t>
      </w:r>
    </w:p>
    <w:p w14:paraId="525F5F25">
      <w:pP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2"/>
          <w:szCs w:val="21"/>
        </w:rPr>
      </w:pPr>
      <w:r>
        <w:rPr>
          <w:rFonts w:hint="eastAsia" w:cs="微软雅黑" w:asciiTheme="minorEastAsia" w:hAnsiTheme="minorEastAsia" w:eastAsiaTheme="minorEastAsia"/>
          <w:kern w:val="0"/>
          <w:position w:val="-2"/>
          <w:szCs w:val="21"/>
        </w:rPr>
        <w:t>注册地址：</w:t>
      </w:r>
      <w:r>
        <w:rPr>
          <w:rFonts w:hint="eastAsia" w:ascii="宋体" w:hAnsi="宋体"/>
          <w:szCs w:val="21"/>
          <w:u w:val="single"/>
        </w:rPr>
        <w:t xml:space="preserve">                 </w:t>
      </w:r>
    </w:p>
    <w:p w14:paraId="703C5463">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position w:val="-2"/>
          <w:szCs w:val="21"/>
        </w:rPr>
        <w:t>姓名</w:t>
      </w:r>
      <w:r>
        <w:rPr>
          <w:rFonts w:hint="eastAsia" w:cs="微软雅黑" w:asciiTheme="minorEastAsia" w:hAnsiTheme="minorEastAsia" w:eastAsiaTheme="minorEastAsia"/>
          <w:spacing w:val="-2"/>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性别</w:t>
      </w:r>
      <w:r>
        <w:rPr>
          <w:rFonts w:hint="eastAsia" w:cs="微软雅黑" w:asciiTheme="minorEastAsia" w:hAnsiTheme="minorEastAsia" w:eastAsiaTheme="minorEastAsia"/>
          <w:spacing w:val="-2"/>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年</w:t>
      </w:r>
      <w:r>
        <w:rPr>
          <w:rFonts w:hint="eastAsia" w:cs="微软雅黑" w:asciiTheme="minorEastAsia" w:hAnsiTheme="minorEastAsia" w:eastAsiaTheme="minorEastAsia"/>
          <w:spacing w:val="-2"/>
          <w:kern w:val="0"/>
          <w:position w:val="-2"/>
          <w:szCs w:val="21"/>
        </w:rPr>
        <w:t>龄</w:t>
      </w:r>
      <w:r>
        <w:rPr>
          <w:rFonts w:hint="eastAsia" w:cs="微软雅黑" w:asciiTheme="minorEastAsia" w:hAnsiTheme="minorEastAsia" w:eastAsiaTheme="minorEastAsia"/>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职</w:t>
      </w:r>
      <w:r>
        <w:rPr>
          <w:rFonts w:hint="eastAsia" w:cs="微软雅黑" w:asciiTheme="minorEastAsia" w:hAnsiTheme="minorEastAsia" w:eastAsiaTheme="minorEastAsia"/>
          <w:spacing w:val="-2"/>
          <w:kern w:val="0"/>
          <w:position w:val="-2"/>
          <w:szCs w:val="21"/>
        </w:rPr>
        <w:t>务</w:t>
      </w:r>
      <w:r>
        <w:rPr>
          <w:rFonts w:hint="eastAsia" w:cs="微软雅黑" w:asciiTheme="minorEastAsia" w:hAnsiTheme="minorEastAsia" w:eastAsiaTheme="minorEastAsia"/>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系</w:t>
      </w:r>
      <w:r>
        <w:rPr>
          <w:rFonts w:hint="eastAsia" w:ascii="宋体" w:hAnsi="宋体"/>
          <w:szCs w:val="21"/>
          <w:u w:val="single"/>
        </w:rPr>
        <w:t xml:space="preserve">         </w:t>
      </w:r>
      <w:r>
        <w:rPr>
          <w:rFonts w:hint="eastAsia" w:cs="微软雅黑" w:asciiTheme="minorEastAsia" w:hAnsiTheme="minorEastAsia" w:eastAsiaTheme="minorEastAsia"/>
          <w:spacing w:val="-2"/>
          <w:kern w:val="0"/>
          <w:position w:val="-2"/>
          <w:szCs w:val="21"/>
        </w:rPr>
        <w:t>（</w:t>
      </w:r>
      <w:r>
        <w:rPr>
          <w:rFonts w:hint="eastAsia" w:cs="微软雅黑" w:asciiTheme="minorEastAsia" w:hAnsiTheme="minorEastAsia" w:eastAsiaTheme="minorEastAsia"/>
          <w:kern w:val="0"/>
          <w:position w:val="-2"/>
          <w:szCs w:val="21"/>
        </w:rPr>
        <w:t>投</w:t>
      </w:r>
      <w:r>
        <w:rPr>
          <w:rFonts w:hint="eastAsia" w:cs="微软雅黑" w:asciiTheme="minorEastAsia" w:hAnsiTheme="minorEastAsia" w:eastAsiaTheme="minorEastAsia"/>
          <w:spacing w:val="-2"/>
          <w:kern w:val="0"/>
          <w:position w:val="-2"/>
          <w:szCs w:val="21"/>
        </w:rPr>
        <w:t>标</w:t>
      </w:r>
      <w:r>
        <w:rPr>
          <w:rFonts w:hint="eastAsia" w:cs="微软雅黑" w:asciiTheme="minorEastAsia" w:hAnsiTheme="minorEastAsia" w:eastAsiaTheme="minorEastAsia"/>
          <w:kern w:val="0"/>
          <w:position w:val="-2"/>
          <w:szCs w:val="21"/>
        </w:rPr>
        <w:t>人</w:t>
      </w:r>
      <w:r>
        <w:rPr>
          <w:rFonts w:hint="eastAsia" w:cs="微软雅黑" w:asciiTheme="minorEastAsia" w:hAnsiTheme="minorEastAsia" w:eastAsiaTheme="minorEastAsia"/>
          <w:spacing w:val="-2"/>
          <w:kern w:val="0"/>
          <w:position w:val="-2"/>
          <w:szCs w:val="21"/>
        </w:rPr>
        <w:t>名</w:t>
      </w:r>
      <w:r>
        <w:rPr>
          <w:rFonts w:hint="eastAsia" w:cs="微软雅黑" w:asciiTheme="minorEastAsia" w:hAnsiTheme="minorEastAsia" w:eastAsiaTheme="minorEastAsia"/>
          <w:kern w:val="0"/>
          <w:position w:val="-2"/>
          <w:szCs w:val="21"/>
        </w:rPr>
        <w:t>称</w:t>
      </w:r>
      <w:r>
        <w:rPr>
          <w:rFonts w:hint="eastAsia" w:cs="微软雅黑" w:asciiTheme="minorEastAsia" w:hAnsiTheme="minorEastAsia" w:eastAsiaTheme="minorEastAsia"/>
          <w:spacing w:val="-2"/>
          <w:kern w:val="0"/>
          <w:position w:val="-2"/>
          <w:szCs w:val="21"/>
        </w:rPr>
        <w:t>）</w:t>
      </w:r>
      <w:r>
        <w:rPr>
          <w:rFonts w:hint="eastAsia" w:cs="微软雅黑" w:asciiTheme="minorEastAsia" w:hAnsiTheme="minorEastAsia" w:eastAsiaTheme="minorEastAsia"/>
          <w:kern w:val="0"/>
          <w:position w:val="-2"/>
          <w:szCs w:val="21"/>
        </w:rPr>
        <w:t>的</w:t>
      </w:r>
      <w:r>
        <w:rPr>
          <w:rFonts w:hint="eastAsia" w:cs="微软雅黑" w:asciiTheme="minorEastAsia" w:hAnsiTheme="minorEastAsia" w:eastAsiaTheme="minorEastAsia"/>
          <w:spacing w:val="-2"/>
          <w:kern w:val="0"/>
          <w:position w:val="-2"/>
          <w:szCs w:val="21"/>
        </w:rPr>
        <w:t>法定</w:t>
      </w:r>
      <w:r>
        <w:rPr>
          <w:rFonts w:hint="eastAsia" w:cs="微软雅黑" w:asciiTheme="minorEastAsia" w:hAnsiTheme="minorEastAsia" w:eastAsiaTheme="minorEastAsia"/>
          <w:kern w:val="0"/>
          <w:position w:val="-2"/>
          <w:szCs w:val="21"/>
        </w:rPr>
        <w:t>代表</w:t>
      </w:r>
      <w:r>
        <w:rPr>
          <w:rFonts w:hint="eastAsia" w:cs="微软雅黑" w:asciiTheme="minorEastAsia" w:hAnsiTheme="minorEastAsia" w:eastAsiaTheme="minorEastAsia"/>
          <w:spacing w:val="-2"/>
          <w:kern w:val="0"/>
          <w:position w:val="-2"/>
          <w:szCs w:val="21"/>
        </w:rPr>
        <w:t>人</w:t>
      </w:r>
      <w:r>
        <w:rPr>
          <w:rFonts w:hint="eastAsia" w:cs="微软雅黑" w:asciiTheme="minorEastAsia" w:hAnsiTheme="minorEastAsia" w:eastAsiaTheme="minorEastAsia"/>
          <w:kern w:val="0"/>
          <w:position w:val="-2"/>
          <w:szCs w:val="21"/>
        </w:rPr>
        <w:t>（</w:t>
      </w:r>
      <w:r>
        <w:rPr>
          <w:rFonts w:hint="eastAsia" w:cs="微软雅黑" w:asciiTheme="minorEastAsia" w:hAnsiTheme="minorEastAsia" w:eastAsiaTheme="minorEastAsia"/>
          <w:spacing w:val="-2"/>
          <w:kern w:val="0"/>
          <w:position w:val="-2"/>
          <w:szCs w:val="21"/>
        </w:rPr>
        <w:t>单</w:t>
      </w:r>
      <w:r>
        <w:rPr>
          <w:rFonts w:hint="eastAsia" w:cs="微软雅黑" w:asciiTheme="minorEastAsia" w:hAnsiTheme="minorEastAsia" w:eastAsiaTheme="minorEastAsia"/>
          <w:kern w:val="0"/>
          <w:position w:val="-2"/>
          <w:szCs w:val="21"/>
        </w:rPr>
        <w:t>位</w:t>
      </w:r>
      <w:r>
        <w:rPr>
          <w:rFonts w:hint="eastAsia" w:cs="微软雅黑" w:asciiTheme="minorEastAsia" w:hAnsiTheme="minorEastAsia" w:eastAsiaTheme="minorEastAsia"/>
          <w:spacing w:val="-2"/>
          <w:kern w:val="0"/>
          <w:position w:val="-2"/>
          <w:szCs w:val="21"/>
        </w:rPr>
        <w:t>负</w:t>
      </w:r>
      <w:r>
        <w:rPr>
          <w:rFonts w:hint="eastAsia" w:cs="微软雅黑" w:asciiTheme="minorEastAsia" w:hAnsiTheme="minorEastAsia" w:eastAsiaTheme="minorEastAsia"/>
          <w:kern w:val="0"/>
          <w:position w:val="-2"/>
          <w:szCs w:val="21"/>
        </w:rPr>
        <w:t>责</w:t>
      </w:r>
      <w:r>
        <w:rPr>
          <w:rFonts w:hint="eastAsia" w:cs="微软雅黑" w:asciiTheme="minorEastAsia" w:hAnsiTheme="minorEastAsia" w:eastAsiaTheme="minorEastAsia"/>
          <w:spacing w:val="-2"/>
          <w:kern w:val="0"/>
          <w:position w:val="-2"/>
          <w:szCs w:val="21"/>
        </w:rPr>
        <w:t>人</w:t>
      </w:r>
      <w:r>
        <w:rPr>
          <w:rFonts w:hint="eastAsia" w:cs="微软雅黑" w:asciiTheme="minorEastAsia" w:hAnsiTheme="minorEastAsia" w:eastAsiaTheme="minorEastAsia"/>
          <w:spacing w:val="-106"/>
          <w:kern w:val="0"/>
          <w:position w:val="-2"/>
          <w:szCs w:val="21"/>
        </w:rPr>
        <w:t>）</w:t>
      </w:r>
      <w:r>
        <w:rPr>
          <w:rFonts w:hint="eastAsia" w:cs="微软雅黑" w:asciiTheme="minorEastAsia" w:hAnsiTheme="minorEastAsia" w:eastAsiaTheme="minorEastAsia"/>
          <w:kern w:val="0"/>
          <w:position w:val="-2"/>
          <w:szCs w:val="21"/>
        </w:rPr>
        <w:t>。</w:t>
      </w:r>
    </w:p>
    <w:p w14:paraId="34D0FE5D">
      <w:pPr>
        <w:autoSpaceDE w:val="0"/>
        <w:autoSpaceDN w:val="0"/>
        <w:adjustRightInd w:val="0"/>
        <w:snapToGrid w:val="0"/>
        <w:spacing w:line="360" w:lineRule="auto"/>
        <w:ind w:left="520" w:right="-2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特此</w:t>
      </w:r>
      <w:r>
        <w:rPr>
          <w:rFonts w:hint="eastAsia" w:cs="微软雅黑" w:asciiTheme="minorEastAsia" w:hAnsiTheme="minorEastAsia" w:eastAsiaTheme="minorEastAsia"/>
          <w:spacing w:val="-2"/>
          <w:kern w:val="0"/>
          <w:szCs w:val="21"/>
        </w:rPr>
        <w:t>证</w:t>
      </w:r>
      <w:r>
        <w:rPr>
          <w:rFonts w:hint="eastAsia" w:cs="微软雅黑" w:asciiTheme="minorEastAsia" w:hAnsiTheme="minorEastAsia" w:eastAsiaTheme="minorEastAsia"/>
          <w:kern w:val="0"/>
          <w:szCs w:val="21"/>
        </w:rPr>
        <w:t>明。</w:t>
      </w:r>
    </w:p>
    <w:p w14:paraId="20A80538">
      <w:pPr>
        <w:autoSpaceDE w:val="0"/>
        <w:autoSpaceDN w:val="0"/>
        <w:adjustRightInd w:val="0"/>
        <w:snapToGrid w:val="0"/>
        <w:spacing w:line="360" w:lineRule="auto"/>
        <w:ind w:left="100" w:right="4231"/>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附：</w:t>
      </w: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cs="微软雅黑" w:asciiTheme="minorEastAsia" w:hAnsiTheme="minorEastAsia" w:eastAsiaTheme="minorEastAsia"/>
          <w:kern w:val="0"/>
          <w:szCs w:val="21"/>
        </w:rPr>
        <w:t>身</w:t>
      </w:r>
      <w:r>
        <w:rPr>
          <w:rFonts w:hint="eastAsia" w:cs="微软雅黑" w:asciiTheme="minorEastAsia" w:hAnsiTheme="minorEastAsia" w:eastAsiaTheme="minorEastAsia"/>
          <w:spacing w:val="-2"/>
          <w:kern w:val="0"/>
          <w:szCs w:val="21"/>
        </w:rPr>
        <w:t>份</w:t>
      </w:r>
      <w:r>
        <w:rPr>
          <w:rFonts w:hint="eastAsia" w:cs="微软雅黑" w:asciiTheme="minorEastAsia" w:hAnsiTheme="minorEastAsia" w:eastAsiaTheme="minorEastAsia"/>
          <w:kern w:val="0"/>
          <w:szCs w:val="21"/>
        </w:rPr>
        <w:t>证</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r>
        <w:rPr>
          <w:rFonts w:hint="eastAsia" w:cs="微软雅黑" w:asciiTheme="minorEastAsia" w:hAnsiTheme="minorEastAsia" w:eastAsiaTheme="minorEastAsia"/>
          <w:kern w:val="0"/>
          <w:szCs w:val="21"/>
        </w:rPr>
        <w:t>。</w:t>
      </w:r>
    </w:p>
    <w:tbl>
      <w:tblPr>
        <w:tblStyle w:val="4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04E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75EF4AD8">
            <w:pPr>
              <w:adjustRightInd w:val="0"/>
              <w:snapToGrid w:val="0"/>
              <w:spacing w:line="360" w:lineRule="auto"/>
              <w:jc w:val="center"/>
              <w:rPr>
                <w:rFonts w:ascii="宋体" w:hAnsi="宋体"/>
                <w:szCs w:val="21"/>
              </w:rPr>
            </w:pPr>
            <w:r>
              <w:rPr>
                <w:rFonts w:hint="eastAsia" w:ascii="宋体" w:hAnsi="宋体"/>
                <w:szCs w:val="21"/>
              </w:rPr>
              <w:t>身份证（正面）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c>
          <w:tcPr>
            <w:tcW w:w="3899" w:type="dxa"/>
            <w:vAlign w:val="center"/>
          </w:tcPr>
          <w:p w14:paraId="59934761">
            <w:pPr>
              <w:adjustRightInd w:val="0"/>
              <w:snapToGrid w:val="0"/>
              <w:spacing w:line="360" w:lineRule="auto"/>
              <w:jc w:val="center"/>
              <w:rPr>
                <w:rFonts w:ascii="宋体" w:hAnsi="宋体"/>
                <w:szCs w:val="21"/>
              </w:rPr>
            </w:pPr>
            <w:r>
              <w:rPr>
                <w:rFonts w:hint="eastAsia" w:ascii="宋体" w:hAnsi="宋体"/>
                <w:szCs w:val="21"/>
              </w:rPr>
              <w:t>身份证（反面）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r>
    </w:tbl>
    <w:p w14:paraId="1D63F09E">
      <w:pPr>
        <w:adjustRightInd w:val="0"/>
        <w:snapToGrid w:val="0"/>
        <w:spacing w:line="360" w:lineRule="auto"/>
        <w:rPr>
          <w:rFonts w:ascii="宋体" w:hAnsi="宋体"/>
          <w:szCs w:val="21"/>
        </w:rPr>
      </w:pPr>
    </w:p>
    <w:p w14:paraId="396E847E">
      <w:pPr>
        <w:adjustRightInd w:val="0"/>
        <w:snapToGrid w:val="0"/>
        <w:spacing w:line="360" w:lineRule="auto"/>
        <w:rPr>
          <w:rFonts w:ascii="宋体" w:hAnsi="宋体"/>
          <w:szCs w:val="21"/>
        </w:rPr>
      </w:pPr>
      <w:r>
        <w:rPr>
          <w:rFonts w:hint="eastAsia" w:ascii="宋体" w:hAnsi="宋体"/>
          <w:szCs w:val="21"/>
        </w:rPr>
        <w:t>注：投标人代表为法定代表人（单位负责人）的提供。自然人投标的无需提供。</w:t>
      </w:r>
    </w:p>
    <w:p w14:paraId="011BE97C">
      <w:pPr>
        <w:adjustRightInd w:val="0"/>
        <w:snapToGrid w:val="0"/>
        <w:spacing w:line="360" w:lineRule="auto"/>
        <w:rPr>
          <w:rFonts w:ascii="宋体" w:hAnsi="宋体"/>
          <w:szCs w:val="21"/>
        </w:rPr>
      </w:pPr>
    </w:p>
    <w:p w14:paraId="137142E3">
      <w:pPr>
        <w:adjustRightInd w:val="0"/>
        <w:snapToGrid w:val="0"/>
        <w:spacing w:line="360" w:lineRule="auto"/>
        <w:rPr>
          <w:rFonts w:ascii="宋体" w:hAnsi="宋体"/>
          <w:szCs w:val="21"/>
        </w:rPr>
      </w:pPr>
      <w:r>
        <w:rPr>
          <w:rFonts w:hint="eastAsia" w:ascii="宋体" w:hAnsi="宋体"/>
          <w:szCs w:val="21"/>
        </w:rPr>
        <w:t>投标人名称（盖单位电子章）：</w:t>
      </w:r>
      <w:r>
        <w:rPr>
          <w:rFonts w:hint="eastAsia" w:ascii="宋体" w:hAnsi="宋体"/>
          <w:szCs w:val="21"/>
          <w:u w:val="single"/>
        </w:rPr>
        <w:t xml:space="preserve">         </w:t>
      </w:r>
    </w:p>
    <w:p w14:paraId="1B323865">
      <w:pPr>
        <w:adjustRightInd w:val="0"/>
        <w:snapToGrid w:val="0"/>
        <w:spacing w:line="360" w:lineRule="auto"/>
        <w:ind w:right="420"/>
        <w:rPr>
          <w:rFonts w:ascii="宋体" w:hAnsi="宋体"/>
          <w:szCs w:val="21"/>
        </w:rPr>
      </w:pPr>
      <w:r>
        <w:rPr>
          <w:rFonts w:hint="eastAsia" w:cs="宋体" w:asciiTheme="minorEastAsia" w:hAnsiTheme="minorEastAsia" w:eastAsiaTheme="minorEastAsia"/>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D71C7FC">
      <w:pPr>
        <w:adjustRightInd w:val="0"/>
        <w:snapToGrid w:val="0"/>
        <w:spacing w:line="360" w:lineRule="auto"/>
      </w:pPr>
    </w:p>
    <w:p w14:paraId="66AEB1DA">
      <w:pPr>
        <w:widowControl/>
        <w:jc w:val="left"/>
      </w:pPr>
      <w:r>
        <w:br w:type="page"/>
      </w:r>
    </w:p>
    <w:p w14:paraId="2233FCE7">
      <w:pPr>
        <w:pStyle w:val="5"/>
        <w:adjustRightInd w:val="0"/>
        <w:snapToGrid w:val="0"/>
        <w:spacing w:before="0" w:after="0" w:line="360" w:lineRule="auto"/>
        <w:jc w:val="center"/>
        <w:rPr>
          <w:rFonts w:ascii="黑体" w:hAnsi="宋体" w:eastAsia="黑体"/>
          <w:sz w:val="28"/>
          <w:szCs w:val="28"/>
        </w:rPr>
      </w:pPr>
      <w:bookmarkStart w:id="251" w:name="_Toc172716800"/>
      <w:bookmarkStart w:id="252" w:name="_Toc29913954"/>
      <w:bookmarkStart w:id="253" w:name="_Toc7677"/>
      <w:r>
        <w:rPr>
          <w:rFonts w:hint="eastAsia" w:ascii="黑体" w:hAnsi="宋体" w:eastAsia="黑体"/>
          <w:sz w:val="28"/>
          <w:szCs w:val="28"/>
        </w:rPr>
        <w:t>三、授权委托书</w:t>
      </w:r>
      <w:bookmarkEnd w:id="251"/>
      <w:bookmarkEnd w:id="252"/>
      <w:bookmarkEnd w:id="253"/>
    </w:p>
    <w:p w14:paraId="71E5099F">
      <w:pPr>
        <w:autoSpaceDE w:val="0"/>
        <w:autoSpaceDN w:val="0"/>
        <w:adjustRightInd w:val="0"/>
        <w:snapToGrid w:val="0"/>
        <w:spacing w:line="360" w:lineRule="auto"/>
        <w:ind w:firstLine="446" w:firstLineChars="200"/>
        <w:jc w:val="left"/>
        <w:rPr>
          <w:rFonts w:ascii="宋体" w:hAnsi="宋体"/>
          <w:b/>
          <w:spacing w:val="6"/>
          <w:szCs w:val="21"/>
        </w:rPr>
      </w:pPr>
    </w:p>
    <w:p w14:paraId="433D973B">
      <w:pPr>
        <w:autoSpaceDE w:val="0"/>
        <w:autoSpaceDN w:val="0"/>
        <w:adjustRightInd w:val="0"/>
        <w:snapToGrid w:val="0"/>
        <w:spacing w:line="360" w:lineRule="auto"/>
        <w:ind w:firstLine="420" w:firstLineChars="200"/>
        <w:jc w:val="left"/>
        <w:rPr>
          <w:rFonts w:ascii="宋体" w:hAnsi="宋体" w:cs="宋体"/>
          <w:kern w:val="0"/>
          <w:szCs w:val="21"/>
        </w:rPr>
      </w:pPr>
    </w:p>
    <w:p w14:paraId="2E868794">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投标人</w:t>
      </w:r>
      <w:r>
        <w:rPr>
          <w:rFonts w:hint="eastAsia" w:ascii="宋体" w:hAnsi="宋体" w:cs="宋体"/>
          <w:kern w:val="0"/>
          <w:szCs w:val="21"/>
        </w:rPr>
        <w:t>名称）的法定代表人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w:t>
      </w:r>
      <w:r>
        <w:rPr>
          <w:rFonts w:ascii="宋体" w:hAnsi="宋体" w:cs="宋体"/>
          <w:kern w:val="0"/>
          <w:szCs w:val="21"/>
        </w:rPr>
        <w:t>）</w:t>
      </w:r>
      <w:r>
        <w:rPr>
          <w:rFonts w:hint="eastAsia" w:ascii="宋体" w:hAnsi="宋体" w:cs="宋体"/>
          <w:kern w:val="0"/>
          <w:szCs w:val="21"/>
        </w:rPr>
        <w:t>（</w:t>
      </w:r>
      <w:r>
        <w:rPr>
          <w:rFonts w:hint="eastAsia" w:asciiTheme="minorEastAsia" w:hAnsiTheme="minorEastAsia" w:eastAsiaTheme="minorEastAsia"/>
        </w:rPr>
        <w:t>政府</w:t>
      </w:r>
      <w:r>
        <w:rPr>
          <w:rFonts w:hint="eastAsia" w:asciiTheme="minorEastAsia" w:hAnsiTheme="minorEastAsia" w:eastAsiaTheme="minorEastAsia"/>
          <w:iCs/>
        </w:rPr>
        <w:t>采购编号：</w:t>
      </w:r>
      <w:r>
        <w:rPr>
          <w:rFonts w:hint="eastAsia" w:asciiTheme="minorEastAsia" w:hAnsiTheme="minorEastAsia" w:eastAsiaTheme="minorEastAsia"/>
          <w:iCs/>
          <w:u w:val="single"/>
        </w:rPr>
        <w:t xml:space="preserve">      </w:t>
      </w:r>
      <w:r>
        <w:rPr>
          <w:rFonts w:hint="eastAsia" w:asciiTheme="minorEastAsia" w:hAnsiTheme="minorEastAsia" w:eastAsiaTheme="minorEastAsia"/>
          <w:iCs/>
        </w:rPr>
        <w:t xml:space="preserve"> ，</w:t>
      </w:r>
      <w:r>
        <w:rPr>
          <w:rFonts w:hint="eastAsia" w:ascii="宋体" w:hAnsi="宋体" w:cs="宋体"/>
          <w:kern w:val="0"/>
          <w:szCs w:val="21"/>
        </w:rPr>
        <w:t>采购代理编号：</w:t>
      </w:r>
      <w:r>
        <w:rPr>
          <w:rFonts w:hint="eastAsia" w:ascii="宋体" w:hAnsi="宋体" w:cs="宋体"/>
          <w:kern w:val="0"/>
          <w:szCs w:val="21"/>
          <w:u w:val="single"/>
        </w:rPr>
        <w:t xml:space="preserve">       </w:t>
      </w:r>
      <w:r>
        <w:rPr>
          <w:rFonts w:hint="eastAsia" w:ascii="宋体" w:hAnsi="宋体" w:cs="宋体"/>
          <w:kern w:val="0"/>
          <w:szCs w:val="21"/>
        </w:rPr>
        <w:t>）投标文件、签订合同和处理有关事宜，其法律后果由我方承担。</w:t>
      </w:r>
    </w:p>
    <w:p w14:paraId="3332AA57">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62301430">
      <w:pPr>
        <w:adjustRightInd w:val="0"/>
        <w:snapToGrid w:val="0"/>
        <w:spacing w:line="360" w:lineRule="auto"/>
        <w:ind w:firstLine="435"/>
        <w:rPr>
          <w:rFonts w:ascii="宋体" w:hAnsi="宋体" w:cs="宋体"/>
          <w:kern w:val="0"/>
          <w:szCs w:val="21"/>
        </w:rPr>
      </w:pPr>
      <w:r>
        <w:rPr>
          <w:rFonts w:hint="eastAsia" w:ascii="宋体" w:hAnsi="宋体" w:cs="宋体"/>
          <w:kern w:val="0"/>
          <w:szCs w:val="21"/>
        </w:rPr>
        <w:t>代理人无转委托权。</w:t>
      </w:r>
    </w:p>
    <w:p w14:paraId="4B97209B">
      <w:pPr>
        <w:adjustRightInd w:val="0"/>
        <w:snapToGrid w:val="0"/>
        <w:spacing w:line="360" w:lineRule="auto"/>
        <w:ind w:firstLine="435"/>
        <w:rPr>
          <w:rFonts w:cs="微软雅黑" w:asciiTheme="minorEastAsia" w:hAnsiTheme="minorEastAsia" w:eastAsiaTheme="minorEastAsia"/>
          <w:kern w:val="0"/>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4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4896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707D7A2A">
            <w:pPr>
              <w:adjustRightInd w:val="0"/>
              <w:snapToGrid w:val="0"/>
              <w:spacing w:line="360" w:lineRule="auto"/>
              <w:jc w:val="center"/>
              <w:rPr>
                <w:rFonts w:ascii="宋体" w:hAnsi="宋体"/>
                <w:szCs w:val="21"/>
              </w:rPr>
            </w:pPr>
            <w:r>
              <w:rPr>
                <w:rFonts w:hint="eastAsia" w:ascii="宋体" w:hAnsi="宋体"/>
                <w:szCs w:val="21"/>
              </w:rPr>
              <w:t>身份证（正面）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c>
          <w:tcPr>
            <w:tcW w:w="3899" w:type="dxa"/>
            <w:vAlign w:val="center"/>
          </w:tcPr>
          <w:p w14:paraId="2DE814FB">
            <w:pPr>
              <w:adjustRightInd w:val="0"/>
              <w:snapToGrid w:val="0"/>
              <w:spacing w:line="360" w:lineRule="auto"/>
              <w:jc w:val="center"/>
              <w:rPr>
                <w:rFonts w:ascii="宋体" w:hAnsi="宋体"/>
                <w:szCs w:val="21"/>
              </w:rPr>
            </w:pPr>
            <w:r>
              <w:rPr>
                <w:rFonts w:hint="eastAsia" w:ascii="宋体" w:hAnsi="宋体"/>
                <w:szCs w:val="21"/>
              </w:rPr>
              <w:t>身份证（反面）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r>
    </w:tbl>
    <w:p w14:paraId="1EF0B5FA">
      <w:pPr>
        <w:adjustRightInd w:val="0"/>
        <w:snapToGrid w:val="0"/>
        <w:spacing w:line="360" w:lineRule="auto"/>
        <w:ind w:firstLine="420" w:firstLineChars="200"/>
        <w:rPr>
          <w:rFonts w:ascii="宋体" w:hAnsi="宋体"/>
          <w:szCs w:val="21"/>
        </w:rPr>
      </w:pPr>
    </w:p>
    <w:p w14:paraId="0ED43199">
      <w:pPr>
        <w:adjustRightInd w:val="0"/>
        <w:snapToGrid w:val="0"/>
        <w:spacing w:line="360" w:lineRule="auto"/>
        <w:ind w:firstLine="420" w:firstLineChars="200"/>
        <w:rPr>
          <w:rFonts w:ascii="宋体" w:hAnsi="宋体"/>
          <w:szCs w:val="21"/>
        </w:rPr>
      </w:pPr>
    </w:p>
    <w:p w14:paraId="2F3498EE">
      <w:pPr>
        <w:adjustRightInd w:val="0"/>
        <w:snapToGrid w:val="0"/>
        <w:spacing w:line="360" w:lineRule="auto"/>
        <w:rPr>
          <w:rFonts w:ascii="宋体" w:hAnsi="宋体"/>
          <w:szCs w:val="21"/>
        </w:rPr>
      </w:pPr>
      <w:r>
        <w:rPr>
          <w:rFonts w:hint="eastAsia" w:ascii="宋体" w:hAnsi="宋体"/>
          <w:szCs w:val="21"/>
        </w:rPr>
        <w:t>注：投标人代表不是投标人的法定代表人（单位负责人）的提供。自然人投标的无需提供。</w:t>
      </w:r>
    </w:p>
    <w:p w14:paraId="021EA49E">
      <w:pPr>
        <w:adjustRightInd w:val="0"/>
        <w:snapToGrid w:val="0"/>
        <w:spacing w:line="360" w:lineRule="auto"/>
        <w:ind w:firstLine="420" w:firstLineChars="200"/>
        <w:rPr>
          <w:rFonts w:ascii="宋体" w:hAnsi="宋体"/>
          <w:szCs w:val="21"/>
        </w:rPr>
      </w:pPr>
    </w:p>
    <w:p w14:paraId="077A8C9E">
      <w:pPr>
        <w:adjustRightInd w:val="0"/>
        <w:snapToGrid w:val="0"/>
        <w:spacing w:line="360" w:lineRule="auto"/>
        <w:ind w:firstLine="420" w:firstLineChars="200"/>
        <w:rPr>
          <w:rFonts w:ascii="宋体" w:hAnsi="宋体"/>
          <w:szCs w:val="21"/>
        </w:rPr>
      </w:pPr>
    </w:p>
    <w:p w14:paraId="3B01833B">
      <w:pPr>
        <w:adjustRightInd w:val="0"/>
        <w:snapToGrid w:val="0"/>
        <w:spacing w:line="360" w:lineRule="auto"/>
        <w:rPr>
          <w:rFonts w:ascii="宋体" w:hAnsi="宋体"/>
          <w:szCs w:val="21"/>
        </w:rPr>
      </w:pPr>
      <w:r>
        <w:rPr>
          <w:rFonts w:hint="eastAsia" w:ascii="宋体" w:hAnsi="宋体"/>
          <w:szCs w:val="21"/>
        </w:rPr>
        <w:t>投标人名称（盖单位电子章）：</w:t>
      </w:r>
    </w:p>
    <w:p w14:paraId="156B0769">
      <w:pPr>
        <w:adjustRightInd w:val="0"/>
        <w:snapToGrid w:val="0"/>
        <w:spacing w:line="360" w:lineRule="auto"/>
        <w:ind w:right="420"/>
        <w:rPr>
          <w:rFonts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（签字或签章）：</w:t>
      </w:r>
      <w:r>
        <w:rPr>
          <w:rFonts w:hint="eastAsia" w:ascii="宋体" w:hAnsi="宋体"/>
          <w:szCs w:val="21"/>
          <w:u w:val="single"/>
        </w:rPr>
        <w:t xml:space="preserve">                     </w:t>
      </w:r>
    </w:p>
    <w:p w14:paraId="1A955DC8">
      <w:pPr>
        <w:adjustRightInd w:val="0"/>
        <w:snapToGrid w:val="0"/>
        <w:spacing w:line="360" w:lineRule="auto"/>
        <w:ind w:right="420"/>
        <w:rPr>
          <w:rFonts w:ascii="宋体" w:hAnsi="宋体"/>
          <w:szCs w:val="21"/>
        </w:rPr>
      </w:pPr>
      <w:r>
        <w:rPr>
          <w:rFonts w:hint="eastAsia" w:ascii="宋体" w:hAnsi="宋体"/>
          <w:szCs w:val="21"/>
        </w:rPr>
        <w:t>委托代理人（签字或签章）：</w:t>
      </w:r>
      <w:r>
        <w:rPr>
          <w:rFonts w:hint="eastAsia" w:ascii="宋体" w:hAnsi="宋体"/>
          <w:szCs w:val="21"/>
          <w:u w:val="single"/>
        </w:rPr>
        <w:t xml:space="preserve">                     </w:t>
      </w:r>
    </w:p>
    <w:p w14:paraId="45A282E4">
      <w:pPr>
        <w:adjustRightInd w:val="0"/>
        <w:snapToGrid w:val="0"/>
        <w:spacing w:line="360" w:lineRule="auto"/>
        <w:ind w:right="420"/>
        <w:rPr>
          <w:rFonts w:ascii="宋体" w:hAnsi="宋体"/>
          <w:szCs w:val="21"/>
        </w:rPr>
      </w:pPr>
      <w:r>
        <w:rPr>
          <w:rFonts w:hint="eastAsia" w:cs="宋体" w:asciiTheme="minorEastAsia" w:hAnsiTheme="minorEastAsia" w:eastAsiaTheme="minorEastAsia"/>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31762F4">
      <w:pPr>
        <w:adjustRightInd w:val="0"/>
        <w:snapToGrid w:val="0"/>
        <w:spacing w:line="360" w:lineRule="auto"/>
        <w:jc w:val="left"/>
        <w:rPr>
          <w:rFonts w:ascii="黑体" w:hAnsi="黑体" w:eastAsia="黑体"/>
          <w:bCs/>
          <w:sz w:val="28"/>
          <w:szCs w:val="28"/>
        </w:rPr>
      </w:pPr>
      <w:r>
        <w:rPr>
          <w:rFonts w:ascii="黑体" w:hAnsi="黑体" w:eastAsia="黑体"/>
          <w:bCs/>
          <w:sz w:val="28"/>
          <w:szCs w:val="28"/>
        </w:rPr>
        <w:br w:type="page"/>
      </w:r>
    </w:p>
    <w:p w14:paraId="35C75AAB">
      <w:pPr>
        <w:pStyle w:val="5"/>
        <w:adjustRightInd w:val="0"/>
        <w:snapToGrid w:val="0"/>
        <w:spacing w:before="0" w:after="0" w:line="360" w:lineRule="auto"/>
        <w:jc w:val="center"/>
        <w:rPr>
          <w:rFonts w:ascii="黑体" w:hAnsi="宋体" w:eastAsia="黑体"/>
          <w:sz w:val="28"/>
          <w:szCs w:val="28"/>
        </w:rPr>
      </w:pPr>
      <w:bookmarkStart w:id="254" w:name="_Toc8345"/>
      <w:bookmarkStart w:id="255" w:name="_Toc29913955"/>
      <w:bookmarkStart w:id="256" w:name="_Toc172716801"/>
      <w:r>
        <w:rPr>
          <w:rFonts w:hint="eastAsia" w:ascii="黑体" w:hAnsi="宋体" w:eastAsia="黑体"/>
          <w:sz w:val="28"/>
          <w:szCs w:val="28"/>
        </w:rPr>
        <w:t>四、投标人提供的资格证明文件</w:t>
      </w:r>
      <w:bookmarkEnd w:id="254"/>
      <w:bookmarkEnd w:id="255"/>
      <w:bookmarkEnd w:id="256"/>
    </w:p>
    <w:p w14:paraId="5125FBD7">
      <w:pPr>
        <w:pStyle w:val="23"/>
        <w:adjustRightInd w:val="0"/>
        <w:snapToGrid w:val="0"/>
        <w:spacing w:line="360" w:lineRule="auto"/>
        <w:jc w:val="center"/>
        <w:rPr>
          <w:rFonts w:hAnsi="宋体" w:cs="Times New Roman"/>
          <w:b/>
          <w:bCs/>
          <w:sz w:val="24"/>
          <w:szCs w:val="24"/>
        </w:rPr>
      </w:pPr>
    </w:p>
    <w:p w14:paraId="6C885DD6">
      <w:pPr>
        <w:pStyle w:val="23"/>
        <w:adjustRightInd w:val="0"/>
        <w:snapToGrid w:val="0"/>
        <w:spacing w:line="360" w:lineRule="auto"/>
        <w:jc w:val="center"/>
        <w:rPr>
          <w:rFonts w:ascii="黑体" w:hAnsi="黑体" w:eastAsia="黑体" w:cs="Times New Roman"/>
          <w:b/>
          <w:bCs/>
          <w:sz w:val="28"/>
          <w:szCs w:val="28"/>
        </w:rPr>
      </w:pPr>
      <w:r>
        <w:rPr>
          <w:rFonts w:hint="eastAsia" w:ascii="黑体" w:hAnsi="黑体" w:eastAsia="黑体" w:cs="Times New Roman"/>
          <w:b/>
          <w:bCs/>
          <w:sz w:val="28"/>
          <w:szCs w:val="28"/>
        </w:rPr>
        <w:t>须  知</w:t>
      </w:r>
    </w:p>
    <w:p w14:paraId="442FB2B0">
      <w:pPr>
        <w:tabs>
          <w:tab w:val="left" w:pos="4725"/>
        </w:tabs>
        <w:adjustRightInd w:val="0"/>
        <w:snapToGrid w:val="0"/>
        <w:spacing w:beforeLines="50" w:line="360" w:lineRule="auto"/>
        <w:ind w:firstLine="422" w:firstLineChars="200"/>
        <w:rPr>
          <w:rFonts w:ascii="宋体" w:hAnsi="宋体"/>
          <w:b/>
          <w:bCs/>
          <w:szCs w:val="21"/>
        </w:rPr>
      </w:pPr>
      <w:r>
        <w:rPr>
          <w:rFonts w:hint="eastAsia" w:ascii="宋体" w:hAnsi="宋体"/>
          <w:b/>
          <w:szCs w:val="21"/>
        </w:rPr>
        <w:t>1、投标人</w:t>
      </w:r>
      <w:r>
        <w:rPr>
          <w:rFonts w:hint="eastAsia" w:ascii="宋体" w:hAnsi="宋体"/>
          <w:b/>
          <w:bCs/>
          <w:szCs w:val="21"/>
        </w:rPr>
        <w:t>应按第二章第15.1款要求提供下列的证明材料</w:t>
      </w:r>
    </w:p>
    <w:p w14:paraId="01F34FB9">
      <w:pPr>
        <w:tabs>
          <w:tab w:val="left" w:pos="4725"/>
        </w:tabs>
        <w:adjustRightInd w:val="0"/>
        <w:snapToGrid w:val="0"/>
        <w:spacing w:beforeLines="50" w:line="360" w:lineRule="auto"/>
        <w:ind w:firstLine="735" w:firstLineChars="350"/>
        <w:rPr>
          <w:rFonts w:asciiTheme="minorEastAsia" w:hAnsiTheme="minorEastAsia" w:eastAsiaTheme="minorEastAsia"/>
          <w:szCs w:val="21"/>
        </w:rPr>
      </w:pPr>
      <w:r>
        <w:rPr>
          <w:rFonts w:hint="eastAsia" w:asciiTheme="minorEastAsia" w:hAnsiTheme="minorEastAsia" w:eastAsiaTheme="minorEastAsia"/>
          <w:szCs w:val="21"/>
        </w:rPr>
        <w:t>附件4-1 法人或者其他组织的营业执照等主体资格证明文件，自然人的身份证明</w:t>
      </w:r>
    </w:p>
    <w:p w14:paraId="6EA81029">
      <w:pPr>
        <w:tabs>
          <w:tab w:val="left" w:pos="4725"/>
        </w:tabs>
        <w:adjustRightInd w:val="0"/>
        <w:snapToGrid w:val="0"/>
        <w:spacing w:beforeLines="50" w:line="360" w:lineRule="auto"/>
        <w:ind w:firstLine="735" w:firstLineChars="350"/>
        <w:rPr>
          <w:rFonts w:asciiTheme="minorEastAsia" w:hAnsiTheme="minorEastAsia" w:eastAsiaTheme="minorEastAsia"/>
          <w:szCs w:val="21"/>
        </w:rPr>
      </w:pPr>
      <w:r>
        <w:rPr>
          <w:rFonts w:hint="eastAsia" w:asciiTheme="minorEastAsia" w:hAnsiTheme="minorEastAsia" w:eastAsiaTheme="minorEastAsia"/>
          <w:szCs w:val="21"/>
        </w:rPr>
        <w:t>附件4-2 投标人资格声明(格式)</w:t>
      </w:r>
    </w:p>
    <w:p w14:paraId="1C73CDE9">
      <w:pPr>
        <w:tabs>
          <w:tab w:val="left" w:pos="4725"/>
        </w:tabs>
        <w:adjustRightInd w:val="0"/>
        <w:snapToGrid w:val="0"/>
        <w:spacing w:beforeLines="50" w:line="360" w:lineRule="auto"/>
        <w:ind w:firstLine="735" w:firstLineChars="350"/>
        <w:rPr>
          <w:rFonts w:asciiTheme="minorEastAsia" w:hAnsiTheme="minorEastAsia" w:eastAsiaTheme="minorEastAsia"/>
          <w:szCs w:val="21"/>
        </w:rPr>
      </w:pPr>
      <w:r>
        <w:rPr>
          <w:rFonts w:hint="eastAsia" w:ascii="黑体" w:hAnsi="仿宋" w:cs="宋体"/>
          <w:szCs w:val="21"/>
        </w:rPr>
        <w:t>附件4-3</w:t>
      </w:r>
      <w:r>
        <w:rPr>
          <w:rFonts w:hint="eastAsia" w:ascii="黑体" w:hAnsi="仿宋" w:eastAsia="黑体" w:cs="宋体"/>
          <w:szCs w:val="21"/>
        </w:rPr>
        <w:t>湖南省政府采购供应商资格承诺函</w:t>
      </w:r>
    </w:p>
    <w:p w14:paraId="12CEB87E">
      <w:pPr>
        <w:tabs>
          <w:tab w:val="left" w:pos="4725"/>
        </w:tabs>
        <w:adjustRightInd w:val="0"/>
        <w:snapToGrid w:val="0"/>
        <w:spacing w:beforeLines="50" w:line="360" w:lineRule="auto"/>
        <w:ind w:firstLine="735" w:firstLineChars="350"/>
        <w:rPr>
          <w:rFonts w:asciiTheme="minorEastAsia" w:hAnsiTheme="minorEastAsia" w:eastAsiaTheme="minorEastAsia"/>
          <w:szCs w:val="21"/>
        </w:rPr>
      </w:pPr>
      <w:r>
        <w:rPr>
          <w:rFonts w:hint="eastAsia" w:asciiTheme="minorEastAsia" w:hAnsiTheme="minorEastAsia" w:eastAsiaTheme="minorEastAsia"/>
          <w:szCs w:val="21"/>
        </w:rPr>
        <w:t>附件4-4 符合特定资格条件证明材料复印件或者情况说明</w:t>
      </w:r>
    </w:p>
    <w:p w14:paraId="28EE9067">
      <w:pPr>
        <w:tabs>
          <w:tab w:val="left" w:pos="4725"/>
        </w:tabs>
        <w:adjustRightInd w:val="0"/>
        <w:snapToGrid w:val="0"/>
        <w:spacing w:line="360" w:lineRule="auto"/>
        <w:rPr>
          <w:rFonts w:cs="宋体" w:asciiTheme="minorEastAsia" w:hAnsiTheme="minorEastAsia" w:eastAsiaTheme="minorEastAsia"/>
          <w:szCs w:val="21"/>
        </w:rPr>
      </w:pPr>
    </w:p>
    <w:p w14:paraId="478BE79B">
      <w:pPr>
        <w:widowControl/>
        <w:adjustRightInd w:val="0"/>
        <w:snapToGrid w:val="0"/>
        <w:spacing w:line="360" w:lineRule="auto"/>
        <w:jc w:val="left"/>
        <w:rPr>
          <w:rFonts w:ascii="黑体" w:hAnsi="仿宋" w:eastAsia="黑体" w:cs="宋体"/>
          <w:szCs w:val="21"/>
        </w:rPr>
      </w:pPr>
      <w:r>
        <w:rPr>
          <w:rFonts w:ascii="黑体" w:hAnsi="仿宋" w:eastAsia="黑体" w:cs="宋体"/>
          <w:szCs w:val="21"/>
        </w:rPr>
        <w:br w:type="page"/>
      </w:r>
    </w:p>
    <w:p w14:paraId="2EE03A79">
      <w:pPr>
        <w:pStyle w:val="6"/>
        <w:rPr>
          <w:rFonts w:ascii="黑体" w:hAnsi="仿宋" w:cs="宋体"/>
          <w:b w:val="0"/>
          <w:sz w:val="21"/>
          <w:szCs w:val="21"/>
        </w:rPr>
      </w:pPr>
      <w:bookmarkStart w:id="257" w:name="_Toc29913956"/>
      <w:bookmarkStart w:id="258" w:name="_Toc172716802"/>
      <w:bookmarkStart w:id="259" w:name="_Toc18063"/>
      <w:r>
        <w:rPr>
          <w:rFonts w:hint="eastAsia" w:ascii="黑体" w:hAnsi="仿宋" w:cs="宋体"/>
          <w:b w:val="0"/>
          <w:sz w:val="21"/>
          <w:szCs w:val="21"/>
        </w:rPr>
        <w:t>附件4-1 法人或者其他组织的营业执照等主体资格证明文件，自然人的身份证明</w:t>
      </w:r>
      <w:bookmarkEnd w:id="257"/>
      <w:bookmarkEnd w:id="258"/>
      <w:bookmarkEnd w:id="259"/>
    </w:p>
    <w:p w14:paraId="56750341">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法人或者其他组织的营业执照等主体资格证明文件，自然人的身份证明</w:t>
      </w:r>
    </w:p>
    <w:p w14:paraId="6921D5F0">
      <w:pPr>
        <w:widowControl/>
        <w:adjustRightInd w:val="0"/>
        <w:snapToGrid w:val="0"/>
        <w:spacing w:beforeLines="50" w:line="360" w:lineRule="auto"/>
        <w:ind w:firstLine="420" w:firstLineChars="200"/>
        <w:jc w:val="left"/>
        <w:rPr>
          <w:rFonts w:cs="宋体" w:asciiTheme="minorEastAsia" w:hAnsiTheme="minorEastAsia" w:eastAsiaTheme="minorEastAsia"/>
          <w:szCs w:val="21"/>
        </w:rPr>
      </w:pPr>
    </w:p>
    <w:p w14:paraId="7317D1A5">
      <w:pPr>
        <w:adjustRightInd w:val="0"/>
        <w:snapToGrid w:val="0"/>
        <w:spacing w:beforeLines="50"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注：按第二章第</w:t>
      </w:r>
      <w:r>
        <w:rPr>
          <w:rFonts w:cs="宋体" w:asciiTheme="minorEastAsia" w:hAnsiTheme="minorEastAsia" w:eastAsiaTheme="minorEastAsia"/>
          <w:szCs w:val="21"/>
        </w:rPr>
        <w:t>1</w:t>
      </w:r>
      <w:r>
        <w:rPr>
          <w:rFonts w:hint="eastAsia" w:cs="宋体" w:asciiTheme="minorEastAsia" w:hAnsiTheme="minorEastAsia" w:eastAsiaTheme="minorEastAsia"/>
          <w:szCs w:val="21"/>
        </w:rPr>
        <w:t>4</w:t>
      </w:r>
      <w:r>
        <w:rPr>
          <w:rFonts w:cs="宋体" w:asciiTheme="minorEastAsia" w:hAnsiTheme="minorEastAsia" w:eastAsiaTheme="minorEastAsia"/>
          <w:szCs w:val="21"/>
        </w:rPr>
        <w:t>.1</w:t>
      </w:r>
      <w:r>
        <w:rPr>
          <w:rFonts w:hint="eastAsia" w:cs="宋体" w:asciiTheme="minorEastAsia" w:hAnsiTheme="minorEastAsia" w:eastAsiaTheme="minorEastAsia"/>
          <w:szCs w:val="21"/>
        </w:rPr>
        <w:t>（2）项要求提供。</w:t>
      </w:r>
    </w:p>
    <w:p w14:paraId="17C32A2C">
      <w:pPr>
        <w:adjustRightInd w:val="0"/>
        <w:snapToGrid w:val="0"/>
        <w:spacing w:beforeLines="50" w:line="360" w:lineRule="auto"/>
        <w:ind w:firstLine="420" w:firstLineChars="200"/>
        <w:rPr>
          <w:rFonts w:asciiTheme="minorEastAsia" w:hAnsiTheme="minorEastAsia"/>
        </w:rPr>
      </w:pPr>
      <w:r>
        <w:rPr>
          <w:rFonts w:hint="eastAsia" w:cs="宋体" w:asciiTheme="minorEastAsia" w:hAnsiTheme="minorEastAsia" w:eastAsiaTheme="minorEastAsia"/>
          <w:szCs w:val="21"/>
        </w:rPr>
        <w:t>（1）</w:t>
      </w:r>
      <w:r>
        <w:rPr>
          <w:rFonts w:hint="eastAsia" w:asciiTheme="minorEastAsia" w:hAnsiTheme="minorEastAsia"/>
        </w:rPr>
        <w:t>投标人为法人的，应提交营业执照或法人登记证书的复印件；</w:t>
      </w:r>
    </w:p>
    <w:p w14:paraId="4F440FD9">
      <w:pPr>
        <w:adjustRightInd w:val="0"/>
        <w:snapToGrid w:val="0"/>
        <w:spacing w:beforeLines="50" w:line="360" w:lineRule="auto"/>
        <w:ind w:firstLine="420" w:firstLineChars="200"/>
        <w:rPr>
          <w:rFonts w:asciiTheme="minorEastAsia" w:hAnsiTheme="minorEastAsia"/>
        </w:rPr>
      </w:pPr>
      <w:r>
        <w:rPr>
          <w:rFonts w:hint="eastAsia" w:cs="宋体" w:asciiTheme="minorEastAsia" w:hAnsiTheme="minorEastAsia" w:eastAsiaTheme="minorEastAsia"/>
          <w:szCs w:val="21"/>
        </w:rPr>
        <w:t>（2）</w:t>
      </w:r>
      <w:r>
        <w:rPr>
          <w:rFonts w:hint="eastAsia" w:asciiTheme="minorEastAsia" w:hAnsiTheme="minorEastAsia"/>
        </w:rPr>
        <w:t>投标人为非法人组织的，应提交依法登记证书复印件；</w:t>
      </w:r>
    </w:p>
    <w:p w14:paraId="6655156D">
      <w:pPr>
        <w:adjustRightInd w:val="0"/>
        <w:snapToGrid w:val="0"/>
        <w:spacing w:beforeLines="50" w:line="360" w:lineRule="auto"/>
        <w:ind w:firstLine="420" w:firstLineChars="200"/>
        <w:rPr>
          <w:rFonts w:asciiTheme="minorEastAsia" w:hAnsiTheme="minorEastAsia"/>
        </w:rPr>
      </w:pPr>
      <w:r>
        <w:rPr>
          <w:rFonts w:hint="eastAsia" w:cs="宋体" w:asciiTheme="minorEastAsia" w:hAnsiTheme="minorEastAsia" w:eastAsiaTheme="minorEastAsia"/>
          <w:szCs w:val="21"/>
        </w:rPr>
        <w:t>（3）</w:t>
      </w:r>
      <w:r>
        <w:rPr>
          <w:rFonts w:hint="eastAsia" w:asciiTheme="minorEastAsia" w:hAnsiTheme="minorEastAsia"/>
        </w:rPr>
        <w:t>投标人为个体工商户的，应提交个体工商户营业执照复印件；</w:t>
      </w:r>
    </w:p>
    <w:p w14:paraId="5C895371">
      <w:pPr>
        <w:adjustRightInd w:val="0"/>
        <w:snapToGrid w:val="0"/>
        <w:spacing w:beforeLines="50" w:line="360" w:lineRule="auto"/>
        <w:ind w:firstLine="420" w:firstLineChars="200"/>
        <w:rPr>
          <w:rFonts w:asciiTheme="minorEastAsia" w:hAnsiTheme="minorEastAsia"/>
        </w:rPr>
      </w:pPr>
      <w:r>
        <w:rPr>
          <w:rFonts w:hint="eastAsia" w:cs="宋体" w:asciiTheme="minorEastAsia" w:hAnsiTheme="minorEastAsia" w:eastAsiaTheme="minorEastAsia"/>
          <w:szCs w:val="21"/>
        </w:rPr>
        <w:t>（4）</w:t>
      </w:r>
      <w:r>
        <w:rPr>
          <w:rFonts w:hint="eastAsia" w:asciiTheme="minorEastAsia" w:hAnsiTheme="minorEastAsia"/>
        </w:rPr>
        <w:t>投标人为自然人的，应提交自然人的身份证明复印件。</w:t>
      </w:r>
    </w:p>
    <w:p w14:paraId="6DB45E5E">
      <w:pPr>
        <w:adjustRightInd w:val="0"/>
        <w:snapToGrid w:val="0"/>
        <w:spacing w:beforeLines="50" w:line="360" w:lineRule="auto"/>
        <w:ind w:firstLine="420" w:firstLineChars="200"/>
        <w:rPr>
          <w:rFonts w:asciiTheme="minorEastAsia" w:hAnsiTheme="minorEastAsia"/>
        </w:rPr>
      </w:pPr>
    </w:p>
    <w:p w14:paraId="0DE9D69E">
      <w:pPr>
        <w:widowControl/>
        <w:jc w:val="left"/>
        <w:rPr>
          <w:rFonts w:ascii="黑体" w:hAnsi="仿宋" w:eastAsia="黑体" w:cs="宋体"/>
          <w:bCs/>
          <w:szCs w:val="21"/>
        </w:rPr>
      </w:pPr>
      <w:r>
        <w:rPr>
          <w:rFonts w:ascii="黑体" w:hAnsi="仿宋" w:cs="宋体"/>
          <w:b/>
          <w:szCs w:val="21"/>
        </w:rPr>
        <w:br w:type="page"/>
      </w:r>
    </w:p>
    <w:p w14:paraId="1395BF4D">
      <w:pPr>
        <w:pStyle w:val="6"/>
        <w:adjustRightInd w:val="0"/>
        <w:snapToGrid w:val="0"/>
        <w:spacing w:beforeLines="50" w:after="0" w:line="360" w:lineRule="auto"/>
        <w:rPr>
          <w:rFonts w:ascii="黑体" w:hAnsi="仿宋" w:cs="宋体"/>
          <w:b w:val="0"/>
          <w:sz w:val="21"/>
          <w:szCs w:val="21"/>
        </w:rPr>
      </w:pPr>
      <w:bookmarkStart w:id="260" w:name="_Toc29913957"/>
      <w:bookmarkStart w:id="261" w:name="_Toc20857"/>
      <w:bookmarkStart w:id="262" w:name="_Toc172716803"/>
      <w:r>
        <w:rPr>
          <w:rFonts w:hint="eastAsia" w:ascii="黑体" w:hAnsi="仿宋" w:cs="宋体"/>
          <w:b w:val="0"/>
          <w:sz w:val="21"/>
          <w:szCs w:val="21"/>
        </w:rPr>
        <w:t>附件4-2 投标人资格声明(格式)</w:t>
      </w:r>
      <w:bookmarkEnd w:id="260"/>
      <w:bookmarkEnd w:id="261"/>
      <w:bookmarkEnd w:id="262"/>
    </w:p>
    <w:p w14:paraId="5E82A4CB">
      <w:pPr>
        <w:widowControl/>
        <w:adjustRightInd w:val="0"/>
        <w:snapToGrid w:val="0"/>
        <w:spacing w:beforeLines="50" w:line="360" w:lineRule="auto"/>
        <w:jc w:val="center"/>
        <w:rPr>
          <w:rFonts w:cs="宋体" w:asciiTheme="minorEastAsia" w:hAnsiTheme="minorEastAsia" w:eastAsiaTheme="minorEastAsia"/>
          <w:szCs w:val="21"/>
        </w:rPr>
      </w:pPr>
      <w:r>
        <w:rPr>
          <w:rFonts w:hint="eastAsia" w:ascii="黑体" w:hAnsi="仿宋" w:eastAsia="黑体" w:cs="宋体"/>
          <w:b/>
          <w:sz w:val="28"/>
          <w:szCs w:val="28"/>
        </w:rPr>
        <w:t>投标人资格声明(格式)</w:t>
      </w:r>
    </w:p>
    <w:p w14:paraId="0FDC0D43">
      <w:pPr>
        <w:widowControl/>
        <w:adjustRightInd w:val="0"/>
        <w:snapToGrid w:val="0"/>
        <w:spacing w:beforeLines="50" w:line="360" w:lineRule="auto"/>
        <w:jc w:val="left"/>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14:paraId="10ABB44E">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szCs w:val="21"/>
        </w:rPr>
        <w:t>按照《中华人民共和国政府采购法》第二十二条和招标文件的规定，我单位郑重声明如下：</w:t>
      </w:r>
    </w:p>
    <w:p w14:paraId="01FAA07C">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3C15A477">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szCs w:val="21"/>
        </w:rPr>
        <w:t>二、我单位未被</w:t>
      </w:r>
      <w:r>
        <w:rPr>
          <w:rFonts w:hint="eastAsia" w:ascii="华文中宋" w:hAnsi="华文中宋" w:eastAsia="华文中宋" w:cs="宋体"/>
          <w:szCs w:val="21"/>
        </w:rPr>
        <w:t>“</w:t>
      </w:r>
      <w:r>
        <w:rPr>
          <w:rFonts w:hint="eastAsia" w:ascii="宋体" w:hAnsi="宋体" w:cs="宋体"/>
          <w:szCs w:val="21"/>
        </w:rPr>
        <w:t>国家企业信用信息系统</w:t>
      </w:r>
      <w:r>
        <w:rPr>
          <w:rFonts w:hint="eastAsia" w:ascii="华文中宋" w:hAnsi="华文中宋" w:eastAsia="华文中宋" w:cs="宋体"/>
          <w:szCs w:val="21"/>
        </w:rPr>
        <w:t>”</w:t>
      </w:r>
      <w:r>
        <w:rPr>
          <w:rFonts w:hint="eastAsia" w:ascii="宋体" w:hAnsi="宋体" w:cs="宋体"/>
          <w:szCs w:val="21"/>
        </w:rPr>
        <w:t>列入经营异常名录或者严重违法企业名单。</w:t>
      </w:r>
    </w:p>
    <w:p w14:paraId="7235D448">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kern w:val="0"/>
          <w:szCs w:val="21"/>
        </w:rPr>
        <w:t>三、</w:t>
      </w:r>
      <w:r>
        <w:rPr>
          <w:rFonts w:hint="eastAsia" w:ascii="宋体" w:hAnsi="宋体" w:cs="宋体"/>
          <w:szCs w:val="21"/>
        </w:rPr>
        <w:t>我单位具有良好的商业信誉和健全的财务会计制度。</w:t>
      </w:r>
    </w:p>
    <w:p w14:paraId="290529C1">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kern w:val="0"/>
          <w:szCs w:val="21"/>
        </w:rPr>
        <w:t>四、我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3DC45F9A">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szCs w:val="21"/>
        </w:rPr>
        <w:t>五、我单位具有履行本项目采购合同所必需的设备和专业技术能力，并具有履行合同的良好</w:t>
      </w:r>
      <w:r>
        <w:rPr>
          <w:rFonts w:asciiTheme="minorEastAsia" w:hAnsiTheme="minorEastAsia" w:eastAsiaTheme="minorEastAsia"/>
          <w:szCs w:val="21"/>
        </w:rPr>
        <w:t>记录</w:t>
      </w:r>
      <w:r>
        <w:rPr>
          <w:rFonts w:hint="eastAsia" w:ascii="宋体" w:hAnsi="宋体" w:cs="宋体"/>
          <w:szCs w:val="21"/>
        </w:rPr>
        <w:t>。</w:t>
      </w:r>
    </w:p>
    <w:p w14:paraId="57549444">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6BA80D64">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49D02B32">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szCs w:val="21"/>
        </w:rPr>
        <w:t>七、我单位具备法律、行政法规规定的其他条件。</w:t>
      </w:r>
    </w:p>
    <w:p w14:paraId="2791CF8F">
      <w:pPr>
        <w:widowControl/>
        <w:adjustRightInd w:val="0"/>
        <w:snapToGrid w:val="0"/>
        <w:spacing w:beforeLines="50" w:line="360" w:lineRule="auto"/>
        <w:ind w:firstLine="420" w:firstLineChars="200"/>
        <w:jc w:val="left"/>
        <w:rPr>
          <w:szCs w:val="21"/>
        </w:rPr>
      </w:pPr>
      <w:r>
        <w:rPr>
          <w:rFonts w:hint="eastAsia" w:ascii="宋体" w:hAnsi="宋体" w:cs="宋体"/>
          <w:kern w:val="0"/>
          <w:szCs w:val="21"/>
        </w:rPr>
        <w:t>八、</w:t>
      </w:r>
      <w:r>
        <w:rPr>
          <w:rFonts w:hint="eastAsia"/>
          <w:szCs w:val="21"/>
        </w:rPr>
        <w:t>与我单位存在“单位负责人为同一人或者存在直接控股、管理关系”的其他单位信息如下（如无，填写“无”）：</w:t>
      </w:r>
    </w:p>
    <w:p w14:paraId="12072DCE">
      <w:pPr>
        <w:adjustRightInd w:val="0"/>
        <w:snapToGrid w:val="0"/>
        <w:spacing w:beforeLines="50" w:line="360" w:lineRule="auto"/>
        <w:ind w:firstLine="420" w:firstLineChars="200"/>
        <w:rPr>
          <w:szCs w:val="21"/>
        </w:rPr>
      </w:pPr>
      <w:r>
        <w:rPr>
          <w:rFonts w:hint="eastAsia" w:asciiTheme="minorEastAsia" w:hAnsiTheme="minorEastAsia" w:eastAsiaTheme="minorEastAsia"/>
          <w:szCs w:val="21"/>
        </w:rPr>
        <w:t>1、</w:t>
      </w:r>
      <w:r>
        <w:rPr>
          <w:rFonts w:hint="eastAsia"/>
          <w:szCs w:val="21"/>
        </w:rPr>
        <w:t>与我单位的法定代表人（单位负责人）为同一人的其他单位如下：</w:t>
      </w:r>
      <w:r>
        <w:rPr>
          <w:rFonts w:hint="eastAsia" w:asciiTheme="minorEastAsia" w:hAnsiTheme="minorEastAsia" w:eastAsiaTheme="minorEastAsia"/>
          <w:szCs w:val="21"/>
          <w:u w:val="single"/>
        </w:rPr>
        <w:t xml:space="preserve">               </w:t>
      </w:r>
    </w:p>
    <w:p w14:paraId="434BEFD1">
      <w:pPr>
        <w:adjustRightInd w:val="0"/>
        <w:snapToGrid w:val="0"/>
        <w:spacing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2、我</w:t>
      </w:r>
      <w:r>
        <w:rPr>
          <w:rFonts w:hint="eastAsia"/>
          <w:szCs w:val="21"/>
        </w:rPr>
        <w:t>单位</w:t>
      </w:r>
      <w:r>
        <w:rPr>
          <w:rFonts w:hint="eastAsia" w:asciiTheme="minorEastAsia" w:hAnsiTheme="minorEastAsia" w:eastAsiaTheme="minorEastAsia"/>
          <w:szCs w:val="21"/>
        </w:rPr>
        <w:t>直接控股的其他单位如下：</w:t>
      </w:r>
      <w:r>
        <w:rPr>
          <w:rFonts w:hint="eastAsia" w:asciiTheme="minorEastAsia" w:hAnsiTheme="minorEastAsia" w:eastAsiaTheme="minorEastAsia"/>
          <w:szCs w:val="21"/>
          <w:u w:val="single"/>
        </w:rPr>
        <w:t xml:space="preserve">               </w:t>
      </w:r>
    </w:p>
    <w:p w14:paraId="5EF52079">
      <w:pPr>
        <w:adjustRightInd w:val="0"/>
        <w:snapToGrid w:val="0"/>
        <w:spacing w:beforeLines="50" w:line="360" w:lineRule="auto"/>
        <w:ind w:firstLine="420" w:firstLineChars="200"/>
        <w:rPr>
          <w:szCs w:val="21"/>
        </w:rPr>
      </w:pPr>
      <w:r>
        <w:rPr>
          <w:rFonts w:hint="eastAsia" w:asciiTheme="minorEastAsia" w:hAnsiTheme="minorEastAsia" w:eastAsiaTheme="minorEastAsia"/>
          <w:szCs w:val="21"/>
        </w:rPr>
        <w:t>3、与我</w:t>
      </w:r>
      <w:r>
        <w:rPr>
          <w:rFonts w:hint="eastAsia"/>
          <w:szCs w:val="21"/>
        </w:rPr>
        <w:t>单位存在</w:t>
      </w:r>
      <w:r>
        <w:rPr>
          <w:rFonts w:hint="eastAsia" w:asciiTheme="minorEastAsia" w:hAnsiTheme="minorEastAsia" w:eastAsiaTheme="minorEastAsia"/>
          <w:szCs w:val="21"/>
        </w:rPr>
        <w:t>管理关系的其他单位如下：</w:t>
      </w:r>
      <w:r>
        <w:rPr>
          <w:rFonts w:hint="eastAsia" w:asciiTheme="minorEastAsia" w:hAnsiTheme="minorEastAsia" w:eastAsiaTheme="minorEastAsia"/>
          <w:szCs w:val="21"/>
          <w:u w:val="single"/>
        </w:rPr>
        <w:t xml:space="preserve">               </w:t>
      </w:r>
    </w:p>
    <w:p w14:paraId="4F98E551">
      <w:pPr>
        <w:widowControl/>
        <w:adjustRightInd w:val="0"/>
        <w:snapToGrid w:val="0"/>
        <w:spacing w:beforeLines="50" w:line="360" w:lineRule="auto"/>
        <w:ind w:firstLine="420" w:firstLineChars="200"/>
        <w:jc w:val="left"/>
        <w:rPr>
          <w:szCs w:val="21"/>
        </w:rPr>
      </w:pPr>
      <w:r>
        <w:rPr>
          <w:rFonts w:hint="eastAsia" w:ascii="宋体" w:hAnsi="宋体"/>
          <w:szCs w:val="21"/>
        </w:rPr>
        <w:t>九、</w:t>
      </w:r>
      <w:r>
        <w:rPr>
          <w:rFonts w:asciiTheme="minorEastAsia" w:hAnsiTheme="minorEastAsia" w:eastAsiaTheme="minorEastAsia"/>
          <w:szCs w:val="21"/>
        </w:rPr>
        <w:t>我</w:t>
      </w:r>
      <w:r>
        <w:rPr>
          <w:rFonts w:hint="eastAsia" w:asciiTheme="minorEastAsia" w:hAnsiTheme="minorEastAsia" w:eastAsiaTheme="minorEastAsia"/>
          <w:szCs w:val="21"/>
        </w:rPr>
        <w:t>单位</w:t>
      </w:r>
      <w:r>
        <w:rPr>
          <w:rFonts w:asciiTheme="minorEastAsia" w:hAnsiTheme="minorEastAsia" w:eastAsiaTheme="minorEastAsia"/>
          <w:szCs w:val="21"/>
        </w:rPr>
        <w:t>不属于为本项目提供整体设计、规范编制或者项目管理、监理、检测等服务的投标人。</w:t>
      </w:r>
    </w:p>
    <w:p w14:paraId="7BD8CCF8">
      <w:pPr>
        <w:widowControl/>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十、</w:t>
      </w:r>
      <w:r>
        <w:rPr>
          <w:rFonts w:asciiTheme="minorEastAsia" w:hAnsiTheme="minorEastAsia" w:eastAsiaTheme="minorEastAsia"/>
          <w:szCs w:val="21"/>
        </w:rPr>
        <w:t>我单位无以下不良信用记录情形：</w:t>
      </w:r>
    </w:p>
    <w:p w14:paraId="5D8917C1">
      <w:pPr>
        <w:widowControl/>
        <w:adjustRightInd w:val="0"/>
        <w:snapToGrid w:val="0"/>
        <w:spacing w:beforeLines="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、在“信用中国”、“信用湖南”、“信用郴州”网站被列入失信被执行人和重大税收违法案件当事人名单</w:t>
      </w:r>
      <w:r>
        <w:rPr>
          <w:rFonts w:hint="eastAsia" w:ascii="宋体" w:hAnsi="宋体" w:cs="宋体"/>
          <w:szCs w:val="21"/>
        </w:rPr>
        <w:t>；</w:t>
      </w:r>
    </w:p>
    <w:p w14:paraId="40804251">
      <w:pPr>
        <w:widowControl/>
        <w:adjustRightInd w:val="0"/>
        <w:snapToGrid w:val="0"/>
        <w:spacing w:beforeLines="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、在“中国政府采购网”、“湖南省政府采购网”网站被列入政府采购严重违法失信行为记录名单</w:t>
      </w:r>
      <w:r>
        <w:rPr>
          <w:rFonts w:hint="eastAsia" w:ascii="宋体" w:hAnsi="宋体" w:cs="宋体"/>
          <w:szCs w:val="21"/>
        </w:rPr>
        <w:t>；</w:t>
      </w:r>
    </w:p>
    <w:p w14:paraId="2EE56268">
      <w:pPr>
        <w:widowControl/>
        <w:adjustRightInd w:val="0"/>
        <w:snapToGrid w:val="0"/>
        <w:spacing w:beforeLines="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w:t>
      </w:r>
      <w:r>
        <w:rPr>
          <w:rFonts w:asciiTheme="minorEastAsia" w:hAnsiTheme="minorEastAsia" w:eastAsiaTheme="minorEastAsia"/>
          <w:szCs w:val="21"/>
        </w:rPr>
        <w:t>不符合《政府采购法》第二十二条规定的条件。</w:t>
      </w:r>
    </w:p>
    <w:p w14:paraId="027C5566">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szCs w:val="21"/>
        </w:rPr>
        <w:t>我单位保证上述声明的事项都是真实的，如有虚假，我单位愿意承担相应的法律责任，并承担因此所造成的一切损失。</w:t>
      </w:r>
    </w:p>
    <w:p w14:paraId="326D265D">
      <w:pPr>
        <w:widowControl/>
        <w:adjustRightInd w:val="0"/>
        <w:snapToGrid w:val="0"/>
        <w:spacing w:beforeLines="50" w:line="360" w:lineRule="auto"/>
        <w:jc w:val="left"/>
        <w:rPr>
          <w:rFonts w:ascii="宋体" w:hAnsi="宋体" w:cs="宋体"/>
          <w:szCs w:val="21"/>
        </w:rPr>
      </w:pPr>
    </w:p>
    <w:p w14:paraId="4496892A">
      <w:pPr>
        <w:widowControl/>
        <w:adjustRightInd w:val="0"/>
        <w:snapToGrid w:val="0"/>
        <w:spacing w:beforeLines="50" w:line="360" w:lineRule="auto"/>
        <w:jc w:val="left"/>
        <w:rPr>
          <w:rFonts w:ascii="宋体" w:hAnsi="宋体" w:cs="宋体"/>
          <w:szCs w:val="21"/>
        </w:rPr>
      </w:pPr>
      <w:r>
        <w:rPr>
          <w:rFonts w:hint="eastAsia" w:cs="宋体" w:asciiTheme="minorEastAsia" w:hAnsiTheme="minorEastAsia" w:eastAsiaTheme="minorEastAsia"/>
          <w:szCs w:val="21"/>
        </w:rPr>
        <w:t>注：第三条“良好的商业信誉”是指投标人经营状况良好，无本资格声明第十条情形。</w:t>
      </w:r>
    </w:p>
    <w:p w14:paraId="598236E2">
      <w:pPr>
        <w:widowControl/>
        <w:adjustRightInd w:val="0"/>
        <w:snapToGrid w:val="0"/>
        <w:spacing w:beforeLines="50" w:line="360" w:lineRule="auto"/>
        <w:jc w:val="left"/>
        <w:rPr>
          <w:rFonts w:ascii="宋体" w:hAnsi="宋体" w:cs="宋体"/>
          <w:szCs w:val="21"/>
        </w:rPr>
      </w:pPr>
    </w:p>
    <w:p w14:paraId="6F2D738F">
      <w:pPr>
        <w:widowControl/>
        <w:adjustRightInd w:val="0"/>
        <w:snapToGrid w:val="0"/>
        <w:spacing w:line="360" w:lineRule="auto"/>
        <w:jc w:val="left"/>
        <w:rPr>
          <w:rFonts w:ascii="宋体" w:hAnsi="宋体" w:cs="宋体"/>
          <w:kern w:val="0"/>
          <w:szCs w:val="21"/>
        </w:rPr>
      </w:pPr>
      <w:r>
        <w:rPr>
          <w:rFonts w:hint="eastAsia" w:ascii="宋体" w:hAnsi="宋体" w:cs="宋体"/>
          <w:szCs w:val="21"/>
        </w:rPr>
        <w:t>投标人名称（盖单位电子公章）：</w:t>
      </w:r>
    </w:p>
    <w:p w14:paraId="776BC8CA">
      <w:pPr>
        <w:widowControl/>
        <w:adjustRightInd w:val="0"/>
        <w:snapToGrid w:val="0"/>
        <w:spacing w:line="360" w:lineRule="auto"/>
        <w:jc w:val="left"/>
        <w:rPr>
          <w:rFonts w:ascii="宋体" w:hAnsi="宋体" w:cs="宋体" w:eastAsiaTheme="minorEastAsia"/>
          <w:b/>
          <w:bCs/>
          <w:kern w:val="0"/>
          <w:sz w:val="44"/>
          <w:szCs w:val="44"/>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rPr>
        <w:t>或委托代理人：</w:t>
      </w:r>
      <w:r>
        <w:rPr>
          <w:rFonts w:hint="eastAsia" w:asciiTheme="minorEastAsia" w:hAnsiTheme="minorEastAsia" w:eastAsiaTheme="minorEastAsia"/>
          <w:u w:val="single"/>
        </w:rPr>
        <w:t xml:space="preserve">       </w:t>
      </w:r>
      <w:r>
        <w:rPr>
          <w:rFonts w:hint="eastAsia" w:asciiTheme="minorEastAsia" w:hAnsiTheme="minorEastAsia" w:eastAsiaTheme="minorEastAsia"/>
        </w:rPr>
        <w:t>（签字或签章）</w:t>
      </w:r>
    </w:p>
    <w:p w14:paraId="00A604AE">
      <w:pPr>
        <w:widowControl/>
        <w:adjustRightInd w:val="0"/>
        <w:snapToGrid w:val="0"/>
        <w:spacing w:line="360" w:lineRule="auto"/>
        <w:jc w:val="left"/>
        <w:rPr>
          <w:rFonts w:cs="宋体" w:asciiTheme="minorEastAsia" w:hAnsiTheme="minorEastAsia" w:eastAsiaTheme="minorEastAsia"/>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F38E3C6">
      <w:pPr>
        <w:pStyle w:val="6"/>
        <w:rPr>
          <w:rFonts w:ascii="黑体" w:hAnsi="仿宋" w:cs="宋体"/>
          <w:szCs w:val="21"/>
        </w:rPr>
      </w:pPr>
      <w:r>
        <w:rPr>
          <w:rFonts w:ascii="黑体" w:hAnsi="仿宋" w:cs="宋体"/>
          <w:b w:val="0"/>
          <w:sz w:val="21"/>
          <w:szCs w:val="21"/>
        </w:rPr>
        <w:br w:type="page"/>
      </w:r>
      <w:bookmarkStart w:id="263" w:name="_Toc172716804"/>
      <w:r>
        <w:rPr>
          <w:rFonts w:hint="eastAsia" w:ascii="黑体" w:hAnsi="仿宋" w:cs="宋体"/>
          <w:b w:val="0"/>
          <w:sz w:val="21"/>
          <w:szCs w:val="21"/>
        </w:rPr>
        <w:t>附件4-3 湖南省政府采购供应商资格承诺函</w:t>
      </w:r>
      <w:bookmarkEnd w:id="263"/>
    </w:p>
    <w:p w14:paraId="5F04DC2A">
      <w:pPr>
        <w:widowControl/>
        <w:jc w:val="left"/>
        <w:rPr>
          <w:rFonts w:ascii="黑体" w:hAnsi="仿宋" w:eastAsia="黑体" w:cs="宋体"/>
          <w:bCs/>
          <w:szCs w:val="21"/>
        </w:rPr>
      </w:pPr>
    </w:p>
    <w:p w14:paraId="7D9D7777">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湖南省政府采购供应商资格承诺函</w:t>
      </w:r>
    </w:p>
    <w:p w14:paraId="2F357C8F">
      <w:pPr>
        <w:widowControl/>
        <w:spacing w:line="480" w:lineRule="atLeast"/>
        <w:ind w:firstLine="422"/>
        <w:jc w:val="left"/>
        <w:rPr>
          <w:rFonts w:ascii="微软雅黑" w:hAnsi="微软雅黑" w:eastAsia="微软雅黑" w:cs="宋体"/>
          <w:kern w:val="0"/>
          <w:sz w:val="24"/>
        </w:rPr>
      </w:pPr>
      <w:r>
        <w:rPr>
          <w:rFonts w:hint="eastAsia" w:ascii="宋体" w:hAnsi="宋体" w:cs="宋体"/>
          <w:b/>
          <w:bCs/>
          <w:kern w:val="0"/>
          <w:sz w:val="24"/>
        </w:rPr>
        <w:t>致</w:t>
      </w:r>
      <w:r>
        <w:rPr>
          <w:rFonts w:hint="eastAsia" w:ascii="宋体" w:hAnsi="宋体" w:cs="宋体"/>
          <w:b/>
          <w:bCs/>
          <w:kern w:val="0"/>
          <w:sz w:val="24"/>
          <w:u w:val="single"/>
        </w:rPr>
        <w:t>            </w:t>
      </w:r>
      <w:r>
        <w:rPr>
          <w:rFonts w:hint="eastAsia" w:ascii="宋体" w:hAnsi="宋体" w:cs="宋体"/>
          <w:b/>
          <w:bCs/>
          <w:kern w:val="0"/>
          <w:sz w:val="24"/>
        </w:rPr>
        <w:t>（采购人、采购代理机构）：</w:t>
      </w:r>
    </w:p>
    <w:p w14:paraId="1ED58D60">
      <w:pPr>
        <w:widowControl/>
        <w:spacing w:line="480" w:lineRule="atLeast"/>
        <w:ind w:firstLine="420"/>
        <w:jc w:val="left"/>
        <w:rPr>
          <w:rFonts w:ascii="微软雅黑" w:hAnsi="微软雅黑" w:eastAsia="微软雅黑" w:cs="宋体"/>
          <w:kern w:val="0"/>
          <w:sz w:val="24"/>
        </w:rPr>
      </w:pPr>
      <w:r>
        <w:rPr>
          <w:rFonts w:hint="eastAsia" w:ascii="宋体" w:hAnsi="宋体" w:cs="宋体"/>
          <w:kern w:val="0"/>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0D1BA50">
      <w:pPr>
        <w:widowControl/>
        <w:spacing w:line="480" w:lineRule="atLeast"/>
        <w:ind w:firstLine="420"/>
        <w:jc w:val="left"/>
        <w:rPr>
          <w:rFonts w:ascii="微软雅黑" w:hAnsi="微软雅黑" w:eastAsia="微软雅黑" w:cs="宋体"/>
          <w:kern w:val="0"/>
          <w:sz w:val="24"/>
        </w:rPr>
      </w:pPr>
      <w:r>
        <w:rPr>
          <w:rFonts w:hint="eastAsia" w:ascii="宋体" w:hAnsi="宋体" w:cs="宋体"/>
          <w:kern w:val="0"/>
          <w:szCs w:val="21"/>
        </w:rPr>
        <w:t>按照《政府采购促进中小企业发展管理办法》（财库〔2020〕46号），本公司企业规模为：□大型  □中型  □小型  □微型</w:t>
      </w:r>
    </w:p>
    <w:p w14:paraId="17735FE1">
      <w:pPr>
        <w:widowControl/>
        <w:spacing w:line="400" w:lineRule="atLeast"/>
        <w:ind w:firstLine="420"/>
        <w:jc w:val="left"/>
        <w:rPr>
          <w:rFonts w:ascii="微软雅黑" w:hAnsi="微软雅黑" w:eastAsia="微软雅黑" w:cs="宋体"/>
          <w:kern w:val="0"/>
          <w:sz w:val="24"/>
        </w:rPr>
      </w:pPr>
      <w:r>
        <w:rPr>
          <w:rFonts w:hint="eastAsia" w:ascii="宋体" w:hAnsi="宋体" w:cs="宋体"/>
          <w:kern w:val="0"/>
          <w:szCs w:val="21"/>
        </w:rPr>
        <w:t>□本公司自愿入驻湖南省政府采购电子卖场，遵守《湖南省政府采购电子卖场管理办法》（湘财购〔2019〕27号），如违反承诺，同意金融机构将增信保证划缴国库（非电子卖场采购活动项目不需勾选）。</w:t>
      </w:r>
    </w:p>
    <w:p w14:paraId="5ED64361">
      <w:pPr>
        <w:widowControl/>
        <w:spacing w:line="360" w:lineRule="auto"/>
        <w:ind w:firstLine="420" w:firstLineChars="200"/>
        <w:jc w:val="left"/>
        <w:rPr>
          <w:rFonts w:ascii="微软雅黑" w:hAnsi="微软雅黑" w:eastAsia="微软雅黑" w:cs="宋体"/>
          <w:kern w:val="0"/>
          <w:sz w:val="24"/>
        </w:rPr>
      </w:pPr>
      <w:r>
        <w:rPr>
          <w:rFonts w:hint="eastAsia" w:ascii="宋体" w:hAnsi="宋体" w:cs="宋体"/>
          <w:kern w:val="0"/>
          <w:szCs w:val="21"/>
        </w:rPr>
        <w:t>公司机构代码：</w:t>
      </w:r>
      <w:r>
        <w:rPr>
          <w:rFonts w:hint="eastAsia" w:ascii="宋体" w:hAnsi="宋体" w:cs="宋体"/>
          <w:kern w:val="0"/>
          <w:szCs w:val="21"/>
          <w:u w:val="single"/>
        </w:rPr>
        <w:t>         </w:t>
      </w:r>
      <w:r>
        <w:rPr>
          <w:rFonts w:hint="eastAsia" w:ascii="宋体" w:hAnsi="宋体" w:cs="宋体"/>
          <w:kern w:val="0"/>
          <w:szCs w:val="21"/>
        </w:rPr>
        <w:t>；注册登记机构：</w:t>
      </w:r>
      <w:r>
        <w:rPr>
          <w:rFonts w:hint="eastAsia" w:ascii="宋体" w:hAnsi="宋体" w:cs="宋体"/>
          <w:kern w:val="0"/>
          <w:szCs w:val="21"/>
          <w:u w:val="single"/>
        </w:rPr>
        <w:t>       </w:t>
      </w:r>
      <w:r>
        <w:rPr>
          <w:rFonts w:hint="eastAsia" w:ascii="宋体" w:hAnsi="宋体" w:cs="宋体"/>
          <w:kern w:val="0"/>
          <w:szCs w:val="21"/>
        </w:rPr>
        <w:t>；日期</w:t>
      </w:r>
      <w:r>
        <w:rPr>
          <w:rFonts w:hint="eastAsia" w:ascii="宋体" w:hAnsi="宋体" w:cs="宋体"/>
          <w:kern w:val="0"/>
          <w:szCs w:val="21"/>
          <w:u w:val="single"/>
        </w:rPr>
        <w:t>     </w:t>
      </w:r>
      <w:r>
        <w:rPr>
          <w:rFonts w:hint="eastAsia" w:ascii="宋体" w:hAnsi="宋体" w:cs="宋体"/>
          <w:kern w:val="0"/>
          <w:szCs w:val="21"/>
        </w:rPr>
        <w:t>；有效期：</w:t>
      </w:r>
      <w:r>
        <w:rPr>
          <w:rFonts w:hint="eastAsia" w:ascii="宋体" w:hAnsi="宋体" w:cs="宋体"/>
          <w:kern w:val="0"/>
          <w:szCs w:val="21"/>
          <w:u w:val="single"/>
        </w:rPr>
        <w:t>       </w:t>
      </w:r>
      <w:r>
        <w:rPr>
          <w:rFonts w:hint="eastAsia" w:ascii="宋体" w:hAnsi="宋体" w:cs="宋体"/>
          <w:kern w:val="0"/>
          <w:szCs w:val="21"/>
        </w:rPr>
        <w:t>；注册资本：</w:t>
      </w:r>
      <w:r>
        <w:rPr>
          <w:rFonts w:hint="eastAsia" w:ascii="宋体" w:hAnsi="宋体" w:cs="宋体"/>
          <w:kern w:val="0"/>
          <w:szCs w:val="21"/>
          <w:u w:val="single"/>
        </w:rPr>
        <w:t>     </w:t>
      </w:r>
      <w:r>
        <w:rPr>
          <w:rFonts w:hint="eastAsia" w:ascii="宋体" w:hAnsi="宋体" w:cs="宋体"/>
          <w:kern w:val="0"/>
          <w:szCs w:val="21"/>
        </w:rPr>
        <w:t>；地址</w:t>
      </w:r>
      <w:r>
        <w:rPr>
          <w:rFonts w:hint="eastAsia" w:ascii="宋体" w:hAnsi="宋体" w:cs="宋体"/>
          <w:kern w:val="0"/>
          <w:szCs w:val="21"/>
          <w:u w:val="single"/>
        </w:rPr>
        <w:t>                </w:t>
      </w:r>
      <w:r>
        <w:rPr>
          <w:rFonts w:hint="eastAsia" w:ascii="宋体" w:hAnsi="宋体" w:cs="宋体"/>
          <w:kern w:val="0"/>
          <w:szCs w:val="21"/>
        </w:rPr>
        <w:t>；经济行业：</w:t>
      </w:r>
      <w:r>
        <w:rPr>
          <w:rFonts w:hint="eastAsia" w:ascii="宋体" w:hAnsi="宋体" w:cs="宋体"/>
          <w:kern w:val="0"/>
          <w:szCs w:val="21"/>
          <w:u w:val="single"/>
        </w:rPr>
        <w:t>         </w:t>
      </w:r>
      <w:r>
        <w:rPr>
          <w:rFonts w:hint="eastAsia" w:ascii="宋体" w:hAnsi="宋体" w:cs="宋体"/>
          <w:kern w:val="0"/>
          <w:szCs w:val="21"/>
        </w:rPr>
        <w:t>；经济性质：</w:t>
      </w:r>
      <w:r>
        <w:rPr>
          <w:rFonts w:hint="eastAsia" w:ascii="宋体" w:hAnsi="宋体" w:cs="宋体"/>
          <w:kern w:val="0"/>
          <w:szCs w:val="21"/>
          <w:u w:val="single"/>
        </w:rPr>
        <w:t>                   </w:t>
      </w:r>
      <w:r>
        <w:rPr>
          <w:rFonts w:hint="eastAsia" w:ascii="宋体" w:hAnsi="宋体" w:cs="宋体"/>
          <w:kern w:val="0"/>
          <w:szCs w:val="21"/>
        </w:rPr>
        <w:t>；</w:t>
      </w:r>
    </w:p>
    <w:p w14:paraId="4C3EA845">
      <w:pPr>
        <w:widowControl/>
        <w:spacing w:line="360" w:lineRule="auto"/>
        <w:ind w:firstLine="420" w:firstLineChars="200"/>
        <w:jc w:val="left"/>
        <w:rPr>
          <w:rFonts w:ascii="微软雅黑" w:hAnsi="微软雅黑" w:eastAsia="微软雅黑" w:cs="宋体"/>
          <w:kern w:val="0"/>
          <w:sz w:val="24"/>
        </w:rPr>
      </w:pPr>
      <w:r>
        <w:rPr>
          <w:rFonts w:hint="eastAsia" w:ascii="宋体" w:hAnsi="宋体" w:cs="宋体"/>
          <w:kern w:val="0"/>
          <w:szCs w:val="21"/>
        </w:rPr>
        <w:t>法定代表人姓名（签字）：</w:t>
      </w:r>
      <w:r>
        <w:rPr>
          <w:rFonts w:hint="eastAsia" w:ascii="宋体" w:hAnsi="宋体" w:cs="宋体"/>
          <w:kern w:val="0"/>
          <w:szCs w:val="21"/>
          <w:u w:val="single"/>
        </w:rPr>
        <w:t>      </w:t>
      </w:r>
      <w:r>
        <w:rPr>
          <w:rFonts w:hint="eastAsia" w:ascii="宋体" w:hAnsi="宋体" w:cs="宋体"/>
          <w:kern w:val="0"/>
          <w:szCs w:val="21"/>
        </w:rPr>
        <w:t>；身份证号：</w:t>
      </w:r>
      <w:r>
        <w:rPr>
          <w:rFonts w:hint="eastAsia" w:ascii="宋体" w:hAnsi="宋体" w:cs="宋体"/>
          <w:kern w:val="0"/>
          <w:szCs w:val="21"/>
          <w:u w:val="single"/>
        </w:rPr>
        <w:t>               </w:t>
      </w:r>
      <w:r>
        <w:rPr>
          <w:rFonts w:hint="eastAsia" w:ascii="宋体" w:hAnsi="宋体" w:cs="宋体"/>
          <w:kern w:val="0"/>
          <w:szCs w:val="21"/>
        </w:rPr>
        <w:t>；手机号：</w:t>
      </w:r>
      <w:r>
        <w:rPr>
          <w:rFonts w:hint="eastAsia" w:ascii="宋体" w:hAnsi="宋体" w:cs="宋体"/>
          <w:kern w:val="0"/>
          <w:szCs w:val="21"/>
          <w:u w:val="single"/>
        </w:rPr>
        <w:t>           </w:t>
      </w:r>
      <w:r>
        <w:rPr>
          <w:rFonts w:hint="eastAsia" w:ascii="宋体" w:hAnsi="宋体" w:cs="宋体"/>
          <w:kern w:val="0"/>
          <w:szCs w:val="21"/>
        </w:rPr>
        <w:t>；</w:t>
      </w:r>
    </w:p>
    <w:p w14:paraId="019E28E7">
      <w:pPr>
        <w:widowControl/>
        <w:spacing w:line="360" w:lineRule="auto"/>
        <w:ind w:firstLine="420" w:firstLineChars="200"/>
        <w:jc w:val="left"/>
        <w:rPr>
          <w:rFonts w:ascii="微软雅黑" w:hAnsi="微软雅黑" w:eastAsia="微软雅黑" w:cs="宋体"/>
          <w:kern w:val="0"/>
          <w:sz w:val="24"/>
        </w:rPr>
      </w:pPr>
      <w:r>
        <w:rPr>
          <w:rFonts w:hint="eastAsia" w:ascii="宋体" w:hAnsi="宋体" w:cs="宋体"/>
          <w:kern w:val="0"/>
          <w:szCs w:val="21"/>
        </w:rPr>
        <w:t>授权代表人姓名（签字）：</w:t>
      </w:r>
      <w:r>
        <w:rPr>
          <w:rFonts w:hint="eastAsia" w:ascii="宋体" w:hAnsi="宋体" w:cs="宋体"/>
          <w:kern w:val="0"/>
          <w:szCs w:val="21"/>
          <w:u w:val="single"/>
        </w:rPr>
        <w:t>       </w:t>
      </w:r>
      <w:r>
        <w:rPr>
          <w:rFonts w:hint="eastAsia" w:ascii="宋体" w:hAnsi="宋体" w:cs="宋体"/>
          <w:kern w:val="0"/>
          <w:szCs w:val="21"/>
        </w:rPr>
        <w:t>；身份证号：</w:t>
      </w:r>
      <w:r>
        <w:rPr>
          <w:rFonts w:hint="eastAsia" w:ascii="宋体" w:hAnsi="宋体" w:cs="宋体"/>
          <w:kern w:val="0"/>
          <w:szCs w:val="21"/>
          <w:u w:val="single"/>
        </w:rPr>
        <w:t>            </w:t>
      </w:r>
      <w:r>
        <w:rPr>
          <w:rFonts w:hint="eastAsia" w:ascii="宋体" w:hAnsi="宋体" w:cs="宋体"/>
          <w:kern w:val="0"/>
          <w:szCs w:val="21"/>
        </w:rPr>
        <w:t>；手机号：</w:t>
      </w:r>
      <w:r>
        <w:rPr>
          <w:rFonts w:hint="eastAsia" w:ascii="宋体" w:hAnsi="宋体" w:cs="宋体"/>
          <w:kern w:val="0"/>
          <w:szCs w:val="21"/>
          <w:u w:val="single"/>
        </w:rPr>
        <w:t>           </w:t>
      </w:r>
      <w:r>
        <w:rPr>
          <w:rFonts w:hint="eastAsia" w:ascii="宋体" w:hAnsi="宋体" w:cs="宋体"/>
          <w:kern w:val="0"/>
          <w:szCs w:val="21"/>
        </w:rPr>
        <w:t>；</w:t>
      </w:r>
    </w:p>
    <w:p w14:paraId="7C1A79CC">
      <w:pPr>
        <w:widowControl/>
        <w:spacing w:line="420" w:lineRule="atLeast"/>
        <w:ind w:left="228" w:firstLine="420"/>
        <w:jc w:val="left"/>
        <w:rPr>
          <w:rFonts w:ascii="微软雅黑" w:hAnsi="微软雅黑" w:eastAsia="微软雅黑" w:cs="宋体"/>
          <w:kern w:val="0"/>
          <w:sz w:val="24"/>
        </w:rPr>
      </w:pPr>
      <w:r>
        <w:rPr>
          <w:rFonts w:eastAsia="微软雅黑"/>
          <w:kern w:val="0"/>
          <w:szCs w:val="21"/>
        </w:rPr>
        <w:t> </w:t>
      </w:r>
    </w:p>
    <w:p w14:paraId="0E6D747B">
      <w:pPr>
        <w:widowControl/>
        <w:spacing w:line="420" w:lineRule="atLeast"/>
        <w:ind w:left="228" w:firstLine="420"/>
        <w:rPr>
          <w:rFonts w:ascii="宋体" w:hAnsi="宋体" w:cs="宋体"/>
          <w:kern w:val="0"/>
          <w:szCs w:val="21"/>
        </w:rPr>
      </w:pPr>
      <w:r>
        <w:rPr>
          <w:rFonts w:hint="eastAsia" w:ascii="宋体" w:hAnsi="宋体" w:cs="宋体"/>
          <w:kern w:val="0"/>
          <w:szCs w:val="21"/>
        </w:rPr>
        <w:t>投标人名称（盖公章）：</w:t>
      </w:r>
    </w:p>
    <w:p w14:paraId="3E598301">
      <w:pPr>
        <w:ind w:firstLine="630" w:firstLineChars="300"/>
      </w:pPr>
    </w:p>
    <w:p w14:paraId="03BF5BC9">
      <w:pPr>
        <w:ind w:firstLine="630" w:firstLineChars="300"/>
      </w:pPr>
      <w:r>
        <w:rPr>
          <w:rFonts w:hint="eastAsia"/>
        </w:rPr>
        <w:t>日期：       年    月    日</w:t>
      </w:r>
    </w:p>
    <w:p w14:paraId="6C583DB6"/>
    <w:p w14:paraId="51DE81A2">
      <w:pPr>
        <w:widowControl/>
        <w:jc w:val="left"/>
        <w:rPr>
          <w:rFonts w:ascii="黑体" w:hAnsi="仿宋" w:eastAsia="黑体" w:cs="宋体"/>
          <w:bCs/>
          <w:szCs w:val="21"/>
        </w:rPr>
      </w:pPr>
      <w:r>
        <w:rPr>
          <w:rFonts w:ascii="黑体" w:hAnsi="仿宋" w:eastAsia="黑体" w:cs="宋体"/>
          <w:bCs/>
          <w:szCs w:val="21"/>
        </w:rPr>
        <w:br w:type="page"/>
      </w:r>
    </w:p>
    <w:p w14:paraId="560F501E">
      <w:pPr>
        <w:pStyle w:val="6"/>
        <w:rPr>
          <w:rFonts w:ascii="黑体" w:hAnsi="仿宋" w:cs="宋体"/>
          <w:b w:val="0"/>
          <w:sz w:val="21"/>
          <w:szCs w:val="21"/>
        </w:rPr>
      </w:pPr>
      <w:bookmarkStart w:id="264" w:name="_Toc172716805"/>
      <w:bookmarkStart w:id="265" w:name="_Toc26565"/>
      <w:bookmarkStart w:id="266" w:name="_Toc29913958"/>
      <w:r>
        <w:rPr>
          <w:rFonts w:hint="eastAsia" w:ascii="黑体" w:hAnsi="仿宋" w:cs="宋体"/>
          <w:b w:val="0"/>
          <w:sz w:val="21"/>
          <w:szCs w:val="21"/>
        </w:rPr>
        <w:t>附件4-4 符合特定资格条件证明材料复印件或者情况说明</w:t>
      </w:r>
      <w:bookmarkEnd w:id="264"/>
      <w:bookmarkEnd w:id="265"/>
      <w:bookmarkEnd w:id="266"/>
    </w:p>
    <w:p w14:paraId="43B80DC4">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符合特定资格条件证明材料复印件或者情况说明</w:t>
      </w:r>
    </w:p>
    <w:p w14:paraId="56E3760B">
      <w:pPr>
        <w:widowControl/>
        <w:adjustRightInd w:val="0"/>
        <w:snapToGrid w:val="0"/>
        <w:spacing w:line="360" w:lineRule="auto"/>
        <w:ind w:firstLine="560" w:firstLineChars="200"/>
        <w:jc w:val="left"/>
        <w:rPr>
          <w:rFonts w:ascii="黑体" w:hAnsi="仿宋" w:eastAsia="黑体" w:cs="宋体"/>
          <w:sz w:val="28"/>
          <w:szCs w:val="28"/>
        </w:rPr>
      </w:pPr>
    </w:p>
    <w:p w14:paraId="58B25194">
      <w:pPr>
        <w:widowControl/>
        <w:adjustRightInd w:val="0"/>
        <w:snapToGrid w:val="0"/>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注：按第二章第</w:t>
      </w:r>
      <w:r>
        <w:rPr>
          <w:rFonts w:cs="宋体" w:asciiTheme="minorEastAsia" w:hAnsiTheme="minorEastAsia" w:eastAsiaTheme="minorEastAsia"/>
          <w:szCs w:val="21"/>
        </w:rPr>
        <w:t>1</w:t>
      </w:r>
      <w:r>
        <w:rPr>
          <w:rFonts w:hint="eastAsia" w:cs="宋体" w:asciiTheme="minorEastAsia" w:hAnsiTheme="minorEastAsia" w:eastAsiaTheme="minorEastAsia"/>
          <w:szCs w:val="21"/>
        </w:rPr>
        <w:t>4</w:t>
      </w:r>
      <w:r>
        <w:rPr>
          <w:rFonts w:cs="宋体" w:asciiTheme="minorEastAsia" w:hAnsiTheme="minorEastAsia" w:eastAsiaTheme="minorEastAsia"/>
          <w:szCs w:val="21"/>
        </w:rPr>
        <w:t>.1</w:t>
      </w:r>
      <w:r>
        <w:rPr>
          <w:rFonts w:hint="eastAsia" w:cs="宋体" w:asciiTheme="minorEastAsia" w:hAnsiTheme="minorEastAsia" w:eastAsiaTheme="minorEastAsia"/>
          <w:szCs w:val="21"/>
        </w:rPr>
        <w:t>（3）项要求提供。</w:t>
      </w:r>
    </w:p>
    <w:p w14:paraId="2B66B63A">
      <w:pPr>
        <w:widowControl/>
        <w:jc w:val="left"/>
        <w:rPr>
          <w:rFonts w:ascii="黑体" w:hAnsi="仿宋" w:eastAsia="黑体" w:cs="宋体"/>
          <w:szCs w:val="21"/>
        </w:rPr>
      </w:pPr>
      <w:r>
        <w:rPr>
          <w:rFonts w:ascii="黑体" w:hAnsi="仿宋" w:eastAsia="黑体" w:cs="宋体"/>
          <w:szCs w:val="21"/>
        </w:rPr>
        <w:br w:type="page"/>
      </w:r>
    </w:p>
    <w:p w14:paraId="2079F1E2">
      <w:pPr>
        <w:adjustRightInd w:val="0"/>
        <w:snapToGrid w:val="0"/>
        <w:spacing w:line="360" w:lineRule="auto"/>
        <w:jc w:val="center"/>
        <w:rPr>
          <w:rFonts w:ascii="黑体" w:eastAsia="黑体"/>
          <w:sz w:val="32"/>
          <w:szCs w:val="32"/>
        </w:rPr>
      </w:pPr>
    </w:p>
    <w:p w14:paraId="2186EFF3">
      <w:pPr>
        <w:adjustRightInd w:val="0"/>
        <w:snapToGrid w:val="0"/>
        <w:spacing w:line="360" w:lineRule="auto"/>
        <w:jc w:val="center"/>
        <w:rPr>
          <w:rFonts w:ascii="黑体" w:eastAsia="黑体"/>
          <w:sz w:val="32"/>
          <w:szCs w:val="32"/>
        </w:rPr>
      </w:pPr>
    </w:p>
    <w:p w14:paraId="4FF8503B">
      <w:pPr>
        <w:pStyle w:val="23"/>
        <w:adjustRightInd w:val="0"/>
        <w:snapToGrid w:val="0"/>
        <w:spacing w:line="360" w:lineRule="auto"/>
        <w:jc w:val="center"/>
        <w:rPr>
          <w:rFonts w:ascii="华文中宋" w:hAnsi="华文中宋" w:eastAsia="华文中宋"/>
          <w:bCs/>
          <w:sz w:val="72"/>
          <w:szCs w:val="72"/>
        </w:rPr>
      </w:pPr>
      <w:r>
        <w:rPr>
          <w:rFonts w:hint="eastAsia" w:ascii="华文中宋" w:hAnsi="华文中宋" w:eastAsia="华文中宋"/>
          <w:bCs/>
          <w:sz w:val="72"/>
          <w:szCs w:val="72"/>
        </w:rPr>
        <w:t>政府采购</w:t>
      </w:r>
    </w:p>
    <w:p w14:paraId="4F18E849">
      <w:pPr>
        <w:adjustRightInd w:val="0"/>
        <w:snapToGrid w:val="0"/>
        <w:spacing w:line="360" w:lineRule="auto"/>
        <w:jc w:val="center"/>
        <w:rPr>
          <w:rFonts w:asciiTheme="minorEastAsia" w:hAnsiTheme="minorEastAsia" w:eastAsiaTheme="minorEastAsia"/>
          <w:b/>
          <w:bCs/>
          <w:sz w:val="84"/>
          <w:szCs w:val="84"/>
        </w:rPr>
      </w:pPr>
      <w:r>
        <w:rPr>
          <w:rFonts w:hint="eastAsia" w:asciiTheme="minorEastAsia" w:hAnsiTheme="minorEastAsia" w:eastAsiaTheme="minorEastAsia"/>
          <w:b/>
          <w:bCs/>
          <w:sz w:val="84"/>
          <w:szCs w:val="84"/>
        </w:rPr>
        <w:t>投 标 文 件</w:t>
      </w:r>
    </w:p>
    <w:p w14:paraId="0E28755C">
      <w:pPr>
        <w:pStyle w:val="4"/>
        <w:adjustRightInd w:val="0"/>
        <w:snapToGrid w:val="0"/>
        <w:jc w:val="center"/>
        <w:rPr>
          <w:rFonts w:ascii="黑体" w:hAnsi="黑体" w:eastAsia="黑体"/>
          <w:sz w:val="44"/>
          <w:szCs w:val="44"/>
        </w:rPr>
      </w:pPr>
      <w:bookmarkStart w:id="267" w:name="_Toc29913960"/>
      <w:bookmarkStart w:id="268" w:name="_Toc10663"/>
      <w:bookmarkStart w:id="269" w:name="_Toc172716807"/>
      <w:r>
        <w:rPr>
          <w:rFonts w:hint="eastAsia" w:ascii="黑体" w:hAnsi="黑体" w:eastAsia="黑体"/>
          <w:sz w:val="44"/>
          <w:szCs w:val="44"/>
        </w:rPr>
        <w:t>第二部分 商务技术文件</w:t>
      </w:r>
      <w:bookmarkEnd w:id="267"/>
      <w:bookmarkEnd w:id="268"/>
      <w:bookmarkEnd w:id="269"/>
    </w:p>
    <w:p w14:paraId="2BA5251E">
      <w:pPr>
        <w:adjustRightInd w:val="0"/>
        <w:snapToGrid w:val="0"/>
        <w:spacing w:line="360" w:lineRule="auto"/>
        <w:rPr>
          <w:rFonts w:asciiTheme="minorEastAsia" w:hAnsiTheme="minorEastAsia" w:eastAsiaTheme="minorEastAsia"/>
          <w:sz w:val="32"/>
          <w:szCs w:val="32"/>
        </w:rPr>
      </w:pPr>
    </w:p>
    <w:p w14:paraId="03E15E63">
      <w:pPr>
        <w:pStyle w:val="23"/>
        <w:adjustRightInd w:val="0"/>
        <w:snapToGrid w:val="0"/>
        <w:spacing w:line="360" w:lineRule="auto"/>
        <w:ind w:firstLine="1988" w:firstLineChars="660"/>
        <w:rPr>
          <w:rFonts w:asciiTheme="minorEastAsia" w:hAnsiTheme="minorEastAsia" w:eastAsiaTheme="minorEastAsia"/>
          <w:b/>
          <w:bCs/>
          <w:sz w:val="30"/>
          <w:szCs w:val="30"/>
        </w:rPr>
      </w:pPr>
    </w:p>
    <w:p w14:paraId="020453B3">
      <w:pPr>
        <w:pStyle w:val="23"/>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采购项目名称:</w:t>
      </w:r>
      <w:r>
        <w:rPr>
          <w:rFonts w:hint="eastAsia" w:asciiTheme="minorEastAsia" w:hAnsiTheme="minorEastAsia" w:eastAsiaTheme="minorEastAsia"/>
          <w:b/>
          <w:bCs/>
          <w:sz w:val="30"/>
          <w:szCs w:val="30"/>
          <w:u w:val="single"/>
        </w:rPr>
        <w:t xml:space="preserve">                       </w:t>
      </w:r>
    </w:p>
    <w:p w14:paraId="48B8559D">
      <w:pPr>
        <w:pStyle w:val="23"/>
        <w:adjustRightInd w:val="0"/>
        <w:snapToGrid w:val="0"/>
        <w:spacing w:line="360" w:lineRule="auto"/>
        <w:ind w:firstLine="1988" w:firstLineChars="660"/>
        <w:rPr>
          <w:rFonts w:asciiTheme="minorEastAsia" w:hAnsiTheme="minorEastAsia" w:eastAsiaTheme="minorEastAsia"/>
          <w:b/>
          <w:bCs/>
          <w:sz w:val="30"/>
          <w:szCs w:val="30"/>
        </w:rPr>
      </w:pPr>
      <w:r>
        <w:rPr>
          <w:rFonts w:hint="eastAsia" w:asciiTheme="minorEastAsia" w:hAnsiTheme="minorEastAsia" w:eastAsiaTheme="minorEastAsia"/>
          <w:b/>
          <w:bCs/>
          <w:sz w:val="30"/>
          <w:szCs w:val="30"/>
        </w:rPr>
        <w:t>采   购   人：</w:t>
      </w:r>
      <w:r>
        <w:rPr>
          <w:rFonts w:hint="eastAsia" w:asciiTheme="minorEastAsia" w:hAnsiTheme="minorEastAsia" w:eastAsiaTheme="minorEastAsia"/>
          <w:b/>
          <w:bCs/>
          <w:sz w:val="30"/>
          <w:szCs w:val="30"/>
          <w:u w:val="single"/>
        </w:rPr>
        <w:t xml:space="preserve">                       </w:t>
      </w:r>
    </w:p>
    <w:p w14:paraId="119C0783">
      <w:pPr>
        <w:pStyle w:val="23"/>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政府采购编号:</w:t>
      </w:r>
      <w:r>
        <w:rPr>
          <w:rFonts w:hint="eastAsia" w:asciiTheme="minorEastAsia" w:hAnsiTheme="minorEastAsia" w:eastAsiaTheme="minorEastAsia"/>
          <w:b/>
          <w:bCs/>
          <w:sz w:val="30"/>
          <w:szCs w:val="30"/>
          <w:u w:val="single"/>
        </w:rPr>
        <w:t xml:space="preserve">                       </w:t>
      </w:r>
    </w:p>
    <w:p w14:paraId="5DCD39E5">
      <w:pPr>
        <w:pStyle w:val="23"/>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采购代理编号:</w:t>
      </w:r>
      <w:r>
        <w:rPr>
          <w:rFonts w:hint="eastAsia" w:asciiTheme="minorEastAsia" w:hAnsiTheme="minorEastAsia" w:eastAsiaTheme="minorEastAsia"/>
          <w:b/>
          <w:bCs/>
          <w:sz w:val="30"/>
          <w:szCs w:val="30"/>
          <w:u w:val="single"/>
        </w:rPr>
        <w:t xml:space="preserve">                       </w:t>
      </w:r>
    </w:p>
    <w:p w14:paraId="65777DF2">
      <w:pPr>
        <w:pStyle w:val="23"/>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采购代理机构：</w:t>
      </w:r>
      <w:r>
        <w:rPr>
          <w:rFonts w:hint="eastAsia" w:asciiTheme="minorEastAsia" w:hAnsiTheme="minorEastAsia" w:eastAsiaTheme="minorEastAsia"/>
          <w:b/>
          <w:bCs/>
          <w:sz w:val="30"/>
          <w:szCs w:val="30"/>
          <w:u w:val="single"/>
        </w:rPr>
        <w:t xml:space="preserve">                     </w:t>
      </w:r>
    </w:p>
    <w:p w14:paraId="3D673750">
      <w:pPr>
        <w:adjustRightInd w:val="0"/>
        <w:snapToGrid w:val="0"/>
        <w:spacing w:line="360" w:lineRule="auto"/>
        <w:rPr>
          <w:rFonts w:asciiTheme="minorEastAsia" w:hAnsiTheme="minorEastAsia" w:eastAsiaTheme="minorEastAsia"/>
          <w:sz w:val="30"/>
          <w:szCs w:val="30"/>
        </w:rPr>
      </w:pPr>
    </w:p>
    <w:p w14:paraId="284D63A2">
      <w:pPr>
        <w:adjustRightInd w:val="0"/>
        <w:snapToGrid w:val="0"/>
        <w:spacing w:line="360" w:lineRule="auto"/>
        <w:rPr>
          <w:rFonts w:asciiTheme="minorEastAsia" w:hAnsiTheme="minorEastAsia" w:eastAsiaTheme="minorEastAsia"/>
          <w:sz w:val="30"/>
          <w:szCs w:val="30"/>
        </w:rPr>
      </w:pPr>
    </w:p>
    <w:p w14:paraId="5BFD1A6F">
      <w:pPr>
        <w:adjustRightInd w:val="0"/>
        <w:snapToGrid w:val="0"/>
        <w:spacing w:line="360" w:lineRule="auto"/>
        <w:rPr>
          <w:rFonts w:asciiTheme="minorEastAsia" w:hAnsiTheme="minorEastAsia" w:eastAsiaTheme="minorEastAsia"/>
          <w:sz w:val="30"/>
          <w:szCs w:val="30"/>
        </w:rPr>
      </w:pPr>
    </w:p>
    <w:p w14:paraId="645DF235">
      <w:pPr>
        <w:adjustRightInd w:val="0"/>
        <w:snapToGrid w:val="0"/>
        <w:spacing w:line="360" w:lineRule="auto"/>
        <w:rPr>
          <w:rFonts w:asciiTheme="minorEastAsia" w:hAnsiTheme="minorEastAsia" w:eastAsiaTheme="minorEastAsia"/>
          <w:sz w:val="30"/>
          <w:szCs w:val="30"/>
        </w:rPr>
      </w:pPr>
    </w:p>
    <w:p w14:paraId="06AABF60">
      <w:pPr>
        <w:adjustRightInd w:val="0"/>
        <w:snapToGrid w:val="0"/>
        <w:spacing w:line="360" w:lineRule="auto"/>
        <w:ind w:left="1273" w:leftChars="606" w:firstLine="2"/>
        <w:rPr>
          <w:rFonts w:asciiTheme="minorEastAsia" w:hAnsiTheme="minorEastAsia" w:eastAsiaTheme="minorEastAsia"/>
          <w:sz w:val="32"/>
          <w:szCs w:val="32"/>
          <w:u w:val="single"/>
        </w:rPr>
      </w:pPr>
      <w:r>
        <w:rPr>
          <w:rFonts w:hint="eastAsia" w:asciiTheme="minorEastAsia" w:hAnsiTheme="minorEastAsia" w:eastAsiaTheme="minorEastAsia"/>
          <w:sz w:val="32"/>
          <w:szCs w:val="32"/>
        </w:rPr>
        <w:t>投标人</w:t>
      </w:r>
      <w:r>
        <w:rPr>
          <w:rFonts w:hint="eastAsia" w:asciiTheme="minorEastAsia" w:hAnsiTheme="minorEastAsia" w:eastAsiaTheme="minorEastAsia"/>
          <w:sz w:val="32"/>
          <w:szCs w:val="32"/>
          <w:u w:val="single"/>
        </w:rPr>
        <w:t xml:space="preserve">                         </w:t>
      </w:r>
    </w:p>
    <w:p w14:paraId="477737B8">
      <w:pPr>
        <w:adjustRightInd w:val="0"/>
        <w:snapToGrid w:val="0"/>
        <w:spacing w:line="360" w:lineRule="auto"/>
        <w:jc w:val="center"/>
        <w:rPr>
          <w:rFonts w:asciiTheme="minorEastAsia" w:hAnsiTheme="minorEastAsia" w:eastAsiaTheme="minorEastAsia"/>
          <w:sz w:val="32"/>
          <w:szCs w:val="32"/>
        </w:rPr>
      </w:pPr>
      <w:r>
        <w:rPr>
          <w:rFonts w:hint="eastAsia" w:asciiTheme="minorEastAsia" w:hAnsiTheme="minorEastAsia" w:eastAsiaTheme="minorEastAsia"/>
          <w:sz w:val="32"/>
          <w:szCs w:val="32"/>
        </w:rPr>
        <w:t>年  月  日</w:t>
      </w:r>
    </w:p>
    <w:p w14:paraId="1594A9B6">
      <w:pPr>
        <w:pStyle w:val="5"/>
        <w:adjustRightInd w:val="0"/>
        <w:snapToGrid w:val="0"/>
        <w:spacing w:before="0" w:after="0" w:line="360" w:lineRule="auto"/>
        <w:jc w:val="center"/>
        <w:rPr>
          <w:rFonts w:ascii="黑体" w:hAnsi="宋体" w:eastAsia="黑体"/>
          <w:sz w:val="28"/>
          <w:szCs w:val="28"/>
        </w:rPr>
      </w:pPr>
      <w:bookmarkStart w:id="270" w:name="_Toc9352"/>
      <w:bookmarkStart w:id="271" w:name="_Toc172716808"/>
      <w:bookmarkStart w:id="272" w:name="_Toc29913961"/>
      <w:r>
        <w:rPr>
          <w:rFonts w:hint="eastAsia" w:ascii="黑体" w:hAnsi="宋体" w:eastAsia="黑体"/>
          <w:sz w:val="28"/>
          <w:szCs w:val="28"/>
        </w:rPr>
        <w:t>五</w:t>
      </w:r>
      <w:r>
        <w:rPr>
          <w:rFonts w:ascii="黑体" w:hAnsi="宋体" w:eastAsia="黑体"/>
          <w:sz w:val="28"/>
          <w:szCs w:val="28"/>
        </w:rPr>
        <w:t>、</w:t>
      </w:r>
      <w:r>
        <w:rPr>
          <w:rFonts w:hint="eastAsia" w:ascii="黑体" w:hAnsi="宋体" w:eastAsia="黑体"/>
          <w:sz w:val="28"/>
          <w:szCs w:val="28"/>
        </w:rPr>
        <w:t>投标函</w:t>
      </w:r>
      <w:bookmarkEnd w:id="270"/>
      <w:bookmarkEnd w:id="271"/>
      <w:bookmarkEnd w:id="272"/>
    </w:p>
    <w:p w14:paraId="05C48CA6">
      <w:pPr>
        <w:adjustRightInd w:val="0"/>
        <w:snapToGrid w:val="0"/>
        <w:spacing w:beforeLines="50" w:line="360" w:lineRule="auto"/>
        <w:rPr>
          <w:rFonts w:asciiTheme="minorEastAsia" w:hAnsiTheme="minorEastAsia" w:eastAsiaTheme="minorEastAsia"/>
          <w:szCs w:val="21"/>
        </w:rPr>
      </w:pPr>
      <w:r>
        <w:rPr>
          <w:rFonts w:hint="eastAsia" w:asciiTheme="minorEastAsia" w:hAnsiTheme="minorEastAsia" w:eastAsiaTheme="minorEastAsia"/>
          <w:szCs w:val="21"/>
        </w:rPr>
        <w:t>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（采购人、采购代理机构）：</w:t>
      </w:r>
    </w:p>
    <w:p w14:paraId="182AC558">
      <w:pPr>
        <w:adjustRightInd w:val="0"/>
        <w:snapToGrid w:val="0"/>
        <w:spacing w:beforeLines="50" w:line="360" w:lineRule="auto"/>
        <w:ind w:firstLine="435"/>
        <w:rPr>
          <w:rFonts w:asciiTheme="minorEastAsia" w:hAnsiTheme="minorEastAsia" w:eastAsiaTheme="minorEastAsia"/>
          <w:szCs w:val="21"/>
        </w:rPr>
      </w:pPr>
      <w:r>
        <w:rPr>
          <w:rFonts w:hint="eastAsia" w:asciiTheme="minorEastAsia" w:hAnsiTheme="minorEastAsia" w:eastAsiaTheme="minorEastAsia"/>
          <w:szCs w:val="21"/>
        </w:rPr>
        <w:t>根据贵方为</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（项目名称）的投标邀请（</w:t>
      </w:r>
      <w:r>
        <w:rPr>
          <w:rFonts w:hint="eastAsia" w:asciiTheme="minorEastAsia" w:hAnsiTheme="minorEastAsia" w:eastAsiaTheme="minorEastAsia"/>
        </w:rPr>
        <w:t>政府</w:t>
      </w:r>
      <w:r>
        <w:rPr>
          <w:rFonts w:hint="eastAsia" w:asciiTheme="minorEastAsia" w:hAnsiTheme="minorEastAsia" w:eastAsiaTheme="minorEastAsia"/>
          <w:iCs/>
        </w:rPr>
        <w:t>采购编号：</w:t>
      </w:r>
      <w:r>
        <w:rPr>
          <w:rFonts w:hint="eastAsia" w:asciiTheme="minorEastAsia" w:hAnsiTheme="minorEastAsia" w:eastAsiaTheme="minorEastAsia"/>
          <w:iCs/>
          <w:u w:val="single"/>
        </w:rPr>
        <w:t xml:space="preserve">      </w:t>
      </w:r>
      <w:r>
        <w:rPr>
          <w:rFonts w:hint="eastAsia" w:asciiTheme="minorEastAsia" w:hAnsiTheme="minorEastAsia" w:eastAsiaTheme="minorEastAsia"/>
          <w:iCs/>
        </w:rPr>
        <w:t xml:space="preserve"> ，</w:t>
      </w:r>
      <w:r>
        <w:rPr>
          <w:rFonts w:hint="eastAsia" w:asciiTheme="minorEastAsia" w:hAnsiTheme="minorEastAsia" w:eastAsiaTheme="minorEastAsia"/>
          <w:szCs w:val="21"/>
        </w:rPr>
        <w:t>采购代理编号：</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），签字代表 </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（姓名、职务）经正式授权并代表投标人</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（投标人名称）</w:t>
      </w:r>
      <w:r>
        <w:rPr>
          <w:rFonts w:hint="eastAsia" w:asciiTheme="minorEastAsia" w:hAnsiTheme="minorEastAsia" w:eastAsiaTheme="minorEastAsia"/>
          <w:szCs w:val="21"/>
          <w:highlight w:val="none"/>
        </w:rPr>
        <w:t>提交包含下述内容的电子投标文件一份至郴州市公共资源交易中心政府采购电子交易系统，参加</w:t>
      </w:r>
      <w:r>
        <w:rPr>
          <w:rFonts w:hint="eastAsia" w:asciiTheme="minorEastAsia" w:hAnsiTheme="minorEastAsia" w:eastAsiaTheme="minorEastAsia"/>
          <w:szCs w:val="21"/>
          <w:highlight w:val="none"/>
          <w:u w:val="single"/>
        </w:rPr>
        <w:t xml:space="preserve">          </w:t>
      </w:r>
      <w:r>
        <w:rPr>
          <w:rFonts w:hint="eastAsia" w:asciiTheme="minorEastAsia" w:hAnsiTheme="minorEastAsia" w:eastAsiaTheme="minorEastAsia"/>
          <w:szCs w:val="21"/>
          <w:highlight w:val="none"/>
        </w:rPr>
        <w:t>项目第</w:t>
      </w:r>
      <w:r>
        <w:rPr>
          <w:rFonts w:hint="eastAsia" w:asciiTheme="minorEastAsia" w:hAnsiTheme="minorEastAsia" w:eastAsiaTheme="minorEastAsia"/>
          <w:szCs w:val="21"/>
          <w:highlight w:val="none"/>
          <w:u w:val="single"/>
        </w:rPr>
        <w:t xml:space="preserve">   </w:t>
      </w:r>
      <w:r>
        <w:rPr>
          <w:rFonts w:hint="eastAsia" w:asciiTheme="minorEastAsia" w:hAnsiTheme="minorEastAsia" w:eastAsiaTheme="minorEastAsia"/>
          <w:szCs w:val="21"/>
          <w:highlight w:val="none"/>
        </w:rPr>
        <w:t>包投标，并在此声明，所递交的投标文件内容合法、完整、真实。</w:t>
      </w:r>
    </w:p>
    <w:p w14:paraId="3382DD1A">
      <w:pPr>
        <w:adjustRightInd w:val="0"/>
        <w:snapToGrid w:val="0"/>
        <w:spacing w:beforeLines="50"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第一部分 资格证明文件</w:t>
      </w:r>
    </w:p>
    <w:p w14:paraId="72CFC92C">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一、开标一览表</w:t>
      </w:r>
    </w:p>
    <w:p w14:paraId="2E79F041">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二、法定代表人（单位负责人）身份证明或授权委托书</w:t>
      </w:r>
    </w:p>
    <w:p w14:paraId="3F92AAD2">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三、投标人提供的资格证明文件</w:t>
      </w:r>
    </w:p>
    <w:p w14:paraId="3E6923D0">
      <w:pPr>
        <w:adjustRightInd w:val="0"/>
        <w:snapToGrid w:val="0"/>
        <w:spacing w:beforeLines="50"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第二部分 商务技术文件</w:t>
      </w:r>
    </w:p>
    <w:p w14:paraId="0F50B27B">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四、投标函</w:t>
      </w:r>
    </w:p>
    <w:p w14:paraId="444EF983">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五、分项报价</w:t>
      </w:r>
    </w:p>
    <w:p w14:paraId="5D0E1900">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六、采购需求响应</w:t>
      </w:r>
    </w:p>
    <w:p w14:paraId="4E495959">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七、合同条款偏离表</w:t>
      </w:r>
    </w:p>
    <w:p w14:paraId="1BD5616C">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八、采购需求偏离表</w:t>
      </w:r>
    </w:p>
    <w:p w14:paraId="12E86B3B">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九、享受政府采购政策优惠的证明资料</w:t>
      </w:r>
    </w:p>
    <w:p w14:paraId="6032C437">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十、投标服务符合招标文件规定的证明文件</w:t>
      </w:r>
    </w:p>
    <w:p w14:paraId="518DBFB0">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十一、投标人认为需提供的其他资料</w:t>
      </w:r>
    </w:p>
    <w:p w14:paraId="542DA26D">
      <w:pPr>
        <w:adjustRightInd w:val="0"/>
        <w:snapToGrid w:val="0"/>
        <w:spacing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在此，签字代表宣布同意如下：</w:t>
      </w:r>
    </w:p>
    <w:p w14:paraId="1EF194C8">
      <w:pPr>
        <w:adjustRightInd w:val="0"/>
        <w:snapToGrid w:val="0"/>
        <w:spacing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1、投标人严格按照招标文件的规定报价，见《开标一览表》。</w:t>
      </w:r>
    </w:p>
    <w:p w14:paraId="371F2442">
      <w:pPr>
        <w:adjustRightInd w:val="0"/>
        <w:snapToGrid w:val="0"/>
        <w:spacing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2、投标人将按招标文件的规定履行合同责任和义务。</w:t>
      </w:r>
    </w:p>
    <w:p w14:paraId="27376D7B">
      <w:pPr>
        <w:adjustRightInd w:val="0"/>
        <w:snapToGrid w:val="0"/>
        <w:spacing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3、投标人已详细审查招标文件。我们完全理解并同意放弃对这方面有不明及误解的权力。</w:t>
      </w:r>
    </w:p>
    <w:p w14:paraId="0FB511EE">
      <w:pPr>
        <w:adjustRightInd w:val="0"/>
        <w:snapToGrid w:val="0"/>
        <w:spacing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szCs w:val="21"/>
        </w:rPr>
        <w:t>4、本投标有效期为自招标文件规定的提交投标文件截止之日起</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个日历日。在投标有效期内，</w:t>
      </w:r>
      <w:r>
        <w:rPr>
          <w:rFonts w:hint="eastAsia" w:asciiTheme="minorEastAsia" w:hAnsiTheme="minorEastAsia" w:eastAsiaTheme="minorEastAsia"/>
        </w:rPr>
        <w:t>投标人同意遵守本</w:t>
      </w:r>
      <w:r>
        <w:rPr>
          <w:rFonts w:hint="eastAsia" w:asciiTheme="minorEastAsia" w:hAnsiTheme="minorEastAsia" w:eastAsiaTheme="minorEastAsia"/>
          <w:szCs w:val="21"/>
        </w:rPr>
        <w:t>投标</w:t>
      </w:r>
      <w:r>
        <w:rPr>
          <w:rFonts w:hint="eastAsia" w:asciiTheme="minorEastAsia" w:hAnsiTheme="minorEastAsia" w:eastAsiaTheme="minorEastAsia"/>
        </w:rPr>
        <w:t>文件中的承诺且在此期限期满之前</w:t>
      </w:r>
      <w:r>
        <w:rPr>
          <w:rFonts w:hint="eastAsia" w:asciiTheme="minorEastAsia" w:hAnsiTheme="minorEastAsia" w:eastAsiaTheme="minorEastAsia"/>
          <w:szCs w:val="21"/>
        </w:rPr>
        <w:t>投标</w:t>
      </w:r>
      <w:r>
        <w:rPr>
          <w:rFonts w:hint="eastAsia" w:asciiTheme="minorEastAsia" w:hAnsiTheme="minorEastAsia" w:eastAsiaTheme="minorEastAsia"/>
        </w:rPr>
        <w:t>文件</w:t>
      </w:r>
      <w:r>
        <w:rPr>
          <w:rFonts w:hint="eastAsia" w:asciiTheme="minorEastAsia" w:hAnsiTheme="minorEastAsia" w:eastAsiaTheme="minorEastAsia"/>
          <w:szCs w:val="21"/>
        </w:rPr>
        <w:t>对我方具有法律约束力</w:t>
      </w:r>
      <w:r>
        <w:rPr>
          <w:rFonts w:hint="eastAsia" w:asciiTheme="minorEastAsia" w:hAnsiTheme="minorEastAsia" w:eastAsiaTheme="minorEastAsia"/>
        </w:rPr>
        <w:t>。</w:t>
      </w:r>
    </w:p>
    <w:p w14:paraId="1F099EF9">
      <w:pPr>
        <w:adjustRightInd w:val="0"/>
        <w:snapToGrid w:val="0"/>
        <w:spacing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szCs w:val="21"/>
        </w:rPr>
        <w:t>同意提供贵方可能要求的与其投标有关的一切数据或资料。</w:t>
      </w:r>
    </w:p>
    <w:p w14:paraId="1304B393">
      <w:pPr>
        <w:adjustRightInd w:val="0"/>
        <w:snapToGrid w:val="0"/>
        <w:spacing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6、与本投标有关的一切正式往来信函请寄：</w:t>
      </w:r>
    </w:p>
    <w:p w14:paraId="2E3428AA">
      <w:pPr>
        <w:adjustRightInd w:val="0"/>
        <w:snapToGrid w:val="0"/>
        <w:spacing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地址：</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；邮编：</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；电话：</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；电子邮箱：</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14:paraId="6F50DEBB">
      <w:pPr>
        <w:adjustRightInd w:val="0"/>
        <w:snapToGrid w:val="0"/>
        <w:spacing w:beforeLines="50" w:line="360" w:lineRule="auto"/>
        <w:ind w:firstLine="420" w:firstLineChars="200"/>
        <w:rPr>
          <w:rFonts w:asciiTheme="minorEastAsia" w:hAnsiTheme="minorEastAsia" w:eastAsiaTheme="minorEastAsia"/>
          <w:szCs w:val="21"/>
        </w:rPr>
      </w:pPr>
    </w:p>
    <w:p w14:paraId="2B1495D6">
      <w:pPr>
        <w:pStyle w:val="23"/>
        <w:adjustRightInd w:val="0"/>
        <w:snapToGrid w:val="0"/>
        <w:spacing w:beforeLines="50" w:line="360" w:lineRule="auto"/>
        <w:rPr>
          <w:rFonts w:asciiTheme="minorEastAsia" w:hAnsiTheme="minorEastAsia" w:eastAsiaTheme="minorEastAsia"/>
        </w:rPr>
      </w:pPr>
    </w:p>
    <w:p w14:paraId="36419ED2">
      <w:pPr>
        <w:pStyle w:val="23"/>
        <w:adjustRightInd w:val="0"/>
        <w:snapToGrid w:val="0"/>
        <w:spacing w:beforeLines="50" w:line="360" w:lineRule="auto"/>
        <w:rPr>
          <w:rFonts w:asciiTheme="minorEastAsia" w:hAnsiTheme="minorEastAsia" w:eastAsiaTheme="minorEastAsia"/>
        </w:rPr>
      </w:pPr>
      <w:r>
        <w:rPr>
          <w:rFonts w:hint="eastAsia" w:asciiTheme="minorEastAsia" w:hAnsiTheme="minorEastAsia" w:eastAsiaTheme="minorEastAsia"/>
        </w:rPr>
        <w:t xml:space="preserve">投标人名称（盖单位电子章）：                       </w:t>
      </w:r>
    </w:p>
    <w:p w14:paraId="02C10954">
      <w:pPr>
        <w:adjustRightInd w:val="0"/>
        <w:snapToGrid w:val="0"/>
        <w:spacing w:beforeLines="50" w:line="360" w:lineRule="auto"/>
        <w:rPr>
          <w:rFonts w:asciiTheme="minorEastAsia" w:hAnsiTheme="minorEastAsia" w:eastAsiaTheme="minorEastAsia"/>
          <w:szCs w:val="21"/>
          <w:u w:val="single"/>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szCs w:val="21"/>
        </w:rPr>
        <w:t>或其授权的代理人（签字或签章）：</w:t>
      </w:r>
      <w:r>
        <w:rPr>
          <w:rFonts w:hint="eastAsia" w:asciiTheme="minorEastAsia" w:hAnsiTheme="minorEastAsia" w:eastAsiaTheme="minorEastAsia"/>
          <w:szCs w:val="21"/>
          <w:u w:val="single"/>
        </w:rPr>
        <w:t xml:space="preserve">               </w:t>
      </w:r>
    </w:p>
    <w:p w14:paraId="5F079A78">
      <w:pPr>
        <w:adjustRightInd w:val="0"/>
        <w:snapToGrid w:val="0"/>
        <w:spacing w:beforeLines="50" w:line="360" w:lineRule="auto"/>
        <w:rPr>
          <w:rFonts w:ascii="黑体" w:hAnsi="宋体" w:eastAsia="黑体"/>
          <w:b/>
          <w:bCs/>
          <w:sz w:val="28"/>
          <w:szCs w:val="28"/>
        </w:rPr>
      </w:pPr>
      <w:r>
        <w:rPr>
          <w:rFonts w:hint="eastAsia" w:asciiTheme="minorEastAsia" w:hAnsiTheme="minorEastAsia" w:eastAsiaTheme="minorEastAsia"/>
          <w:szCs w:val="21"/>
        </w:rPr>
        <w:t>日期：</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月</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日</w:t>
      </w:r>
      <w:r>
        <w:rPr>
          <w:rFonts w:ascii="黑体" w:hAnsi="宋体" w:eastAsia="黑体"/>
          <w:b/>
          <w:bCs/>
          <w:sz w:val="28"/>
          <w:szCs w:val="28"/>
        </w:rPr>
        <w:br w:type="page"/>
      </w:r>
    </w:p>
    <w:p w14:paraId="514DD37B">
      <w:pPr>
        <w:pStyle w:val="5"/>
        <w:adjustRightInd w:val="0"/>
        <w:snapToGrid w:val="0"/>
        <w:spacing w:before="0" w:after="0" w:line="360" w:lineRule="auto"/>
        <w:jc w:val="center"/>
        <w:rPr>
          <w:rFonts w:ascii="黑体" w:hAnsi="宋体" w:eastAsia="黑体"/>
          <w:sz w:val="28"/>
          <w:szCs w:val="28"/>
        </w:rPr>
      </w:pPr>
      <w:bookmarkStart w:id="273" w:name="_Toc8157"/>
      <w:bookmarkStart w:id="274" w:name="_Toc29913962"/>
      <w:bookmarkStart w:id="275" w:name="_Toc172716809"/>
      <w:r>
        <w:rPr>
          <w:rFonts w:hint="eastAsia" w:ascii="黑体" w:hAnsi="宋体" w:eastAsia="黑体"/>
          <w:sz w:val="28"/>
          <w:szCs w:val="28"/>
        </w:rPr>
        <w:t>六、分项报价</w:t>
      </w:r>
      <w:bookmarkEnd w:id="273"/>
      <w:bookmarkEnd w:id="274"/>
      <w:bookmarkEnd w:id="275"/>
    </w:p>
    <w:p w14:paraId="24312E9C">
      <w:pPr>
        <w:pStyle w:val="6"/>
        <w:jc w:val="left"/>
        <w:rPr>
          <w:rFonts w:ascii="黑体" w:cs="微软雅黑" w:hAnsiTheme="minorEastAsia"/>
          <w:b w:val="0"/>
          <w:kern w:val="0"/>
          <w:sz w:val="21"/>
          <w:szCs w:val="21"/>
        </w:rPr>
      </w:pPr>
      <w:bookmarkStart w:id="276" w:name="_Toc29913963"/>
      <w:bookmarkStart w:id="277" w:name="_Toc2213"/>
      <w:bookmarkStart w:id="278" w:name="_Toc172716810"/>
      <w:r>
        <w:rPr>
          <w:rFonts w:hint="eastAsia" w:ascii="黑体" w:hAnsi="华文中宋" w:cs="宋体"/>
          <w:b w:val="0"/>
          <w:bCs w:val="0"/>
          <w:spacing w:val="6"/>
          <w:kern w:val="0"/>
          <w:sz w:val="21"/>
          <w:szCs w:val="21"/>
        </w:rPr>
        <w:t xml:space="preserve">附件6-1 </w:t>
      </w:r>
      <w:r>
        <w:rPr>
          <w:rFonts w:hint="eastAsia" w:ascii="黑体" w:cs="微软雅黑" w:hAnsiTheme="minorEastAsia"/>
          <w:b w:val="0"/>
          <w:spacing w:val="-2"/>
          <w:kern w:val="0"/>
          <w:sz w:val="21"/>
          <w:szCs w:val="21"/>
        </w:rPr>
        <w:t>分</w:t>
      </w:r>
      <w:r>
        <w:rPr>
          <w:rFonts w:hint="eastAsia" w:ascii="黑体" w:cs="微软雅黑" w:hAnsiTheme="minorEastAsia"/>
          <w:b w:val="0"/>
          <w:kern w:val="0"/>
          <w:sz w:val="21"/>
          <w:szCs w:val="21"/>
        </w:rPr>
        <w:t>项</w:t>
      </w:r>
      <w:r>
        <w:rPr>
          <w:rFonts w:hint="eastAsia" w:ascii="黑体" w:cs="微软雅黑" w:hAnsiTheme="minorEastAsia"/>
          <w:b w:val="0"/>
          <w:spacing w:val="-2"/>
          <w:kern w:val="0"/>
          <w:sz w:val="21"/>
          <w:szCs w:val="21"/>
        </w:rPr>
        <w:t>报</w:t>
      </w:r>
      <w:r>
        <w:rPr>
          <w:rFonts w:hint="eastAsia" w:ascii="黑体" w:cs="微软雅黑" w:hAnsiTheme="minorEastAsia"/>
          <w:b w:val="0"/>
          <w:kern w:val="0"/>
          <w:sz w:val="21"/>
          <w:szCs w:val="21"/>
        </w:rPr>
        <w:t>价说明</w:t>
      </w:r>
      <w:bookmarkEnd w:id="276"/>
      <w:bookmarkEnd w:id="277"/>
      <w:bookmarkEnd w:id="278"/>
      <w:r>
        <w:rPr>
          <w:rFonts w:hint="eastAsia" w:ascii="黑体" w:cs="微软雅黑" w:hAnsiTheme="minorEastAsia"/>
          <w:b w:val="0"/>
          <w:kern w:val="0"/>
          <w:sz w:val="21"/>
          <w:szCs w:val="21"/>
        </w:rPr>
        <w:t xml:space="preserve">  </w:t>
      </w:r>
    </w:p>
    <w:p w14:paraId="1AFE7DF6">
      <w:pPr>
        <w:autoSpaceDE w:val="0"/>
        <w:autoSpaceDN w:val="0"/>
        <w:adjustRightInd w:val="0"/>
        <w:snapToGrid w:val="0"/>
        <w:spacing w:line="360" w:lineRule="auto"/>
        <w:jc w:val="center"/>
        <w:rPr>
          <w:rFonts w:ascii="黑体" w:eastAsia="黑体" w:cs="微软雅黑" w:hAnsiTheme="minorEastAsia"/>
          <w:b/>
          <w:kern w:val="0"/>
          <w:sz w:val="28"/>
          <w:szCs w:val="28"/>
        </w:rPr>
      </w:pPr>
      <w:r>
        <w:rPr>
          <w:rFonts w:hint="eastAsia" w:ascii="黑体" w:eastAsia="黑体" w:cs="微软雅黑" w:hAnsiTheme="minorEastAsia"/>
          <w:b/>
          <w:spacing w:val="-2"/>
          <w:kern w:val="0"/>
          <w:sz w:val="28"/>
          <w:szCs w:val="28"/>
        </w:rPr>
        <w:t>分</w:t>
      </w:r>
      <w:r>
        <w:rPr>
          <w:rFonts w:hint="eastAsia" w:ascii="黑体" w:eastAsia="黑体" w:cs="微软雅黑" w:hAnsiTheme="minorEastAsia"/>
          <w:b/>
          <w:kern w:val="0"/>
          <w:sz w:val="28"/>
          <w:szCs w:val="28"/>
        </w:rPr>
        <w:t>项</w:t>
      </w:r>
      <w:r>
        <w:rPr>
          <w:rFonts w:hint="eastAsia" w:ascii="黑体" w:eastAsia="黑体" w:cs="微软雅黑" w:hAnsiTheme="minorEastAsia"/>
          <w:b/>
          <w:spacing w:val="-2"/>
          <w:kern w:val="0"/>
          <w:sz w:val="28"/>
          <w:szCs w:val="28"/>
        </w:rPr>
        <w:t>报</w:t>
      </w:r>
      <w:r>
        <w:rPr>
          <w:rFonts w:hint="eastAsia" w:ascii="黑体" w:eastAsia="黑体" w:cs="微软雅黑" w:hAnsiTheme="minorEastAsia"/>
          <w:b/>
          <w:kern w:val="0"/>
          <w:sz w:val="28"/>
          <w:szCs w:val="28"/>
        </w:rPr>
        <w:t>价说明</w:t>
      </w:r>
    </w:p>
    <w:p w14:paraId="56EE2107">
      <w:pPr>
        <w:autoSpaceDE w:val="0"/>
        <w:autoSpaceDN w:val="0"/>
        <w:adjustRightInd w:val="0"/>
        <w:snapToGrid w:val="0"/>
        <w:spacing w:line="360" w:lineRule="auto"/>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备注：投标人应按招标文件第二章相关要求，对本节</w:t>
      </w:r>
      <w:r>
        <w:rPr>
          <w:rFonts w:hint="eastAsia" w:asciiTheme="minorEastAsia" w:hAnsiTheme="minorEastAsia" w:eastAsiaTheme="minorEastAsia"/>
          <w:bCs/>
          <w:szCs w:val="21"/>
        </w:rPr>
        <w:t>“</w:t>
      </w:r>
      <w:r>
        <w:rPr>
          <w:rFonts w:hint="eastAsia" w:cs="微软雅黑" w:asciiTheme="minorEastAsia" w:hAnsiTheme="minorEastAsia" w:eastAsiaTheme="minorEastAsia"/>
          <w:kern w:val="0"/>
          <w:szCs w:val="21"/>
        </w:rPr>
        <w:t>分项报价明细表</w:t>
      </w:r>
      <w:r>
        <w:rPr>
          <w:rFonts w:hint="eastAsia" w:asciiTheme="minorEastAsia" w:hAnsiTheme="minorEastAsia" w:eastAsiaTheme="minorEastAsia"/>
          <w:bCs/>
          <w:szCs w:val="21"/>
        </w:rPr>
        <w:t>”进行</w:t>
      </w:r>
      <w:r>
        <w:rPr>
          <w:rFonts w:hint="eastAsia" w:cs="微软雅黑" w:asciiTheme="minorEastAsia" w:hAnsiTheme="minorEastAsia" w:eastAsiaTheme="minorEastAsia"/>
          <w:kern w:val="0"/>
          <w:szCs w:val="21"/>
        </w:rPr>
        <w:t>编制，并说明。</w:t>
      </w:r>
    </w:p>
    <w:p w14:paraId="5CE2CB5E">
      <w:pPr>
        <w:pStyle w:val="6"/>
        <w:spacing w:after="0" w:line="377" w:lineRule="auto"/>
        <w:jc w:val="left"/>
        <w:rPr>
          <w:rFonts w:hint="eastAsia" w:ascii="黑体" w:cs="微软雅黑" w:hAnsiTheme="minorEastAsia"/>
          <w:b w:val="0"/>
          <w:kern w:val="0"/>
          <w:position w:val="-3"/>
          <w:sz w:val="21"/>
          <w:szCs w:val="21"/>
        </w:rPr>
      </w:pPr>
      <w:bookmarkStart w:id="279" w:name="_Toc29913964"/>
      <w:bookmarkStart w:id="280" w:name="_Toc8675"/>
      <w:bookmarkStart w:id="281" w:name="_Toc172716811"/>
      <w:r>
        <w:rPr>
          <w:rFonts w:hint="eastAsia" w:ascii="黑体" w:hAnsi="华文中宋" w:cs="宋体"/>
          <w:b w:val="0"/>
          <w:bCs w:val="0"/>
          <w:spacing w:val="6"/>
          <w:kern w:val="0"/>
          <w:sz w:val="21"/>
          <w:szCs w:val="21"/>
        </w:rPr>
        <w:t xml:space="preserve">附件6-2 </w:t>
      </w:r>
      <w:r>
        <w:rPr>
          <w:rFonts w:hint="eastAsia" w:ascii="黑体" w:cs="微软雅黑" w:hAnsiTheme="minorEastAsia"/>
          <w:b w:val="0"/>
          <w:spacing w:val="-2"/>
          <w:kern w:val="0"/>
          <w:position w:val="-3"/>
          <w:sz w:val="21"/>
          <w:szCs w:val="21"/>
        </w:rPr>
        <w:t>分</w:t>
      </w:r>
      <w:r>
        <w:rPr>
          <w:rFonts w:hint="eastAsia" w:ascii="黑体" w:cs="微软雅黑" w:hAnsiTheme="minorEastAsia"/>
          <w:b w:val="0"/>
          <w:kern w:val="0"/>
          <w:position w:val="-3"/>
          <w:sz w:val="21"/>
          <w:szCs w:val="21"/>
        </w:rPr>
        <w:t>项</w:t>
      </w:r>
      <w:r>
        <w:rPr>
          <w:rFonts w:hint="eastAsia" w:ascii="黑体" w:cs="微软雅黑" w:hAnsiTheme="minorEastAsia"/>
          <w:b w:val="0"/>
          <w:spacing w:val="-2"/>
          <w:kern w:val="0"/>
          <w:position w:val="-3"/>
          <w:sz w:val="21"/>
          <w:szCs w:val="21"/>
        </w:rPr>
        <w:t>报</w:t>
      </w:r>
      <w:r>
        <w:rPr>
          <w:rFonts w:hint="eastAsia" w:ascii="黑体" w:cs="微软雅黑" w:hAnsiTheme="minorEastAsia"/>
          <w:b w:val="0"/>
          <w:kern w:val="0"/>
          <w:position w:val="-3"/>
          <w:sz w:val="21"/>
          <w:szCs w:val="21"/>
        </w:rPr>
        <w:t>价明细表</w:t>
      </w:r>
      <w:bookmarkEnd w:id="279"/>
    </w:p>
    <w:p w14:paraId="579058D9">
      <w:pPr>
        <w:pStyle w:val="6"/>
        <w:spacing w:after="0" w:line="377" w:lineRule="auto"/>
        <w:jc w:val="left"/>
        <w:rPr>
          <w:rFonts w:hint="default" w:ascii="黑体" w:eastAsia="黑体" w:cs="微软雅黑" w:hAnsiTheme="minorEastAsia"/>
          <w:b w:val="0"/>
          <w:kern w:val="0"/>
          <w:position w:val="-3"/>
          <w:lang w:val="en-US" w:eastAsia="zh-CN"/>
        </w:rPr>
      </w:pPr>
      <w:r>
        <w:rPr>
          <w:rFonts w:hint="eastAsia" w:ascii="黑体" w:cs="微软雅黑" w:hAnsiTheme="minorEastAsia"/>
          <w:spacing w:val="-2"/>
          <w:kern w:val="0"/>
          <w:position w:val="-3"/>
        </w:rPr>
        <w:t>分</w:t>
      </w:r>
      <w:r>
        <w:rPr>
          <w:rFonts w:hint="eastAsia" w:ascii="黑体" w:cs="微软雅黑" w:hAnsiTheme="minorEastAsia"/>
          <w:kern w:val="0"/>
          <w:position w:val="-3"/>
        </w:rPr>
        <w:t>项</w:t>
      </w:r>
      <w:r>
        <w:rPr>
          <w:rFonts w:hint="eastAsia" w:ascii="黑体" w:cs="微软雅黑" w:hAnsiTheme="minorEastAsia"/>
          <w:spacing w:val="-2"/>
          <w:kern w:val="0"/>
          <w:position w:val="-3"/>
        </w:rPr>
        <w:t>报</w:t>
      </w:r>
      <w:r>
        <w:rPr>
          <w:rFonts w:hint="eastAsia" w:ascii="黑体" w:cs="微软雅黑" w:hAnsiTheme="minorEastAsia"/>
          <w:kern w:val="0"/>
          <w:position w:val="-3"/>
        </w:rPr>
        <w:t>价明细表</w:t>
      </w:r>
      <w:bookmarkEnd w:id="280"/>
      <w:bookmarkEnd w:id="281"/>
      <w:r>
        <w:rPr>
          <w:rFonts w:hint="eastAsia" w:ascii="黑体" w:cs="微软雅黑" w:hAnsiTheme="minorEastAsia"/>
          <w:kern w:val="0"/>
          <w:position w:val="-3"/>
          <w:lang w:eastAsia="zh-CN"/>
        </w:rPr>
        <w:t>（</w:t>
      </w:r>
      <w:r>
        <w:rPr>
          <w:rFonts w:hint="eastAsia" w:ascii="黑体" w:cs="微软雅黑" w:hAnsiTheme="minorEastAsia"/>
          <w:kern w:val="0"/>
          <w:position w:val="-3"/>
          <w:lang w:val="en-US" w:eastAsia="zh-CN"/>
        </w:rPr>
        <w:t>根据采购需求中</w:t>
      </w:r>
      <w:r>
        <w:rPr>
          <w:rFonts w:hint="eastAsia" w:ascii="黑体" w:hAnsi="黑体" w:eastAsia="黑体"/>
          <w:b/>
          <w:bCs/>
          <w:sz w:val="28"/>
          <w:szCs w:val="32"/>
        </w:rPr>
        <w:t>项目建设内容清单一览表</w:t>
      </w:r>
      <w:r>
        <w:rPr>
          <w:rFonts w:hint="eastAsia" w:ascii="黑体" w:hAnsi="黑体"/>
          <w:b/>
          <w:bCs/>
          <w:sz w:val="28"/>
          <w:szCs w:val="32"/>
          <w:lang w:val="en-US" w:eastAsia="zh-CN"/>
        </w:rPr>
        <w:t>进行报价，格式自拟）</w:t>
      </w:r>
    </w:p>
    <w:p w14:paraId="0D9A3BB0">
      <w:pPr>
        <w:adjustRightInd w:val="0"/>
        <w:snapToGrid w:val="0"/>
        <w:spacing w:line="360" w:lineRule="auto"/>
        <w:jc w:val="center"/>
      </w:pPr>
    </w:p>
    <w:p w14:paraId="5DBC273E">
      <w:pPr>
        <w:adjustRightInd w:val="0"/>
        <w:snapToGrid w:val="0"/>
        <w:spacing w:line="360" w:lineRule="auto"/>
        <w:rPr>
          <w:rFonts w:hint="eastAsia" w:ascii="宋体" w:hAnsi="宋体" w:eastAsia="宋体"/>
          <w:szCs w:val="21"/>
          <w:lang w:eastAsia="zh-CN"/>
        </w:rPr>
      </w:pPr>
      <w:r>
        <w:rPr>
          <w:rFonts w:hint="eastAsia" w:asciiTheme="minorEastAsia" w:hAnsiTheme="minorEastAsia" w:eastAsiaTheme="minorEastAsia"/>
          <w:szCs w:val="21"/>
          <w:lang w:val="en-US" w:eastAsia="zh-CN"/>
        </w:rPr>
        <w:t xml:space="preserve"> </w:t>
      </w:r>
    </w:p>
    <w:p w14:paraId="21E75C6D">
      <w:pPr>
        <w:adjustRightInd w:val="0"/>
        <w:snapToGrid w:val="0"/>
        <w:spacing w:line="360" w:lineRule="auto"/>
        <w:rPr>
          <w:rFonts w:hint="eastAsia" w:ascii="宋体" w:hAnsi="宋体"/>
          <w:szCs w:val="21"/>
        </w:rPr>
      </w:pPr>
    </w:p>
    <w:p w14:paraId="0A30C746">
      <w:pPr>
        <w:adjustRightInd w:val="0"/>
        <w:snapToGrid w:val="0"/>
        <w:spacing w:line="360" w:lineRule="auto"/>
        <w:rPr>
          <w:rFonts w:hint="eastAsia" w:ascii="宋体" w:hAnsi="宋体"/>
          <w:szCs w:val="21"/>
        </w:rPr>
      </w:pPr>
    </w:p>
    <w:p w14:paraId="549425DA">
      <w:pPr>
        <w:adjustRightInd w:val="0"/>
        <w:snapToGrid w:val="0"/>
        <w:spacing w:line="360" w:lineRule="auto"/>
        <w:rPr>
          <w:rFonts w:hint="eastAsia" w:ascii="宋体" w:hAnsi="宋体"/>
          <w:szCs w:val="21"/>
        </w:rPr>
      </w:pPr>
    </w:p>
    <w:p w14:paraId="06D39B11">
      <w:pPr>
        <w:adjustRightInd w:val="0"/>
        <w:snapToGrid w:val="0"/>
        <w:spacing w:line="360" w:lineRule="auto"/>
        <w:rPr>
          <w:rFonts w:hint="eastAsia" w:ascii="宋体" w:hAnsi="宋体"/>
          <w:szCs w:val="21"/>
        </w:rPr>
      </w:pPr>
    </w:p>
    <w:p w14:paraId="10A968B8">
      <w:pPr>
        <w:adjustRightInd w:val="0"/>
        <w:snapToGrid w:val="0"/>
        <w:spacing w:line="360" w:lineRule="auto"/>
        <w:rPr>
          <w:rFonts w:ascii="宋体" w:hAnsi="宋体"/>
          <w:szCs w:val="21"/>
        </w:rPr>
      </w:pPr>
      <w:r>
        <w:rPr>
          <w:rFonts w:hint="eastAsia" w:ascii="宋体" w:hAnsi="宋体"/>
          <w:szCs w:val="21"/>
        </w:rPr>
        <w:t>备注：</w:t>
      </w:r>
      <w:r>
        <w:rPr>
          <w:rFonts w:hint="eastAsia" w:asciiTheme="minorEastAsia" w:hAnsiTheme="minorEastAsia" w:eastAsiaTheme="minorEastAsia"/>
          <w:szCs w:val="21"/>
        </w:rPr>
        <w:t>（1）</w:t>
      </w:r>
      <w:r>
        <w:rPr>
          <w:rFonts w:hint="eastAsia" w:asciiTheme="minorEastAsia" w:hAnsiTheme="minorEastAsia" w:eastAsiaTheme="minorEastAsia"/>
          <w:b/>
          <w:szCs w:val="21"/>
        </w:rPr>
        <w:t>本表应对应</w:t>
      </w:r>
      <w:r>
        <w:rPr>
          <w:rFonts w:hint="eastAsia" w:ascii="宋体" w:hAnsi="宋体"/>
          <w:szCs w:val="21"/>
        </w:rPr>
        <w:t>“</w:t>
      </w:r>
      <w:r>
        <w:rPr>
          <w:rFonts w:hint="eastAsia" w:asciiTheme="minorEastAsia" w:hAnsiTheme="minorEastAsia" w:eastAsiaTheme="minorEastAsia"/>
          <w:b/>
          <w:szCs w:val="21"/>
        </w:rPr>
        <w:t>开标一览表</w:t>
      </w:r>
      <w:r>
        <w:rPr>
          <w:rFonts w:hint="eastAsia" w:ascii="宋体" w:hAnsi="宋体"/>
          <w:szCs w:val="21"/>
        </w:rPr>
        <w:t>”</w:t>
      </w:r>
      <w:r>
        <w:rPr>
          <w:rFonts w:hint="eastAsia" w:asciiTheme="minorEastAsia" w:hAnsiTheme="minorEastAsia" w:eastAsiaTheme="minorEastAsia"/>
          <w:b/>
          <w:szCs w:val="21"/>
        </w:rPr>
        <w:t>，按包填写</w:t>
      </w:r>
      <w:r>
        <w:rPr>
          <w:rFonts w:hint="eastAsia" w:asciiTheme="minorEastAsia" w:hAnsiTheme="minorEastAsia" w:eastAsiaTheme="minorEastAsia"/>
          <w:szCs w:val="21"/>
        </w:rPr>
        <w:t>。</w:t>
      </w:r>
      <w:r>
        <w:rPr>
          <w:rFonts w:hint="eastAsia" w:ascii="宋体" w:hAnsi="宋体"/>
          <w:szCs w:val="21"/>
        </w:rPr>
        <w:t>投标人如果不提供分项报价明细表，其</w:t>
      </w:r>
      <w:r>
        <w:rPr>
          <w:rFonts w:hint="eastAsia" w:ascii="宋体" w:hAnsi="宋体"/>
          <w:b/>
          <w:szCs w:val="21"/>
        </w:rPr>
        <w:t>投标无效</w:t>
      </w:r>
      <w:r>
        <w:rPr>
          <w:rFonts w:hint="eastAsia" w:ascii="宋体" w:hAnsi="宋体"/>
          <w:szCs w:val="21"/>
        </w:rPr>
        <w:t>。</w:t>
      </w:r>
    </w:p>
    <w:p w14:paraId="79FC0265">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（2）</w:t>
      </w:r>
      <w:r>
        <w:rPr>
          <w:rFonts w:hint="eastAsia" w:ascii="宋体" w:hAnsi="宋体"/>
          <w:szCs w:val="21"/>
        </w:rPr>
        <w:t>不得填写“免费”或“赠与”，也不得进行“零”报价，否则</w:t>
      </w:r>
      <w:r>
        <w:rPr>
          <w:rFonts w:hint="eastAsia" w:ascii="宋体" w:hAnsi="宋体"/>
          <w:b/>
          <w:szCs w:val="21"/>
        </w:rPr>
        <w:t>投标无效</w:t>
      </w:r>
      <w:r>
        <w:rPr>
          <w:rFonts w:hint="eastAsia" w:ascii="宋体" w:hAnsi="宋体"/>
          <w:szCs w:val="21"/>
        </w:rPr>
        <w:t>。</w:t>
      </w:r>
    </w:p>
    <w:p w14:paraId="63BDB7F6">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（3）</w:t>
      </w:r>
      <w:r>
        <w:rPr>
          <w:rFonts w:hint="eastAsia" w:ascii="宋体" w:hAnsi="宋体"/>
          <w:szCs w:val="21"/>
        </w:rPr>
        <w:t>如果开标一览表内容与本表内容不一致的，以开标一览表内容为准。</w:t>
      </w:r>
    </w:p>
    <w:p w14:paraId="523B3EB3">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（4）</w:t>
      </w:r>
      <w:r>
        <w:rPr>
          <w:rFonts w:hint="eastAsia" w:asciiTheme="minorEastAsia" w:hAnsiTheme="minorEastAsia" w:eastAsiaTheme="minorEastAsia"/>
          <w:bCs/>
          <w:szCs w:val="21"/>
        </w:rPr>
        <w:t>投标人在投标截止时间前修改“开标一览表”中的投标报价的，应按第二章第13.7款规定修改本表相应内容。否则，</w:t>
      </w:r>
      <w:r>
        <w:rPr>
          <w:rFonts w:hint="eastAsia" w:ascii="宋体" w:hAnsi="宋体"/>
          <w:szCs w:val="21"/>
        </w:rPr>
        <w:t>本表相应内容按投标报价修改的相同比例进行调整。</w:t>
      </w:r>
    </w:p>
    <w:p w14:paraId="5C4E6952">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（5）按照采购需求《</w:t>
      </w:r>
      <w:r>
        <w:rPr>
          <w:rFonts w:hint="eastAsia" w:ascii="宋体" w:hAnsi="宋体"/>
          <w:szCs w:val="21"/>
        </w:rPr>
        <w:t>项目建设内容清单一览表》进行报价，格式可自拟。</w:t>
      </w:r>
    </w:p>
    <w:p w14:paraId="03C9A9C8">
      <w:pPr>
        <w:adjustRightInd w:val="0"/>
        <w:snapToGrid w:val="0"/>
        <w:spacing w:line="360" w:lineRule="auto"/>
        <w:rPr>
          <w:rFonts w:ascii="宋体" w:hAnsi="宋体"/>
          <w:szCs w:val="21"/>
        </w:rPr>
      </w:pPr>
      <w:r>
        <w:rPr>
          <w:rFonts w:hint="eastAsia" w:ascii="宋体" w:hAnsi="宋体"/>
          <w:szCs w:val="21"/>
        </w:rPr>
        <w:t>投标人名称（盖单位电子章）：</w:t>
      </w:r>
    </w:p>
    <w:p w14:paraId="02706D34">
      <w:pPr>
        <w:adjustRightInd w:val="0"/>
        <w:snapToGrid w:val="0"/>
        <w:spacing w:line="360" w:lineRule="auto"/>
        <w:rPr>
          <w:rFonts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或其授权的代理人（签字或签章）：</w:t>
      </w:r>
      <w:r>
        <w:rPr>
          <w:rFonts w:hint="eastAsia" w:ascii="宋体" w:hAnsi="宋体"/>
          <w:szCs w:val="21"/>
          <w:u w:val="single"/>
        </w:rPr>
        <w:t xml:space="preserve">       </w:t>
      </w:r>
    </w:p>
    <w:p w14:paraId="0150C1AD">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D0FCED8">
      <w:pPr>
        <w:adjustRightInd w:val="0"/>
        <w:snapToGrid w:val="0"/>
        <w:spacing w:line="360" w:lineRule="auto"/>
        <w:rPr>
          <w:rFonts w:ascii="宋体" w:hAnsi="宋体"/>
          <w:szCs w:val="21"/>
        </w:rPr>
        <w:sectPr>
          <w:headerReference r:id="rId10" w:type="default"/>
          <w:footerReference r:id="rId11" w:type="default"/>
          <w:pgSz w:w="11906" w:h="16838"/>
          <w:pgMar w:top="1474" w:right="1474" w:bottom="1474" w:left="1588" w:header="851" w:footer="992" w:gutter="0"/>
          <w:pgNumType w:fmt="numberInDash"/>
          <w:cols w:space="720" w:num="1"/>
          <w:docGrid w:type="lines" w:linePitch="312" w:charSpace="0"/>
        </w:sectPr>
      </w:pPr>
    </w:p>
    <w:p w14:paraId="180255D6">
      <w:pPr>
        <w:adjustRightInd w:val="0"/>
        <w:snapToGrid w:val="0"/>
        <w:spacing w:line="360" w:lineRule="auto"/>
        <w:rPr>
          <w:rFonts w:ascii="宋体" w:hAnsi="宋体"/>
          <w:szCs w:val="21"/>
        </w:rPr>
      </w:pPr>
    </w:p>
    <w:p w14:paraId="20547251">
      <w:pPr>
        <w:pStyle w:val="5"/>
        <w:adjustRightInd w:val="0"/>
        <w:snapToGrid w:val="0"/>
        <w:spacing w:before="0" w:after="0" w:line="360" w:lineRule="auto"/>
        <w:jc w:val="center"/>
        <w:rPr>
          <w:rFonts w:ascii="黑体" w:hAnsi="宋体" w:eastAsia="黑体"/>
          <w:sz w:val="44"/>
          <w:szCs w:val="44"/>
        </w:rPr>
      </w:pPr>
      <w:bookmarkStart w:id="282" w:name="_Toc28564"/>
      <w:bookmarkStart w:id="283" w:name="_Toc172716812"/>
      <w:bookmarkStart w:id="284" w:name="_Toc29913967"/>
      <w:r>
        <w:rPr>
          <w:rFonts w:hint="eastAsia" w:ascii="黑体" w:hAnsi="宋体" w:eastAsia="黑体"/>
          <w:sz w:val="28"/>
          <w:szCs w:val="28"/>
        </w:rPr>
        <w:t>七、采购需求响应</w:t>
      </w:r>
      <w:bookmarkEnd w:id="282"/>
      <w:bookmarkEnd w:id="283"/>
    </w:p>
    <w:p w14:paraId="4129213B">
      <w:pPr>
        <w:adjustRightInd w:val="0"/>
        <w:snapToGrid w:val="0"/>
        <w:spacing w:line="360" w:lineRule="auto"/>
        <w:rPr>
          <w:rFonts w:asciiTheme="minorEastAsia" w:hAnsiTheme="minorEastAsia" w:eastAsiaTheme="minorEastAsia"/>
          <w:b/>
          <w:szCs w:val="21"/>
        </w:rPr>
      </w:pPr>
    </w:p>
    <w:p w14:paraId="03D00C51">
      <w:pPr>
        <w:adjustRightInd w:val="0"/>
        <w:snapToGrid w:val="0"/>
        <w:spacing w:line="360" w:lineRule="auto"/>
        <w:rPr>
          <w:b/>
        </w:rPr>
      </w:pPr>
      <w:r>
        <w:rPr>
          <w:rFonts w:hint="eastAsia" w:asciiTheme="minorEastAsia" w:hAnsiTheme="minorEastAsia" w:eastAsiaTheme="minorEastAsia"/>
          <w:b/>
          <w:szCs w:val="21"/>
        </w:rPr>
        <w:t>编制说明</w:t>
      </w:r>
      <w:r>
        <w:rPr>
          <w:rFonts w:hint="eastAsia" w:asciiTheme="minorEastAsia" w:hAnsiTheme="minorEastAsia" w:eastAsiaTheme="minorEastAsia"/>
          <w:bCs/>
          <w:szCs w:val="21"/>
        </w:rPr>
        <w:t>：</w:t>
      </w:r>
      <w:r>
        <w:rPr>
          <w:rFonts w:hint="eastAsia"/>
          <w:b/>
        </w:rPr>
        <w:t>投标人应按招标文件第五章采购需求自行编写采购需求响应文件（其内容可包括，且不限于详细的技术指标和服务的组织及保证措施等，格式自拟）。</w:t>
      </w:r>
    </w:p>
    <w:p w14:paraId="2CC05A63">
      <w:pPr>
        <w:pStyle w:val="25"/>
        <w:adjustRightInd w:val="0"/>
        <w:snapToGrid w:val="0"/>
        <w:spacing w:line="360" w:lineRule="auto"/>
        <w:ind w:left="-88" w:leftChars="-42"/>
        <w:rPr>
          <w:rFonts w:ascii="宋体" w:hAnsi="宋体"/>
          <w:bCs/>
          <w:sz w:val="21"/>
          <w:szCs w:val="21"/>
        </w:rPr>
      </w:pPr>
    </w:p>
    <w:p w14:paraId="6EBBE84C"/>
    <w:p w14:paraId="0B7BBB8E"/>
    <w:p w14:paraId="4C216816">
      <w:pPr>
        <w:pStyle w:val="25"/>
        <w:tabs>
          <w:tab w:val="left" w:pos="6208"/>
        </w:tabs>
        <w:adjustRightInd w:val="0"/>
        <w:snapToGrid w:val="0"/>
        <w:spacing w:line="360" w:lineRule="auto"/>
        <w:ind w:left="-88" w:leftChars="-42"/>
        <w:rPr>
          <w:rFonts w:ascii="宋体" w:hAnsi="宋体"/>
          <w:bCs/>
          <w:sz w:val="21"/>
          <w:szCs w:val="21"/>
        </w:rPr>
      </w:pPr>
    </w:p>
    <w:p w14:paraId="2219EE10">
      <w:pPr>
        <w:adjustRightInd w:val="0"/>
        <w:snapToGrid w:val="0"/>
        <w:spacing w:line="360" w:lineRule="auto"/>
        <w:rPr>
          <w:rFonts w:ascii="宋体" w:hAnsi="宋体"/>
          <w:szCs w:val="21"/>
        </w:rPr>
      </w:pPr>
    </w:p>
    <w:p w14:paraId="0274D398">
      <w:pPr>
        <w:adjustRightInd w:val="0"/>
        <w:snapToGrid w:val="0"/>
        <w:spacing w:line="360" w:lineRule="auto"/>
        <w:rPr>
          <w:rFonts w:ascii="宋体" w:hAnsi="宋体"/>
          <w:szCs w:val="21"/>
        </w:rPr>
      </w:pPr>
      <w:r>
        <w:rPr>
          <w:rFonts w:hint="eastAsia" w:ascii="宋体" w:hAnsi="宋体"/>
          <w:szCs w:val="21"/>
        </w:rPr>
        <w:t>投标人名称（盖单位电子章）：</w:t>
      </w:r>
    </w:p>
    <w:p w14:paraId="0BF43F4F">
      <w:pPr>
        <w:adjustRightInd w:val="0"/>
        <w:snapToGrid w:val="0"/>
        <w:spacing w:line="360" w:lineRule="auto"/>
        <w:rPr>
          <w:rFonts w:ascii="宋体" w:hAnsi="宋体"/>
          <w:szCs w:val="21"/>
          <w:u w:val="single"/>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或其授权的代理人（签字或签章）：</w:t>
      </w:r>
      <w:r>
        <w:rPr>
          <w:rFonts w:hint="eastAsia" w:ascii="宋体" w:hAnsi="宋体"/>
          <w:szCs w:val="21"/>
          <w:u w:val="single"/>
        </w:rPr>
        <w:t xml:space="preserve">             </w:t>
      </w:r>
    </w:p>
    <w:p w14:paraId="7F4CB630">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C8A732D"/>
    <w:p w14:paraId="204E9820"/>
    <w:p w14:paraId="22F94445">
      <w:pPr>
        <w:pStyle w:val="6"/>
        <w:adjustRightInd w:val="0"/>
        <w:snapToGrid w:val="0"/>
        <w:spacing w:beforeLines="50" w:after="0" w:line="360" w:lineRule="auto"/>
        <w:rPr>
          <w:rFonts w:ascii="黑体" w:hAnsi="黑体"/>
          <w:b w:val="0"/>
          <w:sz w:val="21"/>
          <w:szCs w:val="21"/>
        </w:rPr>
      </w:pPr>
      <w:bookmarkStart w:id="285" w:name="_Toc172716813"/>
      <w:bookmarkStart w:id="286" w:name="_Toc15795"/>
      <w:r>
        <w:rPr>
          <w:rFonts w:hint="eastAsia" w:ascii="黑体" w:hAnsi="黑体" w:cs="宋体"/>
          <w:b w:val="0"/>
          <w:spacing w:val="6"/>
          <w:kern w:val="0"/>
          <w:sz w:val="21"/>
          <w:szCs w:val="21"/>
        </w:rPr>
        <w:t>附件7-1 响应</w:t>
      </w:r>
      <w:r>
        <w:rPr>
          <w:rFonts w:hint="eastAsia" w:ascii="黑体" w:hAnsi="黑体"/>
          <w:b w:val="0"/>
          <w:sz w:val="21"/>
          <w:szCs w:val="21"/>
        </w:rPr>
        <w:t>-览表</w:t>
      </w:r>
      <w:bookmarkEnd w:id="285"/>
      <w:bookmarkEnd w:id="286"/>
    </w:p>
    <w:p w14:paraId="2251B245">
      <w:pPr>
        <w:adjustRightInd w:val="0"/>
        <w:snapToGrid w:val="0"/>
        <w:spacing w:beforeLines="50" w:line="360" w:lineRule="auto"/>
        <w:jc w:val="center"/>
        <w:rPr>
          <w:rFonts w:ascii="黑体" w:hAnsi="黑体" w:eastAsia="黑体"/>
          <w:b/>
          <w:bCs/>
          <w:sz w:val="28"/>
          <w:szCs w:val="28"/>
        </w:rPr>
      </w:pPr>
      <w:r>
        <w:rPr>
          <w:rFonts w:hint="eastAsia" w:ascii="黑体" w:hAnsi="黑体" w:eastAsia="黑体"/>
          <w:b/>
          <w:bCs/>
          <w:sz w:val="28"/>
          <w:szCs w:val="28"/>
        </w:rPr>
        <w:t>响应-览表</w:t>
      </w:r>
    </w:p>
    <w:p w14:paraId="7C854DBC">
      <w:pPr>
        <w:adjustRightInd w:val="0"/>
        <w:snapToGrid w:val="0"/>
        <w:spacing w:beforeLines="50" w:line="360" w:lineRule="auto"/>
        <w:jc w:val="center"/>
        <w:rPr>
          <w:rFonts w:ascii="黑体" w:hAnsi="黑体" w:eastAsia="黑体"/>
          <w:b/>
          <w:bCs/>
          <w:sz w:val="28"/>
          <w:szCs w:val="28"/>
        </w:rPr>
      </w:pPr>
    </w:p>
    <w:tbl>
      <w:tblPr>
        <w:tblStyle w:val="45"/>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1A655D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4073488B">
            <w:pPr>
              <w:jc w:val="center"/>
              <w:rPr>
                <w:szCs w:val="21"/>
              </w:rPr>
            </w:pPr>
            <w:r>
              <w:rPr>
                <w:rFonts w:hint="eastAsia"/>
                <w:szCs w:val="21"/>
              </w:rPr>
              <w:t xml:space="preserve">包号 </w:t>
            </w:r>
          </w:p>
        </w:tc>
        <w:tc>
          <w:tcPr>
            <w:tcW w:w="957" w:type="dxa"/>
            <w:vMerge w:val="restart"/>
            <w:tcBorders>
              <w:right w:val="single" w:color="auto" w:sz="4" w:space="0"/>
            </w:tcBorders>
            <w:vAlign w:val="center"/>
          </w:tcPr>
          <w:p w14:paraId="47CED319">
            <w:pPr>
              <w:jc w:val="center"/>
              <w:rPr>
                <w:szCs w:val="21"/>
              </w:rPr>
            </w:pPr>
            <w:r>
              <w:rPr>
                <w:rFonts w:hint="eastAsia"/>
                <w:szCs w:val="21"/>
              </w:rPr>
              <w:t>包名称</w:t>
            </w:r>
          </w:p>
        </w:tc>
        <w:tc>
          <w:tcPr>
            <w:tcW w:w="2124" w:type="dxa"/>
            <w:vMerge w:val="restart"/>
            <w:tcBorders>
              <w:left w:val="single" w:color="auto" w:sz="4" w:space="0"/>
            </w:tcBorders>
            <w:vAlign w:val="center"/>
          </w:tcPr>
          <w:p w14:paraId="49816FE0">
            <w:pPr>
              <w:jc w:val="center"/>
              <w:rPr>
                <w:szCs w:val="21"/>
              </w:rPr>
            </w:pPr>
            <w:r>
              <w:rPr>
                <w:rFonts w:hint="eastAsia"/>
                <w:szCs w:val="21"/>
              </w:rPr>
              <w:t>分项项目名称</w:t>
            </w:r>
          </w:p>
          <w:p w14:paraId="7C8A6C21">
            <w:pPr>
              <w:jc w:val="center"/>
              <w:rPr>
                <w:szCs w:val="21"/>
              </w:rPr>
            </w:pPr>
            <w:r>
              <w:rPr>
                <w:rFonts w:hint="eastAsia"/>
                <w:szCs w:val="21"/>
              </w:rPr>
              <w:t>（条目号/品目名称）</w:t>
            </w:r>
          </w:p>
        </w:tc>
        <w:tc>
          <w:tcPr>
            <w:tcW w:w="2127" w:type="dxa"/>
            <w:vMerge w:val="restart"/>
            <w:vAlign w:val="center"/>
          </w:tcPr>
          <w:p w14:paraId="036C4638">
            <w:pPr>
              <w:jc w:val="center"/>
              <w:rPr>
                <w:szCs w:val="21"/>
              </w:rPr>
            </w:pPr>
            <w:r>
              <w:rPr>
                <w:rFonts w:hint="eastAsia"/>
                <w:szCs w:val="21"/>
              </w:rPr>
              <w:t>主要技术条款要求</w:t>
            </w:r>
          </w:p>
        </w:tc>
        <w:tc>
          <w:tcPr>
            <w:tcW w:w="992" w:type="dxa"/>
            <w:vMerge w:val="restart"/>
            <w:vAlign w:val="center"/>
          </w:tcPr>
          <w:p w14:paraId="1DBD8B1F">
            <w:pPr>
              <w:jc w:val="center"/>
              <w:rPr>
                <w:szCs w:val="21"/>
              </w:rPr>
            </w:pPr>
            <w:r>
              <w:rPr>
                <w:rFonts w:hint="eastAsia"/>
                <w:szCs w:val="21"/>
              </w:rPr>
              <w:t>数量</w:t>
            </w:r>
          </w:p>
        </w:tc>
        <w:tc>
          <w:tcPr>
            <w:tcW w:w="1460" w:type="dxa"/>
            <w:gridSpan w:val="2"/>
            <w:vAlign w:val="center"/>
          </w:tcPr>
          <w:p w14:paraId="003FD1B7">
            <w:pPr>
              <w:jc w:val="center"/>
              <w:rPr>
                <w:szCs w:val="21"/>
              </w:rPr>
            </w:pPr>
            <w:r>
              <w:rPr>
                <w:rFonts w:hint="eastAsia"/>
                <w:szCs w:val="21"/>
              </w:rPr>
              <w:t>服务</w:t>
            </w:r>
          </w:p>
        </w:tc>
        <w:tc>
          <w:tcPr>
            <w:tcW w:w="971" w:type="dxa"/>
            <w:vMerge w:val="restart"/>
            <w:vAlign w:val="center"/>
          </w:tcPr>
          <w:p w14:paraId="459D3440">
            <w:pPr>
              <w:jc w:val="center"/>
              <w:rPr>
                <w:szCs w:val="21"/>
              </w:rPr>
            </w:pPr>
            <w:r>
              <w:rPr>
                <w:rFonts w:hint="eastAsia"/>
                <w:szCs w:val="21"/>
              </w:rPr>
              <w:t>备注</w:t>
            </w:r>
          </w:p>
        </w:tc>
      </w:tr>
      <w:tr w14:paraId="3028D0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2BE09927">
            <w:pPr>
              <w:jc w:val="center"/>
              <w:rPr>
                <w:szCs w:val="21"/>
              </w:rPr>
            </w:pPr>
          </w:p>
        </w:tc>
        <w:tc>
          <w:tcPr>
            <w:tcW w:w="957" w:type="dxa"/>
            <w:vMerge w:val="continue"/>
            <w:tcBorders>
              <w:right w:val="single" w:color="auto" w:sz="4" w:space="0"/>
            </w:tcBorders>
            <w:vAlign w:val="center"/>
          </w:tcPr>
          <w:p w14:paraId="77D74979">
            <w:pPr>
              <w:jc w:val="center"/>
              <w:rPr>
                <w:szCs w:val="21"/>
              </w:rPr>
            </w:pPr>
          </w:p>
        </w:tc>
        <w:tc>
          <w:tcPr>
            <w:tcW w:w="2124" w:type="dxa"/>
            <w:vMerge w:val="continue"/>
            <w:tcBorders>
              <w:left w:val="single" w:color="auto" w:sz="4" w:space="0"/>
            </w:tcBorders>
            <w:vAlign w:val="center"/>
          </w:tcPr>
          <w:p w14:paraId="33F9EFFF">
            <w:pPr>
              <w:jc w:val="center"/>
              <w:rPr>
                <w:szCs w:val="21"/>
              </w:rPr>
            </w:pPr>
          </w:p>
        </w:tc>
        <w:tc>
          <w:tcPr>
            <w:tcW w:w="2127" w:type="dxa"/>
            <w:vMerge w:val="continue"/>
            <w:vAlign w:val="center"/>
          </w:tcPr>
          <w:p w14:paraId="41B06F3D">
            <w:pPr>
              <w:jc w:val="center"/>
              <w:rPr>
                <w:szCs w:val="21"/>
              </w:rPr>
            </w:pPr>
          </w:p>
        </w:tc>
        <w:tc>
          <w:tcPr>
            <w:tcW w:w="992" w:type="dxa"/>
            <w:vMerge w:val="continue"/>
            <w:vAlign w:val="center"/>
          </w:tcPr>
          <w:p w14:paraId="0B8CCB44">
            <w:pPr>
              <w:jc w:val="center"/>
              <w:rPr>
                <w:szCs w:val="21"/>
              </w:rPr>
            </w:pPr>
          </w:p>
        </w:tc>
        <w:tc>
          <w:tcPr>
            <w:tcW w:w="709" w:type="dxa"/>
            <w:vAlign w:val="center"/>
          </w:tcPr>
          <w:p w14:paraId="6A1F3ED2">
            <w:pPr>
              <w:jc w:val="center"/>
              <w:rPr>
                <w:szCs w:val="21"/>
              </w:rPr>
            </w:pPr>
            <w:r>
              <w:rPr>
                <w:rFonts w:hint="eastAsia"/>
                <w:szCs w:val="21"/>
              </w:rPr>
              <w:t>时间</w:t>
            </w:r>
          </w:p>
        </w:tc>
        <w:tc>
          <w:tcPr>
            <w:tcW w:w="751" w:type="dxa"/>
            <w:vAlign w:val="center"/>
          </w:tcPr>
          <w:p w14:paraId="5941D677">
            <w:pPr>
              <w:jc w:val="center"/>
              <w:rPr>
                <w:szCs w:val="21"/>
              </w:rPr>
            </w:pPr>
            <w:r>
              <w:rPr>
                <w:rFonts w:hint="eastAsia"/>
                <w:szCs w:val="21"/>
              </w:rPr>
              <w:t>地点</w:t>
            </w:r>
          </w:p>
        </w:tc>
        <w:tc>
          <w:tcPr>
            <w:tcW w:w="971" w:type="dxa"/>
            <w:vMerge w:val="continue"/>
          </w:tcPr>
          <w:p w14:paraId="30BDDA14">
            <w:pPr>
              <w:rPr>
                <w:szCs w:val="21"/>
              </w:rPr>
            </w:pPr>
          </w:p>
        </w:tc>
      </w:tr>
      <w:tr w14:paraId="301086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5B92113">
            <w:pPr>
              <w:rPr>
                <w:szCs w:val="21"/>
              </w:rPr>
            </w:pPr>
          </w:p>
        </w:tc>
        <w:tc>
          <w:tcPr>
            <w:tcW w:w="957" w:type="dxa"/>
            <w:tcBorders>
              <w:right w:val="single" w:color="auto" w:sz="4" w:space="0"/>
            </w:tcBorders>
          </w:tcPr>
          <w:p w14:paraId="38DE9109">
            <w:pPr>
              <w:rPr>
                <w:szCs w:val="21"/>
              </w:rPr>
            </w:pPr>
          </w:p>
        </w:tc>
        <w:tc>
          <w:tcPr>
            <w:tcW w:w="2124" w:type="dxa"/>
            <w:tcBorders>
              <w:left w:val="single" w:color="auto" w:sz="4" w:space="0"/>
            </w:tcBorders>
          </w:tcPr>
          <w:p w14:paraId="5444EDED">
            <w:pPr>
              <w:rPr>
                <w:szCs w:val="21"/>
              </w:rPr>
            </w:pPr>
          </w:p>
        </w:tc>
        <w:tc>
          <w:tcPr>
            <w:tcW w:w="2127" w:type="dxa"/>
          </w:tcPr>
          <w:p w14:paraId="607B4E5B">
            <w:pPr>
              <w:rPr>
                <w:szCs w:val="21"/>
              </w:rPr>
            </w:pPr>
          </w:p>
        </w:tc>
        <w:tc>
          <w:tcPr>
            <w:tcW w:w="992" w:type="dxa"/>
          </w:tcPr>
          <w:p w14:paraId="68DA1748">
            <w:pPr>
              <w:rPr>
                <w:szCs w:val="21"/>
              </w:rPr>
            </w:pPr>
          </w:p>
        </w:tc>
        <w:tc>
          <w:tcPr>
            <w:tcW w:w="709" w:type="dxa"/>
            <w:tcBorders>
              <w:bottom w:val="single" w:color="auto" w:sz="4" w:space="0"/>
            </w:tcBorders>
          </w:tcPr>
          <w:p w14:paraId="7E1641D3">
            <w:pPr>
              <w:rPr>
                <w:szCs w:val="21"/>
              </w:rPr>
            </w:pPr>
          </w:p>
        </w:tc>
        <w:tc>
          <w:tcPr>
            <w:tcW w:w="751" w:type="dxa"/>
            <w:tcBorders>
              <w:bottom w:val="single" w:color="auto" w:sz="4" w:space="0"/>
            </w:tcBorders>
          </w:tcPr>
          <w:p w14:paraId="45AA5685">
            <w:pPr>
              <w:rPr>
                <w:szCs w:val="21"/>
              </w:rPr>
            </w:pPr>
          </w:p>
        </w:tc>
        <w:tc>
          <w:tcPr>
            <w:tcW w:w="971" w:type="dxa"/>
          </w:tcPr>
          <w:p w14:paraId="29542B58">
            <w:pPr>
              <w:rPr>
                <w:szCs w:val="21"/>
              </w:rPr>
            </w:pPr>
          </w:p>
        </w:tc>
      </w:tr>
      <w:tr w14:paraId="111D39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15F32EF2">
            <w:pPr>
              <w:rPr>
                <w:szCs w:val="21"/>
              </w:rPr>
            </w:pPr>
          </w:p>
        </w:tc>
        <w:tc>
          <w:tcPr>
            <w:tcW w:w="957" w:type="dxa"/>
            <w:tcBorders>
              <w:right w:val="single" w:color="auto" w:sz="4" w:space="0"/>
            </w:tcBorders>
          </w:tcPr>
          <w:p w14:paraId="656B1766">
            <w:pPr>
              <w:rPr>
                <w:szCs w:val="21"/>
              </w:rPr>
            </w:pPr>
          </w:p>
        </w:tc>
        <w:tc>
          <w:tcPr>
            <w:tcW w:w="2124" w:type="dxa"/>
            <w:tcBorders>
              <w:left w:val="single" w:color="auto" w:sz="4" w:space="0"/>
            </w:tcBorders>
          </w:tcPr>
          <w:p w14:paraId="6FAE34BF">
            <w:pPr>
              <w:rPr>
                <w:szCs w:val="21"/>
              </w:rPr>
            </w:pPr>
          </w:p>
        </w:tc>
        <w:tc>
          <w:tcPr>
            <w:tcW w:w="2127" w:type="dxa"/>
          </w:tcPr>
          <w:p w14:paraId="29CBB819">
            <w:pPr>
              <w:rPr>
                <w:szCs w:val="21"/>
              </w:rPr>
            </w:pPr>
          </w:p>
        </w:tc>
        <w:tc>
          <w:tcPr>
            <w:tcW w:w="992" w:type="dxa"/>
          </w:tcPr>
          <w:p w14:paraId="6339E3DE">
            <w:pPr>
              <w:rPr>
                <w:szCs w:val="21"/>
              </w:rPr>
            </w:pPr>
          </w:p>
        </w:tc>
        <w:tc>
          <w:tcPr>
            <w:tcW w:w="709" w:type="dxa"/>
            <w:tcBorders>
              <w:top w:val="single" w:color="auto" w:sz="4" w:space="0"/>
              <w:bottom w:val="single" w:color="auto" w:sz="4" w:space="0"/>
            </w:tcBorders>
          </w:tcPr>
          <w:p w14:paraId="6C05A9BF">
            <w:pPr>
              <w:rPr>
                <w:szCs w:val="21"/>
              </w:rPr>
            </w:pPr>
          </w:p>
        </w:tc>
        <w:tc>
          <w:tcPr>
            <w:tcW w:w="751" w:type="dxa"/>
            <w:tcBorders>
              <w:top w:val="single" w:color="auto" w:sz="4" w:space="0"/>
              <w:bottom w:val="single" w:color="auto" w:sz="4" w:space="0"/>
            </w:tcBorders>
          </w:tcPr>
          <w:p w14:paraId="75CA305E">
            <w:pPr>
              <w:rPr>
                <w:szCs w:val="21"/>
              </w:rPr>
            </w:pPr>
          </w:p>
        </w:tc>
        <w:tc>
          <w:tcPr>
            <w:tcW w:w="971" w:type="dxa"/>
          </w:tcPr>
          <w:p w14:paraId="4D618B3D">
            <w:pPr>
              <w:rPr>
                <w:szCs w:val="21"/>
              </w:rPr>
            </w:pPr>
          </w:p>
        </w:tc>
      </w:tr>
      <w:tr w14:paraId="55DE6A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1FE8076F">
            <w:pPr>
              <w:rPr>
                <w:szCs w:val="21"/>
              </w:rPr>
            </w:pPr>
          </w:p>
        </w:tc>
        <w:tc>
          <w:tcPr>
            <w:tcW w:w="957" w:type="dxa"/>
            <w:tcBorders>
              <w:right w:val="single" w:color="auto" w:sz="4" w:space="0"/>
            </w:tcBorders>
          </w:tcPr>
          <w:p w14:paraId="7DD7AE67">
            <w:pPr>
              <w:rPr>
                <w:szCs w:val="21"/>
              </w:rPr>
            </w:pPr>
          </w:p>
        </w:tc>
        <w:tc>
          <w:tcPr>
            <w:tcW w:w="2124" w:type="dxa"/>
            <w:tcBorders>
              <w:left w:val="single" w:color="auto" w:sz="4" w:space="0"/>
            </w:tcBorders>
          </w:tcPr>
          <w:p w14:paraId="1E7F3708">
            <w:pPr>
              <w:rPr>
                <w:szCs w:val="21"/>
              </w:rPr>
            </w:pPr>
          </w:p>
        </w:tc>
        <w:tc>
          <w:tcPr>
            <w:tcW w:w="2127" w:type="dxa"/>
          </w:tcPr>
          <w:p w14:paraId="22BF9853">
            <w:pPr>
              <w:rPr>
                <w:szCs w:val="21"/>
              </w:rPr>
            </w:pPr>
          </w:p>
        </w:tc>
        <w:tc>
          <w:tcPr>
            <w:tcW w:w="992" w:type="dxa"/>
          </w:tcPr>
          <w:p w14:paraId="6A6F59FE">
            <w:pPr>
              <w:rPr>
                <w:szCs w:val="21"/>
              </w:rPr>
            </w:pPr>
          </w:p>
        </w:tc>
        <w:tc>
          <w:tcPr>
            <w:tcW w:w="709" w:type="dxa"/>
            <w:tcBorders>
              <w:top w:val="single" w:color="auto" w:sz="4" w:space="0"/>
              <w:bottom w:val="single" w:color="auto" w:sz="4" w:space="0"/>
            </w:tcBorders>
          </w:tcPr>
          <w:p w14:paraId="0D907666">
            <w:pPr>
              <w:rPr>
                <w:szCs w:val="21"/>
              </w:rPr>
            </w:pPr>
          </w:p>
        </w:tc>
        <w:tc>
          <w:tcPr>
            <w:tcW w:w="751" w:type="dxa"/>
            <w:tcBorders>
              <w:top w:val="single" w:color="auto" w:sz="4" w:space="0"/>
              <w:bottom w:val="single" w:color="auto" w:sz="4" w:space="0"/>
            </w:tcBorders>
          </w:tcPr>
          <w:p w14:paraId="342B7DB0">
            <w:pPr>
              <w:rPr>
                <w:szCs w:val="21"/>
              </w:rPr>
            </w:pPr>
          </w:p>
        </w:tc>
        <w:tc>
          <w:tcPr>
            <w:tcW w:w="971" w:type="dxa"/>
          </w:tcPr>
          <w:p w14:paraId="39218455">
            <w:pPr>
              <w:rPr>
                <w:szCs w:val="21"/>
              </w:rPr>
            </w:pPr>
          </w:p>
        </w:tc>
      </w:tr>
      <w:tr w14:paraId="661D9E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0FAE5752">
            <w:pPr>
              <w:rPr>
                <w:szCs w:val="21"/>
              </w:rPr>
            </w:pPr>
          </w:p>
        </w:tc>
        <w:tc>
          <w:tcPr>
            <w:tcW w:w="957" w:type="dxa"/>
            <w:tcBorders>
              <w:right w:val="single" w:color="auto" w:sz="4" w:space="0"/>
            </w:tcBorders>
          </w:tcPr>
          <w:p w14:paraId="663A3897">
            <w:pPr>
              <w:rPr>
                <w:szCs w:val="21"/>
              </w:rPr>
            </w:pPr>
          </w:p>
        </w:tc>
        <w:tc>
          <w:tcPr>
            <w:tcW w:w="2124" w:type="dxa"/>
            <w:tcBorders>
              <w:left w:val="single" w:color="auto" w:sz="4" w:space="0"/>
            </w:tcBorders>
          </w:tcPr>
          <w:p w14:paraId="78CF3619">
            <w:pPr>
              <w:rPr>
                <w:szCs w:val="21"/>
              </w:rPr>
            </w:pPr>
          </w:p>
        </w:tc>
        <w:tc>
          <w:tcPr>
            <w:tcW w:w="2127" w:type="dxa"/>
          </w:tcPr>
          <w:p w14:paraId="53BFED30">
            <w:pPr>
              <w:rPr>
                <w:szCs w:val="21"/>
              </w:rPr>
            </w:pPr>
          </w:p>
        </w:tc>
        <w:tc>
          <w:tcPr>
            <w:tcW w:w="992" w:type="dxa"/>
          </w:tcPr>
          <w:p w14:paraId="3A6B24F7">
            <w:pPr>
              <w:rPr>
                <w:szCs w:val="21"/>
              </w:rPr>
            </w:pPr>
          </w:p>
        </w:tc>
        <w:tc>
          <w:tcPr>
            <w:tcW w:w="709" w:type="dxa"/>
            <w:tcBorders>
              <w:top w:val="single" w:color="auto" w:sz="4" w:space="0"/>
              <w:bottom w:val="single" w:color="auto" w:sz="4" w:space="0"/>
            </w:tcBorders>
          </w:tcPr>
          <w:p w14:paraId="71B2F784">
            <w:pPr>
              <w:rPr>
                <w:szCs w:val="21"/>
              </w:rPr>
            </w:pPr>
          </w:p>
        </w:tc>
        <w:tc>
          <w:tcPr>
            <w:tcW w:w="751" w:type="dxa"/>
            <w:tcBorders>
              <w:top w:val="single" w:color="auto" w:sz="4" w:space="0"/>
              <w:bottom w:val="single" w:color="auto" w:sz="4" w:space="0"/>
            </w:tcBorders>
          </w:tcPr>
          <w:p w14:paraId="6ED40494">
            <w:pPr>
              <w:rPr>
                <w:szCs w:val="21"/>
              </w:rPr>
            </w:pPr>
          </w:p>
        </w:tc>
        <w:tc>
          <w:tcPr>
            <w:tcW w:w="971" w:type="dxa"/>
          </w:tcPr>
          <w:p w14:paraId="28C6A44D">
            <w:pPr>
              <w:rPr>
                <w:szCs w:val="21"/>
              </w:rPr>
            </w:pPr>
          </w:p>
        </w:tc>
      </w:tr>
      <w:tr w14:paraId="1E5A69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41FCDEE5">
            <w:pPr>
              <w:rPr>
                <w:szCs w:val="21"/>
              </w:rPr>
            </w:pPr>
          </w:p>
        </w:tc>
        <w:tc>
          <w:tcPr>
            <w:tcW w:w="957" w:type="dxa"/>
            <w:tcBorders>
              <w:right w:val="single" w:color="auto" w:sz="4" w:space="0"/>
            </w:tcBorders>
          </w:tcPr>
          <w:p w14:paraId="5DAEBFA4">
            <w:pPr>
              <w:rPr>
                <w:szCs w:val="21"/>
              </w:rPr>
            </w:pPr>
          </w:p>
        </w:tc>
        <w:tc>
          <w:tcPr>
            <w:tcW w:w="2124" w:type="dxa"/>
            <w:tcBorders>
              <w:left w:val="single" w:color="auto" w:sz="4" w:space="0"/>
            </w:tcBorders>
          </w:tcPr>
          <w:p w14:paraId="3225B973">
            <w:pPr>
              <w:rPr>
                <w:szCs w:val="21"/>
              </w:rPr>
            </w:pPr>
          </w:p>
        </w:tc>
        <w:tc>
          <w:tcPr>
            <w:tcW w:w="2127" w:type="dxa"/>
          </w:tcPr>
          <w:p w14:paraId="1AAE5D8C">
            <w:pPr>
              <w:rPr>
                <w:szCs w:val="21"/>
              </w:rPr>
            </w:pPr>
          </w:p>
        </w:tc>
        <w:tc>
          <w:tcPr>
            <w:tcW w:w="992" w:type="dxa"/>
          </w:tcPr>
          <w:p w14:paraId="316F3DDD">
            <w:pPr>
              <w:rPr>
                <w:szCs w:val="21"/>
              </w:rPr>
            </w:pPr>
          </w:p>
        </w:tc>
        <w:tc>
          <w:tcPr>
            <w:tcW w:w="709" w:type="dxa"/>
            <w:tcBorders>
              <w:top w:val="single" w:color="auto" w:sz="4" w:space="0"/>
            </w:tcBorders>
          </w:tcPr>
          <w:p w14:paraId="0984A41C">
            <w:pPr>
              <w:rPr>
                <w:szCs w:val="21"/>
              </w:rPr>
            </w:pPr>
          </w:p>
        </w:tc>
        <w:tc>
          <w:tcPr>
            <w:tcW w:w="751" w:type="dxa"/>
            <w:tcBorders>
              <w:top w:val="single" w:color="auto" w:sz="4" w:space="0"/>
            </w:tcBorders>
          </w:tcPr>
          <w:p w14:paraId="3F1C2DDF">
            <w:pPr>
              <w:rPr>
                <w:szCs w:val="21"/>
              </w:rPr>
            </w:pPr>
          </w:p>
        </w:tc>
        <w:tc>
          <w:tcPr>
            <w:tcW w:w="971" w:type="dxa"/>
          </w:tcPr>
          <w:p w14:paraId="0C410DF3">
            <w:pPr>
              <w:rPr>
                <w:szCs w:val="21"/>
              </w:rPr>
            </w:pPr>
          </w:p>
        </w:tc>
      </w:tr>
    </w:tbl>
    <w:p w14:paraId="52BB9CA5">
      <w:pPr>
        <w:adjustRightInd w:val="0"/>
        <w:snapToGrid w:val="0"/>
        <w:spacing w:beforeLines="50" w:line="360" w:lineRule="auto"/>
        <w:jc w:val="center"/>
        <w:rPr>
          <w:rFonts w:ascii="黑体" w:hAnsi="黑体" w:eastAsia="黑体"/>
          <w:b/>
          <w:bCs/>
          <w:sz w:val="28"/>
          <w:szCs w:val="28"/>
        </w:rPr>
      </w:pPr>
    </w:p>
    <w:p w14:paraId="4621BCAE">
      <w:pPr>
        <w:jc w:val="center"/>
        <w:rPr>
          <w:rFonts w:asciiTheme="minorEastAsia" w:hAnsiTheme="minorEastAsia" w:eastAsiaTheme="minorEastAsia"/>
          <w:szCs w:val="21"/>
        </w:rPr>
      </w:pPr>
    </w:p>
    <w:p w14:paraId="47211A17">
      <w:pPr>
        <w:adjustRightInd w:val="0"/>
        <w:snapToGrid w:val="0"/>
        <w:spacing w:line="360" w:lineRule="auto"/>
      </w:pPr>
    </w:p>
    <w:p w14:paraId="6FFEA361">
      <w:pPr>
        <w:adjustRightInd w:val="0"/>
        <w:snapToGrid w:val="0"/>
        <w:spacing w:line="360" w:lineRule="auto"/>
        <w:rPr>
          <w:rFonts w:ascii="宋体" w:hAnsi="宋体"/>
          <w:szCs w:val="21"/>
        </w:rPr>
      </w:pPr>
    </w:p>
    <w:p w14:paraId="198073D5">
      <w:pPr>
        <w:adjustRightInd w:val="0"/>
        <w:snapToGrid w:val="0"/>
        <w:spacing w:line="360" w:lineRule="auto"/>
        <w:rPr>
          <w:rFonts w:ascii="宋体" w:hAnsi="宋体"/>
          <w:szCs w:val="21"/>
        </w:rPr>
      </w:pPr>
    </w:p>
    <w:p w14:paraId="0F923DDA">
      <w:pPr>
        <w:adjustRightInd w:val="0"/>
        <w:snapToGrid w:val="0"/>
        <w:spacing w:line="360" w:lineRule="auto"/>
        <w:rPr>
          <w:rFonts w:ascii="黑体" w:hAnsi="宋体" w:eastAsia="黑体"/>
          <w:sz w:val="28"/>
          <w:szCs w:val="28"/>
        </w:rPr>
        <w:sectPr>
          <w:headerReference r:id="rId14" w:type="first"/>
          <w:headerReference r:id="rId12" w:type="default"/>
          <w:footerReference r:id="rId15" w:type="default"/>
          <w:headerReference r:id="rId13" w:type="even"/>
          <w:pgSz w:w="11906" w:h="16838"/>
          <w:pgMar w:top="1474" w:right="1474" w:bottom="1474" w:left="1588" w:header="851" w:footer="992" w:gutter="0"/>
          <w:pgNumType w:fmt="numberInDash"/>
          <w:cols w:space="720" w:num="1"/>
          <w:docGrid w:type="lines" w:linePitch="312" w:charSpace="0"/>
        </w:sectPr>
      </w:pPr>
    </w:p>
    <w:p w14:paraId="197EC766">
      <w:pPr>
        <w:pStyle w:val="5"/>
        <w:adjustRightInd w:val="0"/>
        <w:snapToGrid w:val="0"/>
        <w:spacing w:beforeLines="50" w:after="0" w:line="360" w:lineRule="auto"/>
        <w:jc w:val="center"/>
        <w:rPr>
          <w:rFonts w:ascii="黑体" w:hAnsi="黑体" w:eastAsia="黑体"/>
          <w:sz w:val="28"/>
          <w:szCs w:val="28"/>
        </w:rPr>
      </w:pPr>
      <w:bookmarkStart w:id="287" w:name="_Toc25457"/>
      <w:bookmarkStart w:id="288" w:name="_Toc172716814"/>
      <w:r>
        <w:rPr>
          <w:rFonts w:hint="eastAsia" w:ascii="黑体" w:hAnsi="黑体" w:eastAsia="黑体"/>
          <w:sz w:val="28"/>
          <w:szCs w:val="28"/>
        </w:rPr>
        <w:t>八、商务、合同条款偏离表</w:t>
      </w:r>
      <w:bookmarkEnd w:id="284"/>
      <w:bookmarkEnd w:id="287"/>
      <w:bookmarkEnd w:id="288"/>
    </w:p>
    <w:p w14:paraId="3AF241C3">
      <w:pPr>
        <w:adjustRightInd w:val="0"/>
        <w:snapToGrid w:val="0"/>
        <w:spacing w:beforeLines="50" w:line="360" w:lineRule="auto"/>
        <w:rPr>
          <w:rFonts w:asciiTheme="minorEastAsia" w:hAnsiTheme="minorEastAsia" w:eastAsiaTheme="minorEastAsia"/>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w:t>
      </w: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____            ______</w:t>
      </w:r>
    </w:p>
    <w:p w14:paraId="61FE28F9">
      <w:pPr>
        <w:adjustRightInd w:val="0"/>
        <w:snapToGrid w:val="0"/>
        <w:spacing w:before="50" w:line="360" w:lineRule="auto"/>
        <w:rPr>
          <w:rFonts w:ascii="宋体" w:hAnsi="宋体"/>
          <w:szCs w:val="21"/>
          <w:u w:val="single"/>
        </w:rPr>
      </w:pPr>
      <w:r>
        <w:rPr>
          <w:rFonts w:hint="eastAsia" w:asciiTheme="minorEastAsia" w:hAnsiTheme="minorEastAsia" w:eastAsiaTheme="minorEastAsia"/>
          <w:szCs w:val="21"/>
        </w:rPr>
        <w:t>包           号：</w:t>
      </w:r>
      <w:r>
        <w:rPr>
          <w:rFonts w:hint="eastAsia" w:asciiTheme="minorEastAsia" w:hAnsiTheme="minorEastAsia" w:eastAsiaTheme="minorEastAsia"/>
          <w:szCs w:val="21"/>
          <w:u w:val="single"/>
        </w:rPr>
        <w:t xml:space="preserve">__    ________          </w:t>
      </w:r>
      <w:r>
        <w:rPr>
          <w:rFonts w:hint="eastAsia" w:asciiTheme="minorEastAsia" w:hAnsiTheme="minorEastAsia" w:eastAsiaTheme="minorEastAsia"/>
          <w:szCs w:val="21"/>
        </w:rPr>
        <w:t xml:space="preserve">           包名称：</w:t>
      </w:r>
      <w:r>
        <w:rPr>
          <w:rFonts w:hint="eastAsia" w:asciiTheme="minorEastAsia" w:hAnsiTheme="minorEastAsia" w:eastAsiaTheme="minorEastAsia"/>
          <w:szCs w:val="21"/>
          <w:u w:val="single"/>
        </w:rPr>
        <w:t>___          _______</w:t>
      </w:r>
    </w:p>
    <w:tbl>
      <w:tblPr>
        <w:tblStyle w:val="45"/>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2FB1CF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694B47B5">
            <w:pPr>
              <w:adjustRightInd w:val="0"/>
              <w:snapToGrid w:val="0"/>
              <w:spacing w:before="50" w:line="360" w:lineRule="auto"/>
              <w:ind w:left="-88" w:leftChars="-42"/>
              <w:jc w:val="center"/>
              <w:rPr>
                <w:rFonts w:asciiTheme="minorEastAsia" w:hAnsiTheme="minorEastAsia" w:eastAsiaTheme="minorEastAsia"/>
                <w:szCs w:val="21"/>
              </w:rPr>
            </w:pPr>
            <w:r>
              <w:rPr>
                <w:rFonts w:hint="eastAsia" w:asciiTheme="minorEastAsia" w:hAnsiTheme="minorEastAsia" w:eastAsiaTheme="minorEastAsia"/>
                <w:bCs/>
                <w:szCs w:val="21"/>
              </w:rPr>
              <w:t>序</w:t>
            </w:r>
            <w:r>
              <w:rPr>
                <w:rFonts w:hint="eastAsia" w:asciiTheme="minorEastAsia" w:hAnsiTheme="minorEastAsia" w:eastAsiaTheme="minorEastAsia"/>
                <w:szCs w:val="21"/>
              </w:rPr>
              <w:t>号</w:t>
            </w:r>
          </w:p>
        </w:tc>
        <w:tc>
          <w:tcPr>
            <w:tcW w:w="2410" w:type="dxa"/>
            <w:vAlign w:val="center"/>
          </w:tcPr>
          <w:p w14:paraId="61FCE132">
            <w:pPr>
              <w:adjustRightInd w:val="0"/>
              <w:snapToGrid w:val="0"/>
              <w:spacing w:before="50" w:line="360" w:lineRule="auto"/>
              <w:ind w:left="-88" w:leftChars="-42"/>
              <w:jc w:val="center"/>
              <w:rPr>
                <w:rFonts w:asciiTheme="minorEastAsia" w:hAnsiTheme="minorEastAsia" w:eastAsiaTheme="minorEastAsia"/>
                <w:szCs w:val="21"/>
              </w:rPr>
            </w:pPr>
            <w:r>
              <w:rPr>
                <w:rFonts w:hint="eastAsia" w:asciiTheme="minorEastAsia" w:hAnsiTheme="minorEastAsia" w:eastAsiaTheme="minorEastAsia"/>
                <w:szCs w:val="21"/>
              </w:rPr>
              <w:t>招标文件章节</w:t>
            </w:r>
            <w:r>
              <w:rPr>
                <w:rFonts w:hint="eastAsia" w:asciiTheme="minorEastAsia" w:hAnsiTheme="minorEastAsia" w:eastAsiaTheme="minorEastAsia"/>
                <w:bCs/>
                <w:szCs w:val="21"/>
              </w:rPr>
              <w:t>条</w:t>
            </w:r>
            <w:r>
              <w:rPr>
                <w:rFonts w:hint="eastAsia" w:asciiTheme="minorEastAsia" w:hAnsiTheme="minorEastAsia" w:eastAsiaTheme="minorEastAsia"/>
                <w:szCs w:val="21"/>
              </w:rPr>
              <w:t>款号</w:t>
            </w:r>
          </w:p>
        </w:tc>
        <w:tc>
          <w:tcPr>
            <w:tcW w:w="1985" w:type="dxa"/>
            <w:vAlign w:val="center"/>
          </w:tcPr>
          <w:p w14:paraId="32284359">
            <w:pPr>
              <w:adjustRightInd w:val="0"/>
              <w:snapToGrid w:val="0"/>
              <w:spacing w:before="50" w:line="360" w:lineRule="auto"/>
              <w:ind w:left="-88" w:leftChars="-42"/>
              <w:jc w:val="center"/>
              <w:rPr>
                <w:rFonts w:asciiTheme="minorEastAsia" w:hAnsiTheme="minorEastAsia" w:eastAsiaTheme="minorEastAsia"/>
                <w:szCs w:val="21"/>
              </w:rPr>
            </w:pPr>
            <w:r>
              <w:rPr>
                <w:rFonts w:hint="eastAsia"/>
              </w:rPr>
              <w:t>招标文件要求</w:t>
            </w:r>
          </w:p>
        </w:tc>
        <w:tc>
          <w:tcPr>
            <w:tcW w:w="2082" w:type="dxa"/>
            <w:tcBorders>
              <w:right w:val="single" w:color="auto" w:sz="4" w:space="0"/>
            </w:tcBorders>
            <w:vAlign w:val="center"/>
          </w:tcPr>
          <w:p w14:paraId="5FEFABA9">
            <w:pPr>
              <w:adjustRightInd w:val="0"/>
              <w:snapToGrid w:val="0"/>
              <w:spacing w:before="50" w:line="360" w:lineRule="auto"/>
              <w:jc w:val="center"/>
              <w:rPr>
                <w:rFonts w:asciiTheme="minorEastAsia" w:hAnsiTheme="minorEastAsia" w:eastAsiaTheme="minorEastAsia"/>
                <w:szCs w:val="21"/>
              </w:rPr>
            </w:pPr>
            <w:r>
              <w:rPr>
                <w:rFonts w:hint="eastAsia"/>
              </w:rPr>
              <w:t>投标文件的应答</w:t>
            </w:r>
          </w:p>
        </w:tc>
        <w:tc>
          <w:tcPr>
            <w:tcW w:w="1942" w:type="dxa"/>
            <w:tcBorders>
              <w:left w:val="single" w:color="auto" w:sz="4" w:space="0"/>
            </w:tcBorders>
            <w:vAlign w:val="center"/>
          </w:tcPr>
          <w:p w14:paraId="2773C778">
            <w:pPr>
              <w:adjustRightInd w:val="0"/>
              <w:snapToGrid w:val="0"/>
              <w:spacing w:before="50" w:line="360" w:lineRule="auto"/>
              <w:ind w:left="-88" w:leftChars="-42"/>
              <w:jc w:val="center"/>
              <w:rPr>
                <w:rFonts w:asciiTheme="minorEastAsia" w:hAnsiTheme="minorEastAsia" w:eastAsiaTheme="minorEastAsia"/>
                <w:szCs w:val="21"/>
              </w:rPr>
            </w:pPr>
            <w:r>
              <w:rPr>
                <w:rFonts w:hint="eastAsia" w:asciiTheme="minorEastAsia" w:hAnsiTheme="minorEastAsia" w:eastAsiaTheme="minorEastAsia"/>
                <w:szCs w:val="21"/>
              </w:rPr>
              <w:t>偏离说明</w:t>
            </w:r>
          </w:p>
        </w:tc>
      </w:tr>
      <w:tr w14:paraId="456F20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35420AB">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4D4FC808">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Pr>
          <w:p w14:paraId="53BF0757">
            <w:pPr>
              <w:adjustRightInd w:val="0"/>
              <w:snapToGrid w:val="0"/>
              <w:spacing w:before="50" w:line="360" w:lineRule="auto"/>
            </w:pPr>
          </w:p>
        </w:tc>
        <w:tc>
          <w:tcPr>
            <w:tcW w:w="2082" w:type="dxa"/>
            <w:tcBorders>
              <w:right w:val="single" w:color="auto" w:sz="4" w:space="0"/>
            </w:tcBorders>
          </w:tcPr>
          <w:p w14:paraId="1F8D05E7">
            <w:pPr>
              <w:adjustRightInd w:val="0"/>
              <w:snapToGrid w:val="0"/>
              <w:spacing w:before="50" w:line="360" w:lineRule="auto"/>
            </w:pPr>
          </w:p>
        </w:tc>
        <w:tc>
          <w:tcPr>
            <w:tcW w:w="1942" w:type="dxa"/>
            <w:tcBorders>
              <w:left w:val="single" w:color="auto" w:sz="4" w:space="0"/>
            </w:tcBorders>
          </w:tcPr>
          <w:p w14:paraId="7DBB8964">
            <w:pPr>
              <w:adjustRightInd w:val="0"/>
              <w:snapToGrid w:val="0"/>
              <w:spacing w:before="50" w:line="360" w:lineRule="auto"/>
              <w:ind w:left="-88" w:leftChars="-42"/>
              <w:jc w:val="center"/>
              <w:rPr>
                <w:rFonts w:asciiTheme="minorEastAsia" w:hAnsiTheme="minorEastAsia" w:eastAsiaTheme="minorEastAsia"/>
                <w:szCs w:val="21"/>
              </w:rPr>
            </w:pPr>
          </w:p>
        </w:tc>
      </w:tr>
      <w:tr w14:paraId="267E8F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C21D997">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2BF0EA37">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vAlign w:val="center"/>
          </w:tcPr>
          <w:p w14:paraId="2B68622C">
            <w:pPr>
              <w:adjustRightInd w:val="0"/>
              <w:snapToGrid w:val="0"/>
              <w:spacing w:before="50" w:line="360" w:lineRule="auto"/>
              <w:ind w:left="-88" w:leftChars="-42"/>
              <w:jc w:val="center"/>
              <w:rPr>
                <w:rFonts w:asciiTheme="minorEastAsia" w:hAnsiTheme="minorEastAsia" w:eastAsiaTheme="minorEastAsia"/>
                <w:szCs w:val="21"/>
              </w:rPr>
            </w:pPr>
          </w:p>
        </w:tc>
        <w:tc>
          <w:tcPr>
            <w:tcW w:w="2082" w:type="dxa"/>
            <w:tcBorders>
              <w:right w:val="single" w:color="auto" w:sz="4" w:space="0"/>
            </w:tcBorders>
            <w:vAlign w:val="center"/>
          </w:tcPr>
          <w:p w14:paraId="5BBF56EE">
            <w:pPr>
              <w:adjustRightInd w:val="0"/>
              <w:snapToGrid w:val="0"/>
              <w:spacing w:before="50" w:line="360" w:lineRule="auto"/>
              <w:ind w:left="-88" w:leftChars="-42"/>
              <w:jc w:val="center"/>
              <w:rPr>
                <w:rFonts w:asciiTheme="minorEastAsia" w:hAnsiTheme="minorEastAsia" w:eastAsiaTheme="minorEastAsia"/>
                <w:szCs w:val="21"/>
              </w:rPr>
            </w:pPr>
          </w:p>
        </w:tc>
        <w:tc>
          <w:tcPr>
            <w:tcW w:w="1942" w:type="dxa"/>
            <w:tcBorders>
              <w:left w:val="single" w:color="auto" w:sz="4" w:space="0"/>
            </w:tcBorders>
            <w:vAlign w:val="center"/>
          </w:tcPr>
          <w:p w14:paraId="496C2B23">
            <w:pPr>
              <w:adjustRightInd w:val="0"/>
              <w:snapToGrid w:val="0"/>
              <w:spacing w:before="50" w:line="360" w:lineRule="auto"/>
              <w:ind w:left="-88" w:leftChars="-42"/>
              <w:jc w:val="center"/>
              <w:rPr>
                <w:rFonts w:asciiTheme="minorEastAsia" w:hAnsiTheme="minorEastAsia" w:eastAsiaTheme="minorEastAsia"/>
                <w:szCs w:val="21"/>
              </w:rPr>
            </w:pPr>
          </w:p>
        </w:tc>
      </w:tr>
      <w:tr w14:paraId="28C105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5165868">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73BC1592">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vAlign w:val="center"/>
          </w:tcPr>
          <w:p w14:paraId="14484965">
            <w:pPr>
              <w:adjustRightInd w:val="0"/>
              <w:snapToGrid w:val="0"/>
              <w:spacing w:before="50" w:line="360" w:lineRule="auto"/>
              <w:ind w:left="-88" w:leftChars="-42"/>
              <w:jc w:val="center"/>
              <w:rPr>
                <w:rFonts w:asciiTheme="minorEastAsia" w:hAnsiTheme="minorEastAsia" w:eastAsiaTheme="minorEastAsia"/>
                <w:szCs w:val="21"/>
              </w:rPr>
            </w:pPr>
          </w:p>
        </w:tc>
        <w:tc>
          <w:tcPr>
            <w:tcW w:w="2082" w:type="dxa"/>
            <w:tcBorders>
              <w:right w:val="single" w:color="auto" w:sz="4" w:space="0"/>
            </w:tcBorders>
            <w:vAlign w:val="center"/>
          </w:tcPr>
          <w:p w14:paraId="35F681E6">
            <w:pPr>
              <w:adjustRightInd w:val="0"/>
              <w:snapToGrid w:val="0"/>
              <w:spacing w:before="50" w:line="360" w:lineRule="auto"/>
              <w:ind w:left="-88" w:leftChars="-42"/>
              <w:jc w:val="center"/>
              <w:rPr>
                <w:rFonts w:asciiTheme="minorEastAsia" w:hAnsiTheme="minorEastAsia" w:eastAsiaTheme="minorEastAsia"/>
                <w:szCs w:val="21"/>
              </w:rPr>
            </w:pPr>
          </w:p>
        </w:tc>
        <w:tc>
          <w:tcPr>
            <w:tcW w:w="1942" w:type="dxa"/>
            <w:tcBorders>
              <w:left w:val="single" w:color="auto" w:sz="4" w:space="0"/>
            </w:tcBorders>
            <w:vAlign w:val="center"/>
          </w:tcPr>
          <w:p w14:paraId="43E0EE51">
            <w:pPr>
              <w:adjustRightInd w:val="0"/>
              <w:snapToGrid w:val="0"/>
              <w:spacing w:before="50" w:line="360" w:lineRule="auto"/>
              <w:ind w:left="-88" w:leftChars="-42"/>
              <w:jc w:val="center"/>
              <w:rPr>
                <w:rFonts w:asciiTheme="minorEastAsia" w:hAnsiTheme="minorEastAsia" w:eastAsiaTheme="minorEastAsia"/>
                <w:szCs w:val="21"/>
              </w:rPr>
            </w:pPr>
          </w:p>
        </w:tc>
      </w:tr>
      <w:tr w14:paraId="1A9E4C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0F06D7F">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29D252AC">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vAlign w:val="center"/>
          </w:tcPr>
          <w:p w14:paraId="6B8E8423">
            <w:pPr>
              <w:adjustRightInd w:val="0"/>
              <w:snapToGrid w:val="0"/>
              <w:spacing w:before="50" w:line="360" w:lineRule="auto"/>
              <w:ind w:left="-88" w:leftChars="-42"/>
              <w:jc w:val="center"/>
              <w:rPr>
                <w:rFonts w:asciiTheme="minorEastAsia" w:hAnsiTheme="minorEastAsia" w:eastAsiaTheme="minorEastAsia"/>
                <w:szCs w:val="21"/>
              </w:rPr>
            </w:pPr>
          </w:p>
        </w:tc>
        <w:tc>
          <w:tcPr>
            <w:tcW w:w="2082" w:type="dxa"/>
            <w:tcBorders>
              <w:right w:val="single" w:color="auto" w:sz="4" w:space="0"/>
            </w:tcBorders>
            <w:vAlign w:val="center"/>
          </w:tcPr>
          <w:p w14:paraId="15857C1E">
            <w:pPr>
              <w:adjustRightInd w:val="0"/>
              <w:snapToGrid w:val="0"/>
              <w:spacing w:before="50" w:line="360" w:lineRule="auto"/>
              <w:ind w:left="-88" w:leftChars="-42"/>
              <w:jc w:val="center"/>
              <w:rPr>
                <w:rFonts w:asciiTheme="minorEastAsia" w:hAnsiTheme="minorEastAsia" w:eastAsiaTheme="minorEastAsia"/>
                <w:szCs w:val="21"/>
              </w:rPr>
            </w:pPr>
          </w:p>
        </w:tc>
        <w:tc>
          <w:tcPr>
            <w:tcW w:w="1942" w:type="dxa"/>
            <w:tcBorders>
              <w:left w:val="single" w:color="auto" w:sz="4" w:space="0"/>
            </w:tcBorders>
            <w:vAlign w:val="center"/>
          </w:tcPr>
          <w:p w14:paraId="1CABDF3C">
            <w:pPr>
              <w:adjustRightInd w:val="0"/>
              <w:snapToGrid w:val="0"/>
              <w:spacing w:before="50" w:line="360" w:lineRule="auto"/>
              <w:ind w:left="-88" w:leftChars="-42"/>
              <w:jc w:val="center"/>
              <w:rPr>
                <w:rFonts w:asciiTheme="minorEastAsia" w:hAnsiTheme="minorEastAsia" w:eastAsiaTheme="minorEastAsia"/>
                <w:szCs w:val="21"/>
              </w:rPr>
            </w:pPr>
          </w:p>
        </w:tc>
      </w:tr>
      <w:tr w14:paraId="2102AA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DAB1D4B">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24A0824A">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vAlign w:val="center"/>
          </w:tcPr>
          <w:p w14:paraId="5DA43AD8">
            <w:pPr>
              <w:adjustRightInd w:val="0"/>
              <w:snapToGrid w:val="0"/>
              <w:spacing w:before="50" w:line="360" w:lineRule="auto"/>
              <w:ind w:left="-88" w:leftChars="-42"/>
              <w:jc w:val="center"/>
              <w:rPr>
                <w:rFonts w:asciiTheme="minorEastAsia" w:hAnsiTheme="minorEastAsia" w:eastAsiaTheme="minorEastAsia"/>
                <w:szCs w:val="21"/>
              </w:rPr>
            </w:pPr>
          </w:p>
        </w:tc>
        <w:tc>
          <w:tcPr>
            <w:tcW w:w="2082" w:type="dxa"/>
            <w:tcBorders>
              <w:right w:val="single" w:color="auto" w:sz="4" w:space="0"/>
            </w:tcBorders>
            <w:vAlign w:val="center"/>
          </w:tcPr>
          <w:p w14:paraId="1218A9C3">
            <w:pPr>
              <w:adjustRightInd w:val="0"/>
              <w:snapToGrid w:val="0"/>
              <w:spacing w:before="50" w:line="360" w:lineRule="auto"/>
              <w:ind w:left="-88" w:leftChars="-42"/>
              <w:jc w:val="center"/>
              <w:rPr>
                <w:rFonts w:asciiTheme="minorEastAsia" w:hAnsiTheme="minorEastAsia" w:eastAsiaTheme="minorEastAsia"/>
                <w:szCs w:val="21"/>
              </w:rPr>
            </w:pPr>
          </w:p>
        </w:tc>
        <w:tc>
          <w:tcPr>
            <w:tcW w:w="1942" w:type="dxa"/>
            <w:tcBorders>
              <w:left w:val="single" w:color="auto" w:sz="4" w:space="0"/>
            </w:tcBorders>
            <w:vAlign w:val="center"/>
          </w:tcPr>
          <w:p w14:paraId="5BCA6005">
            <w:pPr>
              <w:adjustRightInd w:val="0"/>
              <w:snapToGrid w:val="0"/>
              <w:spacing w:before="50" w:line="360" w:lineRule="auto"/>
              <w:ind w:left="-88" w:leftChars="-42"/>
              <w:jc w:val="center"/>
              <w:rPr>
                <w:rFonts w:asciiTheme="minorEastAsia" w:hAnsiTheme="minorEastAsia" w:eastAsiaTheme="minorEastAsia"/>
                <w:szCs w:val="21"/>
              </w:rPr>
            </w:pPr>
          </w:p>
        </w:tc>
      </w:tr>
      <w:tr w14:paraId="1BCDA8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B5DE0B7">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086C3128">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vAlign w:val="center"/>
          </w:tcPr>
          <w:p w14:paraId="1EEE4659">
            <w:pPr>
              <w:adjustRightInd w:val="0"/>
              <w:snapToGrid w:val="0"/>
              <w:spacing w:before="50" w:line="360" w:lineRule="auto"/>
              <w:ind w:left="-88" w:leftChars="-42"/>
              <w:jc w:val="center"/>
              <w:rPr>
                <w:rFonts w:asciiTheme="minorEastAsia" w:hAnsiTheme="minorEastAsia" w:eastAsiaTheme="minorEastAsia"/>
                <w:szCs w:val="21"/>
              </w:rPr>
            </w:pPr>
          </w:p>
        </w:tc>
        <w:tc>
          <w:tcPr>
            <w:tcW w:w="2082" w:type="dxa"/>
            <w:tcBorders>
              <w:right w:val="single" w:color="auto" w:sz="4" w:space="0"/>
            </w:tcBorders>
            <w:vAlign w:val="center"/>
          </w:tcPr>
          <w:p w14:paraId="5E180130">
            <w:pPr>
              <w:adjustRightInd w:val="0"/>
              <w:snapToGrid w:val="0"/>
              <w:spacing w:before="50" w:line="360" w:lineRule="auto"/>
              <w:ind w:left="-88" w:leftChars="-42"/>
              <w:jc w:val="center"/>
              <w:rPr>
                <w:rFonts w:asciiTheme="minorEastAsia" w:hAnsiTheme="minorEastAsia" w:eastAsiaTheme="minorEastAsia"/>
                <w:szCs w:val="21"/>
              </w:rPr>
            </w:pPr>
          </w:p>
        </w:tc>
        <w:tc>
          <w:tcPr>
            <w:tcW w:w="1942" w:type="dxa"/>
            <w:tcBorders>
              <w:left w:val="single" w:color="auto" w:sz="4" w:space="0"/>
            </w:tcBorders>
            <w:vAlign w:val="center"/>
          </w:tcPr>
          <w:p w14:paraId="419FABDB">
            <w:pPr>
              <w:adjustRightInd w:val="0"/>
              <w:snapToGrid w:val="0"/>
              <w:spacing w:before="50" w:line="360" w:lineRule="auto"/>
              <w:ind w:left="-88" w:leftChars="-42"/>
              <w:jc w:val="center"/>
              <w:rPr>
                <w:rFonts w:asciiTheme="minorEastAsia" w:hAnsiTheme="minorEastAsia" w:eastAsiaTheme="minorEastAsia"/>
                <w:szCs w:val="21"/>
              </w:rPr>
            </w:pPr>
          </w:p>
        </w:tc>
      </w:tr>
      <w:tr w14:paraId="5F97A2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0B2C8C1">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2F00C83B">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vAlign w:val="center"/>
          </w:tcPr>
          <w:p w14:paraId="09DCD033">
            <w:pPr>
              <w:adjustRightInd w:val="0"/>
              <w:snapToGrid w:val="0"/>
              <w:spacing w:before="50" w:line="360" w:lineRule="auto"/>
              <w:ind w:left="-88" w:leftChars="-42"/>
              <w:jc w:val="center"/>
              <w:rPr>
                <w:rFonts w:asciiTheme="minorEastAsia" w:hAnsiTheme="minorEastAsia" w:eastAsiaTheme="minorEastAsia"/>
                <w:szCs w:val="21"/>
              </w:rPr>
            </w:pPr>
          </w:p>
        </w:tc>
        <w:tc>
          <w:tcPr>
            <w:tcW w:w="4024" w:type="dxa"/>
            <w:gridSpan w:val="2"/>
            <w:vAlign w:val="center"/>
          </w:tcPr>
          <w:p w14:paraId="52EA6B93">
            <w:pPr>
              <w:adjustRightInd w:val="0"/>
              <w:snapToGrid w:val="0"/>
              <w:spacing w:before="50" w:line="360" w:lineRule="auto"/>
              <w:ind w:firstLine="422" w:firstLineChars="200"/>
              <w:jc w:val="left"/>
              <w:rPr>
                <w:rFonts w:asciiTheme="minorEastAsia" w:hAnsiTheme="minorEastAsia" w:eastAsiaTheme="minorEastAsia"/>
                <w:b/>
                <w:szCs w:val="21"/>
              </w:rPr>
            </w:pPr>
            <w:r>
              <w:rPr>
                <w:rFonts w:hint="eastAsia" w:asciiTheme="minorEastAsia" w:hAnsiTheme="minorEastAsia" w:eastAsiaTheme="minorEastAsia"/>
                <w:b/>
                <w:szCs w:val="21"/>
              </w:rPr>
              <w:t>投标人保证：除本合同条款偏离表列出的偏离外，我单位对招标文件的其他商务、合同条款完全响应，无偏离。</w:t>
            </w:r>
          </w:p>
        </w:tc>
      </w:tr>
    </w:tbl>
    <w:p w14:paraId="7DABD144">
      <w:pPr>
        <w:adjustRightInd w:val="0"/>
        <w:snapToGrid w:val="0"/>
        <w:spacing w:before="50" w:line="360" w:lineRule="auto"/>
        <w:ind w:left="-88" w:leftChars="-42"/>
        <w:rPr>
          <w:rFonts w:ascii="宋体" w:hAnsi="宋体"/>
          <w:szCs w:val="21"/>
        </w:rPr>
      </w:pPr>
      <w:r>
        <w:rPr>
          <w:rFonts w:hint="eastAsia" w:asciiTheme="minorEastAsia" w:hAnsiTheme="minorEastAsia" w:eastAsiaTheme="minorEastAsia"/>
          <w:b/>
          <w:szCs w:val="21"/>
        </w:rPr>
        <w:t>备注</w:t>
      </w:r>
      <w:r>
        <w:rPr>
          <w:rFonts w:hint="eastAsia" w:asciiTheme="minorEastAsia" w:hAnsiTheme="minorEastAsia" w:eastAsiaTheme="minorEastAsia"/>
          <w:szCs w:val="21"/>
        </w:rPr>
        <w:t>：（1）</w:t>
      </w:r>
      <w:r>
        <w:rPr>
          <w:rFonts w:hint="eastAsia" w:ascii="宋体" w:hAnsi="宋体"/>
          <w:szCs w:val="21"/>
        </w:rPr>
        <w:t>投标人应根据招标文件第六章</w:t>
      </w:r>
      <w:r>
        <w:rPr>
          <w:rFonts w:hint="eastAsia" w:ascii="华文宋体" w:hAnsi="华文宋体" w:eastAsia="华文宋体"/>
          <w:szCs w:val="21"/>
        </w:rPr>
        <w:t>“</w:t>
      </w:r>
      <w:r>
        <w:rPr>
          <w:rFonts w:hint="eastAsia" w:ascii="宋体" w:hAnsi="宋体"/>
          <w:szCs w:val="21"/>
        </w:rPr>
        <w:t>政府采购合同</w:t>
      </w:r>
      <w:r>
        <w:rPr>
          <w:rFonts w:hint="eastAsia" w:ascii="华文宋体" w:hAnsi="华文宋体" w:eastAsia="华文宋体"/>
          <w:szCs w:val="21"/>
        </w:rPr>
        <w:t>”</w:t>
      </w:r>
      <w:r>
        <w:rPr>
          <w:rFonts w:hint="eastAsia" w:ascii="宋体" w:hAnsi="宋体"/>
          <w:szCs w:val="21"/>
        </w:rPr>
        <w:t>填写本表；</w:t>
      </w:r>
    </w:p>
    <w:p w14:paraId="5AFFC972">
      <w:pPr>
        <w:adjustRightInd w:val="0"/>
        <w:snapToGrid w:val="0"/>
        <w:spacing w:before="50" w:line="360" w:lineRule="auto"/>
        <w:ind w:left="-88" w:leftChars="-42" w:firstLine="420" w:firstLineChars="200"/>
        <w:rPr>
          <w:rFonts w:ascii="宋体" w:hAnsi="宋体"/>
          <w:b/>
          <w:szCs w:val="21"/>
        </w:rPr>
      </w:pPr>
      <w:r>
        <w:rPr>
          <w:rFonts w:hint="eastAsia" w:asciiTheme="minorEastAsia" w:hAnsiTheme="minorEastAsia" w:eastAsiaTheme="minorEastAsia"/>
          <w:szCs w:val="21"/>
        </w:rPr>
        <w:t>（2）</w:t>
      </w:r>
      <w:r>
        <w:rPr>
          <w:rFonts w:hint="eastAsia" w:ascii="宋体" w:hAnsi="宋体"/>
          <w:b/>
          <w:szCs w:val="21"/>
        </w:rPr>
        <w:t>投标人如果对招标文件第六章“政府采购合同”的响应有偏离，应将偏离条款逐条如实应答，并作出说明；</w:t>
      </w:r>
    </w:p>
    <w:p w14:paraId="16C3FFD5">
      <w:pPr>
        <w:adjustRightInd w:val="0"/>
        <w:snapToGrid w:val="0"/>
        <w:spacing w:before="50" w:line="360" w:lineRule="auto"/>
        <w:ind w:left="-88" w:leftChars="-42" w:firstLine="420" w:firstLineChars="200"/>
        <w:rPr>
          <w:rFonts w:ascii="宋体" w:hAnsi="宋体"/>
          <w:szCs w:val="21"/>
        </w:rPr>
      </w:pPr>
      <w:r>
        <w:rPr>
          <w:rFonts w:hint="eastAsia" w:asciiTheme="minorEastAsia" w:hAnsiTheme="minorEastAsia" w:eastAsiaTheme="minorEastAsia"/>
          <w:szCs w:val="21"/>
        </w:rPr>
        <w:t>（3）</w:t>
      </w:r>
      <w:r>
        <w:rPr>
          <w:rFonts w:hint="eastAsia" w:ascii="宋体" w:hAnsi="宋体"/>
          <w:szCs w:val="21"/>
        </w:rPr>
        <w:t>如不提供此表，则视为投标人不满足招标文件第六章的所有条款要求，</w:t>
      </w:r>
      <w:r>
        <w:rPr>
          <w:rFonts w:hint="eastAsia" w:asciiTheme="minorEastAsia" w:hAnsiTheme="minorEastAsia" w:eastAsiaTheme="minorEastAsia"/>
          <w:szCs w:val="21"/>
        </w:rPr>
        <w:t>其</w:t>
      </w:r>
      <w:r>
        <w:rPr>
          <w:rFonts w:hint="eastAsia" w:asciiTheme="minorEastAsia" w:hAnsiTheme="minorEastAsia" w:eastAsiaTheme="minorEastAsia"/>
          <w:b/>
          <w:szCs w:val="21"/>
        </w:rPr>
        <w:t>投标无效</w:t>
      </w:r>
      <w:r>
        <w:rPr>
          <w:rFonts w:hint="eastAsia" w:ascii="宋体" w:hAnsi="宋体"/>
          <w:szCs w:val="21"/>
        </w:rPr>
        <w:t>。</w:t>
      </w:r>
    </w:p>
    <w:p w14:paraId="78C85106">
      <w:pPr>
        <w:adjustRightInd w:val="0"/>
        <w:snapToGrid w:val="0"/>
        <w:spacing w:before="50" w:line="360" w:lineRule="auto"/>
        <w:ind w:left="-88" w:leftChars="-42" w:firstLine="420" w:firstLineChars="200"/>
        <w:rPr>
          <w:rFonts w:ascii="宋体" w:hAnsi="宋体"/>
          <w:szCs w:val="21"/>
        </w:rPr>
      </w:pPr>
      <w:r>
        <w:rPr>
          <w:rFonts w:hint="eastAsia" w:asciiTheme="minorEastAsia" w:hAnsiTheme="minorEastAsia" w:eastAsiaTheme="minorEastAsia"/>
          <w:szCs w:val="21"/>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472DEEBE">
      <w:pPr>
        <w:adjustRightInd w:val="0"/>
        <w:snapToGrid w:val="0"/>
        <w:spacing w:before="50" w:line="360" w:lineRule="auto"/>
        <w:rPr>
          <w:rFonts w:asciiTheme="minorEastAsia" w:hAnsiTheme="minorEastAsia" w:eastAsiaTheme="minorEastAsia"/>
          <w:szCs w:val="21"/>
        </w:rPr>
      </w:pPr>
    </w:p>
    <w:p w14:paraId="2688E17B">
      <w:pPr>
        <w:adjustRightInd w:val="0"/>
        <w:snapToGrid w:val="0"/>
        <w:spacing w:before="50" w:line="360" w:lineRule="auto"/>
        <w:rPr>
          <w:rFonts w:ascii="宋体" w:hAnsi="宋体"/>
          <w:szCs w:val="21"/>
        </w:rPr>
      </w:pPr>
    </w:p>
    <w:p w14:paraId="6037E677">
      <w:pPr>
        <w:adjustRightInd w:val="0"/>
        <w:snapToGrid w:val="0"/>
        <w:spacing w:before="50" w:line="360" w:lineRule="auto"/>
        <w:rPr>
          <w:rFonts w:ascii="宋体" w:hAnsi="宋体"/>
          <w:szCs w:val="21"/>
        </w:rPr>
      </w:pPr>
      <w:r>
        <w:rPr>
          <w:rFonts w:hint="eastAsia" w:ascii="宋体" w:hAnsi="宋体"/>
          <w:szCs w:val="21"/>
        </w:rPr>
        <w:t>投标人名称（盖单位电子章）：</w:t>
      </w:r>
    </w:p>
    <w:p w14:paraId="6581C41A">
      <w:pPr>
        <w:adjustRightInd w:val="0"/>
        <w:snapToGrid w:val="0"/>
        <w:spacing w:before="50" w:line="360" w:lineRule="auto"/>
        <w:rPr>
          <w:rFonts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或其授权的代理人（签字或签章）：</w:t>
      </w:r>
      <w:r>
        <w:rPr>
          <w:rFonts w:hint="eastAsia" w:ascii="宋体" w:hAnsi="宋体"/>
          <w:szCs w:val="21"/>
          <w:u w:val="single"/>
        </w:rPr>
        <w:t xml:space="preserve">                     </w:t>
      </w:r>
    </w:p>
    <w:p w14:paraId="12B2E207">
      <w:pPr>
        <w:adjustRightInd w:val="0"/>
        <w:snapToGrid w:val="0"/>
        <w:spacing w:before="50" w:line="360" w:lineRule="auto"/>
        <w:rPr>
          <w:rFonts w:ascii="黑体" w:hAnsi="宋体" w:eastAsia="黑体"/>
          <w:b/>
          <w:bCs/>
          <w:sz w:val="28"/>
          <w:szCs w:val="28"/>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r>
        <w:rPr>
          <w:rFonts w:ascii="黑体" w:hAnsi="宋体" w:eastAsia="黑体"/>
          <w:sz w:val="28"/>
          <w:szCs w:val="28"/>
        </w:rPr>
        <w:br w:type="page"/>
      </w:r>
    </w:p>
    <w:p w14:paraId="6E1172A3">
      <w:pPr>
        <w:pStyle w:val="5"/>
        <w:adjustRightInd w:val="0"/>
        <w:snapToGrid w:val="0"/>
        <w:spacing w:beforeLines="50" w:after="0" w:line="360" w:lineRule="auto"/>
        <w:jc w:val="center"/>
        <w:rPr>
          <w:rFonts w:ascii="黑体" w:hAnsi="宋体" w:eastAsia="黑体"/>
          <w:sz w:val="28"/>
          <w:szCs w:val="28"/>
        </w:rPr>
      </w:pPr>
      <w:bookmarkStart w:id="289" w:name="_Toc24790"/>
      <w:bookmarkStart w:id="290" w:name="_Toc172716815"/>
      <w:bookmarkStart w:id="291" w:name="_Toc29913968"/>
      <w:r>
        <w:rPr>
          <w:rFonts w:hint="eastAsia" w:ascii="黑体" w:hAnsi="宋体" w:eastAsia="黑体"/>
          <w:sz w:val="28"/>
          <w:szCs w:val="28"/>
        </w:rPr>
        <w:t>九、采购需求（技术、商务）偏离表</w:t>
      </w:r>
      <w:bookmarkEnd w:id="289"/>
      <w:bookmarkEnd w:id="290"/>
      <w:bookmarkEnd w:id="291"/>
    </w:p>
    <w:p w14:paraId="173DB861">
      <w:pPr>
        <w:adjustRightInd w:val="0"/>
        <w:snapToGrid w:val="0"/>
        <w:spacing w:beforeLines="50" w:line="360" w:lineRule="auto"/>
        <w:rPr>
          <w:rFonts w:asciiTheme="minorEastAsia" w:hAnsiTheme="minorEastAsia" w:eastAsiaTheme="minorEastAsia"/>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____            ______</w:t>
      </w:r>
    </w:p>
    <w:p w14:paraId="391D91BA">
      <w:pPr>
        <w:adjustRightInd w:val="0"/>
        <w:snapToGrid w:val="0"/>
        <w:spacing w:beforeLines="50" w:line="360" w:lineRule="auto"/>
        <w:rPr>
          <w:rFonts w:ascii="宋体" w:hAnsi="宋体"/>
          <w:szCs w:val="21"/>
          <w:u w:val="single"/>
        </w:rPr>
      </w:pPr>
      <w:r>
        <w:rPr>
          <w:rFonts w:hint="eastAsia" w:asciiTheme="minorEastAsia" w:hAnsiTheme="minorEastAsia" w:eastAsiaTheme="minorEastAsia"/>
          <w:szCs w:val="21"/>
        </w:rPr>
        <w:t>包           号：</w:t>
      </w:r>
      <w:r>
        <w:rPr>
          <w:rFonts w:hint="eastAsia" w:asciiTheme="minorEastAsia" w:hAnsiTheme="minorEastAsia" w:eastAsiaTheme="minorEastAsia"/>
          <w:szCs w:val="21"/>
          <w:u w:val="single"/>
        </w:rPr>
        <w:t xml:space="preserve">__    ________           </w:t>
      </w:r>
      <w:r>
        <w:rPr>
          <w:rFonts w:hint="eastAsia" w:asciiTheme="minorEastAsia" w:hAnsiTheme="minorEastAsia" w:eastAsiaTheme="minorEastAsia"/>
          <w:szCs w:val="21"/>
        </w:rPr>
        <w:t xml:space="preserve">           包名称：</w:t>
      </w:r>
      <w:r>
        <w:rPr>
          <w:rFonts w:hint="eastAsia" w:asciiTheme="minorEastAsia" w:hAnsiTheme="minorEastAsia" w:eastAsiaTheme="minorEastAsia"/>
          <w:szCs w:val="21"/>
          <w:u w:val="single"/>
        </w:rPr>
        <w:t>___          _______</w:t>
      </w:r>
    </w:p>
    <w:tbl>
      <w:tblPr>
        <w:tblStyle w:val="45"/>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45E197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7EB7A0E2">
            <w:pPr>
              <w:adjustRightInd w:val="0"/>
              <w:snapToGrid w:val="0"/>
              <w:spacing w:before="50" w:line="360" w:lineRule="auto"/>
              <w:ind w:left="-88" w:leftChars="-42"/>
              <w:jc w:val="center"/>
              <w:rPr>
                <w:rFonts w:asciiTheme="minorEastAsia" w:hAnsiTheme="minorEastAsia" w:eastAsiaTheme="minorEastAsia"/>
                <w:szCs w:val="21"/>
              </w:rPr>
            </w:pPr>
            <w:r>
              <w:rPr>
                <w:rFonts w:hint="eastAsia" w:asciiTheme="minorEastAsia" w:hAnsiTheme="minorEastAsia" w:eastAsiaTheme="minorEastAsia"/>
                <w:bCs/>
                <w:szCs w:val="21"/>
              </w:rPr>
              <w:t>序</w:t>
            </w:r>
            <w:r>
              <w:rPr>
                <w:rFonts w:hint="eastAsia" w:asciiTheme="minorEastAsia" w:hAnsiTheme="minorEastAsia" w:eastAsiaTheme="minorEastAsia"/>
                <w:szCs w:val="21"/>
              </w:rPr>
              <w:t>号</w:t>
            </w:r>
          </w:p>
        </w:tc>
        <w:tc>
          <w:tcPr>
            <w:tcW w:w="2410" w:type="dxa"/>
            <w:vAlign w:val="center"/>
          </w:tcPr>
          <w:p w14:paraId="2B9887DB">
            <w:pPr>
              <w:adjustRightInd w:val="0"/>
              <w:snapToGrid w:val="0"/>
              <w:spacing w:before="50" w:line="360" w:lineRule="auto"/>
              <w:ind w:left="-88" w:leftChars="-42"/>
              <w:jc w:val="center"/>
              <w:rPr>
                <w:rFonts w:asciiTheme="minorEastAsia" w:hAnsiTheme="minorEastAsia" w:eastAsiaTheme="minorEastAsia"/>
                <w:szCs w:val="21"/>
              </w:rPr>
            </w:pPr>
            <w:r>
              <w:rPr>
                <w:rFonts w:hint="eastAsia" w:asciiTheme="minorEastAsia" w:hAnsiTheme="minorEastAsia" w:eastAsiaTheme="minorEastAsia"/>
                <w:szCs w:val="21"/>
              </w:rPr>
              <w:t>招标文件章节</w:t>
            </w:r>
            <w:r>
              <w:rPr>
                <w:rFonts w:hint="eastAsia" w:asciiTheme="minorEastAsia" w:hAnsiTheme="minorEastAsia" w:eastAsiaTheme="minorEastAsia"/>
                <w:bCs/>
                <w:szCs w:val="21"/>
              </w:rPr>
              <w:t>条</w:t>
            </w:r>
            <w:r>
              <w:rPr>
                <w:rFonts w:hint="eastAsia" w:asciiTheme="minorEastAsia" w:hAnsiTheme="minorEastAsia" w:eastAsiaTheme="minorEastAsia"/>
                <w:szCs w:val="21"/>
              </w:rPr>
              <w:t>款号</w:t>
            </w:r>
          </w:p>
        </w:tc>
        <w:tc>
          <w:tcPr>
            <w:tcW w:w="1985" w:type="dxa"/>
            <w:tcBorders>
              <w:right w:val="single" w:color="auto" w:sz="4" w:space="0"/>
            </w:tcBorders>
          </w:tcPr>
          <w:p w14:paraId="7248B7CE">
            <w:pPr>
              <w:adjustRightInd w:val="0"/>
              <w:snapToGrid w:val="0"/>
              <w:spacing w:before="50" w:line="360" w:lineRule="auto"/>
              <w:jc w:val="center"/>
            </w:pPr>
            <w:r>
              <w:rPr>
                <w:rFonts w:hint="eastAsia"/>
              </w:rPr>
              <w:t>招标文件要求</w:t>
            </w:r>
          </w:p>
        </w:tc>
        <w:tc>
          <w:tcPr>
            <w:tcW w:w="2126" w:type="dxa"/>
            <w:tcBorders>
              <w:left w:val="single" w:color="auto" w:sz="4" w:space="0"/>
            </w:tcBorders>
          </w:tcPr>
          <w:p w14:paraId="470E26DE">
            <w:pPr>
              <w:adjustRightInd w:val="0"/>
              <w:snapToGrid w:val="0"/>
              <w:spacing w:before="50" w:line="360" w:lineRule="auto"/>
              <w:jc w:val="center"/>
            </w:pPr>
            <w:r>
              <w:rPr>
                <w:rFonts w:hint="eastAsia"/>
              </w:rPr>
              <w:t>投标文件应答</w:t>
            </w:r>
          </w:p>
        </w:tc>
        <w:tc>
          <w:tcPr>
            <w:tcW w:w="1756" w:type="dxa"/>
            <w:vAlign w:val="center"/>
          </w:tcPr>
          <w:p w14:paraId="6E288041">
            <w:pPr>
              <w:adjustRightInd w:val="0"/>
              <w:snapToGrid w:val="0"/>
              <w:spacing w:before="50" w:line="360" w:lineRule="auto"/>
              <w:ind w:left="-88" w:leftChars="-42"/>
              <w:jc w:val="center"/>
              <w:rPr>
                <w:rFonts w:asciiTheme="minorEastAsia" w:hAnsiTheme="minorEastAsia" w:eastAsiaTheme="minorEastAsia"/>
                <w:szCs w:val="21"/>
              </w:rPr>
            </w:pPr>
            <w:r>
              <w:rPr>
                <w:rFonts w:hint="eastAsia" w:asciiTheme="minorEastAsia" w:hAnsiTheme="minorEastAsia" w:eastAsiaTheme="minorEastAsia"/>
                <w:szCs w:val="21"/>
              </w:rPr>
              <w:t>偏离说明</w:t>
            </w:r>
          </w:p>
        </w:tc>
      </w:tr>
      <w:tr w14:paraId="77F34F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7125660">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198F9B22">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Borders>
              <w:right w:val="single" w:color="auto" w:sz="4" w:space="0"/>
            </w:tcBorders>
            <w:vAlign w:val="center"/>
          </w:tcPr>
          <w:p w14:paraId="581E8A74">
            <w:pPr>
              <w:adjustRightInd w:val="0"/>
              <w:snapToGrid w:val="0"/>
              <w:spacing w:before="50" w:line="360" w:lineRule="auto"/>
              <w:ind w:left="-88" w:leftChars="-42"/>
              <w:jc w:val="center"/>
              <w:rPr>
                <w:rFonts w:asciiTheme="minorEastAsia" w:hAnsiTheme="minorEastAsia" w:eastAsiaTheme="minorEastAsia"/>
                <w:szCs w:val="21"/>
              </w:rPr>
            </w:pPr>
          </w:p>
        </w:tc>
        <w:tc>
          <w:tcPr>
            <w:tcW w:w="2126" w:type="dxa"/>
            <w:tcBorders>
              <w:left w:val="single" w:color="auto" w:sz="4" w:space="0"/>
            </w:tcBorders>
            <w:vAlign w:val="center"/>
          </w:tcPr>
          <w:p w14:paraId="5ECB19A3">
            <w:pPr>
              <w:adjustRightInd w:val="0"/>
              <w:snapToGrid w:val="0"/>
              <w:spacing w:before="50" w:line="360" w:lineRule="auto"/>
              <w:ind w:left="-88" w:leftChars="-42"/>
              <w:jc w:val="center"/>
              <w:rPr>
                <w:rFonts w:asciiTheme="minorEastAsia" w:hAnsiTheme="minorEastAsia" w:eastAsiaTheme="minorEastAsia"/>
                <w:szCs w:val="21"/>
              </w:rPr>
            </w:pPr>
          </w:p>
        </w:tc>
        <w:tc>
          <w:tcPr>
            <w:tcW w:w="1756" w:type="dxa"/>
            <w:vAlign w:val="center"/>
          </w:tcPr>
          <w:p w14:paraId="1FC08F64">
            <w:pPr>
              <w:adjustRightInd w:val="0"/>
              <w:snapToGrid w:val="0"/>
              <w:spacing w:before="50" w:line="360" w:lineRule="auto"/>
              <w:ind w:left="-88" w:leftChars="-42"/>
              <w:jc w:val="center"/>
              <w:rPr>
                <w:rFonts w:asciiTheme="minorEastAsia" w:hAnsiTheme="minorEastAsia" w:eastAsiaTheme="minorEastAsia"/>
                <w:szCs w:val="21"/>
              </w:rPr>
            </w:pPr>
          </w:p>
        </w:tc>
      </w:tr>
      <w:tr w14:paraId="7807E2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6E10EA4">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6E7DCDC6">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Borders>
              <w:right w:val="single" w:color="auto" w:sz="4" w:space="0"/>
            </w:tcBorders>
            <w:vAlign w:val="center"/>
          </w:tcPr>
          <w:p w14:paraId="08FEF9AE">
            <w:pPr>
              <w:adjustRightInd w:val="0"/>
              <w:snapToGrid w:val="0"/>
              <w:spacing w:before="50" w:line="360" w:lineRule="auto"/>
              <w:ind w:left="-88" w:leftChars="-42"/>
              <w:jc w:val="center"/>
              <w:rPr>
                <w:rFonts w:asciiTheme="minorEastAsia" w:hAnsiTheme="minorEastAsia" w:eastAsiaTheme="minorEastAsia"/>
                <w:szCs w:val="21"/>
              </w:rPr>
            </w:pPr>
          </w:p>
        </w:tc>
        <w:tc>
          <w:tcPr>
            <w:tcW w:w="2126" w:type="dxa"/>
            <w:tcBorders>
              <w:left w:val="single" w:color="auto" w:sz="4" w:space="0"/>
            </w:tcBorders>
            <w:vAlign w:val="center"/>
          </w:tcPr>
          <w:p w14:paraId="52CA33C6">
            <w:pPr>
              <w:adjustRightInd w:val="0"/>
              <w:snapToGrid w:val="0"/>
              <w:spacing w:before="50" w:line="360" w:lineRule="auto"/>
              <w:ind w:left="-88" w:leftChars="-42"/>
              <w:jc w:val="center"/>
              <w:rPr>
                <w:rFonts w:asciiTheme="minorEastAsia" w:hAnsiTheme="minorEastAsia" w:eastAsiaTheme="minorEastAsia"/>
                <w:szCs w:val="21"/>
              </w:rPr>
            </w:pPr>
          </w:p>
        </w:tc>
        <w:tc>
          <w:tcPr>
            <w:tcW w:w="1756" w:type="dxa"/>
            <w:vAlign w:val="center"/>
          </w:tcPr>
          <w:p w14:paraId="7C56A6A0">
            <w:pPr>
              <w:adjustRightInd w:val="0"/>
              <w:snapToGrid w:val="0"/>
              <w:spacing w:before="50" w:line="360" w:lineRule="auto"/>
              <w:ind w:left="-88" w:leftChars="-42"/>
              <w:jc w:val="center"/>
              <w:rPr>
                <w:rFonts w:asciiTheme="minorEastAsia" w:hAnsiTheme="minorEastAsia" w:eastAsiaTheme="minorEastAsia"/>
                <w:szCs w:val="21"/>
              </w:rPr>
            </w:pPr>
          </w:p>
        </w:tc>
      </w:tr>
      <w:tr w14:paraId="7C2B23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341164C">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1E5460F4">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Borders>
              <w:right w:val="single" w:color="auto" w:sz="4" w:space="0"/>
            </w:tcBorders>
            <w:vAlign w:val="center"/>
          </w:tcPr>
          <w:p w14:paraId="6A6BA09E">
            <w:pPr>
              <w:adjustRightInd w:val="0"/>
              <w:snapToGrid w:val="0"/>
              <w:spacing w:before="50" w:line="360" w:lineRule="auto"/>
              <w:ind w:left="-88" w:leftChars="-42"/>
              <w:jc w:val="center"/>
              <w:rPr>
                <w:rFonts w:asciiTheme="minorEastAsia" w:hAnsiTheme="minorEastAsia" w:eastAsiaTheme="minorEastAsia"/>
                <w:szCs w:val="21"/>
              </w:rPr>
            </w:pPr>
          </w:p>
        </w:tc>
        <w:tc>
          <w:tcPr>
            <w:tcW w:w="2126" w:type="dxa"/>
            <w:tcBorders>
              <w:left w:val="single" w:color="auto" w:sz="4" w:space="0"/>
            </w:tcBorders>
            <w:vAlign w:val="center"/>
          </w:tcPr>
          <w:p w14:paraId="02A6F031">
            <w:pPr>
              <w:adjustRightInd w:val="0"/>
              <w:snapToGrid w:val="0"/>
              <w:spacing w:before="50" w:line="360" w:lineRule="auto"/>
              <w:ind w:left="-88" w:leftChars="-42"/>
              <w:jc w:val="center"/>
              <w:rPr>
                <w:rFonts w:asciiTheme="minorEastAsia" w:hAnsiTheme="minorEastAsia" w:eastAsiaTheme="minorEastAsia"/>
                <w:szCs w:val="21"/>
              </w:rPr>
            </w:pPr>
          </w:p>
        </w:tc>
        <w:tc>
          <w:tcPr>
            <w:tcW w:w="1756" w:type="dxa"/>
            <w:vAlign w:val="center"/>
          </w:tcPr>
          <w:p w14:paraId="7EA6F3CF">
            <w:pPr>
              <w:adjustRightInd w:val="0"/>
              <w:snapToGrid w:val="0"/>
              <w:spacing w:before="50" w:line="360" w:lineRule="auto"/>
              <w:ind w:left="-88" w:leftChars="-42"/>
              <w:jc w:val="center"/>
              <w:rPr>
                <w:rFonts w:asciiTheme="minorEastAsia" w:hAnsiTheme="minorEastAsia" w:eastAsiaTheme="minorEastAsia"/>
                <w:szCs w:val="21"/>
              </w:rPr>
            </w:pPr>
          </w:p>
        </w:tc>
      </w:tr>
      <w:tr w14:paraId="767D71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71D18D7">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33CBCC5F">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Borders>
              <w:right w:val="single" w:color="auto" w:sz="4" w:space="0"/>
            </w:tcBorders>
            <w:vAlign w:val="center"/>
          </w:tcPr>
          <w:p w14:paraId="2EC2E6A4">
            <w:pPr>
              <w:adjustRightInd w:val="0"/>
              <w:snapToGrid w:val="0"/>
              <w:spacing w:before="50" w:line="360" w:lineRule="auto"/>
              <w:ind w:left="-88" w:leftChars="-42"/>
              <w:jc w:val="center"/>
              <w:rPr>
                <w:rFonts w:asciiTheme="minorEastAsia" w:hAnsiTheme="minorEastAsia" w:eastAsiaTheme="minorEastAsia"/>
                <w:szCs w:val="21"/>
              </w:rPr>
            </w:pPr>
          </w:p>
        </w:tc>
        <w:tc>
          <w:tcPr>
            <w:tcW w:w="2126" w:type="dxa"/>
            <w:tcBorders>
              <w:left w:val="single" w:color="auto" w:sz="4" w:space="0"/>
            </w:tcBorders>
            <w:vAlign w:val="center"/>
          </w:tcPr>
          <w:p w14:paraId="1EE14DA8">
            <w:pPr>
              <w:adjustRightInd w:val="0"/>
              <w:snapToGrid w:val="0"/>
              <w:spacing w:before="50" w:line="360" w:lineRule="auto"/>
              <w:ind w:left="-88" w:leftChars="-42"/>
              <w:jc w:val="center"/>
              <w:rPr>
                <w:rFonts w:asciiTheme="minorEastAsia" w:hAnsiTheme="minorEastAsia" w:eastAsiaTheme="minorEastAsia"/>
                <w:szCs w:val="21"/>
              </w:rPr>
            </w:pPr>
          </w:p>
        </w:tc>
        <w:tc>
          <w:tcPr>
            <w:tcW w:w="1756" w:type="dxa"/>
            <w:vAlign w:val="center"/>
          </w:tcPr>
          <w:p w14:paraId="2B2CAC6D">
            <w:pPr>
              <w:adjustRightInd w:val="0"/>
              <w:snapToGrid w:val="0"/>
              <w:spacing w:before="50" w:line="360" w:lineRule="auto"/>
              <w:ind w:left="-88" w:leftChars="-42"/>
              <w:jc w:val="center"/>
              <w:rPr>
                <w:rFonts w:asciiTheme="minorEastAsia" w:hAnsiTheme="minorEastAsia" w:eastAsiaTheme="minorEastAsia"/>
                <w:szCs w:val="21"/>
              </w:rPr>
            </w:pPr>
          </w:p>
        </w:tc>
      </w:tr>
      <w:tr w14:paraId="1EC909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4CC0E7A">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45A46D53">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Borders>
              <w:right w:val="single" w:color="auto" w:sz="4" w:space="0"/>
            </w:tcBorders>
            <w:vAlign w:val="center"/>
          </w:tcPr>
          <w:p w14:paraId="02500344">
            <w:pPr>
              <w:adjustRightInd w:val="0"/>
              <w:snapToGrid w:val="0"/>
              <w:spacing w:before="50" w:line="360" w:lineRule="auto"/>
              <w:ind w:left="-88" w:leftChars="-42"/>
              <w:jc w:val="center"/>
              <w:rPr>
                <w:rFonts w:asciiTheme="minorEastAsia" w:hAnsiTheme="minorEastAsia" w:eastAsiaTheme="minorEastAsia"/>
                <w:szCs w:val="21"/>
              </w:rPr>
            </w:pPr>
          </w:p>
        </w:tc>
        <w:tc>
          <w:tcPr>
            <w:tcW w:w="2126" w:type="dxa"/>
            <w:tcBorders>
              <w:left w:val="single" w:color="auto" w:sz="4" w:space="0"/>
            </w:tcBorders>
            <w:vAlign w:val="center"/>
          </w:tcPr>
          <w:p w14:paraId="5F094FD0">
            <w:pPr>
              <w:adjustRightInd w:val="0"/>
              <w:snapToGrid w:val="0"/>
              <w:spacing w:before="50" w:line="360" w:lineRule="auto"/>
              <w:ind w:left="-88" w:leftChars="-42"/>
              <w:jc w:val="center"/>
              <w:rPr>
                <w:rFonts w:asciiTheme="minorEastAsia" w:hAnsiTheme="minorEastAsia" w:eastAsiaTheme="minorEastAsia"/>
                <w:szCs w:val="21"/>
              </w:rPr>
            </w:pPr>
          </w:p>
        </w:tc>
        <w:tc>
          <w:tcPr>
            <w:tcW w:w="1756" w:type="dxa"/>
            <w:vAlign w:val="center"/>
          </w:tcPr>
          <w:p w14:paraId="70305887">
            <w:pPr>
              <w:adjustRightInd w:val="0"/>
              <w:snapToGrid w:val="0"/>
              <w:spacing w:before="50" w:line="360" w:lineRule="auto"/>
              <w:ind w:left="-88" w:leftChars="-42"/>
              <w:jc w:val="center"/>
              <w:rPr>
                <w:rFonts w:asciiTheme="minorEastAsia" w:hAnsiTheme="minorEastAsia" w:eastAsiaTheme="minorEastAsia"/>
                <w:szCs w:val="21"/>
              </w:rPr>
            </w:pPr>
          </w:p>
        </w:tc>
      </w:tr>
      <w:tr w14:paraId="1BAD07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446EE1D">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3EBAA7D0">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Borders>
              <w:right w:val="single" w:color="auto" w:sz="4" w:space="0"/>
            </w:tcBorders>
            <w:vAlign w:val="center"/>
          </w:tcPr>
          <w:p w14:paraId="100A8322">
            <w:pPr>
              <w:adjustRightInd w:val="0"/>
              <w:snapToGrid w:val="0"/>
              <w:spacing w:before="50" w:line="360" w:lineRule="auto"/>
              <w:ind w:left="-88" w:leftChars="-42"/>
              <w:jc w:val="center"/>
              <w:rPr>
                <w:rFonts w:asciiTheme="minorEastAsia" w:hAnsiTheme="minorEastAsia" w:eastAsiaTheme="minorEastAsia"/>
                <w:szCs w:val="21"/>
              </w:rPr>
            </w:pPr>
          </w:p>
        </w:tc>
        <w:tc>
          <w:tcPr>
            <w:tcW w:w="3882" w:type="dxa"/>
            <w:gridSpan w:val="2"/>
            <w:tcBorders>
              <w:left w:val="single" w:color="auto" w:sz="4" w:space="0"/>
            </w:tcBorders>
            <w:vAlign w:val="center"/>
          </w:tcPr>
          <w:p w14:paraId="4B756ABF">
            <w:pPr>
              <w:adjustRightInd w:val="0"/>
              <w:snapToGrid w:val="0"/>
              <w:spacing w:before="50" w:line="360" w:lineRule="auto"/>
              <w:ind w:firstLine="422" w:firstLineChars="200"/>
              <w:rPr>
                <w:rFonts w:asciiTheme="minorEastAsia" w:hAnsiTheme="minorEastAsia" w:eastAsiaTheme="minorEastAsia"/>
                <w:szCs w:val="21"/>
              </w:rPr>
            </w:pPr>
            <w:r>
              <w:rPr>
                <w:rFonts w:hint="eastAsia" w:asciiTheme="minorEastAsia" w:hAnsiTheme="minorEastAsia" w:eastAsiaTheme="minorEastAsia"/>
                <w:b/>
                <w:szCs w:val="21"/>
              </w:rPr>
              <w:t>投标人保证：除本采购需求偏离表列出的偏离外，我单位对招标文件的其他采购需求条款完全响应，无偏离。</w:t>
            </w:r>
          </w:p>
        </w:tc>
      </w:tr>
    </w:tbl>
    <w:p w14:paraId="01091ED5">
      <w:pPr>
        <w:adjustRightInd w:val="0"/>
        <w:snapToGrid w:val="0"/>
        <w:spacing w:before="50" w:line="360" w:lineRule="auto"/>
        <w:ind w:left="-88" w:leftChars="-42"/>
        <w:rPr>
          <w:rFonts w:asciiTheme="minorEastAsia" w:hAnsiTheme="minorEastAsia" w:eastAsiaTheme="minorEastAsia"/>
          <w:szCs w:val="21"/>
        </w:rPr>
      </w:pPr>
      <w:r>
        <w:rPr>
          <w:rFonts w:hint="eastAsia" w:asciiTheme="minorEastAsia" w:hAnsiTheme="minorEastAsia" w:eastAsiaTheme="minorEastAsia"/>
          <w:b/>
          <w:szCs w:val="21"/>
        </w:rPr>
        <w:t>备注</w:t>
      </w:r>
      <w:r>
        <w:rPr>
          <w:rFonts w:hint="eastAsia" w:asciiTheme="minorEastAsia" w:hAnsiTheme="minorEastAsia" w:eastAsiaTheme="minorEastAsia"/>
          <w:szCs w:val="21"/>
        </w:rPr>
        <w:t>：（1）投标人应根据招标文件第五章“采购需求”填写本表；</w:t>
      </w:r>
    </w:p>
    <w:p w14:paraId="3BFDFE7B">
      <w:pPr>
        <w:adjustRightInd w:val="0"/>
        <w:snapToGrid w:val="0"/>
        <w:spacing w:before="50" w:line="360" w:lineRule="auto"/>
        <w:ind w:left="-88" w:leftChars="-42" w:firstLine="420" w:firstLineChars="200"/>
        <w:rPr>
          <w:rFonts w:asciiTheme="minorEastAsia" w:hAnsiTheme="minorEastAsia" w:eastAsiaTheme="minorEastAsia"/>
          <w:b/>
          <w:szCs w:val="21"/>
        </w:rPr>
      </w:pPr>
      <w:r>
        <w:rPr>
          <w:rFonts w:hint="eastAsia" w:asciiTheme="minorEastAsia" w:hAnsiTheme="minorEastAsia" w:eastAsiaTheme="minorEastAsia"/>
          <w:szCs w:val="21"/>
        </w:rPr>
        <w:t>（2）</w:t>
      </w:r>
      <w:r>
        <w:rPr>
          <w:rFonts w:hint="eastAsia" w:asciiTheme="minorEastAsia" w:hAnsiTheme="minorEastAsia" w:eastAsiaTheme="minorEastAsia"/>
          <w:b/>
          <w:szCs w:val="21"/>
        </w:rPr>
        <w:t>投标人如果对招标文件第五章“采购需求”的响应有偏离，应将偏离条款逐条如实应答，并作出说明；</w:t>
      </w:r>
    </w:p>
    <w:p w14:paraId="414737E8">
      <w:pPr>
        <w:adjustRightInd w:val="0"/>
        <w:snapToGrid w:val="0"/>
        <w:spacing w:before="50" w:line="360" w:lineRule="auto"/>
        <w:ind w:left="-88" w:leftChars="-42" w:firstLine="420" w:firstLineChars="200"/>
        <w:rPr>
          <w:rFonts w:asciiTheme="minorEastAsia" w:hAnsiTheme="minorEastAsia" w:eastAsiaTheme="minorEastAsia"/>
          <w:szCs w:val="21"/>
        </w:rPr>
      </w:pPr>
      <w:r>
        <w:rPr>
          <w:rFonts w:hint="eastAsia" w:asciiTheme="minorEastAsia" w:hAnsiTheme="minorEastAsia" w:eastAsiaTheme="minorEastAsia"/>
          <w:szCs w:val="21"/>
        </w:rPr>
        <w:t>（3）如不提供此表，则视为投标人不满足招标文件第五章的所有条款要求，其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w:t>
      </w:r>
    </w:p>
    <w:p w14:paraId="6DF91D08">
      <w:pPr>
        <w:adjustRightInd w:val="0"/>
        <w:snapToGrid w:val="0"/>
        <w:spacing w:before="50" w:line="360" w:lineRule="auto"/>
        <w:ind w:left="-88" w:leftChars="-42" w:firstLine="420" w:firstLineChars="200"/>
        <w:rPr>
          <w:rFonts w:asciiTheme="minorEastAsia" w:hAnsiTheme="minorEastAsia" w:eastAsiaTheme="minorEastAsia"/>
          <w:szCs w:val="21"/>
        </w:rPr>
      </w:pPr>
      <w:r>
        <w:rPr>
          <w:rFonts w:hint="eastAsia" w:asciiTheme="minorEastAsia" w:hAnsiTheme="minorEastAsia" w:eastAsiaTheme="minorEastAsia"/>
          <w:szCs w:val="21"/>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6CAFDCD2">
      <w:pPr>
        <w:adjustRightInd w:val="0"/>
        <w:snapToGrid w:val="0"/>
        <w:spacing w:before="50" w:line="360" w:lineRule="auto"/>
        <w:ind w:left="-88" w:leftChars="-42" w:firstLine="420" w:firstLineChars="200"/>
        <w:rPr>
          <w:rFonts w:asciiTheme="minorEastAsia" w:hAnsiTheme="minorEastAsia" w:eastAsiaTheme="minorEastAsia"/>
          <w:szCs w:val="21"/>
        </w:rPr>
      </w:pPr>
      <w:r>
        <w:rPr>
          <w:rFonts w:hint="eastAsia" w:asciiTheme="minorEastAsia" w:hAnsiTheme="minorEastAsia" w:eastAsiaTheme="minorEastAsia"/>
          <w:szCs w:val="21"/>
        </w:rPr>
        <w:t>（5）本表偏离表与本章第七节“采购需求响应”不一致时，以“采购需求响应”为准。</w:t>
      </w:r>
    </w:p>
    <w:p w14:paraId="6CB1DDF2">
      <w:pPr>
        <w:adjustRightInd w:val="0"/>
        <w:snapToGrid w:val="0"/>
        <w:spacing w:before="50" w:line="360" w:lineRule="auto"/>
        <w:rPr>
          <w:rFonts w:asciiTheme="minorEastAsia" w:hAnsiTheme="minorEastAsia" w:eastAsiaTheme="minorEastAsia"/>
          <w:szCs w:val="21"/>
        </w:rPr>
      </w:pPr>
    </w:p>
    <w:p w14:paraId="7B224EB1">
      <w:pPr>
        <w:adjustRightInd w:val="0"/>
        <w:snapToGrid w:val="0"/>
        <w:spacing w:before="50" w:line="360" w:lineRule="auto"/>
        <w:rPr>
          <w:rFonts w:ascii="宋体" w:hAnsi="宋体"/>
          <w:szCs w:val="21"/>
        </w:rPr>
      </w:pPr>
    </w:p>
    <w:p w14:paraId="655F983F">
      <w:pPr>
        <w:adjustRightInd w:val="0"/>
        <w:snapToGrid w:val="0"/>
        <w:spacing w:before="50" w:line="360" w:lineRule="auto"/>
        <w:rPr>
          <w:rFonts w:ascii="宋体" w:hAnsi="宋体"/>
          <w:szCs w:val="21"/>
        </w:rPr>
      </w:pPr>
      <w:r>
        <w:rPr>
          <w:rFonts w:hint="eastAsia" w:ascii="宋体" w:hAnsi="宋体"/>
          <w:szCs w:val="21"/>
        </w:rPr>
        <w:t>投标人名称（盖单位电子章）：</w:t>
      </w:r>
    </w:p>
    <w:p w14:paraId="76C93836">
      <w:pPr>
        <w:adjustRightInd w:val="0"/>
        <w:snapToGrid w:val="0"/>
        <w:spacing w:before="50" w:line="360" w:lineRule="auto"/>
        <w:rPr>
          <w:rFonts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或其授权的代理人（签字或签章）：</w:t>
      </w:r>
      <w:r>
        <w:rPr>
          <w:rFonts w:hint="eastAsia" w:ascii="宋体" w:hAnsi="宋体"/>
          <w:szCs w:val="21"/>
          <w:u w:val="single"/>
        </w:rPr>
        <w:t xml:space="preserve">                     </w:t>
      </w:r>
    </w:p>
    <w:p w14:paraId="0C8A4D7B">
      <w:pPr>
        <w:adjustRightInd w:val="0"/>
        <w:snapToGrid w:val="0"/>
        <w:spacing w:before="50"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052A6F22">
      <w:pPr>
        <w:pStyle w:val="5"/>
        <w:adjustRightInd w:val="0"/>
        <w:snapToGrid w:val="0"/>
        <w:spacing w:before="0" w:after="0" w:line="360" w:lineRule="auto"/>
        <w:jc w:val="center"/>
        <w:rPr>
          <w:rFonts w:ascii="宋体" w:hAnsi="宋体"/>
          <w:szCs w:val="21"/>
        </w:rPr>
        <w:sectPr>
          <w:pgSz w:w="11906" w:h="16838"/>
          <w:pgMar w:top="1474" w:right="1474" w:bottom="1474" w:left="1474" w:header="851" w:footer="992" w:gutter="0"/>
          <w:pgNumType w:fmt="numberInDash"/>
          <w:cols w:space="720" w:num="1"/>
          <w:docGrid w:type="lines" w:linePitch="312" w:charSpace="0"/>
        </w:sectPr>
      </w:pPr>
      <w:r>
        <w:rPr>
          <w:rFonts w:ascii="宋体" w:hAnsi="宋体"/>
          <w:szCs w:val="21"/>
        </w:rPr>
        <w:br w:type="page"/>
      </w:r>
    </w:p>
    <w:p w14:paraId="30E8E349">
      <w:pPr>
        <w:pStyle w:val="5"/>
        <w:adjustRightInd w:val="0"/>
        <w:snapToGrid w:val="0"/>
        <w:spacing w:before="0" w:after="0" w:line="360" w:lineRule="auto"/>
        <w:jc w:val="center"/>
        <w:rPr>
          <w:rFonts w:ascii="黑体" w:hAnsi="宋体" w:eastAsia="黑体"/>
          <w:sz w:val="28"/>
          <w:szCs w:val="28"/>
        </w:rPr>
      </w:pPr>
      <w:bookmarkStart w:id="292" w:name="_Toc172716816"/>
      <w:bookmarkStart w:id="293" w:name="_Toc32763"/>
      <w:bookmarkStart w:id="294" w:name="_Toc29913969"/>
      <w:r>
        <w:rPr>
          <w:rFonts w:hint="eastAsia" w:ascii="宋体" w:hAnsi="宋体"/>
          <w:szCs w:val="21"/>
        </w:rPr>
        <w:t>十</w:t>
      </w:r>
      <w:r>
        <w:rPr>
          <w:rFonts w:hint="eastAsia" w:ascii="黑体" w:hAnsi="宋体" w:eastAsia="黑体"/>
          <w:sz w:val="28"/>
          <w:szCs w:val="28"/>
        </w:rPr>
        <w:t>、享受政府采购政策优惠的证明资料</w:t>
      </w:r>
      <w:bookmarkEnd w:id="292"/>
      <w:bookmarkEnd w:id="293"/>
      <w:bookmarkEnd w:id="294"/>
    </w:p>
    <w:p w14:paraId="11BCE876">
      <w:pPr>
        <w:adjustRightInd w:val="0"/>
        <w:snapToGrid w:val="0"/>
        <w:spacing w:line="360" w:lineRule="auto"/>
        <w:rPr>
          <w:rFonts w:ascii="黑体" w:hAnsi="华文中宋" w:eastAsia="黑体" w:cs="宋体"/>
          <w:bCs/>
          <w:spacing w:val="6"/>
          <w:kern w:val="0"/>
          <w:szCs w:val="21"/>
        </w:rPr>
      </w:pPr>
    </w:p>
    <w:p w14:paraId="273B3FAE">
      <w:pPr>
        <w:adjustRightInd w:val="0"/>
        <w:snapToGrid w:val="0"/>
        <w:spacing w:line="360" w:lineRule="auto"/>
        <w:ind w:firstLine="444" w:firstLineChars="200"/>
        <w:rPr>
          <w:rFonts w:ascii="黑体" w:hAnsi="华文中宋" w:eastAsia="黑体" w:cs="宋体"/>
          <w:bCs/>
          <w:spacing w:val="6"/>
          <w:kern w:val="0"/>
          <w:szCs w:val="21"/>
        </w:rPr>
      </w:pPr>
      <w:r>
        <w:rPr>
          <w:rFonts w:hint="eastAsia" w:cs="宋体" w:asciiTheme="minorEastAsia" w:hAnsiTheme="minorEastAsia" w:eastAsiaTheme="minorEastAsia"/>
          <w:bCs/>
          <w:spacing w:val="6"/>
          <w:kern w:val="0"/>
          <w:szCs w:val="21"/>
        </w:rPr>
        <w:t>投标人符合第二章第33.6款要求的，应提供下列证明资料，并填写相关数据。否则，评审时不予以考虑。</w:t>
      </w:r>
    </w:p>
    <w:p w14:paraId="6DB78F96">
      <w:pPr>
        <w:pStyle w:val="6"/>
        <w:rPr>
          <w:rFonts w:ascii="黑体" w:hAnsi="黑体" w:cs="黑体"/>
          <w:b w:val="0"/>
          <w:bCs w:val="0"/>
          <w:spacing w:val="6"/>
          <w:kern w:val="0"/>
          <w:sz w:val="21"/>
          <w:szCs w:val="21"/>
        </w:rPr>
      </w:pPr>
      <w:bookmarkStart w:id="295" w:name="_Toc29443"/>
      <w:bookmarkStart w:id="296" w:name="_Toc29913970"/>
      <w:bookmarkStart w:id="297" w:name="_Toc172716817"/>
      <w:r>
        <w:rPr>
          <w:rFonts w:hint="eastAsia" w:ascii="黑体" w:hAnsi="黑体" w:cs="黑体"/>
          <w:b w:val="0"/>
          <w:bCs w:val="0"/>
          <w:sz w:val="21"/>
          <w:szCs w:val="21"/>
        </w:rPr>
        <w:t>附件10-1</w:t>
      </w:r>
      <w:bookmarkEnd w:id="295"/>
      <w:bookmarkEnd w:id="296"/>
      <w:r>
        <w:rPr>
          <w:rFonts w:hint="eastAsia" w:ascii="黑体" w:hAnsi="黑体" w:cs="黑体"/>
          <w:b w:val="0"/>
          <w:bCs w:val="0"/>
          <w:sz w:val="21"/>
          <w:szCs w:val="21"/>
        </w:rPr>
        <w:t xml:space="preserve">  中小企业声明函（工程、服务）</w:t>
      </w:r>
      <w:bookmarkEnd w:id="297"/>
    </w:p>
    <w:p w14:paraId="05D5A8B2">
      <w:pPr>
        <w:widowControl/>
        <w:spacing w:before="100" w:beforeAutospacing="1" w:after="100" w:afterAutospacing="1" w:line="435" w:lineRule="atLeast"/>
        <w:jc w:val="center"/>
      </w:pPr>
      <w:r>
        <w:rPr>
          <w:rStyle w:val="48"/>
          <w:rFonts w:hint="eastAsia" w:ascii="宋体" w:hAnsi="宋体" w:cs="宋体"/>
          <w:kern w:val="0"/>
          <w:sz w:val="28"/>
          <w:szCs w:val="28"/>
        </w:rPr>
        <w:t>中小企业声明函（工程、服务）</w:t>
      </w:r>
    </w:p>
    <w:p w14:paraId="7AF62CC1">
      <w:pPr>
        <w:widowControl/>
        <w:spacing w:before="100" w:beforeAutospacing="1" w:after="100" w:afterAutospacing="1" w:line="480" w:lineRule="auto"/>
        <w:ind w:firstLine="482"/>
        <w:jc w:val="left"/>
      </w:pPr>
      <w:r>
        <w:rPr>
          <w:rFonts w:hint="eastAsia" w:ascii="宋体" w:hAnsi="宋体" w:cs="宋体"/>
          <w:kern w:val="0"/>
          <w:sz w:val="24"/>
        </w:rPr>
        <w:t>本公司（联合体）郑重声明，根据《政府采购促进中小企业发展管理办法》（财库﹝2020﹞46 号）的规定，本公司（联合体）参加</w:t>
      </w:r>
      <w:r>
        <w:rPr>
          <w:rFonts w:hint="eastAsia" w:ascii="宋体" w:hAnsi="宋体" w:cs="宋体"/>
          <w:kern w:val="0"/>
          <w:sz w:val="24"/>
          <w:u w:val="single"/>
        </w:rPr>
        <w:t>    （单位名称）</w:t>
      </w:r>
      <w:r>
        <w:rPr>
          <w:rFonts w:hint="eastAsia" w:ascii="宋体" w:hAnsi="宋体" w:cs="宋体"/>
          <w:kern w:val="0"/>
          <w:sz w:val="24"/>
        </w:rPr>
        <w:t>的</w:t>
      </w:r>
      <w:r>
        <w:rPr>
          <w:rFonts w:hint="eastAsia" w:ascii="宋体" w:hAnsi="宋体" w:cs="宋体"/>
          <w:kern w:val="0"/>
          <w:sz w:val="24"/>
          <w:u w:val="single"/>
        </w:rPr>
        <w:t>（项目名称）</w:t>
      </w:r>
      <w:r>
        <w:rPr>
          <w:rFonts w:hint="eastAsia" w:ascii="宋体" w:hAnsi="宋体" w:cs="宋体"/>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74B31ACC">
      <w:pPr>
        <w:widowControl/>
        <w:spacing w:before="100" w:beforeAutospacing="1" w:after="100" w:afterAutospacing="1" w:line="480" w:lineRule="auto"/>
        <w:ind w:firstLine="482"/>
      </w:pPr>
      <w:r>
        <w:rPr>
          <w:rFonts w:hint="eastAsia" w:ascii="宋体" w:hAnsi="宋体" w:cs="宋体"/>
          <w:kern w:val="0"/>
          <w:sz w:val="24"/>
          <w:u w:val="single"/>
        </w:rPr>
        <w:t>1.   （标的名称）</w:t>
      </w:r>
      <w:r>
        <w:rPr>
          <w:rFonts w:hint="eastAsia" w:ascii="宋体" w:hAnsi="宋体" w:cs="宋体"/>
          <w:kern w:val="0"/>
          <w:sz w:val="24"/>
        </w:rPr>
        <w:t>，属于</w:t>
      </w:r>
      <w:r>
        <w:rPr>
          <w:rFonts w:hint="eastAsia" w:ascii="宋体" w:hAnsi="宋体" w:cs="宋体"/>
          <w:kern w:val="0"/>
          <w:sz w:val="24"/>
          <w:u w:val="single"/>
        </w:rPr>
        <w:t>    （采购文件中明确的所属行业）</w:t>
      </w:r>
      <w:r>
        <w:rPr>
          <w:rFonts w:hint="eastAsia" w:ascii="宋体" w:hAnsi="宋体" w:cs="宋体"/>
          <w:kern w:val="0"/>
          <w:sz w:val="24"/>
        </w:rPr>
        <w:t>；承建（承接）企业为</w:t>
      </w:r>
      <w:r>
        <w:rPr>
          <w:rFonts w:hint="eastAsia" w:ascii="宋体" w:hAnsi="宋体" w:cs="宋体"/>
          <w:kern w:val="0"/>
          <w:sz w:val="24"/>
          <w:u w:val="single"/>
        </w:rPr>
        <w:t>    （企业名称）</w:t>
      </w:r>
      <w:r>
        <w:rPr>
          <w:rFonts w:hint="eastAsia" w:ascii="宋体" w:hAnsi="宋体" w:cs="宋体"/>
          <w:kern w:val="0"/>
          <w:sz w:val="24"/>
        </w:rPr>
        <w:t>，从业人员</w:t>
      </w:r>
      <w:r>
        <w:rPr>
          <w:rFonts w:hint="eastAsia" w:ascii="宋体" w:hAnsi="宋体" w:cs="宋体"/>
          <w:kern w:val="0"/>
          <w:sz w:val="24"/>
          <w:u w:val="single"/>
        </w:rPr>
        <w:t>    </w:t>
      </w:r>
      <w:r>
        <w:rPr>
          <w:rFonts w:hint="eastAsia" w:ascii="宋体" w:hAnsi="宋体" w:cs="宋体"/>
          <w:kern w:val="0"/>
          <w:sz w:val="24"/>
        </w:rPr>
        <w:t>人，营业收入为</w:t>
      </w:r>
      <w:r>
        <w:rPr>
          <w:rFonts w:hint="eastAsia" w:ascii="宋体" w:hAnsi="宋体" w:cs="宋体"/>
          <w:kern w:val="0"/>
          <w:sz w:val="24"/>
          <w:u w:val="single"/>
        </w:rPr>
        <w:t>    </w:t>
      </w:r>
      <w:r>
        <w:rPr>
          <w:rFonts w:hint="eastAsia" w:ascii="宋体" w:hAnsi="宋体" w:cs="宋体"/>
          <w:kern w:val="0"/>
          <w:sz w:val="24"/>
        </w:rPr>
        <w:t>万元，资产总额为</w:t>
      </w:r>
      <w:r>
        <w:rPr>
          <w:rFonts w:hint="eastAsia" w:ascii="宋体" w:hAnsi="宋体" w:cs="宋体"/>
          <w:kern w:val="0"/>
          <w:sz w:val="24"/>
          <w:u w:val="single"/>
        </w:rPr>
        <w:t>    </w:t>
      </w:r>
      <w:r>
        <w:rPr>
          <w:rFonts w:hint="eastAsia" w:ascii="宋体" w:hAnsi="宋体" w:cs="宋体"/>
          <w:kern w:val="0"/>
          <w:sz w:val="24"/>
        </w:rPr>
        <w:t>万元，属于</w:t>
      </w:r>
      <w:r>
        <w:rPr>
          <w:rFonts w:hint="eastAsia" w:ascii="宋体" w:hAnsi="宋体" w:cs="宋体"/>
          <w:kern w:val="0"/>
          <w:sz w:val="24"/>
          <w:u w:val="single"/>
        </w:rPr>
        <w:t>     （中型企业、小型企业、微型企业）</w:t>
      </w:r>
      <w:r>
        <w:rPr>
          <w:rFonts w:hint="eastAsia" w:ascii="宋体" w:hAnsi="宋体" w:cs="宋体"/>
          <w:kern w:val="0"/>
          <w:sz w:val="24"/>
        </w:rPr>
        <w:t>；</w:t>
      </w:r>
    </w:p>
    <w:p w14:paraId="0D3245A6">
      <w:pPr>
        <w:widowControl/>
        <w:spacing w:before="100" w:beforeAutospacing="1" w:after="100" w:afterAutospacing="1" w:line="480" w:lineRule="auto"/>
        <w:ind w:firstLine="482"/>
      </w:pPr>
      <w:r>
        <w:rPr>
          <w:rFonts w:hint="eastAsia" w:ascii="宋体" w:hAnsi="宋体" w:cs="宋体"/>
          <w:kern w:val="0"/>
          <w:sz w:val="24"/>
        </w:rPr>
        <w:t>2.</w:t>
      </w:r>
      <w:r>
        <w:rPr>
          <w:rFonts w:hint="eastAsia" w:ascii="宋体" w:hAnsi="宋体" w:cs="宋体"/>
          <w:kern w:val="0"/>
          <w:sz w:val="24"/>
          <w:u w:val="single"/>
        </w:rPr>
        <w:t>     （标的名称）</w:t>
      </w:r>
      <w:r>
        <w:rPr>
          <w:rFonts w:hint="eastAsia" w:ascii="宋体" w:hAnsi="宋体" w:cs="宋体"/>
          <w:kern w:val="0"/>
          <w:sz w:val="24"/>
        </w:rPr>
        <w:t>，属于</w:t>
      </w:r>
      <w:r>
        <w:rPr>
          <w:rFonts w:hint="eastAsia" w:ascii="宋体" w:hAnsi="宋体" w:cs="宋体"/>
          <w:kern w:val="0"/>
          <w:sz w:val="24"/>
          <w:u w:val="single"/>
        </w:rPr>
        <w:t>     （采购文件中明确的所属行业）</w:t>
      </w:r>
      <w:r>
        <w:rPr>
          <w:rFonts w:hint="eastAsia" w:ascii="宋体" w:hAnsi="宋体" w:cs="宋体"/>
          <w:kern w:val="0"/>
          <w:sz w:val="24"/>
        </w:rPr>
        <w:t>行业；制造商为</w:t>
      </w:r>
      <w:r>
        <w:rPr>
          <w:rFonts w:hint="eastAsia" w:ascii="宋体" w:hAnsi="宋体" w:cs="宋体"/>
          <w:kern w:val="0"/>
          <w:sz w:val="24"/>
          <w:u w:val="single"/>
        </w:rPr>
        <w:t>       （企业名称）</w:t>
      </w:r>
      <w:r>
        <w:rPr>
          <w:rFonts w:hint="eastAsia" w:ascii="宋体" w:hAnsi="宋体" w:cs="宋体"/>
          <w:kern w:val="0"/>
          <w:sz w:val="24"/>
        </w:rPr>
        <w:t>，从业人员</w:t>
      </w:r>
      <w:r>
        <w:rPr>
          <w:rFonts w:hint="eastAsia" w:ascii="宋体" w:hAnsi="宋体" w:cs="宋体"/>
          <w:kern w:val="0"/>
          <w:sz w:val="24"/>
          <w:u w:val="single"/>
        </w:rPr>
        <w:t>    </w:t>
      </w:r>
      <w:r>
        <w:rPr>
          <w:rFonts w:hint="eastAsia" w:ascii="宋体" w:hAnsi="宋体" w:cs="宋体"/>
          <w:kern w:val="0"/>
          <w:sz w:val="24"/>
        </w:rPr>
        <w:t>人，营业收入为</w:t>
      </w:r>
      <w:r>
        <w:rPr>
          <w:rFonts w:hint="eastAsia" w:ascii="宋体" w:hAnsi="宋体" w:cs="宋体"/>
          <w:kern w:val="0"/>
          <w:sz w:val="24"/>
          <w:u w:val="single"/>
        </w:rPr>
        <w:t>    </w:t>
      </w:r>
      <w:r>
        <w:rPr>
          <w:rFonts w:hint="eastAsia" w:ascii="宋体" w:hAnsi="宋体" w:cs="宋体"/>
          <w:kern w:val="0"/>
          <w:sz w:val="24"/>
        </w:rPr>
        <w:t>万元，资产总额为</w:t>
      </w:r>
      <w:r>
        <w:rPr>
          <w:rFonts w:hint="eastAsia" w:ascii="宋体" w:hAnsi="宋体" w:cs="宋体"/>
          <w:kern w:val="0"/>
          <w:sz w:val="24"/>
          <w:u w:val="single"/>
        </w:rPr>
        <w:t>   </w:t>
      </w:r>
      <w:r>
        <w:rPr>
          <w:rFonts w:hint="eastAsia" w:ascii="宋体" w:hAnsi="宋体" w:cs="宋体"/>
          <w:kern w:val="0"/>
          <w:sz w:val="24"/>
        </w:rPr>
        <w:t>万元</w:t>
      </w:r>
      <w:r>
        <w:rPr>
          <w:rFonts w:hint="eastAsia" w:ascii="宋体" w:hAnsi="宋体" w:cs="宋体"/>
          <w:kern w:val="0"/>
          <w:sz w:val="24"/>
          <w:vertAlign w:val="superscript"/>
        </w:rPr>
        <w:t>1</w:t>
      </w:r>
      <w:r>
        <w:rPr>
          <w:rFonts w:hint="eastAsia" w:ascii="宋体" w:hAnsi="宋体" w:cs="宋体"/>
          <w:kern w:val="0"/>
          <w:sz w:val="24"/>
        </w:rPr>
        <w:t>，属于</w:t>
      </w:r>
      <w:r>
        <w:rPr>
          <w:rFonts w:hint="eastAsia" w:ascii="宋体" w:hAnsi="宋体" w:cs="宋体"/>
          <w:kern w:val="0"/>
          <w:sz w:val="24"/>
          <w:u w:val="single"/>
        </w:rPr>
        <w:t>     （中型企业、小型企业、微型企业）</w:t>
      </w:r>
      <w:r>
        <w:rPr>
          <w:rFonts w:hint="eastAsia" w:ascii="宋体" w:hAnsi="宋体" w:cs="宋体"/>
          <w:kern w:val="0"/>
          <w:sz w:val="24"/>
        </w:rPr>
        <w:t>；</w:t>
      </w:r>
    </w:p>
    <w:p w14:paraId="4DDEBFD6">
      <w:pPr>
        <w:widowControl/>
        <w:spacing w:before="100" w:beforeAutospacing="1" w:after="100" w:afterAutospacing="1" w:line="480" w:lineRule="auto"/>
        <w:ind w:firstLine="482"/>
      </w:pPr>
      <w:r>
        <w:rPr>
          <w:rFonts w:hint="eastAsia" w:ascii="宋体" w:hAnsi="宋体" w:cs="宋体"/>
          <w:kern w:val="0"/>
          <w:sz w:val="24"/>
        </w:rPr>
        <w:t>……</w:t>
      </w:r>
    </w:p>
    <w:p w14:paraId="02C85994">
      <w:pPr>
        <w:widowControl/>
        <w:spacing w:before="100" w:beforeAutospacing="1" w:after="100" w:afterAutospacing="1" w:line="480" w:lineRule="auto"/>
        <w:ind w:firstLine="482"/>
        <w:jc w:val="left"/>
      </w:pPr>
      <w:r>
        <w:rPr>
          <w:rFonts w:hint="eastAsia" w:ascii="宋体" w:hAnsi="宋体" w:cs="宋体"/>
          <w:kern w:val="0"/>
          <w:sz w:val="24"/>
        </w:rPr>
        <w:t>以上企业，不属于大企业的分支机构，不存在控股股东为大企业的情形，也不存在与大企业的负责人为同一人的情形。</w:t>
      </w:r>
    </w:p>
    <w:p w14:paraId="78D6BAF5">
      <w:pPr>
        <w:widowControl/>
        <w:spacing w:before="100" w:beforeAutospacing="1" w:after="100" w:afterAutospacing="1" w:line="540" w:lineRule="exact"/>
        <w:ind w:firstLine="482"/>
        <w:jc w:val="left"/>
      </w:pPr>
      <w:r>
        <w:rPr>
          <w:rFonts w:hint="eastAsia" w:ascii="宋体" w:hAnsi="宋体" w:cs="宋体"/>
          <w:kern w:val="0"/>
          <w:sz w:val="24"/>
        </w:rPr>
        <w:t>本企业对上述声明内容的真实性负责。如有虚假，将依法承担相应责任。</w:t>
      </w:r>
    </w:p>
    <w:p w14:paraId="392E6D3A">
      <w:pPr>
        <w:widowControl/>
        <w:spacing w:before="100" w:beforeAutospacing="1" w:after="100" w:afterAutospacing="1" w:line="540" w:lineRule="exact"/>
        <w:ind w:firstLine="5280"/>
        <w:jc w:val="left"/>
      </w:pPr>
      <w:r>
        <w:rPr>
          <w:rFonts w:hint="eastAsia" w:ascii="宋体" w:hAnsi="宋体" w:cs="宋体"/>
          <w:kern w:val="0"/>
          <w:sz w:val="24"/>
        </w:rPr>
        <w:t>企业名称（盖章）：</w:t>
      </w:r>
    </w:p>
    <w:p w14:paraId="018322ED">
      <w:pPr>
        <w:widowControl/>
        <w:spacing w:before="100" w:beforeAutospacing="1" w:after="100" w:afterAutospacing="1" w:line="540" w:lineRule="exact"/>
        <w:ind w:firstLine="5280"/>
        <w:jc w:val="left"/>
      </w:pPr>
      <w:r>
        <w:rPr>
          <w:rFonts w:hint="eastAsia" w:ascii="宋体" w:hAnsi="宋体" w:cs="宋体"/>
          <w:kern w:val="0"/>
          <w:sz w:val="24"/>
        </w:rPr>
        <w:t>日 期：</w:t>
      </w:r>
    </w:p>
    <w:p w14:paraId="14C1343B">
      <w:pPr>
        <w:widowControl/>
        <w:spacing w:before="100" w:beforeAutospacing="1" w:after="100" w:afterAutospacing="1" w:line="435" w:lineRule="atLeast"/>
        <w:jc w:val="left"/>
      </w:pPr>
      <w:r>
        <w:rPr>
          <w:rFonts w:hint="eastAsia" w:ascii="宋体" w:hAnsi="宋体" w:cs="宋体"/>
          <w:kern w:val="0"/>
          <w:sz w:val="24"/>
          <w:u w:val="single"/>
        </w:rPr>
        <w:t>              </w:t>
      </w:r>
    </w:p>
    <w:p w14:paraId="05B75F09">
      <w:pPr>
        <w:widowControl/>
        <w:spacing w:before="100" w:beforeAutospacing="1" w:after="100" w:afterAutospacing="1" w:line="435" w:lineRule="atLeast"/>
        <w:jc w:val="left"/>
      </w:pPr>
      <w:r>
        <w:rPr>
          <w:rFonts w:hint="eastAsia" w:ascii="宋体" w:hAnsi="宋体" w:cs="宋体"/>
          <w:kern w:val="0"/>
          <w:sz w:val="18"/>
          <w:szCs w:val="18"/>
          <w:vertAlign w:val="superscript"/>
        </w:rPr>
        <w:t>1</w:t>
      </w:r>
      <w:r>
        <w:rPr>
          <w:rFonts w:hint="eastAsia" w:ascii="宋体" w:hAnsi="宋体" w:cs="宋体"/>
          <w:kern w:val="0"/>
          <w:sz w:val="18"/>
          <w:szCs w:val="18"/>
        </w:rPr>
        <w:t>从业人员、营业收入、资产总额填报上一年度数据，无上一年度数据的新成立企业可不填报。</w:t>
      </w:r>
    </w:p>
    <w:p w14:paraId="343D35A8">
      <w:pPr>
        <w:widowControl/>
        <w:adjustRightInd w:val="0"/>
        <w:snapToGrid w:val="0"/>
        <w:spacing w:line="360" w:lineRule="auto"/>
        <w:ind w:firstLine="446" w:firstLineChars="200"/>
        <w:jc w:val="center"/>
        <w:rPr>
          <w:rFonts w:cs="宋体" w:asciiTheme="minorEastAsia" w:hAnsiTheme="minorEastAsia" w:eastAsiaTheme="minorEastAsia"/>
          <w:b/>
          <w:spacing w:val="6"/>
          <w:kern w:val="0"/>
          <w:szCs w:val="21"/>
          <w:u w:val="single"/>
        </w:rPr>
      </w:pPr>
    </w:p>
    <w:p w14:paraId="0CE63107">
      <w:pPr>
        <w:widowControl/>
        <w:adjustRightInd w:val="0"/>
        <w:snapToGrid w:val="0"/>
        <w:spacing w:line="360" w:lineRule="auto"/>
        <w:ind w:firstLine="446" w:firstLineChars="200"/>
        <w:jc w:val="left"/>
        <w:rPr>
          <w:rFonts w:cs="宋体" w:asciiTheme="minorEastAsia" w:hAnsiTheme="minorEastAsia" w:eastAsiaTheme="minorEastAsia"/>
          <w:b/>
          <w:bCs/>
          <w:spacing w:val="6"/>
          <w:kern w:val="0"/>
          <w:szCs w:val="21"/>
        </w:rPr>
      </w:pPr>
    </w:p>
    <w:p w14:paraId="030CF232">
      <w:pPr>
        <w:widowControl/>
        <w:adjustRightInd w:val="0"/>
        <w:snapToGrid w:val="0"/>
        <w:spacing w:line="360" w:lineRule="auto"/>
        <w:ind w:firstLine="446" w:firstLineChars="200"/>
        <w:jc w:val="left"/>
        <w:rPr>
          <w:rFonts w:cs="宋体" w:asciiTheme="minorEastAsia" w:hAnsiTheme="minorEastAsia" w:eastAsiaTheme="minorEastAsia"/>
          <w:b/>
          <w:bCs/>
          <w:spacing w:val="6"/>
          <w:kern w:val="0"/>
          <w:szCs w:val="21"/>
        </w:rPr>
      </w:pPr>
    </w:p>
    <w:p w14:paraId="49CEF208">
      <w:pPr>
        <w:widowControl/>
        <w:adjustRightInd w:val="0"/>
        <w:snapToGrid w:val="0"/>
        <w:spacing w:line="360" w:lineRule="auto"/>
        <w:ind w:firstLine="446" w:firstLineChars="200"/>
        <w:jc w:val="left"/>
        <w:rPr>
          <w:rFonts w:cs="宋体" w:asciiTheme="minorEastAsia" w:hAnsiTheme="minorEastAsia" w:eastAsiaTheme="minorEastAsia"/>
          <w:b/>
          <w:bCs/>
          <w:spacing w:val="6"/>
          <w:kern w:val="0"/>
          <w:szCs w:val="21"/>
        </w:rPr>
      </w:pPr>
    </w:p>
    <w:p w14:paraId="7DD76C11">
      <w:pPr>
        <w:widowControl/>
        <w:jc w:val="left"/>
        <w:rPr>
          <w:rFonts w:ascii="黑体" w:hAnsi="华文中宋" w:eastAsia="黑体" w:cs="宋体"/>
          <w:spacing w:val="6"/>
          <w:kern w:val="0"/>
          <w:szCs w:val="21"/>
        </w:rPr>
      </w:pPr>
      <w:r>
        <w:rPr>
          <w:rFonts w:ascii="黑体" w:hAnsi="华文中宋" w:cs="宋体"/>
          <w:b/>
          <w:bCs/>
          <w:spacing w:val="6"/>
          <w:kern w:val="0"/>
          <w:szCs w:val="21"/>
        </w:rPr>
        <w:br w:type="page"/>
      </w:r>
    </w:p>
    <w:p w14:paraId="47A7FDE1">
      <w:pPr>
        <w:pStyle w:val="6"/>
        <w:rPr>
          <w:rFonts w:ascii="黑体" w:hAnsi="宋体"/>
          <w:b w:val="0"/>
          <w:spacing w:val="6"/>
          <w:sz w:val="21"/>
          <w:szCs w:val="21"/>
        </w:rPr>
      </w:pPr>
      <w:bookmarkStart w:id="298" w:name="_Toc29913972"/>
      <w:bookmarkStart w:id="299" w:name="_Toc172716818"/>
      <w:bookmarkStart w:id="300" w:name="_Toc14005"/>
      <w:r>
        <w:rPr>
          <w:rFonts w:hint="eastAsia" w:ascii="黑体" w:hAnsi="华文中宋" w:cs="宋体"/>
          <w:b w:val="0"/>
          <w:bCs w:val="0"/>
          <w:spacing w:val="6"/>
          <w:kern w:val="0"/>
          <w:sz w:val="21"/>
          <w:szCs w:val="21"/>
        </w:rPr>
        <w:t xml:space="preserve">附件10-2 </w:t>
      </w:r>
      <w:r>
        <w:rPr>
          <w:rFonts w:hint="eastAsia" w:ascii="黑体" w:hAnsi="宋体"/>
          <w:b w:val="0"/>
          <w:spacing w:val="6"/>
          <w:sz w:val="21"/>
          <w:szCs w:val="21"/>
        </w:rPr>
        <w:t>残疾人福利性单位声明函</w:t>
      </w:r>
      <w:bookmarkEnd w:id="298"/>
      <w:bookmarkEnd w:id="299"/>
      <w:bookmarkEnd w:id="300"/>
    </w:p>
    <w:p w14:paraId="3539211A">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44F263DB">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14:paraId="0CD13972">
      <w:pPr>
        <w:adjustRightInd w:val="0"/>
        <w:snapToGrid w:val="0"/>
        <w:spacing w:line="360" w:lineRule="auto"/>
        <w:ind w:firstLine="444" w:firstLineChars="200"/>
        <w:rPr>
          <w:rFonts w:ascii="宋体" w:hAnsi="宋体"/>
          <w:spacing w:val="6"/>
          <w:szCs w:val="21"/>
        </w:rPr>
      </w:pPr>
    </w:p>
    <w:p w14:paraId="3311D087">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6D7C384">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1F7C0E8C">
      <w:pPr>
        <w:adjustRightInd w:val="0"/>
        <w:snapToGrid w:val="0"/>
        <w:spacing w:line="360" w:lineRule="auto"/>
        <w:ind w:firstLine="444" w:firstLineChars="200"/>
        <w:rPr>
          <w:rFonts w:ascii="宋体" w:hAnsi="宋体"/>
          <w:spacing w:val="6"/>
          <w:szCs w:val="21"/>
        </w:rPr>
      </w:pPr>
    </w:p>
    <w:p w14:paraId="41010E4F">
      <w:pPr>
        <w:adjustRightInd w:val="0"/>
        <w:snapToGrid w:val="0"/>
        <w:spacing w:line="360" w:lineRule="auto"/>
        <w:ind w:firstLine="444" w:firstLineChars="200"/>
        <w:rPr>
          <w:rFonts w:ascii="宋体" w:hAnsi="宋体"/>
          <w:spacing w:val="6"/>
          <w:szCs w:val="21"/>
        </w:rPr>
      </w:pPr>
    </w:p>
    <w:p w14:paraId="4D9C2A4D">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单位名称（盖单位电子章）：</w:t>
      </w:r>
    </w:p>
    <w:p w14:paraId="5952A431">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5D89B142">
      <w:pPr>
        <w:widowControl/>
        <w:adjustRightInd w:val="0"/>
        <w:snapToGrid w:val="0"/>
        <w:spacing w:line="360" w:lineRule="auto"/>
        <w:jc w:val="left"/>
        <w:rPr>
          <w:rFonts w:ascii="宋体" w:hAnsi="宋体" w:cs="宋体"/>
          <w:kern w:val="0"/>
          <w:szCs w:val="21"/>
        </w:rPr>
      </w:pPr>
    </w:p>
    <w:p w14:paraId="1913384F">
      <w:pPr>
        <w:widowControl/>
        <w:jc w:val="left"/>
        <w:rPr>
          <w:rFonts w:ascii="黑体" w:hAnsi="华文中宋" w:eastAsia="黑体" w:cs="宋体"/>
          <w:spacing w:val="6"/>
          <w:kern w:val="0"/>
          <w:szCs w:val="21"/>
        </w:rPr>
      </w:pPr>
      <w:r>
        <w:rPr>
          <w:rFonts w:ascii="黑体" w:hAnsi="华文中宋" w:cs="宋体"/>
          <w:b/>
          <w:bCs/>
          <w:spacing w:val="6"/>
          <w:kern w:val="0"/>
          <w:szCs w:val="21"/>
        </w:rPr>
        <w:br w:type="page"/>
      </w:r>
    </w:p>
    <w:p w14:paraId="76D28ABB">
      <w:pPr>
        <w:pStyle w:val="6"/>
        <w:rPr>
          <w:rFonts w:ascii="黑体" w:hAnsi="宋体"/>
          <w:b w:val="0"/>
          <w:sz w:val="21"/>
          <w:szCs w:val="21"/>
        </w:rPr>
      </w:pPr>
      <w:bookmarkStart w:id="301" w:name="_Toc27688"/>
      <w:bookmarkStart w:id="302" w:name="_Toc172716819"/>
      <w:bookmarkStart w:id="303" w:name="_Toc29913973"/>
      <w:r>
        <w:rPr>
          <w:rFonts w:hint="eastAsia" w:ascii="黑体" w:hAnsi="宋体" w:cs="宋体"/>
          <w:b w:val="0"/>
          <w:kern w:val="0"/>
          <w:sz w:val="21"/>
          <w:szCs w:val="21"/>
        </w:rPr>
        <w:t xml:space="preserve">附件10-3 </w:t>
      </w:r>
      <w:r>
        <w:rPr>
          <w:rFonts w:hint="eastAsia" w:ascii="黑体" w:hAnsi="宋体"/>
          <w:b w:val="0"/>
          <w:sz w:val="21"/>
          <w:szCs w:val="21"/>
        </w:rPr>
        <w:t>监狱企业证明资料</w:t>
      </w:r>
      <w:bookmarkEnd w:id="301"/>
      <w:bookmarkEnd w:id="302"/>
      <w:bookmarkEnd w:id="303"/>
    </w:p>
    <w:p w14:paraId="70F44368">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6EC4E8F2">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14:paraId="5CC8FAE9">
      <w:pPr>
        <w:adjustRightInd w:val="0"/>
        <w:snapToGrid w:val="0"/>
        <w:spacing w:line="360" w:lineRule="auto"/>
        <w:rPr>
          <w:rFonts w:asciiTheme="minorEastAsia" w:hAnsiTheme="minorEastAsia" w:eastAsiaTheme="minorEastAsia"/>
          <w:szCs w:val="21"/>
        </w:rPr>
      </w:pPr>
    </w:p>
    <w:p w14:paraId="3122E147">
      <w:pPr>
        <w:adjustRightInd w:val="0"/>
        <w:snapToGrid w:val="0"/>
        <w:spacing w:line="360" w:lineRule="auto"/>
        <w:ind w:firstLine="444" w:firstLineChars="200"/>
        <w:rPr>
          <w:rFonts w:asciiTheme="minorEastAsia" w:hAnsiTheme="minorEastAsia" w:eastAsiaTheme="minorEastAsia"/>
          <w:szCs w:val="21"/>
        </w:rPr>
      </w:pPr>
      <w:r>
        <w:rPr>
          <w:rFonts w:hint="eastAsia" w:cs="宋体" w:asciiTheme="minorEastAsia" w:hAnsiTheme="minorEastAsia" w:eastAsiaTheme="minorEastAsia"/>
          <w:bCs/>
          <w:spacing w:val="6"/>
          <w:kern w:val="0"/>
          <w:szCs w:val="21"/>
        </w:rPr>
        <w:t>备注：</w:t>
      </w:r>
      <w:r>
        <w:rPr>
          <w:rFonts w:hint="eastAsia" w:asciiTheme="minorEastAsia" w:hAnsiTheme="minorEastAsia" w:eastAsiaTheme="minorEastAsia"/>
          <w:szCs w:val="21"/>
        </w:rPr>
        <w:t>按</w:t>
      </w:r>
      <w:r>
        <w:rPr>
          <w:rFonts w:hint="eastAsia" w:ascii="宋体" w:hAnsi="宋体"/>
          <w:spacing w:val="6"/>
          <w:szCs w:val="21"/>
        </w:rPr>
        <w:t>《</w:t>
      </w:r>
      <w:r>
        <w:rPr>
          <w:rFonts w:hint="eastAsia" w:asciiTheme="minorEastAsia" w:hAnsiTheme="minorEastAsia" w:eastAsiaTheme="minorEastAsia"/>
          <w:szCs w:val="21"/>
        </w:rPr>
        <w:t>财政部 司法部关于政府采购支持监狱企业发展有关问题的通知</w:t>
      </w:r>
      <w:r>
        <w:rPr>
          <w:rFonts w:hint="eastAsia" w:ascii="宋体" w:hAnsi="宋体"/>
          <w:spacing w:val="6"/>
          <w:szCs w:val="21"/>
        </w:rPr>
        <w:t>》</w:t>
      </w:r>
      <w:r>
        <w:rPr>
          <w:rFonts w:hint="eastAsia" w:asciiTheme="minorEastAsia" w:hAnsiTheme="minorEastAsia" w:eastAsiaTheme="minorEastAsia"/>
          <w:szCs w:val="21"/>
        </w:rPr>
        <w:t>(财库〔2014〕68号)文件规定提供证明文件（复印件）。</w:t>
      </w:r>
    </w:p>
    <w:p w14:paraId="1DA790D5">
      <w:pPr>
        <w:adjustRightInd w:val="0"/>
        <w:snapToGrid w:val="0"/>
        <w:spacing w:line="360" w:lineRule="auto"/>
        <w:rPr>
          <w:rFonts w:ascii="黑体" w:hAnsi="华文中宋" w:eastAsia="黑体" w:cs="宋体"/>
          <w:bCs/>
          <w:spacing w:val="6"/>
          <w:kern w:val="0"/>
          <w:szCs w:val="21"/>
        </w:rPr>
      </w:pPr>
      <w:r>
        <w:rPr>
          <w:rFonts w:ascii="黑体" w:hAnsi="华文中宋" w:eastAsia="黑体" w:cs="宋体"/>
          <w:bCs/>
          <w:spacing w:val="6"/>
          <w:kern w:val="0"/>
          <w:szCs w:val="21"/>
        </w:rPr>
        <w:br w:type="page"/>
      </w:r>
    </w:p>
    <w:p w14:paraId="4ACC6CF9">
      <w:pPr>
        <w:pStyle w:val="6"/>
        <w:rPr>
          <w:rFonts w:ascii="黑体" w:hAnsi="宋体"/>
          <w:b w:val="0"/>
          <w:sz w:val="21"/>
          <w:szCs w:val="21"/>
        </w:rPr>
      </w:pPr>
      <w:bookmarkStart w:id="304" w:name="_Toc10072"/>
      <w:bookmarkStart w:id="305" w:name="_Toc29913974"/>
      <w:bookmarkStart w:id="306" w:name="_Toc172716820"/>
      <w:r>
        <w:rPr>
          <w:rFonts w:hint="eastAsia" w:ascii="黑体" w:hAnsi="华文中宋" w:cs="宋体"/>
          <w:b w:val="0"/>
          <w:bCs w:val="0"/>
          <w:spacing w:val="6"/>
          <w:kern w:val="0"/>
          <w:sz w:val="21"/>
          <w:szCs w:val="21"/>
        </w:rPr>
        <w:t xml:space="preserve">附件10-4 </w:t>
      </w:r>
      <w:r>
        <w:rPr>
          <w:rFonts w:hint="eastAsia" w:ascii="黑体" w:hAnsi="宋体"/>
          <w:b w:val="0"/>
          <w:sz w:val="21"/>
          <w:szCs w:val="21"/>
        </w:rPr>
        <w:t>强制采购或者优先采购产品</w:t>
      </w:r>
      <w:r>
        <w:rPr>
          <w:rFonts w:hint="eastAsia" w:ascii="黑体" w:hAnsi="宋体"/>
          <w:b w:val="0"/>
          <w:bCs w:val="0"/>
          <w:sz w:val="21"/>
          <w:szCs w:val="21"/>
        </w:rPr>
        <w:t>的</w:t>
      </w:r>
      <w:r>
        <w:rPr>
          <w:rFonts w:hint="eastAsia" w:ascii="黑体" w:hAnsi="宋体"/>
          <w:b w:val="0"/>
          <w:sz w:val="21"/>
          <w:szCs w:val="21"/>
        </w:rPr>
        <w:t>证明材料</w:t>
      </w:r>
      <w:bookmarkEnd w:id="304"/>
      <w:bookmarkEnd w:id="305"/>
      <w:bookmarkEnd w:id="306"/>
    </w:p>
    <w:p w14:paraId="4A1A473D">
      <w:pPr>
        <w:adjustRightInd w:val="0"/>
        <w:snapToGrid w:val="0"/>
        <w:spacing w:line="360" w:lineRule="auto"/>
        <w:jc w:val="center"/>
        <w:rPr>
          <w:rFonts w:ascii="黑体" w:hAnsi="黑体" w:eastAsia="黑体"/>
          <w:b/>
          <w:sz w:val="28"/>
          <w:szCs w:val="28"/>
        </w:rPr>
      </w:pPr>
      <w:r>
        <w:rPr>
          <w:rFonts w:hint="eastAsia" w:ascii="黑体" w:hAnsi="黑体" w:eastAsia="黑体"/>
          <w:b/>
          <w:sz w:val="28"/>
          <w:szCs w:val="28"/>
        </w:rPr>
        <w:t>强制采购或者优先采购产品</w:t>
      </w:r>
      <w:r>
        <w:rPr>
          <w:rFonts w:hint="eastAsia" w:ascii="黑体" w:hAnsi="黑体" w:eastAsia="黑体"/>
          <w:b/>
          <w:bCs/>
          <w:sz w:val="28"/>
          <w:szCs w:val="28"/>
        </w:rPr>
        <w:t>的</w:t>
      </w:r>
      <w:r>
        <w:rPr>
          <w:rFonts w:hint="eastAsia" w:ascii="黑体" w:hAnsi="黑体" w:eastAsia="黑体"/>
          <w:b/>
          <w:sz w:val="28"/>
          <w:szCs w:val="28"/>
        </w:rPr>
        <w:t>证明材料</w:t>
      </w:r>
    </w:p>
    <w:p w14:paraId="645E507C">
      <w:pPr>
        <w:adjustRightInd w:val="0"/>
        <w:snapToGrid w:val="0"/>
        <w:spacing w:line="360" w:lineRule="auto"/>
        <w:jc w:val="center"/>
        <w:rPr>
          <w:rFonts w:ascii="宋体" w:hAnsi="宋体"/>
          <w:b/>
          <w:spacing w:val="6"/>
          <w:szCs w:val="21"/>
        </w:rPr>
      </w:pPr>
      <w:r>
        <w:rPr>
          <w:rFonts w:hint="eastAsia" w:ascii="宋体" w:hAnsi="宋体"/>
          <w:b/>
          <w:spacing w:val="6"/>
          <w:szCs w:val="21"/>
        </w:rPr>
        <w:t>(不属于强制采购或者优先采购产品的无需提供)</w:t>
      </w:r>
    </w:p>
    <w:p w14:paraId="4F516578">
      <w:pPr>
        <w:adjustRightInd w:val="0"/>
        <w:snapToGrid w:val="0"/>
        <w:spacing w:line="360" w:lineRule="auto"/>
        <w:ind w:firstLine="420" w:firstLineChars="200"/>
        <w:jc w:val="left"/>
        <w:rPr>
          <w:rFonts w:asciiTheme="minorEastAsia" w:hAnsiTheme="minorEastAsia" w:eastAsiaTheme="minorEastAsia"/>
          <w:szCs w:val="21"/>
        </w:rPr>
      </w:pPr>
    </w:p>
    <w:p w14:paraId="02551E66">
      <w:pPr>
        <w:adjustRightInd w:val="0"/>
        <w:snapToGri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说明：投标人提供的产品</w:t>
      </w:r>
      <w:r>
        <w:rPr>
          <w:rFonts w:hint="eastAsia" w:asciiTheme="minorEastAsia" w:hAnsiTheme="minorEastAsia" w:eastAsiaTheme="minorEastAsia"/>
          <w:bCs/>
          <w:szCs w:val="21"/>
        </w:rPr>
        <w:t>属于强制采购或者优先采购的</w:t>
      </w:r>
      <w:r>
        <w:rPr>
          <w:rFonts w:hint="eastAsia" w:asciiTheme="minorEastAsia" w:hAnsiTheme="minorEastAsia" w:eastAsiaTheme="minorEastAsia"/>
          <w:szCs w:val="21"/>
        </w:rPr>
        <w:t>，应按第二章第33.6款规定提供证明材料和本章本节附页2“优先采购产品清单”，并加盖投标人单位电子章。</w:t>
      </w:r>
    </w:p>
    <w:p w14:paraId="08EF51AD">
      <w:pPr>
        <w:adjustRightInd w:val="0"/>
        <w:snapToGrid w:val="0"/>
        <w:spacing w:line="360" w:lineRule="auto"/>
        <w:ind w:firstLine="420" w:firstLineChars="200"/>
        <w:jc w:val="left"/>
        <w:rPr>
          <w:rFonts w:asciiTheme="minorEastAsia" w:hAnsiTheme="minorEastAsia" w:eastAsiaTheme="minorEastAsia"/>
          <w:szCs w:val="21"/>
        </w:rPr>
      </w:pPr>
    </w:p>
    <w:p w14:paraId="45F87933">
      <w:pPr>
        <w:adjustRightInd w:val="0"/>
        <w:snapToGrid w:val="0"/>
        <w:spacing w:line="360" w:lineRule="auto"/>
        <w:rPr>
          <w:rFonts w:ascii="黑体" w:hAnsi="宋体" w:eastAsia="黑体"/>
          <w:szCs w:val="21"/>
        </w:rPr>
      </w:pPr>
      <w:r>
        <w:rPr>
          <w:rFonts w:ascii="黑体" w:hAnsi="宋体" w:eastAsia="黑体"/>
          <w:b/>
          <w:sz w:val="28"/>
          <w:szCs w:val="28"/>
        </w:rPr>
        <w:br w:type="page"/>
      </w:r>
    </w:p>
    <w:p w14:paraId="6137E097">
      <w:pPr>
        <w:pStyle w:val="6"/>
        <w:jc w:val="left"/>
        <w:rPr>
          <w:rFonts w:ascii="黑体" w:hAnsi="宋体"/>
          <w:b w:val="0"/>
          <w:sz w:val="21"/>
          <w:szCs w:val="21"/>
        </w:rPr>
      </w:pPr>
      <w:bookmarkStart w:id="307" w:name="_Toc172716821"/>
      <w:bookmarkStart w:id="308" w:name="_Toc29913975"/>
      <w:bookmarkStart w:id="309" w:name="_Toc22237"/>
      <w:r>
        <w:rPr>
          <w:rFonts w:hint="eastAsia" w:ascii="黑体" w:hAnsi="华文中宋" w:cs="宋体"/>
          <w:b w:val="0"/>
          <w:bCs w:val="0"/>
          <w:spacing w:val="6"/>
          <w:kern w:val="0"/>
          <w:sz w:val="21"/>
          <w:szCs w:val="21"/>
        </w:rPr>
        <w:t xml:space="preserve">附页 2 </w:t>
      </w:r>
      <w:r>
        <w:rPr>
          <w:rFonts w:hint="eastAsia" w:ascii="黑体" w:hAnsi="宋体"/>
          <w:b w:val="0"/>
          <w:sz w:val="21"/>
          <w:szCs w:val="21"/>
        </w:rPr>
        <w:t>优先采购产品清单</w:t>
      </w:r>
      <w:bookmarkEnd w:id="307"/>
      <w:bookmarkEnd w:id="308"/>
      <w:bookmarkEnd w:id="309"/>
    </w:p>
    <w:p w14:paraId="35685176">
      <w:pPr>
        <w:adjustRightInd w:val="0"/>
        <w:snapToGrid w:val="0"/>
        <w:spacing w:line="360" w:lineRule="auto"/>
        <w:jc w:val="center"/>
        <w:rPr>
          <w:rFonts w:ascii="宋体" w:hAnsi="宋体"/>
          <w:b/>
          <w:spacing w:val="6"/>
          <w:szCs w:val="21"/>
        </w:rPr>
      </w:pPr>
      <w:r>
        <w:rPr>
          <w:rFonts w:hint="eastAsia" w:ascii="黑体" w:hAnsi="宋体" w:eastAsia="黑体"/>
          <w:b/>
          <w:sz w:val="28"/>
          <w:szCs w:val="28"/>
        </w:rPr>
        <w:t>优先采购产品清单</w:t>
      </w:r>
    </w:p>
    <w:p w14:paraId="4C40D7B9">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采购代理编号：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项目名称：</w:t>
      </w:r>
      <w:r>
        <w:rPr>
          <w:rFonts w:hint="eastAsia" w:asciiTheme="minorEastAsia" w:hAnsiTheme="minorEastAsia" w:eastAsiaTheme="minorEastAsia"/>
          <w:szCs w:val="21"/>
          <w:u w:val="single"/>
        </w:rPr>
        <w:t>____            ______</w:t>
      </w:r>
      <w:r>
        <w:rPr>
          <w:rFonts w:hint="eastAsia" w:asciiTheme="minorEastAsia" w:hAnsiTheme="minorEastAsia" w:eastAsiaTheme="minorEastAsia"/>
          <w:szCs w:val="21"/>
        </w:rPr>
        <w:t xml:space="preserve"> </w:t>
      </w:r>
    </w:p>
    <w:p w14:paraId="756BC326">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包       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包名称：</w:t>
      </w:r>
      <w:r>
        <w:rPr>
          <w:rFonts w:hint="eastAsia" w:asciiTheme="minorEastAsia" w:hAnsiTheme="minorEastAsia" w:eastAsiaTheme="minorEastAsia"/>
          <w:szCs w:val="21"/>
          <w:u w:val="single"/>
        </w:rPr>
        <w:t>___          _______</w:t>
      </w:r>
      <w:r>
        <w:rPr>
          <w:rFonts w:hint="eastAsia" w:asciiTheme="minorEastAsia" w:hAnsiTheme="minorEastAsia" w:eastAsiaTheme="minorEastAsia"/>
          <w:szCs w:val="21"/>
        </w:rPr>
        <w:t xml:space="preserve">  </w:t>
      </w:r>
    </w:p>
    <w:tbl>
      <w:tblPr>
        <w:tblStyle w:val="4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76F89E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3A4D160B">
            <w:pPr>
              <w:widowControl/>
              <w:adjustRightInd w:val="0"/>
              <w:snapToGrid w:val="0"/>
              <w:spacing w:line="360" w:lineRule="auto"/>
              <w:ind w:firstLine="480" w:firstLineChars="200"/>
              <w:jc w:val="left"/>
              <w:rPr>
                <w:rFonts w:ascii="黑体" w:hAnsi="黑体" w:eastAsia="黑体"/>
                <w:kern w:val="0"/>
                <w:sz w:val="24"/>
              </w:rPr>
            </w:pPr>
            <w:r>
              <w:rPr>
                <w:rFonts w:hint="eastAsia" w:ascii="黑体" w:hAnsi="宋体" w:eastAsia="黑体"/>
                <w:kern w:val="0"/>
                <w:sz w:val="24"/>
              </w:rPr>
              <w:t>以下为投标人提供的政府采购优先采购产品，投标人对本表的真实性负责。如有虚假，将依法承担相应责任。</w:t>
            </w:r>
          </w:p>
        </w:tc>
      </w:tr>
      <w:tr w14:paraId="0660C0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1697266C">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739" w:type="dxa"/>
            <w:vAlign w:val="center"/>
          </w:tcPr>
          <w:p w14:paraId="0BEC9147">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2</w:t>
            </w:r>
          </w:p>
        </w:tc>
        <w:tc>
          <w:tcPr>
            <w:tcW w:w="1134" w:type="dxa"/>
            <w:tcBorders>
              <w:right w:val="single" w:color="auto" w:sz="4" w:space="0"/>
            </w:tcBorders>
            <w:vAlign w:val="center"/>
          </w:tcPr>
          <w:p w14:paraId="7D86D2C1">
            <w:pPr>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3</w:t>
            </w:r>
          </w:p>
        </w:tc>
        <w:tc>
          <w:tcPr>
            <w:tcW w:w="1418" w:type="dxa"/>
            <w:tcBorders>
              <w:left w:val="single" w:color="auto" w:sz="4" w:space="0"/>
            </w:tcBorders>
            <w:vAlign w:val="center"/>
          </w:tcPr>
          <w:p w14:paraId="055D8552">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4</w:t>
            </w:r>
          </w:p>
        </w:tc>
        <w:tc>
          <w:tcPr>
            <w:tcW w:w="1984" w:type="dxa"/>
            <w:vAlign w:val="center"/>
          </w:tcPr>
          <w:p w14:paraId="3BFD101D">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5</w:t>
            </w:r>
          </w:p>
        </w:tc>
        <w:tc>
          <w:tcPr>
            <w:tcW w:w="1843" w:type="dxa"/>
            <w:vAlign w:val="center"/>
          </w:tcPr>
          <w:p w14:paraId="1FE363BC">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6</w:t>
            </w:r>
          </w:p>
        </w:tc>
      </w:tr>
      <w:tr w14:paraId="5C77DD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23E58602">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739" w:type="dxa"/>
            <w:vAlign w:val="center"/>
          </w:tcPr>
          <w:p w14:paraId="7B7E3BBE">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货物名称</w:t>
            </w:r>
          </w:p>
        </w:tc>
        <w:tc>
          <w:tcPr>
            <w:tcW w:w="1134" w:type="dxa"/>
            <w:tcBorders>
              <w:right w:val="single" w:color="auto" w:sz="4" w:space="0"/>
            </w:tcBorders>
            <w:vAlign w:val="center"/>
          </w:tcPr>
          <w:p w14:paraId="3C7F7482">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规格型号</w:t>
            </w:r>
          </w:p>
        </w:tc>
        <w:tc>
          <w:tcPr>
            <w:tcW w:w="1418" w:type="dxa"/>
            <w:tcBorders>
              <w:left w:val="single" w:color="auto" w:sz="4" w:space="0"/>
            </w:tcBorders>
            <w:vAlign w:val="center"/>
          </w:tcPr>
          <w:p w14:paraId="2FFF8448">
            <w:pPr>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价格（元）</w:t>
            </w:r>
          </w:p>
        </w:tc>
        <w:tc>
          <w:tcPr>
            <w:tcW w:w="1984" w:type="dxa"/>
            <w:vAlign w:val="center"/>
          </w:tcPr>
          <w:p w14:paraId="592A90D7">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货物制造商名称</w:t>
            </w:r>
          </w:p>
        </w:tc>
        <w:tc>
          <w:tcPr>
            <w:tcW w:w="1843" w:type="dxa"/>
            <w:vAlign w:val="center"/>
          </w:tcPr>
          <w:p w14:paraId="1D0B4D36">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政策功能编码</w:t>
            </w:r>
          </w:p>
        </w:tc>
      </w:tr>
      <w:tr w14:paraId="270D2B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29CFE056">
            <w:pPr>
              <w:adjustRightInd w:val="0"/>
              <w:snapToGrid w:val="0"/>
              <w:spacing w:line="360" w:lineRule="auto"/>
              <w:jc w:val="left"/>
              <w:rPr>
                <w:rFonts w:asciiTheme="minorEastAsia" w:hAnsiTheme="minorEastAsia" w:eastAsiaTheme="minorEastAsia"/>
                <w:b/>
                <w:szCs w:val="21"/>
              </w:rPr>
            </w:pPr>
            <w:r>
              <w:rPr>
                <w:rFonts w:hint="eastAsia" w:asciiTheme="minorEastAsia" w:hAnsiTheme="minorEastAsia" w:eastAsiaTheme="minorEastAsia"/>
                <w:b/>
                <w:szCs w:val="21"/>
              </w:rPr>
              <w:t>节能产品</w:t>
            </w:r>
          </w:p>
        </w:tc>
      </w:tr>
      <w:tr w14:paraId="1182B2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7B4E416E">
            <w:pPr>
              <w:adjustRightInd w:val="0"/>
              <w:snapToGrid w:val="0"/>
              <w:spacing w:line="360" w:lineRule="auto"/>
              <w:jc w:val="center"/>
              <w:rPr>
                <w:rFonts w:ascii="宋体" w:hAnsi="宋体"/>
                <w:b/>
                <w:szCs w:val="21"/>
              </w:rPr>
            </w:pPr>
          </w:p>
        </w:tc>
        <w:tc>
          <w:tcPr>
            <w:tcW w:w="1739" w:type="dxa"/>
            <w:vAlign w:val="center"/>
          </w:tcPr>
          <w:p w14:paraId="568A6C4E">
            <w:pPr>
              <w:adjustRightInd w:val="0"/>
              <w:snapToGrid w:val="0"/>
              <w:spacing w:line="360" w:lineRule="auto"/>
              <w:jc w:val="center"/>
              <w:rPr>
                <w:rFonts w:asciiTheme="minorEastAsia" w:hAnsiTheme="minorEastAsia" w:eastAsiaTheme="minorEastAsia"/>
                <w:b/>
                <w:szCs w:val="21"/>
              </w:rPr>
            </w:pPr>
          </w:p>
        </w:tc>
        <w:tc>
          <w:tcPr>
            <w:tcW w:w="1134" w:type="dxa"/>
            <w:tcBorders>
              <w:right w:val="single" w:color="auto" w:sz="4" w:space="0"/>
            </w:tcBorders>
            <w:vAlign w:val="center"/>
          </w:tcPr>
          <w:p w14:paraId="4D64918C">
            <w:pPr>
              <w:adjustRightInd w:val="0"/>
              <w:snapToGrid w:val="0"/>
              <w:spacing w:line="360" w:lineRule="auto"/>
              <w:jc w:val="left"/>
              <w:rPr>
                <w:rFonts w:asciiTheme="minorEastAsia" w:hAnsiTheme="minorEastAsia" w:eastAsiaTheme="minorEastAsia"/>
                <w:b/>
                <w:szCs w:val="21"/>
              </w:rPr>
            </w:pPr>
          </w:p>
        </w:tc>
        <w:tc>
          <w:tcPr>
            <w:tcW w:w="1418" w:type="dxa"/>
            <w:tcBorders>
              <w:left w:val="single" w:color="auto" w:sz="4" w:space="0"/>
            </w:tcBorders>
            <w:vAlign w:val="center"/>
          </w:tcPr>
          <w:p w14:paraId="2984AC3C">
            <w:pPr>
              <w:adjustRightInd w:val="0"/>
              <w:snapToGrid w:val="0"/>
              <w:spacing w:line="360" w:lineRule="auto"/>
              <w:jc w:val="left"/>
              <w:rPr>
                <w:rFonts w:asciiTheme="minorEastAsia" w:hAnsiTheme="minorEastAsia" w:eastAsiaTheme="minorEastAsia"/>
                <w:b/>
                <w:szCs w:val="21"/>
              </w:rPr>
            </w:pPr>
          </w:p>
        </w:tc>
        <w:tc>
          <w:tcPr>
            <w:tcW w:w="1984" w:type="dxa"/>
            <w:vAlign w:val="center"/>
          </w:tcPr>
          <w:p w14:paraId="2A9C5A1A">
            <w:pPr>
              <w:adjustRightInd w:val="0"/>
              <w:snapToGrid w:val="0"/>
              <w:spacing w:line="360" w:lineRule="auto"/>
              <w:jc w:val="center"/>
              <w:rPr>
                <w:rFonts w:asciiTheme="minorEastAsia" w:hAnsiTheme="minorEastAsia" w:eastAsiaTheme="minorEastAsia"/>
                <w:b/>
                <w:szCs w:val="21"/>
              </w:rPr>
            </w:pPr>
          </w:p>
        </w:tc>
        <w:tc>
          <w:tcPr>
            <w:tcW w:w="1843" w:type="dxa"/>
          </w:tcPr>
          <w:p w14:paraId="29516047">
            <w:pPr>
              <w:adjustRightInd w:val="0"/>
              <w:snapToGrid w:val="0"/>
              <w:spacing w:line="360" w:lineRule="auto"/>
              <w:jc w:val="center"/>
              <w:rPr>
                <w:rFonts w:asciiTheme="minorEastAsia" w:hAnsiTheme="minorEastAsia" w:eastAsiaTheme="minorEastAsia"/>
                <w:b/>
                <w:szCs w:val="21"/>
              </w:rPr>
            </w:pPr>
          </w:p>
        </w:tc>
      </w:tr>
      <w:tr w14:paraId="381501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4E430DDD">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29C439F7">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w:t>
            </w:r>
          </w:p>
        </w:tc>
        <w:tc>
          <w:tcPr>
            <w:tcW w:w="1134" w:type="dxa"/>
            <w:tcBorders>
              <w:right w:val="single" w:color="auto" w:sz="4" w:space="0"/>
            </w:tcBorders>
            <w:vAlign w:val="center"/>
          </w:tcPr>
          <w:p w14:paraId="13DAAED1">
            <w:pPr>
              <w:adjustRightInd w:val="0"/>
              <w:snapToGrid w:val="0"/>
              <w:spacing w:line="360" w:lineRule="auto"/>
              <w:jc w:val="left"/>
              <w:rPr>
                <w:rFonts w:asciiTheme="minorEastAsia" w:hAnsiTheme="minorEastAsia" w:eastAsiaTheme="minorEastAsia"/>
                <w:b/>
                <w:szCs w:val="21"/>
              </w:rPr>
            </w:pPr>
          </w:p>
        </w:tc>
        <w:tc>
          <w:tcPr>
            <w:tcW w:w="1418" w:type="dxa"/>
            <w:tcBorders>
              <w:left w:val="single" w:color="auto" w:sz="4" w:space="0"/>
            </w:tcBorders>
            <w:vAlign w:val="center"/>
          </w:tcPr>
          <w:p w14:paraId="51789F96">
            <w:pPr>
              <w:adjustRightInd w:val="0"/>
              <w:snapToGrid w:val="0"/>
              <w:spacing w:line="360" w:lineRule="auto"/>
              <w:jc w:val="left"/>
              <w:rPr>
                <w:rFonts w:asciiTheme="minorEastAsia" w:hAnsiTheme="minorEastAsia" w:eastAsiaTheme="minorEastAsia"/>
                <w:b/>
                <w:szCs w:val="21"/>
              </w:rPr>
            </w:pPr>
          </w:p>
        </w:tc>
        <w:tc>
          <w:tcPr>
            <w:tcW w:w="1984" w:type="dxa"/>
            <w:vAlign w:val="center"/>
          </w:tcPr>
          <w:p w14:paraId="51708F90">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w:t>
            </w:r>
          </w:p>
        </w:tc>
        <w:tc>
          <w:tcPr>
            <w:tcW w:w="1843" w:type="dxa"/>
          </w:tcPr>
          <w:p w14:paraId="1F8730A1">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w:t>
            </w:r>
          </w:p>
        </w:tc>
      </w:tr>
      <w:tr w14:paraId="279F2B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6B6A2DF1">
            <w:pPr>
              <w:adjustRightInd w:val="0"/>
              <w:snapToGrid w:val="0"/>
              <w:spacing w:line="360" w:lineRule="auto"/>
              <w:jc w:val="left"/>
              <w:rPr>
                <w:rFonts w:asciiTheme="minorEastAsia" w:hAnsiTheme="minorEastAsia" w:eastAsiaTheme="minorEastAsia"/>
                <w:b/>
                <w:szCs w:val="21"/>
              </w:rPr>
            </w:pPr>
            <w:r>
              <w:rPr>
                <w:rFonts w:hint="eastAsia" w:asciiTheme="minorEastAsia" w:hAnsiTheme="minorEastAsia" w:eastAsiaTheme="minorEastAsia"/>
                <w:b/>
                <w:szCs w:val="21"/>
              </w:rPr>
              <w:t>环境标志产品</w:t>
            </w:r>
          </w:p>
        </w:tc>
      </w:tr>
      <w:tr w14:paraId="6485AF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5F32326">
            <w:pPr>
              <w:adjustRightInd w:val="0"/>
              <w:snapToGrid w:val="0"/>
              <w:spacing w:line="360" w:lineRule="auto"/>
              <w:jc w:val="center"/>
              <w:rPr>
                <w:rFonts w:ascii="宋体" w:hAnsi="宋体"/>
                <w:b/>
                <w:szCs w:val="21"/>
              </w:rPr>
            </w:pPr>
          </w:p>
        </w:tc>
        <w:tc>
          <w:tcPr>
            <w:tcW w:w="1739" w:type="dxa"/>
            <w:vAlign w:val="center"/>
          </w:tcPr>
          <w:p w14:paraId="5BFC21E3">
            <w:pPr>
              <w:adjustRightInd w:val="0"/>
              <w:snapToGrid w:val="0"/>
              <w:spacing w:line="360" w:lineRule="auto"/>
              <w:jc w:val="center"/>
              <w:rPr>
                <w:rFonts w:asciiTheme="minorEastAsia" w:hAnsiTheme="minorEastAsia" w:eastAsiaTheme="minorEastAsia"/>
                <w:b/>
                <w:szCs w:val="21"/>
              </w:rPr>
            </w:pPr>
          </w:p>
        </w:tc>
        <w:tc>
          <w:tcPr>
            <w:tcW w:w="1134" w:type="dxa"/>
            <w:tcBorders>
              <w:right w:val="single" w:color="auto" w:sz="4" w:space="0"/>
            </w:tcBorders>
            <w:vAlign w:val="center"/>
          </w:tcPr>
          <w:p w14:paraId="1C48BB78">
            <w:pPr>
              <w:adjustRightInd w:val="0"/>
              <w:snapToGrid w:val="0"/>
              <w:spacing w:line="360" w:lineRule="auto"/>
              <w:jc w:val="left"/>
              <w:rPr>
                <w:rFonts w:asciiTheme="minorEastAsia" w:hAnsiTheme="minorEastAsia" w:eastAsiaTheme="minorEastAsia"/>
                <w:b/>
                <w:szCs w:val="21"/>
              </w:rPr>
            </w:pPr>
          </w:p>
        </w:tc>
        <w:tc>
          <w:tcPr>
            <w:tcW w:w="1418" w:type="dxa"/>
            <w:tcBorders>
              <w:left w:val="single" w:color="auto" w:sz="4" w:space="0"/>
            </w:tcBorders>
            <w:vAlign w:val="center"/>
          </w:tcPr>
          <w:p w14:paraId="2D794E4E">
            <w:pPr>
              <w:adjustRightInd w:val="0"/>
              <w:snapToGrid w:val="0"/>
              <w:spacing w:line="360" w:lineRule="auto"/>
              <w:jc w:val="left"/>
              <w:rPr>
                <w:rFonts w:asciiTheme="minorEastAsia" w:hAnsiTheme="minorEastAsia" w:eastAsiaTheme="minorEastAsia"/>
                <w:b/>
                <w:szCs w:val="21"/>
              </w:rPr>
            </w:pPr>
          </w:p>
        </w:tc>
        <w:tc>
          <w:tcPr>
            <w:tcW w:w="1984" w:type="dxa"/>
            <w:vAlign w:val="center"/>
          </w:tcPr>
          <w:p w14:paraId="6398FE1C">
            <w:pPr>
              <w:adjustRightInd w:val="0"/>
              <w:snapToGrid w:val="0"/>
              <w:spacing w:line="360" w:lineRule="auto"/>
              <w:jc w:val="center"/>
              <w:rPr>
                <w:rFonts w:asciiTheme="minorEastAsia" w:hAnsiTheme="minorEastAsia" w:eastAsiaTheme="minorEastAsia"/>
                <w:b/>
                <w:szCs w:val="21"/>
              </w:rPr>
            </w:pPr>
          </w:p>
        </w:tc>
        <w:tc>
          <w:tcPr>
            <w:tcW w:w="1843" w:type="dxa"/>
          </w:tcPr>
          <w:p w14:paraId="0CF1A3E5">
            <w:pPr>
              <w:adjustRightInd w:val="0"/>
              <w:snapToGrid w:val="0"/>
              <w:spacing w:line="360" w:lineRule="auto"/>
              <w:jc w:val="center"/>
              <w:rPr>
                <w:rFonts w:asciiTheme="minorEastAsia" w:hAnsiTheme="minorEastAsia" w:eastAsiaTheme="minorEastAsia"/>
                <w:b/>
                <w:szCs w:val="21"/>
              </w:rPr>
            </w:pPr>
          </w:p>
        </w:tc>
      </w:tr>
      <w:tr w14:paraId="209173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E702DB5">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5F4D6F71">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w:t>
            </w:r>
          </w:p>
        </w:tc>
        <w:tc>
          <w:tcPr>
            <w:tcW w:w="1134" w:type="dxa"/>
            <w:tcBorders>
              <w:right w:val="single" w:color="auto" w:sz="4" w:space="0"/>
            </w:tcBorders>
            <w:vAlign w:val="center"/>
          </w:tcPr>
          <w:p w14:paraId="023C1865">
            <w:pPr>
              <w:adjustRightInd w:val="0"/>
              <w:snapToGrid w:val="0"/>
              <w:spacing w:line="360" w:lineRule="auto"/>
              <w:jc w:val="left"/>
              <w:rPr>
                <w:rFonts w:asciiTheme="minorEastAsia" w:hAnsiTheme="minorEastAsia" w:eastAsiaTheme="minorEastAsia"/>
                <w:b/>
                <w:szCs w:val="21"/>
              </w:rPr>
            </w:pPr>
          </w:p>
        </w:tc>
        <w:tc>
          <w:tcPr>
            <w:tcW w:w="1418" w:type="dxa"/>
            <w:tcBorders>
              <w:left w:val="single" w:color="auto" w:sz="4" w:space="0"/>
            </w:tcBorders>
            <w:vAlign w:val="center"/>
          </w:tcPr>
          <w:p w14:paraId="5CC9EDA4">
            <w:pPr>
              <w:adjustRightInd w:val="0"/>
              <w:snapToGrid w:val="0"/>
              <w:spacing w:line="360" w:lineRule="auto"/>
              <w:jc w:val="left"/>
              <w:rPr>
                <w:rFonts w:asciiTheme="minorEastAsia" w:hAnsiTheme="minorEastAsia" w:eastAsiaTheme="minorEastAsia"/>
                <w:b/>
                <w:szCs w:val="21"/>
              </w:rPr>
            </w:pPr>
          </w:p>
        </w:tc>
        <w:tc>
          <w:tcPr>
            <w:tcW w:w="1984" w:type="dxa"/>
            <w:vAlign w:val="center"/>
          </w:tcPr>
          <w:p w14:paraId="38CB7A36">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w:t>
            </w:r>
          </w:p>
        </w:tc>
        <w:tc>
          <w:tcPr>
            <w:tcW w:w="1843" w:type="dxa"/>
          </w:tcPr>
          <w:p w14:paraId="526CA7B9">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w:t>
            </w:r>
          </w:p>
        </w:tc>
      </w:tr>
    </w:tbl>
    <w:p w14:paraId="4421F583">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说明：</w:t>
      </w:r>
      <w:r>
        <w:rPr>
          <w:rFonts w:hint="eastAsia" w:asciiTheme="minorEastAsia" w:hAnsiTheme="minorEastAsia" w:eastAsiaTheme="minorEastAsia"/>
          <w:bCs/>
          <w:szCs w:val="21"/>
        </w:rPr>
        <w:t>1、</w:t>
      </w:r>
      <w:r>
        <w:rPr>
          <w:rFonts w:hint="eastAsia" w:asciiTheme="minorEastAsia" w:hAnsiTheme="minorEastAsia" w:eastAsiaTheme="minorEastAsia"/>
          <w:szCs w:val="21"/>
        </w:rPr>
        <w:t>本表用于计算政府采购优先采购产品（节能产品或环境标志产品）的政府采购政策加分或者价格扣除。</w:t>
      </w:r>
    </w:p>
    <w:p w14:paraId="69FEAF39">
      <w:pPr>
        <w:adjustRightInd w:val="0"/>
        <w:snapToGrid w:val="0"/>
        <w:spacing w:line="360" w:lineRule="auto"/>
        <w:ind w:firstLine="630" w:firstLineChars="300"/>
        <w:jc w:val="left"/>
        <w:rPr>
          <w:rFonts w:asciiTheme="minorEastAsia" w:hAnsiTheme="minorEastAsia" w:eastAsiaTheme="minorEastAsia"/>
          <w:szCs w:val="21"/>
        </w:rPr>
      </w:pPr>
      <w:r>
        <w:rPr>
          <w:rFonts w:hint="eastAsia" w:asciiTheme="minorEastAsia" w:hAnsiTheme="minorEastAsia" w:eastAsiaTheme="minorEastAsia"/>
          <w:szCs w:val="21"/>
        </w:rPr>
        <w:t>2、栏目4“价格”为综合单价，包含货物所有隐含的内容，如运输费、保险费、管理费和利润等。</w:t>
      </w:r>
    </w:p>
    <w:p w14:paraId="606A7825">
      <w:pPr>
        <w:adjustRightInd w:val="0"/>
        <w:snapToGrid w:val="0"/>
        <w:spacing w:line="360" w:lineRule="auto"/>
        <w:ind w:firstLine="630" w:firstLineChars="300"/>
        <w:jc w:val="left"/>
        <w:rPr>
          <w:rFonts w:asciiTheme="minorEastAsia" w:hAnsiTheme="minorEastAsia" w:eastAsiaTheme="minorEastAsia"/>
          <w:szCs w:val="21"/>
        </w:rPr>
      </w:pPr>
      <w:r>
        <w:rPr>
          <w:rFonts w:hint="eastAsia" w:asciiTheme="minorEastAsia" w:hAnsiTheme="minorEastAsia" w:eastAsiaTheme="minorEastAsia"/>
          <w:szCs w:val="21"/>
        </w:rPr>
        <w:t>3、栏目6“政策功能编码”是指货物的中国环境标志认证证书编号、中国节能标志认证证书号（货物同时属于节能产品、环境标志产品的，只须填写一种）。</w:t>
      </w:r>
    </w:p>
    <w:p w14:paraId="038B748F">
      <w:pPr>
        <w:adjustRightInd w:val="0"/>
        <w:snapToGrid w:val="0"/>
        <w:spacing w:line="360" w:lineRule="auto"/>
        <w:ind w:firstLine="630" w:firstLineChars="300"/>
        <w:rPr>
          <w:rFonts w:asciiTheme="minorEastAsia" w:hAnsiTheme="minorEastAsia" w:eastAsiaTheme="minorEastAsia"/>
          <w:bCs/>
          <w:szCs w:val="21"/>
        </w:rPr>
      </w:pPr>
      <w:r>
        <w:rPr>
          <w:rFonts w:hint="eastAsia" w:asciiTheme="minorEastAsia" w:hAnsiTheme="minorEastAsia" w:eastAsiaTheme="minorEastAsia"/>
          <w:bCs/>
          <w:szCs w:val="21"/>
        </w:rPr>
        <w:t>4、投标人在投标截止时间前修改“开标一览表”中的投标报价的，应按第二章第13.7款规定修改本表相应内容。否则，评审时涉及本表所有优惠不予以考虑。</w:t>
      </w:r>
    </w:p>
    <w:p w14:paraId="6B7381F8">
      <w:pPr>
        <w:adjustRightInd w:val="0"/>
        <w:snapToGrid w:val="0"/>
        <w:spacing w:line="360" w:lineRule="auto"/>
        <w:rPr>
          <w:rFonts w:ascii="宋体" w:hAnsi="宋体"/>
          <w:szCs w:val="21"/>
        </w:rPr>
      </w:pPr>
    </w:p>
    <w:p w14:paraId="5943C664">
      <w:pPr>
        <w:adjustRightInd w:val="0"/>
        <w:snapToGrid w:val="0"/>
        <w:spacing w:line="360" w:lineRule="auto"/>
        <w:rPr>
          <w:rFonts w:ascii="宋体" w:hAnsi="宋体"/>
          <w:szCs w:val="21"/>
        </w:rPr>
      </w:pPr>
      <w:r>
        <w:rPr>
          <w:rFonts w:hint="eastAsia" w:ascii="宋体" w:hAnsi="宋体"/>
          <w:szCs w:val="21"/>
        </w:rPr>
        <w:t>投标人名称（盖单位电子章）：</w:t>
      </w:r>
    </w:p>
    <w:p w14:paraId="3B2E4824">
      <w:pPr>
        <w:adjustRightInd w:val="0"/>
        <w:snapToGrid w:val="0"/>
        <w:spacing w:line="360" w:lineRule="auto"/>
        <w:rPr>
          <w:rFonts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或其委托代理人（签字或签章）：</w:t>
      </w:r>
      <w:r>
        <w:rPr>
          <w:rFonts w:hint="eastAsia" w:ascii="宋体" w:hAnsi="宋体"/>
          <w:szCs w:val="21"/>
          <w:u w:val="single"/>
        </w:rPr>
        <w:t xml:space="preserve">       </w:t>
      </w:r>
    </w:p>
    <w:p w14:paraId="0D7102C7">
      <w:pPr>
        <w:rPr>
          <w:rFonts w:ascii="宋体" w:hAnsi="宋体"/>
          <w:b/>
          <w:bCs/>
          <w:sz w:val="32"/>
          <w:szCs w:val="21"/>
        </w:rPr>
      </w:pP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rPr>
          <w:rFonts w:ascii="宋体" w:hAnsi="宋体"/>
          <w:szCs w:val="21"/>
        </w:rPr>
        <w:br w:type="page"/>
      </w:r>
    </w:p>
    <w:p w14:paraId="5F95144A">
      <w:pPr>
        <w:pStyle w:val="5"/>
        <w:adjustRightInd w:val="0"/>
        <w:snapToGrid w:val="0"/>
        <w:spacing w:before="0" w:after="0" w:line="360" w:lineRule="auto"/>
        <w:jc w:val="center"/>
        <w:rPr>
          <w:rFonts w:ascii="黑体" w:hAnsi="宋体" w:eastAsia="黑体"/>
          <w:sz w:val="28"/>
          <w:szCs w:val="28"/>
        </w:rPr>
      </w:pPr>
      <w:bookmarkStart w:id="310" w:name="_Toc172716822"/>
      <w:bookmarkStart w:id="311" w:name="_Toc2561"/>
      <w:bookmarkStart w:id="312" w:name="_Toc29913977"/>
      <w:r>
        <w:rPr>
          <w:rFonts w:hint="eastAsia" w:ascii="黑体" w:hAnsi="宋体" w:eastAsia="黑体"/>
          <w:sz w:val="28"/>
          <w:szCs w:val="28"/>
        </w:rPr>
        <w:t>十一、投标服务符合招标文件规定的证明文件</w:t>
      </w:r>
      <w:bookmarkEnd w:id="310"/>
      <w:bookmarkEnd w:id="311"/>
    </w:p>
    <w:p w14:paraId="73E97721">
      <w:pPr>
        <w:adjustRightInd w:val="0"/>
        <w:snapToGrid w:val="0"/>
        <w:spacing w:line="360" w:lineRule="auto"/>
        <w:rPr>
          <w:rFonts w:asciiTheme="minorEastAsia" w:hAnsiTheme="minorEastAsia" w:eastAsiaTheme="minorEastAsia"/>
          <w:szCs w:val="21"/>
        </w:rPr>
      </w:pPr>
    </w:p>
    <w:p w14:paraId="6CD78806">
      <w:pPr>
        <w:adjustRightInd w:val="0"/>
        <w:snapToGrid w:val="0"/>
        <w:spacing w:line="360" w:lineRule="auto"/>
        <w:rPr>
          <w:rFonts w:asciiTheme="minorEastAsia" w:hAnsiTheme="minorEastAsia" w:eastAsiaTheme="minorEastAsia"/>
        </w:rPr>
      </w:pPr>
      <w:r>
        <w:rPr>
          <w:rFonts w:hint="eastAsia" w:asciiTheme="minorEastAsia" w:hAnsiTheme="minorEastAsia" w:eastAsiaTheme="minorEastAsia"/>
          <w:szCs w:val="21"/>
        </w:rPr>
        <w:t>备注：提供第五章规定的证明材料复印件。</w:t>
      </w:r>
    </w:p>
    <w:p w14:paraId="3B9A1444">
      <w:pPr>
        <w:widowControl/>
        <w:jc w:val="left"/>
        <w:rPr>
          <w:rFonts w:ascii="黑体" w:eastAsia="黑体"/>
          <w:sz w:val="28"/>
          <w:szCs w:val="28"/>
        </w:rPr>
      </w:pPr>
      <w:r>
        <w:rPr>
          <w:rFonts w:ascii="黑体" w:eastAsia="黑体"/>
          <w:b/>
          <w:bCs/>
          <w:sz w:val="28"/>
          <w:szCs w:val="28"/>
        </w:rPr>
        <w:br w:type="page"/>
      </w:r>
    </w:p>
    <w:p w14:paraId="5638935E">
      <w:pPr>
        <w:pStyle w:val="5"/>
        <w:adjustRightInd w:val="0"/>
        <w:snapToGrid w:val="0"/>
        <w:spacing w:before="0" w:after="0" w:line="360" w:lineRule="auto"/>
        <w:jc w:val="center"/>
        <w:rPr>
          <w:rFonts w:ascii="黑体" w:hAnsi="宋体" w:eastAsia="黑体"/>
          <w:sz w:val="28"/>
          <w:szCs w:val="28"/>
        </w:rPr>
      </w:pPr>
      <w:bookmarkStart w:id="313" w:name="_Toc172716823"/>
      <w:bookmarkStart w:id="314" w:name="_Toc15533"/>
      <w:r>
        <w:rPr>
          <w:rFonts w:hint="eastAsia" w:ascii="黑体" w:hAnsi="宋体" w:eastAsia="黑体"/>
          <w:sz w:val="28"/>
          <w:szCs w:val="28"/>
        </w:rPr>
        <w:t>十二、投标人认为需提供的其他资料</w:t>
      </w:r>
      <w:bookmarkEnd w:id="312"/>
      <w:bookmarkEnd w:id="313"/>
      <w:bookmarkEnd w:id="314"/>
    </w:p>
    <w:p w14:paraId="7316FDE2">
      <w:pPr>
        <w:adjustRightInd w:val="0"/>
        <w:snapToGrid w:val="0"/>
        <w:spacing w:beforeLines="50" w:line="360" w:lineRule="auto"/>
        <w:rPr>
          <w:rFonts w:asciiTheme="minorEastAsia" w:hAnsiTheme="minorEastAsia" w:eastAsiaTheme="minorEastAsia"/>
        </w:rPr>
      </w:pPr>
    </w:p>
    <w:p w14:paraId="1BCA9491">
      <w:pPr>
        <w:adjustRightInd w:val="0"/>
        <w:snapToGrid w:val="0"/>
        <w:spacing w:beforeLines="50" w:line="360" w:lineRule="auto"/>
        <w:rPr>
          <w:rFonts w:asciiTheme="minorEastAsia" w:hAnsiTheme="minorEastAsia" w:eastAsiaTheme="minorEastAsia"/>
        </w:rPr>
      </w:pPr>
      <w:r>
        <w:rPr>
          <w:rFonts w:hint="eastAsia" w:asciiTheme="minorEastAsia" w:hAnsiTheme="minorEastAsia" w:eastAsiaTheme="minorEastAsia"/>
        </w:rPr>
        <w:t>备注：投标人认为需提供的其他资料包括：</w:t>
      </w:r>
    </w:p>
    <w:p w14:paraId="5B544FB4">
      <w:pPr>
        <w:adjustRightInd w:val="0"/>
        <w:snapToGrid w:val="0"/>
        <w:spacing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（1）招标文件第五章采购需求要求的其他资料；</w:t>
      </w:r>
    </w:p>
    <w:p w14:paraId="136B1C6D">
      <w:pPr>
        <w:adjustRightInd w:val="0"/>
        <w:snapToGrid w:val="0"/>
        <w:spacing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（2）招标文件第四章评标方法及标准要求的其他相关资料。</w:t>
      </w:r>
    </w:p>
    <w:sectPr>
      <w:pgSz w:w="11906" w:h="16838"/>
      <w:pgMar w:top="1474" w:right="1474" w:bottom="1474"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imesNewRomanPSMT">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Trebuchet MS">
    <w:panose1 w:val="020B0603020202020204"/>
    <w:charset w:val="00"/>
    <w:family w:val="swiss"/>
    <w:pitch w:val="default"/>
    <w:sig w:usb0="00000687" w:usb1="00000000" w:usb2="00000000" w:usb3="00000000" w:csb0="2000009F" w:csb1="00000000"/>
  </w:font>
  <w:font w:name="FuturaA Bk BT">
    <w:altName w:val="DejaVu Math TeX Gyre"/>
    <w:panose1 w:val="00000000000000000000"/>
    <w:charset w:val="00"/>
    <w:family w:val="swiss"/>
    <w:pitch w:val="default"/>
    <w:sig w:usb0="00000000" w:usb1="00000000" w:usb2="00000000" w:usb3="00000000" w:csb0="0000001B" w:csb1="00000000"/>
  </w:font>
  <w:font w:name="DejaVu Math TeX Gyre">
    <w:panose1 w:val="02000503000000000000"/>
    <w:charset w:val="00"/>
    <w:family w:val="auto"/>
    <w:pitch w:val="default"/>
    <w:sig w:usb0="A10000EF" w:usb1="4201F9EE" w:usb2="02000000" w:usb3="00000000" w:csb0="60000193" w:csb1="0DD40000"/>
  </w:font>
  <w:font w:name="微软雅黑">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华文宋体">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Kingsoft UE">
    <w:panose1 w:val="02000100010000000000"/>
    <w:charset w:val="00"/>
    <w:family w:val="auto"/>
    <w:pitch w:val="default"/>
    <w:sig w:usb0="00000001" w:usb1="00004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E25DE">
    <w:pPr>
      <w:pStyle w:val="29"/>
      <w:ind w:left="180" w:right="359" w:rightChars="171" w:hanging="180" w:hangingChars="100"/>
      <w:rPr>
        <w:rFonts w:eastAsia="楷体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B16485E">
                          <w:pPr>
                            <w:pStyle w:val="29"/>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wps:txbx>
                    <wps:bodyPr wrap="none" lIns="0" tIns="0" rIns="0" bIns="0" upright="1">
                      <a:spAutoFit/>
                    </wps:bodyPr>
                  </wps:wsp>
                </a:graphicData>
              </a:graphic>
            </wp:anchor>
          </w:drawing>
        </mc:Choice>
        <mc:Fallback>
          <w:pict>
            <v:shape id="Text Box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D3zk5avQEAAKYDAAAOAAAAAAAAAAEAIAAAAB4BAABkcnMvZTJvRG9jLnhtbFBLBQYAAAAA&#10;BgAGAFkBAABNBQAAAAA=&#10;">
              <v:fill on="f" focussize="0,0"/>
              <v:stroke on="f"/>
              <v:imagedata o:title=""/>
              <o:lock v:ext="edit" aspectratio="f"/>
              <v:textbox inset="0mm,0mm,0mm,0mm" style="mso-fit-shape-to-text:t;">
                <w:txbxContent>
                  <w:p w14:paraId="1B16485E">
                    <w:pPr>
                      <w:pStyle w:val="29"/>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4FD46">
    <w:pPr>
      <w:spacing w:line="238" w:lineRule="auto"/>
      <w:ind w:left="4243" w:firstLine="400" w:firstLineChars="200"/>
      <w:rPr>
        <w:rFonts w:ascii="宋体" w:hAnsi="宋体" w:eastAsia="宋体" w:cs="宋体"/>
        <w:sz w:val="20"/>
        <w:szCs w:val="20"/>
      </w:rPr>
    </w:pPr>
    <w:r>
      <w:rPr>
        <w:rFonts w:ascii="宋体" w:hAnsi="宋体" w:eastAsia="宋体" w:cs="宋体"/>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60AE2">
                          <w:pPr>
                            <w:widowControl w:val="0"/>
                            <w:tabs>
                              <w:tab w:val="center" w:pos="4153"/>
                              <w:tab w:val="right" w:pos="8306"/>
                            </w:tabs>
                            <w:snapToGrid w:val="0"/>
                            <w:spacing w:line="240" w:lineRule="auto"/>
                            <w:ind w:firstLine="0" w:firstLineChars="0"/>
                            <w:jc w:val="left"/>
                            <w:rPr>
                              <w:rFonts w:ascii="Times New Roman" w:hAnsi="Times New Roman" w:eastAsia="宋体" w:cs="宋体"/>
                              <w:kern w:val="2"/>
                              <w:sz w:val="18"/>
                              <w:szCs w:val="18"/>
                              <w:lang w:val="en-US" w:eastAsia="zh-CN" w:bidi="ar-SA"/>
                            </w:rPr>
                          </w:pPr>
                          <w:r>
                            <w:rPr>
                              <w:rFonts w:ascii="Times New Roman" w:hAnsi="Times New Roman" w:eastAsia="宋体" w:cs="宋体"/>
                              <w:kern w:val="2"/>
                              <w:sz w:val="18"/>
                              <w:szCs w:val="18"/>
                              <w:lang w:val="en-US" w:eastAsia="zh-CN" w:bidi="ar-SA"/>
                            </w:rPr>
                            <w:fldChar w:fldCharType="begin"/>
                          </w:r>
                          <w:r>
                            <w:rPr>
                              <w:rFonts w:ascii="Times New Roman" w:hAnsi="Times New Roman" w:eastAsia="宋体" w:cs="宋体"/>
                              <w:kern w:val="2"/>
                              <w:sz w:val="18"/>
                              <w:szCs w:val="18"/>
                              <w:lang w:val="en-US" w:eastAsia="zh-CN" w:bidi="ar-SA"/>
                            </w:rPr>
                            <w:instrText xml:space="preserve"> PAGE  \* MERGEFORMAT </w:instrText>
                          </w:r>
                          <w:r>
                            <w:rPr>
                              <w:rFonts w:ascii="Times New Roman" w:hAnsi="Times New Roman" w:eastAsia="宋体" w:cs="宋体"/>
                              <w:kern w:val="2"/>
                              <w:sz w:val="18"/>
                              <w:szCs w:val="18"/>
                              <w:lang w:val="en-US" w:eastAsia="zh-CN" w:bidi="ar-SA"/>
                            </w:rPr>
                            <w:fldChar w:fldCharType="separate"/>
                          </w:r>
                          <w:r>
                            <w:rPr>
                              <w:rFonts w:ascii="Times New Roman" w:hAnsi="Times New Roman" w:eastAsia="宋体" w:cs="宋体"/>
                              <w:kern w:val="2"/>
                              <w:sz w:val="18"/>
                              <w:szCs w:val="18"/>
                              <w:lang w:val="en-US" w:eastAsia="zh-CN" w:bidi="ar-SA"/>
                            </w:rPr>
                            <w:t>32</w:t>
                          </w:r>
                          <w:r>
                            <w:rPr>
                              <w:rFonts w:ascii="Times New Roman" w:hAnsi="Times New Roman" w:eastAsia="宋体" w:cs="宋体"/>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6CiY6AgAAcQQAAA4AAABkcnMvZTJvRG9jLnhtbK1UzY7TMBC+I/EO&#10;lu80aRd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pkQzhY6fvn87&#10;/fh1+vmV4A4CtdbPEPdgERm6t6bD2Az3HpeRd1c5FX/BiMAPeY8XeUUXCI+PppPpNIeLwzccgJ89&#10;PrfOh3fCKBKNgjr0L8nKDhsf+tAhJGbTZt1ImXooNWkLen31J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HugomOgIAAHEEAAAOAAAAAAAAAAEAIAAAAB8BAABkcnMvZTJvRG9j&#10;LnhtbFBLBQYAAAAABgAGAFkBAADLBQAAAAA=&#10;">
              <v:fill on="f" focussize="0,0"/>
              <v:stroke on="f" weight="0.5pt"/>
              <v:imagedata o:title=""/>
              <o:lock v:ext="edit" aspectratio="f"/>
              <v:textbox inset="0mm,0mm,0mm,0mm" style="mso-fit-shape-to-text:t;">
                <w:txbxContent>
                  <w:p w14:paraId="76D60AE2">
                    <w:pPr>
                      <w:widowControl w:val="0"/>
                      <w:tabs>
                        <w:tab w:val="center" w:pos="4153"/>
                        <w:tab w:val="right" w:pos="8306"/>
                      </w:tabs>
                      <w:snapToGrid w:val="0"/>
                      <w:spacing w:line="240" w:lineRule="auto"/>
                      <w:ind w:firstLine="0" w:firstLineChars="0"/>
                      <w:jc w:val="left"/>
                      <w:rPr>
                        <w:rFonts w:ascii="Times New Roman" w:hAnsi="Times New Roman" w:eastAsia="宋体" w:cs="宋体"/>
                        <w:kern w:val="2"/>
                        <w:sz w:val="18"/>
                        <w:szCs w:val="18"/>
                        <w:lang w:val="en-US" w:eastAsia="zh-CN" w:bidi="ar-SA"/>
                      </w:rPr>
                    </w:pPr>
                    <w:r>
                      <w:rPr>
                        <w:rFonts w:ascii="Times New Roman" w:hAnsi="Times New Roman" w:eastAsia="宋体" w:cs="宋体"/>
                        <w:kern w:val="2"/>
                        <w:sz w:val="18"/>
                        <w:szCs w:val="18"/>
                        <w:lang w:val="en-US" w:eastAsia="zh-CN" w:bidi="ar-SA"/>
                      </w:rPr>
                      <w:fldChar w:fldCharType="begin"/>
                    </w:r>
                    <w:r>
                      <w:rPr>
                        <w:rFonts w:ascii="Times New Roman" w:hAnsi="Times New Roman" w:eastAsia="宋体" w:cs="宋体"/>
                        <w:kern w:val="2"/>
                        <w:sz w:val="18"/>
                        <w:szCs w:val="18"/>
                        <w:lang w:val="en-US" w:eastAsia="zh-CN" w:bidi="ar-SA"/>
                      </w:rPr>
                      <w:instrText xml:space="preserve"> PAGE  \* MERGEFORMAT </w:instrText>
                    </w:r>
                    <w:r>
                      <w:rPr>
                        <w:rFonts w:ascii="Times New Roman" w:hAnsi="Times New Roman" w:eastAsia="宋体" w:cs="宋体"/>
                        <w:kern w:val="2"/>
                        <w:sz w:val="18"/>
                        <w:szCs w:val="18"/>
                        <w:lang w:val="en-US" w:eastAsia="zh-CN" w:bidi="ar-SA"/>
                      </w:rPr>
                      <w:fldChar w:fldCharType="separate"/>
                    </w:r>
                    <w:r>
                      <w:rPr>
                        <w:rFonts w:ascii="Times New Roman" w:hAnsi="Times New Roman" w:eastAsia="宋体" w:cs="宋体"/>
                        <w:kern w:val="2"/>
                        <w:sz w:val="18"/>
                        <w:szCs w:val="18"/>
                        <w:lang w:val="en-US" w:eastAsia="zh-CN" w:bidi="ar-SA"/>
                      </w:rPr>
                      <w:t>32</w:t>
                    </w:r>
                    <w:r>
                      <w:rPr>
                        <w:rFonts w:ascii="Times New Roman" w:hAnsi="Times New Roman" w:eastAsia="宋体" w:cs="宋体"/>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AB78B">
    <w:pPr>
      <w:spacing w:line="238" w:lineRule="auto"/>
      <w:ind w:left="4240" w:firstLine="400" w:firstLineChars="200"/>
      <w:rPr>
        <w:rFonts w:ascii="宋体" w:hAnsi="宋体" w:eastAsia="宋体" w:cs="宋体"/>
        <w:sz w:val="20"/>
        <w:szCs w:val="20"/>
      </w:rPr>
    </w:pPr>
    <w:r>
      <w:rPr>
        <w:rFonts w:ascii="宋体" w:hAnsi="宋体" w:eastAsia="宋体" w:cs="宋体"/>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3BEA16">
                          <w:pPr>
                            <w:widowControl w:val="0"/>
                            <w:tabs>
                              <w:tab w:val="center" w:pos="4153"/>
                              <w:tab w:val="right" w:pos="8306"/>
                            </w:tabs>
                            <w:snapToGrid w:val="0"/>
                            <w:spacing w:line="240" w:lineRule="auto"/>
                            <w:ind w:firstLine="0" w:firstLineChars="0"/>
                            <w:jc w:val="left"/>
                            <w:rPr>
                              <w:rFonts w:ascii="Times New Roman" w:hAnsi="Times New Roman" w:eastAsia="宋体" w:cs="宋体"/>
                              <w:kern w:val="2"/>
                              <w:sz w:val="18"/>
                              <w:szCs w:val="18"/>
                              <w:lang w:val="en-US" w:eastAsia="zh-CN" w:bidi="ar-SA"/>
                            </w:rPr>
                          </w:pPr>
                          <w:r>
                            <w:rPr>
                              <w:rFonts w:ascii="Times New Roman" w:hAnsi="Times New Roman" w:eastAsia="宋体" w:cs="宋体"/>
                              <w:kern w:val="2"/>
                              <w:sz w:val="18"/>
                              <w:szCs w:val="18"/>
                              <w:lang w:val="en-US" w:eastAsia="zh-CN" w:bidi="ar-SA"/>
                            </w:rPr>
                            <w:fldChar w:fldCharType="begin"/>
                          </w:r>
                          <w:r>
                            <w:rPr>
                              <w:rFonts w:ascii="Times New Roman" w:hAnsi="Times New Roman" w:eastAsia="宋体" w:cs="宋体"/>
                              <w:kern w:val="2"/>
                              <w:sz w:val="18"/>
                              <w:szCs w:val="18"/>
                              <w:lang w:val="en-US" w:eastAsia="zh-CN" w:bidi="ar-SA"/>
                            </w:rPr>
                            <w:instrText xml:space="preserve"> PAGE  \* MERGEFORMAT </w:instrText>
                          </w:r>
                          <w:r>
                            <w:rPr>
                              <w:rFonts w:ascii="Times New Roman" w:hAnsi="Times New Roman" w:eastAsia="宋体" w:cs="宋体"/>
                              <w:kern w:val="2"/>
                              <w:sz w:val="18"/>
                              <w:szCs w:val="18"/>
                              <w:lang w:val="en-US" w:eastAsia="zh-CN" w:bidi="ar-SA"/>
                            </w:rPr>
                            <w:fldChar w:fldCharType="separate"/>
                          </w:r>
                          <w:r>
                            <w:rPr>
                              <w:rFonts w:ascii="Times New Roman" w:hAnsi="Times New Roman" w:eastAsia="宋体" w:cs="宋体"/>
                              <w:kern w:val="2"/>
                              <w:sz w:val="18"/>
                              <w:szCs w:val="18"/>
                              <w:lang w:val="en-US" w:eastAsia="zh-CN" w:bidi="ar-SA"/>
                            </w:rPr>
                            <w:t>68</w:t>
                          </w:r>
                          <w:r>
                            <w:rPr>
                              <w:rFonts w:ascii="Times New Roman" w:hAnsi="Times New Roman" w:eastAsia="宋体" w:cs="宋体"/>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IQGM6AgAAcQ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mCEBjOgIAAHEEAAAOAAAAAAAAAAEAIAAAAB8BAABkcnMvZTJvRG9j&#10;LnhtbFBLBQYAAAAABgAGAFkBAADLBQAAAAA=&#10;">
              <v:fill on="f" focussize="0,0"/>
              <v:stroke on="f" weight="0.5pt"/>
              <v:imagedata o:title=""/>
              <o:lock v:ext="edit" aspectratio="f"/>
              <v:textbox inset="0mm,0mm,0mm,0mm" style="mso-fit-shape-to-text:t;">
                <w:txbxContent>
                  <w:p w14:paraId="143BEA16">
                    <w:pPr>
                      <w:widowControl w:val="0"/>
                      <w:tabs>
                        <w:tab w:val="center" w:pos="4153"/>
                        <w:tab w:val="right" w:pos="8306"/>
                      </w:tabs>
                      <w:snapToGrid w:val="0"/>
                      <w:spacing w:line="240" w:lineRule="auto"/>
                      <w:ind w:firstLine="0" w:firstLineChars="0"/>
                      <w:jc w:val="left"/>
                      <w:rPr>
                        <w:rFonts w:ascii="Times New Roman" w:hAnsi="Times New Roman" w:eastAsia="宋体" w:cs="宋体"/>
                        <w:kern w:val="2"/>
                        <w:sz w:val="18"/>
                        <w:szCs w:val="18"/>
                        <w:lang w:val="en-US" w:eastAsia="zh-CN" w:bidi="ar-SA"/>
                      </w:rPr>
                    </w:pPr>
                    <w:r>
                      <w:rPr>
                        <w:rFonts w:ascii="Times New Roman" w:hAnsi="Times New Roman" w:eastAsia="宋体" w:cs="宋体"/>
                        <w:kern w:val="2"/>
                        <w:sz w:val="18"/>
                        <w:szCs w:val="18"/>
                        <w:lang w:val="en-US" w:eastAsia="zh-CN" w:bidi="ar-SA"/>
                      </w:rPr>
                      <w:fldChar w:fldCharType="begin"/>
                    </w:r>
                    <w:r>
                      <w:rPr>
                        <w:rFonts w:ascii="Times New Roman" w:hAnsi="Times New Roman" w:eastAsia="宋体" w:cs="宋体"/>
                        <w:kern w:val="2"/>
                        <w:sz w:val="18"/>
                        <w:szCs w:val="18"/>
                        <w:lang w:val="en-US" w:eastAsia="zh-CN" w:bidi="ar-SA"/>
                      </w:rPr>
                      <w:instrText xml:space="preserve"> PAGE  \* MERGEFORMAT </w:instrText>
                    </w:r>
                    <w:r>
                      <w:rPr>
                        <w:rFonts w:ascii="Times New Roman" w:hAnsi="Times New Roman" w:eastAsia="宋体" w:cs="宋体"/>
                        <w:kern w:val="2"/>
                        <w:sz w:val="18"/>
                        <w:szCs w:val="18"/>
                        <w:lang w:val="en-US" w:eastAsia="zh-CN" w:bidi="ar-SA"/>
                      </w:rPr>
                      <w:fldChar w:fldCharType="separate"/>
                    </w:r>
                    <w:r>
                      <w:rPr>
                        <w:rFonts w:ascii="Times New Roman" w:hAnsi="Times New Roman" w:eastAsia="宋体" w:cs="宋体"/>
                        <w:kern w:val="2"/>
                        <w:sz w:val="18"/>
                        <w:szCs w:val="18"/>
                        <w:lang w:val="en-US" w:eastAsia="zh-CN" w:bidi="ar-SA"/>
                      </w:rPr>
                      <w:t>68</w:t>
                    </w:r>
                    <w:r>
                      <w:rPr>
                        <w:rFonts w:ascii="Times New Roman" w:hAnsi="Times New Roman" w:eastAsia="宋体" w:cs="宋体"/>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A7B18">
    <w:pPr>
      <w:pStyle w:val="29"/>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818F2DE">
                          <w:pPr>
                            <w:pStyle w:val="29"/>
                          </w:pPr>
                          <w:r>
                            <w:fldChar w:fldCharType="begin"/>
                          </w:r>
                          <w:r>
                            <w:instrText xml:space="preserve"> PAGE  \* MERGEFORMAT </w:instrText>
                          </w:r>
                          <w:r>
                            <w:fldChar w:fldCharType="separate"/>
                          </w:r>
                          <w:r>
                            <w:t>- 149 -</w:t>
                          </w:r>
                          <w:r>
                            <w:fldChar w:fldCharType="end"/>
                          </w:r>
                        </w:p>
                      </w:txbxContent>
                    </wps:txbx>
                    <wps:bodyPr wrap="none" lIns="0" tIns="0" rIns="0" bIns="0" upright="1">
                      <a:spAutoFit/>
                    </wps:bodyPr>
                  </wps:wsp>
                </a:graphicData>
              </a:graphic>
            </wp:anchor>
          </w:drawing>
        </mc:Choice>
        <mc:Fallback>
          <w:pict>
            <v:shape id="Text Box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AGrVSivQEAAKYDAAAOAAAAAAAAAAEAIAAAAB4BAABkcnMvZTJvRG9jLnhtbFBLBQYAAAAA&#10;BgAGAFkBAABNBQAAAAA=&#10;">
              <v:fill on="f" focussize="0,0"/>
              <v:stroke on="f"/>
              <v:imagedata o:title=""/>
              <o:lock v:ext="edit" aspectratio="f"/>
              <v:textbox inset="0mm,0mm,0mm,0mm" style="mso-fit-shape-to-text:t;">
                <w:txbxContent>
                  <w:p w14:paraId="5818F2DE">
                    <w:pPr>
                      <w:pStyle w:val="29"/>
                    </w:pPr>
                    <w:r>
                      <w:fldChar w:fldCharType="begin"/>
                    </w:r>
                    <w:r>
                      <w:instrText xml:space="preserve"> PAGE  \* MERGEFORMAT </w:instrText>
                    </w:r>
                    <w:r>
                      <w:fldChar w:fldCharType="separate"/>
                    </w:r>
                    <w:r>
                      <w:t>- 149 -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1DE9E">
    <w:pPr>
      <w:pStyle w:val="29"/>
      <w:ind w:left="180" w:right="359" w:rightChars="171" w:hanging="180" w:hangingChars="100"/>
      <w:rPr>
        <w:rFonts w:eastAsia="楷体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D9A019A">
                          <w:pPr>
                            <w:pStyle w:val="29"/>
                          </w:pPr>
                          <w:r>
                            <w:fldChar w:fldCharType="begin"/>
                          </w:r>
                          <w:r>
                            <w:instrText xml:space="preserve"> PAGE  \* MERGEFORMAT </w:instrText>
                          </w:r>
                          <w:r>
                            <w:fldChar w:fldCharType="separate"/>
                          </w:r>
                          <w:r>
                            <w:t>- 160 -</w:t>
                          </w:r>
                          <w:r>
                            <w:fldChar w:fldCharType="end"/>
                          </w:r>
                        </w:p>
                      </w:txbxContent>
                    </wps:txbx>
                    <wps:bodyPr wrap="none" lIns="0" tIns="0" rIns="0" bIns="0" upright="1">
                      <a:spAutoFit/>
                    </wps:bodyPr>
                  </wps:wsp>
                </a:graphicData>
              </a:graphic>
            </wp:anchor>
          </w:drawing>
        </mc:Choice>
        <mc:Fallback>
          <w:pict>
            <v:shape id="Text Box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CMvb7gvQEAAKYDAAAOAAAAAAAAAAEAIAAAAB4BAABkcnMvZTJvRG9jLnhtbFBLBQYAAAAA&#10;BgAGAFkBAABNBQAAAAA=&#10;">
              <v:fill on="f" focussize="0,0"/>
              <v:stroke on="f"/>
              <v:imagedata o:title=""/>
              <o:lock v:ext="edit" aspectratio="f"/>
              <v:textbox inset="0mm,0mm,0mm,0mm" style="mso-fit-shape-to-text:t;">
                <w:txbxContent>
                  <w:p w14:paraId="5D9A019A">
                    <w:pPr>
                      <w:pStyle w:val="29"/>
                    </w:pPr>
                    <w:r>
                      <w:fldChar w:fldCharType="begin"/>
                    </w:r>
                    <w:r>
                      <w:instrText xml:space="preserve"> PAGE  \* MERGEFORMAT </w:instrText>
                    </w:r>
                    <w:r>
                      <w:fldChar w:fldCharType="separate"/>
                    </w:r>
                    <w:r>
                      <w:t>- 160 -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4BE4A">
    <w:pPr>
      <w:pStyle w:val="3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D4140">
    <w:pPr>
      <w:pStyle w:val="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E7285">
    <w:pPr>
      <w:spacing w:before="56" w:line="227" w:lineRule="auto"/>
      <w:ind w:left="1874" w:firstLine="400" w:firstLineChars="200"/>
      <w:rPr>
        <w:rFonts w:ascii="宋体" w:hAnsi="宋体" w:eastAsia="宋体" w:cs="宋体"/>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B6D0F">
    <w:pPr>
      <w:spacing w:before="56" w:line="227" w:lineRule="auto"/>
      <w:ind w:left="1874" w:firstLine="400" w:firstLineChars="200"/>
      <w:rPr>
        <w:rFonts w:ascii="宋体" w:hAnsi="宋体" w:eastAsia="宋体" w:cs="宋体"/>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69CF9">
    <w:pPr>
      <w:pStyle w:val="3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5AA2C">
    <w:pPr>
      <w:pStyle w:val="3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01333">
    <w:pPr>
      <w:pStyle w:val="3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5EAFC">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342F25"/>
    <w:multiLevelType w:val="singleLevel"/>
    <w:tmpl w:val="A4342F25"/>
    <w:lvl w:ilvl="0" w:tentative="0">
      <w:start w:val="1"/>
      <w:numFmt w:val="chineseCounting"/>
      <w:suff w:val="nothing"/>
      <w:lvlText w:val="%1、"/>
      <w:lvlJc w:val="left"/>
      <w:rPr>
        <w:rFonts w:hint="eastAsia"/>
      </w:rPr>
    </w:lvl>
  </w:abstractNum>
  <w:abstractNum w:abstractNumId="1">
    <w:nsid w:val="B2D311BD"/>
    <w:multiLevelType w:val="singleLevel"/>
    <w:tmpl w:val="B2D311BD"/>
    <w:lvl w:ilvl="0" w:tentative="0">
      <w:start w:val="8"/>
      <w:numFmt w:val="chineseCounting"/>
      <w:suff w:val="nothing"/>
      <w:lvlText w:val="%1、"/>
      <w:lvlJc w:val="left"/>
      <w:rPr>
        <w:rFonts w:hint="eastAsia"/>
      </w:rPr>
    </w:lvl>
  </w:abstractNum>
  <w:abstractNum w:abstractNumId="2">
    <w:nsid w:val="C0888B26"/>
    <w:multiLevelType w:val="singleLevel"/>
    <w:tmpl w:val="C0888B26"/>
    <w:lvl w:ilvl="0" w:tentative="0">
      <w:start w:val="4"/>
      <w:numFmt w:val="decimal"/>
      <w:suff w:val="nothing"/>
      <w:lvlText w:val="%1、"/>
      <w:lvlJc w:val="left"/>
    </w:lvl>
  </w:abstractNum>
  <w:abstractNum w:abstractNumId="3">
    <w:nsid w:val="0B5B4ACB"/>
    <w:multiLevelType w:val="multilevel"/>
    <w:tmpl w:val="0B5B4ACB"/>
    <w:lvl w:ilvl="0" w:tentative="0">
      <w:start w:val="1"/>
      <w:numFmt w:val="decimal"/>
      <w:lvlText w:val="第%1章 "/>
      <w:lvlJc w:val="left"/>
      <w:pPr>
        <w:ind w:left="432" w:hanging="432"/>
      </w:pPr>
      <w:rPr>
        <w:rFonts w:hint="eastAsia" w:ascii="黑体" w:eastAsia="黑体"/>
        <w:b/>
        <w:i w:val="0"/>
        <w:sz w:val="32"/>
      </w:rPr>
    </w:lvl>
    <w:lvl w:ilvl="1" w:tentative="0">
      <w:start w:val="1"/>
      <w:numFmt w:val="decimal"/>
      <w:lvlText w:val="%1.%2"/>
      <w:lvlJc w:val="left"/>
      <w:pPr>
        <w:ind w:left="576" w:hanging="576"/>
      </w:pPr>
      <w:rPr>
        <w:rFonts w:hint="eastAsia" w:ascii="黑体" w:eastAsia="黑体"/>
        <w:b/>
        <w:i w:val="0"/>
        <w:sz w:val="28"/>
      </w:rPr>
    </w:lvl>
    <w:lvl w:ilvl="2" w:tentative="0">
      <w:start w:val="1"/>
      <w:numFmt w:val="decimal"/>
      <w:lvlText w:val="%1.%2.%3"/>
      <w:lvlJc w:val="left"/>
      <w:pPr>
        <w:ind w:left="720" w:hanging="720"/>
      </w:pPr>
      <w:rPr>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64" w:hanging="864"/>
      </w:pPr>
      <w:rPr>
        <w:b w:val="0"/>
        <w:bCs w:val="0"/>
        <w:i w:val="0"/>
        <w:iCs w:val="0"/>
        <w:caps w:val="0"/>
        <w:smallCaps w:val="0"/>
        <w:strike w:val="0"/>
        <w:dstrike w:val="0"/>
        <w:outline w:val="0"/>
        <w:shadow w:val="0"/>
        <w:emboss w:val="0"/>
        <w:imprint w:val="0"/>
        <w:vanish w:val="0"/>
        <w:spacing w:val="0"/>
        <w:position w:val="0"/>
        <w:u w:val="none"/>
        <w:vertAlign w:val="baseline"/>
      </w:rPr>
    </w:lvl>
    <w:lvl w:ilvl="4" w:tentative="0">
      <w:start w:val="1"/>
      <w:numFmt w:val="decimal"/>
      <w:lvlText w:val="%1.%2.%3.%4.%5"/>
      <w:lvlJc w:val="left"/>
      <w:pPr>
        <w:ind w:left="1008" w:hanging="1008"/>
      </w:pPr>
      <w:rPr>
        <w:b w:val="0"/>
        <w:bCs w:val="0"/>
        <w:i w:val="0"/>
        <w:iCs w:val="0"/>
        <w:caps w:val="0"/>
        <w:smallCaps w:val="0"/>
        <w:strike w:val="0"/>
        <w:dstrike w:val="0"/>
        <w:outline w:val="0"/>
        <w:shadow w:val="0"/>
        <w:emboss w:val="0"/>
        <w:imprint w:val="0"/>
        <w:vanish w:val="0"/>
        <w:spacing w:val="0"/>
        <w:position w:val="0"/>
        <w:u w:val="none"/>
        <w:vertAlign w:val="baseline"/>
      </w:rPr>
    </w:lvl>
    <w:lvl w:ilvl="5" w:tentative="0">
      <w:start w:val="1"/>
      <w:numFmt w:val="decimal"/>
      <w:lvlText w:val="%1.%2.%3.%4.%5.%6"/>
      <w:lvlJc w:val="left"/>
      <w:pPr>
        <w:ind w:left="1152" w:hanging="1152"/>
      </w:pPr>
      <w:rPr>
        <w:b w:val="0"/>
        <w:bCs w:val="0"/>
        <w:i w:val="0"/>
        <w:iCs w:val="0"/>
        <w:caps w:val="0"/>
        <w:smallCaps w:val="0"/>
        <w:strike w:val="0"/>
        <w:dstrike w:val="0"/>
        <w:outline w:val="0"/>
        <w:shadow w:val="0"/>
        <w:emboss w:val="0"/>
        <w:imprint w:val="0"/>
        <w:vanish w:val="0"/>
        <w:spacing w:val="0"/>
        <w:position w:val="0"/>
        <w:u w:val="none"/>
        <w:vertAlign w:val="baseline"/>
      </w:rPr>
    </w:lvl>
    <w:lvl w:ilvl="6" w:tentative="0">
      <w:start w:val="1"/>
      <w:numFmt w:val="decimal"/>
      <w:lvlText w:val="%7）"/>
      <w:lvlJc w:val="left"/>
      <w:pPr>
        <w:ind w:left="360" w:hanging="360"/>
      </w:pPr>
      <w:rPr>
        <w:rFonts w:hint="default"/>
      </w:rPr>
    </w:lvl>
    <w:lvl w:ilvl="7" w:tentative="0">
      <w:start w:val="1"/>
      <w:numFmt w:val="japaneseCounting"/>
      <w:lvlText w:val="（%8）"/>
      <w:lvlJc w:val="left"/>
      <w:pPr>
        <w:ind w:left="720" w:hanging="720"/>
      </w:pPr>
      <w:rPr>
        <w:rFonts w:hint="default"/>
      </w:rPr>
    </w:lvl>
    <w:lvl w:ilvl="8" w:tentative="0">
      <w:start w:val="1"/>
      <w:numFmt w:val="decimal"/>
      <w:lvlText w:val="%1.%2.%3.%4.%5.%6.%7.%8.%9"/>
      <w:lvlJc w:val="left"/>
      <w:pPr>
        <w:ind w:left="1584" w:hanging="1584"/>
      </w:pPr>
      <w:rPr>
        <w:rFonts w:hint="eastAsia"/>
      </w:rPr>
    </w:lvl>
  </w:abstractNum>
  <w:abstractNum w:abstractNumId="4">
    <w:nsid w:val="10DFA30E"/>
    <w:multiLevelType w:val="singleLevel"/>
    <w:tmpl w:val="10DFA30E"/>
    <w:lvl w:ilvl="0" w:tentative="0">
      <w:start w:val="4"/>
      <w:numFmt w:val="decimal"/>
      <w:suff w:val="space"/>
      <w:lvlText w:val="%1."/>
      <w:lvlJc w:val="left"/>
    </w:lvl>
  </w:abstractNum>
  <w:abstractNum w:abstractNumId="5">
    <w:nsid w:val="2233E86A"/>
    <w:multiLevelType w:val="multilevel"/>
    <w:tmpl w:val="2233E86A"/>
    <w:lvl w:ilvl="0" w:tentative="0">
      <w:start w:val="1"/>
      <w:numFmt w:val="chineseCountingThousand"/>
      <w:suff w:val="space"/>
      <w:lvlText w:val="第%1章"/>
      <w:lvlJc w:val="left"/>
      <w:pPr>
        <w:ind w:left="0" w:firstLine="0"/>
      </w:pPr>
      <w:rPr>
        <w:rFonts w:hint="eastAsia" w:ascii="Times New Roman" w:hAnsi="Times New Roman" w:eastAsia="黑体"/>
        <w:b/>
        <w:i w:val="0"/>
        <w:sz w:val="44"/>
      </w:rPr>
    </w:lvl>
    <w:lvl w:ilvl="1" w:tentative="0">
      <w:start w:val="1"/>
      <w:numFmt w:val="decimal"/>
      <w:isLgl/>
      <w:lvlText w:val="%1.%2 "/>
      <w:lvlJc w:val="left"/>
      <w:pPr>
        <w:tabs>
          <w:tab w:val="left" w:pos="851"/>
        </w:tabs>
        <w:ind w:left="851" w:hanging="851"/>
      </w:pPr>
      <w:rPr>
        <w:rFonts w:hint="default" w:ascii="黑体" w:hAnsi="黑体" w:eastAsia="黑体"/>
        <w:b/>
        <w:i w:val="0"/>
        <w:sz w:val="24"/>
        <w:szCs w:val="24"/>
      </w:rPr>
    </w:lvl>
    <w:lvl w:ilvl="2" w:tentative="0">
      <w:start w:val="1"/>
      <w:numFmt w:val="decimal"/>
      <w:isLgl/>
      <w:suff w:val="space"/>
      <w:lvlText w:val="%1.%2.%3 "/>
      <w:lvlJc w:val="left"/>
      <w:pPr>
        <w:tabs>
          <w:tab w:val="left" w:pos="0"/>
        </w:tabs>
        <w:ind w:left="420" w:leftChars="0" w:hanging="180" w:firstLineChars="0"/>
      </w:pPr>
      <w:rPr>
        <w:rFonts w:hint="eastAsia" w:ascii="黑体" w:hAnsi="黑体" w:eastAsia="黑体" w:cs="Times New Roman"/>
        <w:b/>
        <w:bCs w:val="0"/>
        <w:i w:val="0"/>
        <w:iCs w:val="0"/>
        <w:caps w:val="0"/>
        <w:smallCaps w:val="0"/>
        <w:strike w:val="0"/>
        <w:dstrike w:val="0"/>
        <w:vanish w:val="0"/>
        <w:spacing w:val="0"/>
        <w:position w:val="0"/>
        <w:u w:val="none"/>
        <w:vertAlign w:val="baseline"/>
        <w14:ligatures w14:val="none"/>
        <w14:numForm w14:val="default"/>
        <w14:numSpacing w14:val="default"/>
      </w:rPr>
    </w:lvl>
    <w:lvl w:ilvl="3" w:tentative="0">
      <w:start w:val="1"/>
      <w:numFmt w:val="decimal"/>
      <w:isLgl/>
      <w:lvlText w:val="%1.%2.%3.%4 "/>
      <w:lvlJc w:val="left"/>
      <w:pPr>
        <w:tabs>
          <w:tab w:val="left" w:pos="1304"/>
        </w:tabs>
        <w:ind w:left="420" w:leftChars="0" w:hanging="23" w:firstLineChars="0"/>
      </w:pPr>
      <w:rPr>
        <w:rFonts w:hint="default" w:ascii="黑体" w:hAnsi="黑体" w:eastAsia="黑体" w:cs="Times New Roman"/>
        <w:b/>
        <w:bCs w:val="0"/>
        <w:i w:val="0"/>
        <w:iCs w:val="0"/>
        <w:caps w:val="0"/>
        <w:smallCaps w:val="0"/>
        <w:strike w:val="0"/>
        <w:dstrike w:val="0"/>
        <w:vanish w:val="0"/>
        <w:color w:val="000000"/>
        <w:spacing w:val="0"/>
        <w:position w:val="0"/>
        <w:sz w:val="24"/>
        <w:szCs w:val="24"/>
        <w:u w:val="none"/>
        <w:vertAlign w:val="baseline"/>
      </w:rPr>
    </w:lvl>
    <w:lvl w:ilvl="4" w:tentative="0">
      <w:start w:val="1"/>
      <w:numFmt w:val="decimal"/>
      <w:isLgl/>
      <w:lvlText w:val="%1.%2.%3.%4.%5"/>
      <w:lvlJc w:val="left"/>
      <w:pPr>
        <w:tabs>
          <w:tab w:val="left" w:pos="1531"/>
        </w:tabs>
        <w:ind w:left="0" w:firstLine="0"/>
      </w:pPr>
      <w:rPr>
        <w:rFonts w:hint="eastAsia" w:ascii="黑体" w:hAnsi="黑体" w:eastAsia="黑体" w:cs="Arial"/>
        <w:b/>
        <w:bCs w:val="0"/>
        <w:i w:val="0"/>
        <w:iCs w:val="0"/>
        <w:caps w:val="0"/>
        <w:smallCaps w:val="0"/>
        <w:strike w:val="0"/>
        <w:dstrike w:val="0"/>
        <w:vanish w:val="0"/>
        <w:color w:val="000000"/>
        <w:spacing w:val="0"/>
        <w:position w:val="0"/>
        <w:sz w:val="28"/>
        <w:szCs w:val="32"/>
        <w:u w:val="none"/>
        <w:vertAlign w:val="baseline"/>
      </w:rPr>
    </w:lvl>
    <w:lvl w:ilvl="5" w:tentative="0">
      <w:start w:val="1"/>
      <w:numFmt w:val="decimal"/>
      <w:isLgl/>
      <w:lvlText w:val="%1.%2.%3.%4.%5.%6"/>
      <w:lvlJc w:val="left"/>
      <w:pPr>
        <w:tabs>
          <w:tab w:val="left" w:pos="1758"/>
        </w:tabs>
        <w:ind w:left="0" w:firstLine="0"/>
      </w:pPr>
      <w:rPr>
        <w:rFonts w:hint="eastAsia" w:ascii="Times New Roman" w:hAnsi="Times New Roman" w:eastAsia="黑体" w:cs="Times New Roman"/>
        <w:b/>
        <w:bCs w:val="0"/>
        <w:i w:val="0"/>
        <w:iCs w:val="0"/>
        <w:caps w:val="0"/>
        <w:smallCaps w:val="0"/>
        <w:strike w:val="0"/>
        <w:dstrike w:val="0"/>
        <w:vanish w:val="0"/>
        <w:color w:val="000000"/>
        <w:spacing w:val="0"/>
        <w:position w:val="0"/>
        <w:sz w:val="28"/>
        <w:szCs w:val="28"/>
        <w:u w:val="none"/>
        <w:vertAlign w:val="baseline"/>
      </w:rPr>
    </w:lvl>
    <w:lvl w:ilvl="6" w:tentative="0">
      <w:start w:val="1"/>
      <w:numFmt w:val="decimal"/>
      <w:lvlText w:val="5.%2.%3.%4.%5.%6.%7 "/>
      <w:lvlJc w:val="left"/>
      <w:pPr>
        <w:tabs>
          <w:tab w:val="left" w:pos="1296"/>
        </w:tabs>
        <w:ind w:left="0" w:firstLine="0"/>
      </w:pPr>
      <w:rPr>
        <w:rFonts w:hint="eastAsia" w:ascii="Times New Roman" w:hAnsi="Times New Roman" w:eastAsia="黑体"/>
        <w:b/>
        <w:i w:val="0"/>
        <w:sz w:val="24"/>
        <w:szCs w:val="32"/>
      </w:rPr>
    </w:lvl>
    <w:lvl w:ilvl="7" w:tentative="0">
      <w:start w:val="1"/>
      <w:numFmt w:val="decimal"/>
      <w:isLgl/>
      <w:lvlText w:val="%2.%3.%4.%5.%6.%7.%8 "/>
      <w:lvlJc w:val="left"/>
      <w:pPr>
        <w:tabs>
          <w:tab w:val="left" w:pos="1440"/>
        </w:tabs>
        <w:ind w:left="1440" w:hanging="1440"/>
      </w:pPr>
      <w:rPr>
        <w:rFonts w:hint="eastAsia"/>
      </w:rPr>
    </w:lvl>
    <w:lvl w:ilvl="8" w:tentative="0">
      <w:start w:val="1"/>
      <w:numFmt w:val="decimal"/>
      <w:isLgl/>
      <w:lvlText w:val="%2.%3.%4.%5.%6.%7.%8.%9 "/>
      <w:lvlJc w:val="left"/>
      <w:pPr>
        <w:tabs>
          <w:tab w:val="left" w:pos="1584"/>
        </w:tabs>
        <w:ind w:left="1584" w:hanging="1584"/>
      </w:pPr>
      <w:rPr>
        <w:rFonts w:hint="eastAsia"/>
      </w:rPr>
    </w:lvl>
  </w:abstractNum>
  <w:abstractNum w:abstractNumId="6">
    <w:nsid w:val="34266D6A"/>
    <w:multiLevelType w:val="singleLevel"/>
    <w:tmpl w:val="34266D6A"/>
    <w:lvl w:ilvl="0" w:tentative="0">
      <w:start w:val="27"/>
      <w:numFmt w:val="decimal"/>
      <w:pStyle w:val="133"/>
      <w:suff w:val="space"/>
      <w:lvlText w:val="%1."/>
      <w:lvlJc w:val="left"/>
    </w:lvl>
  </w:abstractNum>
  <w:abstractNum w:abstractNumId="7">
    <w:nsid w:val="386FC616"/>
    <w:multiLevelType w:val="multilevel"/>
    <w:tmpl w:val="386FC616"/>
    <w:lvl w:ilvl="0" w:tentative="0">
      <w:start w:val="1"/>
      <w:numFmt w:val="chineseCountingThousand"/>
      <w:suff w:val="space"/>
      <w:lvlText w:val="第%1章"/>
      <w:lvlJc w:val="left"/>
      <w:pPr>
        <w:ind w:left="0" w:firstLine="0"/>
      </w:pPr>
      <w:rPr>
        <w:rFonts w:hint="eastAsia" w:ascii="Times New Roman" w:hAnsi="Times New Roman" w:eastAsia="黑体"/>
        <w:b/>
        <w:i w:val="0"/>
        <w:sz w:val="44"/>
      </w:rPr>
    </w:lvl>
    <w:lvl w:ilvl="1" w:tentative="0">
      <w:start w:val="1"/>
      <w:numFmt w:val="decimal"/>
      <w:isLgl/>
      <w:lvlText w:val="%1.%2 "/>
      <w:lvlJc w:val="left"/>
      <w:pPr>
        <w:tabs>
          <w:tab w:val="left" w:pos="851"/>
        </w:tabs>
        <w:ind w:left="851" w:hanging="851"/>
      </w:pPr>
      <w:rPr>
        <w:rFonts w:hint="default" w:ascii="黑体" w:hAnsi="黑体" w:eastAsia="黑体"/>
        <w:b/>
        <w:i w:val="0"/>
        <w:sz w:val="24"/>
        <w:szCs w:val="24"/>
      </w:rPr>
    </w:lvl>
    <w:lvl w:ilvl="2" w:tentative="0">
      <w:start w:val="1"/>
      <w:numFmt w:val="decimal"/>
      <w:isLgl/>
      <w:suff w:val="space"/>
      <w:lvlText w:val="%1.%2.%3 "/>
      <w:lvlJc w:val="left"/>
      <w:pPr>
        <w:tabs>
          <w:tab w:val="left" w:pos="0"/>
        </w:tabs>
        <w:ind w:left="420" w:leftChars="0" w:hanging="180" w:firstLineChars="0"/>
      </w:pPr>
      <w:rPr>
        <w:rFonts w:hint="eastAsia" w:ascii="黑体" w:hAnsi="黑体" w:eastAsia="黑体" w:cs="Times New Roman"/>
        <w:b/>
        <w:bCs w:val="0"/>
        <w:i w:val="0"/>
        <w:iCs w:val="0"/>
        <w:caps w:val="0"/>
        <w:smallCaps w:val="0"/>
        <w:strike w:val="0"/>
        <w:dstrike w:val="0"/>
        <w:vanish w:val="0"/>
        <w:spacing w:val="0"/>
        <w:position w:val="0"/>
        <w:u w:val="none"/>
        <w:vertAlign w:val="baseline"/>
        <w14:ligatures w14:val="none"/>
        <w14:numForm w14:val="default"/>
        <w14:numSpacing w14:val="default"/>
      </w:rPr>
    </w:lvl>
    <w:lvl w:ilvl="3" w:tentative="0">
      <w:start w:val="1"/>
      <w:numFmt w:val="decimal"/>
      <w:isLgl/>
      <w:lvlText w:val="%1.%2.%3.%4 "/>
      <w:lvlJc w:val="left"/>
      <w:pPr>
        <w:tabs>
          <w:tab w:val="left" w:pos="1304"/>
        </w:tabs>
        <w:ind w:left="420" w:leftChars="0" w:hanging="23" w:firstLineChars="0"/>
      </w:pPr>
      <w:rPr>
        <w:rFonts w:hint="default" w:ascii="黑体" w:hAnsi="黑体" w:eastAsia="黑体" w:cs="Times New Roman"/>
        <w:b/>
        <w:bCs w:val="0"/>
        <w:i w:val="0"/>
        <w:iCs w:val="0"/>
        <w:caps w:val="0"/>
        <w:smallCaps w:val="0"/>
        <w:strike w:val="0"/>
        <w:dstrike w:val="0"/>
        <w:vanish w:val="0"/>
        <w:color w:val="000000"/>
        <w:spacing w:val="0"/>
        <w:position w:val="0"/>
        <w:sz w:val="24"/>
        <w:szCs w:val="24"/>
        <w:u w:val="none"/>
        <w:vertAlign w:val="baseline"/>
      </w:rPr>
    </w:lvl>
    <w:lvl w:ilvl="4" w:tentative="0">
      <w:start w:val="1"/>
      <w:numFmt w:val="decimal"/>
      <w:isLgl/>
      <w:lvlText w:val="%1.%2.%3.%4.%5"/>
      <w:lvlJc w:val="left"/>
      <w:pPr>
        <w:tabs>
          <w:tab w:val="left" w:pos="1531"/>
        </w:tabs>
        <w:ind w:left="0" w:firstLine="0"/>
      </w:pPr>
      <w:rPr>
        <w:rFonts w:hint="eastAsia" w:ascii="黑体" w:hAnsi="黑体" w:eastAsia="黑体" w:cs="Arial"/>
        <w:b/>
        <w:bCs w:val="0"/>
        <w:i w:val="0"/>
        <w:iCs w:val="0"/>
        <w:caps w:val="0"/>
        <w:smallCaps w:val="0"/>
        <w:strike w:val="0"/>
        <w:dstrike w:val="0"/>
        <w:vanish w:val="0"/>
        <w:color w:val="000000"/>
        <w:spacing w:val="0"/>
        <w:position w:val="0"/>
        <w:sz w:val="28"/>
        <w:szCs w:val="32"/>
        <w:u w:val="none"/>
        <w:vertAlign w:val="baseline"/>
      </w:rPr>
    </w:lvl>
    <w:lvl w:ilvl="5" w:tentative="0">
      <w:start w:val="1"/>
      <w:numFmt w:val="decimal"/>
      <w:isLgl/>
      <w:lvlText w:val="%1.%2.%3.%4.%5.%6"/>
      <w:lvlJc w:val="left"/>
      <w:pPr>
        <w:tabs>
          <w:tab w:val="left" w:pos="1758"/>
        </w:tabs>
        <w:ind w:left="0" w:firstLine="0"/>
      </w:pPr>
      <w:rPr>
        <w:rFonts w:hint="eastAsia" w:ascii="Times New Roman" w:hAnsi="Times New Roman" w:eastAsia="黑体" w:cs="Times New Roman"/>
        <w:b/>
        <w:bCs w:val="0"/>
        <w:i w:val="0"/>
        <w:iCs w:val="0"/>
        <w:caps w:val="0"/>
        <w:smallCaps w:val="0"/>
        <w:strike w:val="0"/>
        <w:dstrike w:val="0"/>
        <w:vanish w:val="0"/>
        <w:color w:val="000000"/>
        <w:spacing w:val="0"/>
        <w:position w:val="0"/>
        <w:sz w:val="28"/>
        <w:szCs w:val="28"/>
        <w:u w:val="none"/>
        <w:vertAlign w:val="baseline"/>
      </w:rPr>
    </w:lvl>
    <w:lvl w:ilvl="6" w:tentative="0">
      <w:start w:val="1"/>
      <w:numFmt w:val="decimal"/>
      <w:lvlText w:val="5.%2.%3.%4.%5.%6.%7 "/>
      <w:lvlJc w:val="left"/>
      <w:pPr>
        <w:tabs>
          <w:tab w:val="left" w:pos="1296"/>
        </w:tabs>
        <w:ind w:left="0" w:firstLine="0"/>
      </w:pPr>
      <w:rPr>
        <w:rFonts w:hint="eastAsia" w:ascii="Times New Roman" w:hAnsi="Times New Roman" w:eastAsia="黑体"/>
        <w:b/>
        <w:i w:val="0"/>
        <w:sz w:val="24"/>
        <w:szCs w:val="32"/>
      </w:rPr>
    </w:lvl>
    <w:lvl w:ilvl="7" w:tentative="0">
      <w:start w:val="1"/>
      <w:numFmt w:val="decimal"/>
      <w:isLgl/>
      <w:lvlText w:val="%2.%3.%4.%5.%6.%7.%8 "/>
      <w:lvlJc w:val="left"/>
      <w:pPr>
        <w:tabs>
          <w:tab w:val="left" w:pos="1440"/>
        </w:tabs>
        <w:ind w:left="1440" w:hanging="1440"/>
      </w:pPr>
      <w:rPr>
        <w:rFonts w:hint="eastAsia"/>
      </w:rPr>
    </w:lvl>
    <w:lvl w:ilvl="8" w:tentative="0">
      <w:start w:val="1"/>
      <w:numFmt w:val="decimal"/>
      <w:isLgl/>
      <w:lvlText w:val="%2.%3.%4.%5.%6.%7.%8.%9 "/>
      <w:lvlJc w:val="left"/>
      <w:pPr>
        <w:tabs>
          <w:tab w:val="left" w:pos="1584"/>
        </w:tabs>
        <w:ind w:left="1584" w:hanging="1584"/>
      </w:pPr>
      <w:rPr>
        <w:rFonts w:hint="eastAsia"/>
      </w:rPr>
    </w:lvl>
  </w:abstractNum>
  <w:abstractNum w:abstractNumId="8">
    <w:nsid w:val="3D90DA19"/>
    <w:multiLevelType w:val="multilevel"/>
    <w:tmpl w:val="3D90DA19"/>
    <w:lvl w:ilvl="0" w:tentative="0">
      <w:start w:val="1"/>
      <w:numFmt w:val="chineseCountingThousand"/>
      <w:suff w:val="space"/>
      <w:lvlText w:val="第%1章"/>
      <w:lvlJc w:val="left"/>
      <w:pPr>
        <w:ind w:left="0" w:firstLine="0"/>
      </w:pPr>
      <w:rPr>
        <w:rFonts w:hint="eastAsia" w:ascii="Times New Roman" w:hAnsi="Times New Roman" w:eastAsia="黑体"/>
        <w:b/>
        <w:i w:val="0"/>
        <w:sz w:val="44"/>
      </w:rPr>
    </w:lvl>
    <w:lvl w:ilvl="1" w:tentative="0">
      <w:start w:val="1"/>
      <w:numFmt w:val="decimal"/>
      <w:isLgl/>
      <w:lvlText w:val="%1.%2 "/>
      <w:lvlJc w:val="left"/>
      <w:pPr>
        <w:tabs>
          <w:tab w:val="left" w:pos="851"/>
        </w:tabs>
        <w:ind w:left="851" w:hanging="851"/>
      </w:pPr>
      <w:rPr>
        <w:rFonts w:hint="default" w:ascii="黑体" w:hAnsi="黑体" w:eastAsia="黑体"/>
        <w:b/>
        <w:i w:val="0"/>
        <w:sz w:val="24"/>
        <w:szCs w:val="24"/>
      </w:rPr>
    </w:lvl>
    <w:lvl w:ilvl="2" w:tentative="0">
      <w:start w:val="1"/>
      <w:numFmt w:val="decimal"/>
      <w:isLgl/>
      <w:suff w:val="space"/>
      <w:lvlText w:val="%1.%2.%3 "/>
      <w:lvlJc w:val="left"/>
      <w:pPr>
        <w:tabs>
          <w:tab w:val="left" w:pos="0"/>
        </w:tabs>
        <w:ind w:left="420" w:leftChars="0" w:hanging="180" w:firstLineChars="0"/>
      </w:pPr>
      <w:rPr>
        <w:rFonts w:hint="eastAsia" w:ascii="黑体" w:hAnsi="黑体" w:eastAsia="黑体" w:cs="Times New Roman"/>
        <w:b/>
        <w:bCs w:val="0"/>
        <w:i w:val="0"/>
        <w:iCs w:val="0"/>
        <w:caps w:val="0"/>
        <w:smallCaps w:val="0"/>
        <w:strike w:val="0"/>
        <w:dstrike w:val="0"/>
        <w:vanish w:val="0"/>
        <w:spacing w:val="0"/>
        <w:position w:val="0"/>
        <w:u w:val="none"/>
        <w:vertAlign w:val="baseline"/>
        <w14:ligatures w14:val="none"/>
        <w14:numForm w14:val="default"/>
        <w14:numSpacing w14:val="default"/>
      </w:rPr>
    </w:lvl>
    <w:lvl w:ilvl="3" w:tentative="0">
      <w:start w:val="1"/>
      <w:numFmt w:val="decimal"/>
      <w:isLgl/>
      <w:lvlText w:val="%1.%2.%3.%4 "/>
      <w:lvlJc w:val="left"/>
      <w:pPr>
        <w:tabs>
          <w:tab w:val="left" w:pos="1304"/>
        </w:tabs>
        <w:ind w:left="420" w:leftChars="0" w:hanging="23" w:firstLineChars="0"/>
      </w:pPr>
      <w:rPr>
        <w:rFonts w:hint="default" w:ascii="黑体" w:hAnsi="黑体" w:eastAsia="黑体" w:cs="Times New Roman"/>
        <w:b/>
        <w:bCs w:val="0"/>
        <w:i w:val="0"/>
        <w:iCs w:val="0"/>
        <w:caps w:val="0"/>
        <w:smallCaps w:val="0"/>
        <w:strike w:val="0"/>
        <w:dstrike w:val="0"/>
        <w:vanish w:val="0"/>
        <w:color w:val="000000"/>
        <w:spacing w:val="0"/>
        <w:position w:val="0"/>
        <w:sz w:val="24"/>
        <w:szCs w:val="24"/>
        <w:u w:val="none"/>
        <w:vertAlign w:val="baseline"/>
      </w:rPr>
    </w:lvl>
    <w:lvl w:ilvl="4" w:tentative="0">
      <w:start w:val="1"/>
      <w:numFmt w:val="decimal"/>
      <w:isLgl/>
      <w:lvlText w:val="%1.%2.%3.%4.%5"/>
      <w:lvlJc w:val="left"/>
      <w:pPr>
        <w:tabs>
          <w:tab w:val="left" w:pos="1531"/>
        </w:tabs>
        <w:ind w:left="0" w:firstLine="0"/>
      </w:pPr>
      <w:rPr>
        <w:rFonts w:hint="eastAsia" w:ascii="黑体" w:hAnsi="黑体" w:eastAsia="黑体" w:cs="Arial"/>
        <w:b/>
        <w:bCs w:val="0"/>
        <w:i w:val="0"/>
        <w:iCs w:val="0"/>
        <w:caps w:val="0"/>
        <w:smallCaps w:val="0"/>
        <w:strike w:val="0"/>
        <w:dstrike w:val="0"/>
        <w:vanish w:val="0"/>
        <w:color w:val="000000"/>
        <w:spacing w:val="0"/>
        <w:position w:val="0"/>
        <w:sz w:val="28"/>
        <w:szCs w:val="32"/>
        <w:u w:val="none"/>
        <w:vertAlign w:val="baseline"/>
      </w:rPr>
    </w:lvl>
    <w:lvl w:ilvl="5" w:tentative="0">
      <w:start w:val="1"/>
      <w:numFmt w:val="decimal"/>
      <w:isLgl/>
      <w:lvlText w:val="%1.%2.%3.%4.%5.%6"/>
      <w:lvlJc w:val="left"/>
      <w:pPr>
        <w:tabs>
          <w:tab w:val="left" w:pos="1758"/>
        </w:tabs>
        <w:ind w:left="0" w:firstLine="0"/>
      </w:pPr>
      <w:rPr>
        <w:rFonts w:hint="eastAsia" w:ascii="Times New Roman" w:hAnsi="Times New Roman" w:eastAsia="黑体" w:cs="Times New Roman"/>
        <w:b/>
        <w:bCs w:val="0"/>
        <w:i w:val="0"/>
        <w:iCs w:val="0"/>
        <w:caps w:val="0"/>
        <w:smallCaps w:val="0"/>
        <w:strike w:val="0"/>
        <w:dstrike w:val="0"/>
        <w:vanish w:val="0"/>
        <w:color w:val="000000"/>
        <w:spacing w:val="0"/>
        <w:position w:val="0"/>
        <w:sz w:val="28"/>
        <w:szCs w:val="28"/>
        <w:u w:val="none"/>
        <w:vertAlign w:val="baseline"/>
      </w:rPr>
    </w:lvl>
    <w:lvl w:ilvl="6" w:tentative="0">
      <w:start w:val="1"/>
      <w:numFmt w:val="decimal"/>
      <w:lvlText w:val="5.%2.%3.%4.%5.%6.%7 "/>
      <w:lvlJc w:val="left"/>
      <w:pPr>
        <w:tabs>
          <w:tab w:val="left" w:pos="1296"/>
        </w:tabs>
        <w:ind w:left="0" w:firstLine="0"/>
      </w:pPr>
      <w:rPr>
        <w:rFonts w:hint="eastAsia" w:ascii="Times New Roman" w:hAnsi="Times New Roman" w:eastAsia="黑体"/>
        <w:b/>
        <w:i w:val="0"/>
        <w:sz w:val="24"/>
        <w:szCs w:val="32"/>
      </w:rPr>
    </w:lvl>
    <w:lvl w:ilvl="7" w:tentative="0">
      <w:start w:val="1"/>
      <w:numFmt w:val="decimal"/>
      <w:isLgl/>
      <w:lvlText w:val="%2.%3.%4.%5.%6.%7.%8 "/>
      <w:lvlJc w:val="left"/>
      <w:pPr>
        <w:tabs>
          <w:tab w:val="left" w:pos="1440"/>
        </w:tabs>
        <w:ind w:left="1440" w:hanging="1440"/>
      </w:pPr>
      <w:rPr>
        <w:rFonts w:hint="eastAsia"/>
      </w:rPr>
    </w:lvl>
    <w:lvl w:ilvl="8" w:tentative="0">
      <w:start w:val="1"/>
      <w:numFmt w:val="decimal"/>
      <w:isLgl/>
      <w:lvlText w:val="%2.%3.%4.%5.%6.%7.%8.%9 "/>
      <w:lvlJc w:val="left"/>
      <w:pPr>
        <w:tabs>
          <w:tab w:val="left" w:pos="1584"/>
        </w:tabs>
        <w:ind w:left="1584" w:hanging="1584"/>
      </w:pPr>
      <w:rPr>
        <w:rFonts w:hint="eastAsia"/>
      </w:rPr>
    </w:lvl>
  </w:abstractNum>
  <w:abstractNum w:abstractNumId="9">
    <w:nsid w:val="48A71FF6"/>
    <w:multiLevelType w:val="multilevel"/>
    <w:tmpl w:val="48A71FF6"/>
    <w:lvl w:ilvl="0" w:tentative="0">
      <w:start w:val="1"/>
      <w:numFmt w:val="chineseCountingThousand"/>
      <w:suff w:val="space"/>
      <w:lvlText w:val="第%1章"/>
      <w:lvlJc w:val="left"/>
      <w:pPr>
        <w:ind w:left="0" w:firstLine="0"/>
      </w:pPr>
      <w:rPr>
        <w:rFonts w:hint="eastAsia" w:ascii="Times New Roman" w:hAnsi="Times New Roman" w:eastAsia="黑体"/>
        <w:b/>
        <w:i w:val="0"/>
        <w:sz w:val="44"/>
      </w:rPr>
    </w:lvl>
    <w:lvl w:ilvl="1" w:tentative="0">
      <w:start w:val="1"/>
      <w:numFmt w:val="decimal"/>
      <w:isLgl/>
      <w:lvlText w:val="%1.%2 "/>
      <w:lvlJc w:val="left"/>
      <w:pPr>
        <w:tabs>
          <w:tab w:val="left" w:pos="851"/>
        </w:tabs>
        <w:ind w:left="851" w:hanging="851"/>
      </w:pPr>
      <w:rPr>
        <w:rFonts w:hint="default" w:ascii="黑体" w:hAnsi="黑体" w:eastAsia="黑体"/>
        <w:b/>
        <w:i w:val="0"/>
        <w:sz w:val="24"/>
        <w:szCs w:val="24"/>
      </w:rPr>
    </w:lvl>
    <w:lvl w:ilvl="2" w:tentative="0">
      <w:start w:val="1"/>
      <w:numFmt w:val="decimal"/>
      <w:isLgl/>
      <w:suff w:val="space"/>
      <w:lvlText w:val="%1.%2.%3 "/>
      <w:lvlJc w:val="left"/>
      <w:pPr>
        <w:tabs>
          <w:tab w:val="left" w:pos="0"/>
        </w:tabs>
        <w:ind w:left="420" w:leftChars="0" w:hanging="180" w:firstLineChars="0"/>
      </w:pPr>
      <w:rPr>
        <w:rFonts w:hint="eastAsia" w:ascii="黑体" w:hAnsi="黑体" w:eastAsia="黑体" w:cs="Times New Roman"/>
        <w:b/>
        <w:bCs w:val="0"/>
        <w:i w:val="0"/>
        <w:iCs w:val="0"/>
        <w:caps w:val="0"/>
        <w:smallCaps w:val="0"/>
        <w:strike w:val="0"/>
        <w:dstrike w:val="0"/>
        <w:vanish w:val="0"/>
        <w:spacing w:val="0"/>
        <w:position w:val="0"/>
        <w:u w:val="none"/>
        <w:vertAlign w:val="baseline"/>
        <w14:ligatures w14:val="none"/>
        <w14:numForm w14:val="default"/>
        <w14:numSpacing w14:val="default"/>
      </w:rPr>
    </w:lvl>
    <w:lvl w:ilvl="3" w:tentative="0">
      <w:start w:val="1"/>
      <w:numFmt w:val="decimal"/>
      <w:isLgl/>
      <w:lvlText w:val="%1.%2.%3.%4 "/>
      <w:lvlJc w:val="left"/>
      <w:pPr>
        <w:tabs>
          <w:tab w:val="left" w:pos="1304"/>
        </w:tabs>
        <w:ind w:left="420" w:leftChars="0" w:hanging="23" w:firstLineChars="0"/>
      </w:pPr>
      <w:rPr>
        <w:rFonts w:hint="default" w:ascii="黑体" w:hAnsi="黑体" w:eastAsia="黑体" w:cs="Times New Roman"/>
        <w:b/>
        <w:bCs w:val="0"/>
        <w:i w:val="0"/>
        <w:iCs w:val="0"/>
        <w:caps w:val="0"/>
        <w:smallCaps w:val="0"/>
        <w:strike w:val="0"/>
        <w:dstrike w:val="0"/>
        <w:vanish w:val="0"/>
        <w:color w:val="000000"/>
        <w:spacing w:val="0"/>
        <w:position w:val="0"/>
        <w:sz w:val="24"/>
        <w:szCs w:val="24"/>
        <w:u w:val="none"/>
        <w:vertAlign w:val="baseline"/>
      </w:rPr>
    </w:lvl>
    <w:lvl w:ilvl="4" w:tentative="0">
      <w:start w:val="1"/>
      <w:numFmt w:val="decimal"/>
      <w:isLgl/>
      <w:lvlText w:val="%1.%2.%3.%4.%5"/>
      <w:lvlJc w:val="left"/>
      <w:pPr>
        <w:tabs>
          <w:tab w:val="left" w:pos="1531"/>
        </w:tabs>
        <w:ind w:left="0" w:firstLine="0"/>
      </w:pPr>
      <w:rPr>
        <w:rFonts w:hint="eastAsia" w:ascii="黑体" w:hAnsi="黑体" w:eastAsia="黑体" w:cs="Arial"/>
        <w:b/>
        <w:bCs w:val="0"/>
        <w:i w:val="0"/>
        <w:iCs w:val="0"/>
        <w:caps w:val="0"/>
        <w:smallCaps w:val="0"/>
        <w:strike w:val="0"/>
        <w:dstrike w:val="0"/>
        <w:vanish w:val="0"/>
        <w:color w:val="000000"/>
        <w:spacing w:val="0"/>
        <w:position w:val="0"/>
        <w:sz w:val="28"/>
        <w:szCs w:val="32"/>
        <w:u w:val="none"/>
        <w:vertAlign w:val="baseline"/>
      </w:rPr>
    </w:lvl>
    <w:lvl w:ilvl="5" w:tentative="0">
      <w:start w:val="1"/>
      <w:numFmt w:val="decimal"/>
      <w:isLgl/>
      <w:lvlText w:val="%1.%2.%3.%4.%5.%6"/>
      <w:lvlJc w:val="left"/>
      <w:pPr>
        <w:tabs>
          <w:tab w:val="left" w:pos="1758"/>
        </w:tabs>
        <w:ind w:left="0" w:firstLine="0"/>
      </w:pPr>
      <w:rPr>
        <w:rFonts w:hint="eastAsia" w:ascii="Times New Roman" w:hAnsi="Times New Roman" w:eastAsia="黑体" w:cs="Times New Roman"/>
        <w:b/>
        <w:bCs w:val="0"/>
        <w:i w:val="0"/>
        <w:iCs w:val="0"/>
        <w:caps w:val="0"/>
        <w:smallCaps w:val="0"/>
        <w:strike w:val="0"/>
        <w:dstrike w:val="0"/>
        <w:vanish w:val="0"/>
        <w:color w:val="000000"/>
        <w:spacing w:val="0"/>
        <w:position w:val="0"/>
        <w:sz w:val="28"/>
        <w:szCs w:val="28"/>
        <w:u w:val="none"/>
        <w:vertAlign w:val="baseline"/>
      </w:rPr>
    </w:lvl>
    <w:lvl w:ilvl="6" w:tentative="0">
      <w:start w:val="1"/>
      <w:numFmt w:val="decimal"/>
      <w:lvlText w:val="5.%2.%3.%4.%5.%6.%7 "/>
      <w:lvlJc w:val="left"/>
      <w:pPr>
        <w:tabs>
          <w:tab w:val="left" w:pos="1296"/>
        </w:tabs>
        <w:ind w:left="0" w:firstLine="0"/>
      </w:pPr>
      <w:rPr>
        <w:rFonts w:hint="eastAsia" w:ascii="Times New Roman" w:hAnsi="Times New Roman" w:eastAsia="黑体"/>
        <w:b/>
        <w:i w:val="0"/>
        <w:sz w:val="24"/>
        <w:szCs w:val="32"/>
      </w:rPr>
    </w:lvl>
    <w:lvl w:ilvl="7" w:tentative="0">
      <w:start w:val="1"/>
      <w:numFmt w:val="decimal"/>
      <w:isLgl/>
      <w:lvlText w:val="%2.%3.%4.%5.%6.%7.%8 "/>
      <w:lvlJc w:val="left"/>
      <w:pPr>
        <w:tabs>
          <w:tab w:val="left" w:pos="1440"/>
        </w:tabs>
        <w:ind w:left="1440" w:hanging="1440"/>
      </w:pPr>
      <w:rPr>
        <w:rFonts w:hint="eastAsia"/>
      </w:rPr>
    </w:lvl>
    <w:lvl w:ilvl="8" w:tentative="0">
      <w:start w:val="1"/>
      <w:numFmt w:val="decimal"/>
      <w:isLgl/>
      <w:lvlText w:val="%2.%3.%4.%5.%6.%7.%8.%9 "/>
      <w:lvlJc w:val="left"/>
      <w:pPr>
        <w:tabs>
          <w:tab w:val="left" w:pos="1584"/>
        </w:tabs>
        <w:ind w:left="1584" w:hanging="1584"/>
      </w:pPr>
      <w:rPr>
        <w:rFonts w:hint="eastAsia"/>
      </w:rPr>
    </w:lvl>
  </w:abstractNum>
  <w:abstractNum w:abstractNumId="10">
    <w:nsid w:val="49C49B56"/>
    <w:multiLevelType w:val="singleLevel"/>
    <w:tmpl w:val="49C49B56"/>
    <w:lvl w:ilvl="0" w:tentative="0">
      <w:start w:val="4"/>
      <w:numFmt w:val="chineseCounting"/>
      <w:pStyle w:val="132"/>
      <w:suff w:val="nothing"/>
      <w:lvlText w:val="%1、"/>
      <w:lvlJc w:val="left"/>
      <w:rPr>
        <w:rFonts w:hint="eastAsia"/>
      </w:rPr>
    </w:lvl>
  </w:abstractNum>
  <w:abstractNum w:abstractNumId="11">
    <w:nsid w:val="64B07FB2"/>
    <w:multiLevelType w:val="multilevel"/>
    <w:tmpl w:val="64B07FB2"/>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pStyle w:val="231"/>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2">
    <w:nsid w:val="7BC45EA7"/>
    <w:multiLevelType w:val="singleLevel"/>
    <w:tmpl w:val="7BC45EA7"/>
    <w:lvl w:ilvl="0" w:tentative="0">
      <w:start w:val="2"/>
      <w:numFmt w:val="decimal"/>
      <w:suff w:val="nothing"/>
      <w:lvlText w:val="%1、"/>
      <w:lvlJc w:val="left"/>
    </w:lvl>
  </w:abstractNum>
  <w:num w:numId="1">
    <w:abstractNumId w:val="10"/>
  </w:num>
  <w:num w:numId="2">
    <w:abstractNumId w:val="6"/>
  </w:num>
  <w:num w:numId="3">
    <w:abstractNumId w:val="3"/>
    <w:lvlOverride w:ilvl="0">
      <w:lvl w:ilvl="0" w:tentative="1">
        <w:start w:val="1"/>
        <w:numFmt w:val="decimal"/>
        <w:pStyle w:val="134"/>
        <w:lvlText w:val="第%1章 "/>
        <w:lvlJc w:val="left"/>
        <w:pPr>
          <w:ind w:left="3551" w:hanging="432"/>
        </w:pPr>
        <w:rPr>
          <w:rFonts w:hint="default" w:ascii="Arial" w:hAnsi="Arial" w:eastAsia="黑体" w:cs="Arial"/>
          <w:b/>
          <w:i w:val="0"/>
          <w:sz w:val="36"/>
          <w:szCs w:val="52"/>
        </w:rPr>
      </w:lvl>
    </w:lvlOverride>
    <w:lvlOverride w:ilvl="1">
      <w:lvl w:ilvl="1" w:tentative="1">
        <w:start w:val="1"/>
        <w:numFmt w:val="decimal"/>
        <w:lvlText w:val="%1.%2"/>
        <w:lvlJc w:val="left"/>
        <w:pPr>
          <w:ind w:left="576" w:hanging="576"/>
        </w:pPr>
        <w:rPr>
          <w:rFonts w:hint="default" w:ascii="Arial" w:hAnsi="Arial" w:cs="Arial"/>
          <w:i w:val="0"/>
          <w:iCs w:val="0"/>
          <w:caps w:val="0"/>
          <w:smallCaps w:val="0"/>
          <w:strike w:val="0"/>
          <w:dstrike w:val="0"/>
          <w:outline w:val="0"/>
          <w:shadow w:val="0"/>
          <w:emboss w:val="0"/>
          <w:imprint w:val="0"/>
          <w:vanish w:val="0"/>
          <w:spacing w:val="0"/>
          <w:position w:val="0"/>
          <w:u w:val="none"/>
          <w:vertAlign w:val="baseline"/>
        </w:rPr>
      </w:lvl>
    </w:lvlOverride>
    <w:lvlOverride w:ilvl="2">
      <w:lvl w:ilvl="2" w:tentative="1">
        <w:start w:val="1"/>
        <w:numFmt w:val="decimal"/>
        <w:lvlText w:val="%1.%2.%3"/>
        <w:lvlJc w:val="left"/>
        <w:pPr>
          <w:ind w:left="720" w:hanging="720"/>
        </w:pPr>
        <w:rPr>
          <w:rFonts w:hint="default" w:ascii="Arial" w:hAnsi="Arial" w:cs="Arial"/>
          <w:b/>
          <w:bCs w:val="0"/>
          <w:i w:val="0"/>
          <w:iCs w:val="0"/>
          <w:caps w:val="0"/>
          <w:smallCaps w:val="0"/>
          <w:strike w:val="0"/>
          <w:dstrike w:val="0"/>
          <w:outline w:val="0"/>
          <w:shadow w:val="0"/>
          <w:emboss w:val="0"/>
          <w:imprint w:val="0"/>
          <w:vanish w:val="0"/>
          <w:spacing w:val="0"/>
          <w:position w:val="0"/>
          <w:u w:val="none"/>
          <w:vertAlign w:val="baseline"/>
        </w:rPr>
      </w:lvl>
    </w:lvlOverride>
    <w:lvlOverride w:ilvl="3">
      <w:lvl w:ilvl="3" w:tentative="1">
        <w:start w:val="1"/>
        <w:numFmt w:val="decimal"/>
        <w:lvlText w:val="%1.%2.%3.%4"/>
        <w:lvlJc w:val="left"/>
        <w:pPr>
          <w:ind w:left="864" w:hanging="864"/>
        </w:pPr>
        <w:rPr>
          <w:rFonts w:hint="default" w:ascii="Arial" w:hAnsi="Arial" w:cs="Arial"/>
          <w:b/>
          <w:bCs w:val="0"/>
          <w:i w:val="0"/>
          <w:iCs w:val="0"/>
          <w:caps w:val="0"/>
          <w:smallCaps w:val="0"/>
          <w:strike w:val="0"/>
          <w:dstrike w:val="0"/>
          <w:outline w:val="0"/>
          <w:shadow w:val="0"/>
          <w:emboss w:val="0"/>
          <w:imprint w:val="0"/>
          <w:vanish w:val="0"/>
          <w:spacing w:val="0"/>
          <w:position w:val="0"/>
          <w:sz w:val="28"/>
          <w:szCs w:val="28"/>
          <w:u w:val="none"/>
          <w:vertAlign w:val="baseline"/>
        </w:rPr>
      </w:lvl>
    </w:lvlOverride>
    <w:lvlOverride w:ilvl="4">
      <w:lvl w:ilvl="4" w:tentative="1">
        <w:start w:val="1"/>
        <w:numFmt w:val="decimal"/>
        <w:lvlText w:val="%1.%2.%3.%4.%5"/>
        <w:lvlJc w:val="left"/>
        <w:pPr>
          <w:ind w:left="1008" w:hanging="1008"/>
        </w:pPr>
        <w:rPr>
          <w:rFonts w:hint="default" w:ascii="Arial" w:hAnsi="Arial" w:cs="Arial"/>
          <w:i w:val="0"/>
          <w:iCs w:val="0"/>
          <w:caps w:val="0"/>
          <w:smallCaps w:val="0"/>
          <w:strike w:val="0"/>
          <w:dstrike w:val="0"/>
          <w:outline w:val="0"/>
          <w:shadow w:val="0"/>
          <w:emboss w:val="0"/>
          <w:imprint w:val="0"/>
          <w:vanish w:val="0"/>
          <w:spacing w:val="0"/>
          <w:position w:val="0"/>
          <w:u w:val="none"/>
          <w:vertAlign w:val="baseline"/>
        </w:rPr>
      </w:lvl>
    </w:lvlOverride>
    <w:lvlOverride w:ilvl="5">
      <w:lvl w:ilvl="5" w:tentative="1">
        <w:start w:val="1"/>
        <w:numFmt w:val="decimal"/>
        <w:lvlText w:val="%1.%2.%3.%4.%5.%6"/>
        <w:lvlJc w:val="left"/>
        <w:pPr>
          <w:ind w:left="1152" w:hanging="1152"/>
        </w:pPr>
        <w:rPr>
          <w:i w:val="0"/>
          <w:iCs w:val="0"/>
          <w:caps w:val="0"/>
          <w:smallCaps w:val="0"/>
          <w:strike w:val="0"/>
          <w:dstrike w:val="0"/>
          <w:outline w:val="0"/>
          <w:shadow w:val="0"/>
          <w:emboss w:val="0"/>
          <w:imprint w:val="0"/>
          <w:vanish w:val="0"/>
          <w:spacing w:val="0"/>
          <w:position w:val="0"/>
          <w:u w:val="none"/>
          <w:vertAlign w:val="baseline"/>
        </w:rPr>
      </w:lvl>
    </w:lvlOverride>
    <w:lvlOverride w:ilvl="6">
      <w:lvl w:ilvl="6" w:tentative="1">
        <w:start w:val="1"/>
        <w:numFmt w:val="decimal"/>
        <w:lvlText w:val="%1.%2.%3.%4.%5.%6.%7"/>
        <w:lvlJc w:val="left"/>
        <w:pPr>
          <w:ind w:left="1296" w:hanging="1296"/>
        </w:pPr>
        <w:rPr>
          <w:rFonts w:hint="eastAsia"/>
        </w:rPr>
      </w:lvl>
    </w:lvlOverride>
    <w:lvlOverride w:ilvl="7">
      <w:lvl w:ilvl="7" w:tentative="1">
        <w:start w:val="1"/>
        <w:numFmt w:val="decimal"/>
        <w:lvlText w:val="%1.%2.%3.%4.%5.%6.%7.%8"/>
        <w:lvlJc w:val="left"/>
        <w:pPr>
          <w:ind w:left="1440" w:hanging="1440"/>
        </w:pPr>
        <w:rPr>
          <w:rFonts w:hint="eastAsia"/>
        </w:rPr>
      </w:lvl>
    </w:lvlOverride>
    <w:lvlOverride w:ilvl="8">
      <w:lvl w:ilvl="8" w:tentative="1">
        <w:start w:val="1"/>
        <w:numFmt w:val="decimal"/>
        <w:lvlText w:val="%1.%2.%3.%4.%5.%6.%7.%8.%9"/>
        <w:lvlJc w:val="left"/>
        <w:pPr>
          <w:ind w:left="1584" w:hanging="1584"/>
        </w:pPr>
        <w:rPr>
          <w:rFonts w:hint="eastAsia"/>
        </w:rPr>
      </w:lvl>
    </w:lvlOverride>
  </w:num>
  <w:num w:numId="4">
    <w:abstractNumId w:val="11"/>
  </w:num>
  <w:num w:numId="5">
    <w:abstractNumId w:val="0"/>
  </w:num>
  <w:num w:numId="6">
    <w:abstractNumId w:val="4"/>
  </w:num>
  <w:num w:numId="7">
    <w:abstractNumId w:val="8"/>
  </w:num>
  <w:num w:numId="8">
    <w:abstractNumId w:val="5"/>
  </w:num>
  <w:num w:numId="9">
    <w:abstractNumId w:val="9"/>
  </w:num>
  <w:num w:numId="10">
    <w:abstractNumId w:val="1"/>
  </w:num>
  <w:num w:numId="11">
    <w:abstractNumId w:val="7"/>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iZGIyMTc0ZTc0ODRkMzYwZmM5MjIyZTRhOTYyOGYifQ=="/>
    <w:docVar w:name="KSO_WPS_MARK_KEY" w:val="e0ea7a53-9891-4c3d-82b0-01f8006b6981"/>
  </w:docVars>
  <w:rsids>
    <w:rsidRoot w:val="007434B4"/>
    <w:rsid w:val="00000A61"/>
    <w:rsid w:val="00000A83"/>
    <w:rsid w:val="000013FE"/>
    <w:rsid w:val="0000186F"/>
    <w:rsid w:val="00001A03"/>
    <w:rsid w:val="00002568"/>
    <w:rsid w:val="00002840"/>
    <w:rsid w:val="000037DE"/>
    <w:rsid w:val="00003D23"/>
    <w:rsid w:val="00004EAF"/>
    <w:rsid w:val="00006552"/>
    <w:rsid w:val="0001024D"/>
    <w:rsid w:val="00010382"/>
    <w:rsid w:val="00011A7B"/>
    <w:rsid w:val="00013365"/>
    <w:rsid w:val="00013466"/>
    <w:rsid w:val="00013574"/>
    <w:rsid w:val="000135B0"/>
    <w:rsid w:val="00013923"/>
    <w:rsid w:val="00014A82"/>
    <w:rsid w:val="00015858"/>
    <w:rsid w:val="00015A29"/>
    <w:rsid w:val="0001617A"/>
    <w:rsid w:val="00016F68"/>
    <w:rsid w:val="00017581"/>
    <w:rsid w:val="000175E8"/>
    <w:rsid w:val="00017CF0"/>
    <w:rsid w:val="00017F9C"/>
    <w:rsid w:val="000252F0"/>
    <w:rsid w:val="00025EED"/>
    <w:rsid w:val="00027D0F"/>
    <w:rsid w:val="00030A53"/>
    <w:rsid w:val="00031705"/>
    <w:rsid w:val="00031BBE"/>
    <w:rsid w:val="00031C52"/>
    <w:rsid w:val="00032D53"/>
    <w:rsid w:val="000333AE"/>
    <w:rsid w:val="00033EFF"/>
    <w:rsid w:val="00035663"/>
    <w:rsid w:val="000358FA"/>
    <w:rsid w:val="00035B2B"/>
    <w:rsid w:val="00040247"/>
    <w:rsid w:val="00040313"/>
    <w:rsid w:val="00040E14"/>
    <w:rsid w:val="0004234C"/>
    <w:rsid w:val="0004444E"/>
    <w:rsid w:val="00045B4B"/>
    <w:rsid w:val="00046881"/>
    <w:rsid w:val="00047440"/>
    <w:rsid w:val="0004759C"/>
    <w:rsid w:val="0005019F"/>
    <w:rsid w:val="000508AD"/>
    <w:rsid w:val="00050F6E"/>
    <w:rsid w:val="0005168D"/>
    <w:rsid w:val="0005208E"/>
    <w:rsid w:val="00052B86"/>
    <w:rsid w:val="00052DBD"/>
    <w:rsid w:val="00053BE1"/>
    <w:rsid w:val="00053C94"/>
    <w:rsid w:val="000566BD"/>
    <w:rsid w:val="0005701C"/>
    <w:rsid w:val="000606A2"/>
    <w:rsid w:val="00060C04"/>
    <w:rsid w:val="00061310"/>
    <w:rsid w:val="00061914"/>
    <w:rsid w:val="000620A1"/>
    <w:rsid w:val="00063673"/>
    <w:rsid w:val="000638C9"/>
    <w:rsid w:val="000662FC"/>
    <w:rsid w:val="000666F2"/>
    <w:rsid w:val="00066D93"/>
    <w:rsid w:val="000675E6"/>
    <w:rsid w:val="000677C7"/>
    <w:rsid w:val="00067D0B"/>
    <w:rsid w:val="000709FB"/>
    <w:rsid w:val="00070B21"/>
    <w:rsid w:val="00070F95"/>
    <w:rsid w:val="00072573"/>
    <w:rsid w:val="0007343D"/>
    <w:rsid w:val="000745C1"/>
    <w:rsid w:val="0007473A"/>
    <w:rsid w:val="00074CB8"/>
    <w:rsid w:val="00076502"/>
    <w:rsid w:val="000775DD"/>
    <w:rsid w:val="000777C0"/>
    <w:rsid w:val="00077EA5"/>
    <w:rsid w:val="000821AB"/>
    <w:rsid w:val="00082346"/>
    <w:rsid w:val="000841E5"/>
    <w:rsid w:val="00085204"/>
    <w:rsid w:val="00087CA6"/>
    <w:rsid w:val="000904BC"/>
    <w:rsid w:val="000909AB"/>
    <w:rsid w:val="00090D47"/>
    <w:rsid w:val="00091751"/>
    <w:rsid w:val="000917F5"/>
    <w:rsid w:val="00091A77"/>
    <w:rsid w:val="000921D2"/>
    <w:rsid w:val="00092445"/>
    <w:rsid w:val="00092E61"/>
    <w:rsid w:val="00094343"/>
    <w:rsid w:val="0009483A"/>
    <w:rsid w:val="0009530E"/>
    <w:rsid w:val="00095A0E"/>
    <w:rsid w:val="00096239"/>
    <w:rsid w:val="00096A68"/>
    <w:rsid w:val="00097FB9"/>
    <w:rsid w:val="000A0CD6"/>
    <w:rsid w:val="000A2575"/>
    <w:rsid w:val="000A25D2"/>
    <w:rsid w:val="000A2631"/>
    <w:rsid w:val="000A3313"/>
    <w:rsid w:val="000A3BB4"/>
    <w:rsid w:val="000A4283"/>
    <w:rsid w:val="000A4354"/>
    <w:rsid w:val="000A6658"/>
    <w:rsid w:val="000B0390"/>
    <w:rsid w:val="000B0F6F"/>
    <w:rsid w:val="000B1637"/>
    <w:rsid w:val="000B1715"/>
    <w:rsid w:val="000B2722"/>
    <w:rsid w:val="000B2C01"/>
    <w:rsid w:val="000B320F"/>
    <w:rsid w:val="000B33DF"/>
    <w:rsid w:val="000B3A4F"/>
    <w:rsid w:val="000B4504"/>
    <w:rsid w:val="000B48CB"/>
    <w:rsid w:val="000B5D7D"/>
    <w:rsid w:val="000B67D9"/>
    <w:rsid w:val="000B6A6A"/>
    <w:rsid w:val="000B7DF1"/>
    <w:rsid w:val="000C035B"/>
    <w:rsid w:val="000C0714"/>
    <w:rsid w:val="000C188C"/>
    <w:rsid w:val="000C245B"/>
    <w:rsid w:val="000C2AE6"/>
    <w:rsid w:val="000C354A"/>
    <w:rsid w:val="000C4FD9"/>
    <w:rsid w:val="000C52A0"/>
    <w:rsid w:val="000C52BC"/>
    <w:rsid w:val="000C6B2C"/>
    <w:rsid w:val="000C70C2"/>
    <w:rsid w:val="000C7812"/>
    <w:rsid w:val="000D04C8"/>
    <w:rsid w:val="000D0769"/>
    <w:rsid w:val="000D0E5E"/>
    <w:rsid w:val="000D1018"/>
    <w:rsid w:val="000D211B"/>
    <w:rsid w:val="000D2A3F"/>
    <w:rsid w:val="000D344B"/>
    <w:rsid w:val="000D5249"/>
    <w:rsid w:val="000D6185"/>
    <w:rsid w:val="000D6514"/>
    <w:rsid w:val="000E166F"/>
    <w:rsid w:val="000E3746"/>
    <w:rsid w:val="000E3DCC"/>
    <w:rsid w:val="000E4152"/>
    <w:rsid w:val="000E4525"/>
    <w:rsid w:val="000E46D9"/>
    <w:rsid w:val="000E4E95"/>
    <w:rsid w:val="000E50DD"/>
    <w:rsid w:val="000E640C"/>
    <w:rsid w:val="000E7308"/>
    <w:rsid w:val="000E7417"/>
    <w:rsid w:val="000E741F"/>
    <w:rsid w:val="000E7B7A"/>
    <w:rsid w:val="000F1A45"/>
    <w:rsid w:val="000F1AF9"/>
    <w:rsid w:val="000F21C8"/>
    <w:rsid w:val="000F32CF"/>
    <w:rsid w:val="000F3713"/>
    <w:rsid w:val="000F376A"/>
    <w:rsid w:val="000F37AB"/>
    <w:rsid w:val="000F4155"/>
    <w:rsid w:val="000F44CB"/>
    <w:rsid w:val="000F4F2F"/>
    <w:rsid w:val="000F5866"/>
    <w:rsid w:val="000F620C"/>
    <w:rsid w:val="000F7591"/>
    <w:rsid w:val="001000C3"/>
    <w:rsid w:val="0010024E"/>
    <w:rsid w:val="0010071B"/>
    <w:rsid w:val="001034F0"/>
    <w:rsid w:val="001047E3"/>
    <w:rsid w:val="00104908"/>
    <w:rsid w:val="00104D5D"/>
    <w:rsid w:val="00105A9C"/>
    <w:rsid w:val="00106446"/>
    <w:rsid w:val="001065EB"/>
    <w:rsid w:val="00107077"/>
    <w:rsid w:val="00107FD9"/>
    <w:rsid w:val="00110169"/>
    <w:rsid w:val="00110B4B"/>
    <w:rsid w:val="001113FC"/>
    <w:rsid w:val="00111596"/>
    <w:rsid w:val="00111CC9"/>
    <w:rsid w:val="00112A3D"/>
    <w:rsid w:val="001133AC"/>
    <w:rsid w:val="00113717"/>
    <w:rsid w:val="00113C61"/>
    <w:rsid w:val="00114B15"/>
    <w:rsid w:val="00117058"/>
    <w:rsid w:val="00117143"/>
    <w:rsid w:val="00117E7C"/>
    <w:rsid w:val="00120369"/>
    <w:rsid w:val="00121A30"/>
    <w:rsid w:val="001228FD"/>
    <w:rsid w:val="001232B6"/>
    <w:rsid w:val="00124345"/>
    <w:rsid w:val="00125769"/>
    <w:rsid w:val="00125F48"/>
    <w:rsid w:val="00126231"/>
    <w:rsid w:val="001264B5"/>
    <w:rsid w:val="001264DC"/>
    <w:rsid w:val="00126691"/>
    <w:rsid w:val="00127083"/>
    <w:rsid w:val="0013172D"/>
    <w:rsid w:val="001322EF"/>
    <w:rsid w:val="001324B3"/>
    <w:rsid w:val="001345E9"/>
    <w:rsid w:val="00134894"/>
    <w:rsid w:val="001348D3"/>
    <w:rsid w:val="00134F70"/>
    <w:rsid w:val="00135375"/>
    <w:rsid w:val="001370E3"/>
    <w:rsid w:val="00137DBD"/>
    <w:rsid w:val="00137DCD"/>
    <w:rsid w:val="00140DA3"/>
    <w:rsid w:val="001413DF"/>
    <w:rsid w:val="00141BEE"/>
    <w:rsid w:val="00143121"/>
    <w:rsid w:val="00144141"/>
    <w:rsid w:val="00144F97"/>
    <w:rsid w:val="00145791"/>
    <w:rsid w:val="0014699B"/>
    <w:rsid w:val="00146D14"/>
    <w:rsid w:val="00151BA6"/>
    <w:rsid w:val="0015269F"/>
    <w:rsid w:val="00152E62"/>
    <w:rsid w:val="00153AF3"/>
    <w:rsid w:val="00153C89"/>
    <w:rsid w:val="00156049"/>
    <w:rsid w:val="001564DB"/>
    <w:rsid w:val="00156F75"/>
    <w:rsid w:val="00157A52"/>
    <w:rsid w:val="00160E3C"/>
    <w:rsid w:val="001617E9"/>
    <w:rsid w:val="00162175"/>
    <w:rsid w:val="00162403"/>
    <w:rsid w:val="0016254E"/>
    <w:rsid w:val="00162F23"/>
    <w:rsid w:val="001637C1"/>
    <w:rsid w:val="0016451E"/>
    <w:rsid w:val="00164C0D"/>
    <w:rsid w:val="001655DB"/>
    <w:rsid w:val="0016583A"/>
    <w:rsid w:val="00166A7A"/>
    <w:rsid w:val="00166F38"/>
    <w:rsid w:val="00167313"/>
    <w:rsid w:val="00167763"/>
    <w:rsid w:val="00167B70"/>
    <w:rsid w:val="001708E8"/>
    <w:rsid w:val="0017148D"/>
    <w:rsid w:val="0017284E"/>
    <w:rsid w:val="0017334A"/>
    <w:rsid w:val="00173713"/>
    <w:rsid w:val="00173A95"/>
    <w:rsid w:val="00173D83"/>
    <w:rsid w:val="0017404D"/>
    <w:rsid w:val="00175C3F"/>
    <w:rsid w:val="00175FE2"/>
    <w:rsid w:val="0017633E"/>
    <w:rsid w:val="001773C6"/>
    <w:rsid w:val="0017741D"/>
    <w:rsid w:val="001810E9"/>
    <w:rsid w:val="00181D2E"/>
    <w:rsid w:val="00181DBD"/>
    <w:rsid w:val="001828D3"/>
    <w:rsid w:val="001834EF"/>
    <w:rsid w:val="001846F2"/>
    <w:rsid w:val="001850A4"/>
    <w:rsid w:val="00185B43"/>
    <w:rsid w:val="00186927"/>
    <w:rsid w:val="001870D2"/>
    <w:rsid w:val="00190053"/>
    <w:rsid w:val="00190101"/>
    <w:rsid w:val="00190C8F"/>
    <w:rsid w:val="00191A57"/>
    <w:rsid w:val="00192075"/>
    <w:rsid w:val="00193526"/>
    <w:rsid w:val="00195771"/>
    <w:rsid w:val="00197441"/>
    <w:rsid w:val="001A053D"/>
    <w:rsid w:val="001A101A"/>
    <w:rsid w:val="001A12A4"/>
    <w:rsid w:val="001A130A"/>
    <w:rsid w:val="001A2976"/>
    <w:rsid w:val="001A3AA5"/>
    <w:rsid w:val="001A3AFC"/>
    <w:rsid w:val="001A3BCB"/>
    <w:rsid w:val="001A4D9B"/>
    <w:rsid w:val="001A561A"/>
    <w:rsid w:val="001A58C6"/>
    <w:rsid w:val="001A59EB"/>
    <w:rsid w:val="001A7280"/>
    <w:rsid w:val="001B0B82"/>
    <w:rsid w:val="001B2294"/>
    <w:rsid w:val="001B313B"/>
    <w:rsid w:val="001B383C"/>
    <w:rsid w:val="001B3B76"/>
    <w:rsid w:val="001B4531"/>
    <w:rsid w:val="001B4F01"/>
    <w:rsid w:val="001B540F"/>
    <w:rsid w:val="001B5907"/>
    <w:rsid w:val="001B61A0"/>
    <w:rsid w:val="001B78EC"/>
    <w:rsid w:val="001C2072"/>
    <w:rsid w:val="001C274B"/>
    <w:rsid w:val="001C3481"/>
    <w:rsid w:val="001C4E4C"/>
    <w:rsid w:val="001C5444"/>
    <w:rsid w:val="001C6F69"/>
    <w:rsid w:val="001C737E"/>
    <w:rsid w:val="001C7B25"/>
    <w:rsid w:val="001D0F5F"/>
    <w:rsid w:val="001D1A86"/>
    <w:rsid w:val="001D26DC"/>
    <w:rsid w:val="001D300D"/>
    <w:rsid w:val="001D302B"/>
    <w:rsid w:val="001D34F7"/>
    <w:rsid w:val="001D574C"/>
    <w:rsid w:val="001D5B75"/>
    <w:rsid w:val="001E1D4A"/>
    <w:rsid w:val="001E3396"/>
    <w:rsid w:val="001E3A6E"/>
    <w:rsid w:val="001E3AF6"/>
    <w:rsid w:val="001E3D6A"/>
    <w:rsid w:val="001E4458"/>
    <w:rsid w:val="001E59F7"/>
    <w:rsid w:val="001E65B0"/>
    <w:rsid w:val="001E6A66"/>
    <w:rsid w:val="001F010A"/>
    <w:rsid w:val="001F075D"/>
    <w:rsid w:val="001F130D"/>
    <w:rsid w:val="001F1819"/>
    <w:rsid w:val="001F3A23"/>
    <w:rsid w:val="001F4878"/>
    <w:rsid w:val="001F5321"/>
    <w:rsid w:val="001F534E"/>
    <w:rsid w:val="001F5B18"/>
    <w:rsid w:val="001F7AFA"/>
    <w:rsid w:val="00200789"/>
    <w:rsid w:val="002008A9"/>
    <w:rsid w:val="00200C39"/>
    <w:rsid w:val="00200D09"/>
    <w:rsid w:val="002018AB"/>
    <w:rsid w:val="00201F4F"/>
    <w:rsid w:val="0020239E"/>
    <w:rsid w:val="002023F0"/>
    <w:rsid w:val="0020308E"/>
    <w:rsid w:val="00203EA6"/>
    <w:rsid w:val="00205CF8"/>
    <w:rsid w:val="00206018"/>
    <w:rsid w:val="00206F3A"/>
    <w:rsid w:val="00207707"/>
    <w:rsid w:val="00207D02"/>
    <w:rsid w:val="00210EE8"/>
    <w:rsid w:val="00210F21"/>
    <w:rsid w:val="00211F38"/>
    <w:rsid w:val="0021410F"/>
    <w:rsid w:val="00214C07"/>
    <w:rsid w:val="0021548B"/>
    <w:rsid w:val="002157B6"/>
    <w:rsid w:val="00215C17"/>
    <w:rsid w:val="00215D98"/>
    <w:rsid w:val="00216282"/>
    <w:rsid w:val="00216FA2"/>
    <w:rsid w:val="002203CE"/>
    <w:rsid w:val="00221240"/>
    <w:rsid w:val="00221600"/>
    <w:rsid w:val="00221BE4"/>
    <w:rsid w:val="002226AF"/>
    <w:rsid w:val="00223541"/>
    <w:rsid w:val="00223B66"/>
    <w:rsid w:val="002240A4"/>
    <w:rsid w:val="0022478B"/>
    <w:rsid w:val="00224EE3"/>
    <w:rsid w:val="00225547"/>
    <w:rsid w:val="00226800"/>
    <w:rsid w:val="00226CCD"/>
    <w:rsid w:val="002303FF"/>
    <w:rsid w:val="00230B4C"/>
    <w:rsid w:val="00231C9E"/>
    <w:rsid w:val="0023235C"/>
    <w:rsid w:val="00232836"/>
    <w:rsid w:val="00232D80"/>
    <w:rsid w:val="0023339C"/>
    <w:rsid w:val="00234309"/>
    <w:rsid w:val="002346C1"/>
    <w:rsid w:val="00235123"/>
    <w:rsid w:val="00235317"/>
    <w:rsid w:val="00236D3A"/>
    <w:rsid w:val="002416E2"/>
    <w:rsid w:val="002419D0"/>
    <w:rsid w:val="00242897"/>
    <w:rsid w:val="00242A62"/>
    <w:rsid w:val="002444EA"/>
    <w:rsid w:val="00244B2A"/>
    <w:rsid w:val="00245EF6"/>
    <w:rsid w:val="00246EC4"/>
    <w:rsid w:val="0025092C"/>
    <w:rsid w:val="00250A62"/>
    <w:rsid w:val="0025131F"/>
    <w:rsid w:val="00252139"/>
    <w:rsid w:val="00252B42"/>
    <w:rsid w:val="00253669"/>
    <w:rsid w:val="00255AC7"/>
    <w:rsid w:val="002569C5"/>
    <w:rsid w:val="00256A84"/>
    <w:rsid w:val="00257F4D"/>
    <w:rsid w:val="00260902"/>
    <w:rsid w:val="00260A71"/>
    <w:rsid w:val="0026198C"/>
    <w:rsid w:val="00261AC6"/>
    <w:rsid w:val="00262459"/>
    <w:rsid w:val="00262FCB"/>
    <w:rsid w:val="00263AB2"/>
    <w:rsid w:val="002643E5"/>
    <w:rsid w:val="00264503"/>
    <w:rsid w:val="00264EB2"/>
    <w:rsid w:val="00265009"/>
    <w:rsid w:val="0026705D"/>
    <w:rsid w:val="00267C83"/>
    <w:rsid w:val="00267F9F"/>
    <w:rsid w:val="00270AE8"/>
    <w:rsid w:val="00270DBF"/>
    <w:rsid w:val="00272498"/>
    <w:rsid w:val="002725B6"/>
    <w:rsid w:val="002726B5"/>
    <w:rsid w:val="00275232"/>
    <w:rsid w:val="00276030"/>
    <w:rsid w:val="00276AC4"/>
    <w:rsid w:val="00276F7B"/>
    <w:rsid w:val="0027767A"/>
    <w:rsid w:val="002815E4"/>
    <w:rsid w:val="0028240A"/>
    <w:rsid w:val="00282892"/>
    <w:rsid w:val="00283506"/>
    <w:rsid w:val="00283A43"/>
    <w:rsid w:val="002842BF"/>
    <w:rsid w:val="00284301"/>
    <w:rsid w:val="00284647"/>
    <w:rsid w:val="0028487B"/>
    <w:rsid w:val="002849EB"/>
    <w:rsid w:val="002859F4"/>
    <w:rsid w:val="00285A81"/>
    <w:rsid w:val="00285BDF"/>
    <w:rsid w:val="00285F61"/>
    <w:rsid w:val="002862E3"/>
    <w:rsid w:val="002868A8"/>
    <w:rsid w:val="0028701F"/>
    <w:rsid w:val="00287BB6"/>
    <w:rsid w:val="00287E12"/>
    <w:rsid w:val="00290DAB"/>
    <w:rsid w:val="00291042"/>
    <w:rsid w:val="00291C24"/>
    <w:rsid w:val="002922D9"/>
    <w:rsid w:val="00292441"/>
    <w:rsid w:val="00292F73"/>
    <w:rsid w:val="00293A07"/>
    <w:rsid w:val="002950BC"/>
    <w:rsid w:val="002958E2"/>
    <w:rsid w:val="00295CE8"/>
    <w:rsid w:val="002962B1"/>
    <w:rsid w:val="002965AD"/>
    <w:rsid w:val="00297B75"/>
    <w:rsid w:val="002A0C4E"/>
    <w:rsid w:val="002A15D6"/>
    <w:rsid w:val="002A1672"/>
    <w:rsid w:val="002A22D6"/>
    <w:rsid w:val="002A3505"/>
    <w:rsid w:val="002A3741"/>
    <w:rsid w:val="002A4AAB"/>
    <w:rsid w:val="002A5CB2"/>
    <w:rsid w:val="002A5E44"/>
    <w:rsid w:val="002A65E2"/>
    <w:rsid w:val="002A750D"/>
    <w:rsid w:val="002A76C6"/>
    <w:rsid w:val="002A7BBC"/>
    <w:rsid w:val="002B00AE"/>
    <w:rsid w:val="002B12E2"/>
    <w:rsid w:val="002B1662"/>
    <w:rsid w:val="002B25F9"/>
    <w:rsid w:val="002B3F03"/>
    <w:rsid w:val="002B4148"/>
    <w:rsid w:val="002B469A"/>
    <w:rsid w:val="002B51EA"/>
    <w:rsid w:val="002B5C26"/>
    <w:rsid w:val="002B7974"/>
    <w:rsid w:val="002C0DD0"/>
    <w:rsid w:val="002C11C5"/>
    <w:rsid w:val="002C1AB9"/>
    <w:rsid w:val="002C2D6E"/>
    <w:rsid w:val="002C3042"/>
    <w:rsid w:val="002C33EB"/>
    <w:rsid w:val="002C363B"/>
    <w:rsid w:val="002C465A"/>
    <w:rsid w:val="002C666B"/>
    <w:rsid w:val="002C6C07"/>
    <w:rsid w:val="002C6E3F"/>
    <w:rsid w:val="002C7157"/>
    <w:rsid w:val="002D13DD"/>
    <w:rsid w:val="002D1777"/>
    <w:rsid w:val="002D2F30"/>
    <w:rsid w:val="002D47DE"/>
    <w:rsid w:val="002D54FF"/>
    <w:rsid w:val="002D5C40"/>
    <w:rsid w:val="002D61AB"/>
    <w:rsid w:val="002D7086"/>
    <w:rsid w:val="002D7BB2"/>
    <w:rsid w:val="002E056B"/>
    <w:rsid w:val="002E1F2C"/>
    <w:rsid w:val="002E273F"/>
    <w:rsid w:val="002E28E9"/>
    <w:rsid w:val="002E348F"/>
    <w:rsid w:val="002E36ED"/>
    <w:rsid w:val="002E466F"/>
    <w:rsid w:val="002E6BFE"/>
    <w:rsid w:val="002F1878"/>
    <w:rsid w:val="002F4310"/>
    <w:rsid w:val="002F4865"/>
    <w:rsid w:val="002F499D"/>
    <w:rsid w:val="002F4B98"/>
    <w:rsid w:val="002F654F"/>
    <w:rsid w:val="002F7B60"/>
    <w:rsid w:val="0030203A"/>
    <w:rsid w:val="00306A74"/>
    <w:rsid w:val="00306A95"/>
    <w:rsid w:val="00311CEC"/>
    <w:rsid w:val="00313325"/>
    <w:rsid w:val="00313A4D"/>
    <w:rsid w:val="00313F34"/>
    <w:rsid w:val="00314DB9"/>
    <w:rsid w:val="0031707F"/>
    <w:rsid w:val="003205C5"/>
    <w:rsid w:val="00321E2F"/>
    <w:rsid w:val="003246F2"/>
    <w:rsid w:val="00324865"/>
    <w:rsid w:val="00324B01"/>
    <w:rsid w:val="00324E36"/>
    <w:rsid w:val="0032557C"/>
    <w:rsid w:val="00326478"/>
    <w:rsid w:val="00326504"/>
    <w:rsid w:val="0032652D"/>
    <w:rsid w:val="003266B9"/>
    <w:rsid w:val="0032788A"/>
    <w:rsid w:val="00331031"/>
    <w:rsid w:val="00331281"/>
    <w:rsid w:val="003318A4"/>
    <w:rsid w:val="003333CF"/>
    <w:rsid w:val="003347D8"/>
    <w:rsid w:val="003347F8"/>
    <w:rsid w:val="003348AD"/>
    <w:rsid w:val="003350FF"/>
    <w:rsid w:val="0033575A"/>
    <w:rsid w:val="003359F2"/>
    <w:rsid w:val="00340374"/>
    <w:rsid w:val="003405B0"/>
    <w:rsid w:val="00340734"/>
    <w:rsid w:val="0034095A"/>
    <w:rsid w:val="00340B45"/>
    <w:rsid w:val="0034287E"/>
    <w:rsid w:val="00342E44"/>
    <w:rsid w:val="00343125"/>
    <w:rsid w:val="00343334"/>
    <w:rsid w:val="003469C1"/>
    <w:rsid w:val="00346F10"/>
    <w:rsid w:val="00347DC8"/>
    <w:rsid w:val="00350642"/>
    <w:rsid w:val="0035087B"/>
    <w:rsid w:val="00352E5D"/>
    <w:rsid w:val="003538B4"/>
    <w:rsid w:val="00353D3F"/>
    <w:rsid w:val="003546A7"/>
    <w:rsid w:val="00354E41"/>
    <w:rsid w:val="00355F7D"/>
    <w:rsid w:val="003567C6"/>
    <w:rsid w:val="00356C0C"/>
    <w:rsid w:val="00357A18"/>
    <w:rsid w:val="00357CAE"/>
    <w:rsid w:val="0036003D"/>
    <w:rsid w:val="003601EE"/>
    <w:rsid w:val="0036092F"/>
    <w:rsid w:val="0036212C"/>
    <w:rsid w:val="00364709"/>
    <w:rsid w:val="00365849"/>
    <w:rsid w:val="00365CEB"/>
    <w:rsid w:val="0036608F"/>
    <w:rsid w:val="00367761"/>
    <w:rsid w:val="00371061"/>
    <w:rsid w:val="003723EC"/>
    <w:rsid w:val="003725C2"/>
    <w:rsid w:val="00373228"/>
    <w:rsid w:val="0037398C"/>
    <w:rsid w:val="00373BCB"/>
    <w:rsid w:val="00373DDA"/>
    <w:rsid w:val="003751D4"/>
    <w:rsid w:val="003765C9"/>
    <w:rsid w:val="0037765F"/>
    <w:rsid w:val="0037789B"/>
    <w:rsid w:val="003805C3"/>
    <w:rsid w:val="003808DC"/>
    <w:rsid w:val="003812EE"/>
    <w:rsid w:val="00381353"/>
    <w:rsid w:val="003817D3"/>
    <w:rsid w:val="00381AD3"/>
    <w:rsid w:val="00382023"/>
    <w:rsid w:val="00382317"/>
    <w:rsid w:val="00382748"/>
    <w:rsid w:val="0038366B"/>
    <w:rsid w:val="00383E27"/>
    <w:rsid w:val="00384740"/>
    <w:rsid w:val="00384A33"/>
    <w:rsid w:val="00384F53"/>
    <w:rsid w:val="0038718B"/>
    <w:rsid w:val="00390037"/>
    <w:rsid w:val="003908CB"/>
    <w:rsid w:val="00390F51"/>
    <w:rsid w:val="00391805"/>
    <w:rsid w:val="00392780"/>
    <w:rsid w:val="003965DB"/>
    <w:rsid w:val="003966A4"/>
    <w:rsid w:val="00397EA7"/>
    <w:rsid w:val="003A131A"/>
    <w:rsid w:val="003A1873"/>
    <w:rsid w:val="003A22A1"/>
    <w:rsid w:val="003A3153"/>
    <w:rsid w:val="003A389D"/>
    <w:rsid w:val="003A4099"/>
    <w:rsid w:val="003A4572"/>
    <w:rsid w:val="003A48A3"/>
    <w:rsid w:val="003A4DEB"/>
    <w:rsid w:val="003A56B4"/>
    <w:rsid w:val="003A63A3"/>
    <w:rsid w:val="003A7CE9"/>
    <w:rsid w:val="003A7D94"/>
    <w:rsid w:val="003B074C"/>
    <w:rsid w:val="003B304F"/>
    <w:rsid w:val="003B36FD"/>
    <w:rsid w:val="003B52E3"/>
    <w:rsid w:val="003B6EB4"/>
    <w:rsid w:val="003C0A14"/>
    <w:rsid w:val="003C1256"/>
    <w:rsid w:val="003C1404"/>
    <w:rsid w:val="003C229B"/>
    <w:rsid w:val="003C2F63"/>
    <w:rsid w:val="003C4815"/>
    <w:rsid w:val="003C5D94"/>
    <w:rsid w:val="003C7A73"/>
    <w:rsid w:val="003D061C"/>
    <w:rsid w:val="003D16A0"/>
    <w:rsid w:val="003D1765"/>
    <w:rsid w:val="003D188B"/>
    <w:rsid w:val="003D2993"/>
    <w:rsid w:val="003D3B9A"/>
    <w:rsid w:val="003D42BA"/>
    <w:rsid w:val="003D4669"/>
    <w:rsid w:val="003D475A"/>
    <w:rsid w:val="003D5E2A"/>
    <w:rsid w:val="003D6B57"/>
    <w:rsid w:val="003D6F48"/>
    <w:rsid w:val="003E0880"/>
    <w:rsid w:val="003E0893"/>
    <w:rsid w:val="003E0C00"/>
    <w:rsid w:val="003E0F04"/>
    <w:rsid w:val="003E3CBC"/>
    <w:rsid w:val="003E4724"/>
    <w:rsid w:val="003E5316"/>
    <w:rsid w:val="003E5B81"/>
    <w:rsid w:val="003E63DA"/>
    <w:rsid w:val="003E6E9A"/>
    <w:rsid w:val="003E7A91"/>
    <w:rsid w:val="003F0052"/>
    <w:rsid w:val="003F080A"/>
    <w:rsid w:val="003F2BA3"/>
    <w:rsid w:val="003F4609"/>
    <w:rsid w:val="003F47E7"/>
    <w:rsid w:val="003F4887"/>
    <w:rsid w:val="003F6718"/>
    <w:rsid w:val="003F7A91"/>
    <w:rsid w:val="0040059B"/>
    <w:rsid w:val="00400ACB"/>
    <w:rsid w:val="004014AC"/>
    <w:rsid w:val="00401EA9"/>
    <w:rsid w:val="00402BA3"/>
    <w:rsid w:val="00402C3A"/>
    <w:rsid w:val="004041BB"/>
    <w:rsid w:val="0040556F"/>
    <w:rsid w:val="00405C57"/>
    <w:rsid w:val="0040634B"/>
    <w:rsid w:val="00406717"/>
    <w:rsid w:val="00406F15"/>
    <w:rsid w:val="00407DF5"/>
    <w:rsid w:val="004112B7"/>
    <w:rsid w:val="004113F2"/>
    <w:rsid w:val="0041189C"/>
    <w:rsid w:val="00412846"/>
    <w:rsid w:val="0041286B"/>
    <w:rsid w:val="00412E55"/>
    <w:rsid w:val="00412EDA"/>
    <w:rsid w:val="00413ED6"/>
    <w:rsid w:val="0041470D"/>
    <w:rsid w:val="00415306"/>
    <w:rsid w:val="004153E5"/>
    <w:rsid w:val="00416293"/>
    <w:rsid w:val="004165A5"/>
    <w:rsid w:val="004165E0"/>
    <w:rsid w:val="0042020F"/>
    <w:rsid w:val="004209AD"/>
    <w:rsid w:val="00420E26"/>
    <w:rsid w:val="0042207D"/>
    <w:rsid w:val="00423265"/>
    <w:rsid w:val="00423AB0"/>
    <w:rsid w:val="004241CA"/>
    <w:rsid w:val="00424DB7"/>
    <w:rsid w:val="0042508B"/>
    <w:rsid w:val="004255AF"/>
    <w:rsid w:val="00425EF9"/>
    <w:rsid w:val="00426293"/>
    <w:rsid w:val="0043056E"/>
    <w:rsid w:val="004307C1"/>
    <w:rsid w:val="0043102C"/>
    <w:rsid w:val="00431770"/>
    <w:rsid w:val="00431D80"/>
    <w:rsid w:val="0043264C"/>
    <w:rsid w:val="00432EDE"/>
    <w:rsid w:val="00433361"/>
    <w:rsid w:val="00433970"/>
    <w:rsid w:val="00433BCC"/>
    <w:rsid w:val="004346A4"/>
    <w:rsid w:val="00434E74"/>
    <w:rsid w:val="00435970"/>
    <w:rsid w:val="004366AC"/>
    <w:rsid w:val="00436879"/>
    <w:rsid w:val="00437C0C"/>
    <w:rsid w:val="00437DC8"/>
    <w:rsid w:val="00440935"/>
    <w:rsid w:val="0044137D"/>
    <w:rsid w:val="00441DE0"/>
    <w:rsid w:val="00442371"/>
    <w:rsid w:val="004428F8"/>
    <w:rsid w:val="004438EC"/>
    <w:rsid w:val="00445686"/>
    <w:rsid w:val="00446471"/>
    <w:rsid w:val="004469E0"/>
    <w:rsid w:val="004470BD"/>
    <w:rsid w:val="00447425"/>
    <w:rsid w:val="0044792C"/>
    <w:rsid w:val="00447F68"/>
    <w:rsid w:val="004508EB"/>
    <w:rsid w:val="00450E8F"/>
    <w:rsid w:val="004515F1"/>
    <w:rsid w:val="00451A59"/>
    <w:rsid w:val="00453947"/>
    <w:rsid w:val="00456A2C"/>
    <w:rsid w:val="00457B50"/>
    <w:rsid w:val="00460668"/>
    <w:rsid w:val="004611C1"/>
    <w:rsid w:val="00462B72"/>
    <w:rsid w:val="00464A59"/>
    <w:rsid w:val="00465AF5"/>
    <w:rsid w:val="004661B0"/>
    <w:rsid w:val="00466FEA"/>
    <w:rsid w:val="004702BD"/>
    <w:rsid w:val="00470775"/>
    <w:rsid w:val="0047091D"/>
    <w:rsid w:val="00472D5C"/>
    <w:rsid w:val="00473A7F"/>
    <w:rsid w:val="0047596E"/>
    <w:rsid w:val="0047622A"/>
    <w:rsid w:val="00476409"/>
    <w:rsid w:val="00477865"/>
    <w:rsid w:val="00480F9B"/>
    <w:rsid w:val="00482015"/>
    <w:rsid w:val="00482A44"/>
    <w:rsid w:val="004838AA"/>
    <w:rsid w:val="00484599"/>
    <w:rsid w:val="004851C5"/>
    <w:rsid w:val="00485335"/>
    <w:rsid w:val="00485F0D"/>
    <w:rsid w:val="00486155"/>
    <w:rsid w:val="00487EFD"/>
    <w:rsid w:val="004911DC"/>
    <w:rsid w:val="0049138B"/>
    <w:rsid w:val="004920BD"/>
    <w:rsid w:val="004944B6"/>
    <w:rsid w:val="00494A80"/>
    <w:rsid w:val="004954B8"/>
    <w:rsid w:val="004A3B8B"/>
    <w:rsid w:val="004A4630"/>
    <w:rsid w:val="004A4CC2"/>
    <w:rsid w:val="004A5AEC"/>
    <w:rsid w:val="004A7952"/>
    <w:rsid w:val="004A7AFF"/>
    <w:rsid w:val="004B1465"/>
    <w:rsid w:val="004B268D"/>
    <w:rsid w:val="004B5555"/>
    <w:rsid w:val="004B57D1"/>
    <w:rsid w:val="004B6A9B"/>
    <w:rsid w:val="004C0A57"/>
    <w:rsid w:val="004C159B"/>
    <w:rsid w:val="004C1CEC"/>
    <w:rsid w:val="004C303E"/>
    <w:rsid w:val="004C36ED"/>
    <w:rsid w:val="004C4320"/>
    <w:rsid w:val="004C508E"/>
    <w:rsid w:val="004C5584"/>
    <w:rsid w:val="004C6B9E"/>
    <w:rsid w:val="004C6C6E"/>
    <w:rsid w:val="004C780E"/>
    <w:rsid w:val="004D090D"/>
    <w:rsid w:val="004D14D8"/>
    <w:rsid w:val="004D2C1C"/>
    <w:rsid w:val="004D3D91"/>
    <w:rsid w:val="004D4549"/>
    <w:rsid w:val="004D5ACE"/>
    <w:rsid w:val="004D5BB9"/>
    <w:rsid w:val="004D7834"/>
    <w:rsid w:val="004D7BF8"/>
    <w:rsid w:val="004E01E1"/>
    <w:rsid w:val="004E0B7A"/>
    <w:rsid w:val="004E0B8E"/>
    <w:rsid w:val="004E1894"/>
    <w:rsid w:val="004E28E8"/>
    <w:rsid w:val="004E2CF6"/>
    <w:rsid w:val="004E3BBF"/>
    <w:rsid w:val="004E4CC2"/>
    <w:rsid w:val="004E518C"/>
    <w:rsid w:val="004E6F94"/>
    <w:rsid w:val="004E7578"/>
    <w:rsid w:val="004F0107"/>
    <w:rsid w:val="004F0ED2"/>
    <w:rsid w:val="004F1699"/>
    <w:rsid w:val="004F17FB"/>
    <w:rsid w:val="004F3090"/>
    <w:rsid w:val="004F4346"/>
    <w:rsid w:val="004F489A"/>
    <w:rsid w:val="004F4A39"/>
    <w:rsid w:val="004F4D75"/>
    <w:rsid w:val="004F5F21"/>
    <w:rsid w:val="004F66D0"/>
    <w:rsid w:val="004F6747"/>
    <w:rsid w:val="00500332"/>
    <w:rsid w:val="00500F88"/>
    <w:rsid w:val="00504154"/>
    <w:rsid w:val="00504223"/>
    <w:rsid w:val="0050477B"/>
    <w:rsid w:val="005057CC"/>
    <w:rsid w:val="00505858"/>
    <w:rsid w:val="00505A9A"/>
    <w:rsid w:val="00505F80"/>
    <w:rsid w:val="00506735"/>
    <w:rsid w:val="005069A5"/>
    <w:rsid w:val="00506FA0"/>
    <w:rsid w:val="00507E86"/>
    <w:rsid w:val="0051089D"/>
    <w:rsid w:val="005115F3"/>
    <w:rsid w:val="00512090"/>
    <w:rsid w:val="00512BF2"/>
    <w:rsid w:val="0051345D"/>
    <w:rsid w:val="00513834"/>
    <w:rsid w:val="00514908"/>
    <w:rsid w:val="00514A6D"/>
    <w:rsid w:val="00515EB7"/>
    <w:rsid w:val="00520518"/>
    <w:rsid w:val="005208EB"/>
    <w:rsid w:val="005209D7"/>
    <w:rsid w:val="00520CD4"/>
    <w:rsid w:val="005214BD"/>
    <w:rsid w:val="0052205A"/>
    <w:rsid w:val="005228AA"/>
    <w:rsid w:val="00523163"/>
    <w:rsid w:val="00523D1E"/>
    <w:rsid w:val="0052537E"/>
    <w:rsid w:val="00525F48"/>
    <w:rsid w:val="0052611C"/>
    <w:rsid w:val="005261F1"/>
    <w:rsid w:val="00526784"/>
    <w:rsid w:val="00526E2C"/>
    <w:rsid w:val="00527268"/>
    <w:rsid w:val="00527CD2"/>
    <w:rsid w:val="00531527"/>
    <w:rsid w:val="005316B6"/>
    <w:rsid w:val="00533571"/>
    <w:rsid w:val="00533FFC"/>
    <w:rsid w:val="0053539D"/>
    <w:rsid w:val="00535462"/>
    <w:rsid w:val="005361E0"/>
    <w:rsid w:val="005378EF"/>
    <w:rsid w:val="00540570"/>
    <w:rsid w:val="00543759"/>
    <w:rsid w:val="005437CF"/>
    <w:rsid w:val="0054482C"/>
    <w:rsid w:val="00547B5A"/>
    <w:rsid w:val="00550282"/>
    <w:rsid w:val="0055130D"/>
    <w:rsid w:val="005550DD"/>
    <w:rsid w:val="00555359"/>
    <w:rsid w:val="005575BA"/>
    <w:rsid w:val="00557DC5"/>
    <w:rsid w:val="00560C5B"/>
    <w:rsid w:val="00560F77"/>
    <w:rsid w:val="00561EA3"/>
    <w:rsid w:val="005624A0"/>
    <w:rsid w:val="005634AE"/>
    <w:rsid w:val="005635C8"/>
    <w:rsid w:val="005648B4"/>
    <w:rsid w:val="00564B12"/>
    <w:rsid w:val="0056550D"/>
    <w:rsid w:val="005659AC"/>
    <w:rsid w:val="00566122"/>
    <w:rsid w:val="005665E1"/>
    <w:rsid w:val="00566949"/>
    <w:rsid w:val="00567592"/>
    <w:rsid w:val="00567730"/>
    <w:rsid w:val="00567B55"/>
    <w:rsid w:val="005701BB"/>
    <w:rsid w:val="005709B5"/>
    <w:rsid w:val="00570BB9"/>
    <w:rsid w:val="005712A8"/>
    <w:rsid w:val="00572418"/>
    <w:rsid w:val="00572A77"/>
    <w:rsid w:val="00573BE5"/>
    <w:rsid w:val="00574301"/>
    <w:rsid w:val="00574806"/>
    <w:rsid w:val="005752A3"/>
    <w:rsid w:val="00575CB7"/>
    <w:rsid w:val="00580F55"/>
    <w:rsid w:val="0058146F"/>
    <w:rsid w:val="005814FC"/>
    <w:rsid w:val="00581F27"/>
    <w:rsid w:val="00583F70"/>
    <w:rsid w:val="00584D05"/>
    <w:rsid w:val="0058523D"/>
    <w:rsid w:val="00586132"/>
    <w:rsid w:val="00586934"/>
    <w:rsid w:val="00587C00"/>
    <w:rsid w:val="00587E4F"/>
    <w:rsid w:val="0059033F"/>
    <w:rsid w:val="00591754"/>
    <w:rsid w:val="00591BBD"/>
    <w:rsid w:val="0059449D"/>
    <w:rsid w:val="00597E4B"/>
    <w:rsid w:val="005A1260"/>
    <w:rsid w:val="005A2328"/>
    <w:rsid w:val="005A2FA1"/>
    <w:rsid w:val="005A3014"/>
    <w:rsid w:val="005A35B6"/>
    <w:rsid w:val="005A4232"/>
    <w:rsid w:val="005A50A0"/>
    <w:rsid w:val="005A57A2"/>
    <w:rsid w:val="005A645C"/>
    <w:rsid w:val="005A6740"/>
    <w:rsid w:val="005A6767"/>
    <w:rsid w:val="005A77C9"/>
    <w:rsid w:val="005A7A37"/>
    <w:rsid w:val="005B016E"/>
    <w:rsid w:val="005B03C3"/>
    <w:rsid w:val="005B0807"/>
    <w:rsid w:val="005B0C96"/>
    <w:rsid w:val="005B1244"/>
    <w:rsid w:val="005B214B"/>
    <w:rsid w:val="005B2CA3"/>
    <w:rsid w:val="005B32BA"/>
    <w:rsid w:val="005B3314"/>
    <w:rsid w:val="005B3467"/>
    <w:rsid w:val="005B5AF6"/>
    <w:rsid w:val="005B61FE"/>
    <w:rsid w:val="005B6687"/>
    <w:rsid w:val="005C09B3"/>
    <w:rsid w:val="005C0D7E"/>
    <w:rsid w:val="005C0DE7"/>
    <w:rsid w:val="005C0F07"/>
    <w:rsid w:val="005C177B"/>
    <w:rsid w:val="005C1CA1"/>
    <w:rsid w:val="005C2DE6"/>
    <w:rsid w:val="005C3E05"/>
    <w:rsid w:val="005C4EBF"/>
    <w:rsid w:val="005C5098"/>
    <w:rsid w:val="005C58EB"/>
    <w:rsid w:val="005C5977"/>
    <w:rsid w:val="005C7ED7"/>
    <w:rsid w:val="005D01A4"/>
    <w:rsid w:val="005D088D"/>
    <w:rsid w:val="005D0D39"/>
    <w:rsid w:val="005D1A7D"/>
    <w:rsid w:val="005D1D9B"/>
    <w:rsid w:val="005D1F21"/>
    <w:rsid w:val="005D2D5D"/>
    <w:rsid w:val="005D392F"/>
    <w:rsid w:val="005D4335"/>
    <w:rsid w:val="005D57AA"/>
    <w:rsid w:val="005D5D39"/>
    <w:rsid w:val="005D78A2"/>
    <w:rsid w:val="005E1C52"/>
    <w:rsid w:val="005E2896"/>
    <w:rsid w:val="005E2E68"/>
    <w:rsid w:val="005E33D2"/>
    <w:rsid w:val="005E41E1"/>
    <w:rsid w:val="005E4442"/>
    <w:rsid w:val="005E4BD2"/>
    <w:rsid w:val="005E501E"/>
    <w:rsid w:val="005E50F3"/>
    <w:rsid w:val="005E5221"/>
    <w:rsid w:val="005E5490"/>
    <w:rsid w:val="005E5F00"/>
    <w:rsid w:val="005F11BA"/>
    <w:rsid w:val="005F2D4C"/>
    <w:rsid w:val="005F31D5"/>
    <w:rsid w:val="005F37D4"/>
    <w:rsid w:val="005F42D2"/>
    <w:rsid w:val="005F4DD9"/>
    <w:rsid w:val="005F51F9"/>
    <w:rsid w:val="005F554A"/>
    <w:rsid w:val="005F67E2"/>
    <w:rsid w:val="005F7F24"/>
    <w:rsid w:val="00601CBE"/>
    <w:rsid w:val="006020D9"/>
    <w:rsid w:val="0060267A"/>
    <w:rsid w:val="006030D6"/>
    <w:rsid w:val="00603705"/>
    <w:rsid w:val="006043A4"/>
    <w:rsid w:val="00605007"/>
    <w:rsid w:val="0060594A"/>
    <w:rsid w:val="0061036E"/>
    <w:rsid w:val="006105B3"/>
    <w:rsid w:val="0061077A"/>
    <w:rsid w:val="006119B8"/>
    <w:rsid w:val="00613E21"/>
    <w:rsid w:val="00614CD3"/>
    <w:rsid w:val="0061627F"/>
    <w:rsid w:val="00616BF1"/>
    <w:rsid w:val="0062043A"/>
    <w:rsid w:val="00620808"/>
    <w:rsid w:val="006209D6"/>
    <w:rsid w:val="006217E3"/>
    <w:rsid w:val="00621A67"/>
    <w:rsid w:val="00621EDB"/>
    <w:rsid w:val="00622951"/>
    <w:rsid w:val="00622F37"/>
    <w:rsid w:val="006232A3"/>
    <w:rsid w:val="006240A6"/>
    <w:rsid w:val="006242DF"/>
    <w:rsid w:val="0062497C"/>
    <w:rsid w:val="00624EB7"/>
    <w:rsid w:val="0062600E"/>
    <w:rsid w:val="00626EC9"/>
    <w:rsid w:val="00632076"/>
    <w:rsid w:val="006365C2"/>
    <w:rsid w:val="00636643"/>
    <w:rsid w:val="00636FAE"/>
    <w:rsid w:val="006374CD"/>
    <w:rsid w:val="00637F16"/>
    <w:rsid w:val="00640570"/>
    <w:rsid w:val="00640CB0"/>
    <w:rsid w:val="00641143"/>
    <w:rsid w:val="00641D20"/>
    <w:rsid w:val="0064267E"/>
    <w:rsid w:val="006430FF"/>
    <w:rsid w:val="0064347A"/>
    <w:rsid w:val="00643967"/>
    <w:rsid w:val="006468C4"/>
    <w:rsid w:val="0064721C"/>
    <w:rsid w:val="00647882"/>
    <w:rsid w:val="00647DA8"/>
    <w:rsid w:val="00647F9D"/>
    <w:rsid w:val="006502AB"/>
    <w:rsid w:val="00650F32"/>
    <w:rsid w:val="00651177"/>
    <w:rsid w:val="0065343A"/>
    <w:rsid w:val="00653A2A"/>
    <w:rsid w:val="00653B74"/>
    <w:rsid w:val="00653E71"/>
    <w:rsid w:val="00654BB5"/>
    <w:rsid w:val="006569FD"/>
    <w:rsid w:val="0066096D"/>
    <w:rsid w:val="0066100B"/>
    <w:rsid w:val="0066219C"/>
    <w:rsid w:val="00663D25"/>
    <w:rsid w:val="0066654B"/>
    <w:rsid w:val="00666B1D"/>
    <w:rsid w:val="006672FF"/>
    <w:rsid w:val="00671816"/>
    <w:rsid w:val="006724CA"/>
    <w:rsid w:val="0067267F"/>
    <w:rsid w:val="006727E9"/>
    <w:rsid w:val="006746CD"/>
    <w:rsid w:val="00674DB1"/>
    <w:rsid w:val="00677156"/>
    <w:rsid w:val="006779A1"/>
    <w:rsid w:val="00677E4D"/>
    <w:rsid w:val="006807B3"/>
    <w:rsid w:val="006813A4"/>
    <w:rsid w:val="00681B2A"/>
    <w:rsid w:val="00681F77"/>
    <w:rsid w:val="006823B3"/>
    <w:rsid w:val="00682BA0"/>
    <w:rsid w:val="00682E7A"/>
    <w:rsid w:val="00682FCA"/>
    <w:rsid w:val="0068368F"/>
    <w:rsid w:val="0068390A"/>
    <w:rsid w:val="00684D30"/>
    <w:rsid w:val="0068528A"/>
    <w:rsid w:val="006855D3"/>
    <w:rsid w:val="00685D06"/>
    <w:rsid w:val="00686202"/>
    <w:rsid w:val="00690243"/>
    <w:rsid w:val="00690709"/>
    <w:rsid w:val="0069139A"/>
    <w:rsid w:val="006917A7"/>
    <w:rsid w:val="00691862"/>
    <w:rsid w:val="00691C47"/>
    <w:rsid w:val="00691D54"/>
    <w:rsid w:val="0069219F"/>
    <w:rsid w:val="006944EB"/>
    <w:rsid w:val="00694AD9"/>
    <w:rsid w:val="00694C2D"/>
    <w:rsid w:val="006954C4"/>
    <w:rsid w:val="006A00B7"/>
    <w:rsid w:val="006A0563"/>
    <w:rsid w:val="006A08D8"/>
    <w:rsid w:val="006A134B"/>
    <w:rsid w:val="006A1975"/>
    <w:rsid w:val="006A1B12"/>
    <w:rsid w:val="006A229F"/>
    <w:rsid w:val="006A34AC"/>
    <w:rsid w:val="006A46A7"/>
    <w:rsid w:val="006A4D18"/>
    <w:rsid w:val="006A4F09"/>
    <w:rsid w:val="006A50E4"/>
    <w:rsid w:val="006A5C66"/>
    <w:rsid w:val="006A7371"/>
    <w:rsid w:val="006A7472"/>
    <w:rsid w:val="006A7E1D"/>
    <w:rsid w:val="006B34C9"/>
    <w:rsid w:val="006B399A"/>
    <w:rsid w:val="006B4795"/>
    <w:rsid w:val="006B4C59"/>
    <w:rsid w:val="006B5791"/>
    <w:rsid w:val="006B60A2"/>
    <w:rsid w:val="006B6798"/>
    <w:rsid w:val="006B77BE"/>
    <w:rsid w:val="006B7B54"/>
    <w:rsid w:val="006C06AF"/>
    <w:rsid w:val="006C0F76"/>
    <w:rsid w:val="006C1340"/>
    <w:rsid w:val="006C23C2"/>
    <w:rsid w:val="006C33AC"/>
    <w:rsid w:val="006C4B1F"/>
    <w:rsid w:val="006C5C39"/>
    <w:rsid w:val="006C6FBB"/>
    <w:rsid w:val="006C723E"/>
    <w:rsid w:val="006C7B71"/>
    <w:rsid w:val="006D01E3"/>
    <w:rsid w:val="006D3A6D"/>
    <w:rsid w:val="006D46C6"/>
    <w:rsid w:val="006D4F91"/>
    <w:rsid w:val="006D5556"/>
    <w:rsid w:val="006D6DB3"/>
    <w:rsid w:val="006D7238"/>
    <w:rsid w:val="006E0419"/>
    <w:rsid w:val="006E0CF5"/>
    <w:rsid w:val="006E15B5"/>
    <w:rsid w:val="006E18EB"/>
    <w:rsid w:val="006E1C31"/>
    <w:rsid w:val="006E31A3"/>
    <w:rsid w:val="006E45CC"/>
    <w:rsid w:val="006E52E1"/>
    <w:rsid w:val="006E56B0"/>
    <w:rsid w:val="006E5C6C"/>
    <w:rsid w:val="006E63DE"/>
    <w:rsid w:val="006E6A42"/>
    <w:rsid w:val="006E70D1"/>
    <w:rsid w:val="006F04D9"/>
    <w:rsid w:val="006F07FA"/>
    <w:rsid w:val="006F0FBF"/>
    <w:rsid w:val="006F137B"/>
    <w:rsid w:val="006F1B2E"/>
    <w:rsid w:val="006F1DC1"/>
    <w:rsid w:val="006F2292"/>
    <w:rsid w:val="006F31D7"/>
    <w:rsid w:val="006F3670"/>
    <w:rsid w:val="006F3932"/>
    <w:rsid w:val="006F3B2C"/>
    <w:rsid w:val="006F48D3"/>
    <w:rsid w:val="006F4901"/>
    <w:rsid w:val="006F617A"/>
    <w:rsid w:val="006F6BD6"/>
    <w:rsid w:val="006F6D52"/>
    <w:rsid w:val="007001BB"/>
    <w:rsid w:val="0070184C"/>
    <w:rsid w:val="007028E7"/>
    <w:rsid w:val="007039B7"/>
    <w:rsid w:val="00703CAD"/>
    <w:rsid w:val="0070401B"/>
    <w:rsid w:val="00704082"/>
    <w:rsid w:val="00705371"/>
    <w:rsid w:val="007077DC"/>
    <w:rsid w:val="00707DAE"/>
    <w:rsid w:val="00710C2B"/>
    <w:rsid w:val="00711EBE"/>
    <w:rsid w:val="00712FDD"/>
    <w:rsid w:val="007130E8"/>
    <w:rsid w:val="00713384"/>
    <w:rsid w:val="0071344D"/>
    <w:rsid w:val="00713D73"/>
    <w:rsid w:val="007141E1"/>
    <w:rsid w:val="00714F31"/>
    <w:rsid w:val="0071593B"/>
    <w:rsid w:val="007219F6"/>
    <w:rsid w:val="00721F3A"/>
    <w:rsid w:val="00722046"/>
    <w:rsid w:val="00722CFC"/>
    <w:rsid w:val="0072440A"/>
    <w:rsid w:val="00724504"/>
    <w:rsid w:val="007247EB"/>
    <w:rsid w:val="007257D4"/>
    <w:rsid w:val="00725A64"/>
    <w:rsid w:val="00725BA5"/>
    <w:rsid w:val="00726485"/>
    <w:rsid w:val="00726F2B"/>
    <w:rsid w:val="00732F1A"/>
    <w:rsid w:val="00733151"/>
    <w:rsid w:val="00733AC8"/>
    <w:rsid w:val="00734A87"/>
    <w:rsid w:val="00734CF6"/>
    <w:rsid w:val="00735189"/>
    <w:rsid w:val="007360FB"/>
    <w:rsid w:val="007369A0"/>
    <w:rsid w:val="00740E6A"/>
    <w:rsid w:val="007413D9"/>
    <w:rsid w:val="0074150C"/>
    <w:rsid w:val="00741EFD"/>
    <w:rsid w:val="00742024"/>
    <w:rsid w:val="007423F7"/>
    <w:rsid w:val="00742B1B"/>
    <w:rsid w:val="007434B4"/>
    <w:rsid w:val="00744360"/>
    <w:rsid w:val="007455AC"/>
    <w:rsid w:val="00745685"/>
    <w:rsid w:val="0074593E"/>
    <w:rsid w:val="007460BC"/>
    <w:rsid w:val="00746586"/>
    <w:rsid w:val="00747190"/>
    <w:rsid w:val="00747779"/>
    <w:rsid w:val="00747DDA"/>
    <w:rsid w:val="00747F03"/>
    <w:rsid w:val="00750446"/>
    <w:rsid w:val="00751132"/>
    <w:rsid w:val="00751F7C"/>
    <w:rsid w:val="00753FAF"/>
    <w:rsid w:val="00755F77"/>
    <w:rsid w:val="007567BC"/>
    <w:rsid w:val="007568EE"/>
    <w:rsid w:val="00757587"/>
    <w:rsid w:val="007601F3"/>
    <w:rsid w:val="007606C3"/>
    <w:rsid w:val="00760E64"/>
    <w:rsid w:val="007611A9"/>
    <w:rsid w:val="00761AEA"/>
    <w:rsid w:val="00761C5D"/>
    <w:rsid w:val="00761F02"/>
    <w:rsid w:val="00764662"/>
    <w:rsid w:val="0076488F"/>
    <w:rsid w:val="00765AED"/>
    <w:rsid w:val="0076675E"/>
    <w:rsid w:val="0076684A"/>
    <w:rsid w:val="00767220"/>
    <w:rsid w:val="00767720"/>
    <w:rsid w:val="00767C0F"/>
    <w:rsid w:val="00771449"/>
    <w:rsid w:val="00771DE6"/>
    <w:rsid w:val="00771E6F"/>
    <w:rsid w:val="007723AB"/>
    <w:rsid w:val="0077273F"/>
    <w:rsid w:val="0077276B"/>
    <w:rsid w:val="007741AD"/>
    <w:rsid w:val="00774632"/>
    <w:rsid w:val="00775065"/>
    <w:rsid w:val="00777B6C"/>
    <w:rsid w:val="00780CB0"/>
    <w:rsid w:val="007847B2"/>
    <w:rsid w:val="00785952"/>
    <w:rsid w:val="00786755"/>
    <w:rsid w:val="007870BB"/>
    <w:rsid w:val="00787111"/>
    <w:rsid w:val="00787136"/>
    <w:rsid w:val="0078751B"/>
    <w:rsid w:val="00787713"/>
    <w:rsid w:val="00787B90"/>
    <w:rsid w:val="007928E2"/>
    <w:rsid w:val="007936B7"/>
    <w:rsid w:val="007938A2"/>
    <w:rsid w:val="00793C99"/>
    <w:rsid w:val="007946C7"/>
    <w:rsid w:val="007948EB"/>
    <w:rsid w:val="0079531F"/>
    <w:rsid w:val="00795D1A"/>
    <w:rsid w:val="007972B8"/>
    <w:rsid w:val="00797518"/>
    <w:rsid w:val="007975C6"/>
    <w:rsid w:val="007A32D4"/>
    <w:rsid w:val="007A33DB"/>
    <w:rsid w:val="007A3ABD"/>
    <w:rsid w:val="007A4B56"/>
    <w:rsid w:val="007A54CF"/>
    <w:rsid w:val="007A5DDD"/>
    <w:rsid w:val="007A69F1"/>
    <w:rsid w:val="007A6B90"/>
    <w:rsid w:val="007B00EC"/>
    <w:rsid w:val="007B0338"/>
    <w:rsid w:val="007B0520"/>
    <w:rsid w:val="007B207D"/>
    <w:rsid w:val="007B2232"/>
    <w:rsid w:val="007B4A00"/>
    <w:rsid w:val="007B644C"/>
    <w:rsid w:val="007B65F8"/>
    <w:rsid w:val="007C0C56"/>
    <w:rsid w:val="007C0F66"/>
    <w:rsid w:val="007C2C9D"/>
    <w:rsid w:val="007C2FCC"/>
    <w:rsid w:val="007C302F"/>
    <w:rsid w:val="007C5299"/>
    <w:rsid w:val="007C5C1F"/>
    <w:rsid w:val="007C5F6A"/>
    <w:rsid w:val="007C6E3B"/>
    <w:rsid w:val="007C6ED7"/>
    <w:rsid w:val="007C76F3"/>
    <w:rsid w:val="007D0885"/>
    <w:rsid w:val="007D1565"/>
    <w:rsid w:val="007D23C8"/>
    <w:rsid w:val="007D348B"/>
    <w:rsid w:val="007D3A8A"/>
    <w:rsid w:val="007D405F"/>
    <w:rsid w:val="007D460B"/>
    <w:rsid w:val="007D4C8D"/>
    <w:rsid w:val="007D4EAE"/>
    <w:rsid w:val="007D57AF"/>
    <w:rsid w:val="007D5C23"/>
    <w:rsid w:val="007D6E84"/>
    <w:rsid w:val="007D71A8"/>
    <w:rsid w:val="007D7812"/>
    <w:rsid w:val="007E0993"/>
    <w:rsid w:val="007E1305"/>
    <w:rsid w:val="007E1DC0"/>
    <w:rsid w:val="007E256E"/>
    <w:rsid w:val="007E2C2B"/>
    <w:rsid w:val="007E2F36"/>
    <w:rsid w:val="007E3355"/>
    <w:rsid w:val="007E4784"/>
    <w:rsid w:val="007E484A"/>
    <w:rsid w:val="007E4969"/>
    <w:rsid w:val="007E5152"/>
    <w:rsid w:val="007E5BC4"/>
    <w:rsid w:val="007E6828"/>
    <w:rsid w:val="007F589A"/>
    <w:rsid w:val="007F5A41"/>
    <w:rsid w:val="007F5C7E"/>
    <w:rsid w:val="007F5C8A"/>
    <w:rsid w:val="007F6ECA"/>
    <w:rsid w:val="00801B24"/>
    <w:rsid w:val="008022FA"/>
    <w:rsid w:val="00802842"/>
    <w:rsid w:val="008029A3"/>
    <w:rsid w:val="00802D88"/>
    <w:rsid w:val="00802FF7"/>
    <w:rsid w:val="008041E9"/>
    <w:rsid w:val="00804342"/>
    <w:rsid w:val="0080530F"/>
    <w:rsid w:val="00805480"/>
    <w:rsid w:val="00805524"/>
    <w:rsid w:val="00805B8A"/>
    <w:rsid w:val="00805E68"/>
    <w:rsid w:val="00807280"/>
    <w:rsid w:val="00807527"/>
    <w:rsid w:val="008100B3"/>
    <w:rsid w:val="00811559"/>
    <w:rsid w:val="008137E0"/>
    <w:rsid w:val="00814617"/>
    <w:rsid w:val="00814F1A"/>
    <w:rsid w:val="008168BB"/>
    <w:rsid w:val="008171F2"/>
    <w:rsid w:val="008205E0"/>
    <w:rsid w:val="00820C24"/>
    <w:rsid w:val="00821980"/>
    <w:rsid w:val="0082253F"/>
    <w:rsid w:val="00823B5F"/>
    <w:rsid w:val="00824B7E"/>
    <w:rsid w:val="00826848"/>
    <w:rsid w:val="00826A07"/>
    <w:rsid w:val="00826FDC"/>
    <w:rsid w:val="00831552"/>
    <w:rsid w:val="008327F1"/>
    <w:rsid w:val="0083358D"/>
    <w:rsid w:val="00833685"/>
    <w:rsid w:val="008348A7"/>
    <w:rsid w:val="00834DF7"/>
    <w:rsid w:val="008368A0"/>
    <w:rsid w:val="00836A8E"/>
    <w:rsid w:val="00837704"/>
    <w:rsid w:val="008400EE"/>
    <w:rsid w:val="00840AB2"/>
    <w:rsid w:val="008417A5"/>
    <w:rsid w:val="00842D56"/>
    <w:rsid w:val="00844573"/>
    <w:rsid w:val="00844C56"/>
    <w:rsid w:val="00845A1C"/>
    <w:rsid w:val="00845BD4"/>
    <w:rsid w:val="00845C17"/>
    <w:rsid w:val="00846C2C"/>
    <w:rsid w:val="0085129C"/>
    <w:rsid w:val="00852675"/>
    <w:rsid w:val="00852853"/>
    <w:rsid w:val="00853251"/>
    <w:rsid w:val="00854301"/>
    <w:rsid w:val="008558C2"/>
    <w:rsid w:val="008570AA"/>
    <w:rsid w:val="00860E07"/>
    <w:rsid w:val="008613AD"/>
    <w:rsid w:val="00861DAC"/>
    <w:rsid w:val="0086223C"/>
    <w:rsid w:val="00862AC9"/>
    <w:rsid w:val="00862E2B"/>
    <w:rsid w:val="00863896"/>
    <w:rsid w:val="00863AFA"/>
    <w:rsid w:val="00865FC0"/>
    <w:rsid w:val="00865FEB"/>
    <w:rsid w:val="0086659F"/>
    <w:rsid w:val="00866B3B"/>
    <w:rsid w:val="008706F9"/>
    <w:rsid w:val="00870A64"/>
    <w:rsid w:val="00871BBB"/>
    <w:rsid w:val="00873CDE"/>
    <w:rsid w:val="00874C18"/>
    <w:rsid w:val="00875458"/>
    <w:rsid w:val="00875A3A"/>
    <w:rsid w:val="00876925"/>
    <w:rsid w:val="00877941"/>
    <w:rsid w:val="00877B02"/>
    <w:rsid w:val="0088016F"/>
    <w:rsid w:val="00880359"/>
    <w:rsid w:val="0088062D"/>
    <w:rsid w:val="00880C22"/>
    <w:rsid w:val="00881408"/>
    <w:rsid w:val="0088206F"/>
    <w:rsid w:val="008821CE"/>
    <w:rsid w:val="00882419"/>
    <w:rsid w:val="008828A3"/>
    <w:rsid w:val="00882F88"/>
    <w:rsid w:val="008836B3"/>
    <w:rsid w:val="00883835"/>
    <w:rsid w:val="00884527"/>
    <w:rsid w:val="00885429"/>
    <w:rsid w:val="00885B89"/>
    <w:rsid w:val="00886054"/>
    <w:rsid w:val="008862FF"/>
    <w:rsid w:val="00886740"/>
    <w:rsid w:val="00886FAE"/>
    <w:rsid w:val="00887570"/>
    <w:rsid w:val="0088767A"/>
    <w:rsid w:val="00892D2C"/>
    <w:rsid w:val="00893531"/>
    <w:rsid w:val="008952DA"/>
    <w:rsid w:val="00895D20"/>
    <w:rsid w:val="00895F35"/>
    <w:rsid w:val="008961A9"/>
    <w:rsid w:val="00897720"/>
    <w:rsid w:val="008978AE"/>
    <w:rsid w:val="008A0865"/>
    <w:rsid w:val="008A1CC1"/>
    <w:rsid w:val="008A1E03"/>
    <w:rsid w:val="008A327D"/>
    <w:rsid w:val="008A400C"/>
    <w:rsid w:val="008A4564"/>
    <w:rsid w:val="008A64F6"/>
    <w:rsid w:val="008A664A"/>
    <w:rsid w:val="008A6C2A"/>
    <w:rsid w:val="008A75A2"/>
    <w:rsid w:val="008B064A"/>
    <w:rsid w:val="008B35FF"/>
    <w:rsid w:val="008B3914"/>
    <w:rsid w:val="008B3B34"/>
    <w:rsid w:val="008B4ECD"/>
    <w:rsid w:val="008B5887"/>
    <w:rsid w:val="008B685F"/>
    <w:rsid w:val="008B7C50"/>
    <w:rsid w:val="008B7C74"/>
    <w:rsid w:val="008B7E9E"/>
    <w:rsid w:val="008C008E"/>
    <w:rsid w:val="008C2834"/>
    <w:rsid w:val="008C29DE"/>
    <w:rsid w:val="008C2DE1"/>
    <w:rsid w:val="008C3A07"/>
    <w:rsid w:val="008C41AF"/>
    <w:rsid w:val="008C47C2"/>
    <w:rsid w:val="008C59E1"/>
    <w:rsid w:val="008D0C02"/>
    <w:rsid w:val="008D201F"/>
    <w:rsid w:val="008D2653"/>
    <w:rsid w:val="008D3FC4"/>
    <w:rsid w:val="008D42BE"/>
    <w:rsid w:val="008D499A"/>
    <w:rsid w:val="008D4A08"/>
    <w:rsid w:val="008D5A64"/>
    <w:rsid w:val="008D63C6"/>
    <w:rsid w:val="008D71E1"/>
    <w:rsid w:val="008E1B2E"/>
    <w:rsid w:val="008E1DE6"/>
    <w:rsid w:val="008E2E02"/>
    <w:rsid w:val="008E3392"/>
    <w:rsid w:val="008E3C1A"/>
    <w:rsid w:val="008E4ED5"/>
    <w:rsid w:val="008E6DFB"/>
    <w:rsid w:val="008E7E3E"/>
    <w:rsid w:val="008F1C57"/>
    <w:rsid w:val="008F587E"/>
    <w:rsid w:val="008F63FC"/>
    <w:rsid w:val="008F6500"/>
    <w:rsid w:val="008F73EE"/>
    <w:rsid w:val="00901406"/>
    <w:rsid w:val="00901880"/>
    <w:rsid w:val="00901F5B"/>
    <w:rsid w:val="0090312E"/>
    <w:rsid w:val="00903231"/>
    <w:rsid w:val="0090323D"/>
    <w:rsid w:val="0090365C"/>
    <w:rsid w:val="009040DE"/>
    <w:rsid w:val="00904101"/>
    <w:rsid w:val="00904162"/>
    <w:rsid w:val="00904FDD"/>
    <w:rsid w:val="009055CB"/>
    <w:rsid w:val="009069C0"/>
    <w:rsid w:val="0090766C"/>
    <w:rsid w:val="009104BE"/>
    <w:rsid w:val="00910FB9"/>
    <w:rsid w:val="0091102F"/>
    <w:rsid w:val="009130C4"/>
    <w:rsid w:val="009138A1"/>
    <w:rsid w:val="00913D07"/>
    <w:rsid w:val="00914055"/>
    <w:rsid w:val="00915C2A"/>
    <w:rsid w:val="00916580"/>
    <w:rsid w:val="0091715D"/>
    <w:rsid w:val="009179EE"/>
    <w:rsid w:val="00917B30"/>
    <w:rsid w:val="00921556"/>
    <w:rsid w:val="0092181D"/>
    <w:rsid w:val="009220E1"/>
    <w:rsid w:val="009226FF"/>
    <w:rsid w:val="00922BF1"/>
    <w:rsid w:val="00922DDF"/>
    <w:rsid w:val="0092412A"/>
    <w:rsid w:val="0092516A"/>
    <w:rsid w:val="009258D3"/>
    <w:rsid w:val="00926E98"/>
    <w:rsid w:val="009300A1"/>
    <w:rsid w:val="0093049E"/>
    <w:rsid w:val="009315AE"/>
    <w:rsid w:val="00932D24"/>
    <w:rsid w:val="0093449D"/>
    <w:rsid w:val="0093744F"/>
    <w:rsid w:val="00940889"/>
    <w:rsid w:val="009413A9"/>
    <w:rsid w:val="00943315"/>
    <w:rsid w:val="009438E2"/>
    <w:rsid w:val="00943F2F"/>
    <w:rsid w:val="009440E8"/>
    <w:rsid w:val="0094476B"/>
    <w:rsid w:val="00944DE4"/>
    <w:rsid w:val="00944F45"/>
    <w:rsid w:val="00945FCD"/>
    <w:rsid w:val="009471C8"/>
    <w:rsid w:val="009473F4"/>
    <w:rsid w:val="00950768"/>
    <w:rsid w:val="00951E05"/>
    <w:rsid w:val="009523BC"/>
    <w:rsid w:val="0095283A"/>
    <w:rsid w:val="009530CA"/>
    <w:rsid w:val="0095327E"/>
    <w:rsid w:val="00953295"/>
    <w:rsid w:val="009533D4"/>
    <w:rsid w:val="009536C0"/>
    <w:rsid w:val="00955A0A"/>
    <w:rsid w:val="00956792"/>
    <w:rsid w:val="00956C78"/>
    <w:rsid w:val="009575AE"/>
    <w:rsid w:val="00957733"/>
    <w:rsid w:val="0096037C"/>
    <w:rsid w:val="009605C3"/>
    <w:rsid w:val="00960AEF"/>
    <w:rsid w:val="00964404"/>
    <w:rsid w:val="009663CE"/>
    <w:rsid w:val="00966666"/>
    <w:rsid w:val="00966A87"/>
    <w:rsid w:val="00967B29"/>
    <w:rsid w:val="00967EB5"/>
    <w:rsid w:val="0097053B"/>
    <w:rsid w:val="00970885"/>
    <w:rsid w:val="009716E8"/>
    <w:rsid w:val="00974D37"/>
    <w:rsid w:val="00974E44"/>
    <w:rsid w:val="009764A4"/>
    <w:rsid w:val="009771AA"/>
    <w:rsid w:val="00977E53"/>
    <w:rsid w:val="0098005B"/>
    <w:rsid w:val="0098151F"/>
    <w:rsid w:val="00981CFD"/>
    <w:rsid w:val="00981F57"/>
    <w:rsid w:val="009822D7"/>
    <w:rsid w:val="009822F0"/>
    <w:rsid w:val="00983A67"/>
    <w:rsid w:val="00983E55"/>
    <w:rsid w:val="009864CF"/>
    <w:rsid w:val="009868D4"/>
    <w:rsid w:val="0099031D"/>
    <w:rsid w:val="00991EB4"/>
    <w:rsid w:val="009928A8"/>
    <w:rsid w:val="00992BAF"/>
    <w:rsid w:val="00992F43"/>
    <w:rsid w:val="009936B2"/>
    <w:rsid w:val="00993871"/>
    <w:rsid w:val="009943F1"/>
    <w:rsid w:val="00994C2B"/>
    <w:rsid w:val="00994DAF"/>
    <w:rsid w:val="00995BCC"/>
    <w:rsid w:val="0099662D"/>
    <w:rsid w:val="00996896"/>
    <w:rsid w:val="00996B4D"/>
    <w:rsid w:val="00996D0D"/>
    <w:rsid w:val="009A0AA3"/>
    <w:rsid w:val="009A0EAF"/>
    <w:rsid w:val="009A2243"/>
    <w:rsid w:val="009A2CBF"/>
    <w:rsid w:val="009A30BF"/>
    <w:rsid w:val="009A3935"/>
    <w:rsid w:val="009A3F9F"/>
    <w:rsid w:val="009A4C47"/>
    <w:rsid w:val="009A5E9C"/>
    <w:rsid w:val="009A7525"/>
    <w:rsid w:val="009A7664"/>
    <w:rsid w:val="009A7FB8"/>
    <w:rsid w:val="009B06BC"/>
    <w:rsid w:val="009B1169"/>
    <w:rsid w:val="009B1687"/>
    <w:rsid w:val="009B1F47"/>
    <w:rsid w:val="009B2B6A"/>
    <w:rsid w:val="009B327E"/>
    <w:rsid w:val="009B339A"/>
    <w:rsid w:val="009B3680"/>
    <w:rsid w:val="009B4301"/>
    <w:rsid w:val="009B4D71"/>
    <w:rsid w:val="009B4E41"/>
    <w:rsid w:val="009B56E8"/>
    <w:rsid w:val="009B5BE2"/>
    <w:rsid w:val="009C120F"/>
    <w:rsid w:val="009C29F4"/>
    <w:rsid w:val="009C2F1E"/>
    <w:rsid w:val="009C3487"/>
    <w:rsid w:val="009C39BD"/>
    <w:rsid w:val="009C4F0D"/>
    <w:rsid w:val="009C7F22"/>
    <w:rsid w:val="009D09B9"/>
    <w:rsid w:val="009D1986"/>
    <w:rsid w:val="009D7095"/>
    <w:rsid w:val="009E04AF"/>
    <w:rsid w:val="009E1A1F"/>
    <w:rsid w:val="009E2E90"/>
    <w:rsid w:val="009E4A6F"/>
    <w:rsid w:val="009E5BB5"/>
    <w:rsid w:val="009E6986"/>
    <w:rsid w:val="009E69CC"/>
    <w:rsid w:val="009F08F7"/>
    <w:rsid w:val="009F091E"/>
    <w:rsid w:val="009F09DD"/>
    <w:rsid w:val="009F2065"/>
    <w:rsid w:val="009F2189"/>
    <w:rsid w:val="009F3C62"/>
    <w:rsid w:val="009F51BF"/>
    <w:rsid w:val="009F6612"/>
    <w:rsid w:val="009F7FB0"/>
    <w:rsid w:val="00A001A7"/>
    <w:rsid w:val="00A00FE5"/>
    <w:rsid w:val="00A025C8"/>
    <w:rsid w:val="00A0440E"/>
    <w:rsid w:val="00A055A2"/>
    <w:rsid w:val="00A05BDC"/>
    <w:rsid w:val="00A068BD"/>
    <w:rsid w:val="00A079C5"/>
    <w:rsid w:val="00A10993"/>
    <w:rsid w:val="00A10DF5"/>
    <w:rsid w:val="00A118FA"/>
    <w:rsid w:val="00A1238E"/>
    <w:rsid w:val="00A147BA"/>
    <w:rsid w:val="00A14EB2"/>
    <w:rsid w:val="00A14F25"/>
    <w:rsid w:val="00A150CD"/>
    <w:rsid w:val="00A20365"/>
    <w:rsid w:val="00A2099A"/>
    <w:rsid w:val="00A20DB6"/>
    <w:rsid w:val="00A21A8D"/>
    <w:rsid w:val="00A21F26"/>
    <w:rsid w:val="00A22AD3"/>
    <w:rsid w:val="00A23123"/>
    <w:rsid w:val="00A251BE"/>
    <w:rsid w:val="00A268FF"/>
    <w:rsid w:val="00A27620"/>
    <w:rsid w:val="00A308A5"/>
    <w:rsid w:val="00A30C20"/>
    <w:rsid w:val="00A31C0C"/>
    <w:rsid w:val="00A32970"/>
    <w:rsid w:val="00A33BF9"/>
    <w:rsid w:val="00A33F77"/>
    <w:rsid w:val="00A340D8"/>
    <w:rsid w:val="00A35822"/>
    <w:rsid w:val="00A364E0"/>
    <w:rsid w:val="00A3740A"/>
    <w:rsid w:val="00A37C1C"/>
    <w:rsid w:val="00A40786"/>
    <w:rsid w:val="00A410EA"/>
    <w:rsid w:val="00A41866"/>
    <w:rsid w:val="00A4267E"/>
    <w:rsid w:val="00A42F8F"/>
    <w:rsid w:val="00A43F6D"/>
    <w:rsid w:val="00A44128"/>
    <w:rsid w:val="00A44AA1"/>
    <w:rsid w:val="00A45D07"/>
    <w:rsid w:val="00A47B85"/>
    <w:rsid w:val="00A513BE"/>
    <w:rsid w:val="00A51B00"/>
    <w:rsid w:val="00A53A4C"/>
    <w:rsid w:val="00A53AA9"/>
    <w:rsid w:val="00A543D4"/>
    <w:rsid w:val="00A54ADC"/>
    <w:rsid w:val="00A572BD"/>
    <w:rsid w:val="00A57B0B"/>
    <w:rsid w:val="00A60510"/>
    <w:rsid w:val="00A611BB"/>
    <w:rsid w:val="00A64028"/>
    <w:rsid w:val="00A64425"/>
    <w:rsid w:val="00A668FB"/>
    <w:rsid w:val="00A6702B"/>
    <w:rsid w:val="00A71189"/>
    <w:rsid w:val="00A71D10"/>
    <w:rsid w:val="00A71D21"/>
    <w:rsid w:val="00A7220C"/>
    <w:rsid w:val="00A73A8A"/>
    <w:rsid w:val="00A73F66"/>
    <w:rsid w:val="00A7408E"/>
    <w:rsid w:val="00A74F07"/>
    <w:rsid w:val="00A76084"/>
    <w:rsid w:val="00A76205"/>
    <w:rsid w:val="00A77EA1"/>
    <w:rsid w:val="00A800F3"/>
    <w:rsid w:val="00A806A9"/>
    <w:rsid w:val="00A807C8"/>
    <w:rsid w:val="00A80A87"/>
    <w:rsid w:val="00A812A3"/>
    <w:rsid w:val="00A81C21"/>
    <w:rsid w:val="00A82F9A"/>
    <w:rsid w:val="00A83F45"/>
    <w:rsid w:val="00A8400E"/>
    <w:rsid w:val="00A85456"/>
    <w:rsid w:val="00A867DB"/>
    <w:rsid w:val="00A869D6"/>
    <w:rsid w:val="00A86ECE"/>
    <w:rsid w:val="00A90B18"/>
    <w:rsid w:val="00A90F3C"/>
    <w:rsid w:val="00A92883"/>
    <w:rsid w:val="00A92E92"/>
    <w:rsid w:val="00A93090"/>
    <w:rsid w:val="00A933B4"/>
    <w:rsid w:val="00A95AC6"/>
    <w:rsid w:val="00A95E01"/>
    <w:rsid w:val="00A96972"/>
    <w:rsid w:val="00A9710F"/>
    <w:rsid w:val="00A979CB"/>
    <w:rsid w:val="00AA1B6C"/>
    <w:rsid w:val="00AA4277"/>
    <w:rsid w:val="00AA4545"/>
    <w:rsid w:val="00AA6414"/>
    <w:rsid w:val="00AB03B3"/>
    <w:rsid w:val="00AB05A0"/>
    <w:rsid w:val="00AB0DD6"/>
    <w:rsid w:val="00AB126F"/>
    <w:rsid w:val="00AB1312"/>
    <w:rsid w:val="00AB179F"/>
    <w:rsid w:val="00AB210D"/>
    <w:rsid w:val="00AB4CFA"/>
    <w:rsid w:val="00AB5225"/>
    <w:rsid w:val="00AB621A"/>
    <w:rsid w:val="00AB65F6"/>
    <w:rsid w:val="00AB704D"/>
    <w:rsid w:val="00AB70A5"/>
    <w:rsid w:val="00AB7724"/>
    <w:rsid w:val="00AB77B3"/>
    <w:rsid w:val="00AB7A04"/>
    <w:rsid w:val="00AC14AF"/>
    <w:rsid w:val="00AC25B2"/>
    <w:rsid w:val="00AC47B6"/>
    <w:rsid w:val="00AC558B"/>
    <w:rsid w:val="00AC5FEB"/>
    <w:rsid w:val="00AC7AA9"/>
    <w:rsid w:val="00AC7D32"/>
    <w:rsid w:val="00AD0017"/>
    <w:rsid w:val="00AD0343"/>
    <w:rsid w:val="00AD0B8C"/>
    <w:rsid w:val="00AD3712"/>
    <w:rsid w:val="00AD3D71"/>
    <w:rsid w:val="00AD3EA2"/>
    <w:rsid w:val="00AD4070"/>
    <w:rsid w:val="00AD44DC"/>
    <w:rsid w:val="00AD4609"/>
    <w:rsid w:val="00AD5A5C"/>
    <w:rsid w:val="00AE0EF8"/>
    <w:rsid w:val="00AE3218"/>
    <w:rsid w:val="00AE32D9"/>
    <w:rsid w:val="00AE3B1F"/>
    <w:rsid w:val="00AE43C4"/>
    <w:rsid w:val="00AE4454"/>
    <w:rsid w:val="00AE4958"/>
    <w:rsid w:val="00AE4D65"/>
    <w:rsid w:val="00AE52B3"/>
    <w:rsid w:val="00AE58AB"/>
    <w:rsid w:val="00AE7DF5"/>
    <w:rsid w:val="00AF0141"/>
    <w:rsid w:val="00AF18B3"/>
    <w:rsid w:val="00AF25D7"/>
    <w:rsid w:val="00AF3BA9"/>
    <w:rsid w:val="00AF4CCA"/>
    <w:rsid w:val="00AF7B5E"/>
    <w:rsid w:val="00B00935"/>
    <w:rsid w:val="00B00CF6"/>
    <w:rsid w:val="00B012BD"/>
    <w:rsid w:val="00B014E7"/>
    <w:rsid w:val="00B02A7E"/>
    <w:rsid w:val="00B02D50"/>
    <w:rsid w:val="00B036E5"/>
    <w:rsid w:val="00B06424"/>
    <w:rsid w:val="00B07C43"/>
    <w:rsid w:val="00B108D2"/>
    <w:rsid w:val="00B10B2A"/>
    <w:rsid w:val="00B115CA"/>
    <w:rsid w:val="00B122B7"/>
    <w:rsid w:val="00B137EA"/>
    <w:rsid w:val="00B13FED"/>
    <w:rsid w:val="00B14152"/>
    <w:rsid w:val="00B14513"/>
    <w:rsid w:val="00B147C9"/>
    <w:rsid w:val="00B15ACB"/>
    <w:rsid w:val="00B1686A"/>
    <w:rsid w:val="00B20FEC"/>
    <w:rsid w:val="00B21422"/>
    <w:rsid w:val="00B216C6"/>
    <w:rsid w:val="00B218D2"/>
    <w:rsid w:val="00B21BCE"/>
    <w:rsid w:val="00B221AB"/>
    <w:rsid w:val="00B2223A"/>
    <w:rsid w:val="00B22735"/>
    <w:rsid w:val="00B22ABA"/>
    <w:rsid w:val="00B233A7"/>
    <w:rsid w:val="00B242AF"/>
    <w:rsid w:val="00B24A89"/>
    <w:rsid w:val="00B24DFF"/>
    <w:rsid w:val="00B2614F"/>
    <w:rsid w:val="00B26607"/>
    <w:rsid w:val="00B277C0"/>
    <w:rsid w:val="00B30004"/>
    <w:rsid w:val="00B302AC"/>
    <w:rsid w:val="00B307F5"/>
    <w:rsid w:val="00B318AA"/>
    <w:rsid w:val="00B31CB9"/>
    <w:rsid w:val="00B32E0A"/>
    <w:rsid w:val="00B33C46"/>
    <w:rsid w:val="00B37CD6"/>
    <w:rsid w:val="00B416F4"/>
    <w:rsid w:val="00B41991"/>
    <w:rsid w:val="00B41ED9"/>
    <w:rsid w:val="00B420B0"/>
    <w:rsid w:val="00B42258"/>
    <w:rsid w:val="00B42450"/>
    <w:rsid w:val="00B4378F"/>
    <w:rsid w:val="00B44107"/>
    <w:rsid w:val="00B45413"/>
    <w:rsid w:val="00B45891"/>
    <w:rsid w:val="00B46449"/>
    <w:rsid w:val="00B47284"/>
    <w:rsid w:val="00B47A89"/>
    <w:rsid w:val="00B47F99"/>
    <w:rsid w:val="00B50B02"/>
    <w:rsid w:val="00B51CB4"/>
    <w:rsid w:val="00B52945"/>
    <w:rsid w:val="00B52B57"/>
    <w:rsid w:val="00B53341"/>
    <w:rsid w:val="00B533D2"/>
    <w:rsid w:val="00B53710"/>
    <w:rsid w:val="00B539D0"/>
    <w:rsid w:val="00B53D89"/>
    <w:rsid w:val="00B56CDE"/>
    <w:rsid w:val="00B5734F"/>
    <w:rsid w:val="00B575F0"/>
    <w:rsid w:val="00B578B5"/>
    <w:rsid w:val="00B6048A"/>
    <w:rsid w:val="00B61262"/>
    <w:rsid w:val="00B612F1"/>
    <w:rsid w:val="00B618A0"/>
    <w:rsid w:val="00B629EE"/>
    <w:rsid w:val="00B62F29"/>
    <w:rsid w:val="00B6426D"/>
    <w:rsid w:val="00B650CF"/>
    <w:rsid w:val="00B661D4"/>
    <w:rsid w:val="00B667F6"/>
    <w:rsid w:val="00B7097C"/>
    <w:rsid w:val="00B70D74"/>
    <w:rsid w:val="00B71032"/>
    <w:rsid w:val="00B716F8"/>
    <w:rsid w:val="00B71E34"/>
    <w:rsid w:val="00B7326F"/>
    <w:rsid w:val="00B762A9"/>
    <w:rsid w:val="00B76AA9"/>
    <w:rsid w:val="00B77BB6"/>
    <w:rsid w:val="00B80917"/>
    <w:rsid w:val="00B81B3B"/>
    <w:rsid w:val="00B8333A"/>
    <w:rsid w:val="00B83403"/>
    <w:rsid w:val="00B8357F"/>
    <w:rsid w:val="00B8443F"/>
    <w:rsid w:val="00B854A7"/>
    <w:rsid w:val="00B87EE4"/>
    <w:rsid w:val="00B91352"/>
    <w:rsid w:val="00B917E2"/>
    <w:rsid w:val="00B924B7"/>
    <w:rsid w:val="00B924B9"/>
    <w:rsid w:val="00B92BEC"/>
    <w:rsid w:val="00B93D7E"/>
    <w:rsid w:val="00B948B3"/>
    <w:rsid w:val="00B95659"/>
    <w:rsid w:val="00B95BF4"/>
    <w:rsid w:val="00B962C7"/>
    <w:rsid w:val="00B96EA9"/>
    <w:rsid w:val="00B9759F"/>
    <w:rsid w:val="00BA1290"/>
    <w:rsid w:val="00BA1CF8"/>
    <w:rsid w:val="00BA27AD"/>
    <w:rsid w:val="00BA2A64"/>
    <w:rsid w:val="00BA2FAA"/>
    <w:rsid w:val="00BA3DEF"/>
    <w:rsid w:val="00BA499C"/>
    <w:rsid w:val="00BA5A6A"/>
    <w:rsid w:val="00BB014D"/>
    <w:rsid w:val="00BB1478"/>
    <w:rsid w:val="00BB1830"/>
    <w:rsid w:val="00BB220F"/>
    <w:rsid w:val="00BB3769"/>
    <w:rsid w:val="00BB4A09"/>
    <w:rsid w:val="00BB5B51"/>
    <w:rsid w:val="00BB78A4"/>
    <w:rsid w:val="00BB7E13"/>
    <w:rsid w:val="00BC06E2"/>
    <w:rsid w:val="00BC0FDA"/>
    <w:rsid w:val="00BC1A1F"/>
    <w:rsid w:val="00BC23A2"/>
    <w:rsid w:val="00BC3017"/>
    <w:rsid w:val="00BC3538"/>
    <w:rsid w:val="00BC3C3D"/>
    <w:rsid w:val="00BC43EA"/>
    <w:rsid w:val="00BC4CC0"/>
    <w:rsid w:val="00BC509C"/>
    <w:rsid w:val="00BC51EA"/>
    <w:rsid w:val="00BC5F46"/>
    <w:rsid w:val="00BC60F6"/>
    <w:rsid w:val="00BC61E8"/>
    <w:rsid w:val="00BC62F1"/>
    <w:rsid w:val="00BC6F2C"/>
    <w:rsid w:val="00BD313F"/>
    <w:rsid w:val="00BD3615"/>
    <w:rsid w:val="00BD53DE"/>
    <w:rsid w:val="00BD5BEE"/>
    <w:rsid w:val="00BE0B80"/>
    <w:rsid w:val="00BE0C22"/>
    <w:rsid w:val="00BE2565"/>
    <w:rsid w:val="00BE2979"/>
    <w:rsid w:val="00BE2FF1"/>
    <w:rsid w:val="00BE3047"/>
    <w:rsid w:val="00BE3417"/>
    <w:rsid w:val="00BE37D6"/>
    <w:rsid w:val="00BE3967"/>
    <w:rsid w:val="00BE399F"/>
    <w:rsid w:val="00BE4053"/>
    <w:rsid w:val="00BE45B4"/>
    <w:rsid w:val="00BE4EF1"/>
    <w:rsid w:val="00BE58CC"/>
    <w:rsid w:val="00BE623D"/>
    <w:rsid w:val="00BE66FC"/>
    <w:rsid w:val="00BE7139"/>
    <w:rsid w:val="00BE7826"/>
    <w:rsid w:val="00BF0581"/>
    <w:rsid w:val="00BF0D44"/>
    <w:rsid w:val="00BF19DA"/>
    <w:rsid w:val="00BF39FE"/>
    <w:rsid w:val="00BF3DF7"/>
    <w:rsid w:val="00BF4C07"/>
    <w:rsid w:val="00BF56F8"/>
    <w:rsid w:val="00BF59BE"/>
    <w:rsid w:val="00BF6097"/>
    <w:rsid w:val="00BF7233"/>
    <w:rsid w:val="00BF79D5"/>
    <w:rsid w:val="00C00EE7"/>
    <w:rsid w:val="00C02620"/>
    <w:rsid w:val="00C02977"/>
    <w:rsid w:val="00C02F22"/>
    <w:rsid w:val="00C0330A"/>
    <w:rsid w:val="00C0528C"/>
    <w:rsid w:val="00C05A81"/>
    <w:rsid w:val="00C11D0C"/>
    <w:rsid w:val="00C12F2F"/>
    <w:rsid w:val="00C13EF7"/>
    <w:rsid w:val="00C15850"/>
    <w:rsid w:val="00C17281"/>
    <w:rsid w:val="00C208F9"/>
    <w:rsid w:val="00C20B7F"/>
    <w:rsid w:val="00C23CC1"/>
    <w:rsid w:val="00C23D8A"/>
    <w:rsid w:val="00C23E80"/>
    <w:rsid w:val="00C2463D"/>
    <w:rsid w:val="00C251FE"/>
    <w:rsid w:val="00C26970"/>
    <w:rsid w:val="00C26DAF"/>
    <w:rsid w:val="00C2755A"/>
    <w:rsid w:val="00C278BE"/>
    <w:rsid w:val="00C3055B"/>
    <w:rsid w:val="00C3149C"/>
    <w:rsid w:val="00C315B1"/>
    <w:rsid w:val="00C3210C"/>
    <w:rsid w:val="00C3302E"/>
    <w:rsid w:val="00C33EC6"/>
    <w:rsid w:val="00C3435D"/>
    <w:rsid w:val="00C35288"/>
    <w:rsid w:val="00C353A7"/>
    <w:rsid w:val="00C36AA0"/>
    <w:rsid w:val="00C40DA5"/>
    <w:rsid w:val="00C40E1A"/>
    <w:rsid w:val="00C4109D"/>
    <w:rsid w:val="00C4500C"/>
    <w:rsid w:val="00C469CD"/>
    <w:rsid w:val="00C47189"/>
    <w:rsid w:val="00C475AC"/>
    <w:rsid w:val="00C51F6C"/>
    <w:rsid w:val="00C5245A"/>
    <w:rsid w:val="00C53170"/>
    <w:rsid w:val="00C536AF"/>
    <w:rsid w:val="00C54135"/>
    <w:rsid w:val="00C54290"/>
    <w:rsid w:val="00C54739"/>
    <w:rsid w:val="00C54C6E"/>
    <w:rsid w:val="00C55250"/>
    <w:rsid w:val="00C55584"/>
    <w:rsid w:val="00C578FA"/>
    <w:rsid w:val="00C6021F"/>
    <w:rsid w:val="00C61284"/>
    <w:rsid w:val="00C613C2"/>
    <w:rsid w:val="00C61777"/>
    <w:rsid w:val="00C61E5F"/>
    <w:rsid w:val="00C6203A"/>
    <w:rsid w:val="00C62CE9"/>
    <w:rsid w:val="00C62FE6"/>
    <w:rsid w:val="00C63C78"/>
    <w:rsid w:val="00C63CB0"/>
    <w:rsid w:val="00C65169"/>
    <w:rsid w:val="00C659FC"/>
    <w:rsid w:val="00C6650A"/>
    <w:rsid w:val="00C66D00"/>
    <w:rsid w:val="00C67517"/>
    <w:rsid w:val="00C67AF0"/>
    <w:rsid w:val="00C67B05"/>
    <w:rsid w:val="00C704F9"/>
    <w:rsid w:val="00C7063D"/>
    <w:rsid w:val="00C716AB"/>
    <w:rsid w:val="00C71E43"/>
    <w:rsid w:val="00C72881"/>
    <w:rsid w:val="00C73AB3"/>
    <w:rsid w:val="00C75910"/>
    <w:rsid w:val="00C7696B"/>
    <w:rsid w:val="00C76B08"/>
    <w:rsid w:val="00C7722E"/>
    <w:rsid w:val="00C778E1"/>
    <w:rsid w:val="00C77DF9"/>
    <w:rsid w:val="00C80904"/>
    <w:rsid w:val="00C814BA"/>
    <w:rsid w:val="00C81682"/>
    <w:rsid w:val="00C849DC"/>
    <w:rsid w:val="00C84BEE"/>
    <w:rsid w:val="00C85093"/>
    <w:rsid w:val="00C867C3"/>
    <w:rsid w:val="00C86E34"/>
    <w:rsid w:val="00C903D2"/>
    <w:rsid w:val="00C9058B"/>
    <w:rsid w:val="00C9101F"/>
    <w:rsid w:val="00C93B6F"/>
    <w:rsid w:val="00C94A69"/>
    <w:rsid w:val="00C9576D"/>
    <w:rsid w:val="00C957B6"/>
    <w:rsid w:val="00C96B4E"/>
    <w:rsid w:val="00CA0823"/>
    <w:rsid w:val="00CA3F88"/>
    <w:rsid w:val="00CA467A"/>
    <w:rsid w:val="00CA46D9"/>
    <w:rsid w:val="00CA473C"/>
    <w:rsid w:val="00CA47D3"/>
    <w:rsid w:val="00CA5C85"/>
    <w:rsid w:val="00CA6433"/>
    <w:rsid w:val="00CA6F49"/>
    <w:rsid w:val="00CA752A"/>
    <w:rsid w:val="00CB003D"/>
    <w:rsid w:val="00CB066D"/>
    <w:rsid w:val="00CB0E79"/>
    <w:rsid w:val="00CB110F"/>
    <w:rsid w:val="00CB2335"/>
    <w:rsid w:val="00CB28D1"/>
    <w:rsid w:val="00CB2C90"/>
    <w:rsid w:val="00CB3788"/>
    <w:rsid w:val="00CB4902"/>
    <w:rsid w:val="00CB566F"/>
    <w:rsid w:val="00CB58B3"/>
    <w:rsid w:val="00CB65B0"/>
    <w:rsid w:val="00CB67F0"/>
    <w:rsid w:val="00CB68B5"/>
    <w:rsid w:val="00CB6C72"/>
    <w:rsid w:val="00CC0128"/>
    <w:rsid w:val="00CC24D5"/>
    <w:rsid w:val="00CC25F6"/>
    <w:rsid w:val="00CC26CB"/>
    <w:rsid w:val="00CC385C"/>
    <w:rsid w:val="00CC44EE"/>
    <w:rsid w:val="00CC479D"/>
    <w:rsid w:val="00CC4990"/>
    <w:rsid w:val="00CC54FD"/>
    <w:rsid w:val="00CC60E8"/>
    <w:rsid w:val="00CC627D"/>
    <w:rsid w:val="00CC6CF9"/>
    <w:rsid w:val="00CC72C5"/>
    <w:rsid w:val="00CC78C4"/>
    <w:rsid w:val="00CD1183"/>
    <w:rsid w:val="00CD13E8"/>
    <w:rsid w:val="00CD2906"/>
    <w:rsid w:val="00CD2E8F"/>
    <w:rsid w:val="00CD4432"/>
    <w:rsid w:val="00CD58FE"/>
    <w:rsid w:val="00CD761E"/>
    <w:rsid w:val="00CD77FE"/>
    <w:rsid w:val="00CE5D57"/>
    <w:rsid w:val="00CE6644"/>
    <w:rsid w:val="00CE6BED"/>
    <w:rsid w:val="00CE7CF9"/>
    <w:rsid w:val="00CF0D0B"/>
    <w:rsid w:val="00CF1308"/>
    <w:rsid w:val="00CF2EFB"/>
    <w:rsid w:val="00CF3142"/>
    <w:rsid w:val="00CF42C0"/>
    <w:rsid w:val="00CF50E5"/>
    <w:rsid w:val="00CF5178"/>
    <w:rsid w:val="00CF565F"/>
    <w:rsid w:val="00CF5F28"/>
    <w:rsid w:val="00CF6927"/>
    <w:rsid w:val="00D045AB"/>
    <w:rsid w:val="00D045D2"/>
    <w:rsid w:val="00D05B88"/>
    <w:rsid w:val="00D05DA4"/>
    <w:rsid w:val="00D05E78"/>
    <w:rsid w:val="00D102D4"/>
    <w:rsid w:val="00D1130C"/>
    <w:rsid w:val="00D11C1D"/>
    <w:rsid w:val="00D12384"/>
    <w:rsid w:val="00D13355"/>
    <w:rsid w:val="00D149C8"/>
    <w:rsid w:val="00D14AE5"/>
    <w:rsid w:val="00D153C1"/>
    <w:rsid w:val="00D1657F"/>
    <w:rsid w:val="00D17CB4"/>
    <w:rsid w:val="00D202CE"/>
    <w:rsid w:val="00D20FE9"/>
    <w:rsid w:val="00D21663"/>
    <w:rsid w:val="00D22742"/>
    <w:rsid w:val="00D235C6"/>
    <w:rsid w:val="00D23FAD"/>
    <w:rsid w:val="00D24163"/>
    <w:rsid w:val="00D24BDB"/>
    <w:rsid w:val="00D25618"/>
    <w:rsid w:val="00D257BB"/>
    <w:rsid w:val="00D25B6D"/>
    <w:rsid w:val="00D25CB9"/>
    <w:rsid w:val="00D25EDE"/>
    <w:rsid w:val="00D270CB"/>
    <w:rsid w:val="00D2732B"/>
    <w:rsid w:val="00D27741"/>
    <w:rsid w:val="00D27D30"/>
    <w:rsid w:val="00D305EC"/>
    <w:rsid w:val="00D30D81"/>
    <w:rsid w:val="00D30FDA"/>
    <w:rsid w:val="00D32A90"/>
    <w:rsid w:val="00D334FE"/>
    <w:rsid w:val="00D3360B"/>
    <w:rsid w:val="00D3479D"/>
    <w:rsid w:val="00D34B16"/>
    <w:rsid w:val="00D358A0"/>
    <w:rsid w:val="00D35B85"/>
    <w:rsid w:val="00D408EA"/>
    <w:rsid w:val="00D421F0"/>
    <w:rsid w:val="00D439F9"/>
    <w:rsid w:val="00D45E85"/>
    <w:rsid w:val="00D4671F"/>
    <w:rsid w:val="00D468AC"/>
    <w:rsid w:val="00D506A7"/>
    <w:rsid w:val="00D5329B"/>
    <w:rsid w:val="00D539C8"/>
    <w:rsid w:val="00D53E60"/>
    <w:rsid w:val="00D56DE3"/>
    <w:rsid w:val="00D570BC"/>
    <w:rsid w:val="00D573EA"/>
    <w:rsid w:val="00D579A6"/>
    <w:rsid w:val="00D60D2B"/>
    <w:rsid w:val="00D61D9E"/>
    <w:rsid w:val="00D6300D"/>
    <w:rsid w:val="00D631D2"/>
    <w:rsid w:val="00D65906"/>
    <w:rsid w:val="00D66AC8"/>
    <w:rsid w:val="00D66DC1"/>
    <w:rsid w:val="00D66EF0"/>
    <w:rsid w:val="00D66F25"/>
    <w:rsid w:val="00D66FC5"/>
    <w:rsid w:val="00D679C2"/>
    <w:rsid w:val="00D720BD"/>
    <w:rsid w:val="00D720F1"/>
    <w:rsid w:val="00D7252F"/>
    <w:rsid w:val="00D72B3F"/>
    <w:rsid w:val="00D74F3C"/>
    <w:rsid w:val="00D76F19"/>
    <w:rsid w:val="00D774C7"/>
    <w:rsid w:val="00D77B9D"/>
    <w:rsid w:val="00D77EFF"/>
    <w:rsid w:val="00D8088C"/>
    <w:rsid w:val="00D8167D"/>
    <w:rsid w:val="00D81873"/>
    <w:rsid w:val="00D81B81"/>
    <w:rsid w:val="00D82C72"/>
    <w:rsid w:val="00D83A2E"/>
    <w:rsid w:val="00D8453D"/>
    <w:rsid w:val="00D84D5F"/>
    <w:rsid w:val="00D854A2"/>
    <w:rsid w:val="00D85BA2"/>
    <w:rsid w:val="00D85DC3"/>
    <w:rsid w:val="00D86957"/>
    <w:rsid w:val="00D86A93"/>
    <w:rsid w:val="00D86AD5"/>
    <w:rsid w:val="00D86C5D"/>
    <w:rsid w:val="00D90A72"/>
    <w:rsid w:val="00D90D40"/>
    <w:rsid w:val="00D91111"/>
    <w:rsid w:val="00D917C7"/>
    <w:rsid w:val="00D91CA2"/>
    <w:rsid w:val="00D92719"/>
    <w:rsid w:val="00D92844"/>
    <w:rsid w:val="00D92CB8"/>
    <w:rsid w:val="00D92D7A"/>
    <w:rsid w:val="00D94248"/>
    <w:rsid w:val="00D95300"/>
    <w:rsid w:val="00D95C9B"/>
    <w:rsid w:val="00D95D9F"/>
    <w:rsid w:val="00D962ED"/>
    <w:rsid w:val="00D96631"/>
    <w:rsid w:val="00D96B28"/>
    <w:rsid w:val="00D96D87"/>
    <w:rsid w:val="00D96FF1"/>
    <w:rsid w:val="00DA00FE"/>
    <w:rsid w:val="00DA0D97"/>
    <w:rsid w:val="00DA10B6"/>
    <w:rsid w:val="00DA12F4"/>
    <w:rsid w:val="00DA2B04"/>
    <w:rsid w:val="00DA2F07"/>
    <w:rsid w:val="00DA5DB6"/>
    <w:rsid w:val="00DA5DC0"/>
    <w:rsid w:val="00DA62C1"/>
    <w:rsid w:val="00DA7691"/>
    <w:rsid w:val="00DB0054"/>
    <w:rsid w:val="00DB0C12"/>
    <w:rsid w:val="00DB1D0E"/>
    <w:rsid w:val="00DB2595"/>
    <w:rsid w:val="00DB2F2C"/>
    <w:rsid w:val="00DB65C0"/>
    <w:rsid w:val="00DB74B1"/>
    <w:rsid w:val="00DC0531"/>
    <w:rsid w:val="00DC144A"/>
    <w:rsid w:val="00DC163E"/>
    <w:rsid w:val="00DC181C"/>
    <w:rsid w:val="00DC2440"/>
    <w:rsid w:val="00DC2A42"/>
    <w:rsid w:val="00DC30F3"/>
    <w:rsid w:val="00DC40C3"/>
    <w:rsid w:val="00DC4278"/>
    <w:rsid w:val="00DC4A83"/>
    <w:rsid w:val="00DC513B"/>
    <w:rsid w:val="00DC5C92"/>
    <w:rsid w:val="00DC65C4"/>
    <w:rsid w:val="00DC6C22"/>
    <w:rsid w:val="00DD1F39"/>
    <w:rsid w:val="00DD25E3"/>
    <w:rsid w:val="00DD2D6E"/>
    <w:rsid w:val="00DD33A0"/>
    <w:rsid w:val="00DD3AC2"/>
    <w:rsid w:val="00DD3C69"/>
    <w:rsid w:val="00DD5A0E"/>
    <w:rsid w:val="00DD5C09"/>
    <w:rsid w:val="00DD5EA3"/>
    <w:rsid w:val="00DD7653"/>
    <w:rsid w:val="00DD790D"/>
    <w:rsid w:val="00DE0A40"/>
    <w:rsid w:val="00DE1653"/>
    <w:rsid w:val="00DE2D8D"/>
    <w:rsid w:val="00DE6364"/>
    <w:rsid w:val="00DE6929"/>
    <w:rsid w:val="00DE7D7D"/>
    <w:rsid w:val="00DF0D25"/>
    <w:rsid w:val="00DF0E04"/>
    <w:rsid w:val="00DF210C"/>
    <w:rsid w:val="00DF4387"/>
    <w:rsid w:val="00DF4EB5"/>
    <w:rsid w:val="00DF53AF"/>
    <w:rsid w:val="00DF5957"/>
    <w:rsid w:val="00DF655F"/>
    <w:rsid w:val="00DF759D"/>
    <w:rsid w:val="00DF7BAE"/>
    <w:rsid w:val="00E01802"/>
    <w:rsid w:val="00E0206C"/>
    <w:rsid w:val="00E04F3F"/>
    <w:rsid w:val="00E0546F"/>
    <w:rsid w:val="00E05BA4"/>
    <w:rsid w:val="00E05EE8"/>
    <w:rsid w:val="00E06DA8"/>
    <w:rsid w:val="00E079C3"/>
    <w:rsid w:val="00E07EB2"/>
    <w:rsid w:val="00E10BC8"/>
    <w:rsid w:val="00E12903"/>
    <w:rsid w:val="00E12D3B"/>
    <w:rsid w:val="00E13BD4"/>
    <w:rsid w:val="00E13EE0"/>
    <w:rsid w:val="00E15A39"/>
    <w:rsid w:val="00E15DAA"/>
    <w:rsid w:val="00E1644B"/>
    <w:rsid w:val="00E17CC4"/>
    <w:rsid w:val="00E17FC4"/>
    <w:rsid w:val="00E21661"/>
    <w:rsid w:val="00E22C20"/>
    <w:rsid w:val="00E23E08"/>
    <w:rsid w:val="00E23EBF"/>
    <w:rsid w:val="00E2437A"/>
    <w:rsid w:val="00E24459"/>
    <w:rsid w:val="00E246D4"/>
    <w:rsid w:val="00E25F5E"/>
    <w:rsid w:val="00E2618D"/>
    <w:rsid w:val="00E2648E"/>
    <w:rsid w:val="00E26F87"/>
    <w:rsid w:val="00E27B6F"/>
    <w:rsid w:val="00E3015C"/>
    <w:rsid w:val="00E3127B"/>
    <w:rsid w:val="00E32B75"/>
    <w:rsid w:val="00E33154"/>
    <w:rsid w:val="00E33BEE"/>
    <w:rsid w:val="00E34719"/>
    <w:rsid w:val="00E34AC2"/>
    <w:rsid w:val="00E372AE"/>
    <w:rsid w:val="00E372F7"/>
    <w:rsid w:val="00E37331"/>
    <w:rsid w:val="00E40217"/>
    <w:rsid w:val="00E40A2D"/>
    <w:rsid w:val="00E42AE6"/>
    <w:rsid w:val="00E43872"/>
    <w:rsid w:val="00E44AE9"/>
    <w:rsid w:val="00E451F3"/>
    <w:rsid w:val="00E473F1"/>
    <w:rsid w:val="00E50005"/>
    <w:rsid w:val="00E5009F"/>
    <w:rsid w:val="00E50306"/>
    <w:rsid w:val="00E50703"/>
    <w:rsid w:val="00E50972"/>
    <w:rsid w:val="00E52193"/>
    <w:rsid w:val="00E528E8"/>
    <w:rsid w:val="00E54D53"/>
    <w:rsid w:val="00E554E8"/>
    <w:rsid w:val="00E57523"/>
    <w:rsid w:val="00E61894"/>
    <w:rsid w:val="00E62214"/>
    <w:rsid w:val="00E6245C"/>
    <w:rsid w:val="00E62C34"/>
    <w:rsid w:val="00E62D90"/>
    <w:rsid w:val="00E63140"/>
    <w:rsid w:val="00E633DC"/>
    <w:rsid w:val="00E64BA0"/>
    <w:rsid w:val="00E655E2"/>
    <w:rsid w:val="00E65CD8"/>
    <w:rsid w:val="00E66603"/>
    <w:rsid w:val="00E674F3"/>
    <w:rsid w:val="00E70616"/>
    <w:rsid w:val="00E711EA"/>
    <w:rsid w:val="00E715D0"/>
    <w:rsid w:val="00E73078"/>
    <w:rsid w:val="00E735A9"/>
    <w:rsid w:val="00E735FE"/>
    <w:rsid w:val="00E73792"/>
    <w:rsid w:val="00E73ACF"/>
    <w:rsid w:val="00E74ECC"/>
    <w:rsid w:val="00E7515A"/>
    <w:rsid w:val="00E776F0"/>
    <w:rsid w:val="00E80640"/>
    <w:rsid w:val="00E8157E"/>
    <w:rsid w:val="00E815FC"/>
    <w:rsid w:val="00E816FE"/>
    <w:rsid w:val="00E81736"/>
    <w:rsid w:val="00E81ED7"/>
    <w:rsid w:val="00E82586"/>
    <w:rsid w:val="00E826C4"/>
    <w:rsid w:val="00E82F1F"/>
    <w:rsid w:val="00E836D7"/>
    <w:rsid w:val="00E83A20"/>
    <w:rsid w:val="00E84C24"/>
    <w:rsid w:val="00E84D69"/>
    <w:rsid w:val="00E84FB3"/>
    <w:rsid w:val="00E850C3"/>
    <w:rsid w:val="00E85C7C"/>
    <w:rsid w:val="00E86488"/>
    <w:rsid w:val="00E86F2E"/>
    <w:rsid w:val="00E90228"/>
    <w:rsid w:val="00E907F4"/>
    <w:rsid w:val="00E9145C"/>
    <w:rsid w:val="00E95F4E"/>
    <w:rsid w:val="00E96E5D"/>
    <w:rsid w:val="00E9798A"/>
    <w:rsid w:val="00E979F7"/>
    <w:rsid w:val="00EA2438"/>
    <w:rsid w:val="00EA3000"/>
    <w:rsid w:val="00EA3725"/>
    <w:rsid w:val="00EA3936"/>
    <w:rsid w:val="00EA513F"/>
    <w:rsid w:val="00EA5961"/>
    <w:rsid w:val="00EA5CD1"/>
    <w:rsid w:val="00EA5E2A"/>
    <w:rsid w:val="00EA6D84"/>
    <w:rsid w:val="00EA7710"/>
    <w:rsid w:val="00EA7D38"/>
    <w:rsid w:val="00EB0731"/>
    <w:rsid w:val="00EB1015"/>
    <w:rsid w:val="00EB2020"/>
    <w:rsid w:val="00EB27D5"/>
    <w:rsid w:val="00EB28E9"/>
    <w:rsid w:val="00EB2E09"/>
    <w:rsid w:val="00EB3653"/>
    <w:rsid w:val="00EB39F0"/>
    <w:rsid w:val="00EB578A"/>
    <w:rsid w:val="00EB6AFD"/>
    <w:rsid w:val="00EB6C7D"/>
    <w:rsid w:val="00EB70E5"/>
    <w:rsid w:val="00EB7C8E"/>
    <w:rsid w:val="00EC02BE"/>
    <w:rsid w:val="00EC146E"/>
    <w:rsid w:val="00EC1B1A"/>
    <w:rsid w:val="00EC35DE"/>
    <w:rsid w:val="00EC53E6"/>
    <w:rsid w:val="00EC543A"/>
    <w:rsid w:val="00EC5796"/>
    <w:rsid w:val="00EC5975"/>
    <w:rsid w:val="00EC6130"/>
    <w:rsid w:val="00EC6766"/>
    <w:rsid w:val="00EC6B27"/>
    <w:rsid w:val="00EC6BF6"/>
    <w:rsid w:val="00EC7AE3"/>
    <w:rsid w:val="00EC7E08"/>
    <w:rsid w:val="00ED0F4E"/>
    <w:rsid w:val="00ED2563"/>
    <w:rsid w:val="00ED2A4C"/>
    <w:rsid w:val="00ED6DFC"/>
    <w:rsid w:val="00ED6E2D"/>
    <w:rsid w:val="00ED762B"/>
    <w:rsid w:val="00EE067C"/>
    <w:rsid w:val="00EE1275"/>
    <w:rsid w:val="00EE1D7D"/>
    <w:rsid w:val="00EE2031"/>
    <w:rsid w:val="00EE2D3E"/>
    <w:rsid w:val="00EE35DE"/>
    <w:rsid w:val="00EE4924"/>
    <w:rsid w:val="00EE7A5E"/>
    <w:rsid w:val="00EF039F"/>
    <w:rsid w:val="00EF11CE"/>
    <w:rsid w:val="00EF13D7"/>
    <w:rsid w:val="00EF13FE"/>
    <w:rsid w:val="00EF2143"/>
    <w:rsid w:val="00EF3159"/>
    <w:rsid w:val="00EF384D"/>
    <w:rsid w:val="00EF4569"/>
    <w:rsid w:val="00EF4B37"/>
    <w:rsid w:val="00EF4F51"/>
    <w:rsid w:val="00EF6301"/>
    <w:rsid w:val="00EF6960"/>
    <w:rsid w:val="00EF6DA6"/>
    <w:rsid w:val="00EF74D6"/>
    <w:rsid w:val="00EF7AA7"/>
    <w:rsid w:val="00EF7D4C"/>
    <w:rsid w:val="00F03706"/>
    <w:rsid w:val="00F062AC"/>
    <w:rsid w:val="00F068A0"/>
    <w:rsid w:val="00F0745D"/>
    <w:rsid w:val="00F10C63"/>
    <w:rsid w:val="00F115CA"/>
    <w:rsid w:val="00F121CB"/>
    <w:rsid w:val="00F12787"/>
    <w:rsid w:val="00F152AB"/>
    <w:rsid w:val="00F15BE9"/>
    <w:rsid w:val="00F17101"/>
    <w:rsid w:val="00F175A3"/>
    <w:rsid w:val="00F175F6"/>
    <w:rsid w:val="00F177DC"/>
    <w:rsid w:val="00F17AC1"/>
    <w:rsid w:val="00F205A6"/>
    <w:rsid w:val="00F20A25"/>
    <w:rsid w:val="00F20D6E"/>
    <w:rsid w:val="00F21433"/>
    <w:rsid w:val="00F22810"/>
    <w:rsid w:val="00F23521"/>
    <w:rsid w:val="00F2359F"/>
    <w:rsid w:val="00F25573"/>
    <w:rsid w:val="00F25733"/>
    <w:rsid w:val="00F25E05"/>
    <w:rsid w:val="00F26F08"/>
    <w:rsid w:val="00F2710C"/>
    <w:rsid w:val="00F274F9"/>
    <w:rsid w:val="00F311BD"/>
    <w:rsid w:val="00F314CA"/>
    <w:rsid w:val="00F31F31"/>
    <w:rsid w:val="00F34F34"/>
    <w:rsid w:val="00F35350"/>
    <w:rsid w:val="00F35805"/>
    <w:rsid w:val="00F35D14"/>
    <w:rsid w:val="00F35E37"/>
    <w:rsid w:val="00F36CF6"/>
    <w:rsid w:val="00F37737"/>
    <w:rsid w:val="00F4022D"/>
    <w:rsid w:val="00F40BDA"/>
    <w:rsid w:val="00F419C8"/>
    <w:rsid w:val="00F41C30"/>
    <w:rsid w:val="00F4352C"/>
    <w:rsid w:val="00F435DD"/>
    <w:rsid w:val="00F43806"/>
    <w:rsid w:val="00F44A54"/>
    <w:rsid w:val="00F46DC9"/>
    <w:rsid w:val="00F47051"/>
    <w:rsid w:val="00F47DFA"/>
    <w:rsid w:val="00F5078F"/>
    <w:rsid w:val="00F529FD"/>
    <w:rsid w:val="00F56757"/>
    <w:rsid w:val="00F61830"/>
    <w:rsid w:val="00F61F2B"/>
    <w:rsid w:val="00F63137"/>
    <w:rsid w:val="00F632F0"/>
    <w:rsid w:val="00F650C6"/>
    <w:rsid w:val="00F6654F"/>
    <w:rsid w:val="00F670C5"/>
    <w:rsid w:val="00F672F3"/>
    <w:rsid w:val="00F67613"/>
    <w:rsid w:val="00F67E52"/>
    <w:rsid w:val="00F70CF0"/>
    <w:rsid w:val="00F717A9"/>
    <w:rsid w:val="00F72893"/>
    <w:rsid w:val="00F72F75"/>
    <w:rsid w:val="00F744CB"/>
    <w:rsid w:val="00F74885"/>
    <w:rsid w:val="00F75D7F"/>
    <w:rsid w:val="00F808C8"/>
    <w:rsid w:val="00F82F71"/>
    <w:rsid w:val="00F8319D"/>
    <w:rsid w:val="00F852AC"/>
    <w:rsid w:val="00F864DF"/>
    <w:rsid w:val="00F87873"/>
    <w:rsid w:val="00F8797F"/>
    <w:rsid w:val="00F90801"/>
    <w:rsid w:val="00F90CEE"/>
    <w:rsid w:val="00F90FD1"/>
    <w:rsid w:val="00F928A7"/>
    <w:rsid w:val="00F940F7"/>
    <w:rsid w:val="00F94832"/>
    <w:rsid w:val="00F951A8"/>
    <w:rsid w:val="00F973B8"/>
    <w:rsid w:val="00FA074C"/>
    <w:rsid w:val="00FA1715"/>
    <w:rsid w:val="00FA189F"/>
    <w:rsid w:val="00FA2300"/>
    <w:rsid w:val="00FA2432"/>
    <w:rsid w:val="00FA33EA"/>
    <w:rsid w:val="00FA3B31"/>
    <w:rsid w:val="00FA435F"/>
    <w:rsid w:val="00FA4E6A"/>
    <w:rsid w:val="00FA6021"/>
    <w:rsid w:val="00FA6E71"/>
    <w:rsid w:val="00FA7041"/>
    <w:rsid w:val="00FB1AF5"/>
    <w:rsid w:val="00FB1F32"/>
    <w:rsid w:val="00FB38C1"/>
    <w:rsid w:val="00FB496B"/>
    <w:rsid w:val="00FB4EEC"/>
    <w:rsid w:val="00FB5305"/>
    <w:rsid w:val="00FB5539"/>
    <w:rsid w:val="00FB580A"/>
    <w:rsid w:val="00FB5D0B"/>
    <w:rsid w:val="00FB6219"/>
    <w:rsid w:val="00FB6344"/>
    <w:rsid w:val="00FB700D"/>
    <w:rsid w:val="00FC0BB0"/>
    <w:rsid w:val="00FC18C6"/>
    <w:rsid w:val="00FC2AA2"/>
    <w:rsid w:val="00FC2BFC"/>
    <w:rsid w:val="00FC2FEF"/>
    <w:rsid w:val="00FC4E0A"/>
    <w:rsid w:val="00FC507A"/>
    <w:rsid w:val="00FC5721"/>
    <w:rsid w:val="00FC7057"/>
    <w:rsid w:val="00FC70C1"/>
    <w:rsid w:val="00FC7C5E"/>
    <w:rsid w:val="00FD0107"/>
    <w:rsid w:val="00FD0146"/>
    <w:rsid w:val="00FD0552"/>
    <w:rsid w:val="00FD1F7B"/>
    <w:rsid w:val="00FD2A36"/>
    <w:rsid w:val="00FD45B6"/>
    <w:rsid w:val="00FD5B9A"/>
    <w:rsid w:val="00FD5BAB"/>
    <w:rsid w:val="00FD6621"/>
    <w:rsid w:val="00FE02DD"/>
    <w:rsid w:val="00FE058D"/>
    <w:rsid w:val="00FE2FFD"/>
    <w:rsid w:val="00FE369C"/>
    <w:rsid w:val="00FE477F"/>
    <w:rsid w:val="00FE4CEE"/>
    <w:rsid w:val="00FE53AC"/>
    <w:rsid w:val="00FE6F80"/>
    <w:rsid w:val="00FE78F3"/>
    <w:rsid w:val="00FF0141"/>
    <w:rsid w:val="00FF1535"/>
    <w:rsid w:val="00FF309C"/>
    <w:rsid w:val="00FF5CDC"/>
    <w:rsid w:val="00FF6FAA"/>
    <w:rsid w:val="00FF771D"/>
    <w:rsid w:val="00FF77B0"/>
    <w:rsid w:val="0152010B"/>
    <w:rsid w:val="01586505"/>
    <w:rsid w:val="019A4CB2"/>
    <w:rsid w:val="01A02082"/>
    <w:rsid w:val="01FA47FF"/>
    <w:rsid w:val="0269220F"/>
    <w:rsid w:val="02F44BE5"/>
    <w:rsid w:val="0444365B"/>
    <w:rsid w:val="04A337A1"/>
    <w:rsid w:val="04BF393A"/>
    <w:rsid w:val="04FD2458"/>
    <w:rsid w:val="05355B4E"/>
    <w:rsid w:val="05E97064"/>
    <w:rsid w:val="06041A16"/>
    <w:rsid w:val="064C4D14"/>
    <w:rsid w:val="06BD404D"/>
    <w:rsid w:val="06DF0D4B"/>
    <w:rsid w:val="07190B35"/>
    <w:rsid w:val="07A6693B"/>
    <w:rsid w:val="07BF0A2B"/>
    <w:rsid w:val="07E126B5"/>
    <w:rsid w:val="084F055C"/>
    <w:rsid w:val="08BD2F55"/>
    <w:rsid w:val="08E32525"/>
    <w:rsid w:val="092403B3"/>
    <w:rsid w:val="09554725"/>
    <w:rsid w:val="09C515A8"/>
    <w:rsid w:val="09DF1C87"/>
    <w:rsid w:val="0A27015B"/>
    <w:rsid w:val="0A2D5C54"/>
    <w:rsid w:val="0C5C7E64"/>
    <w:rsid w:val="0C635644"/>
    <w:rsid w:val="0CB544E8"/>
    <w:rsid w:val="0D1D75F3"/>
    <w:rsid w:val="0D4A0310"/>
    <w:rsid w:val="0D7B40A5"/>
    <w:rsid w:val="0DEA1441"/>
    <w:rsid w:val="0ED91C40"/>
    <w:rsid w:val="0F123345"/>
    <w:rsid w:val="0F3324C6"/>
    <w:rsid w:val="0F825E34"/>
    <w:rsid w:val="10AA5642"/>
    <w:rsid w:val="10AC760C"/>
    <w:rsid w:val="10C43E75"/>
    <w:rsid w:val="10CA1711"/>
    <w:rsid w:val="10D70444"/>
    <w:rsid w:val="111F39FD"/>
    <w:rsid w:val="11753D72"/>
    <w:rsid w:val="11916893"/>
    <w:rsid w:val="11EF443E"/>
    <w:rsid w:val="12041F1C"/>
    <w:rsid w:val="12112CD7"/>
    <w:rsid w:val="128B6239"/>
    <w:rsid w:val="13845CA6"/>
    <w:rsid w:val="13F45740"/>
    <w:rsid w:val="146707AD"/>
    <w:rsid w:val="147635A2"/>
    <w:rsid w:val="148F59E2"/>
    <w:rsid w:val="14DB226E"/>
    <w:rsid w:val="14FB1A84"/>
    <w:rsid w:val="15DB6C2D"/>
    <w:rsid w:val="16173C12"/>
    <w:rsid w:val="1659407E"/>
    <w:rsid w:val="16C641EB"/>
    <w:rsid w:val="17094942"/>
    <w:rsid w:val="170E769A"/>
    <w:rsid w:val="17D9792D"/>
    <w:rsid w:val="182A6BA6"/>
    <w:rsid w:val="1846243E"/>
    <w:rsid w:val="184D62D9"/>
    <w:rsid w:val="18617D0D"/>
    <w:rsid w:val="18DB0487"/>
    <w:rsid w:val="19526877"/>
    <w:rsid w:val="196008CA"/>
    <w:rsid w:val="1989530E"/>
    <w:rsid w:val="19B40A84"/>
    <w:rsid w:val="19D723F6"/>
    <w:rsid w:val="1A32674B"/>
    <w:rsid w:val="1B5763C6"/>
    <w:rsid w:val="1BB92A9F"/>
    <w:rsid w:val="1BCF2CF3"/>
    <w:rsid w:val="1C737230"/>
    <w:rsid w:val="1C9B5934"/>
    <w:rsid w:val="1CB8218D"/>
    <w:rsid w:val="1D2A012C"/>
    <w:rsid w:val="1D2A3BF5"/>
    <w:rsid w:val="1D31356D"/>
    <w:rsid w:val="1D466ABF"/>
    <w:rsid w:val="1D55000A"/>
    <w:rsid w:val="1D7B600C"/>
    <w:rsid w:val="1D99039F"/>
    <w:rsid w:val="1DD3548B"/>
    <w:rsid w:val="1DED21D8"/>
    <w:rsid w:val="1E3E2967"/>
    <w:rsid w:val="1E8B1165"/>
    <w:rsid w:val="1EB910EB"/>
    <w:rsid w:val="1EFB6D55"/>
    <w:rsid w:val="1F0E3DA5"/>
    <w:rsid w:val="1F467598"/>
    <w:rsid w:val="1F8030CC"/>
    <w:rsid w:val="20484530"/>
    <w:rsid w:val="20CE49AC"/>
    <w:rsid w:val="20EE455A"/>
    <w:rsid w:val="20F868EE"/>
    <w:rsid w:val="223244A5"/>
    <w:rsid w:val="22C86AD4"/>
    <w:rsid w:val="22F75C0D"/>
    <w:rsid w:val="23D527C8"/>
    <w:rsid w:val="244742A9"/>
    <w:rsid w:val="24601386"/>
    <w:rsid w:val="246B14B0"/>
    <w:rsid w:val="24743B45"/>
    <w:rsid w:val="24AB6C26"/>
    <w:rsid w:val="25114177"/>
    <w:rsid w:val="25164869"/>
    <w:rsid w:val="257721F7"/>
    <w:rsid w:val="2584425C"/>
    <w:rsid w:val="258A72E4"/>
    <w:rsid w:val="25AD3E95"/>
    <w:rsid w:val="26711A89"/>
    <w:rsid w:val="26E30BF6"/>
    <w:rsid w:val="278B6531"/>
    <w:rsid w:val="28CA34AC"/>
    <w:rsid w:val="290F7096"/>
    <w:rsid w:val="29B00012"/>
    <w:rsid w:val="29D137E8"/>
    <w:rsid w:val="29EE6148"/>
    <w:rsid w:val="2AB225E4"/>
    <w:rsid w:val="2AF6570F"/>
    <w:rsid w:val="2B0025D7"/>
    <w:rsid w:val="2B455A0D"/>
    <w:rsid w:val="2B746468"/>
    <w:rsid w:val="2BD64EDB"/>
    <w:rsid w:val="2BF1793D"/>
    <w:rsid w:val="2BFB7DF5"/>
    <w:rsid w:val="2C250EB8"/>
    <w:rsid w:val="2C8A5A53"/>
    <w:rsid w:val="2CAA1B33"/>
    <w:rsid w:val="2CEE4697"/>
    <w:rsid w:val="2D5E21DC"/>
    <w:rsid w:val="2DCD7094"/>
    <w:rsid w:val="2EDC718B"/>
    <w:rsid w:val="2EFA148A"/>
    <w:rsid w:val="2F6237EF"/>
    <w:rsid w:val="2F8A4A30"/>
    <w:rsid w:val="2FBF0026"/>
    <w:rsid w:val="2FCA7124"/>
    <w:rsid w:val="2FCB7CD8"/>
    <w:rsid w:val="30474804"/>
    <w:rsid w:val="30505D04"/>
    <w:rsid w:val="309E0581"/>
    <w:rsid w:val="30F90CF9"/>
    <w:rsid w:val="311341A5"/>
    <w:rsid w:val="313A1850"/>
    <w:rsid w:val="3149717D"/>
    <w:rsid w:val="318B0720"/>
    <w:rsid w:val="320056B3"/>
    <w:rsid w:val="32651912"/>
    <w:rsid w:val="32797781"/>
    <w:rsid w:val="32C5141D"/>
    <w:rsid w:val="32D2418F"/>
    <w:rsid w:val="336D0D54"/>
    <w:rsid w:val="33792F26"/>
    <w:rsid w:val="33E70E93"/>
    <w:rsid w:val="33F1640E"/>
    <w:rsid w:val="33FC5A86"/>
    <w:rsid w:val="34583E67"/>
    <w:rsid w:val="34AF4725"/>
    <w:rsid w:val="34D01CA3"/>
    <w:rsid w:val="34E8144B"/>
    <w:rsid w:val="351444F6"/>
    <w:rsid w:val="355B57E5"/>
    <w:rsid w:val="3562438C"/>
    <w:rsid w:val="358409E6"/>
    <w:rsid w:val="35C91DF7"/>
    <w:rsid w:val="3700570C"/>
    <w:rsid w:val="379F5980"/>
    <w:rsid w:val="37B63C1C"/>
    <w:rsid w:val="38677D19"/>
    <w:rsid w:val="38A0633D"/>
    <w:rsid w:val="38BA79CC"/>
    <w:rsid w:val="38BD001A"/>
    <w:rsid w:val="38C26B8B"/>
    <w:rsid w:val="39726D2C"/>
    <w:rsid w:val="39E0148A"/>
    <w:rsid w:val="3A0374A0"/>
    <w:rsid w:val="3A52405E"/>
    <w:rsid w:val="3AAE222A"/>
    <w:rsid w:val="3AB97A67"/>
    <w:rsid w:val="3B35457B"/>
    <w:rsid w:val="3BB76F9F"/>
    <w:rsid w:val="3D0977BB"/>
    <w:rsid w:val="3D174D89"/>
    <w:rsid w:val="3D1F191A"/>
    <w:rsid w:val="3DB03FCF"/>
    <w:rsid w:val="3DD96462"/>
    <w:rsid w:val="3E815041"/>
    <w:rsid w:val="3EBB73F9"/>
    <w:rsid w:val="3ECB2D10"/>
    <w:rsid w:val="3ED0771B"/>
    <w:rsid w:val="3FCA68B7"/>
    <w:rsid w:val="41452DB2"/>
    <w:rsid w:val="41783585"/>
    <w:rsid w:val="419C2606"/>
    <w:rsid w:val="41A57B46"/>
    <w:rsid w:val="424A5620"/>
    <w:rsid w:val="427317CE"/>
    <w:rsid w:val="42DC72F3"/>
    <w:rsid w:val="432E56D1"/>
    <w:rsid w:val="43454ABD"/>
    <w:rsid w:val="440B6995"/>
    <w:rsid w:val="444C5D5A"/>
    <w:rsid w:val="44981301"/>
    <w:rsid w:val="45337142"/>
    <w:rsid w:val="457136DD"/>
    <w:rsid w:val="464672D0"/>
    <w:rsid w:val="464E11F8"/>
    <w:rsid w:val="466E38E0"/>
    <w:rsid w:val="46DC6089"/>
    <w:rsid w:val="46FF3658"/>
    <w:rsid w:val="470521F0"/>
    <w:rsid w:val="47060702"/>
    <w:rsid w:val="47AB6FCE"/>
    <w:rsid w:val="47C83248"/>
    <w:rsid w:val="4A1110EB"/>
    <w:rsid w:val="4A4112FC"/>
    <w:rsid w:val="4AD35E1A"/>
    <w:rsid w:val="4AF13892"/>
    <w:rsid w:val="4B3D2633"/>
    <w:rsid w:val="4B705373"/>
    <w:rsid w:val="4B781B3A"/>
    <w:rsid w:val="4BE66665"/>
    <w:rsid w:val="4BE763FE"/>
    <w:rsid w:val="4C3276D1"/>
    <w:rsid w:val="4C463C47"/>
    <w:rsid w:val="4CC4755B"/>
    <w:rsid w:val="4CD92CE3"/>
    <w:rsid w:val="4D7E415B"/>
    <w:rsid w:val="4DBA260C"/>
    <w:rsid w:val="4E1315AB"/>
    <w:rsid w:val="4E1A69AF"/>
    <w:rsid w:val="4F94770A"/>
    <w:rsid w:val="4FDC2367"/>
    <w:rsid w:val="503B275E"/>
    <w:rsid w:val="518A6447"/>
    <w:rsid w:val="51A11B6E"/>
    <w:rsid w:val="51C3520F"/>
    <w:rsid w:val="52026E08"/>
    <w:rsid w:val="523A566C"/>
    <w:rsid w:val="52816A24"/>
    <w:rsid w:val="52C5363A"/>
    <w:rsid w:val="5369290D"/>
    <w:rsid w:val="536F3B1E"/>
    <w:rsid w:val="53DF59D4"/>
    <w:rsid w:val="542A53A4"/>
    <w:rsid w:val="54602C2D"/>
    <w:rsid w:val="549119BD"/>
    <w:rsid w:val="551027E8"/>
    <w:rsid w:val="55120D38"/>
    <w:rsid w:val="5556750C"/>
    <w:rsid w:val="55945546"/>
    <w:rsid w:val="55C64AFB"/>
    <w:rsid w:val="55D2623F"/>
    <w:rsid w:val="55E04670"/>
    <w:rsid w:val="55FE5F58"/>
    <w:rsid w:val="56352DC1"/>
    <w:rsid w:val="56602607"/>
    <w:rsid w:val="56640C18"/>
    <w:rsid w:val="56B4410E"/>
    <w:rsid w:val="575A52BA"/>
    <w:rsid w:val="57604F6B"/>
    <w:rsid w:val="57A5692F"/>
    <w:rsid w:val="58EC0971"/>
    <w:rsid w:val="59710078"/>
    <w:rsid w:val="598F49A2"/>
    <w:rsid w:val="59F5119D"/>
    <w:rsid w:val="5A9976A4"/>
    <w:rsid w:val="5B0A36E5"/>
    <w:rsid w:val="5B9629EC"/>
    <w:rsid w:val="5BFFE908"/>
    <w:rsid w:val="5C6F5B60"/>
    <w:rsid w:val="5CD51FB1"/>
    <w:rsid w:val="5CD905AE"/>
    <w:rsid w:val="5CFB6CAD"/>
    <w:rsid w:val="5D0C4C74"/>
    <w:rsid w:val="5D131779"/>
    <w:rsid w:val="5D4C7F28"/>
    <w:rsid w:val="5DA36C6E"/>
    <w:rsid w:val="5DCE4506"/>
    <w:rsid w:val="5E552FD5"/>
    <w:rsid w:val="5E5A675C"/>
    <w:rsid w:val="5ED209B4"/>
    <w:rsid w:val="5EDA5A11"/>
    <w:rsid w:val="5EDE3A83"/>
    <w:rsid w:val="5F02781B"/>
    <w:rsid w:val="5F1141BF"/>
    <w:rsid w:val="5F1B51A6"/>
    <w:rsid w:val="60E443F7"/>
    <w:rsid w:val="60E96419"/>
    <w:rsid w:val="6123706E"/>
    <w:rsid w:val="613D1E9E"/>
    <w:rsid w:val="614D4740"/>
    <w:rsid w:val="61930DA7"/>
    <w:rsid w:val="61D42C79"/>
    <w:rsid w:val="620D2C42"/>
    <w:rsid w:val="6235591B"/>
    <w:rsid w:val="62886432"/>
    <w:rsid w:val="631134E1"/>
    <w:rsid w:val="631A2999"/>
    <w:rsid w:val="63D3652E"/>
    <w:rsid w:val="63F0010D"/>
    <w:rsid w:val="641F50FB"/>
    <w:rsid w:val="648038B0"/>
    <w:rsid w:val="6507699E"/>
    <w:rsid w:val="650F1BEE"/>
    <w:rsid w:val="65567AD8"/>
    <w:rsid w:val="6562503C"/>
    <w:rsid w:val="65F95BFB"/>
    <w:rsid w:val="669C24AC"/>
    <w:rsid w:val="66C63977"/>
    <w:rsid w:val="66CA1CB1"/>
    <w:rsid w:val="66F50842"/>
    <w:rsid w:val="67315C26"/>
    <w:rsid w:val="676FA2C4"/>
    <w:rsid w:val="68A76AB7"/>
    <w:rsid w:val="69635503"/>
    <w:rsid w:val="6A063DCF"/>
    <w:rsid w:val="6A4E7F61"/>
    <w:rsid w:val="6AB27C07"/>
    <w:rsid w:val="6ABA1153"/>
    <w:rsid w:val="6ADD61D3"/>
    <w:rsid w:val="6ADE158B"/>
    <w:rsid w:val="6B04316B"/>
    <w:rsid w:val="6B4A0F65"/>
    <w:rsid w:val="6B791415"/>
    <w:rsid w:val="6C040369"/>
    <w:rsid w:val="6C5E2EE5"/>
    <w:rsid w:val="6CA44F9E"/>
    <w:rsid w:val="6D1A6367"/>
    <w:rsid w:val="6D51581F"/>
    <w:rsid w:val="6D8104C9"/>
    <w:rsid w:val="6DC9002B"/>
    <w:rsid w:val="6DCE447E"/>
    <w:rsid w:val="6E070D4C"/>
    <w:rsid w:val="6E225C58"/>
    <w:rsid w:val="6E944536"/>
    <w:rsid w:val="6EBA0E66"/>
    <w:rsid w:val="6EDC6697"/>
    <w:rsid w:val="6FC509BB"/>
    <w:rsid w:val="701E50B1"/>
    <w:rsid w:val="70493AAC"/>
    <w:rsid w:val="706C51D4"/>
    <w:rsid w:val="71F834EC"/>
    <w:rsid w:val="72B63116"/>
    <w:rsid w:val="72B72559"/>
    <w:rsid w:val="72E65600"/>
    <w:rsid w:val="73597617"/>
    <w:rsid w:val="73AF6781"/>
    <w:rsid w:val="73E04711"/>
    <w:rsid w:val="7450542B"/>
    <w:rsid w:val="74547E66"/>
    <w:rsid w:val="745555ED"/>
    <w:rsid w:val="748E75A3"/>
    <w:rsid w:val="74C7585F"/>
    <w:rsid w:val="75287D22"/>
    <w:rsid w:val="755C487A"/>
    <w:rsid w:val="759B7FBA"/>
    <w:rsid w:val="75A02A57"/>
    <w:rsid w:val="76197A00"/>
    <w:rsid w:val="763B1ECB"/>
    <w:rsid w:val="76484E1E"/>
    <w:rsid w:val="76712F0C"/>
    <w:rsid w:val="768A331D"/>
    <w:rsid w:val="76E3368E"/>
    <w:rsid w:val="76EF376B"/>
    <w:rsid w:val="77440722"/>
    <w:rsid w:val="77694EF6"/>
    <w:rsid w:val="776B2153"/>
    <w:rsid w:val="77B44AE1"/>
    <w:rsid w:val="77CC6DB9"/>
    <w:rsid w:val="785250C1"/>
    <w:rsid w:val="799A251B"/>
    <w:rsid w:val="799F572C"/>
    <w:rsid w:val="7A0F6CC1"/>
    <w:rsid w:val="7B2126F9"/>
    <w:rsid w:val="7B6B04D4"/>
    <w:rsid w:val="7BE91B9F"/>
    <w:rsid w:val="7BF061B4"/>
    <w:rsid w:val="7BF567D9"/>
    <w:rsid w:val="7C4E77CA"/>
    <w:rsid w:val="7C5424EB"/>
    <w:rsid w:val="7C6D6A69"/>
    <w:rsid w:val="7C831B79"/>
    <w:rsid w:val="7DD6735D"/>
    <w:rsid w:val="7E8B72AB"/>
    <w:rsid w:val="7F1C3DA0"/>
    <w:rsid w:val="7F6B7807"/>
    <w:rsid w:val="7FD472B7"/>
    <w:rsid w:val="7FD83530"/>
    <w:rsid w:val="9BD727C0"/>
    <w:rsid w:val="B9377FF7"/>
    <w:rsid w:val="C6176F8B"/>
    <w:rsid w:val="CBF30C76"/>
    <w:rsid w:val="EB7C5D68"/>
    <w:rsid w:val="EBBB1739"/>
    <w:rsid w:val="FFAD9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3" w:semiHidden="0" w:name="heading 6"/>
    <w:lsdException w:qFormat="1" w:unhideWhenUsed="0" w:uiPriority="3" w:semiHidden="0" w:name="heading 7"/>
    <w:lsdException w:qFormat="1" w:unhideWhenUsed="0" w:uiPriority="3" w:semiHidden="0" w:name="heading 8"/>
    <w:lsdException w:qFormat="1" w:unhideWhenUsed="0" w:uiPriority="3"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qFormat="1" w:unhideWhenUsed="0" w:uiPriority="0" w:semiHidden="0"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5"/>
    <w:qFormat/>
    <w:uiPriority w:val="9"/>
    <w:pPr>
      <w:keepNext/>
      <w:jc w:val="center"/>
      <w:outlineLvl w:val="0"/>
    </w:pPr>
    <w:rPr>
      <w:b/>
      <w:bCs/>
      <w:sz w:val="24"/>
      <w:szCs w:val="20"/>
    </w:rPr>
  </w:style>
  <w:style w:type="paragraph" w:styleId="4">
    <w:name w:val="heading 2"/>
    <w:basedOn w:val="1"/>
    <w:next w:val="1"/>
    <w:link w:val="56"/>
    <w:qFormat/>
    <w:uiPriority w:val="9"/>
    <w:pPr>
      <w:keepNext/>
      <w:keepLines/>
      <w:spacing w:line="360" w:lineRule="auto"/>
      <w:outlineLvl w:val="1"/>
    </w:pPr>
    <w:rPr>
      <w:rFonts w:ascii="Arial" w:hAnsi="Arial"/>
      <w:b/>
      <w:bCs/>
      <w:sz w:val="24"/>
      <w:szCs w:val="32"/>
    </w:rPr>
  </w:style>
  <w:style w:type="paragraph" w:styleId="5">
    <w:name w:val="heading 3"/>
    <w:basedOn w:val="1"/>
    <w:next w:val="1"/>
    <w:link w:val="57"/>
    <w:qFormat/>
    <w:uiPriority w:val="9"/>
    <w:pPr>
      <w:keepNext/>
      <w:keepLines/>
      <w:spacing w:before="260" w:after="260" w:line="416" w:lineRule="auto"/>
      <w:outlineLvl w:val="2"/>
    </w:pPr>
    <w:rPr>
      <w:b/>
      <w:bCs/>
      <w:sz w:val="32"/>
      <w:szCs w:val="32"/>
    </w:rPr>
  </w:style>
  <w:style w:type="paragraph" w:styleId="6">
    <w:name w:val="heading 4"/>
    <w:basedOn w:val="1"/>
    <w:next w:val="1"/>
    <w:link w:val="58"/>
    <w:qFormat/>
    <w:uiPriority w:val="9"/>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59"/>
    <w:qFormat/>
    <w:uiPriority w:val="9"/>
    <w:pPr>
      <w:keepNext/>
      <w:keepLines/>
      <w:adjustRightInd w:val="0"/>
      <w:spacing w:before="280" w:after="290" w:line="376" w:lineRule="atLeast"/>
      <w:jc w:val="left"/>
      <w:textAlignment w:val="baseline"/>
      <w:outlineLvl w:val="4"/>
    </w:pPr>
    <w:rPr>
      <w:b/>
      <w:bCs/>
      <w:kern w:val="0"/>
      <w:sz w:val="28"/>
      <w:szCs w:val="28"/>
    </w:rPr>
  </w:style>
  <w:style w:type="paragraph" w:styleId="8">
    <w:name w:val="heading 6"/>
    <w:basedOn w:val="1"/>
    <w:next w:val="1"/>
    <w:link w:val="60"/>
    <w:qFormat/>
    <w:uiPriority w:val="3"/>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9">
    <w:name w:val="heading 7"/>
    <w:basedOn w:val="1"/>
    <w:next w:val="1"/>
    <w:link w:val="61"/>
    <w:qFormat/>
    <w:uiPriority w:val="3"/>
    <w:pPr>
      <w:keepNext/>
      <w:keepLines/>
      <w:adjustRightInd w:val="0"/>
      <w:spacing w:before="240" w:after="64" w:line="320" w:lineRule="atLeast"/>
      <w:jc w:val="left"/>
      <w:textAlignment w:val="baseline"/>
      <w:outlineLvl w:val="6"/>
    </w:pPr>
    <w:rPr>
      <w:b/>
      <w:bCs/>
      <w:kern w:val="0"/>
      <w:sz w:val="24"/>
    </w:rPr>
  </w:style>
  <w:style w:type="paragraph" w:styleId="10">
    <w:name w:val="heading 8"/>
    <w:basedOn w:val="1"/>
    <w:next w:val="1"/>
    <w:link w:val="62"/>
    <w:qFormat/>
    <w:uiPriority w:val="3"/>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63"/>
    <w:qFormat/>
    <w:uiPriority w:val="3"/>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macro"/>
    <w:link w:val="11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szCs w:val="22"/>
      <w:lang w:val="en-US" w:eastAsia="zh-CN" w:bidi="ar-SA"/>
    </w:rPr>
  </w:style>
  <w:style w:type="paragraph" w:styleId="12">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3">
    <w:name w:val="Normal Indent"/>
    <w:basedOn w:val="1"/>
    <w:link w:val="121"/>
    <w:qFormat/>
    <w:uiPriority w:val="0"/>
    <w:pPr>
      <w:widowControl/>
      <w:ind w:firstLine="420"/>
      <w:jc w:val="left"/>
    </w:pPr>
    <w:rPr>
      <w:kern w:val="0"/>
      <w:sz w:val="20"/>
      <w:szCs w:val="20"/>
    </w:rPr>
  </w:style>
  <w:style w:type="paragraph" w:styleId="14">
    <w:name w:val="caption"/>
    <w:basedOn w:val="1"/>
    <w:next w:val="1"/>
    <w:link w:val="122"/>
    <w:qFormat/>
    <w:uiPriority w:val="35"/>
    <w:pPr>
      <w:spacing w:line="360" w:lineRule="auto"/>
    </w:pPr>
    <w:rPr>
      <w:rFonts w:ascii="Calibri Light" w:hAnsi="Calibri Light" w:eastAsia="黑体"/>
      <w:sz w:val="20"/>
      <w:szCs w:val="20"/>
    </w:rPr>
  </w:style>
  <w:style w:type="paragraph" w:styleId="15">
    <w:name w:val="Document Map"/>
    <w:basedOn w:val="1"/>
    <w:link w:val="87"/>
    <w:semiHidden/>
    <w:qFormat/>
    <w:uiPriority w:val="0"/>
    <w:pPr>
      <w:shd w:val="clear" w:color="auto" w:fill="000080"/>
    </w:pPr>
  </w:style>
  <w:style w:type="paragraph" w:styleId="16">
    <w:name w:val="annotation text"/>
    <w:basedOn w:val="1"/>
    <w:link w:val="71"/>
    <w:semiHidden/>
    <w:qFormat/>
    <w:uiPriority w:val="0"/>
    <w:pPr>
      <w:jc w:val="left"/>
    </w:pPr>
  </w:style>
  <w:style w:type="paragraph" w:styleId="17">
    <w:name w:val="Salutation"/>
    <w:basedOn w:val="1"/>
    <w:next w:val="1"/>
    <w:link w:val="76"/>
    <w:qFormat/>
    <w:uiPriority w:val="0"/>
    <w:rPr>
      <w:rFonts w:ascii="仿宋_GB2312" w:eastAsia="仿宋_GB2312"/>
      <w:sz w:val="24"/>
    </w:rPr>
  </w:style>
  <w:style w:type="paragraph" w:styleId="18">
    <w:name w:val="Body Text"/>
    <w:basedOn w:val="1"/>
    <w:link w:val="65"/>
    <w:qFormat/>
    <w:uiPriority w:val="99"/>
    <w:pPr>
      <w:spacing w:after="120"/>
    </w:pPr>
  </w:style>
  <w:style w:type="paragraph" w:styleId="19">
    <w:name w:val="Body Text Indent"/>
    <w:basedOn w:val="1"/>
    <w:link w:val="68"/>
    <w:qFormat/>
    <w:uiPriority w:val="0"/>
    <w:pPr>
      <w:spacing w:after="120"/>
      <w:ind w:left="420" w:leftChars="200"/>
    </w:pPr>
  </w:style>
  <w:style w:type="paragraph" w:styleId="20">
    <w:name w:val="Block Text"/>
    <w:basedOn w:val="1"/>
    <w:qFormat/>
    <w:uiPriority w:val="0"/>
    <w:pPr>
      <w:ind w:left="1171" w:right="91" w:hanging="1080"/>
    </w:pPr>
    <w:rPr>
      <w:rFonts w:eastAsia="楷体_GB2312"/>
      <w:szCs w:val="20"/>
    </w:rPr>
  </w:style>
  <w:style w:type="paragraph" w:styleId="21">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22">
    <w:name w:val="toc 3"/>
    <w:basedOn w:val="1"/>
    <w:next w:val="1"/>
    <w:unhideWhenUsed/>
    <w:qFormat/>
    <w:uiPriority w:val="39"/>
    <w:pPr>
      <w:adjustRightInd w:val="0"/>
      <w:snapToGrid w:val="0"/>
      <w:spacing w:line="360" w:lineRule="auto"/>
      <w:ind w:left="400" w:leftChars="400"/>
    </w:pPr>
    <w:rPr>
      <w:rFonts w:eastAsiaTheme="minorEastAsia"/>
      <w:b/>
    </w:rPr>
  </w:style>
  <w:style w:type="paragraph" w:styleId="23">
    <w:name w:val="Plain Text"/>
    <w:basedOn w:val="1"/>
    <w:link w:val="70"/>
    <w:qFormat/>
    <w:uiPriority w:val="0"/>
    <w:rPr>
      <w:rFonts w:ascii="宋体" w:hAnsi="Courier New" w:cs="Courier New"/>
      <w:szCs w:val="21"/>
    </w:rPr>
  </w:style>
  <w:style w:type="paragraph" w:styleId="24">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5">
    <w:name w:val="Date"/>
    <w:basedOn w:val="1"/>
    <w:next w:val="1"/>
    <w:link w:val="81"/>
    <w:qFormat/>
    <w:uiPriority w:val="0"/>
    <w:rPr>
      <w:sz w:val="24"/>
      <w:szCs w:val="20"/>
    </w:rPr>
  </w:style>
  <w:style w:type="paragraph" w:styleId="26">
    <w:name w:val="Body Text Indent 2"/>
    <w:basedOn w:val="1"/>
    <w:link w:val="78"/>
    <w:qFormat/>
    <w:uiPriority w:val="0"/>
    <w:pPr>
      <w:spacing w:after="120" w:line="480" w:lineRule="auto"/>
      <w:ind w:left="420" w:leftChars="200"/>
    </w:pPr>
  </w:style>
  <w:style w:type="paragraph" w:styleId="27">
    <w:name w:val="endnote text"/>
    <w:basedOn w:val="1"/>
    <w:link w:val="123"/>
    <w:unhideWhenUsed/>
    <w:qFormat/>
    <w:uiPriority w:val="99"/>
    <w:pPr>
      <w:snapToGrid w:val="0"/>
      <w:spacing w:line="360" w:lineRule="auto"/>
      <w:jc w:val="left"/>
    </w:pPr>
    <w:rPr>
      <w:rFonts w:ascii="Calibri" w:hAnsi="Calibri"/>
      <w:sz w:val="24"/>
      <w:szCs w:val="21"/>
    </w:rPr>
  </w:style>
  <w:style w:type="paragraph" w:styleId="28">
    <w:name w:val="Balloon Text"/>
    <w:basedOn w:val="1"/>
    <w:link w:val="95"/>
    <w:qFormat/>
    <w:uiPriority w:val="99"/>
    <w:rPr>
      <w:sz w:val="18"/>
      <w:szCs w:val="18"/>
    </w:rPr>
  </w:style>
  <w:style w:type="paragraph" w:styleId="29">
    <w:name w:val="footer"/>
    <w:basedOn w:val="1"/>
    <w:link w:val="66"/>
    <w:qFormat/>
    <w:uiPriority w:val="99"/>
    <w:pPr>
      <w:tabs>
        <w:tab w:val="center" w:pos="4153"/>
        <w:tab w:val="right" w:pos="8306"/>
      </w:tabs>
      <w:snapToGrid w:val="0"/>
      <w:jc w:val="left"/>
    </w:pPr>
    <w:rPr>
      <w:sz w:val="18"/>
      <w:szCs w:val="18"/>
    </w:rPr>
  </w:style>
  <w:style w:type="paragraph" w:styleId="30">
    <w:name w:val="header"/>
    <w:basedOn w:val="1"/>
    <w:link w:val="67"/>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spacing w:line="360" w:lineRule="auto"/>
    </w:pPr>
    <w:rPr>
      <w:rFonts w:asciiTheme="minorEastAsia" w:hAnsiTheme="minorEastAsia" w:eastAsiaTheme="minorEastAsia"/>
      <w:b/>
      <w:sz w:val="24"/>
      <w:szCs w:val="21"/>
    </w:rPr>
  </w:style>
  <w:style w:type="paragraph" w:styleId="32">
    <w:name w:val="toc 4"/>
    <w:basedOn w:val="1"/>
    <w:next w:val="1"/>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33">
    <w:name w:val="toc 6"/>
    <w:basedOn w:val="1"/>
    <w:next w:val="1"/>
    <w:qFormat/>
    <w:uiPriority w:val="39"/>
    <w:pPr>
      <w:ind w:left="2100"/>
    </w:pPr>
    <w:rPr>
      <w:szCs w:val="20"/>
    </w:rPr>
  </w:style>
  <w:style w:type="paragraph" w:styleId="34">
    <w:name w:val="Body Text Indent 3"/>
    <w:basedOn w:val="1"/>
    <w:link w:val="80"/>
    <w:qFormat/>
    <w:uiPriority w:val="0"/>
    <w:pPr>
      <w:spacing w:after="120"/>
      <w:ind w:left="420" w:leftChars="200"/>
    </w:pPr>
    <w:rPr>
      <w:sz w:val="16"/>
      <w:szCs w:val="16"/>
    </w:rPr>
  </w:style>
  <w:style w:type="paragraph" w:styleId="35">
    <w:name w:val="table of figures"/>
    <w:basedOn w:val="1"/>
    <w:next w:val="1"/>
    <w:unhideWhenUsed/>
    <w:qFormat/>
    <w:uiPriority w:val="99"/>
    <w:pPr>
      <w:spacing w:line="360" w:lineRule="auto"/>
      <w:ind w:left="200" w:leftChars="200" w:hanging="200" w:hangingChars="200"/>
    </w:pPr>
    <w:rPr>
      <w:rFonts w:ascii="Calibri" w:hAnsi="Calibri"/>
      <w:sz w:val="24"/>
      <w:szCs w:val="21"/>
    </w:rPr>
  </w:style>
  <w:style w:type="paragraph" w:styleId="36">
    <w:name w:val="toc 2"/>
    <w:basedOn w:val="1"/>
    <w:next w:val="1"/>
    <w:unhideWhenUsed/>
    <w:qFormat/>
    <w:uiPriority w:val="39"/>
    <w:pPr>
      <w:spacing w:line="360" w:lineRule="auto"/>
      <w:ind w:left="200" w:leftChars="200"/>
    </w:pPr>
    <w:rPr>
      <w:rFonts w:eastAsiaTheme="majorEastAsia"/>
      <w:b/>
    </w:rPr>
  </w:style>
  <w:style w:type="paragraph" w:styleId="37">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8">
    <w:name w:val="Body Text 2"/>
    <w:basedOn w:val="1"/>
    <w:link w:val="77"/>
    <w:qFormat/>
    <w:uiPriority w:val="0"/>
    <w:pPr>
      <w:spacing w:after="120" w:line="480" w:lineRule="auto"/>
    </w:pPr>
  </w:style>
  <w:style w:type="paragraph" w:styleId="39">
    <w:name w:val="HTML Preformatted"/>
    <w:basedOn w:val="1"/>
    <w:link w:val="7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0">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1">
    <w:name w:val="index 1"/>
    <w:basedOn w:val="1"/>
    <w:next w:val="1"/>
    <w:qFormat/>
    <w:uiPriority w:val="0"/>
    <w:pPr>
      <w:spacing w:line="220" w:lineRule="exact"/>
      <w:jc w:val="center"/>
    </w:pPr>
    <w:rPr>
      <w:rFonts w:ascii="仿宋_GB2312" w:eastAsia="仿宋_GB2312"/>
      <w:szCs w:val="20"/>
    </w:rPr>
  </w:style>
  <w:style w:type="paragraph" w:styleId="42">
    <w:name w:val="Title"/>
    <w:basedOn w:val="1"/>
    <w:link w:val="112"/>
    <w:qFormat/>
    <w:uiPriority w:val="0"/>
    <w:pPr>
      <w:jc w:val="center"/>
      <w:outlineLvl w:val="0"/>
    </w:pPr>
    <w:rPr>
      <w:rFonts w:asciiTheme="minorHAnsi" w:hAnsiTheme="minorHAnsi" w:eastAsiaTheme="minorEastAsia" w:cstheme="minorBidi"/>
      <w:b/>
      <w:sz w:val="32"/>
      <w:szCs w:val="22"/>
    </w:rPr>
  </w:style>
  <w:style w:type="paragraph" w:styleId="43">
    <w:name w:val="annotation subject"/>
    <w:basedOn w:val="16"/>
    <w:next w:val="16"/>
    <w:link w:val="94"/>
    <w:qFormat/>
    <w:uiPriority w:val="0"/>
    <w:rPr>
      <w:b/>
      <w:bCs/>
    </w:rPr>
  </w:style>
  <w:style w:type="paragraph" w:styleId="44">
    <w:name w:val="Body Text First Indent"/>
    <w:basedOn w:val="18"/>
    <w:link w:val="124"/>
    <w:qFormat/>
    <w:uiPriority w:val="0"/>
    <w:pPr>
      <w:adjustRightInd w:val="0"/>
      <w:spacing w:line="360" w:lineRule="auto"/>
      <w:ind w:firstLine="200" w:firstLineChars="200"/>
      <w:jc w:val="both"/>
      <w:textAlignment w:val="baseline"/>
    </w:pPr>
    <w:rPr>
      <w:rFonts w:ascii="Arial" w:hAnsi="Arial" w:eastAsia="宋体" w:cs="Times New Roman"/>
      <w:sz w:val="24"/>
      <w:lang w:val="en-US" w:eastAsia="zh-CN" w:bidi="ar-SA"/>
    </w:rPr>
  </w:style>
  <w:style w:type="table" w:styleId="46">
    <w:name w:val="Table Grid"/>
    <w:basedOn w:val="4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0"/>
    <w:rPr>
      <w:b/>
      <w:bCs/>
    </w:rPr>
  </w:style>
  <w:style w:type="character" w:styleId="49">
    <w:name w:val="endnote reference"/>
    <w:basedOn w:val="47"/>
    <w:unhideWhenUsed/>
    <w:qFormat/>
    <w:uiPriority w:val="99"/>
    <w:rPr>
      <w:vertAlign w:val="superscript"/>
    </w:rPr>
  </w:style>
  <w:style w:type="character" w:styleId="50">
    <w:name w:val="page number"/>
    <w:basedOn w:val="47"/>
    <w:qFormat/>
    <w:uiPriority w:val="0"/>
  </w:style>
  <w:style w:type="character" w:styleId="51">
    <w:name w:val="FollowedHyperlink"/>
    <w:qFormat/>
    <w:uiPriority w:val="99"/>
    <w:rPr>
      <w:color w:val="800080"/>
      <w:u w:val="single"/>
    </w:rPr>
  </w:style>
  <w:style w:type="character" w:styleId="52">
    <w:name w:val="Emphasis"/>
    <w:basedOn w:val="47"/>
    <w:qFormat/>
    <w:uiPriority w:val="20"/>
    <w:rPr>
      <w:i/>
    </w:rPr>
  </w:style>
  <w:style w:type="character" w:styleId="53">
    <w:name w:val="Hyperlink"/>
    <w:qFormat/>
    <w:uiPriority w:val="99"/>
    <w:rPr>
      <w:color w:val="136EC2"/>
      <w:u w:val="single"/>
    </w:rPr>
  </w:style>
  <w:style w:type="character" w:styleId="54">
    <w:name w:val="annotation reference"/>
    <w:qFormat/>
    <w:uiPriority w:val="0"/>
    <w:rPr>
      <w:sz w:val="21"/>
      <w:szCs w:val="21"/>
    </w:rPr>
  </w:style>
  <w:style w:type="character" w:customStyle="1" w:styleId="55">
    <w:name w:val="标题 1 Char"/>
    <w:basedOn w:val="47"/>
    <w:link w:val="3"/>
    <w:qFormat/>
    <w:uiPriority w:val="9"/>
    <w:rPr>
      <w:rFonts w:ascii="Times New Roman" w:hAnsi="Times New Roman" w:eastAsia="宋体" w:cs="Times New Roman"/>
      <w:b/>
      <w:bCs/>
      <w:sz w:val="24"/>
      <w:szCs w:val="20"/>
    </w:rPr>
  </w:style>
  <w:style w:type="character" w:customStyle="1" w:styleId="56">
    <w:name w:val="标题 2 Char"/>
    <w:basedOn w:val="47"/>
    <w:link w:val="4"/>
    <w:qFormat/>
    <w:uiPriority w:val="9"/>
    <w:rPr>
      <w:rFonts w:ascii="Arial" w:hAnsi="Arial" w:eastAsia="宋体" w:cs="Times New Roman"/>
      <w:b/>
      <w:bCs/>
      <w:sz w:val="24"/>
      <w:szCs w:val="32"/>
    </w:rPr>
  </w:style>
  <w:style w:type="character" w:customStyle="1" w:styleId="57">
    <w:name w:val="标题 3 Char"/>
    <w:basedOn w:val="47"/>
    <w:link w:val="5"/>
    <w:qFormat/>
    <w:uiPriority w:val="9"/>
    <w:rPr>
      <w:rFonts w:ascii="Times New Roman" w:hAnsi="Times New Roman" w:eastAsia="宋体" w:cs="Times New Roman"/>
      <w:b/>
      <w:bCs/>
      <w:sz w:val="32"/>
      <w:szCs w:val="32"/>
    </w:rPr>
  </w:style>
  <w:style w:type="character" w:customStyle="1" w:styleId="58">
    <w:name w:val="标题 4 Char"/>
    <w:basedOn w:val="47"/>
    <w:link w:val="6"/>
    <w:qFormat/>
    <w:uiPriority w:val="9"/>
    <w:rPr>
      <w:rFonts w:ascii="Arial" w:hAnsi="Arial" w:eastAsia="黑体" w:cs="Times New Roman"/>
      <w:b/>
      <w:bCs/>
      <w:sz w:val="28"/>
      <w:szCs w:val="28"/>
    </w:rPr>
  </w:style>
  <w:style w:type="character" w:customStyle="1" w:styleId="59">
    <w:name w:val="标题 5 Char"/>
    <w:basedOn w:val="47"/>
    <w:link w:val="7"/>
    <w:qFormat/>
    <w:uiPriority w:val="9"/>
    <w:rPr>
      <w:rFonts w:ascii="Times New Roman" w:hAnsi="Times New Roman" w:eastAsia="宋体" w:cs="Times New Roman"/>
      <w:b/>
      <w:bCs/>
      <w:kern w:val="0"/>
      <w:sz w:val="28"/>
      <w:szCs w:val="28"/>
    </w:rPr>
  </w:style>
  <w:style w:type="character" w:customStyle="1" w:styleId="60">
    <w:name w:val="标题 6 Char"/>
    <w:basedOn w:val="47"/>
    <w:link w:val="8"/>
    <w:qFormat/>
    <w:uiPriority w:val="3"/>
    <w:rPr>
      <w:rFonts w:ascii="Arial" w:hAnsi="Arial" w:eastAsia="黑体" w:cs="Times New Roman"/>
      <w:b/>
      <w:bCs/>
      <w:kern w:val="0"/>
      <w:sz w:val="24"/>
      <w:szCs w:val="24"/>
    </w:rPr>
  </w:style>
  <w:style w:type="character" w:customStyle="1" w:styleId="61">
    <w:name w:val="标题 7 Char"/>
    <w:basedOn w:val="47"/>
    <w:link w:val="9"/>
    <w:qFormat/>
    <w:uiPriority w:val="3"/>
    <w:rPr>
      <w:rFonts w:ascii="Times New Roman" w:hAnsi="Times New Roman" w:eastAsia="宋体" w:cs="Times New Roman"/>
      <w:b/>
      <w:bCs/>
      <w:kern w:val="0"/>
      <w:sz w:val="24"/>
      <w:szCs w:val="24"/>
    </w:rPr>
  </w:style>
  <w:style w:type="character" w:customStyle="1" w:styleId="62">
    <w:name w:val="标题 8 Char"/>
    <w:basedOn w:val="47"/>
    <w:link w:val="10"/>
    <w:qFormat/>
    <w:uiPriority w:val="3"/>
    <w:rPr>
      <w:rFonts w:ascii="Arial" w:hAnsi="Arial" w:eastAsia="黑体" w:cs="Times New Roman"/>
      <w:kern w:val="0"/>
      <w:sz w:val="24"/>
      <w:szCs w:val="24"/>
    </w:rPr>
  </w:style>
  <w:style w:type="character" w:customStyle="1" w:styleId="63">
    <w:name w:val="标题 9 Char"/>
    <w:basedOn w:val="47"/>
    <w:link w:val="11"/>
    <w:qFormat/>
    <w:uiPriority w:val="3"/>
    <w:rPr>
      <w:rFonts w:ascii="Arial" w:hAnsi="Arial" w:eastAsia="黑体" w:cs="Times New Roman"/>
      <w:kern w:val="0"/>
      <w:szCs w:val="21"/>
    </w:rPr>
  </w:style>
  <w:style w:type="paragraph" w:customStyle="1" w:styleId="64">
    <w:name w:val="表格内容"/>
    <w:basedOn w:val="18"/>
    <w:qFormat/>
    <w:uiPriority w:val="0"/>
    <w:pPr>
      <w:suppressLineNumbers/>
      <w:suppressAutoHyphens/>
      <w:jc w:val="left"/>
    </w:pPr>
    <w:rPr>
      <w:rFonts w:cs="Tahoma"/>
      <w:kern w:val="0"/>
      <w:sz w:val="24"/>
    </w:rPr>
  </w:style>
  <w:style w:type="character" w:customStyle="1" w:styleId="65">
    <w:name w:val="正文文本 Char"/>
    <w:basedOn w:val="47"/>
    <w:link w:val="18"/>
    <w:qFormat/>
    <w:uiPriority w:val="99"/>
    <w:rPr>
      <w:rFonts w:ascii="Times New Roman" w:hAnsi="Times New Roman" w:eastAsia="宋体" w:cs="Times New Roman"/>
      <w:szCs w:val="24"/>
    </w:rPr>
  </w:style>
  <w:style w:type="character" w:customStyle="1" w:styleId="66">
    <w:name w:val="页脚 Char"/>
    <w:basedOn w:val="47"/>
    <w:link w:val="29"/>
    <w:qFormat/>
    <w:uiPriority w:val="99"/>
    <w:rPr>
      <w:rFonts w:ascii="Times New Roman" w:hAnsi="Times New Roman" w:eastAsia="宋体" w:cs="Times New Roman"/>
      <w:sz w:val="18"/>
      <w:szCs w:val="18"/>
    </w:rPr>
  </w:style>
  <w:style w:type="character" w:customStyle="1" w:styleId="67">
    <w:name w:val="页眉 Char"/>
    <w:basedOn w:val="47"/>
    <w:link w:val="30"/>
    <w:qFormat/>
    <w:uiPriority w:val="99"/>
    <w:rPr>
      <w:rFonts w:ascii="Times New Roman" w:hAnsi="Times New Roman" w:eastAsia="宋体" w:cs="Times New Roman"/>
      <w:sz w:val="18"/>
      <w:szCs w:val="18"/>
    </w:rPr>
  </w:style>
  <w:style w:type="character" w:customStyle="1" w:styleId="68">
    <w:name w:val="正文文本缩进 Char"/>
    <w:basedOn w:val="47"/>
    <w:link w:val="19"/>
    <w:qFormat/>
    <w:uiPriority w:val="0"/>
    <w:rPr>
      <w:rFonts w:ascii="Times New Roman" w:hAnsi="Times New Roman" w:eastAsia="宋体" w:cs="Times New Roman"/>
      <w:szCs w:val="24"/>
    </w:rPr>
  </w:style>
  <w:style w:type="paragraph" w:customStyle="1" w:styleId="69">
    <w:name w:val="Char Char Char Char Char Char Char"/>
    <w:basedOn w:val="1"/>
    <w:qFormat/>
    <w:uiPriority w:val="0"/>
    <w:pPr>
      <w:snapToGrid w:val="0"/>
      <w:spacing w:line="360" w:lineRule="auto"/>
      <w:ind w:firstLine="200" w:firstLineChars="200"/>
    </w:pPr>
    <w:rPr>
      <w:rFonts w:eastAsia="仿宋_GB2312"/>
      <w:sz w:val="24"/>
    </w:rPr>
  </w:style>
  <w:style w:type="character" w:customStyle="1" w:styleId="70">
    <w:name w:val="纯文本 Char"/>
    <w:basedOn w:val="47"/>
    <w:link w:val="23"/>
    <w:qFormat/>
    <w:uiPriority w:val="0"/>
    <w:rPr>
      <w:rFonts w:ascii="宋体" w:hAnsi="Courier New" w:eastAsia="宋体" w:cs="Courier New"/>
      <w:szCs w:val="21"/>
    </w:rPr>
  </w:style>
  <w:style w:type="character" w:customStyle="1" w:styleId="71">
    <w:name w:val="批注文字 Char"/>
    <w:basedOn w:val="47"/>
    <w:link w:val="16"/>
    <w:semiHidden/>
    <w:qFormat/>
    <w:uiPriority w:val="0"/>
    <w:rPr>
      <w:rFonts w:ascii="Times New Roman" w:hAnsi="Times New Roman" w:eastAsia="宋体" w:cs="Times New Roman"/>
      <w:szCs w:val="24"/>
    </w:rPr>
  </w:style>
  <w:style w:type="paragraph" w:customStyle="1" w:styleId="7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73">
    <w:name w:val="Char Char Char"/>
    <w:basedOn w:val="1"/>
    <w:qFormat/>
    <w:uiPriority w:val="0"/>
    <w:rPr>
      <w:rFonts w:ascii="宋体" w:hAnsi="宋体"/>
      <w:b/>
      <w:sz w:val="28"/>
      <w:szCs w:val="28"/>
    </w:rPr>
  </w:style>
  <w:style w:type="paragraph" w:customStyle="1" w:styleId="74">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75">
    <w:name w:val="HTML 预设格式 Char"/>
    <w:basedOn w:val="47"/>
    <w:link w:val="39"/>
    <w:qFormat/>
    <w:uiPriority w:val="0"/>
    <w:rPr>
      <w:rFonts w:ascii="Arial" w:hAnsi="Arial" w:eastAsia="宋体" w:cs="Arial"/>
      <w:kern w:val="0"/>
      <w:sz w:val="24"/>
      <w:szCs w:val="24"/>
    </w:rPr>
  </w:style>
  <w:style w:type="character" w:customStyle="1" w:styleId="76">
    <w:name w:val="称呼 Char"/>
    <w:basedOn w:val="47"/>
    <w:link w:val="17"/>
    <w:qFormat/>
    <w:uiPriority w:val="0"/>
    <w:rPr>
      <w:rFonts w:ascii="仿宋_GB2312" w:hAnsi="Times New Roman" w:eastAsia="仿宋_GB2312" w:cs="Times New Roman"/>
      <w:sz w:val="24"/>
      <w:szCs w:val="24"/>
    </w:rPr>
  </w:style>
  <w:style w:type="character" w:customStyle="1" w:styleId="77">
    <w:name w:val="正文文本 2 Char"/>
    <w:basedOn w:val="47"/>
    <w:link w:val="38"/>
    <w:qFormat/>
    <w:uiPriority w:val="0"/>
    <w:rPr>
      <w:rFonts w:ascii="Times New Roman" w:hAnsi="Times New Roman" w:eastAsia="宋体" w:cs="Times New Roman"/>
      <w:szCs w:val="24"/>
    </w:rPr>
  </w:style>
  <w:style w:type="character" w:customStyle="1" w:styleId="78">
    <w:name w:val="正文文本缩进 2 Char"/>
    <w:basedOn w:val="47"/>
    <w:link w:val="26"/>
    <w:qFormat/>
    <w:uiPriority w:val="0"/>
    <w:rPr>
      <w:rFonts w:ascii="Times New Roman" w:hAnsi="Times New Roman" w:eastAsia="宋体" w:cs="Times New Roman"/>
      <w:szCs w:val="24"/>
    </w:rPr>
  </w:style>
  <w:style w:type="paragraph" w:customStyle="1" w:styleId="79">
    <w:name w:val="Char"/>
    <w:basedOn w:val="1"/>
    <w:qFormat/>
    <w:uiPriority w:val="0"/>
    <w:pPr>
      <w:tabs>
        <w:tab w:val="left" w:pos="360"/>
      </w:tabs>
      <w:ind w:left="360" w:hanging="360" w:hangingChars="200"/>
    </w:pPr>
    <w:rPr>
      <w:sz w:val="24"/>
    </w:rPr>
  </w:style>
  <w:style w:type="character" w:customStyle="1" w:styleId="80">
    <w:name w:val="正文文本缩进 3 Char"/>
    <w:basedOn w:val="47"/>
    <w:link w:val="34"/>
    <w:qFormat/>
    <w:uiPriority w:val="0"/>
    <w:rPr>
      <w:rFonts w:ascii="Times New Roman" w:hAnsi="Times New Roman" w:eastAsia="宋体" w:cs="Times New Roman"/>
      <w:sz w:val="16"/>
      <w:szCs w:val="16"/>
    </w:rPr>
  </w:style>
  <w:style w:type="character" w:customStyle="1" w:styleId="81">
    <w:name w:val="日期 Char"/>
    <w:basedOn w:val="47"/>
    <w:link w:val="25"/>
    <w:qFormat/>
    <w:uiPriority w:val="0"/>
    <w:rPr>
      <w:rFonts w:ascii="Times New Roman" w:hAnsi="Times New Roman" w:eastAsia="宋体" w:cs="Times New Roman"/>
      <w:sz w:val="24"/>
      <w:szCs w:val="20"/>
    </w:rPr>
  </w:style>
  <w:style w:type="paragraph" w:customStyle="1" w:styleId="82">
    <w:name w:val="样式1"/>
    <w:basedOn w:val="1"/>
    <w:link w:val="114"/>
    <w:qFormat/>
    <w:uiPriority w:val="0"/>
    <w:pPr>
      <w:tabs>
        <w:tab w:val="left" w:pos="360"/>
      </w:tabs>
      <w:adjustRightInd w:val="0"/>
      <w:ind w:left="360" w:hanging="360"/>
      <w:textAlignment w:val="baseline"/>
    </w:pPr>
    <w:rPr>
      <w:rFonts w:ascii="宋体" w:hAnsi="宋体"/>
      <w:kern w:val="0"/>
      <w:szCs w:val="21"/>
    </w:rPr>
  </w:style>
  <w:style w:type="character" w:customStyle="1" w:styleId="83">
    <w:name w:val="p0 Char"/>
    <w:link w:val="84"/>
    <w:qFormat/>
    <w:uiPriority w:val="0"/>
    <w:rPr>
      <w:rFonts w:eastAsia="宋体"/>
      <w:szCs w:val="21"/>
    </w:rPr>
  </w:style>
  <w:style w:type="paragraph" w:customStyle="1" w:styleId="84">
    <w:name w:val="p0"/>
    <w:basedOn w:val="1"/>
    <w:link w:val="83"/>
    <w:qFormat/>
    <w:uiPriority w:val="0"/>
    <w:pPr>
      <w:widowControl/>
    </w:pPr>
    <w:rPr>
      <w:rFonts w:asciiTheme="minorHAnsi" w:hAnsiTheme="minorHAnsi" w:cstheme="minorBidi"/>
      <w:szCs w:val="21"/>
    </w:rPr>
  </w:style>
  <w:style w:type="paragraph" w:customStyle="1" w:styleId="85">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86">
    <w:name w:val="Char Char1 Char Char Char Char Char1 Char Char Char Char"/>
    <w:basedOn w:val="15"/>
    <w:qFormat/>
    <w:uiPriority w:val="0"/>
    <w:rPr>
      <w:rFonts w:ascii="Tahoma" w:hAnsi="Tahoma"/>
    </w:rPr>
  </w:style>
  <w:style w:type="character" w:customStyle="1" w:styleId="87">
    <w:name w:val="文档结构图 Char"/>
    <w:basedOn w:val="47"/>
    <w:link w:val="15"/>
    <w:semiHidden/>
    <w:qFormat/>
    <w:uiPriority w:val="0"/>
    <w:rPr>
      <w:rFonts w:ascii="Times New Roman" w:hAnsi="Times New Roman" w:eastAsia="宋体" w:cs="Times New Roman"/>
      <w:szCs w:val="24"/>
      <w:shd w:val="clear" w:color="auto" w:fill="000080"/>
    </w:rPr>
  </w:style>
  <w:style w:type="paragraph" w:customStyle="1" w:styleId="88">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89">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90">
    <w:name w:val="Default"/>
    <w:qFormat/>
    <w:uiPriority w:val="99"/>
    <w:pPr>
      <w:widowControl w:val="0"/>
      <w:autoSpaceDE w:val="0"/>
      <w:autoSpaceDN w:val="0"/>
      <w:adjustRightInd w:val="0"/>
    </w:pPr>
    <w:rPr>
      <w:rFonts w:ascii="黑体" w:hAnsi="Times New Roman" w:eastAsia="黑体" w:cs="Times New Roman"/>
      <w:lang w:val="en-US" w:eastAsia="zh-CN" w:bidi="ar-SA"/>
    </w:rPr>
  </w:style>
  <w:style w:type="paragraph" w:customStyle="1" w:styleId="91">
    <w:name w:val="1"/>
    <w:basedOn w:val="1"/>
    <w:qFormat/>
    <w:uiPriority w:val="34"/>
    <w:pPr>
      <w:spacing w:afterLines="50" w:line="360" w:lineRule="auto"/>
    </w:pPr>
    <w:rPr>
      <w:rFonts w:ascii="宋体" w:hAnsi="宋体"/>
      <w:b/>
      <w:sz w:val="30"/>
      <w:szCs w:val="21"/>
    </w:rPr>
  </w:style>
  <w:style w:type="paragraph" w:customStyle="1" w:styleId="92">
    <w:name w:val="样式 标题 2 + 宋体 五号 行距: 单倍行距"/>
    <w:basedOn w:val="4"/>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93">
    <w:name w:val="标题 1 +"/>
    <w:basedOn w:val="3"/>
    <w:next w:val="1"/>
    <w:qFormat/>
    <w:uiPriority w:val="0"/>
    <w:pPr>
      <w:keepLines/>
      <w:spacing w:line="600" w:lineRule="auto"/>
    </w:pPr>
    <w:rPr>
      <w:rFonts w:eastAsia="黑体"/>
      <w:kern w:val="0"/>
      <w:sz w:val="32"/>
      <w:szCs w:val="32"/>
    </w:rPr>
  </w:style>
  <w:style w:type="character" w:customStyle="1" w:styleId="94">
    <w:name w:val="批注主题 Char"/>
    <w:basedOn w:val="71"/>
    <w:link w:val="43"/>
    <w:qFormat/>
    <w:uiPriority w:val="0"/>
    <w:rPr>
      <w:rFonts w:ascii="Times New Roman" w:hAnsi="Times New Roman" w:eastAsia="宋体" w:cs="Times New Roman"/>
      <w:b/>
      <w:bCs/>
      <w:szCs w:val="24"/>
    </w:rPr>
  </w:style>
  <w:style w:type="character" w:customStyle="1" w:styleId="95">
    <w:name w:val="批注框文本 Char"/>
    <w:basedOn w:val="47"/>
    <w:link w:val="28"/>
    <w:qFormat/>
    <w:uiPriority w:val="99"/>
    <w:rPr>
      <w:rFonts w:ascii="Times New Roman" w:hAnsi="Times New Roman" w:eastAsia="宋体" w:cs="Times New Roman"/>
      <w:sz w:val="18"/>
      <w:szCs w:val="18"/>
    </w:rPr>
  </w:style>
  <w:style w:type="paragraph" w:customStyle="1" w:styleId="96">
    <w:name w:val="样式 标题 2 + Times New Roman 四号 非加粗 段前: 5 磅 段后: 0 磅 行距: 固定值 20..."/>
    <w:basedOn w:val="4"/>
    <w:qFormat/>
    <w:uiPriority w:val="0"/>
    <w:pPr>
      <w:spacing w:before="100" w:line="400" w:lineRule="exact"/>
    </w:pPr>
    <w:rPr>
      <w:rFonts w:ascii="Times New Roman" w:hAnsi="Times New Roman" w:eastAsia="黑体"/>
      <w:b w:val="0"/>
      <w:bCs w:val="0"/>
      <w:sz w:val="28"/>
      <w:szCs w:val="20"/>
    </w:rPr>
  </w:style>
  <w:style w:type="paragraph" w:customStyle="1" w:styleId="97">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98">
    <w:name w:val="Char1 Char Char Char 字元 Char Char 字元 Char 字元 Char1 Char Char Char"/>
    <w:basedOn w:val="1"/>
    <w:qFormat/>
    <w:uiPriority w:val="0"/>
    <w:rPr>
      <w:szCs w:val="20"/>
    </w:rPr>
  </w:style>
  <w:style w:type="paragraph" w:customStyle="1" w:styleId="99">
    <w:name w:val="p16"/>
    <w:basedOn w:val="1"/>
    <w:qFormat/>
    <w:uiPriority w:val="0"/>
    <w:pPr>
      <w:widowControl/>
      <w:jc w:val="left"/>
    </w:pPr>
    <w:rPr>
      <w:kern w:val="0"/>
      <w:szCs w:val="21"/>
    </w:rPr>
  </w:style>
  <w:style w:type="paragraph" w:customStyle="1" w:styleId="100">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02">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03">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04">
    <w:name w:val="Char Char Char1 Char"/>
    <w:basedOn w:val="1"/>
    <w:qFormat/>
    <w:uiPriority w:val="0"/>
    <w:pPr>
      <w:tabs>
        <w:tab w:val="left" w:pos="360"/>
      </w:tabs>
      <w:snapToGrid w:val="0"/>
      <w:spacing w:line="360" w:lineRule="auto"/>
    </w:pPr>
    <w:rPr>
      <w:rFonts w:eastAsia="仿宋_GB2312" w:cs="宋体"/>
      <w:sz w:val="24"/>
    </w:rPr>
  </w:style>
  <w:style w:type="paragraph" w:styleId="105">
    <w:name w:val="List Paragraph"/>
    <w:basedOn w:val="1"/>
    <w:link w:val="111"/>
    <w:qFormat/>
    <w:uiPriority w:val="34"/>
    <w:pPr>
      <w:ind w:firstLine="420" w:firstLineChars="200"/>
    </w:pPr>
  </w:style>
  <w:style w:type="character" w:customStyle="1" w:styleId="106">
    <w:name w:val="fontstyle01"/>
    <w:basedOn w:val="47"/>
    <w:qFormat/>
    <w:uiPriority w:val="0"/>
    <w:rPr>
      <w:rFonts w:hint="eastAsia" w:ascii="宋体" w:hAnsi="宋体" w:eastAsia="宋体"/>
      <w:color w:val="000000"/>
      <w:sz w:val="24"/>
      <w:szCs w:val="24"/>
    </w:rPr>
  </w:style>
  <w:style w:type="character" w:customStyle="1" w:styleId="107">
    <w:name w:val="fontstyle11"/>
    <w:basedOn w:val="47"/>
    <w:qFormat/>
    <w:uiPriority w:val="0"/>
    <w:rPr>
      <w:rFonts w:hint="default" w:ascii="TimesNewRomanPSMT" w:hAnsi="TimesNewRomanPSMT"/>
      <w:color w:val="000000"/>
      <w:sz w:val="24"/>
      <w:szCs w:val="24"/>
    </w:rPr>
  </w:style>
  <w:style w:type="paragraph" w:customStyle="1" w:styleId="108">
    <w:name w:val="TOC 标题1"/>
    <w:basedOn w:val="3"/>
    <w:next w:val="1"/>
    <w:unhideWhenUsed/>
    <w:qFormat/>
    <w:uiPriority w:val="39"/>
    <w:pPr>
      <w:keepLines/>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9">
    <w:name w:val="fontstyle21"/>
    <w:basedOn w:val="47"/>
    <w:qFormat/>
    <w:uiPriority w:val="0"/>
    <w:rPr>
      <w:rFonts w:hint="eastAsia" w:ascii="宋体" w:hAnsi="宋体" w:eastAsia="宋体"/>
      <w:color w:val="993300"/>
      <w:sz w:val="24"/>
      <w:szCs w:val="24"/>
    </w:rPr>
  </w:style>
  <w:style w:type="character" w:customStyle="1" w:styleId="110">
    <w:name w:val="fontstyle31"/>
    <w:basedOn w:val="47"/>
    <w:qFormat/>
    <w:uiPriority w:val="0"/>
    <w:rPr>
      <w:rFonts w:hint="default" w:ascii="Arial" w:hAnsi="Arial" w:cs="Arial"/>
      <w:color w:val="993300"/>
      <w:sz w:val="24"/>
      <w:szCs w:val="24"/>
    </w:rPr>
  </w:style>
  <w:style w:type="character" w:customStyle="1" w:styleId="111">
    <w:name w:val="列出段落 Char"/>
    <w:link w:val="105"/>
    <w:qFormat/>
    <w:uiPriority w:val="34"/>
    <w:rPr>
      <w:rFonts w:ascii="Times New Roman" w:hAnsi="Times New Roman" w:eastAsia="宋体" w:cs="Times New Roman"/>
      <w:szCs w:val="24"/>
    </w:rPr>
  </w:style>
  <w:style w:type="character" w:customStyle="1" w:styleId="112">
    <w:name w:val="标题 Char"/>
    <w:link w:val="42"/>
    <w:qFormat/>
    <w:uiPriority w:val="0"/>
    <w:rPr>
      <w:b/>
      <w:sz w:val="32"/>
    </w:rPr>
  </w:style>
  <w:style w:type="character" w:customStyle="1" w:styleId="113">
    <w:name w:val="标题 Char1"/>
    <w:basedOn w:val="47"/>
    <w:qFormat/>
    <w:uiPriority w:val="10"/>
    <w:rPr>
      <w:rFonts w:eastAsia="宋体" w:asciiTheme="majorHAnsi" w:hAnsiTheme="majorHAnsi" w:cstheme="majorBidi"/>
      <w:b/>
      <w:bCs/>
      <w:sz w:val="32"/>
      <w:szCs w:val="32"/>
    </w:rPr>
  </w:style>
  <w:style w:type="character" w:customStyle="1" w:styleId="114">
    <w:name w:val="样式1 Char Char"/>
    <w:link w:val="82"/>
    <w:qFormat/>
    <w:uiPriority w:val="0"/>
    <w:rPr>
      <w:rFonts w:ascii="宋体" w:hAnsi="宋体" w:eastAsia="宋体" w:cs="Times New Roman"/>
      <w:kern w:val="0"/>
      <w:szCs w:val="21"/>
    </w:rPr>
  </w:style>
  <w:style w:type="character" w:customStyle="1" w:styleId="115">
    <w:name w:val="纯文本 Char1"/>
    <w:semiHidden/>
    <w:qFormat/>
    <w:locked/>
    <w:uiPriority w:val="0"/>
    <w:rPr>
      <w:rFonts w:ascii="宋体" w:hAnsi="Courier New" w:eastAsia="宋体" w:cs="Courier New"/>
      <w:kern w:val="2"/>
      <w:sz w:val="21"/>
      <w:szCs w:val="21"/>
      <w:lang w:val="en-US" w:eastAsia="zh-CN" w:bidi="ar-SA"/>
    </w:rPr>
  </w:style>
  <w:style w:type="paragraph" w:customStyle="1" w:styleId="116">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Normal_10"/>
    <w:qFormat/>
    <w:uiPriority w:val="0"/>
    <w:rPr>
      <w:rFonts w:ascii="Times New Roman" w:hAnsi="Times New Roman" w:eastAsia="Times New Roman" w:cs="Times New Roman"/>
      <w:sz w:val="24"/>
      <w:szCs w:val="24"/>
      <w:lang w:val="en-US" w:eastAsia="zh-CN" w:bidi="ar-SA"/>
    </w:rPr>
  </w:style>
  <w:style w:type="character" w:customStyle="1" w:styleId="118">
    <w:name w:val="宏文本 Char"/>
    <w:basedOn w:val="47"/>
    <w:link w:val="2"/>
    <w:qFormat/>
    <w:uiPriority w:val="0"/>
    <w:rPr>
      <w:rFonts w:ascii="Courier New" w:hAnsi="Courier New" w:eastAsia="宋体" w:cs="Times New Roman"/>
      <w:kern w:val="2"/>
      <w:sz w:val="24"/>
      <w:szCs w:val="22"/>
    </w:rPr>
  </w:style>
  <w:style w:type="paragraph" w:customStyle="1" w:styleId="119">
    <w:name w:val="！正文空2格"/>
    <w:basedOn w:val="1"/>
    <w:link w:val="120"/>
    <w:qFormat/>
    <w:uiPriority w:val="0"/>
    <w:pPr>
      <w:widowControl/>
      <w:spacing w:line="360" w:lineRule="auto"/>
      <w:ind w:firstLine="480" w:firstLineChars="200"/>
    </w:pPr>
    <w:rPr>
      <w:rFonts w:ascii="宋体" w:hAnsi="宋体"/>
      <w:snapToGrid w:val="0"/>
      <w:kern w:val="0"/>
      <w:sz w:val="24"/>
      <w:szCs w:val="21"/>
    </w:rPr>
  </w:style>
  <w:style w:type="character" w:customStyle="1" w:styleId="120">
    <w:name w:val="！正文空2格 字符"/>
    <w:link w:val="119"/>
    <w:qFormat/>
    <w:uiPriority w:val="0"/>
    <w:rPr>
      <w:rFonts w:ascii="宋体" w:hAnsi="宋体" w:eastAsia="宋体" w:cs="Times New Roman"/>
      <w:snapToGrid w:val="0"/>
      <w:sz w:val="24"/>
      <w:szCs w:val="21"/>
    </w:rPr>
  </w:style>
  <w:style w:type="character" w:customStyle="1" w:styleId="121">
    <w:name w:val="正文缩进 Char"/>
    <w:link w:val="13"/>
    <w:qFormat/>
    <w:uiPriority w:val="0"/>
    <w:rPr>
      <w:rFonts w:ascii="Times New Roman" w:hAnsi="Times New Roman" w:eastAsia="宋体" w:cs="Times New Roman"/>
    </w:rPr>
  </w:style>
  <w:style w:type="character" w:customStyle="1" w:styleId="122">
    <w:name w:val="题注 Char"/>
    <w:link w:val="14"/>
    <w:qFormat/>
    <w:uiPriority w:val="35"/>
    <w:rPr>
      <w:rFonts w:ascii="Calibri Light" w:hAnsi="Calibri Light" w:eastAsia="黑体" w:cs="Times New Roman"/>
      <w:kern w:val="2"/>
    </w:rPr>
  </w:style>
  <w:style w:type="character" w:customStyle="1" w:styleId="123">
    <w:name w:val="尾注文本 Char"/>
    <w:basedOn w:val="47"/>
    <w:link w:val="27"/>
    <w:qFormat/>
    <w:uiPriority w:val="99"/>
    <w:rPr>
      <w:rFonts w:ascii="Calibri" w:hAnsi="Calibri" w:eastAsia="宋体" w:cs="Times New Roman"/>
      <w:kern w:val="2"/>
      <w:sz w:val="24"/>
      <w:szCs w:val="21"/>
    </w:rPr>
  </w:style>
  <w:style w:type="character" w:customStyle="1" w:styleId="124">
    <w:name w:val="正文首行缩进 Char"/>
    <w:basedOn w:val="65"/>
    <w:link w:val="44"/>
    <w:qFormat/>
    <w:uiPriority w:val="0"/>
    <w:rPr>
      <w:rFonts w:ascii="Arial" w:hAnsi="Arial"/>
      <w:sz w:val="24"/>
    </w:rPr>
  </w:style>
  <w:style w:type="table" w:customStyle="1" w:styleId="125">
    <w:name w:val="网格型1"/>
    <w:basedOn w:val="4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6">
    <w:name w:val="_Style 26"/>
    <w:basedOn w:val="1"/>
    <w:next w:val="105"/>
    <w:qFormat/>
    <w:uiPriority w:val="34"/>
    <w:pPr>
      <w:ind w:firstLine="420" w:firstLineChars="200"/>
    </w:pPr>
    <w:rPr>
      <w:rFonts w:ascii="Calibri" w:hAnsi="Calibri"/>
      <w:szCs w:val="22"/>
    </w:rPr>
  </w:style>
  <w:style w:type="paragraph" w:customStyle="1" w:styleId="127">
    <w:name w:val="图名"/>
    <w:basedOn w:val="1"/>
    <w:next w:val="119"/>
    <w:link w:val="128"/>
    <w:qFormat/>
    <w:uiPriority w:val="3"/>
    <w:pPr>
      <w:keepLines/>
      <w:spacing w:before="120" w:after="240"/>
      <w:contextualSpacing/>
      <w:jc w:val="center"/>
    </w:pPr>
    <w:rPr>
      <w:rFonts w:ascii="Calibri" w:hAnsi="Calibri"/>
      <w:szCs w:val="21"/>
    </w:rPr>
  </w:style>
  <w:style w:type="character" w:customStyle="1" w:styleId="128">
    <w:name w:val="图名 字符"/>
    <w:basedOn w:val="47"/>
    <w:link w:val="127"/>
    <w:qFormat/>
    <w:uiPriority w:val="3"/>
    <w:rPr>
      <w:rFonts w:ascii="Calibri" w:hAnsi="Calibri" w:eastAsia="宋体" w:cs="Times New Roman"/>
      <w:kern w:val="2"/>
      <w:sz w:val="21"/>
      <w:szCs w:val="21"/>
    </w:rPr>
  </w:style>
  <w:style w:type="paragraph" w:customStyle="1" w:styleId="129">
    <w:name w:val="表名"/>
    <w:basedOn w:val="127"/>
    <w:next w:val="119"/>
    <w:link w:val="130"/>
    <w:qFormat/>
    <w:uiPriority w:val="3"/>
    <w:pPr>
      <w:keepNext/>
      <w:spacing w:after="120"/>
    </w:pPr>
  </w:style>
  <w:style w:type="character" w:customStyle="1" w:styleId="130">
    <w:name w:val="表名 字符"/>
    <w:basedOn w:val="128"/>
    <w:link w:val="129"/>
    <w:qFormat/>
    <w:uiPriority w:val="3"/>
  </w:style>
  <w:style w:type="character" w:customStyle="1" w:styleId="131">
    <w:name w:val="未处理的提及1"/>
    <w:basedOn w:val="47"/>
    <w:unhideWhenUsed/>
    <w:qFormat/>
    <w:uiPriority w:val="99"/>
    <w:rPr>
      <w:color w:val="605E5C"/>
      <w:shd w:val="clear" w:color="auto" w:fill="E1DFDD"/>
    </w:rPr>
  </w:style>
  <w:style w:type="paragraph" w:customStyle="1" w:styleId="132">
    <w:name w:val="圆点排序"/>
    <w:basedOn w:val="119"/>
    <w:qFormat/>
    <w:uiPriority w:val="4"/>
    <w:pPr>
      <w:numPr>
        <w:ilvl w:val="0"/>
        <w:numId w:val="1"/>
      </w:numPr>
      <w:ind w:firstLine="0" w:firstLineChars="0"/>
    </w:pPr>
  </w:style>
  <w:style w:type="paragraph" w:customStyle="1" w:styleId="133">
    <w:name w:val="箭头排序"/>
    <w:basedOn w:val="119"/>
    <w:qFormat/>
    <w:uiPriority w:val="4"/>
    <w:pPr>
      <w:numPr>
        <w:ilvl w:val="0"/>
        <w:numId w:val="2"/>
      </w:numPr>
      <w:ind w:firstLine="0" w:firstLineChars="0"/>
    </w:pPr>
  </w:style>
  <w:style w:type="paragraph" w:customStyle="1" w:styleId="134">
    <w:name w:val="数字编号排序"/>
    <w:basedOn w:val="119"/>
    <w:qFormat/>
    <w:uiPriority w:val="4"/>
    <w:pPr>
      <w:numPr>
        <w:ilvl w:val="0"/>
        <w:numId w:val="3"/>
      </w:numPr>
      <w:ind w:firstLine="0" w:firstLineChars="0"/>
    </w:pPr>
  </w:style>
  <w:style w:type="paragraph" w:customStyle="1" w:styleId="135">
    <w:name w:val="图"/>
    <w:basedOn w:val="127"/>
    <w:next w:val="127"/>
    <w:link w:val="136"/>
    <w:qFormat/>
    <w:uiPriority w:val="0"/>
    <w:pPr>
      <w:keepNext/>
      <w:ind w:left="142" w:hanging="142"/>
    </w:pPr>
    <w:rPr>
      <w:b/>
    </w:rPr>
  </w:style>
  <w:style w:type="character" w:customStyle="1" w:styleId="136">
    <w:name w:val="图 字符"/>
    <w:basedOn w:val="128"/>
    <w:link w:val="135"/>
    <w:qFormat/>
    <w:uiPriority w:val="0"/>
    <w:rPr>
      <w:b/>
    </w:rPr>
  </w:style>
  <w:style w:type="character" w:customStyle="1" w:styleId="137">
    <w:name w:val="宏文本 字符"/>
    <w:basedOn w:val="47"/>
    <w:semiHidden/>
    <w:qFormat/>
    <w:uiPriority w:val="99"/>
    <w:rPr>
      <w:rFonts w:ascii="Courier New" w:hAnsi="Courier New" w:eastAsia="宋体" w:cs="Courier New"/>
      <w:kern w:val="2"/>
      <w:sz w:val="24"/>
      <w:szCs w:val="24"/>
    </w:rPr>
  </w:style>
  <w:style w:type="paragraph" w:customStyle="1" w:styleId="138">
    <w:name w:val="列表段落1"/>
    <w:basedOn w:val="1"/>
    <w:qFormat/>
    <w:uiPriority w:val="99"/>
    <w:pPr>
      <w:widowControl/>
      <w:ind w:firstLine="420" w:firstLineChars="200"/>
      <w:jc w:val="left"/>
    </w:pPr>
    <w:rPr>
      <w:rFonts w:ascii="宋体" w:hAnsi="宋体" w:cs="宋体"/>
      <w:kern w:val="0"/>
      <w:sz w:val="24"/>
    </w:rPr>
  </w:style>
  <w:style w:type="paragraph" w:customStyle="1" w:styleId="139">
    <w:name w:val="标题七"/>
    <w:basedOn w:val="9"/>
    <w:qFormat/>
    <w:uiPriority w:val="99"/>
    <w:pPr>
      <w:tabs>
        <w:tab w:val="left" w:pos="0"/>
        <w:tab w:val="left" w:pos="1276"/>
      </w:tabs>
      <w:adjustRightInd/>
      <w:spacing w:before="0" w:after="0" w:line="360" w:lineRule="auto"/>
      <w:ind w:left="2911" w:hanging="360"/>
      <w:jc w:val="both"/>
      <w:textAlignment w:val="auto"/>
    </w:pPr>
    <w:rPr>
      <w:rFonts w:ascii="仿宋" w:hAnsi="仿宋" w:eastAsia="仿宋_GB2312"/>
      <w:kern w:val="2"/>
      <w:sz w:val="28"/>
    </w:rPr>
  </w:style>
  <w:style w:type="paragraph" w:customStyle="1" w:styleId="140">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41">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42">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43">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4">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A6A6A6"/>
      <w:spacing w:before="100" w:beforeAutospacing="1" w:after="100" w:afterAutospacing="1"/>
      <w:jc w:val="center"/>
    </w:pPr>
    <w:rPr>
      <w:rFonts w:ascii="宋体" w:hAnsi="宋体" w:cs="宋体"/>
      <w:kern w:val="0"/>
      <w:sz w:val="24"/>
    </w:rPr>
  </w:style>
  <w:style w:type="paragraph" w:customStyle="1" w:styleId="145">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A6A6A6"/>
      <w:spacing w:before="100" w:beforeAutospacing="1" w:after="100" w:afterAutospacing="1"/>
      <w:jc w:val="center"/>
    </w:pPr>
    <w:rPr>
      <w:rFonts w:ascii="宋体" w:hAnsi="宋体" w:cs="宋体"/>
      <w:kern w:val="0"/>
      <w:sz w:val="24"/>
    </w:rPr>
  </w:style>
  <w:style w:type="paragraph" w:customStyle="1" w:styleId="14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4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48">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49">
    <w:name w:val="xl7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50">
    <w:name w:val="xl74"/>
    <w:basedOn w:val="1"/>
    <w:qFormat/>
    <w:uiPriority w:val="0"/>
    <w:pPr>
      <w:widowControl/>
      <w:spacing w:before="100" w:beforeAutospacing="1" w:after="100" w:afterAutospacing="1"/>
      <w:jc w:val="center"/>
    </w:pPr>
    <w:rPr>
      <w:rFonts w:ascii="宋体" w:hAnsi="宋体" w:cs="宋体"/>
      <w:kern w:val="0"/>
      <w:sz w:val="24"/>
    </w:rPr>
  </w:style>
  <w:style w:type="paragraph" w:customStyle="1" w:styleId="151">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152">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53">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54">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color w:val="000000"/>
      <w:kern w:val="0"/>
      <w:sz w:val="24"/>
    </w:rPr>
  </w:style>
  <w:style w:type="paragraph" w:customStyle="1" w:styleId="155">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56">
    <w:name w:val="xl80"/>
    <w:basedOn w:val="1"/>
    <w:qFormat/>
    <w:uiPriority w:val="0"/>
    <w:pPr>
      <w:widowControl/>
      <w:pBdr>
        <w:left w:val="single" w:color="auto" w:sz="4" w:space="0"/>
        <w:bottom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5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158">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rPr>
  </w:style>
  <w:style w:type="paragraph" w:customStyle="1" w:styleId="159">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rPr>
  </w:style>
  <w:style w:type="paragraph" w:customStyle="1" w:styleId="160">
    <w:name w:val="xl84"/>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161">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top"/>
    </w:pPr>
    <w:rPr>
      <w:rFonts w:ascii="宋体" w:hAnsi="宋体" w:cs="宋体"/>
      <w:kern w:val="0"/>
      <w:sz w:val="24"/>
    </w:rPr>
  </w:style>
  <w:style w:type="paragraph" w:customStyle="1" w:styleId="16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163">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4">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rPr>
  </w:style>
  <w:style w:type="paragraph" w:customStyle="1" w:styleId="165">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6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16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68">
    <w:name w:val="xl9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9">
    <w:name w:val="xl93"/>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70">
    <w:name w:val="xl9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character" w:customStyle="1" w:styleId="171">
    <w:name w:val="未处理的提及2"/>
    <w:basedOn w:val="47"/>
    <w:unhideWhenUsed/>
    <w:qFormat/>
    <w:uiPriority w:val="99"/>
    <w:rPr>
      <w:color w:val="605E5C"/>
      <w:shd w:val="clear" w:color="auto" w:fill="E1DFDD"/>
    </w:rPr>
  </w:style>
  <w:style w:type="character" w:customStyle="1" w:styleId="172">
    <w:name w:val="font31"/>
    <w:basedOn w:val="47"/>
    <w:qFormat/>
    <w:uiPriority w:val="0"/>
    <w:rPr>
      <w:rFonts w:hint="default" w:ascii="Calibri" w:hAnsi="Calibri" w:cs="Calibri"/>
      <w:color w:val="000000"/>
      <w:sz w:val="20"/>
      <w:szCs w:val="20"/>
      <w:u w:val="none"/>
    </w:rPr>
  </w:style>
  <w:style w:type="character" w:customStyle="1" w:styleId="173">
    <w:name w:val="font11"/>
    <w:basedOn w:val="47"/>
    <w:qFormat/>
    <w:uiPriority w:val="0"/>
    <w:rPr>
      <w:rFonts w:hint="eastAsia" w:ascii="宋体" w:hAnsi="宋体" w:eastAsia="宋体"/>
      <w:color w:val="000000"/>
      <w:sz w:val="20"/>
      <w:szCs w:val="20"/>
      <w:u w:val="none"/>
    </w:rPr>
  </w:style>
  <w:style w:type="character" w:customStyle="1" w:styleId="174">
    <w:name w:val="font41"/>
    <w:basedOn w:val="47"/>
    <w:qFormat/>
    <w:uiPriority w:val="0"/>
    <w:rPr>
      <w:rFonts w:hint="default" w:ascii="Calibri" w:hAnsi="Calibri" w:cs="Calibri"/>
      <w:color w:val="000000"/>
      <w:sz w:val="20"/>
      <w:szCs w:val="20"/>
      <w:u w:val="none"/>
    </w:rPr>
  </w:style>
  <w:style w:type="character" w:customStyle="1" w:styleId="175">
    <w:name w:val="font21"/>
    <w:basedOn w:val="47"/>
    <w:qFormat/>
    <w:uiPriority w:val="0"/>
    <w:rPr>
      <w:rFonts w:hint="eastAsia" w:ascii="宋体" w:hAnsi="宋体" w:eastAsia="宋体"/>
      <w:color w:val="000000"/>
      <w:sz w:val="20"/>
      <w:szCs w:val="20"/>
      <w:u w:val="none"/>
    </w:rPr>
  </w:style>
  <w:style w:type="character" w:customStyle="1" w:styleId="176">
    <w:name w:val="font51"/>
    <w:basedOn w:val="47"/>
    <w:qFormat/>
    <w:uiPriority w:val="0"/>
    <w:rPr>
      <w:rFonts w:hint="default" w:ascii="Calibri" w:hAnsi="Calibri" w:cs="Calibri"/>
      <w:color w:val="000000"/>
      <w:sz w:val="20"/>
      <w:szCs w:val="20"/>
      <w:u w:val="none"/>
    </w:rPr>
  </w:style>
  <w:style w:type="paragraph" w:customStyle="1" w:styleId="177">
    <w:name w:val="font0"/>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78">
    <w:name w:val="font1"/>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79">
    <w:name w:val="font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80">
    <w:name w:val="font3"/>
    <w:basedOn w:val="1"/>
    <w:qFormat/>
    <w:uiPriority w:val="0"/>
    <w:pPr>
      <w:widowControl/>
      <w:spacing w:before="100" w:beforeAutospacing="1" w:after="100" w:afterAutospacing="1"/>
      <w:jc w:val="left"/>
    </w:pPr>
    <w:rPr>
      <w:rFonts w:ascii="Calibri" w:hAnsi="Calibri" w:cs="Calibri"/>
      <w:color w:val="000000"/>
      <w:kern w:val="0"/>
      <w:sz w:val="20"/>
      <w:szCs w:val="20"/>
    </w:rPr>
  </w:style>
  <w:style w:type="paragraph" w:customStyle="1" w:styleId="181">
    <w:name w:val="font4"/>
    <w:basedOn w:val="1"/>
    <w:qFormat/>
    <w:uiPriority w:val="0"/>
    <w:pPr>
      <w:widowControl/>
      <w:spacing w:before="100" w:beforeAutospacing="1" w:after="100" w:afterAutospacing="1"/>
      <w:jc w:val="left"/>
    </w:pPr>
    <w:rPr>
      <w:rFonts w:ascii="Calibri" w:hAnsi="Calibri" w:cs="Calibri"/>
      <w:color w:val="000000"/>
      <w:kern w:val="0"/>
      <w:sz w:val="20"/>
      <w:szCs w:val="20"/>
    </w:rPr>
  </w:style>
  <w:style w:type="paragraph" w:customStyle="1" w:styleId="182">
    <w:name w:val="et2"/>
    <w:basedOn w:val="1"/>
    <w:qFormat/>
    <w:uiPriority w:val="0"/>
    <w:pPr>
      <w:widowControl/>
      <w:spacing w:before="100" w:beforeAutospacing="1" w:after="100" w:afterAutospacing="1"/>
      <w:jc w:val="center"/>
    </w:pPr>
    <w:rPr>
      <w:rFonts w:ascii="宋体" w:hAnsi="宋体" w:cs="宋体"/>
      <w:kern w:val="0"/>
      <w:sz w:val="20"/>
      <w:szCs w:val="20"/>
    </w:rPr>
  </w:style>
  <w:style w:type="paragraph" w:customStyle="1" w:styleId="183">
    <w:name w:val="et3"/>
    <w:basedOn w:val="1"/>
    <w:qFormat/>
    <w:uiPriority w:val="0"/>
    <w:pPr>
      <w:widowControl/>
      <w:pBdr>
        <w:top w:val="single" w:color="000000" w:sz="4" w:space="0"/>
        <w:left w:val="single" w:color="000000" w:sz="4" w:space="0"/>
        <w:bottom w:val="single" w:color="000000" w:sz="4" w:space="0"/>
      </w:pBdr>
      <w:shd w:val="clear" w:color="auto" w:fill="A6A6A6"/>
      <w:spacing w:before="100" w:beforeAutospacing="1" w:after="100" w:afterAutospacing="1"/>
      <w:jc w:val="center"/>
    </w:pPr>
    <w:rPr>
      <w:rFonts w:ascii="宋体" w:hAnsi="宋体" w:cs="宋体"/>
      <w:color w:val="000000"/>
      <w:kern w:val="0"/>
      <w:sz w:val="20"/>
      <w:szCs w:val="20"/>
    </w:rPr>
  </w:style>
  <w:style w:type="paragraph" w:customStyle="1" w:styleId="184">
    <w:name w:val="et4"/>
    <w:basedOn w:val="1"/>
    <w:qFormat/>
    <w:uiPriority w:val="0"/>
    <w:pPr>
      <w:widowControl/>
      <w:pBdr>
        <w:top w:val="single" w:color="000000" w:sz="4" w:space="0"/>
        <w:bottom w:val="single" w:color="000000" w:sz="4" w:space="0"/>
      </w:pBdr>
      <w:shd w:val="clear" w:color="auto" w:fill="A6A6A6"/>
      <w:spacing w:before="100" w:beforeAutospacing="1" w:after="100" w:afterAutospacing="1"/>
      <w:jc w:val="center"/>
    </w:pPr>
    <w:rPr>
      <w:rFonts w:ascii="宋体" w:hAnsi="宋体" w:cs="宋体"/>
      <w:color w:val="000000"/>
      <w:kern w:val="0"/>
      <w:sz w:val="20"/>
      <w:szCs w:val="20"/>
    </w:rPr>
  </w:style>
  <w:style w:type="paragraph" w:customStyle="1" w:styleId="185">
    <w:name w:val="et5"/>
    <w:basedOn w:val="1"/>
    <w:qFormat/>
    <w:uiPriority w:val="0"/>
    <w:pPr>
      <w:widowControl/>
      <w:pBdr>
        <w:top w:val="single" w:color="000000" w:sz="4" w:space="0"/>
        <w:bottom w:val="single" w:color="000000" w:sz="4" w:space="0"/>
        <w:right w:val="single" w:color="000000" w:sz="4" w:space="0"/>
      </w:pBdr>
      <w:shd w:val="clear" w:color="auto" w:fill="A6A6A6"/>
      <w:spacing w:before="100" w:beforeAutospacing="1" w:after="100" w:afterAutospacing="1"/>
      <w:jc w:val="center"/>
    </w:pPr>
    <w:rPr>
      <w:rFonts w:ascii="宋体" w:hAnsi="宋体" w:cs="宋体"/>
      <w:color w:val="000000"/>
      <w:kern w:val="0"/>
      <w:sz w:val="20"/>
      <w:szCs w:val="20"/>
    </w:rPr>
  </w:style>
  <w:style w:type="paragraph" w:customStyle="1" w:styleId="186">
    <w:name w:val="et6"/>
    <w:basedOn w:val="1"/>
    <w:qFormat/>
    <w:uiPriority w:val="0"/>
    <w:pPr>
      <w:widowControl/>
      <w:pBdr>
        <w:top w:val="single" w:color="000000" w:sz="4" w:space="0"/>
        <w:left w:val="single" w:color="000000" w:sz="4" w:space="0"/>
        <w:bottom w:val="single" w:color="000000" w:sz="4" w:space="0"/>
        <w:right w:val="single" w:color="000000" w:sz="4" w:space="0"/>
      </w:pBdr>
      <w:shd w:val="clear" w:color="auto" w:fill="A6A6A6"/>
      <w:spacing w:before="100" w:beforeAutospacing="1" w:after="100" w:afterAutospacing="1"/>
      <w:jc w:val="center"/>
    </w:pPr>
    <w:rPr>
      <w:rFonts w:ascii="宋体" w:hAnsi="宋体" w:cs="宋体"/>
      <w:color w:val="000000"/>
      <w:kern w:val="0"/>
      <w:sz w:val="20"/>
      <w:szCs w:val="20"/>
    </w:rPr>
  </w:style>
  <w:style w:type="paragraph" w:customStyle="1" w:styleId="187">
    <w:name w:val="et8"/>
    <w:basedOn w:val="1"/>
    <w:qFormat/>
    <w:uiPriority w:val="0"/>
    <w:pPr>
      <w:widowControl/>
      <w:pBdr>
        <w:top w:val="single" w:color="000000" w:sz="4" w:space="0"/>
        <w:left w:val="single" w:color="000000" w:sz="4" w:space="0"/>
        <w:bottom w:val="single" w:color="000000" w:sz="4" w:space="0"/>
        <w:right w:val="single" w:color="000000" w:sz="4" w:space="0"/>
      </w:pBdr>
      <w:shd w:val="clear" w:color="auto" w:fill="A6A6A6"/>
      <w:spacing w:before="100" w:beforeAutospacing="1" w:after="100" w:afterAutospacing="1"/>
      <w:jc w:val="center"/>
    </w:pPr>
    <w:rPr>
      <w:rFonts w:ascii="宋体" w:hAnsi="宋体" w:cs="宋体"/>
      <w:color w:val="000000"/>
      <w:kern w:val="0"/>
      <w:sz w:val="20"/>
      <w:szCs w:val="20"/>
    </w:rPr>
  </w:style>
  <w:style w:type="paragraph" w:customStyle="1" w:styleId="188">
    <w:name w:val="et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Calibri" w:hAnsi="Calibri" w:cs="Calibri"/>
      <w:kern w:val="0"/>
      <w:sz w:val="20"/>
      <w:szCs w:val="20"/>
    </w:rPr>
  </w:style>
  <w:style w:type="paragraph" w:customStyle="1" w:styleId="189">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90">
    <w:name w:val="et1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91">
    <w:name w:val="et1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Calibri" w:hAnsi="Calibri" w:cs="Calibri"/>
      <w:kern w:val="0"/>
      <w:sz w:val="20"/>
      <w:szCs w:val="20"/>
    </w:rPr>
  </w:style>
  <w:style w:type="paragraph" w:customStyle="1" w:styleId="192">
    <w:name w:val="et2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Calibri" w:hAnsi="Calibri" w:cs="Calibri"/>
      <w:kern w:val="0"/>
      <w:sz w:val="20"/>
      <w:szCs w:val="20"/>
    </w:rPr>
  </w:style>
  <w:style w:type="paragraph" w:customStyle="1" w:styleId="193">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94">
    <w:name w:val="et24"/>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Calibri" w:hAnsi="Calibri" w:cs="Calibri"/>
      <w:kern w:val="0"/>
      <w:sz w:val="20"/>
      <w:szCs w:val="20"/>
    </w:rPr>
  </w:style>
  <w:style w:type="paragraph" w:customStyle="1" w:styleId="195">
    <w:name w:val="et25"/>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96">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Calibri" w:hAnsi="Calibri" w:cs="Calibri"/>
      <w:kern w:val="0"/>
      <w:sz w:val="20"/>
      <w:szCs w:val="20"/>
    </w:rPr>
  </w:style>
  <w:style w:type="paragraph" w:customStyle="1" w:styleId="197">
    <w:name w:val="et3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198">
    <w:name w:val="et3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Calibri" w:hAnsi="Calibri" w:cs="Calibri"/>
      <w:kern w:val="0"/>
      <w:sz w:val="20"/>
      <w:szCs w:val="20"/>
    </w:rPr>
  </w:style>
  <w:style w:type="paragraph" w:customStyle="1" w:styleId="199">
    <w:name w:val="et34"/>
    <w:basedOn w:val="1"/>
    <w:qFormat/>
    <w:uiPriority w:val="0"/>
    <w:pPr>
      <w:widowControl/>
      <w:pBdr>
        <w:top w:val="single" w:color="000000" w:sz="4" w:space="0"/>
        <w:left w:val="single" w:color="000000" w:sz="4" w:space="0"/>
        <w:bottom w:val="single" w:color="000000" w:sz="4" w:space="0"/>
        <w:right w:val="single" w:color="000000" w:sz="4" w:space="0"/>
      </w:pBdr>
      <w:shd w:val="clear" w:color="auto" w:fill="A6A6A6"/>
      <w:spacing w:before="100" w:beforeAutospacing="1" w:after="100" w:afterAutospacing="1"/>
      <w:jc w:val="center"/>
    </w:pPr>
    <w:rPr>
      <w:rFonts w:ascii="宋体" w:hAnsi="宋体" w:cs="宋体"/>
      <w:kern w:val="0"/>
      <w:sz w:val="20"/>
      <w:szCs w:val="20"/>
    </w:rPr>
  </w:style>
  <w:style w:type="paragraph" w:customStyle="1" w:styleId="200">
    <w:name w:val="et36"/>
    <w:basedOn w:val="1"/>
    <w:qFormat/>
    <w:uiPriority w:val="0"/>
    <w:pPr>
      <w:widowControl/>
      <w:pBdr>
        <w:top w:val="single" w:color="000000" w:sz="4" w:space="0"/>
        <w:left w:val="single" w:color="000000" w:sz="4" w:space="0"/>
        <w:bottom w:val="single" w:color="000000" w:sz="4" w:space="0"/>
        <w:right w:val="single" w:color="000000" w:sz="4" w:space="0"/>
      </w:pBdr>
      <w:shd w:val="clear" w:color="auto" w:fill="A6A6A6"/>
      <w:spacing w:before="100" w:beforeAutospacing="1" w:after="100" w:afterAutospacing="1"/>
      <w:jc w:val="center"/>
    </w:pPr>
    <w:rPr>
      <w:rFonts w:ascii="Calibri" w:hAnsi="Calibri" w:cs="Calibri"/>
      <w:kern w:val="0"/>
      <w:sz w:val="20"/>
      <w:szCs w:val="20"/>
    </w:rPr>
  </w:style>
  <w:style w:type="paragraph" w:customStyle="1" w:styleId="201">
    <w:name w:val="et3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202">
    <w:name w:val="et41"/>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03">
    <w:name w:val="et42"/>
    <w:basedOn w:val="1"/>
    <w:qFormat/>
    <w:uiPriority w:val="0"/>
    <w:pPr>
      <w:widowControl/>
      <w:pBdr>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04">
    <w:name w:val="et43"/>
    <w:basedOn w:val="1"/>
    <w:qFormat/>
    <w:uiPriority w:val="0"/>
    <w:pPr>
      <w:widowControl/>
      <w:pBdr>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05">
    <w:name w:val="et45"/>
    <w:basedOn w:val="1"/>
    <w:qFormat/>
    <w:uiPriority w:val="0"/>
    <w:pPr>
      <w:widowControl/>
      <w:pBdr>
        <w:top w:val="single" w:color="000000" w:sz="4" w:space="0"/>
        <w:left w:val="single" w:color="000000" w:sz="4" w:space="0"/>
        <w:bottom w:val="single" w:color="000000" w:sz="4" w:space="0"/>
        <w:right w:val="single" w:color="000000" w:sz="4" w:space="0"/>
      </w:pBdr>
      <w:shd w:val="clear" w:color="auto" w:fill="A6A6A6"/>
      <w:spacing w:before="100" w:beforeAutospacing="1" w:after="100" w:afterAutospacing="1"/>
      <w:jc w:val="center"/>
    </w:pPr>
    <w:rPr>
      <w:rFonts w:ascii="宋体" w:hAnsi="宋体" w:cs="宋体"/>
      <w:kern w:val="0"/>
      <w:sz w:val="20"/>
      <w:szCs w:val="20"/>
    </w:rPr>
  </w:style>
  <w:style w:type="paragraph" w:customStyle="1" w:styleId="206">
    <w:name w:val="et4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alibri" w:hAnsi="Calibri" w:cs="Calibri"/>
      <w:kern w:val="0"/>
      <w:sz w:val="20"/>
      <w:szCs w:val="20"/>
    </w:rPr>
  </w:style>
  <w:style w:type="paragraph" w:customStyle="1" w:styleId="207">
    <w:name w:val="et5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alibri" w:hAnsi="Calibri" w:cs="Calibri"/>
      <w:kern w:val="0"/>
      <w:sz w:val="20"/>
      <w:szCs w:val="20"/>
    </w:rPr>
  </w:style>
  <w:style w:type="paragraph" w:customStyle="1" w:styleId="208">
    <w:name w:val="et51"/>
    <w:basedOn w:val="1"/>
    <w:qFormat/>
    <w:uiPriority w:val="0"/>
    <w:pPr>
      <w:widowControl/>
      <w:pBdr>
        <w:top w:val="single" w:color="000000" w:sz="4" w:space="0"/>
        <w:left w:val="single" w:color="000000" w:sz="4" w:space="0"/>
        <w:bottom w:val="single" w:color="000000" w:sz="4" w:space="0"/>
        <w:right w:val="single" w:color="000000" w:sz="4" w:space="0"/>
      </w:pBdr>
      <w:shd w:val="clear" w:color="auto" w:fill="A6A6A6"/>
      <w:spacing w:before="100" w:beforeAutospacing="1" w:after="100" w:afterAutospacing="1"/>
      <w:jc w:val="left"/>
    </w:pPr>
    <w:rPr>
      <w:rFonts w:ascii="宋体" w:hAnsi="宋体" w:cs="宋体"/>
      <w:kern w:val="0"/>
      <w:sz w:val="24"/>
    </w:rPr>
  </w:style>
  <w:style w:type="paragraph" w:customStyle="1" w:styleId="209">
    <w:name w:val="et5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210">
    <w:name w:val="et5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alibri" w:hAnsi="Calibri" w:cs="Calibri"/>
      <w:kern w:val="0"/>
      <w:sz w:val="20"/>
      <w:szCs w:val="20"/>
    </w:rPr>
  </w:style>
  <w:style w:type="character" w:customStyle="1" w:styleId="211">
    <w:name w:val="未处理的提及3"/>
    <w:basedOn w:val="47"/>
    <w:unhideWhenUsed/>
    <w:qFormat/>
    <w:uiPriority w:val="99"/>
    <w:rPr>
      <w:color w:val="605E5C"/>
      <w:shd w:val="clear" w:color="auto" w:fill="E1DFDD"/>
    </w:rPr>
  </w:style>
  <w:style w:type="paragraph" w:customStyle="1" w:styleId="212">
    <w:name w:val="et19"/>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Calibri" w:hAnsi="Calibri" w:cs="Calibri"/>
      <w:kern w:val="0"/>
      <w:sz w:val="20"/>
      <w:szCs w:val="20"/>
    </w:rPr>
  </w:style>
  <w:style w:type="paragraph" w:customStyle="1" w:styleId="213">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Calibri" w:hAnsi="Calibri" w:cs="Calibri"/>
      <w:kern w:val="0"/>
      <w:sz w:val="20"/>
      <w:szCs w:val="20"/>
    </w:rPr>
  </w:style>
  <w:style w:type="paragraph" w:customStyle="1" w:styleId="214">
    <w:name w:val="et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Calibri" w:hAnsi="Calibri" w:cs="Calibri"/>
      <w:kern w:val="0"/>
      <w:sz w:val="20"/>
      <w:szCs w:val="20"/>
    </w:rPr>
  </w:style>
  <w:style w:type="paragraph" w:customStyle="1" w:styleId="215">
    <w:name w:val="et29"/>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216">
    <w:name w:val="et39"/>
    <w:basedOn w:val="1"/>
    <w:qFormat/>
    <w:uiPriority w:val="0"/>
    <w:pPr>
      <w:widowControl/>
      <w:pBdr>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17">
    <w:name w:val="et40"/>
    <w:basedOn w:val="1"/>
    <w:qFormat/>
    <w:uiPriority w:val="0"/>
    <w:pPr>
      <w:widowControl/>
      <w:pBdr>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18">
    <w:name w:val="et4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alibri" w:hAnsi="Calibri" w:cs="Calibri"/>
      <w:kern w:val="0"/>
      <w:sz w:val="20"/>
      <w:szCs w:val="20"/>
    </w:rPr>
  </w:style>
  <w:style w:type="paragraph" w:customStyle="1" w:styleId="219">
    <w:name w:val="et46"/>
    <w:basedOn w:val="1"/>
    <w:qFormat/>
    <w:uiPriority w:val="0"/>
    <w:pPr>
      <w:widowControl/>
      <w:pBdr>
        <w:top w:val="single" w:color="000000" w:sz="4" w:space="0"/>
        <w:left w:val="single" w:color="000000" w:sz="4" w:space="0"/>
        <w:bottom w:val="single" w:color="000000" w:sz="4" w:space="0"/>
        <w:right w:val="single" w:color="000000" w:sz="4" w:space="0"/>
      </w:pBdr>
      <w:shd w:val="clear" w:color="auto" w:fill="A6A6A6"/>
      <w:spacing w:before="100" w:beforeAutospacing="1" w:after="100" w:afterAutospacing="1"/>
      <w:jc w:val="left"/>
    </w:pPr>
    <w:rPr>
      <w:rFonts w:ascii="宋体" w:hAnsi="宋体" w:cs="宋体"/>
      <w:kern w:val="0"/>
      <w:sz w:val="24"/>
    </w:rPr>
  </w:style>
  <w:style w:type="paragraph" w:customStyle="1" w:styleId="220">
    <w:name w:val="font7"/>
    <w:basedOn w:val="1"/>
    <w:qFormat/>
    <w:uiPriority w:val="0"/>
    <w:pPr>
      <w:widowControl/>
      <w:spacing w:before="100" w:beforeAutospacing="1" w:after="100" w:afterAutospacing="1"/>
      <w:jc w:val="left"/>
    </w:pPr>
    <w:rPr>
      <w:rFonts w:ascii="Calibri" w:hAnsi="Calibri" w:cs="Calibri"/>
      <w:color w:val="000000"/>
      <w:kern w:val="0"/>
      <w:sz w:val="20"/>
      <w:szCs w:val="20"/>
    </w:rPr>
  </w:style>
  <w:style w:type="paragraph" w:customStyle="1" w:styleId="221">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22">
    <w:name w:val="et9"/>
    <w:basedOn w:val="1"/>
    <w:qFormat/>
    <w:uiPriority w:val="0"/>
    <w:pPr>
      <w:widowControl/>
      <w:pBdr>
        <w:top w:val="single" w:color="000000" w:sz="4" w:space="0"/>
        <w:left w:val="single" w:color="000000" w:sz="4" w:space="0"/>
        <w:bottom w:val="single" w:color="000000" w:sz="4" w:space="0"/>
        <w:right w:val="single" w:color="000000" w:sz="4" w:space="0"/>
      </w:pBdr>
      <w:shd w:val="clear" w:color="auto" w:fill="A6A6A6"/>
      <w:spacing w:before="100" w:beforeAutospacing="1" w:after="100" w:afterAutospacing="1"/>
      <w:jc w:val="center"/>
    </w:pPr>
    <w:rPr>
      <w:rFonts w:ascii="宋体" w:hAnsi="宋体" w:cs="宋体"/>
      <w:color w:val="000000"/>
      <w:kern w:val="0"/>
      <w:sz w:val="20"/>
      <w:szCs w:val="20"/>
    </w:rPr>
  </w:style>
  <w:style w:type="paragraph" w:customStyle="1" w:styleId="223">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24">
    <w:name w:val="et13"/>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25">
    <w:name w:val="et14"/>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26">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227">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228">
    <w:name w:val="et2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4"/>
    </w:rPr>
  </w:style>
  <w:style w:type="paragraph" w:customStyle="1" w:styleId="229">
    <w:name w:val="et3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A6A6A6"/>
      <w:spacing w:before="100" w:beforeAutospacing="1" w:after="100" w:afterAutospacing="1"/>
      <w:jc w:val="center"/>
    </w:pPr>
    <w:rPr>
      <w:rFonts w:ascii="宋体" w:hAnsi="宋体" w:cs="宋体"/>
      <w:color w:val="000000"/>
      <w:kern w:val="0"/>
      <w:sz w:val="22"/>
      <w:szCs w:val="22"/>
    </w:rPr>
  </w:style>
  <w:style w:type="character" w:customStyle="1" w:styleId="230">
    <w:name w:val="font61"/>
    <w:basedOn w:val="47"/>
    <w:qFormat/>
    <w:uiPriority w:val="0"/>
    <w:rPr>
      <w:rFonts w:hint="eastAsia" w:ascii="宋体" w:hAnsi="宋体" w:eastAsia="宋体"/>
      <w:color w:val="000000"/>
      <w:sz w:val="20"/>
      <w:szCs w:val="20"/>
      <w:u w:val="none"/>
    </w:rPr>
  </w:style>
  <w:style w:type="paragraph" w:customStyle="1" w:styleId="231">
    <w:name w:val="ZX-标题3"/>
    <w:qFormat/>
    <w:uiPriority w:val="0"/>
    <w:pPr>
      <w:numPr>
        <w:ilvl w:val="2"/>
        <w:numId w:val="4"/>
      </w:numPr>
      <w:spacing w:beforeLines="50" w:afterLines="50" w:line="360" w:lineRule="auto"/>
      <w:outlineLvl w:val="2"/>
    </w:pPr>
    <w:rPr>
      <w:rFonts w:ascii="Trebuchet MS" w:hAnsi="FuturaA Bk BT" w:eastAsia="宋体" w:cs="Times New Roman"/>
      <w:b/>
      <w:bCs/>
      <w:kern w:val="2"/>
      <w:sz w:val="32"/>
      <w:lang w:val="en-US" w:eastAsia="zh-CN" w:bidi="ar-SA"/>
    </w:rPr>
  </w:style>
  <w:style w:type="paragraph" w:customStyle="1" w:styleId="232">
    <w:name w:val="表格文字"/>
    <w:basedOn w:val="1"/>
    <w:qFormat/>
    <w:uiPriority w:val="0"/>
    <w:rPr>
      <w:rFonts w:eastAsia="仿宋" w:cs="宋体"/>
      <w:szCs w:val="20"/>
    </w:rPr>
  </w:style>
  <w:style w:type="character" w:customStyle="1" w:styleId="233">
    <w:name w:val="未处理的提及4"/>
    <w:basedOn w:val="47"/>
    <w:unhideWhenUsed/>
    <w:qFormat/>
    <w:uiPriority w:val="99"/>
    <w:rPr>
      <w:color w:val="605E5C"/>
      <w:shd w:val="clear" w:color="auto" w:fill="E1DFDD"/>
    </w:rPr>
  </w:style>
  <w:style w:type="paragraph" w:customStyle="1" w:styleId="234">
    <w:name w:val="Table Paragraph"/>
    <w:basedOn w:val="1"/>
    <w:qFormat/>
    <w:uiPriority w:val="0"/>
    <w:pPr>
      <w:autoSpaceDE w:val="0"/>
      <w:autoSpaceDN w:val="0"/>
      <w:ind w:firstLine="200" w:firstLineChars="200"/>
      <w:jc w:val="left"/>
    </w:pPr>
    <w:rPr>
      <w:sz w:val="22"/>
      <w:szCs w:val="22"/>
      <w:lang w:val="zh-CN" w:bidi="zh-CN"/>
    </w:rPr>
  </w:style>
  <w:style w:type="paragraph" w:customStyle="1" w:styleId="235">
    <w:name w:val="表格首行"/>
    <w:basedOn w:val="1"/>
    <w:next w:val="236"/>
    <w:qFormat/>
    <w:uiPriority w:val="0"/>
    <w:pPr>
      <w:jc w:val="center"/>
    </w:pPr>
    <w:rPr>
      <w:rFonts w:hint="eastAsia" w:ascii="黑体" w:hAnsi="黑体" w:eastAsia="黑体"/>
      <w:szCs w:val="21"/>
    </w:rPr>
  </w:style>
  <w:style w:type="paragraph" w:customStyle="1" w:styleId="236">
    <w:name w:val="表格字体"/>
    <w:basedOn w:val="1"/>
    <w:next w:val="1"/>
    <w:qFormat/>
    <w:uiPriority w:val="0"/>
    <w:pPr>
      <w:jc w:val="center"/>
    </w:pPr>
    <w:rPr>
      <w:rFonts w:ascii="Calibri" w:hAnsi="Calibri"/>
      <w:szCs w:val="21"/>
    </w:rPr>
  </w:style>
  <w:style w:type="character" w:customStyle="1" w:styleId="237">
    <w:name w:val="font01"/>
    <w:basedOn w:val="47"/>
    <w:qFormat/>
    <w:uiPriority w:val="0"/>
    <w:rPr>
      <w:rFonts w:hint="default" w:ascii="Calibri" w:hAnsi="Calibri" w:cs="Calibri"/>
      <w:color w:val="000000"/>
      <w:sz w:val="20"/>
      <w:szCs w:val="20"/>
      <w:u w:val="none"/>
    </w:rPr>
  </w:style>
  <w:style w:type="character" w:customStyle="1" w:styleId="238">
    <w:name w:val="Unresolved Mention"/>
    <w:basedOn w:val="47"/>
    <w:unhideWhenUsed/>
    <w:qFormat/>
    <w:uiPriority w:val="99"/>
    <w:rPr>
      <w:color w:val="605E5C"/>
      <w:shd w:val="clear" w:color="auto" w:fill="E1DFDD"/>
    </w:rPr>
  </w:style>
  <w:style w:type="character" w:customStyle="1" w:styleId="239">
    <w:name w:val="font71"/>
    <w:basedOn w:val="47"/>
    <w:qFormat/>
    <w:uiPriority w:val="0"/>
    <w:rPr>
      <w:rFonts w:hint="eastAsia" w:ascii="宋体" w:hAnsi="宋体" w:eastAsia="宋体" w:cs="宋体"/>
      <w:color w:val="000000"/>
      <w:sz w:val="24"/>
      <w:szCs w:val="24"/>
      <w:u w:val="none"/>
    </w:rPr>
  </w:style>
  <w:style w:type="character" w:customStyle="1" w:styleId="240">
    <w:name w:val="font81"/>
    <w:basedOn w:val="47"/>
    <w:qFormat/>
    <w:uiPriority w:val="0"/>
    <w:rPr>
      <w:rFonts w:hint="default" w:ascii="Times New Roman" w:hAnsi="Times New Roman" w:cs="Times New Roman"/>
      <w:color w:val="auto"/>
      <w:sz w:val="20"/>
      <w:szCs w:val="20"/>
      <w:u w:val="none"/>
    </w:rPr>
  </w:style>
  <w:style w:type="character" w:customStyle="1" w:styleId="241">
    <w:name w:val="font91"/>
    <w:basedOn w:val="47"/>
    <w:qFormat/>
    <w:uiPriority w:val="0"/>
    <w:rPr>
      <w:rFonts w:hint="default" w:ascii="Arial" w:hAnsi="Arial" w:cs="Arial"/>
      <w:color w:val="000000"/>
      <w:sz w:val="24"/>
      <w:szCs w:val="24"/>
      <w:u w:val="none"/>
    </w:rPr>
  </w:style>
  <w:style w:type="character" w:customStyle="1" w:styleId="242">
    <w:name w:val="font101"/>
    <w:basedOn w:val="47"/>
    <w:qFormat/>
    <w:uiPriority w:val="0"/>
    <w:rPr>
      <w:rFonts w:ascii="微软雅黑" w:hAnsi="微软雅黑" w:eastAsia="微软雅黑" w:cs="微软雅黑"/>
      <w:color w:val="auto"/>
      <w:sz w:val="20"/>
      <w:szCs w:val="20"/>
      <w:u w:val="none"/>
    </w:rPr>
  </w:style>
  <w:style w:type="paragraph" w:customStyle="1" w:styleId="243">
    <w:name w:val="Table Text"/>
    <w:basedOn w:val="1"/>
    <w:semiHidden/>
    <w:qFormat/>
    <w:uiPriority w:val="0"/>
    <w:pPr>
      <w:spacing w:line="360" w:lineRule="auto"/>
    </w:pPr>
    <w:rPr>
      <w:rFonts w:ascii="宋体" w:hAnsi="宋体" w:cs="宋体"/>
      <w:sz w:val="20"/>
      <w:szCs w:val="20"/>
      <w:lang w:eastAsia="en-US"/>
    </w:rPr>
  </w:style>
  <w:style w:type="table" w:customStyle="1" w:styleId="244">
    <w:name w:val="Table Normal1"/>
    <w:unhideWhenUsed/>
    <w:qFormat/>
    <w:uiPriority w:val="0"/>
    <w:tblPr>
      <w:tblCellMar>
        <w:top w:w="0" w:type="dxa"/>
        <w:left w:w="0" w:type="dxa"/>
        <w:bottom w:w="0" w:type="dxa"/>
        <w:right w:w="0" w:type="dxa"/>
      </w:tblCellMar>
    </w:tblPr>
  </w:style>
  <w:style w:type="paragraph" w:customStyle="1" w:styleId="245">
    <w:name w:val="我的正文"/>
    <w:basedOn w:val="1"/>
    <w:qFormat/>
    <w:uiPriority w:val="0"/>
    <w:pPr>
      <w:ind w:firstLine="0" w:firstLineChars="0"/>
    </w:pPr>
    <w:rPr>
      <w:rFonts w:ascii="宋体" w:hAnsi="宋体"/>
    </w:rPr>
  </w:style>
  <w:style w:type="table" w:customStyle="1" w:styleId="246">
    <w:name w:val="Table Normal"/>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paragraph" w:customStyle="1" w:styleId="247">
    <w:name w:val="缺省文本"/>
    <w:basedOn w:val="1"/>
    <w:qFormat/>
    <w:uiPriority w:val="0"/>
    <w:pPr>
      <w:autoSpaceDE w:val="0"/>
      <w:autoSpaceDN w:val="0"/>
      <w:adjustRightInd w:val="0"/>
      <w:spacing w:before="20" w:after="20" w:line="400" w:lineRule="exact"/>
      <w:ind w:firstLine="504" w:firstLineChars="0"/>
      <w:jc w:val="left"/>
    </w:pPr>
    <w:rPr>
      <w:rFonts w:ascii="Times New Roman" w:hAnsi="Times New Roman"/>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4.png"/><Relationship Id="rId3" Type="http://schemas.openxmlformats.org/officeDocument/2006/relationships/header" Target="header1.xml"/><Relationship Id="rId29" Type="http://schemas.openxmlformats.org/officeDocument/2006/relationships/image" Target="media/image13.jpeg"/><Relationship Id="rId28" Type="http://schemas.openxmlformats.org/officeDocument/2006/relationships/image" Target="media/image12.jpeg"/><Relationship Id="rId27" Type="http://schemas.openxmlformats.org/officeDocument/2006/relationships/image" Target="media/image11.png"/><Relationship Id="rId26" Type="http://schemas.openxmlformats.org/officeDocument/2006/relationships/image" Target="media/image10.png"/><Relationship Id="rId25" Type="http://schemas.openxmlformats.org/officeDocument/2006/relationships/image" Target="media/image9.png"/><Relationship Id="rId24" Type="http://schemas.openxmlformats.org/officeDocument/2006/relationships/image" Target="media/image8.png"/><Relationship Id="rId23" Type="http://schemas.openxmlformats.org/officeDocument/2006/relationships/image" Target="media/image7.png"/><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172</Pages>
  <Words>19459</Words>
  <Characters>21039</Characters>
  <Lines>2296</Lines>
  <Paragraphs>2563</Paragraphs>
  <TotalTime>121</TotalTime>
  <ScaleCrop>false</ScaleCrop>
  <LinksUpToDate>false</LinksUpToDate>
  <CharactersWithSpaces>21759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2024-08-09T18:17:00Z</dcterms:created>
  <dc:creator>admin</dc:creator>
  <cp:lastModifiedBy>Administrator</cp:lastModifiedBy>
  <cp:lastPrinted>2025-08-13T17:25:00Z</cp:lastPrinted>
  <dcterms:modified xsi:type="dcterms:W3CDTF">2026-09-16T09:31:42Z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15AA93572279449E9081A8DB4A2BAD81_13</vt:lpwstr>
  </property>
  <property fmtid="{D5CDD505-2E9C-101B-9397-08002B2CF9AE}" pid="4" name="KSOTemplateDocerSaveRecord">
    <vt:lpwstr>eyJoZGlkIjoiMzQ0ZDUxMjU5NzM0N2RhYWU1ZjllMGU5ZGU5NTlkNzkiLCJ1c2VySWQiOiIzOTc2NDI5MjMifQ==</vt:lpwstr>
  </property>
</Properties>
</file>