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F4593">
      <w:pPr>
        <w:adjustRightInd w:val="0"/>
        <w:snapToGrid w:val="0"/>
        <w:spacing w:line="360" w:lineRule="auto"/>
        <w:jc w:val="center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  <w:bookmarkStart w:id="0" w:name="_Toc11157"/>
      <w:r>
        <w:rPr>
          <w:rFonts w:hint="eastAsia" w:ascii="黑体" w:hAnsi="Times New Roman" w:eastAsia="黑体" w:cs="Times New Roman"/>
          <w:b/>
          <w:sz w:val="32"/>
          <w:szCs w:val="32"/>
        </w:rPr>
        <w:t>第四章 采购需求</w:t>
      </w:r>
      <w:bookmarkEnd w:id="0"/>
    </w:p>
    <w:p w14:paraId="7AA7932F">
      <w:pPr>
        <w:widowControl/>
        <w:spacing w:line="600" w:lineRule="exact"/>
        <w:rPr>
          <w:rFonts w:hint="eastAsia" w:ascii="仿宋_GB2312" w:hAnsi="仿宋_GB2312" w:eastAsia="仿宋_GB2312" w:cs="仿宋_GB2312"/>
          <w:b/>
          <w:bCs/>
          <w:i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Cs/>
          <w:kern w:val="0"/>
          <w:sz w:val="28"/>
          <w:szCs w:val="28"/>
        </w:rPr>
        <w:t>（1）技术要求</w:t>
      </w:r>
    </w:p>
    <w:p w14:paraId="0528808F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Cs/>
          <w:kern w:val="0"/>
          <w:sz w:val="28"/>
          <w:szCs w:val="28"/>
          <w:lang w:val="en-US" w:eastAsia="zh-CN"/>
        </w:rPr>
        <w:t>本项目为临湘市生态环境监管平台建设项目水环境数据服务费（3年）。为贯彻落实国家、省、市关于生态环境保护的决策部署，破解临湘市生态环境监管痛点，提升环境治理智能化水平，压实企业环境主体责任，保障生态环境安全和经济可持续发展，临湘市拟建设一套集数据采集、监测监管、应急指挥、数据交换于一体的生态环境监管平台，实现生态环境的全方位、全流程、智能化管控。主要内容包括常规值守、现场维护、质控和报告归档以及排污企业大数据分析及大数据协同融合分析等。</w:t>
      </w:r>
    </w:p>
    <w:tbl>
      <w:tblPr>
        <w:tblStyle w:val="3"/>
        <w:tblW w:w="10100" w:type="dxa"/>
        <w:tblInd w:w="-6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098"/>
        <w:gridCol w:w="3756"/>
        <w:gridCol w:w="965"/>
        <w:gridCol w:w="848"/>
        <w:gridCol w:w="1673"/>
      </w:tblGrid>
      <w:tr w14:paraId="5F79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760" w:type="dxa"/>
            <w:noWrap w:val="0"/>
            <w:vAlign w:val="center"/>
          </w:tcPr>
          <w:p w14:paraId="412DCC42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98" w:type="dxa"/>
            <w:noWrap w:val="0"/>
            <w:vAlign w:val="center"/>
          </w:tcPr>
          <w:p w14:paraId="1F9EE3E0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工作内容</w:t>
            </w:r>
          </w:p>
        </w:tc>
        <w:tc>
          <w:tcPr>
            <w:tcW w:w="3756" w:type="dxa"/>
            <w:noWrap w:val="0"/>
            <w:vAlign w:val="center"/>
          </w:tcPr>
          <w:p w14:paraId="2ABB4C7E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技术要求</w:t>
            </w:r>
          </w:p>
        </w:tc>
        <w:tc>
          <w:tcPr>
            <w:tcW w:w="965" w:type="dxa"/>
            <w:noWrap w:val="0"/>
            <w:vAlign w:val="center"/>
          </w:tcPr>
          <w:p w14:paraId="1C5B3542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848" w:type="dxa"/>
            <w:noWrap w:val="0"/>
            <w:vAlign w:val="center"/>
          </w:tcPr>
          <w:p w14:paraId="7D1CAD60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673" w:type="dxa"/>
            <w:noWrap w:val="0"/>
            <w:vAlign w:val="center"/>
          </w:tcPr>
          <w:p w14:paraId="0290F59E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2D602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760" w:type="dxa"/>
            <w:noWrap w:val="0"/>
            <w:vAlign w:val="center"/>
          </w:tcPr>
          <w:p w14:paraId="023E6729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98" w:type="dxa"/>
            <w:noWrap w:val="0"/>
            <w:vAlign w:val="center"/>
          </w:tcPr>
          <w:p w14:paraId="0D87D4BC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日常现场驻场数据值守服务</w:t>
            </w:r>
          </w:p>
        </w:tc>
        <w:tc>
          <w:tcPr>
            <w:tcW w:w="3756" w:type="dxa"/>
            <w:noWrap w:val="0"/>
            <w:vAlign w:val="center"/>
          </w:tcPr>
          <w:p w14:paraId="58B814D0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每日开展水质自动站、管网及涉水企业过程监控数据远程值守，掌握平台运行、数据传输和报警状态。</w:t>
            </w:r>
          </w:p>
        </w:tc>
        <w:tc>
          <w:tcPr>
            <w:tcW w:w="965" w:type="dxa"/>
            <w:noWrap w:val="0"/>
            <w:vAlign w:val="center"/>
          </w:tcPr>
          <w:p w14:paraId="3E0DC5AF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848" w:type="dxa"/>
            <w:noWrap w:val="0"/>
            <w:vAlign w:val="center"/>
          </w:tcPr>
          <w:p w14:paraId="0E6EA3F9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73" w:type="dxa"/>
            <w:noWrap w:val="0"/>
            <w:vAlign w:val="center"/>
          </w:tcPr>
          <w:p w14:paraId="506600B0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常驻2人</w:t>
            </w:r>
          </w:p>
        </w:tc>
      </w:tr>
      <w:tr w14:paraId="45DF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</w:trPr>
        <w:tc>
          <w:tcPr>
            <w:tcW w:w="760" w:type="dxa"/>
            <w:noWrap w:val="0"/>
            <w:vAlign w:val="center"/>
          </w:tcPr>
          <w:p w14:paraId="4ACEC65D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98" w:type="dxa"/>
            <w:noWrap w:val="0"/>
            <w:vAlign w:val="center"/>
          </w:tcPr>
          <w:p w14:paraId="43614EC7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现场巡查维护服务</w:t>
            </w:r>
          </w:p>
        </w:tc>
        <w:tc>
          <w:tcPr>
            <w:tcW w:w="3756" w:type="dxa"/>
            <w:noWrap w:val="0"/>
            <w:vAlign w:val="center"/>
          </w:tcPr>
          <w:p w14:paraId="4DBF6576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按周开展现场巡查、维护和故障响应，保障水质自动站、管网及企业过程监控设备稳定运行。</w:t>
            </w:r>
          </w:p>
        </w:tc>
        <w:tc>
          <w:tcPr>
            <w:tcW w:w="965" w:type="dxa"/>
            <w:noWrap w:val="0"/>
            <w:vAlign w:val="center"/>
          </w:tcPr>
          <w:p w14:paraId="24373DC4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848" w:type="dxa"/>
            <w:noWrap w:val="0"/>
            <w:vAlign w:val="center"/>
          </w:tcPr>
          <w:p w14:paraId="4DD414C5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73" w:type="dxa"/>
            <w:noWrap w:val="0"/>
            <w:vAlign w:val="center"/>
          </w:tcPr>
          <w:p w14:paraId="188E9870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要求2名人员现场巡查，并留存巡查记录</w:t>
            </w:r>
          </w:p>
        </w:tc>
      </w:tr>
      <w:tr w14:paraId="2B7A7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760" w:type="dxa"/>
            <w:noWrap w:val="0"/>
            <w:vAlign w:val="center"/>
          </w:tcPr>
          <w:p w14:paraId="3DD86633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98" w:type="dxa"/>
            <w:noWrap w:val="0"/>
            <w:vAlign w:val="center"/>
          </w:tcPr>
          <w:p w14:paraId="0745F758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数据质量控制服务</w:t>
            </w:r>
          </w:p>
        </w:tc>
        <w:tc>
          <w:tcPr>
            <w:tcW w:w="3756" w:type="dxa"/>
            <w:noWrap w:val="0"/>
            <w:vAlign w:val="center"/>
          </w:tcPr>
          <w:p w14:paraId="150810F1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围绕水质监测数据开展质控核查、校准记录、比对支撑和有效率统计，保证监测数据准确可靠。</w:t>
            </w:r>
          </w:p>
        </w:tc>
        <w:tc>
          <w:tcPr>
            <w:tcW w:w="965" w:type="dxa"/>
            <w:noWrap w:val="0"/>
            <w:vAlign w:val="center"/>
          </w:tcPr>
          <w:p w14:paraId="7BFB2037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848" w:type="dxa"/>
            <w:noWrap w:val="0"/>
            <w:vAlign w:val="center"/>
          </w:tcPr>
          <w:p w14:paraId="7BC17B77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73" w:type="dxa"/>
            <w:noWrap w:val="0"/>
            <w:vAlign w:val="center"/>
          </w:tcPr>
          <w:p w14:paraId="0D24D318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8333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760" w:type="dxa"/>
            <w:noWrap w:val="0"/>
            <w:vAlign w:val="center"/>
          </w:tcPr>
          <w:p w14:paraId="51D0DEC8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98" w:type="dxa"/>
            <w:noWrap w:val="0"/>
            <w:vAlign w:val="center"/>
          </w:tcPr>
          <w:p w14:paraId="43B4658E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水环境及管网数据分析服务</w:t>
            </w:r>
          </w:p>
        </w:tc>
        <w:tc>
          <w:tcPr>
            <w:tcW w:w="3756" w:type="dxa"/>
            <w:noWrap w:val="0"/>
            <w:vAlign w:val="center"/>
          </w:tcPr>
          <w:p w14:paraId="1B57FB64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围绕水环境断面、管网监测站点和污染指标变化开展基础分析，支撑水环境日常监管。</w:t>
            </w:r>
          </w:p>
        </w:tc>
        <w:tc>
          <w:tcPr>
            <w:tcW w:w="965" w:type="dxa"/>
            <w:noWrap w:val="0"/>
            <w:vAlign w:val="center"/>
          </w:tcPr>
          <w:p w14:paraId="794A32F6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848" w:type="dxa"/>
            <w:noWrap w:val="0"/>
            <w:vAlign w:val="center"/>
          </w:tcPr>
          <w:p w14:paraId="56F59CB6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73" w:type="dxa"/>
            <w:noWrap w:val="0"/>
            <w:vAlign w:val="center"/>
          </w:tcPr>
          <w:p w14:paraId="719B54F8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D28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760" w:type="dxa"/>
            <w:noWrap w:val="0"/>
            <w:vAlign w:val="center"/>
          </w:tcPr>
          <w:p w14:paraId="3C4BB7FC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098" w:type="dxa"/>
            <w:noWrap w:val="0"/>
            <w:vAlign w:val="center"/>
          </w:tcPr>
          <w:p w14:paraId="466322EF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排污企业大数据分析应用服务</w:t>
            </w:r>
          </w:p>
        </w:tc>
        <w:tc>
          <w:tcPr>
            <w:tcW w:w="3756" w:type="dxa"/>
            <w:noWrap w:val="0"/>
            <w:vAlign w:val="center"/>
          </w:tcPr>
          <w:p w14:paraId="0B2D2E7A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对全市涉水排污企业生产、治污、排口和历史数据开展多维分析，识别疑似环境违法和运行异常线索。</w:t>
            </w:r>
          </w:p>
        </w:tc>
        <w:tc>
          <w:tcPr>
            <w:tcW w:w="965" w:type="dxa"/>
            <w:noWrap w:val="0"/>
            <w:vAlign w:val="center"/>
          </w:tcPr>
          <w:p w14:paraId="6CC8E8E5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848" w:type="dxa"/>
            <w:noWrap w:val="0"/>
            <w:vAlign w:val="center"/>
          </w:tcPr>
          <w:p w14:paraId="6F0E42FE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73" w:type="dxa"/>
            <w:noWrap w:val="0"/>
            <w:vAlign w:val="center"/>
          </w:tcPr>
          <w:p w14:paraId="486445FE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44E5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760" w:type="dxa"/>
            <w:noWrap w:val="0"/>
            <w:vAlign w:val="center"/>
          </w:tcPr>
          <w:p w14:paraId="5AE6981C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098" w:type="dxa"/>
            <w:noWrap w:val="0"/>
            <w:vAlign w:val="center"/>
          </w:tcPr>
          <w:p w14:paraId="3DD60DD5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大数据协同融合分析服务</w:t>
            </w:r>
          </w:p>
        </w:tc>
        <w:tc>
          <w:tcPr>
            <w:tcW w:w="3756" w:type="dxa"/>
            <w:noWrap w:val="0"/>
            <w:vAlign w:val="center"/>
          </w:tcPr>
          <w:p w14:paraId="2E66806D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融合水环境、管网、涉水企业、气象及监管执法等多源数据，开展综合研判、污染溯源和达标策略分析。</w:t>
            </w:r>
          </w:p>
        </w:tc>
        <w:tc>
          <w:tcPr>
            <w:tcW w:w="965" w:type="dxa"/>
            <w:noWrap w:val="0"/>
            <w:vAlign w:val="center"/>
          </w:tcPr>
          <w:p w14:paraId="520A0965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848" w:type="dxa"/>
            <w:noWrap w:val="0"/>
            <w:vAlign w:val="center"/>
          </w:tcPr>
          <w:p w14:paraId="5EE36C5B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73" w:type="dxa"/>
            <w:noWrap w:val="0"/>
            <w:vAlign w:val="center"/>
          </w:tcPr>
          <w:p w14:paraId="278EEA5C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860F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760" w:type="dxa"/>
            <w:noWrap w:val="0"/>
            <w:vAlign w:val="center"/>
          </w:tcPr>
          <w:p w14:paraId="69578E50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098" w:type="dxa"/>
            <w:noWrap w:val="0"/>
            <w:vAlign w:val="center"/>
          </w:tcPr>
          <w:p w14:paraId="5A5E509F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报告档案与考核支撑</w:t>
            </w:r>
          </w:p>
        </w:tc>
        <w:tc>
          <w:tcPr>
            <w:tcW w:w="3756" w:type="dxa"/>
            <w:noWrap w:val="0"/>
            <w:vAlign w:val="center"/>
          </w:tcPr>
          <w:p w14:paraId="49F99E5A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对值守、运维、质控和分析成果进行资料归集，支撑项目考核、验收和财政审核。</w:t>
            </w:r>
          </w:p>
        </w:tc>
        <w:tc>
          <w:tcPr>
            <w:tcW w:w="965" w:type="dxa"/>
            <w:noWrap w:val="0"/>
            <w:vAlign w:val="center"/>
          </w:tcPr>
          <w:p w14:paraId="149B2CD3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848" w:type="dxa"/>
            <w:noWrap w:val="0"/>
            <w:vAlign w:val="center"/>
          </w:tcPr>
          <w:p w14:paraId="48C03CBC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73" w:type="dxa"/>
            <w:noWrap w:val="0"/>
            <w:vAlign w:val="center"/>
          </w:tcPr>
          <w:p w14:paraId="4F6E33B4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9EB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760" w:type="dxa"/>
            <w:noWrap w:val="0"/>
            <w:vAlign w:val="center"/>
          </w:tcPr>
          <w:p w14:paraId="29614466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098" w:type="dxa"/>
            <w:noWrap w:val="0"/>
            <w:vAlign w:val="center"/>
          </w:tcPr>
          <w:p w14:paraId="0D00AF2A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专家会谈</w:t>
            </w:r>
          </w:p>
        </w:tc>
        <w:tc>
          <w:tcPr>
            <w:tcW w:w="3756" w:type="dxa"/>
            <w:noWrap w:val="0"/>
            <w:vAlign w:val="center"/>
          </w:tcPr>
          <w:p w14:paraId="16392D61">
            <w:pPr>
              <w:widowControl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组织省级环保领域 专家会谈，研判分析</w:t>
            </w:r>
          </w:p>
        </w:tc>
        <w:tc>
          <w:tcPr>
            <w:tcW w:w="965" w:type="dxa"/>
            <w:noWrap w:val="0"/>
            <w:vAlign w:val="center"/>
          </w:tcPr>
          <w:p w14:paraId="326B3126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848" w:type="dxa"/>
            <w:noWrap w:val="0"/>
            <w:vAlign w:val="center"/>
          </w:tcPr>
          <w:p w14:paraId="6412A11E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73" w:type="dxa"/>
            <w:noWrap w:val="0"/>
            <w:vAlign w:val="center"/>
          </w:tcPr>
          <w:p w14:paraId="002D5C13">
            <w:pPr>
              <w:widowControl/>
              <w:spacing w:line="60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iCs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71F8F0E6">
      <w:pPr>
        <w:widowControl/>
        <w:spacing w:line="600" w:lineRule="exact"/>
        <w:ind w:firstLine="560" w:firstLineChars="200"/>
        <w:rPr>
          <w:rFonts w:hint="default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2.运维服务的单位需要提供系统平台软件要求如下：</w:t>
      </w:r>
    </w:p>
    <w:p w14:paraId="1A85649F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成交供应商应围绕生态环境监管业务提供一体化软件平台，实现环境质量、污染源排放、企业合规、视频资源、应急资源和数据交换的统一管理、实时监控、统计分析、预警处置、闭环留痕及可审计运维。</w:t>
      </w:r>
    </w:p>
    <w:p w14:paraId="7A37CD84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一、首页及基础信息管理要求</w:t>
      </w:r>
    </w:p>
    <w:p w14:paraId="33901934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成交供应商须建设平台首页、GIS一张图和信息管理中心概览功能，支持临湘行政区划、行政区类别、地理位置、四至范围、空间分布图、规划环评生态空间及产业控制带要求、环境基础设施、入驻企业、雨污水排放口、废气排放口、环境风险点、公共管廊和周边敏感点等信息的集中展示。系统应支持企业位置、排口分布、当日大气和水环境质量、近一周排污总量、用电总量、能耗及环境动态数据联动展示，并具备基础信息动态维护能力。</w:t>
      </w:r>
    </w:p>
    <w:p w14:paraId="10439E35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二、企业信息管理要求</w:t>
      </w:r>
    </w:p>
    <w:p w14:paraId="1A862E6D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成交供应商须提供企业环境档案管理功能，支持企业地址、行业类别、投产日期、环评及“三同时”执行情况、排污许可证、联系人、原辅材料、生产工艺、产排污环节、主要污染物、治理设施、排放口、在线监测设施、突发环境事件应急预案备案等信息管理。系统应支持企业废水、废气、噪声、能耗、水耗等数据通过接口接入、在线更新或人工填报，并对超标排放自动预警。</w:t>
      </w:r>
    </w:p>
    <w:p w14:paraId="0AD1BFAD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三、环境自行监测管理系统要求</w:t>
      </w:r>
    </w:p>
    <w:p w14:paraId="405F0859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成交供应商须建设环境自行监测管理系统，覆盖地下水、地表水、空气、噪声、土壤、底泥等监测业务，支持监测数据设备上传、人工录入、查询、补充、删除、编辑、审核、统计、分析和台账留存。系统应支撑工业、化工、涉水、涉气、涉重金属及重点污染管控场景，监测因子应覆盖常规水质、大气污染物、噪声、土壤及底泥重金属、pH、总铬、石油类等指标，并实现水、气、土、声多要素协同监管。</w:t>
      </w:r>
    </w:p>
    <w:p w14:paraId="217FAB31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四、企业自行监测管理中心要求</w:t>
      </w:r>
    </w:p>
    <w:p w14:paraId="652FEAA0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成交供应商须建设企业自行监测管理中心，重点覆盖企业废气和废水自行监测全流程管理。废气业务应支持有组织废气、无组织废气、厂界废气、VOCs、等数据归集、审核、分析和预警；废水业务应支持排放口、进水口、出水口、预处理设施等监测数据管理。系统应覆盖监测方案备案、数据填报和接口接入、智能校验、超标预警、统计分析、台账归档和执法联动，保证企业自行监测数据真实、准确、完整、合规。</w:t>
      </w:r>
    </w:p>
    <w:p w14:paraId="090B9353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五、排污许可信息管理中心要求</w:t>
      </w:r>
    </w:p>
    <w:p w14:paraId="0A9478E7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成交供应商须建设排污许可信息管理中心，围绕固定污染源“一证式”监管，支持排污许可证申请、受理、审核、核发、变更、延续、注销、证后监管、执行落实和信息公开等全生命周期数字化管理。系统应打通排污许可与环评、总量控制、在线监测、执法处罚、企业自行监测等业务数据，支撑“持证排污、按证管理、依证执法”的监管模式。</w:t>
      </w:r>
    </w:p>
    <w:p w14:paraId="5FB1A699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六、生态大气环境数据系统要求</w:t>
      </w:r>
    </w:p>
    <w:p w14:paraId="6260999A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成交供应商须建设生态大气环境数据系统，支持空气质量监测概览、数据看板、站点列表、最新数据、数据获取率监测、历史数据、历史排名和报表分析等功能。系统应实时展示AQI及PM2.5、PM10、SO₂、NO₂、CO、O₃等指标，支持站点筛选、时间切换、日历查询、在线率/离线率、最近24小时数据获取率、历史趋势、站点排名、空气质量报表、综合评价报表、对比类报表、统计类报表，以及日志、数字字典和因子管理。</w:t>
      </w:r>
    </w:p>
    <w:p w14:paraId="3AC7E7F5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七、水环境数据系统要求</w:t>
      </w:r>
    </w:p>
    <w:p w14:paraId="15D49C02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成交供应商须建设水环境数据系统，支持水系、断面、监测站点、水质等级、污染状况等在GIS一张图中展示、查询和分析。系统应支持历史数据查询、数据上传率、缺失数据统计、知识库、日志、数字字典、因子管理、站点管理和报表分析，能够按日、月、年自动汇总监测站点及水质因子数据，形成水质类别、达标情况、数据完整性、污染特征和治理成效等报表并支持导出。</w:t>
      </w:r>
    </w:p>
    <w:p w14:paraId="1DB70468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八、污染源数据系统要求</w:t>
      </w:r>
    </w:p>
    <w:p w14:paraId="5EF21339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成交供应商须建设污染源数据系统，支持污染源、企业、排污口、监测站点、风险源、视频监控等信息在GIS一张图中统一展示。系统应对重点排污企业废水、废气、噪声排放口及治理设施进行实时监控，采集排放浓度、流量、设施运行状态等数据，实现异常排放自动预警和联动处置；同时支持历史数据、数据上传率、缺失数据查询、日报、月报、年报、数据上传率报表、日志、字典、因子及站点管理。</w:t>
      </w:r>
    </w:p>
    <w:p w14:paraId="0A2953C9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九、应急指挥系统要求</w:t>
      </w:r>
    </w:p>
    <w:p w14:paraId="227D6F73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成交供应商须建设应急指挥系统，支持应急指挥首页、救援力量、风险源、应急物资和设施、应急救援建设、突发事件、基础设施、应急预案/备案等功能。系统应整合应急资源、风险源、队伍、物资、事件和预案信息，满足平战结合、一屏统管、快速响应、精准调度要求；突发事件处置应覆盖事件上报、研判、指挥调度、现场处置跟踪、结案复盘和全流程台账归档。</w:t>
      </w:r>
    </w:p>
    <w:p w14:paraId="1F433390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十、平台管理、安全及交付要求</w:t>
      </w:r>
    </w:p>
    <w:p w14:paraId="55B54470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成交供应商须提供统一用户、角色、权限、组织、菜单、日志审计、数据字典、监测因子、站点、数据库配置、连接池、备份恢复、性能优化、版本管理和容量扩展能力。系统应具备身份认证、权限分级、接口鉴权、传输加密、敏感数据保护、操作留痕、异常可追溯和数据可恢复机制。投标人须完成安装部署、基础数据初始化、接口联调、试运行、用户培训和验收资料提交，提供实施方案、运维方案、用户手册、接口文档、培训材料和质保期内巡检、故障响应、版本升级及数据维护服务。</w:t>
      </w:r>
    </w:p>
    <w:p w14:paraId="2B3F24C6">
      <w:pPr>
        <w:widowControl w:val="0"/>
        <w:spacing w:after="120"/>
        <w:jc w:val="both"/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</w:p>
    <w:p w14:paraId="530BCED1">
      <w:pPr>
        <w:widowControl/>
        <w:spacing w:line="600" w:lineRule="exact"/>
        <w:rPr>
          <w:rFonts w:hint="eastAsia" w:ascii="仿宋_GB2312" w:hAnsi="仿宋_GB2312" w:eastAsia="仿宋_GB2312" w:cs="仿宋_GB2312"/>
          <w:b/>
          <w:bCs/>
          <w:i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Cs/>
          <w:kern w:val="0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/>
          <w:bCs/>
          <w:iCs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iCs/>
          <w:kern w:val="0"/>
          <w:sz w:val="28"/>
          <w:szCs w:val="28"/>
        </w:rPr>
        <w:t>）商务要求</w:t>
      </w:r>
    </w:p>
    <w:p w14:paraId="0A628318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1、合同履行期限：签订合同后7天内系统交付使用，项目运维期三年（1095天）。</w:t>
      </w:r>
    </w:p>
    <w:p w14:paraId="42E434A0">
      <w:pPr>
        <w:widowControl/>
        <w:spacing w:line="600" w:lineRule="exact"/>
        <w:ind w:firstLine="560" w:firstLineChars="200"/>
        <w:rPr>
          <w:rFonts w:hint="default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2、验收方式：现场调试验收合格</w:t>
      </w:r>
    </w:p>
    <w:p w14:paraId="0B80F6EE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3、财务要求：开具发票。</w:t>
      </w:r>
    </w:p>
    <w:p w14:paraId="5AFBD1BC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4、付款方式：合同签订支付30%预付款，项目执行过半经考核通过支付30%，余款40%完成任务通过验收后支付</w:t>
      </w:r>
    </w:p>
    <w:p w14:paraId="0710C752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u w:val="none"/>
          <w:lang w:val="en-US" w:eastAsia="zh-CN"/>
        </w:rPr>
        <w:t>5、质量要求：符合国家相关质量验收规范标准,达到合格要求。</w:t>
      </w:r>
    </w:p>
    <w:p w14:paraId="27C223E0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u w:val="none"/>
          <w:lang w:val="en-US" w:eastAsia="zh-CN"/>
        </w:rPr>
        <w:t>6、其他说明：</w:t>
      </w:r>
    </w:p>
    <w:p w14:paraId="58E5E84C">
      <w:pPr>
        <w:widowControl/>
        <w:spacing w:line="600" w:lineRule="exact"/>
        <w:ind w:firstLine="560" w:firstLineChars="200"/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u w:val="none"/>
          <w:lang w:val="en-US" w:eastAsia="zh-CN"/>
        </w:rPr>
        <w:t>本项目供应商响应报价为三轮报价：第一轮报价在响应文件中提供报价一览表;第二轮、最终报价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iCs/>
          <w:color w:val="auto"/>
          <w:kern w:val="0"/>
          <w:sz w:val="28"/>
          <w:szCs w:val="28"/>
          <w:u w:val="none"/>
          <w:lang w:val="en-US" w:eastAsia="zh-CN"/>
        </w:rPr>
        <w:t>在开标现场填报总价，签字、盖章后生效。</w:t>
      </w:r>
    </w:p>
    <w:p w14:paraId="230E6B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2E1E16"/>
    <w:rsid w:val="4512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2922</Words>
  <Characters>2955</Characters>
  <Lines>0</Lines>
  <Paragraphs>0</Paragraphs>
  <TotalTime>0</TotalTime>
  <ScaleCrop>false</ScaleCrop>
  <LinksUpToDate>false</LinksUpToDate>
  <CharactersWithSpaces>2957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2026-08-04T01:32:00Z</dcterms:created>
  <dc:creator>FY</dc:creator>
  <cp:lastModifiedBy>FY</cp:lastModifiedBy>
  <dcterms:modified xsi:type="dcterms:W3CDTF">2026-08-04T01:34:26Z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eyJoZGlkIjoiMjhiMmI0MTIzNzU5ODQ1Nzg3ZjE2Y2Q2MjBmN2RmMzIiLCJ1c2VySWQiOiIyMzUzNzkwNTQifQ==</vt:lpwstr>
  </property>
  <property fmtid="{D5CDD505-2E9C-101B-9397-08002B2CF9AE}" pid="4" name="ICV">
    <vt:lpwstr>A4E14F981C3747E1836F0A1B8A56A0EF_12</vt:lpwstr>
  </property>
</Properties>
</file>