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27BFC">
      <w:pPr>
        <w:snapToGrid w:val="0"/>
        <w:spacing w:line="360" w:lineRule="auto"/>
        <w:jc w:val="center"/>
        <w:rPr>
          <w:rFonts w:hint="eastAsia" w:ascii="黑体" w:hAnsi="黑体" w:eastAsia="黑体" w:cs="华文中宋"/>
          <w:b/>
          <w:sz w:val="32"/>
          <w:szCs w:val="32"/>
          <w:lang w:val="en-US" w:eastAsia="zh-CN"/>
        </w:rPr>
      </w:pPr>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r>
        <w:rPr>
          <w:rFonts w:hint="eastAsia" w:ascii="黑体" w:hAnsi="黑体" w:eastAsia="黑体" w:cs="华文中宋"/>
          <w:b/>
          <w:sz w:val="32"/>
          <w:szCs w:val="32"/>
          <w:lang w:val="en-US" w:eastAsia="zh-CN"/>
        </w:rPr>
        <w:t>明细</w:t>
      </w:r>
    </w:p>
    <w:p w14:paraId="394B38EE">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412" w:leftChars="0" w:hanging="412" w:hangingChars="17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1.1采购项目名称：岳阳县城乡垃圾收转运一体化建设项目（垃圾中转站压缩设备、除臭设备政府采购项目）</w:t>
      </w:r>
    </w:p>
    <w:p w14:paraId="3D3D8462">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1.4验收标准和方法：本次招标采购产品质量和安装质量均需满足国家现行规范和标准要求。</w:t>
      </w:r>
    </w:p>
    <w:p w14:paraId="75B775D4">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53278A9E">
      <w:pPr>
        <w:keepNext w:val="0"/>
        <w:keepLines w:val="0"/>
        <w:pageBreakBefore w:val="0"/>
        <w:widowControl w:val="0"/>
        <w:tabs>
          <w:tab w:val="left" w:pos="360"/>
        </w:tabs>
        <w:kinsoku/>
        <w:wordWrap/>
        <w:overflowPunct/>
        <w:topLinePunct w:val="0"/>
        <w:autoSpaceDE/>
        <w:autoSpaceDN/>
        <w:bidi w:val="0"/>
        <w:adjustRightInd/>
        <w:snapToGrid/>
        <w:spacing w:line="420" w:lineRule="atLeast"/>
        <w:ind w:left="907" w:leftChars="0" w:hanging="687" w:firstLineChars="0"/>
        <w:textAlignment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1.6交货日期：合同签订后60日历天内全部交货、安装调试并验收合格。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
        <w:tblW w:w="103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3"/>
        <w:gridCol w:w="927"/>
        <w:gridCol w:w="7296"/>
        <w:gridCol w:w="711"/>
        <w:gridCol w:w="721"/>
      </w:tblGrid>
      <w:tr w14:paraId="138D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614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4C6">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名称</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3E57">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参数</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0D0C">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498D0">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u w:val="none"/>
                <w:lang w:val="en-US" w:eastAsia="zh-CN" w:bidi="ar"/>
              </w:rPr>
            </w:pPr>
            <w:r>
              <w:rPr>
                <w:rFonts w:hint="eastAsia" w:ascii="宋体" w:hAnsi="宋体" w:eastAsia="宋体" w:cs="宋体"/>
                <w:b/>
                <w:bCs/>
                <w:i w:val="0"/>
                <w:iCs w:val="0"/>
                <w:color w:val="auto"/>
                <w:kern w:val="0"/>
                <w:sz w:val="22"/>
                <w:szCs w:val="22"/>
                <w:u w:val="none"/>
                <w:lang w:val="en-US" w:eastAsia="zh-CN" w:bidi="ar"/>
              </w:rPr>
              <w:t>数量</w:t>
            </w:r>
          </w:p>
        </w:tc>
      </w:tr>
      <w:tr w14:paraId="3712C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4867">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2E1D">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四立柱垂直压缩式垃圾站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0A6E">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1.压缩方式为压头垂直压缩；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2.压缩油缸形式为三支油缸组合，即两支提升油缸+一支压缩油缸；</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1.工作高度:设备最大工作高度≤6.15米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2.设备外形尺寸（长×宽×高）:5700×3100×6150±50(mm)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4.压缩油缸缸径：φ250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6.最大压缩力：≥120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7.压缩仓的净空：≥5.3 m3</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三、性能及要求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2.机架:地面必须有四根导向立柱</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①四立柱截面尺寸不小于250×250方管,厚度不小于8mm。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②设置防箱体坠落安全装置，确保人身安全和设备安全。（提供实物照片证明）</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③箱体与立柱之间采用滚轮接触限位，间隙可调，滚轮与立柱接触部位局部加强，提升耐久性（提供实物照片证明）。</w:t>
            </w:r>
          </w:p>
          <w:p w14:paraId="67C7D600">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3.</w:t>
            </w:r>
            <w:r>
              <w:rPr>
                <w:rFonts w:hint="eastAsia" w:ascii="宋体" w:hAnsi="宋体" w:eastAsia="宋体" w:cs="宋体"/>
                <w:i w:val="0"/>
                <w:iCs w:val="0"/>
                <w:color w:val="auto"/>
                <w:kern w:val="0"/>
                <w:sz w:val="22"/>
                <w:szCs w:val="22"/>
                <w:u w:val="none"/>
                <w:lang w:val="en-US" w:eastAsia="zh-CN" w:bidi="ar"/>
              </w:rPr>
              <w:t>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③压头上设置4支用于提箱的插销，插销直径≥40mm；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▲④压缩装置中的销轴具有较好的防腐性能；需满足《GB/T 10125-2021 人造气氛腐蚀试验盐雾试验》720h中性盐雾试验,检验结果评级不低于 9 级。（提供第三方带CMA或CNAS标识的检测报告）</w:t>
            </w:r>
          </w:p>
          <w:p w14:paraId="1EF1F68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▲③电气控制柜具有良好的防水防尘性能；其防水性能不低于于IPX6，防尘性能不低于于IP5X（提供第三方带CMA或CNAS标识的检测报告）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④设有接地电阻≤0.4Ω，确保设备人身安全；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②采用分体式阀组，管路简洁美观；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④组合油缸上设置液压锁，防止爆管后箱体下坠，确保安全；（提供实物照片）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6.结构件：结构件表面防腐技术先进，箱体内外表面都经过喷丸和特殊防锈防腐处理。（抛光/喷砂除锈等级须达到Sa2.5级）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▲7.垃圾压缩机的焊接工艺符合相关要求；(提供第三方焊接工艺评定报告)</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F023">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1946">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r>
      <w:tr w14:paraId="650A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EA26">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11E1">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无立柱垂直压缩式垃圾站</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0C33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总体要求：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1.设备压缩方式为压头往后侧翻式或压头侧翻式垂直压缩；</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2.箱体举升过程具有水平前移功能；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3.设备地面以上无立柱；（提供实物照片佐证）</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4.工作高度:设备最大工作高度≤5.6米；</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5.设备地坑尺寸（长×宽×深）:≤6200×3500×1900 (mm)；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二、主要技术参数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1.主机功率：≥15KW；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2.压缩油缸：φ250；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3.压头侧翻时间：≤40s，卸料升降时间：≤150s；</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4.压实密度：≥0.92t/m3；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5.最大压缩力：≥120 t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▲6.压缩仓的净空：≥5.3m3，总容积：≥10.5m3；（1-6项提供第三方带CMA或CNAS标识的检测报告）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7.每块垃圾重量：≥4t，一次装两块；</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8.日处理垃圾量：≥80t</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9.垃圾块尺寸（长×宽×高）:1900×1650×1400±50(mm)；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10.箱体举升离地高度：≥1600mm；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11.箱体举升过程水平前移距离：≥1250mm；（提供第三方带CMA或CNAS标识的检测报告）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12.液压系统连续工作情况下油温：≤60℃；</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13.压缩机工作噪声：≤65dB；</w:t>
            </w:r>
          </w:p>
          <w:p w14:paraId="5712FE1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三、性能要求：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1.地坑内垃圾箱要求：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①采用整体式箱体：即箱体具有压缩仓、存贮仓、推铲工作仓；</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②箱体钢板底板厚度≥10mm，侧板≥8mm；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③箱体上油管排列整齐、做防锈处理；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④箱体上电缆采用金属套管封闭走线，不允许外露；</w:t>
            </w:r>
          </w:p>
          <w:p w14:paraId="05BD217E">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2.举升机构：</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▲①举升机构与箱体固定连接，并设置于箱体两侧；（提供第三方带CMA或CNAS标识的检测报告及实物照片）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②举升机构设置防箱体坠落安全装置，确保人身安全和设备安全；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▲③举升机构中的销轴、安装支座具有较好的防腐性能；需满足《GB/T 10125-2021 人造气氛腐蚀试验盐雾试验》720h中性盐雾试验,检验结果评级不低于 9 级。（提供第三方带CMA或CNAS标识的检测报告）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▲④举升机构杆件相互无铰接，减少维修维护。（提供第三方带CMA或CNAS标识的和实物照片）</w:t>
            </w:r>
          </w:p>
          <w:p w14:paraId="06DA8355">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3.压头: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①压缩油缸与压头的联接方式采用球铰联接，提高安全性；</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②压头底板采用高强度耐磨板，硬度≥400HB，屈服强度≥1200MPa，断后伸长率≥12%；（提供第三方带CMA或CNAS标识的检测报告，检测内容须包括硬度、屈服强度、断后伸长率）；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③压头与压架采用尼龙滑块导向限位，有效导向长度≥600mm；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4.电气系统：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①采用自动、手动两套控制系统：即当电气系统出现故障时，可采用手动继续工作；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②采用 PLC 程序控制；</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③电气控制柜具有良好的防水防尘性能；其防水性能优于IPX6，防尘性能优于IP5X（提供第三方带CMA或CNAS标识的检测报告）</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④设有接地电阻≤0.4，确保设备人身安全；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5.液压系统：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①油箱散热性能良好；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②管路简洁美观；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③油箱顶面四周设置积油槽，保持油箱顶面清洁，防止积油、积水；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④举升油缸杆头设置液压锁，防止爆管后箱体下坠，确保安全；</w:t>
            </w:r>
          </w:p>
          <w:p w14:paraId="4190FEB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6.结构件：结构件表面防腐技术先进，箱体内外表面都经过喷丸和特殊防锈防腐处理。</w:t>
            </w:r>
          </w:p>
          <w:p w14:paraId="3044296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7.垃圾压缩机的焊接工艺符合相关要求；</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DB2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DC8D">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p>
        </w:tc>
      </w:tr>
      <w:tr w14:paraId="6CAC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6" w:hRule="atLeast"/>
          <w:jc w:val="center"/>
        </w:trPr>
        <w:tc>
          <w:tcPr>
            <w:tcW w:w="7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1AAE">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B98E2">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高压智能喷雾除臭设备</w:t>
            </w:r>
          </w:p>
        </w:tc>
        <w:tc>
          <w:tcPr>
            <w:tcW w:w="7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B912">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lang w:val="en-US" w:eastAsia="zh-CN" w:bidi="ar"/>
              </w:rPr>
              <w:t>一、</w:t>
            </w:r>
            <w:r>
              <w:rPr>
                <w:rFonts w:hint="eastAsia" w:ascii="宋体" w:hAnsi="宋体" w:eastAsia="宋体" w:cs="宋体"/>
                <w:i w:val="0"/>
                <w:iCs w:val="0"/>
                <w:color w:val="auto"/>
                <w:kern w:val="0"/>
                <w:sz w:val="22"/>
                <w:szCs w:val="22"/>
                <w:u w:val="none"/>
                <w:lang w:val="en-US" w:eastAsia="zh-CN" w:bidi="ar"/>
              </w:rPr>
              <w:t>主要参数：</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（1）电源电压：AC380V±10% 、50HZ</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（2）电机功率：≥1.5KW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（3）高压柱塞泵：10L-16L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（4）喷雾方式：高压喷雾式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（5）机箱材质：304不锈钢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（6）控制主板：PLC+7寸触摸屏</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（7）网络接口：4G、以太网、RS485、WLAN</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（8）控制方式：机身按键、触摸屏、遥控器。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（9）外形尺寸： ≥L1000mm*H850mm*W600mm</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（10）药剂配比：自动配比药液</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（11）净 重：≤100KG</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二、性能要求（具有以下多个系统）：</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1）安全自动泄压：当喷雾机停止工作时，机体自动将高压喷管的压力释放，防止喷头滴水；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2）自动缺水、缺药断电：防止因无水时泵空转现象，提高泵寿命；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3）自动喷雾系统：操作人员可根据实际情况设定喷雾时间和喷雾间隔时间。</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4）应用回流新技术：避免管道积水、沉淀、长苔、保障喷头喷雾效果，喷头配有止滴器，喷头不滴水。配备多重过滤器和过滤箱，有效净化水源，减少喷头堵塞，增加运行效率。</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5）自动配比功能：系统可以根据要求的药剂的配比，自动配比出符合要求的药剂溶液，并储存于缓存水箱内，供喷雾系统使用，这样既便是在停水状态下只要有水就可以实现继续喷雾除臭和降尘。</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6）故障报警和信息显示模块：当设备缺液时蜂鸣器一直响，提示加药。正常工作时绿色指示灯亮，进水时黄色指示灯亮。</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7）系统功能：可根据实际情况设定开机和停机时间，设定范围可根据环境需求设定为全天24小时工作或者分几个时间区域工作。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8）触摸屏：自主研发软件、硬件，对设备进行控制与管理。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9）遥控功能：可随时控制设备运行、启动与停止、模式选择，方便操作。</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三、检测性能</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▲1、所投产品智能喷雾除臭设备通过接地电阻检测实验，且检测结果≤0.05Ω。（需提供相关检测报告，报告中须体现检测依据为GB4706.1-2005 家用和类似用途电器的安全）</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▲2、所投产品智能喷雾除臭设备通过厂界噪声检测且数值≤60dB。（需提供相关检测报告，工作噪音测量须在厂界外一米处（依据 GB12348-2008《工业企业厂界环境噪声排放标准》）</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3、所投产品智能喷雾除臭设备通过浪涌（冲击）试验，且试验中和试验后样品均能正常工作。</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32CA">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套</w:t>
            </w:r>
          </w:p>
        </w:tc>
        <w:tc>
          <w:tcPr>
            <w:tcW w:w="7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5C322">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w:t>
            </w:r>
          </w:p>
        </w:tc>
      </w:tr>
    </w:tbl>
    <w:p w14:paraId="7D500CC9">
      <w:pPr>
        <w:shd w:val="clear" w:fill="FFFFFF"/>
        <w:adjustRightInd w:val="0"/>
        <w:snapToGrid w:val="0"/>
        <w:spacing w:before="156" w:beforeLines="50" w:line="360" w:lineRule="auto"/>
        <w:jc w:val="left"/>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b w:val="0"/>
          <w:bCs w:val="0"/>
          <w:szCs w:val="21"/>
          <w:highlight w:val="none"/>
          <w:shd w:val="clear" w:color="auto" w:fill="auto"/>
          <w:lang w:val="en-US" w:eastAsia="zh-CN"/>
        </w:rPr>
        <w:t>采购内容包括新开镇、筻口镇等14座垃圾中转站、城区3</w:t>
      </w:r>
      <w:bookmarkStart w:id="0" w:name="_GoBack"/>
      <w:bookmarkEnd w:id="0"/>
      <w:r>
        <w:rPr>
          <w:rFonts w:hint="eastAsia" w:ascii="宋体" w:hAnsi="宋体" w:eastAsia="宋体" w:cs="宋体"/>
          <w:b w:val="0"/>
          <w:bCs w:val="0"/>
          <w:szCs w:val="21"/>
          <w:highlight w:val="none"/>
          <w:shd w:val="clear" w:color="auto" w:fill="auto"/>
          <w:lang w:val="en-US" w:eastAsia="zh-CN"/>
        </w:rPr>
        <w:t>座垃圾中转站压缩设备、5套除臭设备的购置</w:t>
      </w:r>
      <w:r>
        <w:rPr>
          <w:rFonts w:hint="eastAsia" w:ascii="宋体" w:hAnsi="宋体" w:eastAsia="宋体" w:cs="宋体"/>
          <w:sz w:val="22"/>
          <w:szCs w:val="22"/>
          <w:highlight w:val="none"/>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46766"/>
    <w:multiLevelType w:val="singleLevel"/>
    <w:tmpl w:val="A07467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05495A"/>
    <w:rsid w:val="290F56E6"/>
    <w:rsid w:val="377A726D"/>
    <w:rsid w:val="544B5737"/>
    <w:rsid w:val="79297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3300</Words>
  <Characters>3739</Characters>
  <Lines>0</Lines>
  <Paragraphs>0</Paragraphs>
  <TotalTime>1</TotalTime>
  <ScaleCrop>false</ScaleCrop>
  <LinksUpToDate>false</LinksUpToDate>
  <CharactersWithSpaces>3775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2026-08-06T04:37:00Z</dcterms:created>
  <dc:creator>Administrator</dc:creator>
  <cp:lastModifiedBy>Administrator</cp:lastModifiedBy>
  <dcterms:modified xsi:type="dcterms:W3CDTF">2026-08-10T01:40:16Z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eyJoZGlkIjoiNThhNjg3ZmEyZjMwOWQyM2U2YTkwMGM1NjEzOTZkZGIiLCJ1c2VySWQiOiI0NDE0OTA3ODQifQ==</vt:lpwstr>
  </property>
  <property fmtid="{D5CDD505-2E9C-101B-9397-08002B2CF9AE}" pid="4" name="ICV">
    <vt:lpwstr>F148B06D622C41C5B69B26DE77CAAC6C_12</vt:lpwstr>
  </property>
</Properties>
</file>