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067AA">
      <w:pPr>
        <w:pStyle w:val="23"/>
        <w:adjustRightInd w:val="0"/>
        <w:snapToGrid w:val="0"/>
        <w:spacing w:line="240" w:lineRule="atLeast"/>
        <w:rPr>
          <w:rFonts w:hAnsi="宋体"/>
          <w:sz w:val="44"/>
          <w:highlight w:val="none"/>
        </w:rPr>
      </w:pPr>
    </w:p>
    <w:p w14:paraId="239CA334">
      <w:pPr>
        <w:pStyle w:val="23"/>
        <w:adjustRightInd w:val="0"/>
        <w:snapToGrid w:val="0"/>
        <w:spacing w:line="240" w:lineRule="atLeast"/>
        <w:rPr>
          <w:rFonts w:hAnsi="宋体"/>
          <w:sz w:val="44"/>
          <w:highlight w:val="none"/>
        </w:rPr>
      </w:pPr>
    </w:p>
    <w:p w14:paraId="1495FC9E">
      <w:pPr>
        <w:pStyle w:val="23"/>
        <w:adjustRightInd w:val="0"/>
        <w:snapToGrid w:val="0"/>
        <w:spacing w:line="240" w:lineRule="atLeast"/>
        <w:jc w:val="center"/>
        <w:rPr>
          <w:rFonts w:ascii="华文中宋" w:hAnsi="华文中宋" w:eastAsia="华文中宋"/>
          <w:b/>
          <w:bCs/>
          <w:sz w:val="84"/>
          <w:szCs w:val="84"/>
          <w:highlight w:val="none"/>
        </w:rPr>
      </w:pPr>
      <w:r>
        <w:rPr>
          <w:rFonts w:hint="eastAsia" w:ascii="华文中宋" w:hAnsi="华文中宋" w:eastAsia="华文中宋"/>
          <w:b/>
          <w:bCs/>
          <w:sz w:val="84"/>
          <w:szCs w:val="84"/>
          <w:highlight w:val="none"/>
        </w:rPr>
        <w:t>政府采购</w:t>
      </w:r>
    </w:p>
    <w:p w14:paraId="0E05A46F">
      <w:pPr>
        <w:pStyle w:val="23"/>
        <w:adjustRightInd w:val="0"/>
        <w:snapToGrid w:val="0"/>
        <w:spacing w:line="240" w:lineRule="atLeast"/>
        <w:jc w:val="center"/>
        <w:rPr>
          <w:rFonts w:ascii="华文中宋" w:hAnsi="华文中宋" w:eastAsia="华文中宋"/>
          <w:b/>
          <w:bCs/>
          <w:sz w:val="84"/>
          <w:szCs w:val="84"/>
          <w:highlight w:val="none"/>
        </w:rPr>
      </w:pPr>
      <w:r>
        <w:rPr>
          <w:rFonts w:hint="eastAsia" w:ascii="华文中宋" w:hAnsi="华文中宋" w:eastAsia="华文中宋"/>
          <w:b/>
          <w:bCs/>
          <w:sz w:val="84"/>
          <w:szCs w:val="84"/>
          <w:highlight w:val="none"/>
        </w:rPr>
        <w:t>服务项目招标文件</w:t>
      </w:r>
    </w:p>
    <w:p w14:paraId="0CF0415A">
      <w:pPr>
        <w:pStyle w:val="23"/>
        <w:adjustRightInd w:val="0"/>
        <w:snapToGrid w:val="0"/>
        <w:spacing w:line="240" w:lineRule="atLeast"/>
        <w:jc w:val="center"/>
        <w:rPr>
          <w:rFonts w:ascii="华文中宋" w:hAnsi="华文中宋" w:eastAsia="华文中宋"/>
          <w:bCs/>
          <w:highlight w:val="none"/>
        </w:rPr>
      </w:pPr>
    </w:p>
    <w:p w14:paraId="2EA64FF6">
      <w:pPr>
        <w:adjustRightInd w:val="0"/>
        <w:snapToGrid w:val="0"/>
        <w:spacing w:line="360" w:lineRule="auto"/>
        <w:ind w:firstLine="643" w:firstLineChars="200"/>
        <w:rPr>
          <w:rFonts w:hint="eastAsia" w:ascii="Times New Roman" w:hAnsi="宋体" w:eastAsia="宋体" w:cs="Times New Roman"/>
          <w:b/>
          <w:sz w:val="32"/>
          <w:szCs w:val="32"/>
          <w:highlight w:val="none"/>
        </w:rPr>
      </w:pPr>
    </w:p>
    <w:p w14:paraId="752EDF8C">
      <w:pPr>
        <w:adjustRightInd w:val="0"/>
        <w:snapToGrid w:val="0"/>
        <w:spacing w:line="360" w:lineRule="auto"/>
        <w:ind w:firstLine="643" w:firstLineChars="200"/>
        <w:rPr>
          <w:rFonts w:hint="eastAsia" w:ascii="Times New Roman" w:hAnsi="宋体" w:eastAsia="宋体" w:cs="Times New Roman"/>
          <w:b/>
          <w:sz w:val="32"/>
          <w:szCs w:val="32"/>
          <w:highlight w:val="none"/>
        </w:rPr>
      </w:pPr>
    </w:p>
    <w:p w14:paraId="1E6937CD">
      <w:pPr>
        <w:adjustRightInd w:val="0"/>
        <w:snapToGrid w:val="0"/>
        <w:spacing w:line="360" w:lineRule="auto"/>
        <w:ind w:firstLine="643" w:firstLineChars="200"/>
        <w:rPr>
          <w:rFonts w:hint="eastAsia" w:ascii="Times New Roman" w:hAnsi="宋体" w:eastAsia="宋体" w:cs="Times New Roman"/>
          <w:b/>
          <w:sz w:val="32"/>
          <w:szCs w:val="32"/>
          <w:highlight w:val="none"/>
        </w:rPr>
      </w:pPr>
      <w:r>
        <w:rPr>
          <w:rFonts w:hint="eastAsia" w:ascii="Times New Roman" w:hAnsi="宋体" w:eastAsia="宋体" w:cs="Times New Roman"/>
          <w:b/>
          <w:sz w:val="32"/>
          <w:szCs w:val="32"/>
          <w:highlight w:val="none"/>
        </w:rPr>
        <w:t>采购项目名称：郴州市第二人民医院医疗设备维保托管</w:t>
      </w:r>
    </w:p>
    <w:p w14:paraId="3A122DDB">
      <w:pPr>
        <w:adjustRightInd w:val="0"/>
        <w:snapToGrid w:val="0"/>
        <w:spacing w:line="360" w:lineRule="auto"/>
        <w:ind w:firstLine="2891" w:firstLineChars="900"/>
        <w:rPr>
          <w:rFonts w:hint="eastAsia" w:ascii="Times New Roman" w:hAnsi="宋体" w:eastAsia="宋体" w:cs="Times New Roman"/>
          <w:b/>
          <w:sz w:val="32"/>
          <w:szCs w:val="32"/>
          <w:highlight w:val="none"/>
        </w:rPr>
      </w:pPr>
      <w:r>
        <w:rPr>
          <w:rFonts w:hint="eastAsia" w:ascii="Times New Roman" w:hAnsi="宋体" w:eastAsia="宋体" w:cs="Times New Roman"/>
          <w:b/>
          <w:sz w:val="32"/>
          <w:szCs w:val="32"/>
          <w:highlight w:val="none"/>
        </w:rPr>
        <w:t>服务项目</w:t>
      </w:r>
    </w:p>
    <w:p w14:paraId="595BBFC5">
      <w:pPr>
        <w:adjustRightInd w:val="0"/>
        <w:snapToGrid w:val="0"/>
        <w:spacing w:line="360" w:lineRule="auto"/>
        <w:ind w:firstLine="643" w:firstLineChars="200"/>
        <w:rPr>
          <w:rFonts w:hint="eastAsia" w:hAnsi="宋体" w:eastAsia="宋体"/>
          <w:b/>
          <w:sz w:val="32"/>
          <w:szCs w:val="32"/>
          <w:highlight w:val="none"/>
          <w:lang w:eastAsia="zh-CN"/>
        </w:rPr>
      </w:pPr>
      <w:r>
        <w:rPr>
          <w:rFonts w:hint="eastAsia" w:hAnsi="宋体"/>
          <w:b/>
          <w:sz w:val="32"/>
          <w:szCs w:val="32"/>
          <w:highlight w:val="none"/>
        </w:rPr>
        <w:t>政府采购编号：</w:t>
      </w:r>
      <w:r>
        <w:rPr>
          <w:rFonts w:hint="eastAsia" w:hAnsi="宋体"/>
          <w:b/>
          <w:sz w:val="32"/>
          <w:szCs w:val="32"/>
          <w:highlight w:val="none"/>
          <w:lang w:eastAsia="zh-CN"/>
        </w:rPr>
        <w:t>CGXM2026431000000054</w:t>
      </w:r>
    </w:p>
    <w:p w14:paraId="374966E8">
      <w:pPr>
        <w:adjustRightInd w:val="0"/>
        <w:snapToGrid w:val="0"/>
        <w:spacing w:line="360" w:lineRule="auto"/>
        <w:ind w:firstLine="643" w:firstLineChars="200"/>
        <w:rPr>
          <w:rFonts w:hAnsi="宋体"/>
          <w:b/>
          <w:sz w:val="32"/>
          <w:szCs w:val="32"/>
          <w:highlight w:val="none"/>
        </w:rPr>
      </w:pPr>
      <w:r>
        <w:rPr>
          <w:rFonts w:hint="eastAsia" w:hAnsi="宋体"/>
          <w:b/>
          <w:sz w:val="32"/>
          <w:szCs w:val="32"/>
          <w:highlight w:val="none"/>
        </w:rPr>
        <w:t>采购代理编号：</w:t>
      </w:r>
      <w:r>
        <w:rPr>
          <w:rFonts w:hint="eastAsia" w:hAnsi="宋体"/>
          <w:b/>
          <w:sz w:val="32"/>
          <w:szCs w:val="32"/>
          <w:highlight w:val="none"/>
          <w:lang w:eastAsia="zh-CN"/>
        </w:rPr>
        <w:t>HNXZ-2026-CZ-XMZB-0058</w:t>
      </w:r>
      <w:r>
        <w:rPr>
          <w:rFonts w:hint="eastAsia" w:hAnsi="宋体"/>
          <w:b/>
          <w:sz w:val="32"/>
          <w:szCs w:val="32"/>
          <w:highlight w:val="none"/>
        </w:rPr>
        <w:t xml:space="preserve"> </w:t>
      </w:r>
    </w:p>
    <w:p w14:paraId="3A72BB27">
      <w:pPr>
        <w:adjustRightInd w:val="0"/>
        <w:snapToGrid w:val="0"/>
        <w:spacing w:line="360" w:lineRule="auto"/>
        <w:ind w:firstLine="643" w:firstLineChars="200"/>
        <w:rPr>
          <w:rFonts w:hint="eastAsia" w:hAnsi="宋体" w:eastAsia="宋体"/>
          <w:b/>
          <w:sz w:val="32"/>
          <w:szCs w:val="32"/>
          <w:highlight w:val="none"/>
          <w:lang w:eastAsia="zh-CN"/>
        </w:rPr>
      </w:pPr>
      <w:r>
        <w:rPr>
          <w:rFonts w:hint="eastAsia" w:hAnsi="宋体"/>
          <w:b/>
          <w:sz w:val="32"/>
          <w:szCs w:val="32"/>
          <w:highlight w:val="none"/>
        </w:rPr>
        <w:t>采   购   人：</w:t>
      </w:r>
      <w:r>
        <w:rPr>
          <w:rFonts w:hint="eastAsia" w:hAnsi="宋体"/>
          <w:b/>
          <w:sz w:val="32"/>
          <w:szCs w:val="32"/>
          <w:highlight w:val="none"/>
          <w:lang w:eastAsia="zh-CN"/>
        </w:rPr>
        <w:t>郴州市第二人民医院</w:t>
      </w:r>
    </w:p>
    <w:p w14:paraId="353F8DEC">
      <w:pPr>
        <w:adjustRightInd w:val="0"/>
        <w:snapToGrid w:val="0"/>
        <w:spacing w:line="360" w:lineRule="auto"/>
        <w:ind w:firstLine="643" w:firstLineChars="200"/>
        <w:rPr>
          <w:rFonts w:ascii="宋体"/>
          <w:b/>
          <w:sz w:val="32"/>
          <w:szCs w:val="21"/>
          <w:highlight w:val="none"/>
        </w:rPr>
      </w:pPr>
      <w:r>
        <w:rPr>
          <w:rFonts w:hint="eastAsia" w:ascii="宋体"/>
          <w:b/>
          <w:sz w:val="32"/>
          <w:szCs w:val="21"/>
          <w:highlight w:val="none"/>
        </w:rPr>
        <w:t>采购代理机构：湖南省湘咨工程咨询管理有限责任公司</w:t>
      </w:r>
    </w:p>
    <w:p w14:paraId="783D177A">
      <w:pPr>
        <w:pStyle w:val="23"/>
        <w:adjustRightInd w:val="0"/>
        <w:snapToGrid w:val="0"/>
        <w:spacing w:line="240" w:lineRule="atLeast"/>
        <w:jc w:val="center"/>
        <w:rPr>
          <w:rFonts w:hAnsi="宋体"/>
          <w:bCs/>
          <w:sz w:val="32"/>
          <w:szCs w:val="32"/>
          <w:highlight w:val="none"/>
        </w:rPr>
      </w:pPr>
    </w:p>
    <w:p w14:paraId="540D9EB8">
      <w:pPr>
        <w:pStyle w:val="23"/>
        <w:adjustRightInd w:val="0"/>
        <w:snapToGrid w:val="0"/>
        <w:spacing w:line="240" w:lineRule="atLeast"/>
        <w:jc w:val="center"/>
        <w:rPr>
          <w:rFonts w:hAnsi="宋体"/>
          <w:bCs/>
          <w:sz w:val="32"/>
          <w:szCs w:val="32"/>
          <w:highlight w:val="none"/>
        </w:rPr>
      </w:pPr>
    </w:p>
    <w:p w14:paraId="39EB766A">
      <w:pPr>
        <w:pStyle w:val="23"/>
        <w:adjustRightInd w:val="0"/>
        <w:snapToGrid w:val="0"/>
        <w:spacing w:line="240" w:lineRule="atLeast"/>
        <w:jc w:val="center"/>
        <w:rPr>
          <w:rFonts w:hAnsi="宋体"/>
          <w:bCs/>
          <w:sz w:val="32"/>
          <w:szCs w:val="32"/>
          <w:highlight w:val="none"/>
        </w:rPr>
      </w:pPr>
    </w:p>
    <w:p w14:paraId="034352B3">
      <w:pPr>
        <w:pStyle w:val="23"/>
        <w:adjustRightInd w:val="0"/>
        <w:snapToGrid w:val="0"/>
        <w:spacing w:line="240" w:lineRule="atLeast"/>
        <w:rPr>
          <w:rFonts w:hAnsi="宋体"/>
          <w:bCs/>
          <w:sz w:val="32"/>
          <w:szCs w:val="32"/>
          <w:highlight w:val="none"/>
        </w:rPr>
      </w:pPr>
    </w:p>
    <w:p w14:paraId="1180EA27">
      <w:pPr>
        <w:pStyle w:val="23"/>
        <w:adjustRightInd w:val="0"/>
        <w:snapToGrid w:val="0"/>
        <w:spacing w:line="240" w:lineRule="atLeast"/>
        <w:rPr>
          <w:rFonts w:hAnsi="宋体"/>
          <w:bCs/>
          <w:sz w:val="32"/>
          <w:szCs w:val="32"/>
          <w:highlight w:val="none"/>
        </w:rPr>
      </w:pPr>
    </w:p>
    <w:p w14:paraId="4B4D8282">
      <w:pPr>
        <w:pStyle w:val="23"/>
        <w:adjustRightInd w:val="0"/>
        <w:snapToGrid w:val="0"/>
        <w:spacing w:line="240" w:lineRule="atLeast"/>
        <w:jc w:val="center"/>
        <w:rPr>
          <w:rFonts w:hint="eastAsia" w:hAnsi="宋体" w:eastAsia="宋体"/>
          <w:b/>
          <w:bCs/>
          <w:sz w:val="32"/>
          <w:szCs w:val="32"/>
          <w:highlight w:val="none"/>
          <w:lang w:eastAsia="zh-CN"/>
        </w:rPr>
      </w:pPr>
      <w:r>
        <w:rPr>
          <w:rFonts w:hint="eastAsia" w:hAnsi="宋体"/>
          <w:b/>
          <w:sz w:val="32"/>
          <w:highlight w:val="none"/>
          <w:lang w:eastAsia="zh-CN"/>
        </w:rPr>
        <w:t>2026年</w:t>
      </w:r>
    </w:p>
    <w:p w14:paraId="2A3BF2FC">
      <w:pPr>
        <w:rPr>
          <w:rFonts w:ascii="华文中宋" w:hAnsi="华文中宋" w:eastAsia="华文中宋"/>
          <w:b/>
          <w:spacing w:val="160"/>
          <w:sz w:val="36"/>
          <w:szCs w:val="36"/>
          <w:highlight w:val="none"/>
        </w:rPr>
      </w:pPr>
      <w:r>
        <w:rPr>
          <w:rFonts w:hint="eastAsia" w:ascii="华文中宋" w:hAnsi="华文中宋" w:eastAsia="华文中宋"/>
          <w:b/>
          <w:spacing w:val="160"/>
          <w:sz w:val="36"/>
          <w:szCs w:val="36"/>
          <w:highlight w:val="none"/>
        </w:rPr>
        <w:br w:type="page"/>
      </w:r>
    </w:p>
    <w:p w14:paraId="44491EFE">
      <w:pPr>
        <w:pStyle w:val="23"/>
        <w:adjustRightInd w:val="0"/>
        <w:snapToGrid w:val="0"/>
        <w:spacing w:line="360" w:lineRule="auto"/>
        <w:jc w:val="center"/>
        <w:rPr>
          <w:rFonts w:ascii="华文中宋" w:hAnsi="华文中宋" w:eastAsia="华文中宋"/>
          <w:b/>
          <w:spacing w:val="160"/>
          <w:sz w:val="36"/>
          <w:szCs w:val="36"/>
          <w:highlight w:val="none"/>
        </w:rPr>
      </w:pPr>
      <w:r>
        <w:rPr>
          <w:rFonts w:hint="eastAsia" w:ascii="华文中宋" w:hAnsi="华文中宋" w:eastAsia="华文中宋"/>
          <w:b/>
          <w:spacing w:val="160"/>
          <w:sz w:val="36"/>
          <w:szCs w:val="36"/>
          <w:highlight w:val="none"/>
        </w:rPr>
        <w:t>目录</w:t>
      </w:r>
    </w:p>
    <w:p w14:paraId="1C983B8E">
      <w:pPr>
        <w:pStyle w:val="30"/>
        <w:tabs>
          <w:tab w:val="right" w:leader="dot" w:pos="8732"/>
        </w:tabs>
      </w:pPr>
      <w:r>
        <w:rPr>
          <w:rStyle w:val="48"/>
          <w:b w:val="0"/>
          <w:highlight w:val="none"/>
        </w:rPr>
        <w:fldChar w:fldCharType="begin"/>
      </w:r>
      <w:r>
        <w:rPr>
          <w:rStyle w:val="48"/>
          <w:b/>
          <w:highlight w:val="none"/>
        </w:rPr>
        <w:instrText xml:space="preserve"> TOC \o "1-5" \h \z \u </w:instrText>
      </w:r>
      <w:r>
        <w:rPr>
          <w:rStyle w:val="48"/>
          <w:b w:val="0"/>
          <w:highlight w:val="none"/>
        </w:rPr>
        <w:fldChar w:fldCharType="separate"/>
      </w:r>
      <w:r>
        <w:rPr>
          <w:highlight w:val="none"/>
        </w:rPr>
        <w:fldChar w:fldCharType="begin"/>
      </w:r>
      <w:r>
        <w:rPr>
          <w:highlight w:val="none"/>
        </w:rPr>
        <w:instrText xml:space="preserve"> HYPERLINK \l _Toc19993 </w:instrText>
      </w:r>
      <w:r>
        <w:rPr>
          <w:highlight w:val="none"/>
        </w:rPr>
        <w:fldChar w:fldCharType="separate"/>
      </w:r>
      <w:r>
        <w:rPr>
          <w:rFonts w:hint="eastAsia" w:ascii="黑体" w:hAnsi="华文中宋" w:eastAsia="黑体"/>
          <w:szCs w:val="32"/>
          <w:highlight w:val="none"/>
        </w:rPr>
        <w:t>第一章 投标邀请（公开招标）</w:t>
      </w:r>
      <w:r>
        <w:tab/>
      </w:r>
      <w:r>
        <w:fldChar w:fldCharType="begin"/>
      </w:r>
      <w:r>
        <w:instrText xml:space="preserve"> PAGEREF _Toc19993 \h </w:instrText>
      </w:r>
      <w:r>
        <w:fldChar w:fldCharType="separate"/>
      </w:r>
      <w:r>
        <w:t>5</w:t>
      </w:r>
      <w:r>
        <w:fldChar w:fldCharType="end"/>
      </w:r>
      <w:r>
        <w:rPr>
          <w:highlight w:val="none"/>
        </w:rPr>
        <w:fldChar w:fldCharType="end"/>
      </w:r>
    </w:p>
    <w:p w14:paraId="40B549E0">
      <w:pPr>
        <w:pStyle w:val="30"/>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_Toc20068 </w:instrText>
      </w:r>
      <w:r>
        <w:rPr>
          <w:rFonts w:cs="Times New Roman" w:asciiTheme="minorEastAsia" w:hAnsiTheme="minorEastAsia" w:eastAsiaTheme="minorEastAsia"/>
          <w:highlight w:val="none"/>
        </w:rPr>
        <w:fldChar w:fldCharType="separate"/>
      </w:r>
      <w:r>
        <w:rPr>
          <w:rFonts w:hint="eastAsia" w:ascii="黑体" w:hAnsi="华文中宋" w:eastAsia="黑体"/>
          <w:szCs w:val="32"/>
          <w:highlight w:val="none"/>
        </w:rPr>
        <w:t>第二章 投标须知</w:t>
      </w:r>
      <w:r>
        <w:tab/>
      </w:r>
      <w:r>
        <w:fldChar w:fldCharType="begin"/>
      </w:r>
      <w:r>
        <w:instrText xml:space="preserve"> PAGEREF _Toc20068 \h </w:instrText>
      </w:r>
      <w:r>
        <w:fldChar w:fldCharType="separate"/>
      </w:r>
      <w:r>
        <w:t>10</w:t>
      </w:r>
      <w:r>
        <w:fldChar w:fldCharType="end"/>
      </w:r>
      <w:r>
        <w:rPr>
          <w:rFonts w:cs="Times New Roman" w:asciiTheme="minorEastAsia" w:hAnsiTheme="minorEastAsia" w:eastAsiaTheme="minorEastAsia"/>
          <w:highlight w:val="none"/>
        </w:rPr>
        <w:fldChar w:fldCharType="end"/>
      </w:r>
    </w:p>
    <w:p w14:paraId="33F5C219">
      <w:pPr>
        <w:pStyle w:val="35"/>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_Toc20809 </w:instrText>
      </w:r>
      <w:r>
        <w:rPr>
          <w:rFonts w:cs="Times New Roman" w:asciiTheme="minorEastAsia" w:hAnsiTheme="minorEastAsia" w:eastAsiaTheme="minorEastAsia"/>
          <w:highlight w:val="none"/>
        </w:rPr>
        <w:fldChar w:fldCharType="separate"/>
      </w:r>
      <w:r>
        <w:rPr>
          <w:rFonts w:hint="eastAsia" w:ascii="黑体" w:hAnsi="华文中宋" w:eastAsia="黑体"/>
          <w:szCs w:val="28"/>
          <w:highlight w:val="none"/>
        </w:rPr>
        <w:t>投标须知前附表</w:t>
      </w:r>
      <w:r>
        <w:tab/>
      </w:r>
      <w:r>
        <w:fldChar w:fldCharType="begin"/>
      </w:r>
      <w:r>
        <w:instrText xml:space="preserve"> PAGEREF _Toc20809 \h </w:instrText>
      </w:r>
      <w:r>
        <w:fldChar w:fldCharType="separate"/>
      </w:r>
      <w:r>
        <w:t>10</w:t>
      </w:r>
      <w:r>
        <w:fldChar w:fldCharType="end"/>
      </w:r>
      <w:r>
        <w:rPr>
          <w:rFonts w:cs="Times New Roman" w:asciiTheme="minorEastAsia" w:hAnsiTheme="minorEastAsia" w:eastAsiaTheme="minorEastAsia"/>
          <w:highlight w:val="none"/>
        </w:rPr>
        <w:fldChar w:fldCharType="end"/>
      </w:r>
    </w:p>
    <w:p w14:paraId="318695F2">
      <w:pPr>
        <w:pStyle w:val="35"/>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_Toc2426 </w:instrText>
      </w:r>
      <w:r>
        <w:rPr>
          <w:rFonts w:cs="Times New Roman" w:asciiTheme="minorEastAsia" w:hAnsiTheme="minorEastAsia" w:eastAsiaTheme="minorEastAsia"/>
          <w:highlight w:val="none"/>
        </w:rPr>
        <w:fldChar w:fldCharType="separate"/>
      </w:r>
      <w:r>
        <w:rPr>
          <w:rFonts w:hint="eastAsia" w:ascii="黑体" w:hAnsi="黑体" w:eastAsia="黑体"/>
          <w:szCs w:val="28"/>
          <w:highlight w:val="none"/>
        </w:rPr>
        <w:t>投标须知正文</w:t>
      </w:r>
      <w:r>
        <w:tab/>
      </w:r>
      <w:r>
        <w:fldChar w:fldCharType="begin"/>
      </w:r>
      <w:r>
        <w:instrText xml:space="preserve"> PAGEREF _Toc2426 \h </w:instrText>
      </w:r>
      <w:r>
        <w:fldChar w:fldCharType="separate"/>
      </w:r>
      <w:r>
        <w:t>14</w:t>
      </w:r>
      <w:r>
        <w:fldChar w:fldCharType="end"/>
      </w:r>
      <w:r>
        <w:rPr>
          <w:rFonts w:cs="Times New Roman" w:asciiTheme="minorEastAsia" w:hAnsiTheme="minorEastAsia" w:eastAsiaTheme="minorEastAsia"/>
          <w:highlight w:val="none"/>
        </w:rPr>
        <w:fldChar w:fldCharType="end"/>
      </w:r>
    </w:p>
    <w:p w14:paraId="4070D666">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_Toc31160 </w:instrText>
      </w:r>
      <w:r>
        <w:rPr>
          <w:rFonts w:cs="Times New Roman" w:asciiTheme="minorEastAsia" w:hAnsiTheme="minorEastAsia" w:eastAsiaTheme="minorEastAsia"/>
          <w:highlight w:val="none"/>
        </w:rPr>
        <w:fldChar w:fldCharType="separate"/>
      </w:r>
      <w:r>
        <w:rPr>
          <w:rFonts w:hint="eastAsia"/>
          <w:highlight w:val="none"/>
        </w:rPr>
        <w:t>一、总则</w:t>
      </w:r>
      <w:r>
        <w:tab/>
      </w:r>
      <w:r>
        <w:fldChar w:fldCharType="begin"/>
      </w:r>
      <w:r>
        <w:instrText xml:space="preserve"> PAGEREF _Toc31160 \h </w:instrText>
      </w:r>
      <w:r>
        <w:fldChar w:fldCharType="separate"/>
      </w:r>
      <w:r>
        <w:t>14</w:t>
      </w:r>
      <w:r>
        <w:fldChar w:fldCharType="end"/>
      </w:r>
      <w:r>
        <w:rPr>
          <w:rFonts w:cs="Times New Roman" w:asciiTheme="minorEastAsia" w:hAnsiTheme="minorEastAsia" w:eastAsiaTheme="minorEastAsia"/>
          <w:highlight w:val="none"/>
        </w:rPr>
        <w:fldChar w:fldCharType="end"/>
      </w:r>
    </w:p>
    <w:p w14:paraId="31F33FC0">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_Toc3136 </w:instrText>
      </w:r>
      <w:r>
        <w:rPr>
          <w:rFonts w:cs="Times New Roman" w:asciiTheme="minorEastAsia" w:hAnsiTheme="minorEastAsia" w:eastAsiaTheme="minorEastAsia"/>
          <w:highlight w:val="none"/>
        </w:rPr>
        <w:fldChar w:fldCharType="separate"/>
      </w:r>
      <w:r>
        <w:rPr>
          <w:rFonts w:hint="eastAsia" w:ascii="黑体" w:hAnsi="黑体" w:eastAsia="黑体"/>
          <w:szCs w:val="28"/>
          <w:highlight w:val="none"/>
        </w:rPr>
        <w:t>二、招标文件</w:t>
      </w:r>
      <w:r>
        <w:tab/>
      </w:r>
      <w:r>
        <w:fldChar w:fldCharType="begin"/>
      </w:r>
      <w:r>
        <w:instrText xml:space="preserve"> PAGEREF _Toc3136 \h </w:instrText>
      </w:r>
      <w:r>
        <w:fldChar w:fldCharType="separate"/>
      </w:r>
      <w:r>
        <w:t>15</w:t>
      </w:r>
      <w:r>
        <w:fldChar w:fldCharType="end"/>
      </w:r>
      <w:r>
        <w:rPr>
          <w:rFonts w:cs="Times New Roman" w:asciiTheme="minorEastAsia" w:hAnsiTheme="minorEastAsia" w:eastAsiaTheme="minorEastAsia"/>
          <w:highlight w:val="none"/>
        </w:rPr>
        <w:fldChar w:fldCharType="end"/>
      </w:r>
    </w:p>
    <w:p w14:paraId="0F27DC43">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_Toc25044 </w:instrText>
      </w:r>
      <w:r>
        <w:rPr>
          <w:rFonts w:cs="Times New Roman" w:asciiTheme="minorEastAsia" w:hAnsiTheme="minorEastAsia" w:eastAsiaTheme="minorEastAsia"/>
          <w:highlight w:val="none"/>
        </w:rPr>
        <w:fldChar w:fldCharType="separate"/>
      </w:r>
      <w:r>
        <w:rPr>
          <w:rFonts w:hint="eastAsia" w:ascii="黑体" w:hAnsi="黑体" w:eastAsia="黑体"/>
          <w:szCs w:val="28"/>
          <w:highlight w:val="none"/>
        </w:rPr>
        <w:t>三、投标文件</w:t>
      </w:r>
      <w:r>
        <w:tab/>
      </w:r>
      <w:r>
        <w:fldChar w:fldCharType="begin"/>
      </w:r>
      <w:r>
        <w:instrText xml:space="preserve"> PAGEREF _Toc25044 \h </w:instrText>
      </w:r>
      <w:r>
        <w:fldChar w:fldCharType="separate"/>
      </w:r>
      <w:r>
        <w:t>16</w:t>
      </w:r>
      <w:r>
        <w:fldChar w:fldCharType="end"/>
      </w:r>
      <w:r>
        <w:rPr>
          <w:rFonts w:cs="Times New Roman" w:asciiTheme="minorEastAsia" w:hAnsiTheme="minorEastAsia" w:eastAsiaTheme="minorEastAsia"/>
          <w:highlight w:val="none"/>
        </w:rPr>
        <w:fldChar w:fldCharType="end"/>
      </w:r>
    </w:p>
    <w:p w14:paraId="62DA8159">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_Toc21697 </w:instrText>
      </w:r>
      <w:r>
        <w:rPr>
          <w:rFonts w:cs="Times New Roman" w:asciiTheme="minorEastAsia" w:hAnsiTheme="minorEastAsia" w:eastAsiaTheme="minorEastAsia"/>
          <w:highlight w:val="none"/>
        </w:rPr>
        <w:fldChar w:fldCharType="separate"/>
      </w:r>
      <w:r>
        <w:rPr>
          <w:rFonts w:hint="eastAsia" w:ascii="黑体" w:hAnsi="黑体" w:eastAsia="黑体"/>
          <w:szCs w:val="28"/>
          <w:highlight w:val="none"/>
        </w:rPr>
        <w:t>四、投标</w:t>
      </w:r>
      <w:r>
        <w:tab/>
      </w:r>
      <w:r>
        <w:fldChar w:fldCharType="begin"/>
      </w:r>
      <w:r>
        <w:instrText xml:space="preserve"> PAGEREF _Toc21697 \h </w:instrText>
      </w:r>
      <w:r>
        <w:fldChar w:fldCharType="separate"/>
      </w:r>
      <w:r>
        <w:t>20</w:t>
      </w:r>
      <w:r>
        <w:fldChar w:fldCharType="end"/>
      </w:r>
      <w:r>
        <w:rPr>
          <w:rFonts w:cs="Times New Roman" w:asciiTheme="minorEastAsia" w:hAnsiTheme="minorEastAsia" w:eastAsiaTheme="minorEastAsia"/>
          <w:highlight w:val="none"/>
        </w:rPr>
        <w:fldChar w:fldCharType="end"/>
      </w:r>
    </w:p>
    <w:p w14:paraId="00F69870">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_Toc3950 </w:instrText>
      </w:r>
      <w:r>
        <w:rPr>
          <w:rFonts w:cs="Times New Roman" w:asciiTheme="minorEastAsia" w:hAnsiTheme="minorEastAsia" w:eastAsiaTheme="minorEastAsia"/>
          <w:highlight w:val="none"/>
        </w:rPr>
        <w:fldChar w:fldCharType="separate"/>
      </w:r>
      <w:r>
        <w:rPr>
          <w:rFonts w:hint="eastAsia" w:ascii="黑体" w:hAnsi="黑体" w:eastAsia="黑体"/>
          <w:szCs w:val="28"/>
          <w:highlight w:val="none"/>
        </w:rPr>
        <w:t>五、开标，资格审查和评标</w:t>
      </w:r>
      <w:r>
        <w:tab/>
      </w:r>
      <w:r>
        <w:fldChar w:fldCharType="begin"/>
      </w:r>
      <w:r>
        <w:instrText xml:space="preserve"> PAGEREF _Toc3950 \h </w:instrText>
      </w:r>
      <w:r>
        <w:fldChar w:fldCharType="separate"/>
      </w:r>
      <w:r>
        <w:t>21</w:t>
      </w:r>
      <w:r>
        <w:fldChar w:fldCharType="end"/>
      </w:r>
      <w:r>
        <w:rPr>
          <w:rFonts w:cs="Times New Roman" w:asciiTheme="minorEastAsia" w:hAnsiTheme="minorEastAsia" w:eastAsiaTheme="minorEastAsia"/>
          <w:highlight w:val="none"/>
        </w:rPr>
        <w:fldChar w:fldCharType="end"/>
      </w:r>
    </w:p>
    <w:p w14:paraId="1A759AD8">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_Toc6584 </w:instrText>
      </w:r>
      <w:r>
        <w:rPr>
          <w:rFonts w:cs="Times New Roman" w:asciiTheme="minorEastAsia" w:hAnsiTheme="minorEastAsia" w:eastAsiaTheme="minorEastAsia"/>
          <w:highlight w:val="none"/>
        </w:rPr>
        <w:fldChar w:fldCharType="separate"/>
      </w:r>
      <w:r>
        <w:rPr>
          <w:rFonts w:hint="eastAsia" w:ascii="黑体" w:hAnsi="黑体" w:eastAsia="黑体"/>
          <w:szCs w:val="28"/>
          <w:highlight w:val="none"/>
        </w:rPr>
        <w:t>六、中标信息公布</w:t>
      </w:r>
      <w:r>
        <w:tab/>
      </w:r>
      <w:r>
        <w:fldChar w:fldCharType="begin"/>
      </w:r>
      <w:r>
        <w:instrText xml:space="preserve"> PAGEREF _Toc6584 \h </w:instrText>
      </w:r>
      <w:r>
        <w:fldChar w:fldCharType="separate"/>
      </w:r>
      <w:r>
        <w:t>23</w:t>
      </w:r>
      <w:r>
        <w:fldChar w:fldCharType="end"/>
      </w:r>
      <w:r>
        <w:rPr>
          <w:rFonts w:cs="Times New Roman" w:asciiTheme="minorEastAsia" w:hAnsiTheme="minorEastAsia" w:eastAsiaTheme="minorEastAsia"/>
          <w:highlight w:val="none"/>
        </w:rPr>
        <w:fldChar w:fldCharType="end"/>
      </w:r>
    </w:p>
    <w:p w14:paraId="3FA6990F">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_Toc11738 </w:instrText>
      </w:r>
      <w:r>
        <w:rPr>
          <w:rFonts w:cs="Times New Roman" w:asciiTheme="minorEastAsia" w:hAnsiTheme="minorEastAsia" w:eastAsiaTheme="minorEastAsia"/>
          <w:highlight w:val="none"/>
        </w:rPr>
        <w:fldChar w:fldCharType="separate"/>
      </w:r>
      <w:r>
        <w:rPr>
          <w:rFonts w:hint="eastAsia" w:ascii="黑体" w:hAnsi="黑体" w:eastAsia="黑体"/>
          <w:szCs w:val="28"/>
          <w:highlight w:val="none"/>
        </w:rPr>
        <w:t>七、合同签订</w:t>
      </w:r>
      <w:r>
        <w:tab/>
      </w:r>
      <w:r>
        <w:fldChar w:fldCharType="begin"/>
      </w:r>
      <w:r>
        <w:instrText xml:space="preserve"> PAGEREF _Toc11738 \h </w:instrText>
      </w:r>
      <w:r>
        <w:fldChar w:fldCharType="separate"/>
      </w:r>
      <w:r>
        <w:t>24</w:t>
      </w:r>
      <w:r>
        <w:fldChar w:fldCharType="end"/>
      </w:r>
      <w:r>
        <w:rPr>
          <w:rFonts w:cs="Times New Roman" w:asciiTheme="minorEastAsia" w:hAnsiTheme="minorEastAsia" w:eastAsiaTheme="minorEastAsia"/>
          <w:highlight w:val="none"/>
        </w:rPr>
        <w:fldChar w:fldCharType="end"/>
      </w:r>
    </w:p>
    <w:p w14:paraId="5C1F6610">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_Toc29346 </w:instrText>
      </w:r>
      <w:r>
        <w:rPr>
          <w:rFonts w:cs="Times New Roman" w:asciiTheme="minorEastAsia" w:hAnsiTheme="minorEastAsia" w:eastAsiaTheme="minorEastAsia"/>
          <w:highlight w:val="none"/>
        </w:rPr>
        <w:fldChar w:fldCharType="separate"/>
      </w:r>
      <w:r>
        <w:rPr>
          <w:rFonts w:hint="eastAsia" w:ascii="黑体" w:hAnsi="黑体" w:eastAsia="黑体"/>
          <w:szCs w:val="28"/>
          <w:highlight w:val="none"/>
        </w:rPr>
        <w:t>八、其他规定</w:t>
      </w:r>
      <w:r>
        <w:tab/>
      </w:r>
      <w:r>
        <w:fldChar w:fldCharType="begin"/>
      </w:r>
      <w:r>
        <w:instrText xml:space="preserve"> PAGEREF _Toc29346 \h </w:instrText>
      </w:r>
      <w:r>
        <w:fldChar w:fldCharType="separate"/>
      </w:r>
      <w:r>
        <w:t>25</w:t>
      </w:r>
      <w:r>
        <w:fldChar w:fldCharType="end"/>
      </w:r>
      <w:r>
        <w:rPr>
          <w:rFonts w:cs="Times New Roman" w:asciiTheme="minorEastAsia" w:hAnsiTheme="minorEastAsia" w:eastAsiaTheme="minorEastAsia"/>
          <w:highlight w:val="none"/>
        </w:rPr>
        <w:fldChar w:fldCharType="end"/>
      </w:r>
    </w:p>
    <w:p w14:paraId="546B38EE">
      <w:pPr>
        <w:pStyle w:val="30"/>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_Toc4657 </w:instrText>
      </w:r>
      <w:r>
        <w:rPr>
          <w:rFonts w:cs="Times New Roman" w:asciiTheme="minorEastAsia" w:hAnsiTheme="minorEastAsia" w:eastAsiaTheme="minorEastAsia"/>
          <w:highlight w:val="none"/>
        </w:rPr>
        <w:fldChar w:fldCharType="separate"/>
      </w:r>
      <w:r>
        <w:rPr>
          <w:rFonts w:hint="eastAsia" w:ascii="黑体" w:hAnsi="黑体" w:eastAsia="黑体"/>
          <w:szCs w:val="32"/>
          <w:highlight w:val="none"/>
        </w:rPr>
        <w:t>第三章 资格审查</w:t>
      </w:r>
      <w:r>
        <w:tab/>
      </w:r>
      <w:r>
        <w:fldChar w:fldCharType="begin"/>
      </w:r>
      <w:r>
        <w:instrText xml:space="preserve"> PAGEREF _Toc4657 \h </w:instrText>
      </w:r>
      <w:r>
        <w:fldChar w:fldCharType="separate"/>
      </w:r>
      <w:r>
        <w:t>28</w:t>
      </w:r>
      <w:r>
        <w:fldChar w:fldCharType="end"/>
      </w:r>
      <w:r>
        <w:rPr>
          <w:rFonts w:cs="Times New Roman" w:asciiTheme="minorEastAsia" w:hAnsiTheme="minorEastAsia" w:eastAsiaTheme="minorEastAsia"/>
          <w:highlight w:val="none"/>
        </w:rPr>
        <w:fldChar w:fldCharType="end"/>
      </w:r>
    </w:p>
    <w:p w14:paraId="1F326F3B">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_Toc21887 </w:instrText>
      </w:r>
      <w:r>
        <w:rPr>
          <w:rFonts w:cs="Times New Roman" w:asciiTheme="minorEastAsia" w:hAnsiTheme="minorEastAsia" w:eastAsiaTheme="minorEastAsia"/>
          <w:highlight w:val="none"/>
        </w:rPr>
        <w:fldChar w:fldCharType="separate"/>
      </w:r>
      <w:r>
        <w:rPr>
          <w:rFonts w:hint="eastAsia" w:ascii="黑体" w:hAnsi="黑体" w:eastAsia="黑体"/>
          <w:szCs w:val="24"/>
          <w:highlight w:val="none"/>
        </w:rPr>
        <w:t>1．资格审查主体</w:t>
      </w:r>
      <w:r>
        <w:tab/>
      </w:r>
      <w:r>
        <w:fldChar w:fldCharType="begin"/>
      </w:r>
      <w:r>
        <w:instrText xml:space="preserve"> PAGEREF _Toc21887 \h </w:instrText>
      </w:r>
      <w:r>
        <w:fldChar w:fldCharType="separate"/>
      </w:r>
      <w:r>
        <w:t>28</w:t>
      </w:r>
      <w:r>
        <w:fldChar w:fldCharType="end"/>
      </w:r>
      <w:r>
        <w:rPr>
          <w:rFonts w:cs="Times New Roman" w:asciiTheme="minorEastAsia" w:hAnsiTheme="minorEastAsia" w:eastAsiaTheme="minorEastAsia"/>
          <w:highlight w:val="none"/>
        </w:rPr>
        <w:fldChar w:fldCharType="end"/>
      </w:r>
    </w:p>
    <w:p w14:paraId="5D6F19A3">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_Toc8854 </w:instrText>
      </w:r>
      <w:r>
        <w:rPr>
          <w:rFonts w:cs="Times New Roman" w:asciiTheme="minorEastAsia" w:hAnsiTheme="minorEastAsia" w:eastAsiaTheme="minorEastAsia"/>
          <w:highlight w:val="none"/>
        </w:rPr>
        <w:fldChar w:fldCharType="separate"/>
      </w:r>
      <w:r>
        <w:rPr>
          <w:rFonts w:hint="eastAsia" w:ascii="黑体" w:hAnsi="黑体" w:eastAsia="黑体"/>
          <w:szCs w:val="24"/>
          <w:highlight w:val="none"/>
        </w:rPr>
        <w:t>2．资格审查</w:t>
      </w:r>
      <w:r>
        <w:tab/>
      </w:r>
      <w:r>
        <w:fldChar w:fldCharType="begin"/>
      </w:r>
      <w:r>
        <w:instrText xml:space="preserve"> PAGEREF _Toc8854 \h </w:instrText>
      </w:r>
      <w:r>
        <w:fldChar w:fldCharType="separate"/>
      </w:r>
      <w:r>
        <w:t>28</w:t>
      </w:r>
      <w:r>
        <w:fldChar w:fldCharType="end"/>
      </w:r>
      <w:r>
        <w:rPr>
          <w:rFonts w:cs="Times New Roman" w:asciiTheme="minorEastAsia" w:hAnsiTheme="minorEastAsia" w:eastAsiaTheme="minorEastAsia"/>
          <w:highlight w:val="none"/>
        </w:rPr>
        <w:fldChar w:fldCharType="end"/>
      </w:r>
    </w:p>
    <w:p w14:paraId="754F6963">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_Toc16255 </w:instrText>
      </w:r>
      <w:r>
        <w:rPr>
          <w:rFonts w:cs="Times New Roman" w:asciiTheme="minorEastAsia" w:hAnsiTheme="minorEastAsia" w:eastAsiaTheme="minorEastAsia"/>
          <w:highlight w:val="none"/>
        </w:rPr>
        <w:fldChar w:fldCharType="separate"/>
      </w:r>
      <w:r>
        <w:rPr>
          <w:rFonts w:hint="eastAsia" w:ascii="黑体" w:hAnsi="黑体" w:eastAsia="黑体"/>
          <w:szCs w:val="24"/>
          <w:highlight w:val="none"/>
        </w:rPr>
        <w:t>3．资格审查结果</w:t>
      </w:r>
      <w:r>
        <w:tab/>
      </w:r>
      <w:r>
        <w:fldChar w:fldCharType="begin"/>
      </w:r>
      <w:r>
        <w:instrText xml:space="preserve"> PAGEREF _Toc16255 \h </w:instrText>
      </w:r>
      <w:r>
        <w:fldChar w:fldCharType="separate"/>
      </w:r>
      <w:r>
        <w:t>29</w:t>
      </w:r>
      <w:r>
        <w:fldChar w:fldCharType="end"/>
      </w:r>
      <w:r>
        <w:rPr>
          <w:rFonts w:cs="Times New Roman" w:asciiTheme="minorEastAsia" w:hAnsiTheme="minorEastAsia" w:eastAsiaTheme="minorEastAsia"/>
          <w:highlight w:val="none"/>
        </w:rPr>
        <w:fldChar w:fldCharType="end"/>
      </w:r>
    </w:p>
    <w:p w14:paraId="36D3B626">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_Toc16553 </w:instrText>
      </w:r>
      <w:r>
        <w:rPr>
          <w:rFonts w:cs="Times New Roman" w:asciiTheme="minorEastAsia" w:hAnsiTheme="minorEastAsia" w:eastAsiaTheme="minorEastAsia"/>
          <w:highlight w:val="none"/>
        </w:rPr>
        <w:fldChar w:fldCharType="separate"/>
      </w:r>
      <w:r>
        <w:rPr>
          <w:rFonts w:hint="eastAsia" w:ascii="黑体" w:hAnsi="黑体" w:eastAsia="黑体"/>
          <w:szCs w:val="24"/>
          <w:highlight w:val="none"/>
        </w:rPr>
        <w:t>4．其他</w:t>
      </w:r>
      <w:r>
        <w:tab/>
      </w:r>
      <w:r>
        <w:fldChar w:fldCharType="begin"/>
      </w:r>
      <w:r>
        <w:instrText xml:space="preserve"> PAGEREF _Toc16553 \h </w:instrText>
      </w:r>
      <w:r>
        <w:fldChar w:fldCharType="separate"/>
      </w:r>
      <w:r>
        <w:t>29</w:t>
      </w:r>
      <w:r>
        <w:fldChar w:fldCharType="end"/>
      </w:r>
      <w:r>
        <w:rPr>
          <w:rFonts w:cs="Times New Roman" w:asciiTheme="minorEastAsia" w:hAnsiTheme="minorEastAsia" w:eastAsiaTheme="minorEastAsia"/>
          <w:highlight w:val="none"/>
        </w:rPr>
        <w:fldChar w:fldCharType="end"/>
      </w:r>
    </w:p>
    <w:p w14:paraId="68033539">
      <w:pPr>
        <w:pStyle w:val="31"/>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_Toc18476 </w:instrText>
      </w:r>
      <w:r>
        <w:rPr>
          <w:rFonts w:cs="Times New Roman" w:asciiTheme="minorEastAsia" w:hAnsiTheme="minorEastAsia" w:eastAsiaTheme="minorEastAsia"/>
          <w:highlight w:val="none"/>
        </w:rPr>
        <w:fldChar w:fldCharType="separate"/>
      </w:r>
      <w:r>
        <w:rPr>
          <w:rFonts w:hint="eastAsia" w:ascii="黑体" w:hAnsi="黑体"/>
          <w:szCs w:val="21"/>
          <w:highlight w:val="none"/>
        </w:rPr>
        <w:t xml:space="preserve">附表1 </w:t>
      </w:r>
      <w:r>
        <w:rPr>
          <w:rFonts w:ascii="黑体" w:hAnsi="黑体"/>
          <w:szCs w:val="21"/>
          <w:highlight w:val="none"/>
        </w:rPr>
        <w:t>投标人资格审查表</w:t>
      </w:r>
      <w:r>
        <w:tab/>
      </w:r>
      <w:r>
        <w:fldChar w:fldCharType="begin"/>
      </w:r>
      <w:r>
        <w:instrText xml:space="preserve"> PAGEREF _Toc18476 \h </w:instrText>
      </w:r>
      <w:r>
        <w:fldChar w:fldCharType="separate"/>
      </w:r>
      <w:r>
        <w:t>30</w:t>
      </w:r>
      <w:r>
        <w:fldChar w:fldCharType="end"/>
      </w:r>
      <w:r>
        <w:rPr>
          <w:rFonts w:cs="Times New Roman" w:asciiTheme="minorEastAsia" w:hAnsiTheme="minorEastAsia" w:eastAsiaTheme="minorEastAsia"/>
          <w:highlight w:val="none"/>
        </w:rPr>
        <w:fldChar w:fldCharType="end"/>
      </w:r>
    </w:p>
    <w:p w14:paraId="63A45C9E">
      <w:pPr>
        <w:pStyle w:val="31"/>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_Toc6286 </w:instrText>
      </w:r>
      <w:r>
        <w:rPr>
          <w:rFonts w:cs="Times New Roman" w:asciiTheme="minorEastAsia" w:hAnsiTheme="minorEastAsia" w:eastAsiaTheme="minorEastAsia"/>
          <w:highlight w:val="none"/>
        </w:rPr>
        <w:fldChar w:fldCharType="separate"/>
      </w:r>
      <w:r>
        <w:rPr>
          <w:rFonts w:hint="eastAsia" w:ascii="黑体" w:hAnsi="黑体"/>
          <w:szCs w:val="21"/>
          <w:highlight w:val="none"/>
        </w:rPr>
        <w:t>附表2 资格审查结果一览表</w:t>
      </w:r>
      <w:r>
        <w:tab/>
      </w:r>
      <w:r>
        <w:fldChar w:fldCharType="begin"/>
      </w:r>
      <w:r>
        <w:instrText xml:space="preserve"> PAGEREF _Toc6286 \h </w:instrText>
      </w:r>
      <w:r>
        <w:fldChar w:fldCharType="separate"/>
      </w:r>
      <w:r>
        <w:t>31</w:t>
      </w:r>
      <w:r>
        <w:fldChar w:fldCharType="end"/>
      </w:r>
      <w:r>
        <w:rPr>
          <w:rFonts w:cs="Times New Roman" w:asciiTheme="minorEastAsia" w:hAnsiTheme="minorEastAsia" w:eastAsiaTheme="minorEastAsia"/>
          <w:highlight w:val="none"/>
        </w:rPr>
        <w:fldChar w:fldCharType="end"/>
      </w:r>
    </w:p>
    <w:p w14:paraId="7A34FB83">
      <w:pPr>
        <w:pStyle w:val="31"/>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_Toc6867 </w:instrText>
      </w:r>
      <w:r>
        <w:rPr>
          <w:rFonts w:cs="Times New Roman" w:asciiTheme="minorEastAsia" w:hAnsiTheme="minorEastAsia" w:eastAsiaTheme="minorEastAsia"/>
          <w:highlight w:val="none"/>
        </w:rPr>
        <w:fldChar w:fldCharType="separate"/>
      </w:r>
      <w:r>
        <w:rPr>
          <w:rFonts w:hint="eastAsia" w:ascii="黑体" w:hAnsi="黑体"/>
          <w:szCs w:val="21"/>
          <w:highlight w:val="none"/>
        </w:rPr>
        <w:t>附表3 资格审查合格投标人名单</w:t>
      </w:r>
      <w:r>
        <w:tab/>
      </w:r>
      <w:r>
        <w:fldChar w:fldCharType="begin"/>
      </w:r>
      <w:r>
        <w:instrText xml:space="preserve"> PAGEREF _Toc6867 \h </w:instrText>
      </w:r>
      <w:r>
        <w:fldChar w:fldCharType="separate"/>
      </w:r>
      <w:r>
        <w:t>32</w:t>
      </w:r>
      <w:r>
        <w:fldChar w:fldCharType="end"/>
      </w:r>
      <w:r>
        <w:rPr>
          <w:rFonts w:cs="Times New Roman" w:asciiTheme="minorEastAsia" w:hAnsiTheme="minorEastAsia" w:eastAsiaTheme="minorEastAsia"/>
          <w:highlight w:val="none"/>
        </w:rPr>
        <w:fldChar w:fldCharType="end"/>
      </w:r>
    </w:p>
    <w:p w14:paraId="3164422B">
      <w:pPr>
        <w:pStyle w:val="30"/>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_Toc309 </w:instrText>
      </w:r>
      <w:r>
        <w:rPr>
          <w:rFonts w:cs="Times New Roman" w:asciiTheme="minorEastAsia" w:hAnsiTheme="minorEastAsia" w:eastAsiaTheme="minorEastAsia"/>
          <w:highlight w:val="none"/>
        </w:rPr>
        <w:fldChar w:fldCharType="separate"/>
      </w:r>
      <w:r>
        <w:rPr>
          <w:rFonts w:hint="eastAsia" w:ascii="黑体" w:hAnsi="华文中宋" w:eastAsia="黑体"/>
          <w:szCs w:val="32"/>
          <w:highlight w:val="none"/>
        </w:rPr>
        <w:t>第四章 评标方法及标准（综合评分法）</w:t>
      </w:r>
      <w:r>
        <w:tab/>
      </w:r>
      <w:r>
        <w:fldChar w:fldCharType="begin"/>
      </w:r>
      <w:r>
        <w:instrText xml:space="preserve"> PAGEREF _Toc309 \h </w:instrText>
      </w:r>
      <w:r>
        <w:fldChar w:fldCharType="separate"/>
      </w:r>
      <w:r>
        <w:t>33</w:t>
      </w:r>
      <w:r>
        <w:fldChar w:fldCharType="end"/>
      </w:r>
      <w:r>
        <w:rPr>
          <w:rFonts w:cs="Times New Roman" w:asciiTheme="minorEastAsia" w:hAnsiTheme="minorEastAsia" w:eastAsiaTheme="minorEastAsia"/>
          <w:highlight w:val="none"/>
        </w:rPr>
        <w:fldChar w:fldCharType="end"/>
      </w:r>
    </w:p>
    <w:p w14:paraId="28C2077F">
      <w:pPr>
        <w:pStyle w:val="35"/>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_Toc28723 </w:instrText>
      </w:r>
      <w:r>
        <w:rPr>
          <w:rFonts w:cs="Times New Roman" w:asciiTheme="minorEastAsia" w:hAnsiTheme="minorEastAsia" w:eastAsiaTheme="minorEastAsia"/>
          <w:highlight w:val="none"/>
        </w:rPr>
        <w:fldChar w:fldCharType="separate"/>
      </w:r>
      <w:r>
        <w:rPr>
          <w:rFonts w:hint="eastAsia" w:ascii="黑体" w:hAnsi="华文中宋" w:eastAsia="黑体" w:cs="Times New Roman"/>
          <w:bCs/>
          <w:kern w:val="2"/>
          <w:szCs w:val="28"/>
          <w:lang w:val="en-US" w:eastAsia="zh-CN" w:bidi="ar-SA"/>
        </w:rPr>
        <w:t>第一节 评标方法及标准前附表</w:t>
      </w:r>
      <w:r>
        <w:tab/>
      </w:r>
      <w:r>
        <w:fldChar w:fldCharType="begin"/>
      </w:r>
      <w:r>
        <w:instrText xml:space="preserve"> PAGEREF _Toc28723 \h </w:instrText>
      </w:r>
      <w:r>
        <w:fldChar w:fldCharType="separate"/>
      </w:r>
      <w:r>
        <w:t>33</w:t>
      </w:r>
      <w:r>
        <w:fldChar w:fldCharType="end"/>
      </w:r>
      <w:r>
        <w:rPr>
          <w:rFonts w:cs="Times New Roman" w:asciiTheme="minorEastAsia" w:hAnsiTheme="minorEastAsia" w:eastAsiaTheme="minorEastAsia"/>
          <w:highlight w:val="none"/>
        </w:rPr>
        <w:fldChar w:fldCharType="end"/>
      </w:r>
    </w:p>
    <w:p w14:paraId="070110A9">
      <w:pPr>
        <w:pStyle w:val="35"/>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_Toc16316 </w:instrText>
      </w:r>
      <w:r>
        <w:rPr>
          <w:rFonts w:cs="Times New Roman" w:asciiTheme="minorEastAsia" w:hAnsiTheme="minorEastAsia" w:eastAsiaTheme="minorEastAsia"/>
          <w:highlight w:val="none"/>
        </w:rPr>
        <w:fldChar w:fldCharType="separate"/>
      </w:r>
      <w:r>
        <w:rPr>
          <w:rFonts w:hint="eastAsia" w:ascii="黑体" w:hAnsi="华文中宋" w:eastAsia="黑体" w:cs="Times New Roman"/>
          <w:bCs/>
          <w:kern w:val="2"/>
          <w:szCs w:val="28"/>
          <w:lang w:val="en-US" w:eastAsia="zh-CN" w:bidi="ar-SA"/>
        </w:rPr>
        <w:t>第二节 评标方法及标准</w:t>
      </w:r>
      <w:r>
        <w:tab/>
      </w:r>
      <w:r>
        <w:fldChar w:fldCharType="begin"/>
      </w:r>
      <w:r>
        <w:instrText xml:space="preserve"> PAGEREF _Toc16316 \h </w:instrText>
      </w:r>
      <w:r>
        <w:fldChar w:fldCharType="separate"/>
      </w:r>
      <w:r>
        <w:t>35</w:t>
      </w:r>
      <w:r>
        <w:fldChar w:fldCharType="end"/>
      </w:r>
      <w:r>
        <w:rPr>
          <w:rFonts w:cs="Times New Roman" w:asciiTheme="minorEastAsia" w:hAnsiTheme="minorEastAsia" w:eastAsiaTheme="minorEastAsia"/>
          <w:highlight w:val="none"/>
        </w:rPr>
        <w:fldChar w:fldCharType="end"/>
      </w:r>
    </w:p>
    <w:p w14:paraId="22ED299C">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_Toc12997 </w:instrText>
      </w:r>
      <w:r>
        <w:rPr>
          <w:rFonts w:cs="Times New Roman" w:asciiTheme="minorEastAsia" w:hAnsiTheme="minorEastAsia" w:eastAsiaTheme="minorEastAsia"/>
          <w:highlight w:val="none"/>
        </w:rPr>
        <w:fldChar w:fldCharType="separate"/>
      </w:r>
      <w:r>
        <w:rPr>
          <w:rFonts w:hint="eastAsia" w:ascii="黑体" w:hAnsi="黑体" w:eastAsia="黑体" w:cs="Times New Roman"/>
          <w:bCs/>
          <w:kern w:val="2"/>
          <w:szCs w:val="24"/>
          <w:lang w:val="en-US" w:eastAsia="zh-CN" w:bidi="ar-SA"/>
        </w:rPr>
        <w:t>1．评标方法</w:t>
      </w:r>
      <w:r>
        <w:tab/>
      </w:r>
      <w:r>
        <w:fldChar w:fldCharType="begin"/>
      </w:r>
      <w:r>
        <w:instrText xml:space="preserve"> PAGEREF _Toc12997 \h </w:instrText>
      </w:r>
      <w:r>
        <w:fldChar w:fldCharType="separate"/>
      </w:r>
      <w:r>
        <w:t>35</w:t>
      </w:r>
      <w:r>
        <w:fldChar w:fldCharType="end"/>
      </w:r>
      <w:r>
        <w:rPr>
          <w:rFonts w:cs="Times New Roman" w:asciiTheme="minorEastAsia" w:hAnsiTheme="minorEastAsia" w:eastAsiaTheme="minorEastAsia"/>
          <w:highlight w:val="none"/>
        </w:rPr>
        <w:fldChar w:fldCharType="end"/>
      </w:r>
    </w:p>
    <w:p w14:paraId="22A00F41">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_Toc20271 </w:instrText>
      </w:r>
      <w:r>
        <w:rPr>
          <w:rFonts w:cs="Times New Roman" w:asciiTheme="minorEastAsia" w:hAnsiTheme="minorEastAsia" w:eastAsiaTheme="minorEastAsia"/>
          <w:highlight w:val="none"/>
        </w:rPr>
        <w:fldChar w:fldCharType="separate"/>
      </w:r>
      <w:r>
        <w:rPr>
          <w:rFonts w:hint="eastAsia" w:ascii="黑体" w:hAnsi="黑体" w:eastAsia="黑体" w:cs="Times New Roman"/>
          <w:bCs w:val="0"/>
          <w:kern w:val="2"/>
          <w:szCs w:val="24"/>
          <w:lang w:val="en-US" w:eastAsia="zh-CN" w:bidi="ar-SA"/>
        </w:rPr>
        <w:t>2．评标程序</w:t>
      </w:r>
      <w:r>
        <w:tab/>
      </w:r>
      <w:r>
        <w:fldChar w:fldCharType="begin"/>
      </w:r>
      <w:r>
        <w:instrText xml:space="preserve"> PAGEREF _Toc20271 \h </w:instrText>
      </w:r>
      <w:r>
        <w:fldChar w:fldCharType="separate"/>
      </w:r>
      <w:r>
        <w:t>35</w:t>
      </w:r>
      <w:r>
        <w:fldChar w:fldCharType="end"/>
      </w:r>
      <w:r>
        <w:rPr>
          <w:rFonts w:cs="Times New Roman" w:asciiTheme="minorEastAsia" w:hAnsiTheme="minorEastAsia" w:eastAsiaTheme="minorEastAsia"/>
          <w:highlight w:val="none"/>
        </w:rPr>
        <w:fldChar w:fldCharType="end"/>
      </w:r>
    </w:p>
    <w:p w14:paraId="6D385F9B">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_Toc2580 </w:instrText>
      </w:r>
      <w:r>
        <w:rPr>
          <w:rFonts w:cs="Times New Roman" w:asciiTheme="minorEastAsia" w:hAnsiTheme="minorEastAsia" w:eastAsiaTheme="minorEastAsia"/>
          <w:highlight w:val="none"/>
        </w:rPr>
        <w:fldChar w:fldCharType="separate"/>
      </w:r>
      <w:r>
        <w:rPr>
          <w:rFonts w:hint="eastAsia" w:ascii="黑体" w:hAnsi="黑体" w:eastAsia="黑体" w:cs="Times New Roman"/>
          <w:bCs w:val="0"/>
          <w:kern w:val="2"/>
          <w:szCs w:val="24"/>
          <w:lang w:val="en-US" w:eastAsia="zh-CN" w:bidi="ar-SA"/>
        </w:rPr>
        <w:t>3．投标文件的符合性审查</w:t>
      </w:r>
      <w:r>
        <w:tab/>
      </w:r>
      <w:r>
        <w:fldChar w:fldCharType="begin"/>
      </w:r>
      <w:r>
        <w:instrText xml:space="preserve"> PAGEREF _Toc2580 \h </w:instrText>
      </w:r>
      <w:r>
        <w:fldChar w:fldCharType="separate"/>
      </w:r>
      <w:r>
        <w:t>35</w:t>
      </w:r>
      <w:r>
        <w:fldChar w:fldCharType="end"/>
      </w:r>
      <w:r>
        <w:rPr>
          <w:rFonts w:cs="Times New Roman" w:asciiTheme="minorEastAsia" w:hAnsiTheme="minorEastAsia" w:eastAsiaTheme="minorEastAsia"/>
          <w:highlight w:val="none"/>
        </w:rPr>
        <w:fldChar w:fldCharType="end"/>
      </w:r>
    </w:p>
    <w:p w14:paraId="020E1A02">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_Toc5868 </w:instrText>
      </w:r>
      <w:r>
        <w:rPr>
          <w:rFonts w:cs="Times New Roman" w:asciiTheme="minorEastAsia" w:hAnsiTheme="minorEastAsia" w:eastAsiaTheme="minorEastAsia"/>
          <w:highlight w:val="none"/>
        </w:rPr>
        <w:fldChar w:fldCharType="separate"/>
      </w:r>
      <w:r>
        <w:rPr>
          <w:rFonts w:hint="eastAsia" w:ascii="黑体" w:hAnsi="黑体" w:eastAsia="黑体" w:cs="Times New Roman"/>
          <w:bCs w:val="0"/>
          <w:kern w:val="2"/>
          <w:szCs w:val="24"/>
          <w:lang w:val="en-US" w:eastAsia="zh-CN" w:bidi="ar-SA"/>
        </w:rPr>
        <w:t>4．投标文件的澄清</w:t>
      </w:r>
      <w:r>
        <w:tab/>
      </w:r>
      <w:r>
        <w:fldChar w:fldCharType="begin"/>
      </w:r>
      <w:r>
        <w:instrText xml:space="preserve"> PAGEREF _Toc5868 \h </w:instrText>
      </w:r>
      <w:r>
        <w:fldChar w:fldCharType="separate"/>
      </w:r>
      <w:r>
        <w:t>35</w:t>
      </w:r>
      <w:r>
        <w:fldChar w:fldCharType="end"/>
      </w:r>
      <w:r>
        <w:rPr>
          <w:rFonts w:cs="Times New Roman" w:asciiTheme="minorEastAsia" w:hAnsiTheme="minorEastAsia" w:eastAsiaTheme="minorEastAsia"/>
          <w:highlight w:val="none"/>
        </w:rPr>
        <w:fldChar w:fldCharType="end"/>
      </w:r>
    </w:p>
    <w:p w14:paraId="5A580839">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_Toc11773 </w:instrText>
      </w:r>
      <w:r>
        <w:rPr>
          <w:rFonts w:cs="Times New Roman" w:asciiTheme="minorEastAsia" w:hAnsiTheme="minorEastAsia" w:eastAsiaTheme="minorEastAsia"/>
          <w:highlight w:val="none"/>
        </w:rPr>
        <w:fldChar w:fldCharType="separate"/>
      </w:r>
      <w:r>
        <w:rPr>
          <w:rFonts w:hint="eastAsia" w:ascii="黑体" w:hAnsi="黑体" w:eastAsia="黑体" w:cs="Times New Roman"/>
          <w:bCs w:val="0"/>
          <w:kern w:val="2"/>
          <w:szCs w:val="24"/>
          <w:lang w:val="en-US" w:eastAsia="zh-CN" w:bidi="ar-SA"/>
        </w:rPr>
        <w:t>5．投标文件的比较与评价</w:t>
      </w:r>
      <w:r>
        <w:tab/>
      </w:r>
      <w:r>
        <w:fldChar w:fldCharType="begin"/>
      </w:r>
      <w:r>
        <w:instrText xml:space="preserve"> PAGEREF _Toc11773 \h </w:instrText>
      </w:r>
      <w:r>
        <w:fldChar w:fldCharType="separate"/>
      </w:r>
      <w:r>
        <w:t>36</w:t>
      </w:r>
      <w:r>
        <w:fldChar w:fldCharType="end"/>
      </w:r>
      <w:r>
        <w:rPr>
          <w:rFonts w:cs="Times New Roman" w:asciiTheme="minorEastAsia" w:hAnsiTheme="minorEastAsia" w:eastAsiaTheme="minorEastAsia"/>
          <w:highlight w:val="none"/>
        </w:rPr>
        <w:fldChar w:fldCharType="end"/>
      </w:r>
    </w:p>
    <w:p w14:paraId="38331AF0">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_Toc3441 </w:instrText>
      </w:r>
      <w:r>
        <w:rPr>
          <w:rFonts w:cs="Times New Roman" w:asciiTheme="minorEastAsia" w:hAnsiTheme="minorEastAsia" w:eastAsiaTheme="minorEastAsia"/>
          <w:highlight w:val="none"/>
        </w:rPr>
        <w:fldChar w:fldCharType="separate"/>
      </w:r>
      <w:r>
        <w:rPr>
          <w:rFonts w:hint="eastAsia" w:ascii="黑体" w:hAnsi="黑体" w:eastAsia="黑体" w:cs="Times New Roman"/>
          <w:bCs w:val="0"/>
          <w:kern w:val="2"/>
          <w:szCs w:val="24"/>
          <w:lang w:val="en-US" w:eastAsia="zh-CN" w:bidi="ar-SA"/>
        </w:rPr>
        <w:t>6．</w:t>
      </w:r>
      <w:r>
        <w:rPr>
          <w:rFonts w:hint="eastAsia" w:ascii="黑体" w:hAnsi="黑体" w:eastAsia="黑体" w:cs="Times New Roman"/>
          <w:bCs/>
          <w:kern w:val="2"/>
          <w:szCs w:val="24"/>
          <w:lang w:val="en-US" w:eastAsia="zh-CN" w:bidi="ar-SA"/>
        </w:rPr>
        <w:t>推荐中标候选人</w:t>
      </w:r>
      <w:r>
        <w:tab/>
      </w:r>
      <w:r>
        <w:fldChar w:fldCharType="begin"/>
      </w:r>
      <w:r>
        <w:instrText xml:space="preserve"> PAGEREF _Toc3441 \h </w:instrText>
      </w:r>
      <w:r>
        <w:fldChar w:fldCharType="separate"/>
      </w:r>
      <w:r>
        <w:t>36</w:t>
      </w:r>
      <w:r>
        <w:fldChar w:fldCharType="end"/>
      </w:r>
      <w:r>
        <w:rPr>
          <w:rFonts w:cs="Times New Roman" w:asciiTheme="minorEastAsia" w:hAnsiTheme="minorEastAsia" w:eastAsiaTheme="minorEastAsia"/>
          <w:highlight w:val="none"/>
        </w:rPr>
        <w:fldChar w:fldCharType="end"/>
      </w:r>
    </w:p>
    <w:p w14:paraId="5A757A3E">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_Toc10450 </w:instrText>
      </w:r>
      <w:r>
        <w:rPr>
          <w:rFonts w:cs="Times New Roman" w:asciiTheme="minorEastAsia" w:hAnsiTheme="minorEastAsia" w:eastAsiaTheme="minorEastAsia"/>
          <w:highlight w:val="none"/>
        </w:rPr>
        <w:fldChar w:fldCharType="separate"/>
      </w:r>
      <w:r>
        <w:rPr>
          <w:rFonts w:hint="eastAsia" w:ascii="黑体" w:hAnsi="黑体" w:eastAsia="黑体" w:cs="Times New Roman"/>
          <w:bCs w:val="0"/>
          <w:kern w:val="2"/>
          <w:szCs w:val="24"/>
          <w:lang w:val="en-US" w:eastAsia="zh-CN" w:bidi="ar-SA"/>
        </w:rPr>
        <w:t>7．</w:t>
      </w:r>
      <w:r>
        <w:rPr>
          <w:rFonts w:hint="eastAsia" w:ascii="黑体" w:hAnsi="黑体" w:eastAsia="黑体" w:cs="Times New Roman"/>
          <w:bCs/>
          <w:kern w:val="2"/>
          <w:szCs w:val="24"/>
          <w:lang w:val="en-US" w:eastAsia="zh-CN" w:bidi="ar-SA"/>
        </w:rPr>
        <w:t>编写评标报告</w:t>
      </w:r>
      <w:r>
        <w:tab/>
      </w:r>
      <w:r>
        <w:fldChar w:fldCharType="begin"/>
      </w:r>
      <w:r>
        <w:instrText xml:space="preserve"> PAGEREF _Toc10450 \h </w:instrText>
      </w:r>
      <w:r>
        <w:fldChar w:fldCharType="separate"/>
      </w:r>
      <w:r>
        <w:t>37</w:t>
      </w:r>
      <w:r>
        <w:fldChar w:fldCharType="end"/>
      </w:r>
      <w:r>
        <w:rPr>
          <w:rFonts w:cs="Times New Roman" w:asciiTheme="minorEastAsia" w:hAnsiTheme="minorEastAsia" w:eastAsiaTheme="minorEastAsia"/>
          <w:highlight w:val="none"/>
        </w:rPr>
        <w:fldChar w:fldCharType="end"/>
      </w:r>
    </w:p>
    <w:p w14:paraId="613CF3E0">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_Toc29285 </w:instrText>
      </w:r>
      <w:r>
        <w:rPr>
          <w:rFonts w:cs="Times New Roman" w:asciiTheme="minorEastAsia" w:hAnsiTheme="minorEastAsia" w:eastAsiaTheme="minorEastAsia"/>
          <w:highlight w:val="none"/>
        </w:rPr>
        <w:fldChar w:fldCharType="separate"/>
      </w:r>
      <w:r>
        <w:rPr>
          <w:rFonts w:hint="eastAsia" w:ascii="黑体" w:hAnsi="黑体" w:eastAsia="黑体" w:cs="Times New Roman"/>
          <w:bCs w:val="0"/>
          <w:kern w:val="2"/>
          <w:szCs w:val="24"/>
          <w:lang w:val="en-US" w:eastAsia="zh-CN" w:bidi="ar-SA"/>
        </w:rPr>
        <w:t>8．</w:t>
      </w:r>
      <w:r>
        <w:rPr>
          <w:rFonts w:hint="eastAsia" w:ascii="黑体" w:hAnsi="黑体" w:eastAsia="黑体" w:cs="Times New Roman"/>
          <w:bCs/>
          <w:kern w:val="2"/>
          <w:szCs w:val="24"/>
          <w:lang w:val="en-US" w:eastAsia="zh-CN" w:bidi="ar-SA"/>
        </w:rPr>
        <w:t>评标报告</w:t>
      </w:r>
      <w:r>
        <w:rPr>
          <w:rFonts w:hint="eastAsia" w:ascii="黑体" w:hAnsi="黑体" w:eastAsia="黑体" w:cs="Times New Roman"/>
          <w:bCs w:val="0"/>
          <w:kern w:val="2"/>
          <w:szCs w:val="24"/>
          <w:lang w:val="en-US" w:eastAsia="zh-CN" w:bidi="ar-SA"/>
        </w:rPr>
        <w:t>复核</w:t>
      </w:r>
      <w:r>
        <w:tab/>
      </w:r>
      <w:r>
        <w:fldChar w:fldCharType="begin"/>
      </w:r>
      <w:r>
        <w:instrText xml:space="preserve"> PAGEREF _Toc29285 \h </w:instrText>
      </w:r>
      <w:r>
        <w:fldChar w:fldCharType="separate"/>
      </w:r>
      <w:r>
        <w:t>37</w:t>
      </w:r>
      <w:r>
        <w:fldChar w:fldCharType="end"/>
      </w:r>
      <w:r>
        <w:rPr>
          <w:rFonts w:cs="Times New Roman" w:asciiTheme="minorEastAsia" w:hAnsiTheme="minorEastAsia" w:eastAsiaTheme="minorEastAsia"/>
          <w:highlight w:val="none"/>
        </w:rPr>
        <w:fldChar w:fldCharType="end"/>
      </w:r>
    </w:p>
    <w:p w14:paraId="5057862E">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_Toc10166 </w:instrText>
      </w:r>
      <w:r>
        <w:rPr>
          <w:rFonts w:cs="Times New Roman" w:asciiTheme="minorEastAsia" w:hAnsiTheme="minorEastAsia" w:eastAsiaTheme="minorEastAsia"/>
          <w:highlight w:val="none"/>
        </w:rPr>
        <w:fldChar w:fldCharType="separate"/>
      </w:r>
      <w:r>
        <w:rPr>
          <w:rFonts w:hint="eastAsia" w:ascii="黑体" w:hAnsi="黑体" w:eastAsia="黑体" w:cs="Times New Roman"/>
          <w:bCs/>
          <w:kern w:val="2"/>
          <w:szCs w:val="24"/>
          <w:lang w:val="en-US" w:eastAsia="zh-CN" w:bidi="ar-SA"/>
        </w:rPr>
        <w:t>9．</w:t>
      </w:r>
      <w:r>
        <w:rPr>
          <w:rFonts w:hint="eastAsia" w:ascii="黑体" w:hAnsi="黑体" w:eastAsia="黑体" w:cs="Times New Roman"/>
          <w:bCs w:val="0"/>
          <w:kern w:val="2"/>
          <w:szCs w:val="24"/>
          <w:lang w:val="en-US" w:eastAsia="zh-CN" w:bidi="ar-SA"/>
        </w:rPr>
        <w:t>停止评标</w:t>
      </w:r>
      <w:r>
        <w:tab/>
      </w:r>
      <w:r>
        <w:fldChar w:fldCharType="begin"/>
      </w:r>
      <w:r>
        <w:instrText xml:space="preserve"> PAGEREF _Toc10166 \h </w:instrText>
      </w:r>
      <w:r>
        <w:fldChar w:fldCharType="separate"/>
      </w:r>
      <w:r>
        <w:t>37</w:t>
      </w:r>
      <w:r>
        <w:fldChar w:fldCharType="end"/>
      </w:r>
      <w:r>
        <w:rPr>
          <w:rFonts w:cs="Times New Roman" w:asciiTheme="minorEastAsia" w:hAnsiTheme="minorEastAsia" w:eastAsiaTheme="minorEastAsia"/>
          <w:highlight w:val="none"/>
        </w:rPr>
        <w:fldChar w:fldCharType="end"/>
      </w:r>
    </w:p>
    <w:p w14:paraId="69B3D784">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_Toc25111 </w:instrText>
      </w:r>
      <w:r>
        <w:rPr>
          <w:rFonts w:cs="Times New Roman" w:asciiTheme="minorEastAsia" w:hAnsiTheme="minorEastAsia" w:eastAsiaTheme="minorEastAsia"/>
          <w:highlight w:val="none"/>
        </w:rPr>
        <w:fldChar w:fldCharType="separate"/>
      </w:r>
      <w:r>
        <w:rPr>
          <w:rFonts w:hint="eastAsia" w:ascii="黑体" w:hAnsi="黑体" w:eastAsia="黑体" w:cs="黑体"/>
          <w:bCs/>
          <w:kern w:val="2"/>
          <w:szCs w:val="28"/>
          <w:lang w:val="en-US" w:eastAsia="zh-CN" w:bidi="ar-SA"/>
        </w:rPr>
        <w:t>10.废标</w:t>
      </w:r>
      <w:r>
        <w:tab/>
      </w:r>
      <w:r>
        <w:fldChar w:fldCharType="begin"/>
      </w:r>
      <w:r>
        <w:instrText xml:space="preserve"> PAGEREF _Toc25111 \h </w:instrText>
      </w:r>
      <w:r>
        <w:fldChar w:fldCharType="separate"/>
      </w:r>
      <w:r>
        <w:t>37</w:t>
      </w:r>
      <w:r>
        <w:fldChar w:fldCharType="end"/>
      </w:r>
      <w:r>
        <w:rPr>
          <w:rFonts w:cs="Times New Roman" w:asciiTheme="minorEastAsia" w:hAnsiTheme="minorEastAsia" w:eastAsiaTheme="minorEastAsia"/>
          <w:highlight w:val="none"/>
        </w:rPr>
        <w:fldChar w:fldCharType="end"/>
      </w:r>
    </w:p>
    <w:p w14:paraId="61AFB2E9">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_Toc12967 </w:instrText>
      </w:r>
      <w:r>
        <w:rPr>
          <w:rFonts w:cs="Times New Roman" w:asciiTheme="minorEastAsia" w:hAnsiTheme="minorEastAsia" w:eastAsiaTheme="minorEastAsia"/>
          <w:highlight w:val="none"/>
        </w:rPr>
        <w:fldChar w:fldCharType="separate"/>
      </w:r>
      <w:r>
        <w:rPr>
          <w:rFonts w:hint="eastAsia" w:ascii="黑体" w:hAnsi="黑体" w:eastAsia="黑体" w:cs="宋体"/>
          <w:bCs/>
          <w:kern w:val="0"/>
          <w:szCs w:val="24"/>
          <w:lang w:val="en-US" w:eastAsia="zh-CN" w:bidi="ar-SA"/>
        </w:rPr>
        <w:t>11．重新组建评标委员会进行评标</w:t>
      </w:r>
      <w:r>
        <w:tab/>
      </w:r>
      <w:r>
        <w:fldChar w:fldCharType="begin"/>
      </w:r>
      <w:r>
        <w:instrText xml:space="preserve"> PAGEREF _Toc12967 \h </w:instrText>
      </w:r>
      <w:r>
        <w:fldChar w:fldCharType="separate"/>
      </w:r>
      <w:r>
        <w:t>38</w:t>
      </w:r>
      <w:r>
        <w:fldChar w:fldCharType="end"/>
      </w:r>
      <w:r>
        <w:rPr>
          <w:rFonts w:cs="Times New Roman" w:asciiTheme="minorEastAsia" w:hAnsiTheme="minorEastAsia" w:eastAsiaTheme="minorEastAsia"/>
          <w:highlight w:val="none"/>
        </w:rPr>
        <w:fldChar w:fldCharType="end"/>
      </w:r>
    </w:p>
    <w:p w14:paraId="379F009A">
      <w:pPr>
        <w:pStyle w:val="35"/>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_Toc21963 </w:instrText>
      </w:r>
      <w:r>
        <w:rPr>
          <w:rFonts w:cs="Times New Roman" w:asciiTheme="minorEastAsia" w:hAnsiTheme="minorEastAsia" w:eastAsiaTheme="minorEastAsia"/>
          <w:highlight w:val="none"/>
        </w:rPr>
        <w:fldChar w:fldCharType="separate"/>
      </w:r>
      <w:r>
        <w:rPr>
          <w:rFonts w:hint="eastAsia" w:ascii="黑体" w:hAnsi="华文中宋" w:eastAsia="黑体" w:cs="Times New Roman"/>
          <w:bCs/>
          <w:kern w:val="2"/>
          <w:szCs w:val="28"/>
          <w:lang w:val="en-US" w:eastAsia="zh-CN" w:bidi="ar-SA"/>
        </w:rPr>
        <w:t>第三节 投标文件的符合性审查</w:t>
      </w:r>
      <w:r>
        <w:tab/>
      </w:r>
      <w:r>
        <w:fldChar w:fldCharType="begin"/>
      </w:r>
      <w:r>
        <w:instrText xml:space="preserve"> PAGEREF _Toc21963 \h </w:instrText>
      </w:r>
      <w:r>
        <w:fldChar w:fldCharType="separate"/>
      </w:r>
      <w:r>
        <w:t>39</w:t>
      </w:r>
      <w:r>
        <w:fldChar w:fldCharType="end"/>
      </w:r>
      <w:r>
        <w:rPr>
          <w:rFonts w:cs="Times New Roman" w:asciiTheme="minorEastAsia" w:hAnsiTheme="minorEastAsia" w:eastAsiaTheme="minorEastAsia"/>
          <w:highlight w:val="none"/>
        </w:rPr>
        <w:fldChar w:fldCharType="end"/>
      </w:r>
    </w:p>
    <w:p w14:paraId="22DD7A32">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_Toc12820 </w:instrText>
      </w:r>
      <w:r>
        <w:rPr>
          <w:rFonts w:cs="Times New Roman" w:asciiTheme="minorEastAsia" w:hAnsiTheme="minorEastAsia" w:eastAsiaTheme="minorEastAsia"/>
          <w:highlight w:val="none"/>
        </w:rPr>
        <w:fldChar w:fldCharType="separate"/>
      </w:r>
      <w:r>
        <w:rPr>
          <w:rFonts w:hint="eastAsia" w:ascii="Times New Roman" w:hAnsi="Times New Roman" w:eastAsia="宋体" w:cs="Times New Roman"/>
          <w:bCs/>
          <w:kern w:val="2"/>
          <w:szCs w:val="21"/>
          <w:lang w:val="en-US" w:eastAsia="zh-CN" w:bidi="ar-SA"/>
        </w:rPr>
        <w:t>附表1 符合性审查表</w:t>
      </w:r>
      <w:r>
        <w:tab/>
      </w:r>
      <w:r>
        <w:fldChar w:fldCharType="begin"/>
      </w:r>
      <w:r>
        <w:instrText xml:space="preserve"> PAGEREF _Toc12820 \h </w:instrText>
      </w:r>
      <w:r>
        <w:fldChar w:fldCharType="separate"/>
      </w:r>
      <w:r>
        <w:t>40</w:t>
      </w:r>
      <w:r>
        <w:fldChar w:fldCharType="end"/>
      </w:r>
      <w:r>
        <w:rPr>
          <w:rFonts w:cs="Times New Roman" w:asciiTheme="minorEastAsia" w:hAnsiTheme="minorEastAsia" w:eastAsiaTheme="minorEastAsia"/>
          <w:highlight w:val="none"/>
        </w:rPr>
        <w:fldChar w:fldCharType="end"/>
      </w:r>
    </w:p>
    <w:p w14:paraId="61F4D396">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_Toc32647 </w:instrText>
      </w:r>
      <w:r>
        <w:rPr>
          <w:rFonts w:cs="Times New Roman" w:asciiTheme="minorEastAsia" w:hAnsiTheme="minorEastAsia" w:eastAsiaTheme="minorEastAsia"/>
          <w:highlight w:val="none"/>
        </w:rPr>
        <w:fldChar w:fldCharType="separate"/>
      </w:r>
      <w:r>
        <w:rPr>
          <w:rFonts w:hint="eastAsia" w:ascii="Times New Roman" w:hAnsi="Times New Roman" w:eastAsia="宋体" w:cs="Times New Roman"/>
          <w:bCs/>
          <w:kern w:val="2"/>
          <w:szCs w:val="21"/>
          <w:lang w:val="en-US" w:eastAsia="zh-CN" w:bidi="ar-SA"/>
        </w:rPr>
        <w:t>附表2 符合性审查结果一览表</w:t>
      </w:r>
      <w:r>
        <w:tab/>
      </w:r>
      <w:r>
        <w:fldChar w:fldCharType="begin"/>
      </w:r>
      <w:r>
        <w:instrText xml:space="preserve"> PAGEREF _Toc32647 \h </w:instrText>
      </w:r>
      <w:r>
        <w:fldChar w:fldCharType="separate"/>
      </w:r>
      <w:r>
        <w:t>41</w:t>
      </w:r>
      <w:r>
        <w:fldChar w:fldCharType="end"/>
      </w:r>
      <w:r>
        <w:rPr>
          <w:rFonts w:cs="Times New Roman" w:asciiTheme="minorEastAsia" w:hAnsiTheme="minorEastAsia" w:eastAsiaTheme="minorEastAsia"/>
          <w:highlight w:val="none"/>
        </w:rPr>
        <w:fldChar w:fldCharType="end"/>
      </w:r>
    </w:p>
    <w:p w14:paraId="2ECA86E8">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_Toc5622 </w:instrText>
      </w:r>
      <w:r>
        <w:rPr>
          <w:rFonts w:cs="Times New Roman" w:asciiTheme="minorEastAsia" w:hAnsiTheme="minorEastAsia" w:eastAsiaTheme="minorEastAsia"/>
          <w:highlight w:val="none"/>
        </w:rPr>
        <w:fldChar w:fldCharType="separate"/>
      </w:r>
      <w:r>
        <w:rPr>
          <w:rFonts w:hint="eastAsia" w:ascii="Times New Roman" w:hAnsi="Times New Roman" w:eastAsia="宋体" w:cs="Times New Roman"/>
          <w:bCs/>
          <w:kern w:val="2"/>
          <w:szCs w:val="21"/>
          <w:lang w:val="en-US" w:eastAsia="zh-CN" w:bidi="ar-SA"/>
        </w:rPr>
        <w:t>附表3 符合性审查合格投标人名单</w:t>
      </w:r>
      <w:r>
        <w:tab/>
      </w:r>
      <w:r>
        <w:fldChar w:fldCharType="begin"/>
      </w:r>
      <w:r>
        <w:instrText xml:space="preserve"> PAGEREF _Toc5622 \h </w:instrText>
      </w:r>
      <w:r>
        <w:fldChar w:fldCharType="separate"/>
      </w:r>
      <w:r>
        <w:t>42</w:t>
      </w:r>
      <w:r>
        <w:fldChar w:fldCharType="end"/>
      </w:r>
      <w:r>
        <w:rPr>
          <w:rFonts w:cs="Times New Roman" w:asciiTheme="minorEastAsia" w:hAnsiTheme="minorEastAsia" w:eastAsiaTheme="minorEastAsia"/>
          <w:highlight w:val="none"/>
        </w:rPr>
        <w:fldChar w:fldCharType="end"/>
      </w:r>
    </w:p>
    <w:p w14:paraId="122C6F62">
      <w:pPr>
        <w:pStyle w:val="35"/>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_Toc9540 </w:instrText>
      </w:r>
      <w:r>
        <w:rPr>
          <w:rFonts w:cs="Times New Roman" w:asciiTheme="minorEastAsia" w:hAnsiTheme="minorEastAsia" w:eastAsiaTheme="minorEastAsia"/>
          <w:highlight w:val="none"/>
        </w:rPr>
        <w:fldChar w:fldCharType="separate"/>
      </w:r>
      <w:r>
        <w:rPr>
          <w:rFonts w:hint="eastAsia" w:ascii="黑体" w:hAnsi="华文中宋" w:eastAsia="黑体" w:cs="Times New Roman"/>
          <w:bCs/>
          <w:kern w:val="2"/>
          <w:szCs w:val="28"/>
          <w:lang w:val="en-US" w:eastAsia="zh-CN" w:bidi="ar-SA"/>
        </w:rPr>
        <w:t>第四节 投标文件的比较与评价</w:t>
      </w:r>
      <w:r>
        <w:tab/>
      </w:r>
      <w:r>
        <w:fldChar w:fldCharType="begin"/>
      </w:r>
      <w:r>
        <w:instrText xml:space="preserve"> PAGEREF _Toc9540 \h </w:instrText>
      </w:r>
      <w:r>
        <w:fldChar w:fldCharType="separate"/>
      </w:r>
      <w:r>
        <w:t>43</w:t>
      </w:r>
      <w:r>
        <w:fldChar w:fldCharType="end"/>
      </w:r>
      <w:r>
        <w:rPr>
          <w:rFonts w:cs="Times New Roman" w:asciiTheme="minorEastAsia" w:hAnsiTheme="minorEastAsia" w:eastAsiaTheme="minorEastAsia"/>
          <w:highlight w:val="none"/>
        </w:rPr>
        <w:fldChar w:fldCharType="end"/>
      </w:r>
    </w:p>
    <w:p w14:paraId="1D443D3D">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_Toc21176 </w:instrText>
      </w:r>
      <w:r>
        <w:rPr>
          <w:rFonts w:cs="Times New Roman" w:asciiTheme="minorEastAsia" w:hAnsiTheme="minorEastAsia" w:eastAsiaTheme="minorEastAsia"/>
          <w:highlight w:val="none"/>
        </w:rPr>
        <w:fldChar w:fldCharType="separate"/>
      </w:r>
      <w:r>
        <w:rPr>
          <w:rFonts w:hint="eastAsia" w:ascii="Times New Roman" w:hAnsi="Times New Roman" w:eastAsia="宋体" w:cs="Times New Roman"/>
          <w:bCs/>
          <w:kern w:val="2"/>
          <w:szCs w:val="21"/>
          <w:lang w:val="en-US" w:eastAsia="zh-CN" w:bidi="ar-SA"/>
        </w:rPr>
        <w:t>附页1 评标方法及标准表</w:t>
      </w:r>
      <w:r>
        <w:tab/>
      </w:r>
      <w:r>
        <w:fldChar w:fldCharType="begin"/>
      </w:r>
      <w:r>
        <w:instrText xml:space="preserve"> PAGEREF _Toc21176 \h </w:instrText>
      </w:r>
      <w:r>
        <w:fldChar w:fldCharType="separate"/>
      </w:r>
      <w:r>
        <w:t>45</w:t>
      </w:r>
      <w:r>
        <w:fldChar w:fldCharType="end"/>
      </w:r>
      <w:r>
        <w:rPr>
          <w:rFonts w:cs="Times New Roman" w:asciiTheme="minorEastAsia" w:hAnsiTheme="minorEastAsia" w:eastAsiaTheme="minorEastAsia"/>
          <w:highlight w:val="none"/>
        </w:rPr>
        <w:fldChar w:fldCharType="end"/>
      </w:r>
    </w:p>
    <w:p w14:paraId="6BF78FD6">
      <w:pPr>
        <w:pStyle w:val="30"/>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_Toc32431 </w:instrText>
      </w:r>
      <w:r>
        <w:rPr>
          <w:rFonts w:cs="Times New Roman" w:asciiTheme="minorEastAsia" w:hAnsiTheme="minorEastAsia" w:eastAsiaTheme="minorEastAsia"/>
          <w:highlight w:val="none"/>
        </w:rPr>
        <w:fldChar w:fldCharType="separate"/>
      </w:r>
      <w:r>
        <w:rPr>
          <w:rFonts w:hint="eastAsia" w:ascii="黑体" w:hAnsi="华文中宋" w:eastAsia="黑体"/>
          <w:szCs w:val="32"/>
        </w:rPr>
        <w:t xml:space="preserve">第五章 </w:t>
      </w:r>
      <w:r>
        <w:rPr>
          <w:rFonts w:hint="eastAsia" w:ascii="黑体" w:hAnsi="华文中宋" w:eastAsia="黑体"/>
          <w:szCs w:val="32"/>
          <w:highlight w:val="none"/>
        </w:rPr>
        <w:t>采购需求</w:t>
      </w:r>
      <w:r>
        <w:tab/>
      </w:r>
      <w:r>
        <w:fldChar w:fldCharType="begin"/>
      </w:r>
      <w:r>
        <w:instrText xml:space="preserve"> PAGEREF _Toc32431 \h </w:instrText>
      </w:r>
      <w:r>
        <w:fldChar w:fldCharType="separate"/>
      </w:r>
      <w:r>
        <w:t>54</w:t>
      </w:r>
      <w:r>
        <w:fldChar w:fldCharType="end"/>
      </w:r>
      <w:r>
        <w:rPr>
          <w:rFonts w:cs="Times New Roman" w:asciiTheme="minorEastAsia" w:hAnsiTheme="minorEastAsia" w:eastAsiaTheme="minorEastAsia"/>
          <w:highlight w:val="none"/>
        </w:rPr>
        <w:fldChar w:fldCharType="end"/>
      </w:r>
    </w:p>
    <w:p w14:paraId="4AB24FC1">
      <w:pPr>
        <w:pStyle w:val="30"/>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_Toc19073 </w:instrText>
      </w:r>
      <w:r>
        <w:rPr>
          <w:rFonts w:cs="Times New Roman" w:asciiTheme="minorEastAsia" w:hAnsiTheme="minorEastAsia" w:eastAsiaTheme="minorEastAsia"/>
          <w:highlight w:val="none"/>
        </w:rPr>
        <w:fldChar w:fldCharType="separate"/>
      </w:r>
      <w:r>
        <w:rPr>
          <w:rFonts w:hint="eastAsia" w:ascii="黑体" w:hAnsi="黑体" w:eastAsia="黑体"/>
          <w:szCs w:val="32"/>
          <w:highlight w:val="none"/>
        </w:rPr>
        <w:t>第六章 政府采购合同</w:t>
      </w:r>
      <w:r>
        <w:tab/>
      </w:r>
      <w:r>
        <w:fldChar w:fldCharType="begin"/>
      </w:r>
      <w:r>
        <w:instrText xml:space="preserve"> PAGEREF _Toc19073 \h </w:instrText>
      </w:r>
      <w:r>
        <w:fldChar w:fldCharType="separate"/>
      </w:r>
      <w:r>
        <w:t>77</w:t>
      </w:r>
      <w:r>
        <w:fldChar w:fldCharType="end"/>
      </w:r>
      <w:r>
        <w:rPr>
          <w:rFonts w:cs="Times New Roman" w:asciiTheme="minorEastAsia" w:hAnsiTheme="minorEastAsia" w:eastAsiaTheme="minorEastAsia"/>
          <w:highlight w:val="none"/>
        </w:rPr>
        <w:fldChar w:fldCharType="end"/>
      </w:r>
    </w:p>
    <w:p w14:paraId="65D6332A">
      <w:pPr>
        <w:pStyle w:val="30"/>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_Toc29146 </w:instrText>
      </w:r>
      <w:r>
        <w:rPr>
          <w:rFonts w:cs="Times New Roman" w:asciiTheme="minorEastAsia" w:hAnsiTheme="minorEastAsia" w:eastAsiaTheme="minorEastAsia"/>
          <w:highlight w:val="none"/>
        </w:rPr>
        <w:fldChar w:fldCharType="separate"/>
      </w:r>
      <w:r>
        <w:rPr>
          <w:rFonts w:hint="eastAsia" w:ascii="黑体" w:hAnsi="黑体" w:eastAsia="黑体" w:cs="Times New Roman"/>
          <w:bCs/>
          <w:kern w:val="2"/>
          <w:szCs w:val="28"/>
          <w:lang w:val="en-US" w:eastAsia="zh-CN" w:bidi="ar-SA"/>
        </w:rPr>
        <w:t>第一节政府采购合同协议书</w:t>
      </w:r>
      <w:r>
        <w:tab/>
      </w:r>
      <w:r>
        <w:fldChar w:fldCharType="begin"/>
      </w:r>
      <w:r>
        <w:instrText xml:space="preserve"> PAGEREF _Toc29146 \h </w:instrText>
      </w:r>
      <w:r>
        <w:fldChar w:fldCharType="separate"/>
      </w:r>
      <w:r>
        <w:t>77</w:t>
      </w:r>
      <w:r>
        <w:fldChar w:fldCharType="end"/>
      </w:r>
      <w:r>
        <w:rPr>
          <w:rFonts w:cs="Times New Roman" w:asciiTheme="minorEastAsia" w:hAnsiTheme="minorEastAsia" w:eastAsiaTheme="minorEastAsia"/>
          <w:highlight w:val="none"/>
        </w:rPr>
        <w:fldChar w:fldCharType="end"/>
      </w:r>
    </w:p>
    <w:p w14:paraId="5B5EE5CC">
      <w:pPr>
        <w:pStyle w:val="35"/>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_Toc11667 </w:instrText>
      </w:r>
      <w:r>
        <w:rPr>
          <w:rFonts w:cs="Times New Roman" w:asciiTheme="minorEastAsia" w:hAnsiTheme="minorEastAsia" w:eastAsiaTheme="minorEastAsia"/>
          <w:highlight w:val="none"/>
        </w:rPr>
        <w:fldChar w:fldCharType="separate"/>
      </w:r>
      <w:r>
        <w:rPr>
          <w:rFonts w:hint="eastAsia" w:ascii="黑体" w:hAnsi="黑体" w:eastAsia="黑体"/>
          <w:szCs w:val="28"/>
          <w:highlight w:val="none"/>
        </w:rPr>
        <w:t>第二节 政府采购合同通用条款</w:t>
      </w:r>
      <w:r>
        <w:tab/>
      </w:r>
      <w:r>
        <w:fldChar w:fldCharType="begin"/>
      </w:r>
      <w:r>
        <w:instrText xml:space="preserve"> PAGEREF _Toc11667 \h </w:instrText>
      </w:r>
      <w:r>
        <w:fldChar w:fldCharType="separate"/>
      </w:r>
      <w:r>
        <w:t>79</w:t>
      </w:r>
      <w:r>
        <w:fldChar w:fldCharType="end"/>
      </w:r>
      <w:r>
        <w:rPr>
          <w:rFonts w:cs="Times New Roman" w:asciiTheme="minorEastAsia" w:hAnsiTheme="minorEastAsia" w:eastAsiaTheme="minorEastAsia"/>
          <w:highlight w:val="none"/>
        </w:rPr>
        <w:fldChar w:fldCharType="end"/>
      </w:r>
    </w:p>
    <w:p w14:paraId="5BD2DCEE">
      <w:pPr>
        <w:pStyle w:val="35"/>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_Toc11918 </w:instrText>
      </w:r>
      <w:r>
        <w:rPr>
          <w:rFonts w:cs="Times New Roman" w:asciiTheme="minorEastAsia" w:hAnsiTheme="minorEastAsia" w:eastAsiaTheme="minorEastAsia"/>
          <w:highlight w:val="none"/>
        </w:rPr>
        <w:fldChar w:fldCharType="separate"/>
      </w:r>
      <w:r>
        <w:rPr>
          <w:rFonts w:hint="eastAsia" w:ascii="黑体" w:hAnsi="华文中宋" w:eastAsia="黑体"/>
          <w:szCs w:val="28"/>
          <w:highlight w:val="none"/>
        </w:rPr>
        <w:t>第三节 政府采购合同专用条款</w:t>
      </w:r>
      <w:r>
        <w:tab/>
      </w:r>
      <w:r>
        <w:fldChar w:fldCharType="begin"/>
      </w:r>
      <w:r>
        <w:instrText xml:space="preserve"> PAGEREF _Toc11918 \h </w:instrText>
      </w:r>
      <w:r>
        <w:fldChar w:fldCharType="separate"/>
      </w:r>
      <w:r>
        <w:t>86</w:t>
      </w:r>
      <w:r>
        <w:fldChar w:fldCharType="end"/>
      </w:r>
      <w:r>
        <w:rPr>
          <w:rFonts w:cs="Times New Roman" w:asciiTheme="minorEastAsia" w:hAnsiTheme="minorEastAsia" w:eastAsiaTheme="minorEastAsia"/>
          <w:highlight w:val="none"/>
        </w:rPr>
        <w:fldChar w:fldCharType="end"/>
      </w:r>
    </w:p>
    <w:p w14:paraId="006C0169">
      <w:pPr>
        <w:pStyle w:val="30"/>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_Toc29404 </w:instrText>
      </w:r>
      <w:r>
        <w:rPr>
          <w:rFonts w:cs="Times New Roman" w:asciiTheme="minorEastAsia" w:hAnsiTheme="minorEastAsia" w:eastAsiaTheme="minorEastAsia"/>
          <w:highlight w:val="none"/>
        </w:rPr>
        <w:fldChar w:fldCharType="separate"/>
      </w:r>
      <w:r>
        <w:rPr>
          <w:rFonts w:hint="eastAsia" w:ascii="黑体" w:hAnsi="华文中宋" w:eastAsia="黑体"/>
          <w:szCs w:val="32"/>
          <w:highlight w:val="none"/>
        </w:rPr>
        <w:t>第七章 投标文件的组成</w:t>
      </w:r>
      <w:r>
        <w:tab/>
      </w:r>
      <w:r>
        <w:fldChar w:fldCharType="begin"/>
      </w:r>
      <w:r>
        <w:instrText xml:space="preserve"> PAGEREF _Toc29404 \h </w:instrText>
      </w:r>
      <w:r>
        <w:fldChar w:fldCharType="separate"/>
      </w:r>
      <w:r>
        <w:t>87</w:t>
      </w:r>
      <w:r>
        <w:fldChar w:fldCharType="end"/>
      </w:r>
      <w:r>
        <w:rPr>
          <w:rFonts w:cs="Times New Roman" w:asciiTheme="minorEastAsia" w:hAnsiTheme="minorEastAsia" w:eastAsiaTheme="minorEastAsia"/>
          <w:highlight w:val="none"/>
        </w:rPr>
        <w:fldChar w:fldCharType="end"/>
      </w:r>
    </w:p>
    <w:p w14:paraId="1FC01608">
      <w:pPr>
        <w:pStyle w:val="35"/>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_Toc25889 </w:instrText>
      </w:r>
      <w:r>
        <w:rPr>
          <w:rFonts w:cs="Times New Roman" w:asciiTheme="minorEastAsia" w:hAnsiTheme="minorEastAsia" w:eastAsiaTheme="minorEastAsia"/>
          <w:highlight w:val="none"/>
        </w:rPr>
        <w:fldChar w:fldCharType="separate"/>
      </w:r>
      <w:r>
        <w:rPr>
          <w:rFonts w:hint="eastAsia" w:ascii="黑体" w:hAnsi="黑体" w:eastAsia="黑体"/>
          <w:szCs w:val="44"/>
          <w:highlight w:val="none"/>
        </w:rPr>
        <w:t>第一部分 资格证明文件</w:t>
      </w:r>
      <w:r>
        <w:tab/>
      </w:r>
      <w:r>
        <w:fldChar w:fldCharType="begin"/>
      </w:r>
      <w:r>
        <w:instrText xml:space="preserve"> PAGEREF _Toc25889 \h </w:instrText>
      </w:r>
      <w:r>
        <w:fldChar w:fldCharType="separate"/>
      </w:r>
      <w:r>
        <w:t>92</w:t>
      </w:r>
      <w:r>
        <w:fldChar w:fldCharType="end"/>
      </w:r>
      <w:r>
        <w:rPr>
          <w:rFonts w:cs="Times New Roman" w:asciiTheme="minorEastAsia" w:hAnsiTheme="minorEastAsia" w:eastAsiaTheme="minorEastAsia"/>
          <w:highlight w:val="none"/>
        </w:rPr>
        <w:fldChar w:fldCharType="end"/>
      </w:r>
    </w:p>
    <w:p w14:paraId="4517B76B">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_Toc20983 </w:instrText>
      </w:r>
      <w:r>
        <w:rPr>
          <w:rFonts w:cs="Times New Roman" w:asciiTheme="minorEastAsia" w:hAnsiTheme="minorEastAsia" w:eastAsiaTheme="minorEastAsia"/>
          <w:highlight w:val="none"/>
        </w:rPr>
        <w:fldChar w:fldCharType="separate"/>
      </w:r>
      <w:r>
        <w:rPr>
          <w:rFonts w:hint="eastAsia" w:ascii="黑体" w:hAnsi="宋体" w:eastAsia="黑体"/>
          <w:szCs w:val="28"/>
          <w:highlight w:val="none"/>
        </w:rPr>
        <w:t>一、开标一览表</w:t>
      </w:r>
      <w:r>
        <w:tab/>
      </w:r>
      <w:r>
        <w:fldChar w:fldCharType="begin"/>
      </w:r>
      <w:r>
        <w:instrText xml:space="preserve"> PAGEREF _Toc20983 \h </w:instrText>
      </w:r>
      <w:r>
        <w:fldChar w:fldCharType="separate"/>
      </w:r>
      <w:r>
        <w:t>93</w:t>
      </w:r>
      <w:r>
        <w:fldChar w:fldCharType="end"/>
      </w:r>
      <w:r>
        <w:rPr>
          <w:rFonts w:cs="Times New Roman" w:asciiTheme="minorEastAsia" w:hAnsiTheme="minorEastAsia" w:eastAsiaTheme="minorEastAsia"/>
          <w:highlight w:val="none"/>
        </w:rPr>
        <w:fldChar w:fldCharType="end"/>
      </w:r>
    </w:p>
    <w:p w14:paraId="1587D2C6">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_Toc31990 </w:instrText>
      </w:r>
      <w:r>
        <w:rPr>
          <w:rFonts w:cs="Times New Roman" w:asciiTheme="minorEastAsia" w:hAnsiTheme="minorEastAsia" w:eastAsiaTheme="minorEastAsia"/>
          <w:highlight w:val="none"/>
        </w:rPr>
        <w:fldChar w:fldCharType="separate"/>
      </w:r>
      <w:r>
        <w:rPr>
          <w:rFonts w:hint="eastAsia" w:ascii="黑体" w:hAnsi="宋体" w:eastAsia="黑体"/>
          <w:szCs w:val="28"/>
          <w:highlight w:val="none"/>
        </w:rPr>
        <w:t>二、投标保证金</w:t>
      </w:r>
      <w:r>
        <w:tab/>
      </w:r>
      <w:r>
        <w:fldChar w:fldCharType="begin"/>
      </w:r>
      <w:r>
        <w:instrText xml:space="preserve"> PAGEREF _Toc31990 \h </w:instrText>
      </w:r>
      <w:r>
        <w:fldChar w:fldCharType="separate"/>
      </w:r>
      <w:r>
        <w:t>95</w:t>
      </w:r>
      <w:r>
        <w:fldChar w:fldCharType="end"/>
      </w:r>
      <w:r>
        <w:rPr>
          <w:rFonts w:cs="Times New Roman" w:asciiTheme="minorEastAsia" w:hAnsiTheme="minorEastAsia" w:eastAsiaTheme="minorEastAsia"/>
          <w:highlight w:val="none"/>
        </w:rPr>
        <w:fldChar w:fldCharType="end"/>
      </w:r>
    </w:p>
    <w:p w14:paraId="54F4F811">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_Toc12834 </w:instrText>
      </w:r>
      <w:r>
        <w:rPr>
          <w:rFonts w:cs="Times New Roman" w:asciiTheme="minorEastAsia" w:hAnsiTheme="minorEastAsia" w:eastAsiaTheme="minorEastAsia"/>
          <w:highlight w:val="none"/>
        </w:rPr>
        <w:fldChar w:fldCharType="separate"/>
      </w:r>
      <w:r>
        <w:rPr>
          <w:rFonts w:hint="eastAsia" w:ascii="黑体" w:hAnsi="黑体" w:eastAsia="黑体" w:cs="黑体"/>
          <w:bCs/>
          <w:kern w:val="2"/>
          <w:szCs w:val="28"/>
          <w:lang w:val="en-US" w:eastAsia="zh-CN" w:bidi="ar-SA"/>
        </w:rPr>
        <w:t>三、法定代表人（单位负责人）身份证明</w:t>
      </w:r>
      <w:r>
        <w:tab/>
      </w:r>
      <w:r>
        <w:fldChar w:fldCharType="begin"/>
      </w:r>
      <w:r>
        <w:instrText xml:space="preserve"> PAGEREF _Toc12834 \h </w:instrText>
      </w:r>
      <w:r>
        <w:fldChar w:fldCharType="separate"/>
      </w:r>
      <w:r>
        <w:t>96</w:t>
      </w:r>
      <w:r>
        <w:fldChar w:fldCharType="end"/>
      </w:r>
      <w:r>
        <w:rPr>
          <w:rFonts w:cs="Times New Roman" w:asciiTheme="minorEastAsia" w:hAnsiTheme="minorEastAsia" w:eastAsiaTheme="minorEastAsia"/>
          <w:highlight w:val="none"/>
        </w:rPr>
        <w:fldChar w:fldCharType="end"/>
      </w:r>
    </w:p>
    <w:p w14:paraId="35861476">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_Toc4121 </w:instrText>
      </w:r>
      <w:r>
        <w:rPr>
          <w:rFonts w:cs="Times New Roman" w:asciiTheme="minorEastAsia" w:hAnsiTheme="minorEastAsia" w:eastAsiaTheme="minorEastAsia"/>
          <w:highlight w:val="none"/>
        </w:rPr>
        <w:fldChar w:fldCharType="separate"/>
      </w:r>
      <w:r>
        <w:rPr>
          <w:rFonts w:hint="eastAsia" w:ascii="黑体" w:hAnsi="宋体" w:eastAsia="黑体" w:cs="Times New Roman"/>
          <w:bCs/>
          <w:kern w:val="2"/>
          <w:szCs w:val="28"/>
          <w:lang w:val="en-US" w:eastAsia="zh-CN" w:bidi="ar-SA"/>
        </w:rPr>
        <w:t>三、授权委托书</w:t>
      </w:r>
      <w:r>
        <w:tab/>
      </w:r>
      <w:r>
        <w:fldChar w:fldCharType="begin"/>
      </w:r>
      <w:r>
        <w:instrText xml:space="preserve"> PAGEREF _Toc4121 \h </w:instrText>
      </w:r>
      <w:r>
        <w:fldChar w:fldCharType="separate"/>
      </w:r>
      <w:r>
        <w:t>97</w:t>
      </w:r>
      <w:r>
        <w:fldChar w:fldCharType="end"/>
      </w:r>
      <w:r>
        <w:rPr>
          <w:rFonts w:cs="Times New Roman" w:asciiTheme="minorEastAsia" w:hAnsiTheme="minorEastAsia" w:eastAsiaTheme="minorEastAsia"/>
          <w:highlight w:val="none"/>
        </w:rPr>
        <w:fldChar w:fldCharType="end"/>
      </w:r>
    </w:p>
    <w:p w14:paraId="155B25F8">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_Toc24052 </w:instrText>
      </w:r>
      <w:r>
        <w:rPr>
          <w:rFonts w:cs="Times New Roman" w:asciiTheme="minorEastAsia" w:hAnsiTheme="minorEastAsia" w:eastAsiaTheme="minorEastAsia"/>
          <w:highlight w:val="none"/>
        </w:rPr>
        <w:fldChar w:fldCharType="separate"/>
      </w:r>
      <w:r>
        <w:rPr>
          <w:rFonts w:hint="eastAsia" w:ascii="黑体" w:hAnsi="宋体" w:eastAsia="黑体"/>
          <w:szCs w:val="28"/>
          <w:highlight w:val="none"/>
        </w:rPr>
        <w:t>四、投标人提供的资格证明文件</w:t>
      </w:r>
      <w:r>
        <w:tab/>
      </w:r>
      <w:r>
        <w:fldChar w:fldCharType="begin"/>
      </w:r>
      <w:r>
        <w:instrText xml:space="preserve"> PAGEREF _Toc24052 \h </w:instrText>
      </w:r>
      <w:r>
        <w:fldChar w:fldCharType="separate"/>
      </w:r>
      <w:r>
        <w:t>98</w:t>
      </w:r>
      <w:r>
        <w:fldChar w:fldCharType="end"/>
      </w:r>
      <w:r>
        <w:rPr>
          <w:rFonts w:cs="Times New Roman" w:asciiTheme="minorEastAsia" w:hAnsiTheme="minorEastAsia" w:eastAsiaTheme="minorEastAsia"/>
          <w:highlight w:val="none"/>
        </w:rPr>
        <w:fldChar w:fldCharType="end"/>
      </w:r>
    </w:p>
    <w:p w14:paraId="6E9BF99C">
      <w:pPr>
        <w:pStyle w:val="31"/>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_Toc23696 </w:instrText>
      </w:r>
      <w:r>
        <w:rPr>
          <w:rFonts w:cs="Times New Roman" w:asciiTheme="minorEastAsia" w:hAnsiTheme="minorEastAsia" w:eastAsiaTheme="minorEastAsia"/>
          <w:highlight w:val="none"/>
        </w:rPr>
        <w:fldChar w:fldCharType="separate"/>
      </w:r>
      <w:r>
        <w:rPr>
          <w:rFonts w:hint="eastAsia" w:ascii="黑体" w:hAnsi="仿宋" w:cs="宋体"/>
          <w:szCs w:val="21"/>
          <w:highlight w:val="none"/>
        </w:rPr>
        <w:t>附件4-1投标人资格声明(格式)</w:t>
      </w:r>
      <w:r>
        <w:tab/>
      </w:r>
      <w:r>
        <w:fldChar w:fldCharType="begin"/>
      </w:r>
      <w:r>
        <w:instrText xml:space="preserve"> PAGEREF _Toc23696 \h </w:instrText>
      </w:r>
      <w:r>
        <w:fldChar w:fldCharType="separate"/>
      </w:r>
      <w:r>
        <w:t>99</w:t>
      </w:r>
      <w:r>
        <w:fldChar w:fldCharType="end"/>
      </w:r>
      <w:r>
        <w:rPr>
          <w:rFonts w:cs="Times New Roman" w:asciiTheme="minorEastAsia" w:hAnsiTheme="minorEastAsia" w:eastAsiaTheme="minorEastAsia"/>
          <w:highlight w:val="none"/>
        </w:rPr>
        <w:fldChar w:fldCharType="end"/>
      </w:r>
    </w:p>
    <w:p w14:paraId="1F34FA9D">
      <w:pPr>
        <w:pStyle w:val="31"/>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_Toc2534 </w:instrText>
      </w:r>
      <w:r>
        <w:rPr>
          <w:rFonts w:cs="Times New Roman" w:asciiTheme="minorEastAsia" w:hAnsiTheme="minorEastAsia" w:eastAsiaTheme="minorEastAsia"/>
          <w:highlight w:val="none"/>
        </w:rPr>
        <w:fldChar w:fldCharType="separate"/>
      </w:r>
      <w:r>
        <w:rPr>
          <w:rFonts w:hint="eastAsia" w:ascii="黑体" w:hAnsi="仿宋" w:cs="宋体"/>
          <w:szCs w:val="21"/>
          <w:highlight w:val="none"/>
        </w:rPr>
        <w:t>附件4-2 法人或者其他组织的营业执照等主体资格证明文件，自然人的身份证明</w:t>
      </w:r>
      <w:r>
        <w:tab/>
      </w:r>
      <w:r>
        <w:fldChar w:fldCharType="begin"/>
      </w:r>
      <w:r>
        <w:instrText xml:space="preserve"> PAGEREF _Toc2534 \h </w:instrText>
      </w:r>
      <w:r>
        <w:fldChar w:fldCharType="separate"/>
      </w:r>
      <w:r>
        <w:t>101</w:t>
      </w:r>
      <w:r>
        <w:fldChar w:fldCharType="end"/>
      </w:r>
      <w:r>
        <w:rPr>
          <w:rFonts w:cs="Times New Roman" w:asciiTheme="minorEastAsia" w:hAnsiTheme="minorEastAsia" w:eastAsiaTheme="minorEastAsia"/>
          <w:highlight w:val="none"/>
        </w:rPr>
        <w:fldChar w:fldCharType="end"/>
      </w:r>
    </w:p>
    <w:p w14:paraId="0F7B87A9">
      <w:pPr>
        <w:pStyle w:val="31"/>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_Toc8533 </w:instrText>
      </w:r>
      <w:r>
        <w:rPr>
          <w:rFonts w:cs="Times New Roman" w:asciiTheme="minorEastAsia" w:hAnsiTheme="minorEastAsia" w:eastAsiaTheme="minorEastAsia"/>
          <w:highlight w:val="none"/>
        </w:rPr>
        <w:fldChar w:fldCharType="separate"/>
      </w:r>
      <w:r>
        <w:rPr>
          <w:rFonts w:hint="eastAsia" w:ascii="黑体" w:hAnsi="仿宋" w:cs="宋体"/>
          <w:szCs w:val="21"/>
          <w:highlight w:val="none"/>
        </w:rPr>
        <w:t>附件4-3 符合特定资格条件证明材料复印件或者情况说明</w:t>
      </w:r>
      <w:r>
        <w:tab/>
      </w:r>
      <w:r>
        <w:fldChar w:fldCharType="begin"/>
      </w:r>
      <w:r>
        <w:instrText xml:space="preserve"> PAGEREF _Toc8533 \h </w:instrText>
      </w:r>
      <w:r>
        <w:fldChar w:fldCharType="separate"/>
      </w:r>
      <w:r>
        <w:t>102</w:t>
      </w:r>
      <w:r>
        <w:fldChar w:fldCharType="end"/>
      </w:r>
      <w:r>
        <w:rPr>
          <w:rFonts w:cs="Times New Roman" w:asciiTheme="minorEastAsia" w:hAnsiTheme="minorEastAsia" w:eastAsiaTheme="minorEastAsia"/>
          <w:highlight w:val="none"/>
        </w:rPr>
        <w:fldChar w:fldCharType="end"/>
      </w:r>
    </w:p>
    <w:p w14:paraId="61B10B49">
      <w:pPr>
        <w:pStyle w:val="31"/>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_Toc27617 </w:instrText>
      </w:r>
      <w:r>
        <w:rPr>
          <w:rFonts w:cs="Times New Roman" w:asciiTheme="minorEastAsia" w:hAnsiTheme="minorEastAsia" w:eastAsiaTheme="minorEastAsia"/>
          <w:highlight w:val="none"/>
        </w:rPr>
        <w:fldChar w:fldCharType="separate"/>
      </w:r>
      <w:r>
        <w:rPr>
          <w:rFonts w:hint="eastAsia" w:ascii="黑体" w:hAnsi="仿宋" w:cs="宋体"/>
          <w:szCs w:val="21"/>
          <w:highlight w:val="none"/>
        </w:rPr>
        <w:t>附件4-4 联合体协议书（格式）</w:t>
      </w:r>
      <w:r>
        <w:tab/>
      </w:r>
      <w:r>
        <w:fldChar w:fldCharType="begin"/>
      </w:r>
      <w:r>
        <w:instrText xml:space="preserve"> PAGEREF _Toc27617 \h </w:instrText>
      </w:r>
      <w:r>
        <w:fldChar w:fldCharType="separate"/>
      </w:r>
      <w:r>
        <w:t>103</w:t>
      </w:r>
      <w:r>
        <w:fldChar w:fldCharType="end"/>
      </w:r>
      <w:r>
        <w:rPr>
          <w:rFonts w:cs="Times New Roman" w:asciiTheme="minorEastAsia" w:hAnsiTheme="minorEastAsia" w:eastAsiaTheme="minorEastAsia"/>
          <w:highlight w:val="none"/>
        </w:rPr>
        <w:fldChar w:fldCharType="end"/>
      </w:r>
    </w:p>
    <w:p w14:paraId="012ECB68">
      <w:pPr>
        <w:pStyle w:val="31"/>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_Toc19488 </w:instrText>
      </w:r>
      <w:r>
        <w:rPr>
          <w:rFonts w:cs="Times New Roman" w:asciiTheme="minorEastAsia" w:hAnsiTheme="minorEastAsia" w:eastAsiaTheme="minorEastAsia"/>
          <w:highlight w:val="none"/>
        </w:rPr>
        <w:fldChar w:fldCharType="separate"/>
      </w:r>
      <w:r>
        <w:rPr>
          <w:rFonts w:hint="eastAsia" w:ascii="黑体" w:hAnsi="仿宋" w:cs="宋体"/>
          <w:szCs w:val="21"/>
          <w:highlight w:val="none"/>
        </w:rPr>
        <w:t>附件4-5：通过“信用中国”网站、中国政府采购网站、“信用湖南”网站、湖南省政府采购网站和“信用郴州”网站查询的不良信用记录查询网上截图打印件。</w:t>
      </w:r>
      <w:r>
        <w:tab/>
      </w:r>
      <w:r>
        <w:fldChar w:fldCharType="begin"/>
      </w:r>
      <w:r>
        <w:instrText xml:space="preserve"> PAGEREF _Toc19488 \h </w:instrText>
      </w:r>
      <w:r>
        <w:fldChar w:fldCharType="separate"/>
      </w:r>
      <w:r>
        <w:t>104</w:t>
      </w:r>
      <w:r>
        <w:fldChar w:fldCharType="end"/>
      </w:r>
      <w:r>
        <w:rPr>
          <w:rFonts w:cs="Times New Roman" w:asciiTheme="minorEastAsia" w:hAnsiTheme="minorEastAsia" w:eastAsiaTheme="minorEastAsia"/>
          <w:highlight w:val="none"/>
        </w:rPr>
        <w:fldChar w:fldCharType="end"/>
      </w:r>
    </w:p>
    <w:p w14:paraId="5459A923">
      <w:pPr>
        <w:pStyle w:val="31"/>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_Toc21612 </w:instrText>
      </w:r>
      <w:r>
        <w:rPr>
          <w:rFonts w:cs="Times New Roman" w:asciiTheme="minorEastAsia" w:hAnsiTheme="minorEastAsia" w:eastAsiaTheme="minorEastAsia"/>
          <w:highlight w:val="none"/>
        </w:rPr>
        <w:fldChar w:fldCharType="separate"/>
      </w:r>
      <w:r>
        <w:rPr>
          <w:rFonts w:hint="eastAsia" w:ascii="黑体" w:hAnsi="仿宋" w:cs="宋体"/>
          <w:szCs w:val="21"/>
          <w:highlight w:val="none"/>
        </w:rPr>
        <w:t>附件4-6：湖南省政府采购供应商资格承诺函</w:t>
      </w:r>
      <w:r>
        <w:tab/>
      </w:r>
      <w:r>
        <w:fldChar w:fldCharType="begin"/>
      </w:r>
      <w:r>
        <w:instrText xml:space="preserve"> PAGEREF _Toc21612 \h </w:instrText>
      </w:r>
      <w:r>
        <w:fldChar w:fldCharType="separate"/>
      </w:r>
      <w:r>
        <w:t>104</w:t>
      </w:r>
      <w:r>
        <w:fldChar w:fldCharType="end"/>
      </w:r>
      <w:r>
        <w:rPr>
          <w:rFonts w:cs="Times New Roman" w:asciiTheme="minorEastAsia" w:hAnsiTheme="minorEastAsia" w:eastAsiaTheme="minorEastAsia"/>
          <w:highlight w:val="none"/>
        </w:rPr>
        <w:fldChar w:fldCharType="end"/>
      </w:r>
    </w:p>
    <w:p w14:paraId="20433365">
      <w:pPr>
        <w:pStyle w:val="35"/>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_Toc18013 </w:instrText>
      </w:r>
      <w:r>
        <w:rPr>
          <w:rFonts w:cs="Times New Roman" w:asciiTheme="minorEastAsia" w:hAnsiTheme="minorEastAsia" w:eastAsiaTheme="minorEastAsia"/>
          <w:highlight w:val="none"/>
        </w:rPr>
        <w:fldChar w:fldCharType="separate"/>
      </w:r>
      <w:r>
        <w:rPr>
          <w:rFonts w:hint="eastAsia" w:ascii="黑体" w:hAnsi="黑体" w:eastAsia="黑体"/>
          <w:szCs w:val="44"/>
          <w:highlight w:val="none"/>
        </w:rPr>
        <w:t>第二部分 商务技术文件</w:t>
      </w:r>
      <w:r>
        <w:tab/>
      </w:r>
      <w:r>
        <w:fldChar w:fldCharType="begin"/>
      </w:r>
      <w:r>
        <w:instrText xml:space="preserve"> PAGEREF _Toc18013 \h </w:instrText>
      </w:r>
      <w:r>
        <w:fldChar w:fldCharType="separate"/>
      </w:r>
      <w:r>
        <w:t>105</w:t>
      </w:r>
      <w:r>
        <w:fldChar w:fldCharType="end"/>
      </w:r>
      <w:r>
        <w:rPr>
          <w:rFonts w:cs="Times New Roman" w:asciiTheme="minorEastAsia" w:hAnsiTheme="minorEastAsia" w:eastAsiaTheme="minorEastAsia"/>
          <w:highlight w:val="none"/>
        </w:rPr>
        <w:fldChar w:fldCharType="end"/>
      </w:r>
    </w:p>
    <w:p w14:paraId="3543DA77">
      <w:pPr>
        <w:pStyle w:val="22"/>
        <w:tabs>
          <w:tab w:val="right" w:leader="dot" w:pos="8732"/>
        </w:tabs>
        <w:rPr>
          <w:rFonts w:hint="eastAsia" w:ascii="黑体" w:hAnsi="宋体" w:eastAsia="黑体" w:cs="Times New Roman"/>
          <w:bCs/>
          <w:kern w:val="2"/>
          <w:szCs w:val="28"/>
          <w:lang w:val="en-US" w:eastAsia="zh-CN" w:bidi="ar-SA"/>
        </w:rPr>
      </w:pPr>
      <w:r>
        <w:rPr>
          <w:rFonts w:hint="eastAsia" w:ascii="黑体" w:hAnsi="宋体" w:eastAsia="黑体" w:cs="Times New Roman"/>
          <w:bCs/>
          <w:kern w:val="2"/>
          <w:szCs w:val="28"/>
          <w:lang w:val="en-US" w:eastAsia="zh-CN" w:bidi="ar-SA"/>
        </w:rPr>
        <w:fldChar w:fldCharType="begin"/>
      </w:r>
      <w:r>
        <w:rPr>
          <w:rFonts w:hint="eastAsia" w:ascii="黑体" w:hAnsi="宋体" w:eastAsia="黑体" w:cs="Times New Roman"/>
          <w:bCs/>
          <w:kern w:val="2"/>
          <w:szCs w:val="28"/>
          <w:lang w:val="en-US" w:eastAsia="zh-CN" w:bidi="ar-SA"/>
        </w:rPr>
        <w:instrText xml:space="preserve"> HYPERLINK \l _Toc32313 </w:instrText>
      </w:r>
      <w:r>
        <w:rPr>
          <w:rFonts w:hint="eastAsia" w:ascii="黑体" w:hAnsi="宋体" w:eastAsia="黑体" w:cs="Times New Roman"/>
          <w:bCs/>
          <w:kern w:val="2"/>
          <w:szCs w:val="28"/>
          <w:lang w:val="en-US" w:eastAsia="zh-CN" w:bidi="ar-SA"/>
        </w:rPr>
        <w:fldChar w:fldCharType="separate"/>
      </w:r>
      <w:r>
        <w:rPr>
          <w:rFonts w:hint="eastAsia" w:ascii="黑体" w:hAnsi="宋体" w:eastAsia="黑体" w:cs="Times New Roman"/>
          <w:bCs/>
          <w:kern w:val="2"/>
          <w:szCs w:val="28"/>
          <w:lang w:val="en-US" w:eastAsia="zh-CN" w:bidi="ar-SA"/>
        </w:rPr>
        <w:t>五、投标函</w:t>
      </w:r>
      <w:r>
        <w:rPr>
          <w:rFonts w:hint="eastAsia" w:ascii="黑体" w:hAnsi="宋体" w:eastAsia="黑体" w:cs="Times New Roman"/>
          <w:bCs/>
          <w:kern w:val="2"/>
          <w:szCs w:val="28"/>
          <w:lang w:val="en-US" w:eastAsia="zh-CN" w:bidi="ar-SA"/>
        </w:rPr>
        <w:tab/>
      </w:r>
      <w:r>
        <w:rPr>
          <w:rFonts w:hint="eastAsia" w:ascii="黑体" w:hAnsi="宋体" w:eastAsia="黑体" w:cs="Times New Roman"/>
          <w:bCs/>
          <w:kern w:val="2"/>
          <w:szCs w:val="28"/>
          <w:lang w:val="en-US" w:eastAsia="zh-CN" w:bidi="ar-SA"/>
        </w:rPr>
        <w:fldChar w:fldCharType="begin"/>
      </w:r>
      <w:r>
        <w:rPr>
          <w:rFonts w:hint="eastAsia" w:ascii="黑体" w:hAnsi="宋体" w:eastAsia="黑体" w:cs="Times New Roman"/>
          <w:bCs/>
          <w:kern w:val="2"/>
          <w:szCs w:val="28"/>
          <w:lang w:val="en-US" w:eastAsia="zh-CN" w:bidi="ar-SA"/>
        </w:rPr>
        <w:instrText xml:space="preserve"> PAGEREF _Toc32313 \h </w:instrText>
      </w:r>
      <w:r>
        <w:rPr>
          <w:rFonts w:hint="eastAsia" w:ascii="黑体" w:hAnsi="宋体" w:eastAsia="黑体" w:cs="Times New Roman"/>
          <w:bCs/>
          <w:kern w:val="2"/>
          <w:szCs w:val="28"/>
          <w:lang w:val="en-US" w:eastAsia="zh-CN" w:bidi="ar-SA"/>
        </w:rPr>
        <w:fldChar w:fldCharType="separate"/>
      </w:r>
      <w:r>
        <w:rPr>
          <w:rFonts w:hint="eastAsia" w:ascii="黑体" w:hAnsi="宋体" w:eastAsia="黑体" w:cs="Times New Roman"/>
          <w:bCs/>
          <w:kern w:val="2"/>
          <w:szCs w:val="28"/>
          <w:lang w:val="en-US" w:eastAsia="zh-CN" w:bidi="ar-SA"/>
        </w:rPr>
        <w:t>106</w:t>
      </w:r>
      <w:r>
        <w:rPr>
          <w:rFonts w:hint="eastAsia" w:ascii="黑体" w:hAnsi="宋体" w:eastAsia="黑体" w:cs="Times New Roman"/>
          <w:bCs/>
          <w:kern w:val="2"/>
          <w:szCs w:val="28"/>
          <w:lang w:val="en-US" w:eastAsia="zh-CN" w:bidi="ar-SA"/>
        </w:rPr>
        <w:fldChar w:fldCharType="end"/>
      </w:r>
      <w:r>
        <w:rPr>
          <w:rFonts w:hint="eastAsia" w:ascii="黑体" w:hAnsi="宋体" w:eastAsia="黑体" w:cs="Times New Roman"/>
          <w:bCs/>
          <w:kern w:val="2"/>
          <w:szCs w:val="28"/>
          <w:lang w:val="en-US" w:eastAsia="zh-CN" w:bidi="ar-SA"/>
        </w:rPr>
        <w:fldChar w:fldCharType="end"/>
      </w:r>
    </w:p>
    <w:p w14:paraId="5CBACB80">
      <w:pPr>
        <w:pStyle w:val="22"/>
        <w:tabs>
          <w:tab w:val="right" w:leader="dot" w:pos="8732"/>
        </w:tabs>
      </w:pPr>
      <w:r>
        <w:rPr>
          <w:rFonts w:hint="eastAsia" w:ascii="黑体" w:hAnsi="宋体" w:eastAsia="黑体" w:cs="Times New Roman"/>
          <w:bCs/>
          <w:kern w:val="2"/>
          <w:szCs w:val="28"/>
          <w:lang w:val="en-US" w:eastAsia="zh-CN" w:bidi="ar-SA"/>
        </w:rPr>
        <w:fldChar w:fldCharType="begin"/>
      </w:r>
      <w:r>
        <w:rPr>
          <w:rFonts w:hint="eastAsia" w:ascii="黑体" w:hAnsi="宋体" w:eastAsia="黑体" w:cs="Times New Roman"/>
          <w:bCs/>
          <w:kern w:val="2"/>
          <w:szCs w:val="28"/>
          <w:lang w:val="en-US" w:eastAsia="zh-CN" w:bidi="ar-SA"/>
        </w:rPr>
        <w:instrText xml:space="preserve"> HYPERLINK \l _Toc25354 </w:instrText>
      </w:r>
      <w:r>
        <w:rPr>
          <w:rFonts w:hint="eastAsia" w:ascii="黑体" w:hAnsi="宋体" w:eastAsia="黑体" w:cs="Times New Roman"/>
          <w:bCs/>
          <w:kern w:val="2"/>
          <w:szCs w:val="28"/>
          <w:lang w:val="en-US" w:eastAsia="zh-CN" w:bidi="ar-SA"/>
        </w:rPr>
        <w:fldChar w:fldCharType="separate"/>
      </w:r>
      <w:r>
        <w:rPr>
          <w:rFonts w:hint="eastAsia" w:ascii="黑体" w:hAnsi="宋体" w:eastAsia="黑体" w:cs="Times New Roman"/>
          <w:bCs/>
          <w:kern w:val="2"/>
          <w:szCs w:val="28"/>
          <w:lang w:val="en-US" w:eastAsia="zh-CN" w:bidi="ar-SA"/>
        </w:rPr>
        <w:t>六、分项报价</w:t>
      </w:r>
      <w:r>
        <w:rPr>
          <w:rFonts w:hint="eastAsia" w:ascii="黑体" w:hAnsi="宋体" w:eastAsia="黑体" w:cs="Times New Roman"/>
          <w:bCs/>
          <w:kern w:val="2"/>
          <w:szCs w:val="28"/>
          <w:lang w:val="en-US" w:eastAsia="zh-CN" w:bidi="ar-SA"/>
        </w:rPr>
        <w:tab/>
      </w:r>
      <w:r>
        <w:rPr>
          <w:rFonts w:hint="eastAsia" w:ascii="黑体" w:hAnsi="宋体" w:eastAsia="黑体" w:cs="Times New Roman"/>
          <w:bCs/>
          <w:kern w:val="2"/>
          <w:szCs w:val="28"/>
          <w:lang w:val="en-US" w:eastAsia="zh-CN" w:bidi="ar-SA"/>
        </w:rPr>
        <w:fldChar w:fldCharType="begin"/>
      </w:r>
      <w:r>
        <w:rPr>
          <w:rFonts w:hint="eastAsia" w:ascii="黑体" w:hAnsi="宋体" w:eastAsia="黑体" w:cs="Times New Roman"/>
          <w:bCs/>
          <w:kern w:val="2"/>
          <w:szCs w:val="28"/>
          <w:lang w:val="en-US" w:eastAsia="zh-CN" w:bidi="ar-SA"/>
        </w:rPr>
        <w:instrText xml:space="preserve"> PAGEREF _Toc25354 \h </w:instrText>
      </w:r>
      <w:r>
        <w:rPr>
          <w:rFonts w:hint="eastAsia" w:ascii="黑体" w:hAnsi="宋体" w:eastAsia="黑体" w:cs="Times New Roman"/>
          <w:bCs/>
          <w:kern w:val="2"/>
          <w:szCs w:val="28"/>
          <w:lang w:val="en-US" w:eastAsia="zh-CN" w:bidi="ar-SA"/>
        </w:rPr>
        <w:fldChar w:fldCharType="separate"/>
      </w:r>
      <w:r>
        <w:rPr>
          <w:rFonts w:hint="eastAsia" w:ascii="黑体" w:hAnsi="宋体" w:eastAsia="黑体" w:cs="Times New Roman"/>
          <w:bCs/>
          <w:kern w:val="2"/>
          <w:szCs w:val="28"/>
          <w:lang w:val="en-US" w:eastAsia="zh-CN" w:bidi="ar-SA"/>
        </w:rPr>
        <w:t>108</w:t>
      </w:r>
      <w:r>
        <w:rPr>
          <w:rFonts w:hint="eastAsia" w:ascii="黑体" w:hAnsi="宋体" w:eastAsia="黑体" w:cs="Times New Roman"/>
          <w:bCs/>
          <w:kern w:val="2"/>
          <w:szCs w:val="28"/>
          <w:lang w:val="en-US" w:eastAsia="zh-CN" w:bidi="ar-SA"/>
        </w:rPr>
        <w:fldChar w:fldCharType="end"/>
      </w:r>
      <w:r>
        <w:rPr>
          <w:rFonts w:hint="eastAsia" w:ascii="黑体" w:hAnsi="宋体" w:eastAsia="黑体" w:cs="Times New Roman"/>
          <w:bCs/>
          <w:kern w:val="2"/>
          <w:szCs w:val="28"/>
          <w:lang w:val="en-US" w:eastAsia="zh-CN" w:bidi="ar-SA"/>
        </w:rPr>
        <w:fldChar w:fldCharType="end"/>
      </w:r>
    </w:p>
    <w:p w14:paraId="2D85D8F3">
      <w:pPr>
        <w:pStyle w:val="31"/>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_Toc12057 </w:instrText>
      </w:r>
      <w:r>
        <w:rPr>
          <w:rFonts w:cs="Times New Roman" w:asciiTheme="minorEastAsia" w:hAnsiTheme="minorEastAsia" w:eastAsiaTheme="minorEastAsia"/>
          <w:highlight w:val="none"/>
        </w:rPr>
        <w:fldChar w:fldCharType="separate"/>
      </w:r>
      <w:r>
        <w:rPr>
          <w:rFonts w:hint="eastAsia" w:ascii="宋体" w:hAnsi="宋体" w:eastAsia="宋体" w:cs="宋体"/>
          <w:szCs w:val="30"/>
        </w:rPr>
        <w:t>附件6-1 分项报价说明</w:t>
      </w:r>
      <w:r>
        <w:tab/>
      </w:r>
      <w:r>
        <w:fldChar w:fldCharType="begin"/>
      </w:r>
      <w:r>
        <w:instrText xml:space="preserve"> PAGEREF _Toc12057 \h </w:instrText>
      </w:r>
      <w:r>
        <w:fldChar w:fldCharType="separate"/>
      </w:r>
      <w:r>
        <w:t>108</w:t>
      </w:r>
      <w:r>
        <w:fldChar w:fldCharType="end"/>
      </w:r>
      <w:r>
        <w:rPr>
          <w:rFonts w:cs="Times New Roman" w:asciiTheme="minorEastAsia" w:hAnsiTheme="minorEastAsia" w:eastAsiaTheme="minorEastAsia"/>
          <w:highlight w:val="none"/>
        </w:rPr>
        <w:fldChar w:fldCharType="end"/>
      </w:r>
    </w:p>
    <w:p w14:paraId="2A66B82B">
      <w:pPr>
        <w:pStyle w:val="31"/>
        <w:tabs>
          <w:tab w:val="right" w:leader="dot" w:pos="8732"/>
        </w:tabs>
      </w:pPr>
      <w:r>
        <w:rPr>
          <w:rFonts w:hint="eastAsia" w:ascii="黑体" w:hAnsi="仿宋" w:cs="宋体"/>
          <w:szCs w:val="21"/>
          <w:highlight w:val="none"/>
        </w:rPr>
        <w:fldChar w:fldCharType="begin"/>
      </w:r>
      <w:r>
        <w:rPr>
          <w:rFonts w:hint="eastAsia" w:ascii="黑体" w:hAnsi="仿宋" w:cs="宋体"/>
          <w:szCs w:val="21"/>
          <w:highlight w:val="none"/>
        </w:rPr>
        <w:instrText xml:space="preserve"> HYPERLINK \l _Toc15442 </w:instrText>
      </w:r>
      <w:r>
        <w:rPr>
          <w:rFonts w:hint="eastAsia" w:ascii="黑体" w:hAnsi="仿宋" w:cs="宋体"/>
          <w:szCs w:val="21"/>
          <w:highlight w:val="none"/>
        </w:rPr>
        <w:fldChar w:fldCharType="separate"/>
      </w:r>
      <w:r>
        <w:rPr>
          <w:rFonts w:hint="eastAsia" w:ascii="黑体" w:hAnsi="仿宋" w:cs="宋体"/>
          <w:szCs w:val="21"/>
          <w:highlight w:val="none"/>
          <w:lang w:val="en-US" w:eastAsia="zh-CN"/>
        </w:rPr>
        <w:t>附件</w:t>
      </w:r>
      <w:r>
        <w:rPr>
          <w:rFonts w:hint="eastAsia" w:ascii="宋体" w:hAnsi="宋体" w:eastAsia="宋体" w:cs="宋体"/>
          <w:kern w:val="2"/>
          <w:szCs w:val="30"/>
          <w:lang w:val="en-US" w:eastAsia="zh-CN" w:bidi="ar-SA"/>
        </w:rPr>
        <w:t>6-2 分项报价明细表</w:t>
      </w:r>
      <w:r>
        <w:tab/>
      </w:r>
      <w:r>
        <w:fldChar w:fldCharType="begin"/>
      </w:r>
      <w:r>
        <w:instrText xml:space="preserve"> PAGEREF _Toc15442 \h </w:instrText>
      </w:r>
      <w:r>
        <w:fldChar w:fldCharType="separate"/>
      </w:r>
      <w:r>
        <w:t>109</w:t>
      </w:r>
      <w:r>
        <w:fldChar w:fldCharType="end"/>
      </w:r>
      <w:r>
        <w:rPr>
          <w:rFonts w:cs="Times New Roman" w:asciiTheme="minorEastAsia" w:hAnsiTheme="minorEastAsia" w:eastAsiaTheme="minorEastAsia"/>
          <w:highlight w:val="none"/>
        </w:rPr>
        <w:fldChar w:fldCharType="end"/>
      </w:r>
    </w:p>
    <w:p w14:paraId="1ED633D4">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_Toc23977 </w:instrText>
      </w:r>
      <w:r>
        <w:rPr>
          <w:rFonts w:cs="Times New Roman" w:asciiTheme="minorEastAsia" w:hAnsiTheme="minorEastAsia" w:eastAsiaTheme="minorEastAsia"/>
          <w:highlight w:val="none"/>
        </w:rPr>
        <w:fldChar w:fldCharType="separate"/>
      </w:r>
      <w:r>
        <w:rPr>
          <w:rFonts w:hint="eastAsia" w:ascii="Calibri" w:hAnsi="Calibri" w:eastAsia="宋体" w:cs="Times New Roman"/>
          <w:kern w:val="44"/>
          <w:szCs w:val="32"/>
          <w:lang w:val="en-US" w:eastAsia="zh-CN" w:bidi="ar-SA"/>
        </w:rPr>
        <w:t>七、采购需求响应</w:t>
      </w:r>
      <w:r>
        <w:tab/>
      </w:r>
      <w:r>
        <w:fldChar w:fldCharType="begin"/>
      </w:r>
      <w:r>
        <w:instrText xml:space="preserve"> PAGEREF _Toc23977 \h </w:instrText>
      </w:r>
      <w:r>
        <w:fldChar w:fldCharType="separate"/>
      </w:r>
      <w:r>
        <w:t>110</w:t>
      </w:r>
      <w:r>
        <w:fldChar w:fldCharType="end"/>
      </w:r>
      <w:r>
        <w:rPr>
          <w:rFonts w:cs="Times New Roman" w:asciiTheme="minorEastAsia" w:hAnsiTheme="minorEastAsia" w:eastAsiaTheme="minorEastAsia"/>
          <w:highlight w:val="none"/>
        </w:rPr>
        <w:fldChar w:fldCharType="end"/>
      </w:r>
    </w:p>
    <w:p w14:paraId="459BB8B2">
      <w:pPr>
        <w:pStyle w:val="31"/>
        <w:tabs>
          <w:tab w:val="right" w:leader="dot" w:pos="8732"/>
        </w:tabs>
      </w:pPr>
      <w:r>
        <w:rPr>
          <w:rFonts w:hint="eastAsia" w:ascii="宋体" w:hAnsi="宋体" w:eastAsia="宋体" w:cs="宋体"/>
          <w:szCs w:val="30"/>
        </w:rPr>
        <w:fldChar w:fldCharType="begin"/>
      </w:r>
      <w:r>
        <w:rPr>
          <w:rFonts w:hint="eastAsia" w:ascii="宋体" w:hAnsi="宋体" w:eastAsia="宋体" w:cs="宋体"/>
          <w:szCs w:val="30"/>
        </w:rPr>
        <w:instrText xml:space="preserve"> HYPERLINK \l _Toc1814 </w:instrText>
      </w:r>
      <w:r>
        <w:rPr>
          <w:rFonts w:hint="eastAsia" w:ascii="宋体" w:hAnsi="宋体" w:eastAsia="宋体" w:cs="宋体"/>
          <w:szCs w:val="30"/>
        </w:rPr>
        <w:fldChar w:fldCharType="separate"/>
      </w:r>
      <w:r>
        <w:rPr>
          <w:rFonts w:hint="eastAsia" w:ascii="宋体" w:hAnsi="宋体" w:eastAsia="宋体" w:cs="宋体"/>
          <w:szCs w:val="30"/>
          <w:lang w:val="en-US" w:eastAsia="zh-CN"/>
        </w:rPr>
        <w:t>附件</w:t>
      </w:r>
      <w:r>
        <w:rPr>
          <w:rFonts w:hint="eastAsia" w:ascii="宋体" w:hAnsi="宋体" w:eastAsia="宋体" w:cs="宋体"/>
          <w:kern w:val="2"/>
          <w:szCs w:val="30"/>
          <w:lang w:val="en-US" w:eastAsia="zh-CN" w:bidi="ar-SA"/>
        </w:rPr>
        <w:t>7-1 响应-览表</w:t>
      </w:r>
      <w:r>
        <w:tab/>
      </w:r>
      <w:r>
        <w:fldChar w:fldCharType="begin"/>
      </w:r>
      <w:r>
        <w:instrText xml:space="preserve"> PAGEREF _Toc1814 \h </w:instrText>
      </w:r>
      <w:r>
        <w:fldChar w:fldCharType="separate"/>
      </w:r>
      <w:r>
        <w:t>111</w:t>
      </w:r>
      <w:r>
        <w:fldChar w:fldCharType="end"/>
      </w:r>
      <w:r>
        <w:rPr>
          <w:rFonts w:cs="Times New Roman" w:asciiTheme="minorEastAsia" w:hAnsiTheme="minorEastAsia" w:eastAsiaTheme="minorEastAsia"/>
          <w:highlight w:val="none"/>
        </w:rPr>
        <w:fldChar w:fldCharType="end"/>
      </w:r>
    </w:p>
    <w:p w14:paraId="561783C1">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_Toc26921 </w:instrText>
      </w:r>
      <w:r>
        <w:rPr>
          <w:rFonts w:cs="Times New Roman" w:asciiTheme="minorEastAsia" w:hAnsiTheme="minorEastAsia" w:eastAsiaTheme="minorEastAsia"/>
          <w:highlight w:val="none"/>
        </w:rPr>
        <w:fldChar w:fldCharType="separate"/>
      </w:r>
      <w:r>
        <w:rPr>
          <w:rFonts w:hint="eastAsia" w:ascii="Calibri" w:hAnsi="Calibri" w:eastAsia="宋体" w:cs="Times New Roman"/>
          <w:kern w:val="44"/>
          <w:szCs w:val="32"/>
          <w:lang w:val="en-US" w:eastAsia="zh-CN" w:bidi="ar-SA"/>
        </w:rPr>
        <w:t>八、合同条款偏离表</w:t>
      </w:r>
      <w:r>
        <w:tab/>
      </w:r>
      <w:r>
        <w:fldChar w:fldCharType="begin"/>
      </w:r>
      <w:r>
        <w:instrText xml:space="preserve"> PAGEREF _Toc26921 \h </w:instrText>
      </w:r>
      <w:r>
        <w:fldChar w:fldCharType="separate"/>
      </w:r>
      <w:r>
        <w:t>112</w:t>
      </w:r>
      <w:r>
        <w:fldChar w:fldCharType="end"/>
      </w:r>
      <w:r>
        <w:rPr>
          <w:rFonts w:cs="Times New Roman" w:asciiTheme="minorEastAsia" w:hAnsiTheme="minorEastAsia" w:eastAsiaTheme="minorEastAsia"/>
          <w:highlight w:val="none"/>
        </w:rPr>
        <w:fldChar w:fldCharType="end"/>
      </w:r>
    </w:p>
    <w:p w14:paraId="77FDEB86">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_Toc21456 </w:instrText>
      </w:r>
      <w:r>
        <w:rPr>
          <w:rFonts w:cs="Times New Roman" w:asciiTheme="minorEastAsia" w:hAnsiTheme="minorEastAsia" w:eastAsiaTheme="minorEastAsia"/>
          <w:highlight w:val="none"/>
        </w:rPr>
        <w:fldChar w:fldCharType="separate"/>
      </w:r>
      <w:r>
        <w:rPr>
          <w:rFonts w:hint="eastAsia" w:ascii="宋体" w:hAnsi="宋体" w:eastAsia="宋体" w:cs="宋体"/>
          <w:bCs/>
          <w:szCs w:val="28"/>
        </w:rPr>
        <w:t>九、采购需求（技术、商务）偏离表</w:t>
      </w:r>
      <w:r>
        <w:tab/>
      </w:r>
      <w:r>
        <w:fldChar w:fldCharType="begin"/>
      </w:r>
      <w:r>
        <w:instrText xml:space="preserve"> PAGEREF _Toc21456 \h </w:instrText>
      </w:r>
      <w:r>
        <w:fldChar w:fldCharType="separate"/>
      </w:r>
      <w:r>
        <w:t>113</w:t>
      </w:r>
      <w:r>
        <w:fldChar w:fldCharType="end"/>
      </w:r>
      <w:r>
        <w:rPr>
          <w:rFonts w:cs="Times New Roman" w:asciiTheme="minorEastAsia" w:hAnsiTheme="minorEastAsia" w:eastAsiaTheme="minorEastAsia"/>
          <w:highlight w:val="none"/>
        </w:rPr>
        <w:fldChar w:fldCharType="end"/>
      </w:r>
    </w:p>
    <w:p w14:paraId="0DF55E1E">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_Toc7526 </w:instrText>
      </w:r>
      <w:r>
        <w:rPr>
          <w:rFonts w:cs="Times New Roman" w:asciiTheme="minorEastAsia" w:hAnsiTheme="minorEastAsia" w:eastAsiaTheme="minorEastAsia"/>
          <w:highlight w:val="none"/>
        </w:rPr>
        <w:fldChar w:fldCharType="separate"/>
      </w:r>
      <w:r>
        <w:rPr>
          <w:rFonts w:hint="eastAsia" w:ascii="宋体" w:hAnsi="宋体" w:eastAsia="宋体" w:cs="宋体"/>
          <w:bCs/>
          <w:kern w:val="44"/>
          <w:szCs w:val="32"/>
          <w:lang w:val="en-US" w:eastAsia="zh-CN" w:bidi="ar-SA"/>
        </w:rPr>
        <w:t>十、享受政府采购政策优惠的证明资料</w:t>
      </w:r>
      <w:r>
        <w:tab/>
      </w:r>
      <w:r>
        <w:fldChar w:fldCharType="begin"/>
      </w:r>
      <w:r>
        <w:instrText xml:space="preserve"> PAGEREF _Toc7526 \h </w:instrText>
      </w:r>
      <w:r>
        <w:fldChar w:fldCharType="separate"/>
      </w:r>
      <w:r>
        <w:t>114</w:t>
      </w:r>
      <w:r>
        <w:fldChar w:fldCharType="end"/>
      </w:r>
      <w:r>
        <w:rPr>
          <w:rFonts w:cs="Times New Roman" w:asciiTheme="minorEastAsia" w:hAnsiTheme="minorEastAsia" w:eastAsiaTheme="minorEastAsia"/>
          <w:highlight w:val="none"/>
        </w:rPr>
        <w:fldChar w:fldCharType="end"/>
      </w:r>
    </w:p>
    <w:p w14:paraId="5FC880B4">
      <w:pPr>
        <w:pStyle w:val="31"/>
        <w:tabs>
          <w:tab w:val="right" w:leader="dot" w:pos="8732"/>
        </w:tabs>
        <w:rPr>
          <w:rFonts w:hint="eastAsia" w:ascii="宋体" w:hAnsi="宋体" w:eastAsia="宋体" w:cs="宋体"/>
          <w:szCs w:val="30"/>
          <w:lang w:val="en-US" w:eastAsia="zh-CN"/>
        </w:rPr>
      </w:pPr>
      <w:r>
        <w:rPr>
          <w:rFonts w:hint="eastAsia" w:ascii="宋体" w:hAnsi="宋体" w:eastAsia="宋体" w:cs="宋体"/>
          <w:szCs w:val="30"/>
          <w:lang w:val="en-US" w:eastAsia="zh-CN"/>
        </w:rPr>
        <w:fldChar w:fldCharType="begin"/>
      </w:r>
      <w:r>
        <w:rPr>
          <w:rFonts w:hint="eastAsia" w:ascii="宋体" w:hAnsi="宋体" w:eastAsia="宋体" w:cs="宋体"/>
          <w:szCs w:val="30"/>
          <w:lang w:val="en-US" w:eastAsia="zh-CN"/>
        </w:rPr>
        <w:instrText xml:space="preserve"> HYPERLINK \l _Toc12144 </w:instrText>
      </w:r>
      <w:r>
        <w:rPr>
          <w:rFonts w:hint="eastAsia" w:ascii="宋体" w:hAnsi="宋体" w:eastAsia="宋体" w:cs="宋体"/>
          <w:szCs w:val="30"/>
          <w:lang w:val="en-US" w:eastAsia="zh-CN"/>
        </w:rPr>
        <w:fldChar w:fldCharType="separate"/>
      </w:r>
      <w:r>
        <w:rPr>
          <w:rFonts w:hint="eastAsia" w:ascii="宋体" w:hAnsi="宋体" w:eastAsia="宋体" w:cs="宋体"/>
          <w:szCs w:val="30"/>
          <w:lang w:val="en-US" w:eastAsia="zh-CN"/>
        </w:rPr>
        <w:t>附件10-1中小企业声明函</w:t>
      </w:r>
      <w:r>
        <w:rPr>
          <w:rFonts w:hint="eastAsia" w:ascii="宋体" w:hAnsi="宋体" w:eastAsia="宋体" w:cs="宋体"/>
          <w:szCs w:val="30"/>
          <w:lang w:val="en-US" w:eastAsia="zh-CN"/>
        </w:rPr>
        <w:tab/>
      </w:r>
      <w:r>
        <w:rPr>
          <w:rFonts w:hint="eastAsia" w:ascii="宋体" w:hAnsi="宋体" w:eastAsia="宋体" w:cs="宋体"/>
          <w:szCs w:val="30"/>
          <w:lang w:val="en-US" w:eastAsia="zh-CN"/>
        </w:rPr>
        <w:fldChar w:fldCharType="begin"/>
      </w:r>
      <w:r>
        <w:rPr>
          <w:rFonts w:hint="eastAsia" w:ascii="宋体" w:hAnsi="宋体" w:eastAsia="宋体" w:cs="宋体"/>
          <w:szCs w:val="30"/>
          <w:lang w:val="en-US" w:eastAsia="zh-CN"/>
        </w:rPr>
        <w:instrText xml:space="preserve"> PAGEREF _Toc12144 \h </w:instrText>
      </w:r>
      <w:r>
        <w:rPr>
          <w:rFonts w:hint="eastAsia" w:ascii="宋体" w:hAnsi="宋体" w:eastAsia="宋体" w:cs="宋体"/>
          <w:szCs w:val="30"/>
          <w:lang w:val="en-US" w:eastAsia="zh-CN"/>
        </w:rPr>
        <w:fldChar w:fldCharType="separate"/>
      </w:r>
      <w:r>
        <w:rPr>
          <w:rFonts w:hint="eastAsia" w:ascii="宋体" w:hAnsi="宋体" w:eastAsia="宋体" w:cs="宋体"/>
          <w:szCs w:val="30"/>
          <w:lang w:val="en-US" w:eastAsia="zh-CN"/>
        </w:rPr>
        <w:t>114</w:t>
      </w:r>
      <w:r>
        <w:rPr>
          <w:rFonts w:hint="eastAsia" w:ascii="宋体" w:hAnsi="宋体" w:eastAsia="宋体" w:cs="宋体"/>
          <w:szCs w:val="30"/>
          <w:lang w:val="en-US" w:eastAsia="zh-CN"/>
        </w:rPr>
        <w:fldChar w:fldCharType="end"/>
      </w:r>
      <w:r>
        <w:rPr>
          <w:rFonts w:hint="eastAsia" w:ascii="宋体" w:hAnsi="宋体" w:eastAsia="宋体" w:cs="宋体"/>
          <w:szCs w:val="30"/>
          <w:lang w:val="en-US" w:eastAsia="zh-CN"/>
        </w:rPr>
        <w:fldChar w:fldCharType="end"/>
      </w:r>
    </w:p>
    <w:p w14:paraId="3085F3B2">
      <w:pPr>
        <w:pStyle w:val="31"/>
        <w:tabs>
          <w:tab w:val="right" w:leader="dot" w:pos="8732"/>
        </w:tabs>
        <w:rPr>
          <w:rFonts w:hint="eastAsia" w:ascii="宋体" w:hAnsi="宋体" w:eastAsia="宋体" w:cs="宋体"/>
          <w:szCs w:val="30"/>
          <w:lang w:val="en-US" w:eastAsia="zh-CN"/>
        </w:rPr>
      </w:pPr>
      <w:r>
        <w:rPr>
          <w:rFonts w:hint="eastAsia" w:ascii="宋体" w:hAnsi="宋体" w:eastAsia="宋体" w:cs="宋体"/>
          <w:szCs w:val="30"/>
          <w:lang w:val="en-US" w:eastAsia="zh-CN"/>
        </w:rPr>
        <w:fldChar w:fldCharType="begin"/>
      </w:r>
      <w:r>
        <w:rPr>
          <w:rFonts w:hint="eastAsia" w:ascii="宋体" w:hAnsi="宋体" w:eastAsia="宋体" w:cs="宋体"/>
          <w:szCs w:val="30"/>
          <w:lang w:val="en-US" w:eastAsia="zh-CN"/>
        </w:rPr>
        <w:instrText xml:space="preserve"> HYPERLINK \l _Toc19104 </w:instrText>
      </w:r>
      <w:r>
        <w:rPr>
          <w:rFonts w:hint="eastAsia" w:ascii="宋体" w:hAnsi="宋体" w:eastAsia="宋体" w:cs="宋体"/>
          <w:szCs w:val="30"/>
          <w:lang w:val="en-US" w:eastAsia="zh-CN"/>
        </w:rPr>
        <w:fldChar w:fldCharType="separate"/>
      </w:r>
      <w:r>
        <w:rPr>
          <w:rFonts w:hint="eastAsia" w:ascii="宋体" w:hAnsi="宋体" w:eastAsia="宋体" w:cs="宋体"/>
          <w:szCs w:val="30"/>
          <w:lang w:val="en-US" w:eastAsia="zh-CN"/>
        </w:rPr>
        <w:t>附件10-2 残疾人福利性单位声明函</w:t>
      </w:r>
      <w:r>
        <w:rPr>
          <w:rFonts w:hint="eastAsia" w:ascii="宋体" w:hAnsi="宋体" w:eastAsia="宋体" w:cs="宋体"/>
          <w:szCs w:val="30"/>
          <w:lang w:val="en-US" w:eastAsia="zh-CN"/>
        </w:rPr>
        <w:tab/>
      </w:r>
      <w:r>
        <w:rPr>
          <w:rFonts w:hint="eastAsia" w:ascii="宋体" w:hAnsi="宋体" w:eastAsia="宋体" w:cs="宋体"/>
          <w:szCs w:val="30"/>
          <w:lang w:val="en-US" w:eastAsia="zh-CN"/>
        </w:rPr>
        <w:fldChar w:fldCharType="begin"/>
      </w:r>
      <w:r>
        <w:rPr>
          <w:rFonts w:hint="eastAsia" w:ascii="宋体" w:hAnsi="宋体" w:eastAsia="宋体" w:cs="宋体"/>
          <w:szCs w:val="30"/>
          <w:lang w:val="en-US" w:eastAsia="zh-CN"/>
        </w:rPr>
        <w:instrText xml:space="preserve"> PAGEREF _Toc19104 \h </w:instrText>
      </w:r>
      <w:r>
        <w:rPr>
          <w:rFonts w:hint="eastAsia" w:ascii="宋体" w:hAnsi="宋体" w:eastAsia="宋体" w:cs="宋体"/>
          <w:szCs w:val="30"/>
          <w:lang w:val="en-US" w:eastAsia="zh-CN"/>
        </w:rPr>
        <w:fldChar w:fldCharType="separate"/>
      </w:r>
      <w:r>
        <w:rPr>
          <w:rFonts w:hint="eastAsia" w:ascii="宋体" w:hAnsi="宋体" w:eastAsia="宋体" w:cs="宋体"/>
          <w:szCs w:val="30"/>
          <w:lang w:val="en-US" w:eastAsia="zh-CN"/>
        </w:rPr>
        <w:t>115</w:t>
      </w:r>
      <w:r>
        <w:rPr>
          <w:rFonts w:hint="eastAsia" w:ascii="宋体" w:hAnsi="宋体" w:eastAsia="宋体" w:cs="宋体"/>
          <w:szCs w:val="30"/>
          <w:lang w:val="en-US" w:eastAsia="zh-CN"/>
        </w:rPr>
        <w:fldChar w:fldCharType="end"/>
      </w:r>
      <w:r>
        <w:rPr>
          <w:rFonts w:hint="eastAsia" w:ascii="宋体" w:hAnsi="宋体" w:eastAsia="宋体" w:cs="宋体"/>
          <w:szCs w:val="30"/>
          <w:lang w:val="en-US" w:eastAsia="zh-CN"/>
        </w:rPr>
        <w:fldChar w:fldCharType="end"/>
      </w:r>
    </w:p>
    <w:p w14:paraId="46E68BD8">
      <w:pPr>
        <w:pStyle w:val="31"/>
        <w:tabs>
          <w:tab w:val="right" w:leader="dot" w:pos="8732"/>
        </w:tabs>
        <w:rPr>
          <w:rFonts w:hint="eastAsia" w:ascii="宋体" w:hAnsi="宋体" w:eastAsia="宋体" w:cs="宋体"/>
          <w:szCs w:val="30"/>
          <w:lang w:val="en-US" w:eastAsia="zh-CN"/>
        </w:rPr>
      </w:pPr>
      <w:r>
        <w:rPr>
          <w:rFonts w:hint="eastAsia" w:ascii="宋体" w:hAnsi="宋体" w:eastAsia="宋体" w:cs="宋体"/>
          <w:szCs w:val="30"/>
          <w:lang w:val="en-US" w:eastAsia="zh-CN"/>
        </w:rPr>
        <w:fldChar w:fldCharType="begin"/>
      </w:r>
      <w:r>
        <w:rPr>
          <w:rFonts w:hint="eastAsia" w:ascii="宋体" w:hAnsi="宋体" w:eastAsia="宋体" w:cs="宋体"/>
          <w:szCs w:val="30"/>
          <w:lang w:val="en-US" w:eastAsia="zh-CN"/>
        </w:rPr>
        <w:instrText xml:space="preserve"> HYPERLINK \l _Toc27672 </w:instrText>
      </w:r>
      <w:r>
        <w:rPr>
          <w:rFonts w:hint="eastAsia" w:ascii="宋体" w:hAnsi="宋体" w:eastAsia="宋体" w:cs="宋体"/>
          <w:szCs w:val="30"/>
          <w:lang w:val="en-US" w:eastAsia="zh-CN"/>
        </w:rPr>
        <w:fldChar w:fldCharType="separate"/>
      </w:r>
      <w:r>
        <w:rPr>
          <w:rFonts w:hint="eastAsia" w:ascii="宋体" w:hAnsi="宋体" w:eastAsia="宋体" w:cs="宋体"/>
          <w:szCs w:val="30"/>
          <w:lang w:val="en-US" w:eastAsia="zh-CN"/>
        </w:rPr>
        <w:t>附件10-3 监狱企业证明资料</w:t>
      </w:r>
      <w:r>
        <w:rPr>
          <w:rFonts w:hint="eastAsia" w:ascii="宋体" w:hAnsi="宋体" w:eastAsia="宋体" w:cs="宋体"/>
          <w:szCs w:val="30"/>
          <w:lang w:val="en-US" w:eastAsia="zh-CN"/>
        </w:rPr>
        <w:tab/>
      </w:r>
      <w:r>
        <w:rPr>
          <w:rFonts w:hint="eastAsia" w:ascii="宋体" w:hAnsi="宋体" w:eastAsia="宋体" w:cs="宋体"/>
          <w:szCs w:val="30"/>
          <w:lang w:val="en-US" w:eastAsia="zh-CN"/>
        </w:rPr>
        <w:fldChar w:fldCharType="begin"/>
      </w:r>
      <w:r>
        <w:rPr>
          <w:rFonts w:hint="eastAsia" w:ascii="宋体" w:hAnsi="宋体" w:eastAsia="宋体" w:cs="宋体"/>
          <w:szCs w:val="30"/>
          <w:lang w:val="en-US" w:eastAsia="zh-CN"/>
        </w:rPr>
        <w:instrText xml:space="preserve"> PAGEREF _Toc27672 \h </w:instrText>
      </w:r>
      <w:r>
        <w:rPr>
          <w:rFonts w:hint="eastAsia" w:ascii="宋体" w:hAnsi="宋体" w:eastAsia="宋体" w:cs="宋体"/>
          <w:szCs w:val="30"/>
          <w:lang w:val="en-US" w:eastAsia="zh-CN"/>
        </w:rPr>
        <w:fldChar w:fldCharType="separate"/>
      </w:r>
      <w:r>
        <w:rPr>
          <w:rFonts w:hint="eastAsia" w:ascii="宋体" w:hAnsi="宋体" w:eastAsia="宋体" w:cs="宋体"/>
          <w:szCs w:val="30"/>
          <w:lang w:val="en-US" w:eastAsia="zh-CN"/>
        </w:rPr>
        <w:t>116</w:t>
      </w:r>
      <w:r>
        <w:rPr>
          <w:rFonts w:hint="eastAsia" w:ascii="宋体" w:hAnsi="宋体" w:eastAsia="宋体" w:cs="宋体"/>
          <w:szCs w:val="30"/>
          <w:lang w:val="en-US" w:eastAsia="zh-CN"/>
        </w:rPr>
        <w:fldChar w:fldCharType="end"/>
      </w:r>
      <w:r>
        <w:rPr>
          <w:rFonts w:hint="eastAsia" w:ascii="宋体" w:hAnsi="宋体" w:eastAsia="宋体" w:cs="宋体"/>
          <w:szCs w:val="30"/>
          <w:lang w:val="en-US" w:eastAsia="zh-CN"/>
        </w:rPr>
        <w:fldChar w:fldCharType="end"/>
      </w:r>
    </w:p>
    <w:p w14:paraId="41F8B30C">
      <w:pPr>
        <w:pStyle w:val="31"/>
        <w:tabs>
          <w:tab w:val="right" w:leader="dot" w:pos="8732"/>
        </w:tabs>
        <w:rPr>
          <w:rFonts w:hint="eastAsia" w:ascii="宋体" w:hAnsi="宋体" w:eastAsia="宋体" w:cs="宋体"/>
          <w:szCs w:val="30"/>
          <w:lang w:val="en-US" w:eastAsia="zh-CN"/>
        </w:rPr>
      </w:pPr>
      <w:r>
        <w:rPr>
          <w:rFonts w:hint="eastAsia" w:ascii="宋体" w:hAnsi="宋体" w:eastAsia="宋体" w:cs="宋体"/>
          <w:szCs w:val="30"/>
          <w:lang w:val="en-US" w:eastAsia="zh-CN"/>
        </w:rPr>
        <w:fldChar w:fldCharType="begin"/>
      </w:r>
      <w:r>
        <w:rPr>
          <w:rFonts w:hint="eastAsia" w:ascii="宋体" w:hAnsi="宋体" w:eastAsia="宋体" w:cs="宋体"/>
          <w:szCs w:val="30"/>
          <w:lang w:val="en-US" w:eastAsia="zh-CN"/>
        </w:rPr>
        <w:instrText xml:space="preserve"> HYPERLINK \l _Toc14788 </w:instrText>
      </w:r>
      <w:r>
        <w:rPr>
          <w:rFonts w:hint="eastAsia" w:ascii="宋体" w:hAnsi="宋体" w:eastAsia="宋体" w:cs="宋体"/>
          <w:szCs w:val="30"/>
          <w:lang w:val="en-US" w:eastAsia="zh-CN"/>
        </w:rPr>
        <w:fldChar w:fldCharType="separate"/>
      </w:r>
      <w:r>
        <w:rPr>
          <w:rFonts w:hint="eastAsia" w:ascii="宋体" w:hAnsi="宋体" w:eastAsia="宋体" w:cs="宋体"/>
          <w:szCs w:val="30"/>
          <w:lang w:val="en-US" w:eastAsia="zh-CN"/>
        </w:rPr>
        <w:t>附件10-4 强制采购或者优先采购产品的证明材料</w:t>
      </w:r>
      <w:r>
        <w:rPr>
          <w:rFonts w:hint="eastAsia" w:ascii="宋体" w:hAnsi="宋体" w:eastAsia="宋体" w:cs="宋体"/>
          <w:szCs w:val="30"/>
          <w:lang w:val="en-US" w:eastAsia="zh-CN"/>
        </w:rPr>
        <w:tab/>
      </w:r>
      <w:r>
        <w:rPr>
          <w:rFonts w:hint="eastAsia" w:ascii="宋体" w:hAnsi="宋体" w:eastAsia="宋体" w:cs="宋体"/>
          <w:szCs w:val="30"/>
          <w:lang w:val="en-US" w:eastAsia="zh-CN"/>
        </w:rPr>
        <w:fldChar w:fldCharType="begin"/>
      </w:r>
      <w:r>
        <w:rPr>
          <w:rFonts w:hint="eastAsia" w:ascii="宋体" w:hAnsi="宋体" w:eastAsia="宋体" w:cs="宋体"/>
          <w:szCs w:val="30"/>
          <w:lang w:val="en-US" w:eastAsia="zh-CN"/>
        </w:rPr>
        <w:instrText xml:space="preserve"> PAGEREF _Toc14788 \h </w:instrText>
      </w:r>
      <w:r>
        <w:rPr>
          <w:rFonts w:hint="eastAsia" w:ascii="宋体" w:hAnsi="宋体" w:eastAsia="宋体" w:cs="宋体"/>
          <w:szCs w:val="30"/>
          <w:lang w:val="en-US" w:eastAsia="zh-CN"/>
        </w:rPr>
        <w:fldChar w:fldCharType="separate"/>
      </w:r>
      <w:r>
        <w:rPr>
          <w:rFonts w:hint="eastAsia" w:ascii="宋体" w:hAnsi="宋体" w:eastAsia="宋体" w:cs="宋体"/>
          <w:szCs w:val="30"/>
          <w:lang w:val="en-US" w:eastAsia="zh-CN"/>
        </w:rPr>
        <w:t>117</w:t>
      </w:r>
      <w:r>
        <w:rPr>
          <w:rFonts w:hint="eastAsia" w:ascii="宋体" w:hAnsi="宋体" w:eastAsia="宋体" w:cs="宋体"/>
          <w:szCs w:val="30"/>
          <w:lang w:val="en-US" w:eastAsia="zh-CN"/>
        </w:rPr>
        <w:fldChar w:fldCharType="end"/>
      </w:r>
      <w:r>
        <w:rPr>
          <w:rFonts w:hint="eastAsia" w:ascii="宋体" w:hAnsi="宋体" w:eastAsia="宋体" w:cs="宋体"/>
          <w:szCs w:val="30"/>
          <w:lang w:val="en-US" w:eastAsia="zh-CN"/>
        </w:rPr>
        <w:fldChar w:fldCharType="end"/>
      </w:r>
    </w:p>
    <w:p w14:paraId="3838B520">
      <w:pPr>
        <w:pStyle w:val="31"/>
        <w:tabs>
          <w:tab w:val="right" w:leader="dot" w:pos="8732"/>
        </w:tabs>
      </w:pPr>
      <w:r>
        <w:rPr>
          <w:rFonts w:hint="eastAsia" w:ascii="宋体" w:hAnsi="宋体" w:eastAsia="宋体" w:cs="宋体"/>
          <w:szCs w:val="30"/>
          <w:lang w:val="en-US" w:eastAsia="zh-CN"/>
        </w:rPr>
        <w:fldChar w:fldCharType="begin"/>
      </w:r>
      <w:r>
        <w:rPr>
          <w:rFonts w:hint="eastAsia" w:ascii="宋体" w:hAnsi="宋体" w:eastAsia="宋体" w:cs="宋体"/>
          <w:szCs w:val="30"/>
          <w:lang w:val="en-US" w:eastAsia="zh-CN"/>
        </w:rPr>
        <w:instrText xml:space="preserve"> HYPERLINK \l _Toc22771 </w:instrText>
      </w:r>
      <w:r>
        <w:rPr>
          <w:rFonts w:hint="eastAsia" w:ascii="宋体" w:hAnsi="宋体" w:eastAsia="宋体" w:cs="宋体"/>
          <w:szCs w:val="30"/>
          <w:lang w:val="en-US" w:eastAsia="zh-CN"/>
        </w:rPr>
        <w:fldChar w:fldCharType="separate"/>
      </w:r>
      <w:r>
        <w:rPr>
          <w:rFonts w:hint="eastAsia" w:ascii="宋体" w:hAnsi="宋体" w:eastAsia="宋体" w:cs="宋体"/>
          <w:szCs w:val="30"/>
          <w:lang w:val="en-US" w:eastAsia="zh-CN"/>
        </w:rPr>
        <w:t>附页 2 优先采购产品清单</w:t>
      </w:r>
      <w:r>
        <w:rPr>
          <w:rFonts w:hint="eastAsia" w:ascii="宋体" w:hAnsi="宋体" w:eastAsia="宋体" w:cs="宋体"/>
          <w:szCs w:val="30"/>
          <w:lang w:val="en-US" w:eastAsia="zh-CN"/>
        </w:rPr>
        <w:tab/>
      </w:r>
      <w:r>
        <w:rPr>
          <w:rFonts w:hint="eastAsia" w:ascii="宋体" w:hAnsi="宋体" w:eastAsia="宋体" w:cs="宋体"/>
          <w:szCs w:val="30"/>
          <w:lang w:val="en-US" w:eastAsia="zh-CN"/>
        </w:rPr>
        <w:fldChar w:fldCharType="begin"/>
      </w:r>
      <w:r>
        <w:rPr>
          <w:rFonts w:hint="eastAsia" w:ascii="宋体" w:hAnsi="宋体" w:eastAsia="宋体" w:cs="宋体"/>
          <w:szCs w:val="30"/>
          <w:lang w:val="en-US" w:eastAsia="zh-CN"/>
        </w:rPr>
        <w:instrText xml:space="preserve"> PAGEREF _Toc22771 \h </w:instrText>
      </w:r>
      <w:r>
        <w:rPr>
          <w:rFonts w:hint="eastAsia" w:ascii="宋体" w:hAnsi="宋体" w:eastAsia="宋体" w:cs="宋体"/>
          <w:szCs w:val="30"/>
          <w:lang w:val="en-US" w:eastAsia="zh-CN"/>
        </w:rPr>
        <w:fldChar w:fldCharType="separate"/>
      </w:r>
      <w:r>
        <w:rPr>
          <w:rFonts w:hint="eastAsia" w:ascii="宋体" w:hAnsi="宋体" w:eastAsia="宋体" w:cs="宋体"/>
          <w:szCs w:val="30"/>
          <w:lang w:val="en-US" w:eastAsia="zh-CN"/>
        </w:rPr>
        <w:t>118</w:t>
      </w:r>
      <w:r>
        <w:rPr>
          <w:rFonts w:hint="eastAsia" w:ascii="宋体" w:hAnsi="宋体" w:eastAsia="宋体" w:cs="宋体"/>
          <w:szCs w:val="30"/>
          <w:lang w:val="en-US" w:eastAsia="zh-CN"/>
        </w:rPr>
        <w:fldChar w:fldCharType="end"/>
      </w:r>
      <w:r>
        <w:rPr>
          <w:rFonts w:hint="eastAsia" w:ascii="宋体" w:hAnsi="宋体" w:eastAsia="宋体" w:cs="宋体"/>
          <w:szCs w:val="30"/>
          <w:lang w:val="en-US" w:eastAsia="zh-CN"/>
        </w:rPr>
        <w:fldChar w:fldCharType="end"/>
      </w:r>
    </w:p>
    <w:p w14:paraId="07C3473F">
      <w:pPr>
        <w:pStyle w:val="22"/>
        <w:tabs>
          <w:tab w:val="right" w:leader="dot" w:pos="8732"/>
        </w:tabs>
        <w:rPr>
          <w:rFonts w:hint="eastAsia" w:ascii="宋体" w:hAnsi="宋体" w:eastAsia="宋体" w:cs="宋体"/>
          <w:bCs/>
          <w:kern w:val="44"/>
          <w:szCs w:val="32"/>
          <w:lang w:val="en-US" w:eastAsia="zh-CN" w:bidi="ar-SA"/>
        </w:rPr>
      </w:pPr>
      <w:r>
        <w:rPr>
          <w:rFonts w:hint="eastAsia" w:ascii="宋体" w:hAnsi="宋体" w:eastAsia="宋体" w:cs="宋体"/>
          <w:bCs/>
          <w:kern w:val="44"/>
          <w:szCs w:val="32"/>
          <w:lang w:val="en-US" w:eastAsia="zh-CN" w:bidi="ar-SA"/>
        </w:rPr>
        <w:fldChar w:fldCharType="begin"/>
      </w:r>
      <w:r>
        <w:rPr>
          <w:rFonts w:hint="eastAsia" w:ascii="宋体" w:hAnsi="宋体" w:eastAsia="宋体" w:cs="宋体"/>
          <w:bCs/>
          <w:kern w:val="44"/>
          <w:szCs w:val="32"/>
          <w:lang w:val="en-US" w:eastAsia="zh-CN" w:bidi="ar-SA"/>
        </w:rPr>
        <w:instrText xml:space="preserve"> HYPERLINK \l _Toc18307 </w:instrText>
      </w:r>
      <w:r>
        <w:rPr>
          <w:rFonts w:hint="eastAsia" w:ascii="宋体" w:hAnsi="宋体" w:eastAsia="宋体" w:cs="宋体"/>
          <w:bCs/>
          <w:kern w:val="44"/>
          <w:szCs w:val="32"/>
          <w:lang w:val="en-US" w:eastAsia="zh-CN" w:bidi="ar-SA"/>
        </w:rPr>
        <w:fldChar w:fldCharType="separate"/>
      </w:r>
      <w:r>
        <w:rPr>
          <w:rFonts w:hint="eastAsia" w:ascii="宋体" w:hAnsi="宋体" w:eastAsia="宋体" w:cs="宋体"/>
          <w:bCs/>
          <w:kern w:val="44"/>
          <w:szCs w:val="32"/>
          <w:lang w:val="en-US" w:eastAsia="zh-CN" w:bidi="ar-SA"/>
        </w:rPr>
        <w:t>十一、投标服务符合招标文件规定的证明文件</w:t>
      </w:r>
      <w:r>
        <w:rPr>
          <w:rFonts w:hint="eastAsia" w:ascii="宋体" w:hAnsi="宋体" w:eastAsia="宋体" w:cs="宋体"/>
          <w:bCs/>
          <w:kern w:val="44"/>
          <w:szCs w:val="32"/>
          <w:lang w:val="en-US" w:eastAsia="zh-CN" w:bidi="ar-SA"/>
        </w:rPr>
        <w:tab/>
      </w:r>
      <w:r>
        <w:rPr>
          <w:rFonts w:hint="eastAsia" w:ascii="宋体" w:hAnsi="宋体" w:eastAsia="宋体" w:cs="宋体"/>
          <w:bCs/>
          <w:kern w:val="44"/>
          <w:szCs w:val="32"/>
          <w:lang w:val="en-US" w:eastAsia="zh-CN" w:bidi="ar-SA"/>
        </w:rPr>
        <w:fldChar w:fldCharType="begin"/>
      </w:r>
      <w:r>
        <w:rPr>
          <w:rFonts w:hint="eastAsia" w:ascii="宋体" w:hAnsi="宋体" w:eastAsia="宋体" w:cs="宋体"/>
          <w:bCs/>
          <w:kern w:val="44"/>
          <w:szCs w:val="32"/>
          <w:lang w:val="en-US" w:eastAsia="zh-CN" w:bidi="ar-SA"/>
        </w:rPr>
        <w:instrText xml:space="preserve"> PAGEREF _Toc18307 \h </w:instrText>
      </w:r>
      <w:r>
        <w:rPr>
          <w:rFonts w:hint="eastAsia" w:ascii="宋体" w:hAnsi="宋体" w:eastAsia="宋体" w:cs="宋体"/>
          <w:bCs/>
          <w:kern w:val="44"/>
          <w:szCs w:val="32"/>
          <w:lang w:val="en-US" w:eastAsia="zh-CN" w:bidi="ar-SA"/>
        </w:rPr>
        <w:fldChar w:fldCharType="separate"/>
      </w:r>
      <w:r>
        <w:rPr>
          <w:rFonts w:hint="eastAsia" w:ascii="宋体" w:hAnsi="宋体" w:eastAsia="宋体" w:cs="宋体"/>
          <w:bCs/>
          <w:kern w:val="44"/>
          <w:szCs w:val="32"/>
          <w:lang w:val="en-US" w:eastAsia="zh-CN" w:bidi="ar-SA"/>
        </w:rPr>
        <w:t>119</w:t>
      </w:r>
      <w:r>
        <w:rPr>
          <w:rFonts w:hint="eastAsia" w:ascii="宋体" w:hAnsi="宋体" w:eastAsia="宋体" w:cs="宋体"/>
          <w:bCs/>
          <w:kern w:val="44"/>
          <w:szCs w:val="32"/>
          <w:lang w:val="en-US" w:eastAsia="zh-CN" w:bidi="ar-SA"/>
        </w:rPr>
        <w:fldChar w:fldCharType="end"/>
      </w:r>
      <w:r>
        <w:rPr>
          <w:rFonts w:hint="eastAsia" w:ascii="宋体" w:hAnsi="宋体" w:eastAsia="宋体" w:cs="宋体"/>
          <w:bCs/>
          <w:kern w:val="44"/>
          <w:szCs w:val="32"/>
          <w:lang w:val="en-US" w:eastAsia="zh-CN" w:bidi="ar-SA"/>
        </w:rPr>
        <w:fldChar w:fldCharType="end"/>
      </w:r>
    </w:p>
    <w:p w14:paraId="08FFF26B">
      <w:pPr>
        <w:pStyle w:val="22"/>
        <w:tabs>
          <w:tab w:val="right" w:leader="dot" w:pos="8732"/>
        </w:tabs>
      </w:pPr>
      <w:r>
        <w:rPr>
          <w:rFonts w:hint="eastAsia" w:ascii="宋体" w:hAnsi="宋体" w:eastAsia="宋体" w:cs="宋体"/>
          <w:bCs/>
          <w:kern w:val="44"/>
          <w:szCs w:val="32"/>
          <w:lang w:val="en-US" w:eastAsia="zh-CN" w:bidi="ar-SA"/>
        </w:rPr>
        <w:fldChar w:fldCharType="begin"/>
      </w:r>
      <w:r>
        <w:rPr>
          <w:rFonts w:hint="eastAsia" w:ascii="宋体" w:hAnsi="宋体" w:eastAsia="宋体" w:cs="宋体"/>
          <w:bCs/>
          <w:kern w:val="44"/>
          <w:szCs w:val="32"/>
          <w:lang w:val="en-US" w:eastAsia="zh-CN" w:bidi="ar-SA"/>
        </w:rPr>
        <w:instrText xml:space="preserve"> HYPERLINK \l _Toc10607 </w:instrText>
      </w:r>
      <w:r>
        <w:rPr>
          <w:rFonts w:hint="eastAsia" w:ascii="宋体" w:hAnsi="宋体" w:eastAsia="宋体" w:cs="宋体"/>
          <w:bCs/>
          <w:kern w:val="44"/>
          <w:szCs w:val="32"/>
          <w:lang w:val="en-US" w:eastAsia="zh-CN" w:bidi="ar-SA"/>
        </w:rPr>
        <w:fldChar w:fldCharType="separate"/>
      </w:r>
      <w:r>
        <w:rPr>
          <w:rFonts w:hint="eastAsia" w:ascii="宋体" w:hAnsi="宋体" w:eastAsia="宋体" w:cs="宋体"/>
          <w:bCs/>
          <w:kern w:val="44"/>
          <w:szCs w:val="32"/>
          <w:lang w:val="en-US" w:eastAsia="zh-CN" w:bidi="ar-SA"/>
        </w:rPr>
        <w:t>十二、投标人认为需提供的其他资料</w:t>
      </w:r>
      <w:r>
        <w:rPr>
          <w:rFonts w:hint="eastAsia" w:ascii="宋体" w:hAnsi="宋体" w:eastAsia="宋体" w:cs="宋体"/>
          <w:bCs/>
          <w:kern w:val="44"/>
          <w:szCs w:val="32"/>
          <w:lang w:val="en-US" w:eastAsia="zh-CN" w:bidi="ar-SA"/>
        </w:rPr>
        <w:tab/>
      </w:r>
      <w:r>
        <w:rPr>
          <w:rFonts w:hint="eastAsia" w:ascii="宋体" w:hAnsi="宋体" w:eastAsia="宋体" w:cs="宋体"/>
          <w:bCs/>
          <w:kern w:val="44"/>
          <w:szCs w:val="32"/>
          <w:lang w:val="en-US" w:eastAsia="zh-CN" w:bidi="ar-SA"/>
        </w:rPr>
        <w:fldChar w:fldCharType="begin"/>
      </w:r>
      <w:r>
        <w:rPr>
          <w:rFonts w:hint="eastAsia" w:ascii="宋体" w:hAnsi="宋体" w:eastAsia="宋体" w:cs="宋体"/>
          <w:bCs/>
          <w:kern w:val="44"/>
          <w:szCs w:val="32"/>
          <w:lang w:val="en-US" w:eastAsia="zh-CN" w:bidi="ar-SA"/>
        </w:rPr>
        <w:instrText xml:space="preserve"> PAGEREF _Toc10607 \h </w:instrText>
      </w:r>
      <w:r>
        <w:rPr>
          <w:rFonts w:hint="eastAsia" w:ascii="宋体" w:hAnsi="宋体" w:eastAsia="宋体" w:cs="宋体"/>
          <w:bCs/>
          <w:kern w:val="44"/>
          <w:szCs w:val="32"/>
          <w:lang w:val="en-US" w:eastAsia="zh-CN" w:bidi="ar-SA"/>
        </w:rPr>
        <w:fldChar w:fldCharType="separate"/>
      </w:r>
      <w:r>
        <w:rPr>
          <w:rFonts w:hint="eastAsia" w:ascii="宋体" w:hAnsi="宋体" w:eastAsia="宋体" w:cs="宋体"/>
          <w:bCs/>
          <w:kern w:val="44"/>
          <w:szCs w:val="32"/>
          <w:lang w:val="en-US" w:eastAsia="zh-CN" w:bidi="ar-SA"/>
        </w:rPr>
        <w:t>120</w:t>
      </w:r>
      <w:r>
        <w:rPr>
          <w:rFonts w:hint="eastAsia" w:ascii="宋体" w:hAnsi="宋体" w:eastAsia="宋体" w:cs="宋体"/>
          <w:bCs/>
          <w:kern w:val="44"/>
          <w:szCs w:val="32"/>
          <w:lang w:val="en-US" w:eastAsia="zh-CN" w:bidi="ar-SA"/>
        </w:rPr>
        <w:fldChar w:fldCharType="end"/>
      </w:r>
      <w:r>
        <w:rPr>
          <w:rFonts w:hint="eastAsia" w:ascii="宋体" w:hAnsi="宋体" w:eastAsia="宋体" w:cs="宋体"/>
          <w:bCs/>
          <w:kern w:val="44"/>
          <w:szCs w:val="32"/>
          <w:lang w:val="en-US" w:eastAsia="zh-CN" w:bidi="ar-SA"/>
        </w:rPr>
        <w:fldChar w:fldCharType="end"/>
      </w:r>
    </w:p>
    <w:p w14:paraId="124933BF">
      <w:pPr>
        <w:pStyle w:val="23"/>
        <w:adjustRightInd w:val="0"/>
        <w:snapToGrid w:val="0"/>
        <w:spacing w:line="360" w:lineRule="auto"/>
        <w:outlineLvl w:val="0"/>
        <w:rPr>
          <w:rFonts w:hAnsi="宋体"/>
          <w:highlight w:val="none"/>
        </w:rPr>
      </w:pPr>
      <w:r>
        <w:rPr>
          <w:rFonts w:cs="Times New Roman" w:asciiTheme="minorEastAsia" w:hAnsiTheme="minorEastAsia" w:eastAsiaTheme="minorEastAsia"/>
          <w:highlight w:val="none"/>
        </w:rPr>
        <w:fldChar w:fldCharType="end"/>
      </w:r>
    </w:p>
    <w:p w14:paraId="301142F3">
      <w:pPr>
        <w:pStyle w:val="2"/>
        <w:rPr>
          <w:highlight w:val="none"/>
        </w:rPr>
        <w:sectPr>
          <w:headerReference r:id="rId3" w:type="default"/>
          <w:footerReference r:id="rId4" w:type="default"/>
          <w:pgSz w:w="11906" w:h="16838"/>
          <w:pgMar w:top="1474" w:right="1587" w:bottom="1474" w:left="1587" w:header="850" w:footer="992" w:gutter="0"/>
          <w:cols w:space="0" w:num="1"/>
          <w:rtlGutter w:val="0"/>
          <w:docGrid w:type="lines" w:linePitch="312" w:charSpace="0"/>
        </w:sectPr>
      </w:pPr>
      <w:bookmarkStart w:id="0" w:name="_Toc53472201"/>
      <w:bookmarkStart w:id="1" w:name="_Toc20642243"/>
      <w:bookmarkStart w:id="2" w:name="_Toc21000471"/>
      <w:bookmarkStart w:id="3" w:name="_Toc20816073"/>
      <w:bookmarkStart w:id="4" w:name="_Toc35421027"/>
      <w:bookmarkStart w:id="5" w:name="_Toc20988241"/>
      <w:bookmarkStart w:id="6" w:name="_Toc34720698"/>
      <w:bookmarkStart w:id="7" w:name="_Toc21001314"/>
    </w:p>
    <w:p w14:paraId="34045127">
      <w:pPr>
        <w:pStyle w:val="2"/>
        <w:rPr>
          <w:rFonts w:hAnsi="宋体"/>
          <w:iCs/>
          <w:highlight w:val="none"/>
        </w:rPr>
      </w:pPr>
      <w:bookmarkStart w:id="8" w:name="_Toc19993"/>
      <w:r>
        <w:rPr>
          <w:rFonts w:hint="eastAsia" w:ascii="黑体" w:hAnsi="华文中宋" w:eastAsia="黑体"/>
          <w:sz w:val="32"/>
          <w:szCs w:val="32"/>
          <w:highlight w:val="none"/>
        </w:rPr>
        <w:t>第一章 投标邀请（公开招标）</w:t>
      </w:r>
      <w:bookmarkEnd w:id="8"/>
    </w:p>
    <w:p w14:paraId="5174776E">
      <w:pPr>
        <w:adjustRightInd w:val="0"/>
        <w:snapToGrid w:val="0"/>
        <w:spacing w:line="360" w:lineRule="auto"/>
        <w:ind w:firstLine="422" w:firstLineChars="200"/>
        <w:rPr>
          <w:rFonts w:ascii="宋体" w:hAnsi="宋体"/>
          <w:szCs w:val="21"/>
          <w:highlight w:val="none"/>
        </w:rPr>
      </w:pPr>
      <w:r>
        <w:rPr>
          <w:rFonts w:hint="eastAsia" w:ascii="宋体" w:hAnsi="宋体"/>
          <w:b/>
          <w:bCs/>
          <w:szCs w:val="21"/>
          <w:highlight w:val="none"/>
          <w:u w:val="single"/>
          <w:lang w:eastAsia="zh-CN"/>
        </w:rPr>
        <w:t>郴州市第二人民医院</w:t>
      </w:r>
      <w:r>
        <w:rPr>
          <w:rFonts w:hint="eastAsia" w:ascii="宋体" w:hAnsi="宋体"/>
          <w:szCs w:val="21"/>
          <w:highlight w:val="none"/>
        </w:rPr>
        <w:t>（采购人名称）的</w:t>
      </w:r>
      <w:r>
        <w:rPr>
          <w:rFonts w:hint="eastAsia" w:ascii="宋体" w:hAnsi="宋体"/>
          <w:b/>
          <w:bCs/>
          <w:szCs w:val="21"/>
          <w:highlight w:val="none"/>
          <w:u w:val="single"/>
          <w:lang w:eastAsia="zh-CN"/>
        </w:rPr>
        <w:t>郴州市第二人民医院医疗设备维保托管服务项目</w:t>
      </w:r>
      <w:r>
        <w:rPr>
          <w:rFonts w:hint="eastAsia" w:ascii="宋体" w:hAnsi="宋体"/>
          <w:szCs w:val="21"/>
          <w:highlight w:val="none"/>
        </w:rPr>
        <w:t>(项目名称)进行公开招标采购，现邀请合格投标人参加投标。</w:t>
      </w:r>
    </w:p>
    <w:p w14:paraId="63C7E15F">
      <w:pPr>
        <w:adjustRightInd w:val="0"/>
        <w:snapToGrid w:val="0"/>
        <w:spacing w:line="360" w:lineRule="auto"/>
        <w:ind w:firstLine="422" w:firstLineChars="200"/>
        <w:rPr>
          <w:rFonts w:ascii="宋体" w:hAnsi="宋体"/>
          <w:b/>
          <w:szCs w:val="21"/>
          <w:highlight w:val="none"/>
        </w:rPr>
      </w:pPr>
      <w:r>
        <w:rPr>
          <w:rFonts w:hint="eastAsia" w:ascii="宋体" w:hAnsi="宋体"/>
          <w:b/>
          <w:szCs w:val="21"/>
          <w:highlight w:val="none"/>
        </w:rPr>
        <w:t>一、采购项目名称、编号</w:t>
      </w:r>
    </w:p>
    <w:p w14:paraId="3E4072FF">
      <w:pPr>
        <w:adjustRightInd w:val="0"/>
        <w:snapToGrid w:val="0"/>
        <w:spacing w:line="440" w:lineRule="exact"/>
        <w:ind w:firstLine="422" w:firstLineChars="200"/>
        <w:rPr>
          <w:rFonts w:hint="eastAsia" w:ascii="宋体" w:eastAsia="宋体" w:cs="宋体"/>
          <w:highlight w:val="none"/>
          <w:lang w:eastAsia="zh-CN"/>
        </w:rPr>
      </w:pPr>
      <w:r>
        <w:rPr>
          <w:rFonts w:ascii="宋体" w:hAnsi="宋体" w:cs="宋体"/>
          <w:b/>
          <w:highlight w:val="none"/>
        </w:rPr>
        <w:t>1</w:t>
      </w:r>
      <w:r>
        <w:rPr>
          <w:rFonts w:hint="eastAsia" w:ascii="宋体" w:hAnsi="宋体" w:cs="宋体"/>
          <w:b/>
          <w:highlight w:val="none"/>
        </w:rPr>
        <w:t>、采购项目名称：</w:t>
      </w:r>
      <w:r>
        <w:rPr>
          <w:rFonts w:hint="eastAsia" w:ascii="宋体" w:hAnsi="宋体"/>
          <w:szCs w:val="21"/>
          <w:highlight w:val="none"/>
          <w:lang w:eastAsia="zh-CN"/>
        </w:rPr>
        <w:t>郴州市第二人民医院医疗设备维保托管服务项目</w:t>
      </w:r>
    </w:p>
    <w:p w14:paraId="461AF176">
      <w:pPr>
        <w:adjustRightInd w:val="0"/>
        <w:snapToGrid w:val="0"/>
        <w:spacing w:line="440" w:lineRule="exact"/>
        <w:ind w:firstLine="422" w:firstLineChars="200"/>
        <w:rPr>
          <w:rFonts w:hint="eastAsia" w:ascii="宋体" w:hAnsi="宋体" w:eastAsia="宋体" w:cs="宋体"/>
          <w:bCs/>
          <w:highlight w:val="none"/>
          <w:lang w:eastAsia="zh-CN"/>
        </w:rPr>
      </w:pPr>
      <w:r>
        <w:rPr>
          <w:rFonts w:ascii="宋体" w:hAnsi="宋体" w:cs="宋体"/>
          <w:b/>
          <w:highlight w:val="none"/>
        </w:rPr>
        <w:t>2</w:t>
      </w:r>
      <w:r>
        <w:rPr>
          <w:rFonts w:hint="eastAsia" w:ascii="宋体" w:hAnsi="宋体" w:cs="宋体"/>
          <w:b/>
          <w:highlight w:val="none"/>
        </w:rPr>
        <w:t>、政府采购编号：</w:t>
      </w:r>
      <w:r>
        <w:rPr>
          <w:rFonts w:hint="eastAsia" w:ascii="宋体" w:hAnsi="宋体" w:cs="宋体"/>
          <w:bCs/>
          <w:highlight w:val="none"/>
          <w:lang w:eastAsia="zh-CN"/>
        </w:rPr>
        <w:t>CGXM2026431000000054</w:t>
      </w:r>
    </w:p>
    <w:p w14:paraId="70F70319">
      <w:pPr>
        <w:adjustRightInd w:val="0"/>
        <w:snapToGrid w:val="0"/>
        <w:spacing w:line="440" w:lineRule="exact"/>
        <w:ind w:firstLine="738" w:firstLineChars="350"/>
        <w:rPr>
          <w:rFonts w:ascii="宋体" w:hAnsi="宋体" w:cs="宋体"/>
          <w:bCs/>
          <w:highlight w:val="none"/>
        </w:rPr>
      </w:pPr>
      <w:r>
        <w:rPr>
          <w:rFonts w:hint="eastAsia" w:ascii="宋体" w:hAnsi="宋体" w:cs="宋体"/>
          <w:b/>
          <w:highlight w:val="none"/>
        </w:rPr>
        <w:t>采购代理编号：</w:t>
      </w:r>
      <w:r>
        <w:rPr>
          <w:rFonts w:hint="eastAsia" w:ascii="宋体" w:hAnsi="宋体" w:cs="宋体"/>
          <w:bCs/>
          <w:highlight w:val="none"/>
          <w:lang w:eastAsia="zh-CN"/>
        </w:rPr>
        <w:t>HNXZ-2026-CZ-XMZB-0058</w:t>
      </w:r>
      <w:r>
        <w:rPr>
          <w:rFonts w:hint="eastAsia" w:ascii="宋体" w:hAnsi="宋体" w:cs="宋体"/>
          <w:bCs/>
          <w:highlight w:val="none"/>
        </w:rPr>
        <w:t xml:space="preserve"> </w:t>
      </w:r>
    </w:p>
    <w:p w14:paraId="4DA05E02">
      <w:pPr>
        <w:adjustRightInd w:val="0"/>
        <w:snapToGrid w:val="0"/>
        <w:spacing w:line="440" w:lineRule="exact"/>
        <w:ind w:firstLine="422" w:firstLineChars="200"/>
        <w:rPr>
          <w:rFonts w:ascii="宋体" w:hAnsi="宋体" w:cs="宋体"/>
          <w:b/>
          <w:highlight w:val="none"/>
        </w:rPr>
      </w:pPr>
      <w:r>
        <w:rPr>
          <w:rFonts w:hint="eastAsia" w:ascii="宋体" w:hAnsi="宋体" w:cs="宋体"/>
          <w:b/>
          <w:highlight w:val="none"/>
        </w:rPr>
        <w:t>3、采购项目预算：</w:t>
      </w:r>
      <w:r>
        <w:rPr>
          <w:rFonts w:hint="eastAsia" w:ascii="宋体" w:hAnsi="宋体" w:cs="宋体"/>
          <w:highlight w:val="none"/>
        </w:rPr>
        <w:t>人民币</w:t>
      </w:r>
      <w:r>
        <w:rPr>
          <w:rFonts w:hint="eastAsia" w:ascii="宋体" w:hAnsi="宋体" w:cs="宋体"/>
          <w:highlight w:val="none"/>
          <w:lang w:val="en-US" w:eastAsia="zh-CN"/>
        </w:rPr>
        <w:t>肆佰玖拾伍万元整</w:t>
      </w:r>
      <w:r>
        <w:rPr>
          <w:rFonts w:hint="eastAsia" w:ascii="宋体" w:hAnsi="宋体" w:cs="宋体"/>
          <w:highlight w:val="none"/>
        </w:rPr>
        <w:t>（</w:t>
      </w:r>
      <w:r>
        <w:rPr>
          <w:rFonts w:ascii="宋体" w:hAnsi="宋体" w:cs="宋体"/>
          <w:highlight w:val="none"/>
        </w:rPr>
        <w:t>¥</w:t>
      </w:r>
      <w:r>
        <w:rPr>
          <w:rFonts w:hint="eastAsia" w:ascii="宋体" w:hAnsi="宋体" w:cs="宋体"/>
          <w:highlight w:val="none"/>
          <w:lang w:val="en-US" w:eastAsia="zh-CN"/>
        </w:rPr>
        <w:t>4950000.00</w:t>
      </w:r>
      <w:r>
        <w:rPr>
          <w:rFonts w:hint="eastAsia" w:ascii="宋体" w:hAnsi="宋体" w:cs="宋体"/>
          <w:highlight w:val="none"/>
        </w:rPr>
        <w:t>）</w:t>
      </w:r>
    </w:p>
    <w:p w14:paraId="345075F9">
      <w:pPr>
        <w:adjustRightInd w:val="0"/>
        <w:snapToGrid w:val="0"/>
        <w:spacing w:line="440" w:lineRule="exact"/>
        <w:ind w:firstLine="630" w:firstLineChars="300"/>
        <w:rPr>
          <w:rFonts w:ascii="宋体" w:hAnsi="宋体" w:cs="宋体"/>
          <w:highlight w:val="none"/>
        </w:rPr>
      </w:pPr>
      <w:r>
        <w:rPr>
          <w:rFonts w:hint="eastAsia" w:ascii="宋体" w:hAnsi="宋体"/>
          <w:highlight w:val="none"/>
        </w:rPr>
        <w:t>□支持预付款，预付比例：</w:t>
      </w:r>
      <w:r>
        <w:rPr>
          <w:rFonts w:hint="eastAsia" w:ascii="宋体" w:hAnsi="宋体"/>
          <w:highlight w:val="none"/>
          <w:u w:val="single"/>
        </w:rPr>
        <w:t xml:space="preserve">  / </w:t>
      </w:r>
      <w:r>
        <w:rPr>
          <w:rFonts w:hint="eastAsia" w:ascii="宋体" w:hAnsi="宋体"/>
          <w:highlight w:val="none"/>
        </w:rPr>
        <w:t>。</w:t>
      </w:r>
    </w:p>
    <w:p w14:paraId="5F4F4E92">
      <w:pPr>
        <w:adjustRightInd w:val="0"/>
        <w:snapToGrid w:val="0"/>
        <w:spacing w:line="440" w:lineRule="exact"/>
        <w:ind w:firstLine="422" w:firstLineChars="200"/>
        <w:rPr>
          <w:rFonts w:ascii="宋体" w:hAnsi="宋体" w:cs="宋体"/>
          <w:highlight w:val="none"/>
        </w:rPr>
      </w:pPr>
      <w:r>
        <w:rPr>
          <w:rFonts w:hint="eastAsia" w:ascii="宋体" w:hAnsi="宋体" w:cs="宋体"/>
          <w:b/>
          <w:highlight w:val="none"/>
        </w:rPr>
        <w:t>4、本项目对应的中小企业划分标准所属行业：</w:t>
      </w:r>
      <w:r>
        <w:rPr>
          <w:rFonts w:hint="eastAsia" w:ascii="宋体" w:hAnsi="宋体" w:cs="宋体"/>
          <w:highlight w:val="none"/>
        </w:rPr>
        <w:t>其他未列明行业。</w:t>
      </w:r>
    </w:p>
    <w:p w14:paraId="52823BEE">
      <w:pPr>
        <w:adjustRightInd w:val="0"/>
        <w:snapToGrid w:val="0"/>
        <w:spacing w:line="440" w:lineRule="exact"/>
        <w:ind w:firstLine="422" w:firstLineChars="200"/>
        <w:rPr>
          <w:rFonts w:cs="宋体" w:asciiTheme="minorEastAsia" w:hAnsiTheme="minorEastAsia" w:eastAsiaTheme="minorEastAsia"/>
          <w:highlight w:val="none"/>
        </w:rPr>
      </w:pPr>
      <w:r>
        <w:rPr>
          <w:rFonts w:hint="eastAsia" w:ascii="宋体" w:hAnsi="宋体" w:cs="宋体"/>
          <w:b/>
          <w:highlight w:val="none"/>
        </w:rPr>
        <w:t>5、评标方法</w:t>
      </w:r>
      <w:r>
        <w:rPr>
          <w:rFonts w:hint="eastAsia" w:cs="宋体" w:asciiTheme="minorEastAsia" w:hAnsiTheme="minorEastAsia" w:eastAsiaTheme="minorEastAsia"/>
          <w:b/>
          <w:highlight w:val="none"/>
        </w:rPr>
        <w:t>：</w:t>
      </w:r>
      <w:r>
        <w:rPr>
          <w:rFonts w:hint="eastAsia" w:hAnsi="MS Gothic" w:eastAsia="MS Gothic" w:cs="MS Gothic" w:asciiTheme="minorEastAsia"/>
          <w:highlight w:val="none"/>
        </w:rPr>
        <w:t>■</w:t>
      </w:r>
      <w:r>
        <w:rPr>
          <w:rFonts w:hint="eastAsia" w:cs="宋体" w:asciiTheme="minorEastAsia" w:hAnsiTheme="minorEastAsia" w:eastAsiaTheme="minorEastAsia"/>
          <w:highlight w:val="none"/>
        </w:rPr>
        <w:t xml:space="preserve">综合评分法  </w:t>
      </w:r>
      <w:r>
        <w:rPr>
          <w:rFonts w:hint="eastAsia" w:asciiTheme="minorEastAsia" w:hAnsiTheme="minorEastAsia" w:eastAsiaTheme="minorEastAsia"/>
          <w:highlight w:val="none"/>
        </w:rPr>
        <w:t>□最低评标价法</w:t>
      </w:r>
    </w:p>
    <w:p w14:paraId="4D0E2388">
      <w:pPr>
        <w:adjustRightInd w:val="0"/>
        <w:snapToGrid w:val="0"/>
        <w:spacing w:line="440" w:lineRule="exact"/>
        <w:ind w:firstLine="422" w:firstLineChars="200"/>
        <w:rPr>
          <w:rFonts w:cs="宋体" w:asciiTheme="minorEastAsia" w:hAnsiTheme="minorEastAsia" w:eastAsiaTheme="minorEastAsia"/>
          <w:highlight w:val="none"/>
        </w:rPr>
      </w:pPr>
      <w:r>
        <w:rPr>
          <w:rFonts w:hint="eastAsia" w:cs="宋体" w:asciiTheme="minorEastAsia" w:hAnsiTheme="minorEastAsia" w:eastAsiaTheme="minorEastAsia"/>
          <w:b/>
          <w:highlight w:val="none"/>
        </w:rPr>
        <w:t>6、合同定价方式：</w:t>
      </w:r>
      <w:r>
        <w:rPr>
          <w:rFonts w:hint="eastAsia" w:hAnsi="MS Gothic" w:eastAsia="MS Gothic" w:cs="MS Gothic" w:asciiTheme="minorEastAsia"/>
          <w:highlight w:val="none"/>
        </w:rPr>
        <w:t>■</w:t>
      </w:r>
      <w:r>
        <w:rPr>
          <w:rFonts w:hint="eastAsia" w:cs="MS Gothic" w:asciiTheme="minorEastAsia" w:hAnsiTheme="minorEastAsia" w:eastAsiaTheme="minorEastAsia"/>
          <w:highlight w:val="none"/>
        </w:rPr>
        <w:t>固定</w:t>
      </w:r>
      <w:r>
        <w:rPr>
          <w:rFonts w:hint="eastAsia" w:cs="宋体" w:asciiTheme="minorEastAsia" w:hAnsiTheme="minorEastAsia" w:eastAsiaTheme="minorEastAsia"/>
          <w:highlight w:val="none"/>
        </w:rPr>
        <w:t xml:space="preserve">总价 </w:t>
      </w:r>
      <w:r>
        <w:rPr>
          <w:rFonts w:hint="eastAsia" w:cs="宋体" w:asciiTheme="minorEastAsia" w:hAnsiTheme="minorEastAsia" w:eastAsiaTheme="minorEastAsia"/>
          <w:highlight w:val="none"/>
          <w:lang w:val="en-US" w:eastAsia="zh-CN"/>
        </w:rPr>
        <w:t xml:space="preserve"> </w:t>
      </w:r>
      <w:r>
        <w:rPr>
          <w:rFonts w:hint="eastAsia" w:asciiTheme="minorEastAsia" w:hAnsiTheme="minorEastAsia" w:eastAsiaTheme="minorEastAsia"/>
          <w:highlight w:val="none"/>
          <w:lang w:eastAsia="zh-CN"/>
        </w:rPr>
        <w:t>□</w:t>
      </w:r>
      <w:r>
        <w:rPr>
          <w:rFonts w:cs="MS Gothic" w:asciiTheme="minorEastAsia" w:hAnsiTheme="minorEastAsia" w:eastAsiaTheme="minorEastAsia"/>
          <w:highlight w:val="none"/>
        </w:rPr>
        <w:t>固定单价</w:t>
      </w:r>
      <w:r>
        <w:rPr>
          <w:rFonts w:hint="eastAsia" w:cs="MS Gothic" w:asciiTheme="minorEastAsia" w:hAnsiTheme="minorEastAsia" w:eastAsiaTheme="minorEastAsia"/>
          <w:highlight w:val="none"/>
        </w:rPr>
        <w:t xml:space="preserve">  </w:t>
      </w:r>
      <w:r>
        <w:rPr>
          <w:rFonts w:hint="eastAsia" w:asciiTheme="minorEastAsia" w:hAnsiTheme="minorEastAsia" w:eastAsiaTheme="minorEastAsia"/>
          <w:highlight w:val="none"/>
        </w:rPr>
        <w:t xml:space="preserve">□成本补偿  </w:t>
      </w:r>
      <w:r>
        <w:rPr>
          <w:rFonts w:hint="eastAsia" w:asciiTheme="minorEastAsia" w:hAnsiTheme="minorEastAsia" w:eastAsiaTheme="minorEastAsia"/>
          <w:highlight w:val="none"/>
          <w:lang w:eastAsia="zh-CN"/>
        </w:rPr>
        <w:t>☑</w:t>
      </w:r>
      <w:r>
        <w:rPr>
          <w:rFonts w:hint="eastAsia" w:asciiTheme="minorEastAsia" w:hAnsiTheme="minorEastAsia" w:eastAsiaTheme="minorEastAsia"/>
          <w:highlight w:val="none"/>
        </w:rPr>
        <w:t>绩效激励</w:t>
      </w:r>
    </w:p>
    <w:p w14:paraId="6A063DDC">
      <w:pPr>
        <w:adjustRightInd w:val="0"/>
        <w:snapToGrid w:val="0"/>
        <w:spacing w:line="440" w:lineRule="exact"/>
        <w:ind w:firstLine="422" w:firstLineChars="200"/>
        <w:rPr>
          <w:rFonts w:ascii="宋体" w:hAnsi="宋体" w:cs="宋体"/>
          <w:b/>
          <w:highlight w:val="none"/>
        </w:rPr>
      </w:pPr>
      <w:r>
        <w:rPr>
          <w:rFonts w:hint="eastAsia" w:ascii="宋体" w:hAnsi="宋体" w:cs="宋体"/>
          <w:b/>
          <w:highlight w:val="none"/>
        </w:rPr>
        <w:t>7、合同履行期限：</w:t>
      </w:r>
      <w:r>
        <w:rPr>
          <w:rFonts w:hint="eastAsia" w:ascii="宋体" w:hAnsi="宋体"/>
          <w:highlight w:val="none"/>
          <w:lang w:val="en-US" w:eastAsia="zh-CN"/>
        </w:rPr>
        <w:t>3年</w:t>
      </w:r>
      <w:r>
        <w:rPr>
          <w:rFonts w:hint="eastAsia" w:ascii="宋体" w:hAnsi="宋体"/>
          <w:highlight w:val="none"/>
        </w:rPr>
        <w:t>。</w:t>
      </w:r>
    </w:p>
    <w:p w14:paraId="55E8AB1D">
      <w:pPr>
        <w:adjustRightInd w:val="0"/>
        <w:snapToGrid w:val="0"/>
        <w:spacing w:line="440" w:lineRule="exact"/>
        <w:ind w:firstLine="422" w:firstLineChars="200"/>
        <w:rPr>
          <w:rFonts w:ascii="宋体" w:hAnsi="宋体" w:cs="宋体"/>
          <w:highlight w:val="none"/>
        </w:rPr>
      </w:pPr>
      <w:r>
        <w:rPr>
          <w:rFonts w:hint="eastAsia" w:ascii="宋体" w:hAnsi="宋体" w:cs="宋体"/>
          <w:b/>
          <w:highlight w:val="none"/>
        </w:rPr>
        <w:t>8、根据《关于进一步优化政府采购领域营商环境的通知》郴财采资〔2024〕6号文件精神，本项目取消投标保证金及履约保证金。</w:t>
      </w:r>
    </w:p>
    <w:p w14:paraId="5AF31F9A">
      <w:pPr>
        <w:adjustRightInd w:val="0"/>
        <w:snapToGrid w:val="0"/>
        <w:spacing w:line="360" w:lineRule="auto"/>
        <w:ind w:firstLine="422" w:firstLineChars="200"/>
        <w:rPr>
          <w:rFonts w:ascii="宋体" w:hAnsi="宋体"/>
          <w:b/>
          <w:szCs w:val="21"/>
          <w:highlight w:val="none"/>
        </w:rPr>
      </w:pPr>
      <w:r>
        <w:rPr>
          <w:rFonts w:hint="eastAsia" w:ascii="宋体" w:hAnsi="宋体"/>
          <w:b/>
          <w:szCs w:val="21"/>
          <w:highlight w:val="none"/>
        </w:rPr>
        <w:t>二、采购人的采购需求</w:t>
      </w:r>
    </w:p>
    <w:tbl>
      <w:tblPr>
        <w:tblStyle w:val="45"/>
        <w:tblW w:w="901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707"/>
        <w:gridCol w:w="2774"/>
        <w:gridCol w:w="1410"/>
        <w:gridCol w:w="733"/>
        <w:gridCol w:w="1687"/>
        <w:gridCol w:w="1706"/>
      </w:tblGrid>
      <w:tr w14:paraId="33EE276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900" w:hRule="atLeast"/>
          <w:jc w:val="center"/>
        </w:trPr>
        <w:tc>
          <w:tcPr>
            <w:tcW w:w="707" w:type="dxa"/>
            <w:tcBorders>
              <w:top w:val="single" w:color="auto" w:sz="8" w:space="0"/>
              <w:left w:val="single" w:color="auto" w:sz="8" w:space="0"/>
              <w:bottom w:val="single" w:color="auto" w:sz="4" w:space="0"/>
              <w:right w:val="single" w:color="auto" w:sz="8" w:space="0"/>
            </w:tcBorders>
            <w:shd w:val="clear" w:color="auto" w:fill="FFFFFF"/>
            <w:tcMar>
              <w:left w:w="108" w:type="dxa"/>
              <w:right w:w="108" w:type="dxa"/>
            </w:tcMar>
            <w:vAlign w:val="center"/>
          </w:tcPr>
          <w:p w14:paraId="191F8BFF">
            <w:pPr>
              <w:widowControl/>
              <w:spacing w:beforeAutospacing="1" w:afterAutospacing="1"/>
              <w:jc w:val="center"/>
              <w:rPr>
                <w:rFonts w:asciiTheme="majorEastAsia" w:hAnsiTheme="majorEastAsia" w:eastAsiaTheme="majorEastAsia" w:cstheme="majorEastAsia"/>
                <w:szCs w:val="21"/>
                <w:highlight w:val="none"/>
              </w:rPr>
            </w:pPr>
            <w:r>
              <w:rPr>
                <w:rFonts w:hint="eastAsia" w:ascii="宋体" w:hAnsi="宋体" w:cs="宋体"/>
                <w:b/>
                <w:kern w:val="0"/>
                <w:szCs w:val="21"/>
                <w:highlight w:val="none"/>
              </w:rPr>
              <w:t>序号</w:t>
            </w:r>
          </w:p>
        </w:tc>
        <w:tc>
          <w:tcPr>
            <w:tcW w:w="2774" w:type="dxa"/>
            <w:tcBorders>
              <w:top w:val="single" w:color="auto" w:sz="8" w:space="0"/>
              <w:left w:val="nil"/>
              <w:bottom w:val="single" w:color="auto" w:sz="4" w:space="0"/>
              <w:right w:val="single" w:color="auto" w:sz="8" w:space="0"/>
            </w:tcBorders>
            <w:shd w:val="clear" w:color="auto" w:fill="FFFFFF"/>
            <w:tcMar>
              <w:left w:w="108" w:type="dxa"/>
              <w:right w:w="108" w:type="dxa"/>
            </w:tcMar>
            <w:vAlign w:val="center"/>
          </w:tcPr>
          <w:p w14:paraId="21B8A905">
            <w:pPr>
              <w:widowControl/>
              <w:spacing w:beforeAutospacing="1" w:afterAutospacing="1"/>
              <w:jc w:val="center"/>
              <w:rPr>
                <w:rFonts w:asciiTheme="majorEastAsia" w:hAnsiTheme="majorEastAsia" w:eastAsiaTheme="majorEastAsia" w:cstheme="majorEastAsia"/>
                <w:color w:val="000000" w:themeColor="text1"/>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标的名称</w:t>
            </w:r>
          </w:p>
        </w:tc>
        <w:tc>
          <w:tcPr>
            <w:tcW w:w="1410" w:type="dxa"/>
            <w:tcBorders>
              <w:top w:val="single" w:color="auto" w:sz="8" w:space="0"/>
              <w:left w:val="nil"/>
              <w:bottom w:val="single" w:color="auto" w:sz="4" w:space="0"/>
              <w:right w:val="single" w:color="auto" w:sz="8" w:space="0"/>
            </w:tcBorders>
            <w:shd w:val="clear" w:color="auto" w:fill="FFFFFF"/>
            <w:tcMar>
              <w:left w:w="108" w:type="dxa"/>
              <w:right w:w="108" w:type="dxa"/>
            </w:tcMar>
            <w:vAlign w:val="center"/>
          </w:tcPr>
          <w:p w14:paraId="6955FE85">
            <w:pPr>
              <w:widowControl/>
              <w:spacing w:beforeAutospacing="1" w:afterAutospacing="1"/>
              <w:jc w:val="center"/>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简要技术要求</w:t>
            </w:r>
          </w:p>
        </w:tc>
        <w:tc>
          <w:tcPr>
            <w:tcW w:w="733" w:type="dxa"/>
            <w:tcBorders>
              <w:top w:val="single" w:color="auto" w:sz="8" w:space="0"/>
              <w:left w:val="nil"/>
              <w:bottom w:val="single" w:color="auto" w:sz="4" w:space="0"/>
              <w:right w:val="single" w:color="auto" w:sz="8" w:space="0"/>
            </w:tcBorders>
            <w:shd w:val="clear" w:color="auto" w:fill="FFFFFF"/>
            <w:tcMar>
              <w:left w:w="108" w:type="dxa"/>
              <w:right w:w="108" w:type="dxa"/>
            </w:tcMar>
            <w:vAlign w:val="center"/>
          </w:tcPr>
          <w:p w14:paraId="21E010F2">
            <w:pPr>
              <w:widowControl/>
              <w:spacing w:beforeAutospacing="1" w:afterAutospacing="1"/>
              <w:jc w:val="center"/>
              <w:rPr>
                <w:rFonts w:asciiTheme="majorEastAsia" w:hAnsiTheme="majorEastAsia" w:eastAsiaTheme="majorEastAsia" w:cstheme="majorEastAsia"/>
                <w:color w:val="000000" w:themeColor="text1"/>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数量</w:t>
            </w:r>
          </w:p>
        </w:tc>
        <w:tc>
          <w:tcPr>
            <w:tcW w:w="1687" w:type="dxa"/>
            <w:tcBorders>
              <w:top w:val="single" w:color="auto" w:sz="8" w:space="0"/>
              <w:left w:val="nil"/>
              <w:bottom w:val="single" w:color="auto" w:sz="4" w:space="0"/>
              <w:right w:val="single" w:color="auto" w:sz="8" w:space="0"/>
            </w:tcBorders>
            <w:shd w:val="clear" w:color="auto" w:fill="FFFFFF"/>
            <w:tcMar>
              <w:left w:w="108" w:type="dxa"/>
              <w:right w:w="108" w:type="dxa"/>
            </w:tcMar>
            <w:vAlign w:val="center"/>
          </w:tcPr>
          <w:p w14:paraId="54DC28E5">
            <w:pPr>
              <w:adjustRightInd w:val="0"/>
              <w:snapToGrid w:val="0"/>
              <w:spacing w:line="360" w:lineRule="exact"/>
              <w:jc w:val="center"/>
              <w:rPr>
                <w:rFonts w:asciiTheme="majorEastAsia" w:hAnsiTheme="majorEastAsia" w:eastAsiaTheme="majorEastAsia" w:cstheme="majorEastAsia"/>
                <w:color w:val="000000" w:themeColor="text1"/>
                <w:szCs w:val="2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采购项目预算（元人民币）</w:t>
            </w:r>
          </w:p>
        </w:tc>
        <w:tc>
          <w:tcPr>
            <w:tcW w:w="1706" w:type="dxa"/>
            <w:tcBorders>
              <w:top w:val="single" w:color="auto" w:sz="8" w:space="0"/>
              <w:left w:val="nil"/>
              <w:bottom w:val="single" w:color="auto" w:sz="4" w:space="0"/>
              <w:right w:val="single" w:color="auto" w:sz="8" w:space="0"/>
            </w:tcBorders>
            <w:shd w:val="clear" w:color="auto" w:fill="FFFFFF"/>
            <w:tcMar>
              <w:left w:w="108" w:type="dxa"/>
              <w:right w:w="108" w:type="dxa"/>
            </w:tcMar>
            <w:vAlign w:val="center"/>
          </w:tcPr>
          <w:p w14:paraId="501E746F">
            <w:pPr>
              <w:adjustRightInd w:val="0"/>
              <w:snapToGrid w:val="0"/>
              <w:spacing w:line="360" w:lineRule="exact"/>
              <w:jc w:val="center"/>
              <w:rPr>
                <w:rFonts w:ascii="宋体" w:hAnsi="宋体" w:cs="宋体"/>
                <w:b/>
                <w:color w:val="000000" w:themeColor="text1"/>
                <w:kern w:val="0"/>
                <w:szCs w:val="2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采购项目最高限价（元人民币）</w:t>
            </w:r>
          </w:p>
        </w:tc>
      </w:tr>
      <w:tr w14:paraId="622CA45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008" w:hRule="atLeast"/>
          <w:jc w:val="center"/>
        </w:trPr>
        <w:tc>
          <w:tcPr>
            <w:tcW w:w="70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38C0DFAB">
            <w:pPr>
              <w:widowControl/>
              <w:jc w:val="center"/>
              <w:rPr>
                <w:rFonts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包1</w:t>
            </w:r>
          </w:p>
        </w:tc>
        <w:tc>
          <w:tcPr>
            <w:tcW w:w="277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6DE7B8CD">
            <w:pPr>
              <w:widowControl/>
              <w:jc w:val="center"/>
              <w:rPr>
                <w:rFonts w:hint="eastAsia" w:asciiTheme="majorEastAsia" w:hAnsiTheme="majorEastAsia" w:eastAsiaTheme="majorEastAsia" w:cstheme="majorEastAsia"/>
                <w:szCs w:val="21"/>
                <w:highlight w:val="none"/>
                <w:lang w:eastAsia="zh-CN"/>
              </w:rPr>
            </w:pPr>
            <w:r>
              <w:rPr>
                <w:rFonts w:hint="eastAsia" w:asciiTheme="majorEastAsia" w:hAnsiTheme="majorEastAsia" w:eastAsiaTheme="majorEastAsia" w:cstheme="majorEastAsia"/>
                <w:szCs w:val="21"/>
                <w:highlight w:val="none"/>
                <w:lang w:eastAsia="zh-CN"/>
              </w:rPr>
              <w:t>CT等医疗设备维保</w:t>
            </w:r>
            <w:r>
              <w:rPr>
                <w:rFonts w:hint="eastAsia" w:ascii="宋体" w:hAnsi="宋体"/>
                <w:szCs w:val="21"/>
                <w:highlight w:val="none"/>
                <w:lang w:eastAsia="zh-CN"/>
              </w:rPr>
              <w:t>托管</w:t>
            </w:r>
            <w:r>
              <w:rPr>
                <w:rFonts w:hint="eastAsia" w:asciiTheme="majorEastAsia" w:hAnsiTheme="majorEastAsia" w:eastAsiaTheme="majorEastAsia" w:cstheme="majorEastAsia"/>
                <w:szCs w:val="21"/>
                <w:highlight w:val="none"/>
                <w:lang w:eastAsia="zh-CN"/>
              </w:rPr>
              <w:t>服务</w:t>
            </w:r>
          </w:p>
        </w:tc>
        <w:tc>
          <w:tcPr>
            <w:tcW w:w="1410"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51FC799">
            <w:pPr>
              <w:widowControl/>
              <w:jc w:val="center"/>
              <w:rPr>
                <w:rFonts w:asciiTheme="majorEastAsia" w:hAnsiTheme="majorEastAsia" w:eastAsiaTheme="majorEastAsia" w:cstheme="majorEastAsia"/>
                <w:color w:val="000000" w:themeColor="text1"/>
                <w:szCs w:val="2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详见招标文件</w:t>
            </w:r>
          </w:p>
        </w:tc>
        <w:tc>
          <w:tcPr>
            <w:tcW w:w="733"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61A5B4CC">
            <w:pPr>
              <w:widowControl/>
              <w:jc w:val="center"/>
              <w:rPr>
                <w:rFonts w:hint="default" w:asciiTheme="majorEastAsia" w:hAnsiTheme="majorEastAsia" w:eastAsiaTheme="majorEastAsia" w:cstheme="majorEastAsia"/>
                <w:color w:val="000000" w:themeColor="text1"/>
                <w:szCs w:val="21"/>
                <w:highlight w:val="none"/>
                <w:lang w:val="en-US"/>
                <w14:textFill>
                  <w14:solidFill>
                    <w14:schemeClr w14:val="tx1"/>
                  </w14:solidFill>
                </w14:textFill>
              </w:rPr>
            </w:pPr>
            <w:r>
              <w:rPr>
                <w:rFonts w:hint="eastAsia" w:asciiTheme="majorEastAsia" w:hAnsiTheme="majorEastAsia" w:eastAsiaTheme="majorEastAsia" w:cstheme="majorEastAsia"/>
                <w:color w:val="000000" w:themeColor="text1"/>
                <w:szCs w:val="21"/>
                <w:highlight w:val="none"/>
                <w:lang w:val="en-US" w:eastAsia="zh-CN"/>
                <w14:textFill>
                  <w14:solidFill>
                    <w14:schemeClr w14:val="tx1"/>
                  </w14:solidFill>
                </w14:textFill>
              </w:rPr>
              <w:t>3年</w:t>
            </w:r>
          </w:p>
        </w:tc>
        <w:tc>
          <w:tcPr>
            <w:tcW w:w="168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7C8B4753">
            <w:pPr>
              <w:widowControl/>
              <w:jc w:val="center"/>
              <w:rPr>
                <w:rFonts w:hint="default" w:asciiTheme="majorEastAsia" w:hAnsiTheme="majorEastAsia" w:eastAsiaTheme="majorEastAsia" w:cstheme="majorEastAsia"/>
                <w:color w:val="000000" w:themeColor="text1"/>
                <w:szCs w:val="21"/>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Cs w:val="21"/>
                <w:highlight w:val="none"/>
                <w:lang w:val="en-US" w:eastAsia="zh-CN"/>
                <w14:textFill>
                  <w14:solidFill>
                    <w14:schemeClr w14:val="tx1"/>
                  </w14:solidFill>
                </w14:textFill>
              </w:rPr>
              <w:t>3600000.00</w:t>
            </w:r>
          </w:p>
        </w:tc>
        <w:tc>
          <w:tcPr>
            <w:tcW w:w="1706"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37EE6B6B">
            <w:pPr>
              <w:widowControl/>
              <w:jc w:val="center"/>
              <w:rPr>
                <w:rFonts w:hint="eastAsia" w:asciiTheme="majorEastAsia" w:hAnsiTheme="majorEastAsia" w:eastAsiaTheme="majorEastAsia" w:cstheme="majorEastAsia"/>
                <w:b/>
                <w:bCs/>
                <w:color w:val="000000" w:themeColor="text1"/>
                <w:szCs w:val="21"/>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Cs w:val="21"/>
                <w:highlight w:val="none"/>
                <w:lang w:val="en-US" w:eastAsia="zh-CN"/>
                <w14:textFill>
                  <w14:solidFill>
                    <w14:schemeClr w14:val="tx1"/>
                  </w14:solidFill>
                </w14:textFill>
              </w:rPr>
              <w:t>3600000.00</w:t>
            </w:r>
          </w:p>
        </w:tc>
      </w:tr>
      <w:tr w14:paraId="22C1F81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008" w:hRule="atLeast"/>
          <w:jc w:val="center"/>
        </w:trPr>
        <w:tc>
          <w:tcPr>
            <w:tcW w:w="70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78AD2DDD">
            <w:pPr>
              <w:widowControl/>
              <w:jc w:val="center"/>
              <w:rPr>
                <w:rFonts w:hint="eastAsia" w:asciiTheme="majorEastAsia" w:hAnsiTheme="majorEastAsia" w:eastAsiaTheme="majorEastAsia" w:cstheme="majorEastAsia"/>
                <w:szCs w:val="21"/>
                <w:highlight w:val="none"/>
                <w:lang w:eastAsia="zh-CN"/>
              </w:rPr>
            </w:pPr>
            <w:r>
              <w:rPr>
                <w:rFonts w:hint="eastAsia" w:asciiTheme="majorEastAsia" w:hAnsiTheme="majorEastAsia" w:eastAsiaTheme="majorEastAsia" w:cstheme="majorEastAsia"/>
                <w:szCs w:val="21"/>
                <w:highlight w:val="none"/>
              </w:rPr>
              <w:t>包</w:t>
            </w:r>
            <w:r>
              <w:rPr>
                <w:rFonts w:hint="eastAsia" w:asciiTheme="majorEastAsia" w:hAnsiTheme="majorEastAsia" w:eastAsiaTheme="majorEastAsia" w:cstheme="majorEastAsia"/>
                <w:szCs w:val="21"/>
                <w:highlight w:val="none"/>
                <w:lang w:val="en-US" w:eastAsia="zh-CN"/>
              </w:rPr>
              <w:t>2</w:t>
            </w:r>
          </w:p>
        </w:tc>
        <w:tc>
          <w:tcPr>
            <w:tcW w:w="277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4C03832E">
            <w:pPr>
              <w:widowControl/>
              <w:jc w:val="center"/>
              <w:rPr>
                <w:rFonts w:hint="eastAsia" w:asciiTheme="majorEastAsia" w:hAnsiTheme="majorEastAsia" w:eastAsiaTheme="majorEastAsia" w:cstheme="majorEastAsia"/>
                <w:szCs w:val="21"/>
                <w:highlight w:val="none"/>
                <w:lang w:eastAsia="zh-CN"/>
              </w:rPr>
            </w:pPr>
            <w:r>
              <w:rPr>
                <w:rFonts w:hint="eastAsia" w:asciiTheme="majorEastAsia" w:hAnsiTheme="majorEastAsia" w:eastAsiaTheme="majorEastAsia" w:cstheme="majorEastAsia"/>
                <w:szCs w:val="21"/>
                <w:highlight w:val="none"/>
                <w:lang w:eastAsia="zh-CN"/>
              </w:rPr>
              <w:t>内镜维保</w:t>
            </w:r>
            <w:r>
              <w:rPr>
                <w:rFonts w:hint="eastAsia" w:ascii="宋体" w:hAnsi="宋体"/>
                <w:szCs w:val="21"/>
                <w:highlight w:val="none"/>
                <w:lang w:eastAsia="zh-CN"/>
              </w:rPr>
              <w:t>托管</w:t>
            </w:r>
            <w:r>
              <w:rPr>
                <w:rFonts w:hint="eastAsia" w:asciiTheme="majorEastAsia" w:hAnsiTheme="majorEastAsia" w:eastAsiaTheme="majorEastAsia" w:cstheme="majorEastAsia"/>
                <w:szCs w:val="21"/>
                <w:highlight w:val="none"/>
                <w:lang w:eastAsia="zh-CN"/>
              </w:rPr>
              <w:t>服务</w:t>
            </w:r>
          </w:p>
        </w:tc>
        <w:tc>
          <w:tcPr>
            <w:tcW w:w="1410"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4DB7CE5B">
            <w:pPr>
              <w:widowControl/>
              <w:jc w:val="center"/>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详见招标文件</w:t>
            </w:r>
          </w:p>
        </w:tc>
        <w:tc>
          <w:tcPr>
            <w:tcW w:w="733"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78A5B7E7">
            <w:pPr>
              <w:widowControl/>
              <w:jc w:val="center"/>
              <w:rPr>
                <w:rFonts w:hint="eastAsia" w:asciiTheme="majorEastAsia" w:hAnsiTheme="majorEastAsia" w:eastAsiaTheme="majorEastAsia" w:cstheme="majorEastAsia"/>
                <w:color w:val="000000" w:themeColor="text1"/>
                <w:szCs w:val="21"/>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Cs w:val="21"/>
                <w:highlight w:val="none"/>
                <w:lang w:val="en-US" w:eastAsia="zh-CN"/>
                <w14:textFill>
                  <w14:solidFill>
                    <w14:schemeClr w14:val="tx1"/>
                  </w14:solidFill>
                </w14:textFill>
              </w:rPr>
              <w:t>3年</w:t>
            </w:r>
          </w:p>
        </w:tc>
        <w:tc>
          <w:tcPr>
            <w:tcW w:w="168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2454E792">
            <w:pPr>
              <w:widowControl/>
              <w:jc w:val="center"/>
              <w:rPr>
                <w:rFonts w:hint="default" w:asciiTheme="majorEastAsia" w:hAnsiTheme="majorEastAsia" w:eastAsiaTheme="majorEastAsia" w:cstheme="majorEastAsia"/>
                <w:color w:val="000000" w:themeColor="text1"/>
                <w:kern w:val="2"/>
                <w:sz w:val="21"/>
                <w:szCs w:val="21"/>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2"/>
                <w:sz w:val="21"/>
                <w:szCs w:val="21"/>
                <w:highlight w:val="none"/>
                <w:lang w:val="en-US" w:eastAsia="zh-CN" w:bidi="ar-SA"/>
                <w14:textFill>
                  <w14:solidFill>
                    <w14:schemeClr w14:val="tx1"/>
                  </w14:solidFill>
                </w14:textFill>
              </w:rPr>
              <w:t>1350000.00</w:t>
            </w:r>
          </w:p>
        </w:tc>
        <w:tc>
          <w:tcPr>
            <w:tcW w:w="1706"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3A1EDD7">
            <w:pPr>
              <w:widowControl/>
              <w:jc w:val="center"/>
              <w:rPr>
                <w:rFonts w:hint="eastAsia" w:ascii="宋体" w:hAnsi="宋体" w:cs="宋体" w:eastAsiaTheme="majorEastAsia"/>
                <w:kern w:val="2"/>
                <w:sz w:val="21"/>
                <w:szCs w:val="24"/>
                <w:highlight w:val="none"/>
                <w:lang w:val="en-US" w:eastAsia="zh-CN" w:bidi="ar-SA"/>
              </w:rPr>
            </w:pPr>
            <w:r>
              <w:rPr>
                <w:rFonts w:hint="eastAsia" w:asciiTheme="majorEastAsia" w:hAnsiTheme="majorEastAsia" w:eastAsiaTheme="majorEastAsia" w:cstheme="majorEastAsia"/>
                <w:color w:val="000000" w:themeColor="text1"/>
                <w:kern w:val="2"/>
                <w:sz w:val="21"/>
                <w:szCs w:val="21"/>
                <w:highlight w:val="none"/>
                <w:lang w:val="en-US" w:eastAsia="zh-CN" w:bidi="ar-SA"/>
                <w14:textFill>
                  <w14:solidFill>
                    <w14:schemeClr w14:val="tx1"/>
                  </w14:solidFill>
                </w14:textFill>
              </w:rPr>
              <w:t>1350000.00</w:t>
            </w:r>
          </w:p>
        </w:tc>
      </w:tr>
    </w:tbl>
    <w:p w14:paraId="7D64765D">
      <w:pPr>
        <w:adjustRightInd w:val="0"/>
        <w:snapToGrid w:val="0"/>
        <w:spacing w:line="360" w:lineRule="auto"/>
        <w:ind w:firstLine="422" w:firstLineChars="200"/>
        <w:rPr>
          <w:rFonts w:hint="eastAsia" w:ascii="宋体" w:hAnsi="宋体"/>
          <w:b/>
          <w:szCs w:val="21"/>
          <w:highlight w:val="none"/>
        </w:rPr>
      </w:pPr>
      <w:r>
        <w:rPr>
          <w:rFonts w:hint="eastAsia" w:ascii="宋体" w:hAnsi="宋体" w:eastAsia="宋体" w:cs="Times New Roman"/>
          <w:b/>
          <w:bCs/>
          <w:szCs w:val="21"/>
          <w:highlight w:val="none"/>
          <w:lang w:val="en-US" w:eastAsia="zh-CN"/>
        </w:rPr>
        <w:t>注：</w:t>
      </w:r>
      <w:r>
        <w:rPr>
          <w:rFonts w:hint="eastAsia" w:ascii="宋体" w:hAnsi="宋体"/>
          <w:b/>
          <w:bCs/>
          <w:color w:val="auto"/>
          <w:szCs w:val="21"/>
          <w:highlight w:val="none"/>
        </w:rPr>
        <w:t>同一家公司可以投多个包，但同一家公司只允许中标</w:t>
      </w:r>
      <w:r>
        <w:rPr>
          <w:rFonts w:hint="eastAsia" w:ascii="宋体" w:hAnsi="宋体"/>
          <w:b/>
          <w:bCs/>
          <w:color w:val="auto"/>
          <w:szCs w:val="21"/>
          <w:highlight w:val="none"/>
          <w:lang w:val="en-US" w:eastAsia="zh-CN"/>
        </w:rPr>
        <w:t>1</w:t>
      </w:r>
      <w:r>
        <w:rPr>
          <w:rFonts w:hint="eastAsia" w:ascii="宋体" w:hAnsi="宋体"/>
          <w:b/>
          <w:bCs/>
          <w:color w:val="auto"/>
          <w:szCs w:val="21"/>
          <w:highlight w:val="none"/>
        </w:rPr>
        <w:t>个包</w:t>
      </w:r>
      <w:r>
        <w:rPr>
          <w:rFonts w:hint="eastAsia" w:ascii="宋体" w:hAnsi="宋体"/>
          <w:b/>
          <w:bCs/>
          <w:color w:val="auto"/>
          <w:szCs w:val="21"/>
          <w:highlight w:val="none"/>
          <w:lang w:eastAsia="zh-CN"/>
        </w:rPr>
        <w:t>（</w:t>
      </w:r>
      <w:r>
        <w:rPr>
          <w:rFonts w:hint="eastAsia" w:ascii="宋体" w:hAnsi="宋体"/>
          <w:b/>
          <w:bCs/>
          <w:color w:val="auto"/>
          <w:szCs w:val="21"/>
          <w:highlight w:val="none"/>
          <w:lang w:val="en-US" w:eastAsia="zh-CN"/>
        </w:rPr>
        <w:t>如包1中标人，在包2评审中，仍为第一中标候选人，则采购人确定第二中标候选人为该包中标人</w:t>
      </w:r>
      <w:r>
        <w:rPr>
          <w:rFonts w:hint="eastAsia" w:ascii="宋体" w:hAnsi="宋体"/>
          <w:b/>
          <w:bCs/>
          <w:color w:val="auto"/>
          <w:szCs w:val="21"/>
          <w:highlight w:val="none"/>
          <w:lang w:eastAsia="zh-CN"/>
        </w:rPr>
        <w:t>），</w:t>
      </w:r>
      <w:r>
        <w:rPr>
          <w:rFonts w:hint="eastAsia" w:ascii="宋体" w:hAnsi="宋体"/>
          <w:b/>
          <w:bCs/>
          <w:color w:val="auto"/>
          <w:szCs w:val="21"/>
          <w:highlight w:val="none"/>
          <w:lang w:val="en-US" w:eastAsia="zh-CN"/>
        </w:rPr>
        <w:t>本项目</w:t>
      </w:r>
      <w:r>
        <w:rPr>
          <w:rFonts w:hint="eastAsia" w:ascii="宋体" w:hAnsi="宋体"/>
          <w:b/>
          <w:bCs/>
          <w:color w:val="auto"/>
          <w:szCs w:val="21"/>
          <w:highlight w:val="none"/>
        </w:rPr>
        <w:t>按照包</w:t>
      </w:r>
      <w:r>
        <w:rPr>
          <w:rFonts w:hint="eastAsia" w:ascii="宋体" w:hAnsi="宋体"/>
          <w:b/>
          <w:bCs/>
          <w:color w:val="auto"/>
          <w:szCs w:val="21"/>
          <w:highlight w:val="none"/>
          <w:lang w:val="en-US" w:eastAsia="zh-CN"/>
        </w:rPr>
        <w:t>1</w:t>
      </w:r>
      <w:r>
        <w:rPr>
          <w:rFonts w:hint="eastAsia" w:ascii="宋体" w:hAnsi="宋体"/>
          <w:b/>
          <w:bCs/>
          <w:color w:val="auto"/>
          <w:szCs w:val="21"/>
          <w:highlight w:val="none"/>
        </w:rPr>
        <w:t>、包</w:t>
      </w:r>
      <w:r>
        <w:rPr>
          <w:rFonts w:hint="eastAsia" w:ascii="宋体" w:hAnsi="宋体"/>
          <w:b/>
          <w:bCs/>
          <w:color w:val="auto"/>
          <w:szCs w:val="21"/>
          <w:highlight w:val="none"/>
          <w:lang w:val="en-US" w:eastAsia="zh-CN"/>
        </w:rPr>
        <w:t>2</w:t>
      </w:r>
      <w:r>
        <w:rPr>
          <w:rFonts w:hint="eastAsia" w:ascii="宋体" w:hAnsi="宋体"/>
          <w:b/>
          <w:bCs/>
          <w:color w:val="auto"/>
          <w:szCs w:val="21"/>
          <w:highlight w:val="none"/>
        </w:rPr>
        <w:t>的顺序进行</w:t>
      </w:r>
      <w:r>
        <w:rPr>
          <w:rFonts w:hint="eastAsia" w:ascii="宋体" w:hAnsi="宋体"/>
          <w:b/>
          <w:bCs/>
          <w:color w:val="auto"/>
          <w:szCs w:val="21"/>
          <w:highlight w:val="none"/>
          <w:lang w:val="en-US" w:eastAsia="zh-CN"/>
        </w:rPr>
        <w:t>确定</w:t>
      </w:r>
      <w:r>
        <w:rPr>
          <w:rFonts w:hint="eastAsia" w:ascii="宋体" w:hAnsi="宋体"/>
          <w:b/>
          <w:bCs/>
          <w:color w:val="auto"/>
          <w:szCs w:val="21"/>
          <w:highlight w:val="none"/>
        </w:rPr>
        <w:t>。如中标单位放弃中标资格或无法履约的，按相关规定上报相关部门处理。</w:t>
      </w:r>
    </w:p>
    <w:p w14:paraId="03F49E84">
      <w:pPr>
        <w:adjustRightInd w:val="0"/>
        <w:snapToGrid w:val="0"/>
        <w:spacing w:line="360" w:lineRule="auto"/>
        <w:ind w:firstLine="422" w:firstLineChars="200"/>
        <w:rPr>
          <w:rFonts w:hint="eastAsia" w:ascii="宋体" w:hAnsi="宋体"/>
          <w:b/>
          <w:szCs w:val="21"/>
          <w:highlight w:val="none"/>
        </w:rPr>
      </w:pPr>
      <w:r>
        <w:rPr>
          <w:rFonts w:hint="eastAsia" w:ascii="宋体" w:hAnsi="宋体"/>
          <w:b/>
          <w:szCs w:val="21"/>
          <w:highlight w:val="none"/>
          <w:lang w:val="en-US" w:eastAsia="zh-CN"/>
        </w:rPr>
        <w:t>三、</w:t>
      </w:r>
      <w:r>
        <w:rPr>
          <w:rFonts w:hint="eastAsia" w:ascii="宋体" w:hAnsi="宋体"/>
          <w:b/>
          <w:szCs w:val="21"/>
          <w:highlight w:val="none"/>
        </w:rPr>
        <w:t>采购项目需要落实的政府采购政策</w:t>
      </w:r>
      <w:r>
        <w:rPr>
          <w:rFonts w:hint="eastAsia" w:ascii="宋体" w:hAnsi="宋体"/>
          <w:szCs w:val="21"/>
          <w:highlight w:val="none"/>
        </w:rPr>
        <w:t>：</w:t>
      </w:r>
      <w:r>
        <w:rPr>
          <w:rFonts w:hint="eastAsia" w:ascii="宋体" w:hAnsi="宋体"/>
          <w:b/>
          <w:szCs w:val="21"/>
          <w:highlight w:val="none"/>
        </w:rPr>
        <w:t>(说明：采购代理机构应根据采购项目特点选择或删除以下内容)</w:t>
      </w:r>
    </w:p>
    <w:p w14:paraId="019E97DA">
      <w:pPr>
        <w:adjustRightInd w:val="0"/>
        <w:snapToGrid w:val="0"/>
        <w:spacing w:line="360" w:lineRule="auto"/>
        <w:ind w:firstLine="420" w:firstLineChars="200"/>
        <w:rPr>
          <w:rFonts w:ascii="宋体" w:hAnsi="宋体"/>
          <w:szCs w:val="21"/>
          <w:highlight w:val="none"/>
        </w:rPr>
      </w:pPr>
      <w:r>
        <w:rPr>
          <w:rFonts w:hint="eastAsia" w:asciiTheme="minorEastAsia" w:hAnsiTheme="minorEastAsia" w:eastAsiaTheme="minorEastAsia"/>
          <w:highlight w:val="none"/>
          <w:lang w:eastAsia="zh-CN"/>
        </w:rPr>
        <w:t>□</w:t>
      </w:r>
      <w:r>
        <w:rPr>
          <w:rFonts w:hint="eastAsia" w:ascii="宋体" w:hAnsi="宋体"/>
          <w:szCs w:val="21"/>
          <w:highlight w:val="none"/>
        </w:rPr>
        <w:t>强制采购：政府采购实行强制采购的节能产品。</w:t>
      </w:r>
    </w:p>
    <w:p w14:paraId="546C3D66">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优先采购：政府采购鼓励采购</w:t>
      </w:r>
      <w:r>
        <w:rPr>
          <w:rFonts w:hint="eastAsia" w:asciiTheme="minorEastAsia" w:hAnsiTheme="minorEastAsia" w:eastAsiaTheme="minorEastAsia"/>
          <w:szCs w:val="21"/>
          <w:highlight w:val="none"/>
        </w:rPr>
        <w:t>节能产品、环境标志产品</w:t>
      </w:r>
      <w:r>
        <w:rPr>
          <w:rFonts w:hint="eastAsia" w:ascii="宋体" w:hAnsi="宋体"/>
          <w:szCs w:val="21"/>
          <w:highlight w:val="none"/>
        </w:rPr>
        <w:t>。</w:t>
      </w:r>
    </w:p>
    <w:p w14:paraId="40400951">
      <w:pPr>
        <w:adjustRightInd w:val="0"/>
        <w:snapToGrid w:val="0"/>
        <w:spacing w:line="360" w:lineRule="auto"/>
        <w:ind w:firstLine="420" w:firstLineChars="200"/>
        <w:rPr>
          <w:rFonts w:ascii="宋体" w:hAnsi="宋体"/>
          <w:szCs w:val="21"/>
          <w:highlight w:val="none"/>
        </w:rPr>
      </w:pPr>
      <w:r>
        <w:rPr>
          <w:rFonts w:hint="eastAsia" w:asciiTheme="minorEastAsia" w:hAnsiTheme="minorEastAsia" w:eastAsiaTheme="minorEastAsia"/>
          <w:highlight w:val="none"/>
          <w:lang w:eastAsia="zh-CN"/>
        </w:rPr>
        <w:t>□</w:t>
      </w:r>
      <w:r>
        <w:rPr>
          <w:rFonts w:hint="eastAsia" w:ascii="宋体" w:hAnsi="宋体"/>
          <w:szCs w:val="21"/>
          <w:highlight w:val="none"/>
        </w:rPr>
        <w:t>价格评审优惠：政府采购促进小微企业发展（包括政府采购支持监狱企业发展、政府采购促进残疾人就业）。</w:t>
      </w:r>
    </w:p>
    <w:p w14:paraId="4A1C4050">
      <w:pPr>
        <w:adjustRightInd w:val="0"/>
        <w:snapToGrid w:val="0"/>
        <w:spacing w:line="360" w:lineRule="auto"/>
        <w:ind w:firstLine="422" w:firstLineChars="200"/>
        <w:rPr>
          <w:rFonts w:ascii="宋体" w:hAnsi="宋体"/>
          <w:szCs w:val="21"/>
          <w:highlight w:val="none"/>
        </w:rPr>
      </w:pPr>
      <w:r>
        <w:rPr>
          <w:rFonts w:hint="eastAsia" w:ascii="宋体" w:hAnsi="宋体"/>
          <w:b/>
          <w:szCs w:val="21"/>
          <w:highlight w:val="none"/>
          <w:lang w:val="en-US" w:eastAsia="zh-CN"/>
        </w:rPr>
        <w:t>四</w:t>
      </w:r>
      <w:r>
        <w:rPr>
          <w:rFonts w:hint="eastAsia" w:ascii="宋体" w:hAnsi="宋体"/>
          <w:b/>
          <w:szCs w:val="21"/>
          <w:highlight w:val="none"/>
        </w:rPr>
        <w:t>、投标人的资格要求</w:t>
      </w:r>
      <w:r>
        <w:rPr>
          <w:rFonts w:hint="eastAsia" w:ascii="宋体" w:hAnsi="宋体"/>
          <w:szCs w:val="21"/>
          <w:highlight w:val="none"/>
        </w:rPr>
        <w:t>：</w:t>
      </w:r>
    </w:p>
    <w:p w14:paraId="6F73811D">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1、投标人的基本资格条件：应当符合《政府采购法》第二十二条第一款的规定，即：</w:t>
      </w:r>
    </w:p>
    <w:p w14:paraId="6761DDA7">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（1）具有独立承担民事责任的能力；</w:t>
      </w:r>
    </w:p>
    <w:p w14:paraId="7AFDE0F6">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（2）具有良好的商业信誉和健全的财务会计制度；</w:t>
      </w:r>
    </w:p>
    <w:p w14:paraId="6847ABE7">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（3）具有履行合同所必需的设备和专业技术能力；</w:t>
      </w:r>
    </w:p>
    <w:p w14:paraId="2E777D0B">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（4）有依法缴纳税收和社会保障资金的良好记录；</w:t>
      </w:r>
    </w:p>
    <w:p w14:paraId="5908B451">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（5）参加政府采购活动前三年内，在经营活动中没有重大违法记录；</w:t>
      </w:r>
    </w:p>
    <w:p w14:paraId="377EBC3C">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（6）法律、行政法规规定的其他条件。</w:t>
      </w:r>
    </w:p>
    <w:p w14:paraId="236BC7F5">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投标人提供以下资格证明材料：</w:t>
      </w:r>
    </w:p>
    <w:p w14:paraId="4D271C38">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1.1 提供有效的具有统一社会信用代码的《营业执照》副本。</w:t>
      </w:r>
    </w:p>
    <w:p w14:paraId="39280950">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1.2 提供法定代表人身份证明及法定代表人的身份证，或法定代表人身份证明、法定代表人授权委托书及其委托代理人的身份证。</w:t>
      </w:r>
    </w:p>
    <w:p w14:paraId="5CFE376E">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1.3 提供湖南省政府采购供应商资格承诺函。</w:t>
      </w:r>
    </w:p>
    <w:p w14:paraId="6AAB0E3F">
      <w:pPr>
        <w:adjustRightInd w:val="0"/>
        <w:snapToGrid w:val="0"/>
        <w:spacing w:line="360" w:lineRule="auto"/>
        <w:ind w:firstLine="420" w:firstLineChars="200"/>
        <w:rPr>
          <w:rFonts w:hint="default" w:ascii="宋体" w:hAnsi="宋体"/>
          <w:szCs w:val="21"/>
          <w:highlight w:val="none"/>
          <w:lang w:val="en-US" w:eastAsia="zh-CN"/>
        </w:rPr>
      </w:pPr>
      <w:r>
        <w:rPr>
          <w:rFonts w:hint="eastAsia" w:ascii="宋体" w:hAnsi="宋体"/>
          <w:szCs w:val="21"/>
          <w:highlight w:val="none"/>
          <w:lang w:val="en-US" w:eastAsia="zh-CN"/>
        </w:rPr>
        <w:t xml:space="preserve">1.4 </w:t>
      </w:r>
      <w:r>
        <w:rPr>
          <w:rFonts w:hint="eastAsia" w:ascii="宋体" w:hAnsi="宋体"/>
          <w:szCs w:val="21"/>
          <w:highlight w:val="none"/>
        </w:rPr>
        <w:t>提供</w:t>
      </w:r>
      <w:r>
        <w:rPr>
          <w:rFonts w:hint="eastAsia" w:ascii="宋体" w:hAnsi="宋体"/>
          <w:szCs w:val="21"/>
          <w:highlight w:val="none"/>
          <w:lang w:val="en-US" w:eastAsia="zh-CN"/>
        </w:rPr>
        <w:t>投标人资格声明。</w:t>
      </w:r>
    </w:p>
    <w:p w14:paraId="482FB8E6">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5</w:t>
      </w:r>
      <w:r>
        <w:rPr>
          <w:rFonts w:hint="eastAsia" w:ascii="宋体" w:hAnsi="宋体"/>
          <w:szCs w:val="21"/>
          <w:highlight w:val="none"/>
        </w:rPr>
        <w:t xml:space="preserve"> 被“信用中国”“信用湖南”“信用郴州”网站列入失信被执行人和重大税收违法案件当事人名单的、被“中国政府采购网”“湖南省政府采购网”网站列入政府采购严重违法失信行为记录名单（处罚期限尚未届满的），不得参与本项目的政府采购活动。</w:t>
      </w:r>
    </w:p>
    <w:p w14:paraId="0A6CD320">
      <w:pPr>
        <w:adjustRightInd w:val="0"/>
        <w:snapToGrid w:val="0"/>
        <w:spacing w:line="360" w:lineRule="auto"/>
        <w:ind w:firstLine="422" w:firstLineChars="200"/>
        <w:rPr>
          <w:rFonts w:ascii="宋体" w:hAnsi="宋体"/>
          <w:szCs w:val="21"/>
          <w:highlight w:val="none"/>
        </w:rPr>
      </w:pPr>
      <w:r>
        <w:rPr>
          <w:rFonts w:hint="eastAsia" w:ascii="宋体" w:hAnsi="宋体"/>
          <w:b/>
          <w:bCs/>
          <w:szCs w:val="21"/>
          <w:highlight w:val="none"/>
        </w:rPr>
        <w:t>2、落实政府采购政策需满足的资格要求</w:t>
      </w:r>
    </w:p>
    <w:p w14:paraId="07E63D0E">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专门面向：</w:t>
      </w:r>
      <w:r>
        <w:rPr>
          <w:rFonts w:hint="eastAsia" w:ascii="宋体" w:hAnsi="宋体"/>
          <w:szCs w:val="21"/>
          <w:highlight w:val="none"/>
          <w:lang w:eastAsia="zh-CN"/>
        </w:rPr>
        <w:t>☑</w:t>
      </w:r>
      <w:r>
        <w:rPr>
          <w:rFonts w:hint="eastAsia" w:ascii="宋体" w:hAnsi="宋体"/>
          <w:szCs w:val="21"/>
          <w:highlight w:val="none"/>
        </w:rPr>
        <w:t>中小企业  □小型、微型企业  □监狱企业  □福利性单位</w:t>
      </w:r>
    </w:p>
    <w:p w14:paraId="2912E4D6">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□强制分包：大型企业应将采购份额的</w:t>
      </w:r>
      <w:r>
        <w:rPr>
          <w:rFonts w:hint="eastAsia" w:ascii="宋体" w:hAnsi="宋体"/>
          <w:szCs w:val="21"/>
          <w:highlight w:val="none"/>
          <w:u w:val="single"/>
        </w:rPr>
        <w:t xml:space="preserve"> / </w:t>
      </w:r>
      <w:r>
        <w:rPr>
          <w:rFonts w:hint="eastAsia" w:ascii="宋体" w:hAnsi="宋体"/>
          <w:szCs w:val="21"/>
          <w:highlight w:val="none"/>
        </w:rPr>
        <w:t>%分包给中小企业。</w:t>
      </w:r>
    </w:p>
    <w:p w14:paraId="65A8B10C">
      <w:pPr>
        <w:numPr>
          <w:ilvl w:val="0"/>
          <w:numId w:val="1"/>
        </w:numPr>
        <w:adjustRightInd w:val="0"/>
        <w:snapToGrid w:val="0"/>
        <w:spacing w:line="360" w:lineRule="auto"/>
        <w:ind w:firstLine="420" w:firstLineChars="200"/>
        <w:rPr>
          <w:rFonts w:hint="default" w:ascii="宋体" w:hAnsi="宋体"/>
          <w:color w:val="auto"/>
          <w:szCs w:val="21"/>
          <w:highlight w:val="none"/>
          <w:lang w:val="en-US"/>
        </w:rPr>
      </w:pPr>
      <w:r>
        <w:rPr>
          <w:rFonts w:hint="eastAsia" w:ascii="宋体" w:hAnsi="宋体"/>
          <w:szCs w:val="21"/>
          <w:highlight w:val="none"/>
        </w:rPr>
        <w:t>采购项目的特定资格条件</w:t>
      </w:r>
      <w:r>
        <w:rPr>
          <w:rFonts w:hint="eastAsia" w:ascii="宋体" w:hAnsi="宋体"/>
          <w:color w:val="auto"/>
          <w:szCs w:val="21"/>
          <w:highlight w:val="none"/>
        </w:rPr>
        <w:t>：</w:t>
      </w:r>
      <w:r>
        <w:rPr>
          <w:rFonts w:hint="eastAsia" w:ascii="宋体" w:hAnsi="宋体"/>
          <w:color w:val="auto"/>
          <w:szCs w:val="21"/>
          <w:highlight w:val="none"/>
          <w:lang w:eastAsia="zh-CN"/>
        </w:rPr>
        <w:t>投标人须具有医疗器械经营许可证（或相应的备案凭证）</w:t>
      </w:r>
      <w:r>
        <w:rPr>
          <w:rFonts w:hint="eastAsia" w:ascii="宋体" w:hAnsi="宋体"/>
          <w:color w:val="auto"/>
          <w:szCs w:val="21"/>
          <w:highlight w:val="none"/>
        </w:rPr>
        <w:t>。</w:t>
      </w:r>
    </w:p>
    <w:p w14:paraId="09D2D9EF">
      <w:pPr>
        <w:pageBreakBefore w:val="0"/>
        <w:widowControl/>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楷体"/>
          <w:szCs w:val="21"/>
          <w:highlight w:val="none"/>
          <w:lang w:val="en-US" w:eastAsia="zh-CN"/>
        </w:rPr>
      </w:pPr>
      <w:r>
        <w:rPr>
          <w:rFonts w:hint="eastAsia" w:ascii="宋体" w:hAnsi="宋体"/>
          <w:szCs w:val="21"/>
          <w:highlight w:val="none"/>
        </w:rPr>
        <w:t>4、单位负责人为同一人或者存在直接控股、管理关系的不同投标人，不得参加同一合同项下的政府采购活动。</w:t>
      </w:r>
    </w:p>
    <w:p w14:paraId="6D91D962">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5、为采购项目提供整体设计、规范编制或者项目管理、监理、检测等服务的，不得再参加此项目的其他招标采购活动。</w:t>
      </w:r>
    </w:p>
    <w:p w14:paraId="10229D5C">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6、列入失信被执行人、重大税收违法案件当事人名单，列入政府采购严重违法失信行为记录名单的，拒绝其参与政府采购活动。</w:t>
      </w:r>
    </w:p>
    <w:p w14:paraId="3FF18422">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7、联合体投标。本次招标</w:t>
      </w:r>
      <w:r>
        <w:rPr>
          <w:rFonts w:hint="eastAsia" w:ascii="宋体" w:hAnsi="宋体"/>
          <w:szCs w:val="21"/>
          <w:highlight w:val="none"/>
          <w:u w:val="single"/>
        </w:rPr>
        <w:t xml:space="preserve">  不接受  </w:t>
      </w:r>
      <w:r>
        <w:rPr>
          <w:rFonts w:hint="eastAsia" w:ascii="宋体" w:hAnsi="宋体"/>
          <w:szCs w:val="21"/>
          <w:highlight w:val="none"/>
        </w:rPr>
        <w:t>(接受或不接受)联合体投标。</w:t>
      </w:r>
    </w:p>
    <w:p w14:paraId="1BEA12BC">
      <w:pPr>
        <w:adjustRightInd w:val="0"/>
        <w:snapToGrid w:val="0"/>
        <w:spacing w:line="360" w:lineRule="auto"/>
        <w:ind w:firstLine="422" w:firstLineChars="200"/>
        <w:rPr>
          <w:rFonts w:ascii="宋体" w:hAnsi="宋体"/>
          <w:b/>
          <w:szCs w:val="21"/>
          <w:highlight w:val="none"/>
        </w:rPr>
      </w:pPr>
      <w:r>
        <w:rPr>
          <w:rFonts w:hint="eastAsia" w:ascii="宋体" w:hAnsi="宋体"/>
          <w:b/>
          <w:szCs w:val="21"/>
          <w:highlight w:val="none"/>
          <w:lang w:val="en-US" w:eastAsia="zh-CN"/>
        </w:rPr>
        <w:t>五</w:t>
      </w:r>
      <w:r>
        <w:rPr>
          <w:rFonts w:hint="eastAsia" w:ascii="宋体" w:hAnsi="宋体"/>
          <w:b/>
          <w:szCs w:val="21"/>
          <w:highlight w:val="none"/>
        </w:rPr>
        <w:t>、获取招标文件的方式</w:t>
      </w:r>
    </w:p>
    <w:p w14:paraId="613213D2">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凡符合投标资格要求并有意参加投标者，可在公告发布之日起至提交投标文件截止之日通过郴州市公共资源交易中心(http://czggzy.czs.gov.cn/)免费获取电子招标文件。</w:t>
      </w:r>
    </w:p>
    <w:p w14:paraId="22606D10">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公开招标文件及修改、澄清文件获取方式:投标人应在本项目获取招标文件截止时间前登录郴州市公共资源交易中心(http://czggzy.czs.gov.cn/)中进入"政府采购交易系统进行“用户登录”“我要投标”“下载文件”操作，逾期将不能获取文件。修改、澄清后的招标文件请投标人自行在以上网站下载或查阅,恕不另行通知，如有遗漏投标人自行承担全部责任。</w:t>
      </w:r>
    </w:p>
    <w:p w14:paraId="6B1E9F4A">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通过网络下载，其招标文件与备案的书面招标文件具有同等法律效力。投标人应及时关注网上相关招标信息，如有遗漏（包括但不限于文件未下载或下载不完整）招标人概不负责，所造成的投标失败或损失由投标人自行负责。</w:t>
      </w:r>
    </w:p>
    <w:p w14:paraId="770E9E4E">
      <w:pPr>
        <w:adjustRightInd w:val="0"/>
        <w:snapToGrid w:val="0"/>
        <w:spacing w:line="360" w:lineRule="auto"/>
        <w:ind w:firstLine="422" w:firstLineChars="200"/>
        <w:rPr>
          <w:rFonts w:ascii="宋体" w:hAnsi="宋体"/>
          <w:b/>
          <w:szCs w:val="21"/>
          <w:highlight w:val="none"/>
        </w:rPr>
      </w:pPr>
      <w:r>
        <w:rPr>
          <w:rFonts w:hint="eastAsia" w:ascii="宋体" w:hAnsi="宋体"/>
          <w:b/>
          <w:szCs w:val="21"/>
          <w:highlight w:val="none"/>
          <w:lang w:val="en-US" w:eastAsia="zh-CN"/>
        </w:rPr>
        <w:t>六</w:t>
      </w:r>
      <w:r>
        <w:rPr>
          <w:rFonts w:hint="eastAsia" w:ascii="宋体" w:hAnsi="宋体"/>
          <w:b/>
          <w:szCs w:val="21"/>
          <w:highlight w:val="none"/>
        </w:rPr>
        <w:t>、投标截止时间、开标时间及地点</w:t>
      </w:r>
    </w:p>
    <w:p w14:paraId="1DF4C565">
      <w:pPr>
        <w:spacing w:line="440" w:lineRule="exact"/>
        <w:ind w:firstLine="420" w:firstLineChars="200"/>
        <w:rPr>
          <w:rFonts w:ascii="宋体" w:hAnsi="宋体"/>
          <w:highlight w:val="none"/>
        </w:rPr>
      </w:pPr>
      <w:r>
        <w:rPr>
          <w:rFonts w:hint="eastAsia" w:ascii="宋体" w:hAnsi="宋体"/>
          <w:highlight w:val="none"/>
        </w:rPr>
        <w:t>1、提交投标文件的截止时间：</w:t>
      </w:r>
      <w:r>
        <w:rPr>
          <w:rFonts w:hint="eastAsia" w:ascii="宋体" w:hAnsi="宋体" w:cs="宋体"/>
          <w:kern w:val="0"/>
          <w:highlight w:val="yellow"/>
          <w:lang w:eastAsia="zh-CN"/>
        </w:rPr>
        <w:t>2026年9月2日9时30分</w:t>
      </w:r>
      <w:r>
        <w:rPr>
          <w:rFonts w:hint="eastAsia" w:ascii="宋体" w:hAnsi="宋体"/>
          <w:highlight w:val="none"/>
        </w:rPr>
        <w:t>（北京时间），超过截止时间的投标将被拒绝。</w:t>
      </w:r>
    </w:p>
    <w:p w14:paraId="271ACFD4">
      <w:pPr>
        <w:spacing w:line="440" w:lineRule="exact"/>
        <w:ind w:firstLine="420" w:firstLineChars="200"/>
        <w:rPr>
          <w:rFonts w:ascii="宋体" w:hAnsi="宋体"/>
          <w:highlight w:val="none"/>
        </w:rPr>
      </w:pPr>
      <w:r>
        <w:rPr>
          <w:rFonts w:hint="eastAsia" w:ascii="宋体" w:hAnsi="宋体"/>
          <w:highlight w:val="none"/>
        </w:rPr>
        <w:t>2、开标时间：</w:t>
      </w:r>
      <w:r>
        <w:rPr>
          <w:rFonts w:hint="eastAsia" w:ascii="宋体" w:hAnsi="宋体" w:cs="宋体"/>
          <w:kern w:val="0"/>
          <w:highlight w:val="yellow"/>
          <w:lang w:eastAsia="zh-CN"/>
        </w:rPr>
        <w:t>2026年9月2日9时30分</w:t>
      </w:r>
      <w:r>
        <w:rPr>
          <w:rFonts w:hint="eastAsia" w:ascii="宋体" w:hAnsi="宋体"/>
          <w:highlight w:val="none"/>
        </w:rPr>
        <w:t>（北京时间）。</w:t>
      </w:r>
    </w:p>
    <w:p w14:paraId="74110C4F">
      <w:pPr>
        <w:spacing w:line="440" w:lineRule="exact"/>
        <w:ind w:firstLine="420" w:firstLineChars="200"/>
        <w:rPr>
          <w:rFonts w:ascii="宋体" w:hAnsi="宋体"/>
          <w:highlight w:val="none"/>
        </w:rPr>
      </w:pPr>
      <w:r>
        <w:rPr>
          <w:rFonts w:hint="eastAsia" w:ascii="宋体" w:hAnsi="宋体"/>
          <w:highlight w:val="none"/>
        </w:rPr>
        <w:t>3、开标地点：</w:t>
      </w:r>
      <w:r>
        <w:rPr>
          <w:rFonts w:hint="eastAsia" w:ascii="宋体" w:hAnsi="宋体"/>
          <w:highlight w:val="yellow"/>
        </w:rPr>
        <w:t>郴州市市民服务中心4楼市公共资源交易中心第</w:t>
      </w:r>
      <w:r>
        <w:rPr>
          <w:rFonts w:hint="eastAsia" w:ascii="宋体" w:hAnsi="宋体"/>
          <w:highlight w:val="yellow"/>
          <w:lang w:val="en-US" w:eastAsia="zh-CN"/>
        </w:rPr>
        <w:t>5开标室</w:t>
      </w:r>
      <w:r>
        <w:rPr>
          <w:rFonts w:hint="eastAsia" w:ascii="宋体" w:hAnsi="宋体"/>
          <w:highlight w:val="none"/>
        </w:rPr>
        <w:t>。</w:t>
      </w:r>
    </w:p>
    <w:p w14:paraId="720A0BF6">
      <w:pPr>
        <w:spacing w:line="440" w:lineRule="exact"/>
        <w:ind w:firstLine="420" w:firstLineChars="200"/>
        <w:rPr>
          <w:rFonts w:ascii="宋体" w:hAnsi="宋体"/>
          <w:highlight w:val="none"/>
        </w:rPr>
      </w:pPr>
      <w:r>
        <w:rPr>
          <w:rFonts w:hint="eastAsia" w:ascii="宋体" w:hAnsi="宋体"/>
          <w:highlight w:val="none"/>
        </w:rPr>
        <w:t>4、电子标项目实行网上投标及解密，具体操作为投标人在“郴州市公共资源交易中心”登录“政府采购交易系统”（</w:t>
      </w:r>
      <w:r>
        <w:rPr>
          <w:rFonts w:hint="eastAsia" w:ascii="宋体" w:hAnsi="宋体"/>
          <w:highlight w:val="none"/>
          <w:lang w:eastAsia="zh-CN"/>
        </w:rPr>
        <w:t>http://www.czggzyzx.cn/TPBidder</w:t>
      </w:r>
      <w:r>
        <w:rPr>
          <w:rFonts w:hint="eastAsia" w:ascii="宋体" w:hAnsi="宋体"/>
          <w:highlight w:val="none"/>
        </w:rPr>
        <w:t>），上传电子投标文件，登录“不见面开标大厅”（</w:t>
      </w:r>
      <w:r>
        <w:rPr>
          <w:rFonts w:hint="eastAsia" w:ascii="宋体" w:hAnsi="宋体"/>
          <w:highlight w:val="none"/>
          <w:lang w:eastAsia="zh-CN"/>
        </w:rPr>
        <w:t>http://www.czggzyzx.cn/BidOpening</w:t>
      </w:r>
      <w:r>
        <w:rPr>
          <w:rFonts w:hint="eastAsia" w:ascii="宋体" w:hAnsi="宋体"/>
          <w:highlight w:val="none"/>
        </w:rPr>
        <w:t>）在规定时间自行远程解密参加网上开标活动。建议投标人上传电子投标文件容量为200MB以内。</w:t>
      </w:r>
    </w:p>
    <w:p w14:paraId="7D29E37D">
      <w:pPr>
        <w:spacing w:line="440" w:lineRule="exact"/>
        <w:ind w:firstLine="420" w:firstLineChars="200"/>
        <w:rPr>
          <w:rFonts w:ascii="宋体" w:hAnsi="宋体"/>
          <w:highlight w:val="none"/>
        </w:rPr>
      </w:pPr>
      <w:r>
        <w:rPr>
          <w:rFonts w:hint="eastAsia" w:ascii="宋体" w:hAnsi="宋体"/>
          <w:highlight w:val="none"/>
        </w:rPr>
        <w:t>5、电子投标文件解密时限：30分钟，请投标人确保投标文件如期解密。</w:t>
      </w:r>
    </w:p>
    <w:p w14:paraId="363ED41D">
      <w:pPr>
        <w:adjustRightInd w:val="0"/>
        <w:snapToGrid w:val="0"/>
        <w:spacing w:line="440" w:lineRule="exact"/>
        <w:ind w:firstLine="422" w:firstLineChars="200"/>
        <w:rPr>
          <w:rFonts w:ascii="宋体" w:cs="宋体"/>
          <w:highlight w:val="none"/>
        </w:rPr>
      </w:pPr>
      <w:r>
        <w:rPr>
          <w:rFonts w:hint="eastAsia" w:ascii="宋体" w:hAnsi="宋体" w:cs="宋体"/>
          <w:b/>
          <w:bCs/>
          <w:highlight w:val="none"/>
          <w:lang w:val="en-US" w:eastAsia="zh-CN"/>
        </w:rPr>
        <w:t>七</w:t>
      </w:r>
      <w:r>
        <w:rPr>
          <w:rFonts w:hint="eastAsia" w:ascii="宋体" w:hAnsi="宋体" w:cs="宋体"/>
          <w:b/>
          <w:bCs/>
          <w:highlight w:val="none"/>
        </w:rPr>
        <w:t>、招标文件公告期限</w:t>
      </w:r>
      <w:r>
        <w:rPr>
          <w:rFonts w:hint="eastAsia" w:ascii="宋体" w:hAnsi="宋体" w:cs="宋体"/>
          <w:highlight w:val="none"/>
        </w:rPr>
        <w:t>：</w:t>
      </w:r>
    </w:p>
    <w:p w14:paraId="1826C8E7">
      <w:pPr>
        <w:adjustRightInd w:val="0"/>
        <w:snapToGrid w:val="0"/>
        <w:spacing w:line="440" w:lineRule="exact"/>
        <w:ind w:firstLine="420" w:firstLineChars="200"/>
        <w:rPr>
          <w:rFonts w:ascii="宋体" w:hAnsi="宋体" w:cs="宋体"/>
          <w:highlight w:val="none"/>
        </w:rPr>
      </w:pPr>
      <w:r>
        <w:rPr>
          <w:rFonts w:hint="eastAsia" w:ascii="宋体" w:hAnsi="宋体" w:cs="宋体"/>
          <w:highlight w:val="none"/>
        </w:rPr>
        <w:t>1、招标文件公告期限：</w:t>
      </w:r>
      <w:r>
        <w:rPr>
          <w:rFonts w:hint="eastAsia" w:ascii="宋体" w:hAnsi="宋体" w:cs="宋体"/>
          <w:highlight w:val="none"/>
          <w:lang w:eastAsia="zh-CN"/>
        </w:rPr>
        <w:t>2026年</w:t>
      </w:r>
      <w:r>
        <w:rPr>
          <w:rFonts w:hint="eastAsia" w:ascii="宋体" w:hAnsi="宋体" w:cs="宋体"/>
          <w:highlight w:val="none"/>
          <w:lang w:val="en-US" w:eastAsia="zh-CN"/>
        </w:rPr>
        <w:t>7</w:t>
      </w:r>
      <w:r>
        <w:rPr>
          <w:rFonts w:hint="eastAsia" w:ascii="宋体" w:hAnsi="宋体" w:cs="宋体"/>
          <w:highlight w:val="none"/>
        </w:rPr>
        <w:t>月</w:t>
      </w:r>
      <w:r>
        <w:rPr>
          <w:rFonts w:hint="eastAsia" w:ascii="宋体" w:hAnsi="宋体" w:cs="宋体"/>
          <w:highlight w:val="none"/>
          <w:lang w:val="en-US" w:eastAsia="zh-CN"/>
        </w:rPr>
        <w:t>29</w:t>
      </w:r>
      <w:r>
        <w:rPr>
          <w:rFonts w:hint="eastAsia" w:ascii="宋体" w:hAnsi="宋体" w:cs="宋体"/>
          <w:highlight w:val="none"/>
        </w:rPr>
        <w:t>日00时00分至</w:t>
      </w:r>
      <w:r>
        <w:rPr>
          <w:rFonts w:hint="eastAsia" w:ascii="宋体" w:hAnsi="宋体" w:cs="宋体"/>
          <w:highlight w:val="none"/>
          <w:lang w:eastAsia="zh-CN"/>
        </w:rPr>
        <w:t>2026年</w:t>
      </w:r>
      <w:r>
        <w:rPr>
          <w:rFonts w:hint="eastAsia" w:ascii="宋体" w:hAnsi="宋体" w:cs="宋体"/>
          <w:highlight w:val="none"/>
          <w:lang w:val="en-US" w:eastAsia="zh-CN"/>
        </w:rPr>
        <w:t>8</w:t>
      </w:r>
      <w:r>
        <w:rPr>
          <w:rFonts w:hint="eastAsia" w:ascii="宋体" w:hAnsi="宋体" w:cs="宋体"/>
          <w:highlight w:val="none"/>
        </w:rPr>
        <w:t>月</w:t>
      </w:r>
      <w:r>
        <w:rPr>
          <w:rFonts w:hint="eastAsia" w:ascii="宋体" w:hAnsi="宋体" w:cs="宋体"/>
          <w:highlight w:val="none"/>
          <w:lang w:val="en-US" w:eastAsia="zh-CN"/>
        </w:rPr>
        <w:t>4</w:t>
      </w:r>
      <w:r>
        <w:rPr>
          <w:rFonts w:hint="eastAsia" w:ascii="宋体" w:hAnsi="宋体" w:cs="宋体"/>
          <w:highlight w:val="none"/>
        </w:rPr>
        <w:t>日24时00分止（5个工作日）。</w:t>
      </w:r>
    </w:p>
    <w:p w14:paraId="3503E055">
      <w:pPr>
        <w:adjustRightInd w:val="0"/>
        <w:snapToGrid w:val="0"/>
        <w:spacing w:line="440" w:lineRule="exact"/>
        <w:ind w:firstLine="420" w:firstLineChars="200"/>
        <w:rPr>
          <w:rFonts w:ascii="宋体" w:cs="宋体"/>
          <w:highlight w:val="none"/>
        </w:rPr>
      </w:pPr>
      <w:r>
        <w:rPr>
          <w:rFonts w:hint="eastAsia" w:ascii="宋体" w:hAnsi="宋体" w:cs="宋体"/>
          <w:highlight w:val="none"/>
        </w:rPr>
        <w:t>2、本招标公告在中国湖南政府采购网（网址：</w:t>
      </w:r>
      <w:r>
        <w:rPr>
          <w:rStyle w:val="56"/>
          <w:highlight w:val="none"/>
        </w:rPr>
        <w:t>http://www.ccgp-hunan.gov.cn/</w:t>
      </w:r>
      <w:r>
        <w:rPr>
          <w:rFonts w:hint="eastAsia" w:ascii="宋体" w:hAnsi="宋体" w:cs="宋体"/>
          <w:highlight w:val="none"/>
        </w:rPr>
        <w:t>）和郴州市公共资源交易中心网（网址：</w:t>
      </w:r>
      <w:r>
        <w:rPr>
          <w:rStyle w:val="56"/>
          <w:rFonts w:hint="eastAsia"/>
          <w:highlight w:val="none"/>
        </w:rPr>
        <w:t>http://czggzy.czs.gov.cn/</w:t>
      </w:r>
      <w:r>
        <w:rPr>
          <w:rFonts w:hint="eastAsia" w:ascii="宋体" w:hAnsi="宋体" w:cs="宋体"/>
          <w:highlight w:val="none"/>
        </w:rPr>
        <w:t>）发布。在其他媒体发布的招标公告，公告内容以本招标公告指定媒体发布的公告为准；公告期限自本招标公告指定媒体最先发布公告之日起计算。</w:t>
      </w:r>
    </w:p>
    <w:p w14:paraId="7CD575AE">
      <w:pPr>
        <w:adjustRightInd w:val="0"/>
        <w:snapToGrid w:val="0"/>
        <w:spacing w:line="440" w:lineRule="exact"/>
        <w:ind w:firstLine="422" w:firstLineChars="200"/>
        <w:rPr>
          <w:rFonts w:ascii="宋体" w:cs="宋体"/>
          <w:highlight w:val="none"/>
        </w:rPr>
      </w:pPr>
      <w:r>
        <w:rPr>
          <w:rFonts w:hint="eastAsia" w:ascii="宋体" w:hAnsi="宋体" w:cs="宋体"/>
          <w:b/>
          <w:bCs/>
          <w:highlight w:val="none"/>
        </w:rPr>
        <w:t>八、询问及质疑</w:t>
      </w:r>
      <w:r>
        <w:rPr>
          <w:rFonts w:hint="eastAsia" w:ascii="宋体" w:hAnsi="宋体" w:cs="宋体"/>
          <w:highlight w:val="none"/>
        </w:rPr>
        <w:t>：</w:t>
      </w:r>
    </w:p>
    <w:p w14:paraId="656BA3E9">
      <w:pPr>
        <w:adjustRightInd w:val="0"/>
        <w:snapToGrid w:val="0"/>
        <w:spacing w:line="440" w:lineRule="exact"/>
        <w:ind w:firstLine="420" w:firstLineChars="200"/>
        <w:rPr>
          <w:rFonts w:ascii="宋体" w:cs="宋体"/>
          <w:highlight w:val="none"/>
        </w:rPr>
      </w:pPr>
      <w:r>
        <w:rPr>
          <w:rFonts w:ascii="宋体" w:hAnsi="宋体" w:cs="宋体"/>
          <w:highlight w:val="none"/>
        </w:rPr>
        <w:t>1</w:t>
      </w:r>
      <w:r>
        <w:rPr>
          <w:rFonts w:hint="eastAsia" w:ascii="宋体" w:hAnsi="宋体" w:cs="宋体"/>
          <w:highlight w:val="none"/>
        </w:rPr>
        <w:t>、投标人对政府采购活动事项如有疑问的，可以向采购人、采购代理机构提出询问。采购人、采购代理机构将在</w:t>
      </w:r>
      <w:r>
        <w:rPr>
          <w:rFonts w:ascii="宋体" w:hAnsi="宋体" w:cs="宋体"/>
          <w:highlight w:val="none"/>
        </w:rPr>
        <w:t>3</w:t>
      </w:r>
      <w:r>
        <w:rPr>
          <w:rFonts w:hint="eastAsia" w:ascii="宋体" w:hAnsi="宋体" w:cs="宋体"/>
          <w:highlight w:val="none"/>
        </w:rPr>
        <w:t>个工作日内作出答复。</w:t>
      </w:r>
    </w:p>
    <w:p w14:paraId="5B656F35">
      <w:pPr>
        <w:adjustRightInd w:val="0"/>
        <w:snapToGrid w:val="0"/>
        <w:spacing w:line="440" w:lineRule="exact"/>
        <w:ind w:firstLine="420" w:firstLineChars="200"/>
        <w:rPr>
          <w:rFonts w:ascii="宋体" w:cs="宋体"/>
          <w:highlight w:val="none"/>
        </w:rPr>
      </w:pPr>
      <w:r>
        <w:rPr>
          <w:rFonts w:ascii="宋体" w:hAnsi="宋体" w:cs="宋体"/>
          <w:highlight w:val="none"/>
        </w:rPr>
        <w:t>2</w:t>
      </w:r>
      <w:r>
        <w:rPr>
          <w:rFonts w:hint="eastAsia" w:ascii="宋体" w:hAnsi="宋体" w:cs="宋体"/>
          <w:highlight w:val="none"/>
        </w:rPr>
        <w:t>、潜在投标人认为招标文件或招标公告使自己的合法权益受到损害的，可以在获取招标文件之日或招标公告期限届满之日（</w:t>
      </w:r>
      <w:r>
        <w:rPr>
          <w:rFonts w:hint="eastAsia" w:ascii="宋体" w:hAnsi="宋体" w:cs="宋体"/>
          <w:b/>
          <w:highlight w:val="none"/>
          <w:u w:val="dottedHeavy"/>
        </w:rPr>
        <w:t>公告期限届满后获取招标文件的，以公告期限届满之日为准</w:t>
      </w:r>
      <w:r>
        <w:rPr>
          <w:rFonts w:hint="eastAsia" w:ascii="宋体" w:hAnsi="宋体" w:cs="宋体"/>
          <w:highlight w:val="none"/>
        </w:rPr>
        <w:t>）起</w:t>
      </w:r>
      <w:r>
        <w:rPr>
          <w:rFonts w:ascii="宋体" w:hAnsi="宋体" w:cs="宋体"/>
          <w:highlight w:val="none"/>
        </w:rPr>
        <w:t>7</w:t>
      </w:r>
      <w:r>
        <w:rPr>
          <w:rFonts w:hint="eastAsia" w:ascii="宋体" w:hAnsi="宋体" w:cs="宋体"/>
          <w:highlight w:val="none"/>
        </w:rPr>
        <w:t>个工作日内，按照《湖南省财政厅关于印发&lt;政府采购质疑答复和投诉处理操作规程&gt;的通知》（</w:t>
      </w:r>
      <w:r>
        <w:rPr>
          <w:rFonts w:hint="eastAsia" w:ascii="宋体" w:hAnsi="宋体" w:cs="宋体"/>
          <w:highlight w:val="none"/>
          <w:lang w:eastAsia="zh-CN"/>
        </w:rPr>
        <w:t>湘财购〔2024〕67号</w:t>
      </w:r>
      <w:r>
        <w:rPr>
          <w:rFonts w:hint="eastAsia" w:ascii="宋体" w:hAnsi="宋体" w:cs="宋体"/>
          <w:highlight w:val="none"/>
        </w:rPr>
        <w:t>）规定，以书面形式一次性向采购人、采购代理机构提出针对同一采购程序环节的质疑。</w:t>
      </w:r>
    </w:p>
    <w:p w14:paraId="0C9A89B4">
      <w:pPr>
        <w:adjustRightInd w:val="0"/>
        <w:snapToGrid w:val="0"/>
        <w:spacing w:line="440" w:lineRule="exact"/>
        <w:ind w:firstLine="413" w:firstLineChars="196"/>
        <w:rPr>
          <w:rFonts w:ascii="宋体" w:cs="宋体"/>
          <w:b/>
          <w:bCs/>
          <w:highlight w:val="none"/>
        </w:rPr>
      </w:pPr>
      <w:r>
        <w:rPr>
          <w:rFonts w:hint="eastAsia" w:ascii="宋体" w:hAnsi="宋体" w:cs="宋体"/>
          <w:b/>
          <w:bCs/>
          <w:highlight w:val="none"/>
        </w:rPr>
        <w:t>九、采购人及其委托的采购代理机构的名称、地址和联系方法</w:t>
      </w:r>
    </w:p>
    <w:p w14:paraId="35F9D108">
      <w:pPr>
        <w:adjustRightInd w:val="0"/>
        <w:snapToGrid w:val="0"/>
        <w:spacing w:line="440" w:lineRule="exact"/>
        <w:ind w:firstLine="413" w:firstLineChars="196"/>
        <w:rPr>
          <w:rFonts w:ascii="宋体" w:cs="宋体"/>
          <w:b/>
          <w:bCs/>
          <w:highlight w:val="none"/>
        </w:rPr>
      </w:pPr>
      <w:r>
        <w:rPr>
          <w:rFonts w:ascii="宋体" w:hAnsi="宋体" w:cs="宋体"/>
          <w:b/>
          <w:bCs/>
          <w:highlight w:val="none"/>
        </w:rPr>
        <w:t>1</w:t>
      </w:r>
      <w:r>
        <w:rPr>
          <w:rFonts w:hint="eastAsia" w:ascii="宋体" w:hAnsi="宋体" w:cs="宋体"/>
          <w:highlight w:val="none"/>
        </w:rPr>
        <w:t>、</w:t>
      </w:r>
      <w:r>
        <w:rPr>
          <w:rFonts w:hint="eastAsia" w:ascii="宋体" w:hAnsi="宋体" w:cs="宋体"/>
          <w:b/>
          <w:bCs/>
          <w:highlight w:val="none"/>
        </w:rPr>
        <w:t>采购人信息</w:t>
      </w:r>
    </w:p>
    <w:p w14:paraId="72E2D6CC">
      <w:pPr>
        <w:adjustRightInd w:val="0"/>
        <w:snapToGrid w:val="0"/>
        <w:spacing w:line="440" w:lineRule="exact"/>
        <w:ind w:firstLine="315" w:firstLineChars="150"/>
        <w:rPr>
          <w:rFonts w:hint="eastAsia" w:ascii="宋体" w:eastAsia="宋体" w:cs="宋体"/>
          <w:highlight w:val="none"/>
          <w:lang w:eastAsia="zh-CN"/>
        </w:rPr>
      </w:pPr>
      <w:r>
        <w:rPr>
          <w:rFonts w:hint="eastAsia" w:ascii="宋体" w:hAnsi="宋体" w:cs="宋体"/>
          <w:highlight w:val="none"/>
        </w:rPr>
        <w:t>（</w:t>
      </w:r>
      <w:r>
        <w:rPr>
          <w:rFonts w:ascii="宋体" w:hAnsi="宋体" w:cs="宋体"/>
          <w:highlight w:val="none"/>
        </w:rPr>
        <w:t>1</w:t>
      </w:r>
      <w:r>
        <w:rPr>
          <w:rFonts w:hint="eastAsia" w:ascii="宋体" w:hAnsi="宋体" w:cs="宋体"/>
          <w:highlight w:val="none"/>
        </w:rPr>
        <w:t>）</w:t>
      </w:r>
      <w:r>
        <w:rPr>
          <w:rFonts w:hint="eastAsia" w:ascii="宋体" w:hAnsi="宋体" w:cs="宋体"/>
          <w:bCs/>
          <w:highlight w:val="none"/>
        </w:rPr>
        <w:t>名称：</w:t>
      </w:r>
      <w:r>
        <w:rPr>
          <w:rFonts w:hint="eastAsia" w:ascii="宋体" w:hAnsi="宋体" w:cs="宋体"/>
          <w:bCs/>
          <w:highlight w:val="none"/>
          <w:lang w:eastAsia="zh-CN"/>
        </w:rPr>
        <w:t>郴州市第二人民医院</w:t>
      </w:r>
    </w:p>
    <w:p w14:paraId="211DA9AB">
      <w:pPr>
        <w:adjustRightInd w:val="0"/>
        <w:snapToGrid w:val="0"/>
        <w:spacing w:line="440" w:lineRule="exact"/>
        <w:ind w:firstLine="315" w:firstLineChars="150"/>
        <w:rPr>
          <w:rFonts w:hint="eastAsia" w:ascii="宋体" w:hAnsi="宋体" w:cs="宋体"/>
          <w:highlight w:val="none"/>
        </w:rPr>
      </w:pPr>
      <w:r>
        <w:rPr>
          <w:rFonts w:hint="eastAsia" w:ascii="宋体" w:hAnsi="宋体" w:cs="宋体"/>
          <w:highlight w:val="none"/>
        </w:rPr>
        <w:t>（</w:t>
      </w:r>
      <w:r>
        <w:rPr>
          <w:rFonts w:ascii="宋体" w:hAnsi="宋体" w:cs="宋体"/>
          <w:highlight w:val="none"/>
        </w:rPr>
        <w:t>2</w:t>
      </w:r>
      <w:r>
        <w:rPr>
          <w:rFonts w:hint="eastAsia" w:ascii="宋体" w:hAnsi="宋体" w:cs="宋体"/>
          <w:highlight w:val="none"/>
        </w:rPr>
        <w:t>）地址：</w:t>
      </w:r>
      <w:r>
        <w:rPr>
          <w:rFonts w:hint="eastAsia" w:ascii="宋体" w:hAnsi="宋体" w:cs="宋体"/>
          <w:highlight w:val="none"/>
          <w:lang w:val="en-US" w:eastAsia="zh-CN"/>
        </w:rPr>
        <w:t xml:space="preserve">郴州市苏仙区东塔路10号 </w:t>
      </w:r>
    </w:p>
    <w:p w14:paraId="571CE706">
      <w:pPr>
        <w:adjustRightInd w:val="0"/>
        <w:snapToGrid w:val="0"/>
        <w:spacing w:line="440" w:lineRule="exact"/>
        <w:ind w:firstLine="315" w:firstLineChars="150"/>
        <w:rPr>
          <w:rFonts w:hint="eastAsia" w:ascii="宋体" w:eastAsia="宋体" w:cs="宋体"/>
          <w:highlight w:val="none"/>
          <w:lang w:eastAsia="zh-CN"/>
        </w:rPr>
      </w:pPr>
      <w:r>
        <w:rPr>
          <w:rFonts w:hint="eastAsia" w:ascii="宋体" w:hAnsi="宋体" w:cs="宋体"/>
          <w:highlight w:val="none"/>
        </w:rPr>
        <w:t>（</w:t>
      </w:r>
      <w:r>
        <w:rPr>
          <w:rFonts w:ascii="宋体" w:hAnsi="宋体" w:cs="宋体"/>
          <w:highlight w:val="none"/>
        </w:rPr>
        <w:t>3</w:t>
      </w:r>
      <w:r>
        <w:rPr>
          <w:rFonts w:hint="eastAsia" w:ascii="宋体" w:hAnsi="宋体" w:cs="宋体"/>
          <w:highlight w:val="none"/>
        </w:rPr>
        <w:t>）联系人：</w:t>
      </w:r>
      <w:r>
        <w:rPr>
          <w:rFonts w:hint="eastAsia" w:ascii="宋体" w:hAnsi="宋体" w:cs="宋体"/>
          <w:highlight w:val="none"/>
          <w:lang w:val="en-US" w:eastAsia="zh-CN"/>
        </w:rPr>
        <w:t>刘跃银</w:t>
      </w:r>
    </w:p>
    <w:p w14:paraId="0D6284B3">
      <w:pPr>
        <w:adjustRightInd w:val="0"/>
        <w:snapToGrid w:val="0"/>
        <w:spacing w:line="440" w:lineRule="exact"/>
        <w:ind w:firstLine="315" w:firstLineChars="150"/>
        <w:rPr>
          <w:rFonts w:hint="eastAsia" w:ascii="宋体" w:eastAsia="宋体" w:cs="宋体"/>
          <w:highlight w:val="none"/>
          <w:lang w:eastAsia="zh-CN"/>
        </w:rPr>
      </w:pPr>
      <w:r>
        <w:rPr>
          <w:rFonts w:hint="eastAsia" w:ascii="宋体" w:hAnsi="宋体" w:cs="宋体"/>
          <w:highlight w:val="none"/>
        </w:rPr>
        <w:t>（</w:t>
      </w:r>
      <w:r>
        <w:rPr>
          <w:rFonts w:ascii="宋体" w:hAnsi="宋体" w:cs="宋体"/>
          <w:highlight w:val="none"/>
        </w:rPr>
        <w:t>4</w:t>
      </w:r>
      <w:r>
        <w:rPr>
          <w:rFonts w:hint="eastAsia" w:ascii="宋体" w:hAnsi="宋体" w:cs="宋体"/>
          <w:highlight w:val="none"/>
        </w:rPr>
        <w:t>）电话：</w:t>
      </w:r>
      <w:r>
        <w:rPr>
          <w:rFonts w:hint="eastAsia" w:ascii="宋体" w:hAnsi="宋体" w:cs="宋体"/>
          <w:highlight w:val="none"/>
          <w:lang w:eastAsia="zh-CN"/>
        </w:rPr>
        <w:t>13975531030</w:t>
      </w:r>
    </w:p>
    <w:p w14:paraId="388CCA58">
      <w:pPr>
        <w:adjustRightInd w:val="0"/>
        <w:snapToGrid w:val="0"/>
        <w:spacing w:line="440" w:lineRule="exact"/>
        <w:ind w:firstLine="413" w:firstLineChars="196"/>
        <w:rPr>
          <w:rFonts w:ascii="宋体" w:cs="宋体"/>
          <w:b/>
          <w:bCs/>
          <w:highlight w:val="none"/>
        </w:rPr>
      </w:pPr>
      <w:r>
        <w:rPr>
          <w:rFonts w:ascii="宋体" w:hAnsi="宋体" w:cs="宋体"/>
          <w:b/>
          <w:bCs/>
          <w:highlight w:val="none"/>
        </w:rPr>
        <w:t>2</w:t>
      </w:r>
      <w:r>
        <w:rPr>
          <w:rFonts w:hint="eastAsia" w:ascii="宋体" w:hAnsi="宋体" w:cs="宋体"/>
          <w:highlight w:val="none"/>
        </w:rPr>
        <w:t>、</w:t>
      </w:r>
      <w:r>
        <w:rPr>
          <w:rFonts w:hint="eastAsia" w:ascii="宋体" w:hAnsi="宋体" w:cs="宋体"/>
          <w:b/>
          <w:bCs/>
          <w:highlight w:val="none"/>
        </w:rPr>
        <w:t>采购代理机构信息</w:t>
      </w:r>
    </w:p>
    <w:p w14:paraId="24E501DB">
      <w:pPr>
        <w:adjustRightInd w:val="0"/>
        <w:snapToGrid w:val="0"/>
        <w:spacing w:line="440" w:lineRule="exact"/>
        <w:ind w:firstLine="315" w:firstLineChars="150"/>
        <w:rPr>
          <w:rFonts w:ascii="宋体" w:cs="宋体"/>
          <w:highlight w:val="none"/>
        </w:rPr>
      </w:pPr>
      <w:r>
        <w:rPr>
          <w:rFonts w:hint="eastAsia" w:ascii="宋体" w:hAnsi="宋体" w:cs="宋体"/>
          <w:highlight w:val="none"/>
        </w:rPr>
        <w:t>（</w:t>
      </w:r>
      <w:r>
        <w:rPr>
          <w:rFonts w:ascii="宋体" w:hAnsi="宋体" w:cs="宋体"/>
          <w:highlight w:val="none"/>
        </w:rPr>
        <w:t>1</w:t>
      </w:r>
      <w:r>
        <w:rPr>
          <w:rFonts w:hint="eastAsia" w:ascii="宋体" w:hAnsi="宋体" w:cs="宋体"/>
          <w:highlight w:val="none"/>
        </w:rPr>
        <w:t>）名称：湖南省湘咨工程咨询管理有限责任公司</w:t>
      </w:r>
    </w:p>
    <w:p w14:paraId="0D12F976">
      <w:pPr>
        <w:adjustRightInd w:val="0"/>
        <w:snapToGrid w:val="0"/>
        <w:spacing w:line="440" w:lineRule="exact"/>
        <w:ind w:firstLine="315" w:firstLineChars="150"/>
        <w:rPr>
          <w:rFonts w:hint="eastAsia" w:ascii="宋体" w:hAnsi="宋体" w:cs="宋体"/>
          <w:highlight w:val="none"/>
          <w:lang w:eastAsia="zh-CN"/>
        </w:rPr>
      </w:pPr>
      <w:r>
        <w:rPr>
          <w:rFonts w:hint="eastAsia" w:ascii="宋体" w:hAnsi="宋体" w:cs="宋体"/>
          <w:highlight w:val="none"/>
        </w:rPr>
        <w:t>（2）地址：郴州市北湖区郴州大道汇金时代B栋丽枫酒店13楼</w:t>
      </w:r>
    </w:p>
    <w:p w14:paraId="0202E731">
      <w:pPr>
        <w:adjustRightInd w:val="0"/>
        <w:snapToGrid w:val="0"/>
        <w:spacing w:line="440" w:lineRule="exact"/>
        <w:ind w:firstLine="315" w:firstLineChars="150"/>
        <w:rPr>
          <w:rFonts w:hint="eastAsia" w:ascii="宋体" w:eastAsia="宋体" w:cs="宋体"/>
          <w:highlight w:val="none"/>
          <w:lang w:eastAsia="zh-CN"/>
        </w:rPr>
      </w:pPr>
      <w:r>
        <w:rPr>
          <w:rFonts w:hint="eastAsia" w:ascii="宋体" w:hAnsi="宋体" w:cs="宋体"/>
          <w:highlight w:val="none"/>
        </w:rPr>
        <w:t>（</w:t>
      </w:r>
      <w:r>
        <w:rPr>
          <w:rFonts w:ascii="宋体" w:hAnsi="宋体" w:cs="宋体"/>
          <w:highlight w:val="none"/>
        </w:rPr>
        <w:t>3</w:t>
      </w:r>
      <w:r>
        <w:rPr>
          <w:rFonts w:hint="eastAsia" w:ascii="宋体" w:hAnsi="宋体" w:cs="宋体"/>
          <w:highlight w:val="none"/>
        </w:rPr>
        <w:t>）联系人：</w:t>
      </w:r>
      <w:r>
        <w:rPr>
          <w:rFonts w:hint="eastAsia" w:ascii="宋体" w:hAnsi="宋体" w:cs="宋体"/>
          <w:highlight w:val="none"/>
          <w:lang w:eastAsia="zh-CN"/>
        </w:rPr>
        <w:t>吴招香、陈少林、李陈坤</w:t>
      </w:r>
    </w:p>
    <w:p w14:paraId="54948B74">
      <w:pPr>
        <w:adjustRightInd w:val="0"/>
        <w:snapToGrid w:val="0"/>
        <w:spacing w:line="440" w:lineRule="exact"/>
        <w:ind w:firstLine="315" w:firstLineChars="150"/>
        <w:rPr>
          <w:rFonts w:ascii="宋体" w:cs="宋体"/>
          <w:highlight w:val="none"/>
        </w:rPr>
      </w:pPr>
      <w:r>
        <w:rPr>
          <w:rFonts w:hint="eastAsia" w:ascii="宋体" w:hAnsi="宋体" w:cs="宋体"/>
          <w:highlight w:val="none"/>
        </w:rPr>
        <w:t>（</w:t>
      </w:r>
      <w:r>
        <w:rPr>
          <w:rFonts w:ascii="宋体" w:hAnsi="宋体" w:cs="宋体"/>
          <w:highlight w:val="none"/>
        </w:rPr>
        <w:t>4</w:t>
      </w:r>
      <w:r>
        <w:rPr>
          <w:rFonts w:hint="eastAsia" w:ascii="宋体" w:hAnsi="宋体" w:cs="宋体"/>
          <w:highlight w:val="none"/>
        </w:rPr>
        <w:t>）电话：18007350553</w:t>
      </w:r>
    </w:p>
    <w:p w14:paraId="1081929F">
      <w:pPr>
        <w:adjustRightInd w:val="0"/>
        <w:snapToGrid w:val="0"/>
        <w:spacing w:line="440" w:lineRule="exact"/>
        <w:ind w:firstLine="413" w:firstLineChars="196"/>
        <w:rPr>
          <w:rFonts w:ascii="宋体" w:hAnsi="宋体" w:cs="宋体"/>
          <w:b/>
          <w:bCs/>
          <w:highlight w:val="none"/>
        </w:rPr>
      </w:pPr>
      <w:r>
        <w:rPr>
          <w:rFonts w:hint="eastAsia" w:ascii="宋体" w:hAnsi="宋体" w:cs="宋体"/>
          <w:b/>
          <w:bCs/>
          <w:highlight w:val="none"/>
        </w:rPr>
        <w:t>3、电子交易平台服务机构信息</w:t>
      </w:r>
    </w:p>
    <w:p w14:paraId="1FCFE928">
      <w:pPr>
        <w:adjustRightInd w:val="0"/>
        <w:snapToGrid w:val="0"/>
        <w:spacing w:line="440" w:lineRule="exact"/>
        <w:ind w:firstLine="315" w:firstLineChars="150"/>
        <w:rPr>
          <w:rFonts w:ascii="宋体" w:hAnsi="宋体" w:cs="宋体"/>
          <w:highlight w:val="none"/>
        </w:rPr>
      </w:pPr>
      <w:r>
        <w:rPr>
          <w:rFonts w:hint="eastAsia" w:ascii="宋体" w:hAnsi="宋体" w:cs="宋体"/>
          <w:highlight w:val="none"/>
        </w:rPr>
        <w:t>（1）名称：郴州市公共资源交易中心</w:t>
      </w:r>
    </w:p>
    <w:p w14:paraId="06F7EF11">
      <w:pPr>
        <w:adjustRightInd w:val="0"/>
        <w:snapToGrid w:val="0"/>
        <w:spacing w:line="440" w:lineRule="exact"/>
        <w:ind w:firstLine="315" w:firstLineChars="150"/>
        <w:rPr>
          <w:rFonts w:ascii="宋体" w:hAnsi="宋体" w:cs="宋体"/>
          <w:highlight w:val="none"/>
        </w:rPr>
      </w:pPr>
      <w:r>
        <w:rPr>
          <w:rFonts w:hint="eastAsia" w:ascii="宋体" w:hAnsi="宋体" w:cs="宋体"/>
          <w:highlight w:val="none"/>
        </w:rPr>
        <w:t>（2）地址：郴州市市民服务中心4楼市公共资源交易中心</w:t>
      </w:r>
    </w:p>
    <w:p w14:paraId="0D2721D8">
      <w:pPr>
        <w:adjustRightInd w:val="0"/>
        <w:snapToGrid w:val="0"/>
        <w:spacing w:line="440" w:lineRule="exact"/>
        <w:ind w:firstLine="315" w:firstLineChars="150"/>
        <w:rPr>
          <w:rFonts w:ascii="宋体" w:hAnsi="宋体" w:cs="宋体"/>
          <w:highlight w:val="none"/>
        </w:rPr>
      </w:pPr>
      <w:r>
        <w:rPr>
          <w:rFonts w:hint="eastAsia" w:ascii="宋体" w:hAnsi="宋体" w:cs="宋体"/>
          <w:highlight w:val="none"/>
        </w:rPr>
        <w:t>（3）联系人：政府采购科</w:t>
      </w:r>
    </w:p>
    <w:p w14:paraId="343A5CD7">
      <w:pPr>
        <w:adjustRightInd w:val="0"/>
        <w:snapToGrid w:val="0"/>
        <w:spacing w:line="440" w:lineRule="exact"/>
        <w:ind w:firstLine="315" w:firstLineChars="150"/>
        <w:rPr>
          <w:rFonts w:ascii="宋体" w:hAnsi="宋体" w:cs="宋体"/>
          <w:highlight w:val="none"/>
        </w:rPr>
      </w:pPr>
      <w:r>
        <w:rPr>
          <w:rFonts w:hint="eastAsia" w:ascii="宋体" w:hAnsi="宋体" w:cs="宋体"/>
          <w:highlight w:val="none"/>
        </w:rPr>
        <w:t>（4）电话：0735-2299020</w:t>
      </w:r>
    </w:p>
    <w:p w14:paraId="24BCB65F">
      <w:pPr>
        <w:spacing w:line="440" w:lineRule="exact"/>
        <w:ind w:firstLine="422" w:firstLineChars="200"/>
        <w:rPr>
          <w:rFonts w:ascii="宋体" w:hAnsi="宋体" w:cs="宋体"/>
          <w:b/>
          <w:bCs/>
          <w:highlight w:val="none"/>
        </w:rPr>
      </w:pPr>
      <w:r>
        <w:rPr>
          <w:rFonts w:hint="eastAsia" w:ascii="宋体" w:hAnsi="宋体" w:cs="宋体"/>
          <w:b/>
          <w:bCs/>
          <w:highlight w:val="none"/>
        </w:rPr>
        <w:t>十、其它补充事宜</w:t>
      </w:r>
    </w:p>
    <w:p w14:paraId="04B7CB1F">
      <w:pPr>
        <w:spacing w:line="440" w:lineRule="exact"/>
        <w:ind w:firstLine="420" w:firstLineChars="200"/>
        <w:rPr>
          <w:rFonts w:ascii="宋体" w:hAnsi="宋体" w:cs="宋体"/>
          <w:bCs/>
          <w:highlight w:val="none"/>
        </w:rPr>
      </w:pPr>
      <w:r>
        <w:rPr>
          <w:rFonts w:hint="eastAsia" w:ascii="宋体" w:hAnsi="宋体" w:cs="宋体"/>
          <w:bCs/>
          <w:highlight w:val="none"/>
        </w:rPr>
        <w:t>1、本招标公告选项：</w:t>
      </w:r>
      <w:r>
        <w:rPr>
          <w:rFonts w:hint="eastAsia" w:ascii="MS Gothic" w:hAnsi="MS Gothic" w:eastAsia="MS Gothic" w:cs="MS Gothic"/>
          <w:bCs/>
          <w:highlight w:val="none"/>
        </w:rPr>
        <w:t>■</w:t>
      </w:r>
      <w:r>
        <w:rPr>
          <w:rFonts w:hint="eastAsia" w:ascii="宋体" w:hAnsi="宋体" w:cs="宋体"/>
          <w:bCs/>
          <w:highlight w:val="none"/>
        </w:rPr>
        <w:t xml:space="preserve">表示选择   </w:t>
      </w:r>
      <w:r>
        <w:rPr>
          <w:rFonts w:hint="eastAsia" w:ascii="宋体" w:hAnsi="宋体"/>
          <w:highlight w:val="none"/>
        </w:rPr>
        <w:t>□表示未选择</w:t>
      </w:r>
    </w:p>
    <w:p w14:paraId="78F78D80">
      <w:pPr>
        <w:spacing w:line="440" w:lineRule="exact"/>
        <w:ind w:firstLine="420" w:firstLineChars="200"/>
        <w:rPr>
          <w:rFonts w:ascii="宋体" w:hAnsi="宋体" w:cs="宋体"/>
          <w:bCs/>
          <w:highlight w:val="none"/>
        </w:rPr>
      </w:pPr>
      <w:r>
        <w:rPr>
          <w:rFonts w:hint="eastAsia" w:ascii="宋体" w:hAnsi="宋体" w:cs="宋体"/>
          <w:bCs/>
          <w:highlight w:val="none"/>
        </w:rPr>
        <w:t>2、参与本项目政府采购活动的投标人无需向采购人、采购代理机构、郴州市公共资源交易中心缴纳任何费用。</w:t>
      </w:r>
    </w:p>
    <w:p w14:paraId="34D4324E">
      <w:pPr>
        <w:spacing w:line="440" w:lineRule="exact"/>
        <w:ind w:firstLine="420" w:firstLineChars="200"/>
        <w:rPr>
          <w:rFonts w:ascii="宋体" w:hAnsi="宋体" w:cs="宋体"/>
          <w:bCs/>
          <w:highlight w:val="none"/>
        </w:rPr>
      </w:pPr>
      <w:r>
        <w:rPr>
          <w:rFonts w:hint="eastAsia" w:ascii="宋体" w:hAnsi="宋体" w:cs="宋体"/>
          <w:bCs/>
          <w:highlight w:val="none"/>
        </w:rPr>
        <w:t>3、招标代理费和评审费由采购人支付，招标代理服务费</w:t>
      </w:r>
      <w:r>
        <w:rPr>
          <w:rFonts w:hint="eastAsia" w:ascii="宋体" w:hAnsi="宋体" w:cs="宋体"/>
          <w:bCs/>
          <w:highlight w:val="none"/>
          <w:lang w:val="en-US" w:eastAsia="zh-CN"/>
        </w:rPr>
        <w:t>上限值</w:t>
      </w:r>
      <w:r>
        <w:rPr>
          <w:rFonts w:hint="eastAsia" w:ascii="宋体" w:hAnsi="宋体" w:cs="宋体"/>
          <w:bCs/>
          <w:highlight w:val="none"/>
        </w:rPr>
        <w:t>：人民币</w:t>
      </w:r>
      <w:r>
        <w:rPr>
          <w:rFonts w:hint="eastAsia" w:ascii="宋体" w:hAnsi="宋体" w:cs="宋体"/>
          <w:bCs/>
          <w:highlight w:val="none"/>
          <w:lang w:val="en-US" w:eastAsia="zh-CN"/>
        </w:rPr>
        <w:t>叁万贰仟陆佰贰拾元整</w:t>
      </w:r>
      <w:r>
        <w:rPr>
          <w:rFonts w:hint="eastAsia" w:ascii="宋体" w:hAnsi="宋体" w:cs="宋体"/>
          <w:bCs/>
          <w:highlight w:val="none"/>
        </w:rPr>
        <w:t>，在中标、成交公告发布之日起10个工作日内，由采购代理机构向采购人一次性收取。</w:t>
      </w:r>
    </w:p>
    <w:p w14:paraId="46467EBB">
      <w:pPr>
        <w:spacing w:line="440" w:lineRule="exact"/>
        <w:ind w:firstLine="420" w:firstLineChars="200"/>
        <w:rPr>
          <w:rFonts w:ascii="宋体" w:hAnsi="宋体" w:cs="宋体"/>
          <w:bCs/>
          <w:highlight w:val="none"/>
        </w:rPr>
      </w:pPr>
      <w:r>
        <w:rPr>
          <w:rFonts w:hint="eastAsia" w:ascii="宋体" w:hAnsi="宋体" w:cs="宋体"/>
          <w:bCs/>
          <w:highlight w:val="none"/>
        </w:rPr>
        <w:t>4、因电子招投标需要，投标人应及时办理CA数字证书（含电子签章）。移动CA数字证书（含电子签章）办理咨询电话：4009980000、18770382910，介质CA数字证书（含电子签章）办理地址：郴州市公共资源交易中心四楼大厅，咨询电话：4006682666、18175580110。</w:t>
      </w:r>
    </w:p>
    <w:p w14:paraId="57F449C3">
      <w:pPr>
        <w:spacing w:line="440" w:lineRule="exact"/>
        <w:ind w:firstLine="420" w:firstLineChars="200"/>
        <w:rPr>
          <w:rFonts w:ascii="宋体" w:hAnsi="宋体" w:cs="宋体"/>
          <w:bCs/>
          <w:highlight w:val="none"/>
        </w:rPr>
      </w:pPr>
      <w:r>
        <w:rPr>
          <w:rFonts w:hint="eastAsia" w:ascii="宋体" w:hAnsi="宋体" w:cs="宋体"/>
          <w:bCs/>
          <w:highlight w:val="none"/>
        </w:rPr>
        <w:t>5、请投标人在郴州市公共资源交易中心“下载中心”中及时下载安装最新版本“投标文件制作软件（湖南公共资源版）”、“湖南CA驱动”。参与投标的投标人需使用电子标书编制软件制作投标文件，</w:t>
      </w:r>
      <w:r>
        <w:rPr>
          <w:rFonts w:hint="eastAsia" w:ascii="宋体" w:hAnsi="宋体" w:cs="宋体"/>
          <w:bCs/>
          <w:highlight w:val="none"/>
          <w:lang w:eastAsia="zh-CN"/>
        </w:rPr>
        <w:t>http://www.czggzy.net/TPBidder</w:t>
      </w:r>
      <w:r>
        <w:rPr>
          <w:rFonts w:hint="eastAsia" w:ascii="宋体" w:hAnsi="宋体" w:cs="宋体"/>
          <w:bCs/>
          <w:highlight w:val="none"/>
        </w:rPr>
        <w:t>/pages/customframe4bid/DownLoad/郴州市公共资源交易中心交易系统操作手册.zip。</w:t>
      </w:r>
    </w:p>
    <w:p w14:paraId="1FAB1EEC">
      <w:pPr>
        <w:spacing w:line="440" w:lineRule="exact"/>
        <w:ind w:firstLine="420" w:firstLineChars="200"/>
        <w:rPr>
          <w:rFonts w:ascii="宋体" w:hAnsi="宋体" w:cs="宋体"/>
          <w:bCs/>
          <w:highlight w:val="none"/>
        </w:rPr>
      </w:pPr>
      <w:r>
        <w:rPr>
          <w:rFonts w:hint="eastAsia" w:ascii="宋体" w:hAnsi="宋体" w:cs="宋体"/>
          <w:bCs/>
          <w:highlight w:val="none"/>
        </w:rPr>
        <w:t>6、若因投标人对网上招投标操作不熟悉或自身电脑、个人网络等原因导致不能在投标截止时间之前完成投标文件上传的，所造成的投标失败或损失由投标人自行承担。建议各投标人在工作时间段内上传投标文件，选择IE11浏览器进行文件解密，在操作系统过程中有疑问或困难请及时进行咨询。</w:t>
      </w:r>
    </w:p>
    <w:p w14:paraId="102AFCC5">
      <w:pPr>
        <w:spacing w:line="440" w:lineRule="exact"/>
        <w:ind w:firstLine="420" w:firstLineChars="200"/>
        <w:rPr>
          <w:rFonts w:ascii="宋体" w:hAnsi="宋体" w:cs="宋体"/>
          <w:bCs/>
          <w:highlight w:val="none"/>
        </w:rPr>
      </w:pPr>
      <w:r>
        <w:rPr>
          <w:rFonts w:hint="eastAsia" w:ascii="宋体" w:hAnsi="宋体" w:cs="宋体"/>
          <w:bCs/>
          <w:highlight w:val="none"/>
        </w:rPr>
        <w:t>7、若开标时出现网络故障、交易系统技术故障等情形，导致解密无法完成而影响采购活动开展的，采购人有权采取非加密文件上传或将项目延期、延长投标文件解密时间等相应措施，以保障采购活动的公开、公平和公正，投标人不得对此持有异议。</w:t>
      </w:r>
    </w:p>
    <w:p w14:paraId="34502FC3">
      <w:pPr>
        <w:spacing w:line="440" w:lineRule="exact"/>
        <w:ind w:firstLine="420" w:firstLineChars="200"/>
        <w:rPr>
          <w:rFonts w:ascii="宋体" w:hAnsi="宋体" w:cs="宋体"/>
          <w:bCs/>
          <w:highlight w:val="none"/>
          <w:lang w:val="zh-CN"/>
        </w:rPr>
      </w:pPr>
      <w:r>
        <w:rPr>
          <w:rFonts w:hint="eastAsia" w:ascii="宋体" w:hAnsi="宋体" w:cs="宋体"/>
          <w:bCs/>
          <w:highlight w:val="none"/>
        </w:rPr>
        <w:t>8</w:t>
      </w:r>
      <w:r>
        <w:rPr>
          <w:rFonts w:hint="eastAsia" w:ascii="宋体" w:hAnsi="宋体" w:cs="宋体"/>
          <w:bCs/>
          <w:highlight w:val="none"/>
          <w:lang w:val="zh-CN"/>
        </w:rPr>
        <w:t>、交易平台技术支持联系方式</w:t>
      </w:r>
    </w:p>
    <w:p w14:paraId="4EEDF0BB">
      <w:pPr>
        <w:spacing w:line="440" w:lineRule="exact"/>
        <w:ind w:firstLine="420" w:firstLineChars="200"/>
        <w:rPr>
          <w:rFonts w:ascii="宋体" w:hAnsi="宋体" w:cs="宋体"/>
          <w:szCs w:val="21"/>
          <w:highlight w:val="none"/>
        </w:rPr>
      </w:pPr>
      <w:r>
        <w:rPr>
          <w:rFonts w:hint="eastAsia" w:ascii="宋体" w:hAnsi="宋体" w:cs="宋体"/>
          <w:bCs/>
          <w:highlight w:val="none"/>
          <w:lang w:val="zh-CN"/>
        </w:rPr>
        <w:t>联系电话：</w:t>
      </w:r>
      <w:r>
        <w:rPr>
          <w:rFonts w:hint="eastAsia" w:ascii="宋体" w:hAnsi="宋体" w:cs="宋体"/>
          <w:bCs/>
          <w:highlight w:val="none"/>
        </w:rPr>
        <w:t>4009980000</w:t>
      </w:r>
    </w:p>
    <w:p w14:paraId="3B723ABB">
      <w:pPr>
        <w:rPr>
          <w:rFonts w:ascii="宋体" w:hAnsi="宋体" w:cs="宋体"/>
          <w:szCs w:val="21"/>
          <w:highlight w:val="none"/>
        </w:rPr>
      </w:pPr>
    </w:p>
    <w:p w14:paraId="3F5A0B84">
      <w:pPr>
        <w:rPr>
          <w:rFonts w:ascii="宋体" w:hAnsi="宋体" w:cs="宋体"/>
          <w:szCs w:val="21"/>
          <w:highlight w:val="none"/>
        </w:rPr>
      </w:pPr>
      <w:r>
        <w:rPr>
          <w:rFonts w:hint="eastAsia" w:ascii="宋体" w:hAnsi="宋体" w:cs="宋体"/>
          <w:szCs w:val="21"/>
          <w:highlight w:val="none"/>
        </w:rPr>
        <w:t>附件：</w:t>
      </w:r>
    </w:p>
    <w:p w14:paraId="58A280B2">
      <w:pPr>
        <w:spacing w:line="360" w:lineRule="auto"/>
        <w:jc w:val="center"/>
        <w:rPr>
          <w:rFonts w:ascii="宋体" w:hAnsi="宋体" w:cs="宋体"/>
          <w:b/>
          <w:bCs/>
          <w:szCs w:val="21"/>
          <w:highlight w:val="none"/>
        </w:rPr>
      </w:pPr>
      <w:r>
        <w:rPr>
          <w:rFonts w:hint="eastAsia" w:ascii="宋体" w:hAnsi="宋体" w:cs="宋体"/>
          <w:b/>
          <w:bCs/>
          <w:szCs w:val="21"/>
          <w:highlight w:val="none"/>
        </w:rPr>
        <w:t>湖南省政府采购供应商资格承诺函</w:t>
      </w:r>
    </w:p>
    <w:p w14:paraId="392DDE0D">
      <w:pPr>
        <w:spacing w:line="360" w:lineRule="auto"/>
        <w:rPr>
          <w:rFonts w:ascii="宋体" w:hAnsi="宋体" w:cs="宋体"/>
          <w:szCs w:val="21"/>
          <w:highlight w:val="none"/>
        </w:rPr>
      </w:pPr>
    </w:p>
    <w:p w14:paraId="25D90EFE">
      <w:pPr>
        <w:spacing w:line="360" w:lineRule="auto"/>
        <w:ind w:firstLine="420" w:firstLineChars="200"/>
        <w:rPr>
          <w:rFonts w:ascii="宋体" w:hAnsi="宋体" w:cs="宋体"/>
          <w:szCs w:val="21"/>
          <w:highlight w:val="none"/>
        </w:rPr>
      </w:pPr>
      <w:r>
        <w:rPr>
          <w:rFonts w:hint="eastAsia" w:ascii="宋体" w:hAnsi="宋体" w:cs="宋体"/>
          <w:szCs w:val="21"/>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49B18B8B">
      <w:pPr>
        <w:spacing w:line="360" w:lineRule="auto"/>
        <w:ind w:firstLine="420" w:firstLineChars="200"/>
        <w:rPr>
          <w:rFonts w:ascii="宋体" w:hAnsi="宋体" w:cs="宋体"/>
          <w:szCs w:val="21"/>
          <w:highlight w:val="none"/>
        </w:rPr>
      </w:pPr>
      <w:r>
        <w:rPr>
          <w:rFonts w:hint="eastAsia" w:ascii="宋体" w:hAnsi="宋体" w:cs="宋体"/>
          <w:szCs w:val="21"/>
          <w:highlight w:val="none"/>
        </w:rPr>
        <w:t>按照《政府采购促进中小企业发展管理办法》(财库〔2020)46号)，本公司企业规模为:大型口 中型口 小型口 微型口</w:t>
      </w:r>
    </w:p>
    <w:p w14:paraId="62323D19">
      <w:pPr>
        <w:spacing w:line="360" w:lineRule="auto"/>
        <w:ind w:firstLine="1260" w:firstLineChars="600"/>
        <w:jc w:val="right"/>
        <w:rPr>
          <w:rFonts w:ascii="宋体" w:hAnsi="宋体" w:cs="宋体"/>
          <w:szCs w:val="21"/>
          <w:highlight w:val="none"/>
        </w:rPr>
      </w:pPr>
    </w:p>
    <w:p w14:paraId="48D4CB97">
      <w:pPr>
        <w:spacing w:line="360" w:lineRule="auto"/>
        <w:ind w:firstLine="1260" w:firstLineChars="600"/>
        <w:jc w:val="right"/>
        <w:rPr>
          <w:rFonts w:ascii="宋体" w:hAnsi="宋体" w:cs="宋体"/>
          <w:szCs w:val="21"/>
          <w:highlight w:val="none"/>
        </w:rPr>
      </w:pPr>
      <w:r>
        <w:rPr>
          <w:rFonts w:hint="eastAsia" w:ascii="宋体" w:hAnsi="宋体" w:cs="宋体"/>
          <w:szCs w:val="21"/>
          <w:highlight w:val="none"/>
        </w:rPr>
        <w:t>公司(单位)名称(盖章)</w:t>
      </w:r>
    </w:p>
    <w:p w14:paraId="692D4AAC">
      <w:pPr>
        <w:spacing w:line="360" w:lineRule="auto"/>
        <w:jc w:val="right"/>
        <w:rPr>
          <w:rFonts w:ascii="宋体" w:hAnsi="宋体" w:cs="宋体"/>
          <w:szCs w:val="21"/>
          <w:highlight w:val="none"/>
        </w:rPr>
      </w:pP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4BB8B3A3">
      <w:pPr>
        <w:spacing w:line="360" w:lineRule="auto"/>
        <w:rPr>
          <w:rFonts w:ascii="宋体" w:hAnsi="宋体" w:cs="宋体"/>
          <w:szCs w:val="21"/>
          <w:highlight w:val="none"/>
        </w:rPr>
      </w:pPr>
    </w:p>
    <w:p w14:paraId="309C8B8F">
      <w:pPr>
        <w:spacing w:line="360" w:lineRule="auto"/>
        <w:rPr>
          <w:rFonts w:ascii="宋体" w:hAnsi="宋体" w:cs="宋体"/>
          <w:szCs w:val="21"/>
          <w:highlight w:val="none"/>
        </w:rPr>
      </w:pPr>
      <w:r>
        <w:rPr>
          <w:rFonts w:hint="eastAsia" w:ascii="宋体" w:hAnsi="宋体" w:cs="宋体"/>
          <w:szCs w:val="21"/>
          <w:highlight w:val="none"/>
        </w:rPr>
        <w:t>机构代码：、注册登记机构：、日期：、有效期：、注册资本：、地址：、经济行业：、</w:t>
      </w:r>
    </w:p>
    <w:p w14:paraId="658AAE58">
      <w:pPr>
        <w:spacing w:line="360" w:lineRule="auto"/>
        <w:rPr>
          <w:rFonts w:ascii="宋体" w:hAnsi="宋体" w:cs="宋体"/>
          <w:szCs w:val="21"/>
          <w:highlight w:val="none"/>
        </w:rPr>
      </w:pPr>
      <w:r>
        <w:rPr>
          <w:rFonts w:hint="eastAsia" w:ascii="宋体" w:hAnsi="宋体" w:cs="宋体"/>
          <w:szCs w:val="21"/>
          <w:highlight w:val="none"/>
        </w:rPr>
        <w:t>经济性质：</w:t>
      </w:r>
    </w:p>
    <w:p w14:paraId="78A57927">
      <w:pPr>
        <w:spacing w:line="360" w:lineRule="auto"/>
        <w:rPr>
          <w:rFonts w:ascii="宋体" w:hAnsi="宋体" w:cs="宋体"/>
          <w:szCs w:val="21"/>
          <w:highlight w:val="none"/>
        </w:rPr>
      </w:pPr>
      <w:r>
        <w:rPr>
          <w:rFonts w:hint="eastAsia" w:ascii="宋体" w:hAnsi="宋体" w:cs="宋体"/>
          <w:szCs w:val="21"/>
          <w:highlight w:val="none"/>
        </w:rPr>
        <w:t>法定代表人(负责人)姓名(签字)：、身份证号：、手机号:</w:t>
      </w:r>
    </w:p>
    <w:p w14:paraId="79832C60">
      <w:pPr>
        <w:spacing w:line="360" w:lineRule="auto"/>
        <w:rPr>
          <w:rFonts w:ascii="宋体" w:hAnsi="宋体" w:cs="宋体"/>
          <w:szCs w:val="21"/>
          <w:highlight w:val="none"/>
        </w:rPr>
      </w:pPr>
      <w:r>
        <w:rPr>
          <w:rFonts w:hint="eastAsia" w:ascii="宋体" w:hAnsi="宋体" w:cs="宋体"/>
          <w:szCs w:val="21"/>
          <w:highlight w:val="none"/>
        </w:rPr>
        <w:t>授权代表人姓名(签字)：、身份证号：、手机号:</w:t>
      </w:r>
    </w:p>
    <w:p w14:paraId="6CCA77A2">
      <w:pPr>
        <w:rPr>
          <w:rFonts w:eastAsia="Times New Roman"/>
          <w:szCs w:val="21"/>
          <w:highlight w:val="none"/>
        </w:rPr>
      </w:pPr>
      <w:r>
        <w:rPr>
          <w:rFonts w:eastAsia="Times New Roman"/>
          <w:szCs w:val="21"/>
          <w:highlight w:val="none"/>
        </w:rPr>
        <w:br w:type="page"/>
      </w:r>
    </w:p>
    <w:p w14:paraId="77E1375E">
      <w:pPr>
        <w:pStyle w:val="23"/>
        <w:adjustRightInd w:val="0"/>
        <w:snapToGrid w:val="0"/>
        <w:spacing w:line="360" w:lineRule="auto"/>
        <w:jc w:val="center"/>
        <w:outlineLvl w:val="0"/>
        <w:rPr>
          <w:rFonts w:ascii="黑体" w:hAnsi="华文中宋" w:eastAsia="黑体"/>
          <w:b/>
          <w:spacing w:val="100"/>
          <w:sz w:val="32"/>
          <w:szCs w:val="32"/>
          <w:highlight w:val="none"/>
        </w:rPr>
      </w:pPr>
      <w:bookmarkStart w:id="9" w:name="_Toc20068"/>
      <w:r>
        <w:rPr>
          <w:rFonts w:hint="eastAsia" w:ascii="黑体" w:hAnsi="华文中宋" w:eastAsia="黑体"/>
          <w:b/>
          <w:sz w:val="32"/>
          <w:szCs w:val="32"/>
          <w:highlight w:val="none"/>
        </w:rPr>
        <w:t>第二章 投标须知</w:t>
      </w:r>
      <w:bookmarkEnd w:id="0"/>
      <w:bookmarkEnd w:id="1"/>
      <w:bookmarkEnd w:id="2"/>
      <w:bookmarkEnd w:id="3"/>
      <w:bookmarkEnd w:id="4"/>
      <w:bookmarkEnd w:id="5"/>
      <w:bookmarkEnd w:id="6"/>
      <w:bookmarkEnd w:id="7"/>
      <w:bookmarkEnd w:id="9"/>
    </w:p>
    <w:p w14:paraId="33EF075B">
      <w:pPr>
        <w:pStyle w:val="3"/>
        <w:adjustRightInd w:val="0"/>
        <w:snapToGrid w:val="0"/>
        <w:jc w:val="center"/>
        <w:rPr>
          <w:rFonts w:ascii="黑体" w:hAnsi="华文中宋" w:eastAsia="黑体"/>
          <w:spacing w:val="100"/>
          <w:sz w:val="28"/>
          <w:szCs w:val="28"/>
          <w:highlight w:val="none"/>
        </w:rPr>
      </w:pPr>
      <w:bookmarkStart w:id="10" w:name="_Toc20809"/>
      <w:r>
        <w:rPr>
          <w:rFonts w:hint="eastAsia" w:ascii="黑体" w:hAnsi="华文中宋" w:eastAsia="黑体"/>
          <w:sz w:val="28"/>
          <w:szCs w:val="28"/>
          <w:highlight w:val="none"/>
        </w:rPr>
        <w:t>投标须知前附表</w:t>
      </w:r>
      <w:bookmarkEnd w:id="10"/>
    </w:p>
    <w:p w14:paraId="48E61019">
      <w:pPr>
        <w:adjustRightInd w:val="0"/>
        <w:snapToGrid w:val="0"/>
        <w:spacing w:line="360" w:lineRule="auto"/>
        <w:ind w:right="31" w:rightChars="15"/>
        <w:jc w:val="left"/>
        <w:rPr>
          <w:rFonts w:asciiTheme="minorEastAsia" w:hAnsiTheme="minorEastAsia" w:eastAsiaTheme="minorEastAsia"/>
          <w:iCs/>
          <w:szCs w:val="21"/>
          <w:highlight w:val="none"/>
        </w:rPr>
      </w:pPr>
      <w:r>
        <w:rPr>
          <w:rFonts w:hint="eastAsia" w:asciiTheme="minorEastAsia" w:hAnsiTheme="minorEastAsia" w:eastAsiaTheme="minorEastAsia"/>
          <w:iCs/>
          <w:szCs w:val="21"/>
          <w:highlight w:val="none"/>
        </w:rPr>
        <w:t>注：本项目启用的条款在“编列内容规定”栏内以“■”标注。</w:t>
      </w:r>
    </w:p>
    <w:tbl>
      <w:tblPr>
        <w:tblStyle w:val="45"/>
        <w:tblW w:w="9294"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18"/>
        <w:gridCol w:w="3121"/>
        <w:gridCol w:w="4755"/>
      </w:tblGrid>
      <w:tr w14:paraId="3E039F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blHeader/>
        </w:trPr>
        <w:tc>
          <w:tcPr>
            <w:tcW w:w="1418" w:type="dxa"/>
            <w:vAlign w:val="center"/>
          </w:tcPr>
          <w:p w14:paraId="2E9D1B0B">
            <w:pPr>
              <w:adjustRightInd w:val="0"/>
              <w:snapToGrid w:val="0"/>
              <w:spacing w:line="360" w:lineRule="auto"/>
              <w:jc w:val="center"/>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条款号</w:t>
            </w:r>
          </w:p>
        </w:tc>
        <w:tc>
          <w:tcPr>
            <w:tcW w:w="3121" w:type="dxa"/>
            <w:vAlign w:val="center"/>
          </w:tcPr>
          <w:p w14:paraId="5078F798">
            <w:pPr>
              <w:adjustRightInd w:val="0"/>
              <w:snapToGrid w:val="0"/>
              <w:spacing w:line="360" w:lineRule="auto"/>
              <w:jc w:val="center"/>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条款名称</w:t>
            </w:r>
          </w:p>
        </w:tc>
        <w:tc>
          <w:tcPr>
            <w:tcW w:w="4755" w:type="dxa"/>
            <w:vAlign w:val="center"/>
          </w:tcPr>
          <w:p w14:paraId="7BE106E7">
            <w:pPr>
              <w:adjustRightInd w:val="0"/>
              <w:snapToGrid w:val="0"/>
              <w:spacing w:line="360" w:lineRule="auto"/>
              <w:jc w:val="center"/>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编列内容规定</w:t>
            </w:r>
          </w:p>
        </w:tc>
      </w:tr>
      <w:tr w14:paraId="2C0095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9294" w:type="dxa"/>
            <w:gridSpan w:val="3"/>
            <w:vAlign w:val="center"/>
          </w:tcPr>
          <w:p w14:paraId="7460EC28">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b/>
                <w:szCs w:val="21"/>
                <w:highlight w:val="none"/>
              </w:rPr>
              <w:t>一、说明</w:t>
            </w:r>
          </w:p>
        </w:tc>
      </w:tr>
      <w:tr w14:paraId="51EDF2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619DDA94">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第1.1款</w:t>
            </w:r>
          </w:p>
        </w:tc>
        <w:tc>
          <w:tcPr>
            <w:tcW w:w="3121" w:type="dxa"/>
            <w:vAlign w:val="center"/>
          </w:tcPr>
          <w:p w14:paraId="0783265E">
            <w:pPr>
              <w:adjustRightInd w:val="0"/>
              <w:snapToGrid w:val="0"/>
              <w:spacing w:line="360" w:lineRule="auto"/>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采购项目</w:t>
            </w:r>
          </w:p>
        </w:tc>
        <w:tc>
          <w:tcPr>
            <w:tcW w:w="4755" w:type="dxa"/>
            <w:vAlign w:val="center"/>
          </w:tcPr>
          <w:p w14:paraId="02276CEB">
            <w:pPr>
              <w:adjustRightInd w:val="0"/>
              <w:snapToGrid w:val="0"/>
              <w:spacing w:line="360" w:lineRule="auto"/>
              <w:rPr>
                <w:rFonts w:hint="eastAsia" w:asciiTheme="minorEastAsia" w:hAnsiTheme="minorEastAsia" w:eastAsiaTheme="minorEastAsia"/>
                <w:szCs w:val="21"/>
                <w:highlight w:val="none"/>
                <w:lang w:eastAsia="zh-CN"/>
              </w:rPr>
            </w:pPr>
            <w:r>
              <w:rPr>
                <w:rFonts w:hint="eastAsia" w:asciiTheme="minorEastAsia" w:hAnsiTheme="minorEastAsia" w:eastAsiaTheme="minorEastAsia"/>
                <w:szCs w:val="21"/>
                <w:highlight w:val="none"/>
                <w:lang w:eastAsia="zh-CN"/>
              </w:rPr>
              <w:t>郴州市第二人民医院医疗设备维保托管服务项目</w:t>
            </w:r>
          </w:p>
        </w:tc>
      </w:tr>
      <w:tr w14:paraId="306733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0149B818">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第2.1款</w:t>
            </w:r>
          </w:p>
        </w:tc>
        <w:tc>
          <w:tcPr>
            <w:tcW w:w="3121" w:type="dxa"/>
            <w:vAlign w:val="center"/>
          </w:tcPr>
          <w:p w14:paraId="4E52BB79">
            <w:pPr>
              <w:adjustRightInd w:val="0"/>
              <w:snapToGrid w:val="0"/>
              <w:spacing w:line="360" w:lineRule="auto"/>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采购人</w:t>
            </w:r>
          </w:p>
        </w:tc>
        <w:tc>
          <w:tcPr>
            <w:tcW w:w="4755" w:type="dxa"/>
            <w:vAlign w:val="center"/>
          </w:tcPr>
          <w:p w14:paraId="6DEC6532">
            <w:pPr>
              <w:adjustRightInd w:val="0"/>
              <w:snapToGrid w:val="0"/>
              <w:spacing w:line="420" w:lineRule="exact"/>
              <w:rPr>
                <w:rFonts w:hint="eastAsia" w:eastAsia="宋体" w:asciiTheme="minorEastAsia" w:hAnsiTheme="minorEastAsia"/>
                <w:szCs w:val="21"/>
                <w:highlight w:val="none"/>
                <w:lang w:eastAsia="zh-CN"/>
              </w:rPr>
            </w:pPr>
            <w:r>
              <w:rPr>
                <w:rFonts w:ascii="宋体" w:hAnsi="宋体"/>
                <w:szCs w:val="21"/>
                <w:highlight w:val="none"/>
              </w:rPr>
              <w:t>名称：</w:t>
            </w:r>
            <w:r>
              <w:rPr>
                <w:rFonts w:hint="eastAsia" w:ascii="宋体" w:hAnsi="宋体"/>
                <w:szCs w:val="21"/>
                <w:highlight w:val="none"/>
                <w:lang w:eastAsia="zh-CN"/>
              </w:rPr>
              <w:t>郴州市第二人民医院</w:t>
            </w:r>
          </w:p>
        </w:tc>
      </w:tr>
      <w:tr w14:paraId="7124A9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33BB3ECE">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第2.2款</w:t>
            </w:r>
          </w:p>
        </w:tc>
        <w:tc>
          <w:tcPr>
            <w:tcW w:w="3121" w:type="dxa"/>
            <w:vAlign w:val="center"/>
          </w:tcPr>
          <w:p w14:paraId="16A20B28">
            <w:pPr>
              <w:adjustRightInd w:val="0"/>
              <w:snapToGrid w:val="0"/>
              <w:spacing w:line="360" w:lineRule="auto"/>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采购代理机构</w:t>
            </w:r>
          </w:p>
        </w:tc>
        <w:tc>
          <w:tcPr>
            <w:tcW w:w="4755" w:type="dxa"/>
            <w:vAlign w:val="center"/>
          </w:tcPr>
          <w:p w14:paraId="06ABFF76">
            <w:pPr>
              <w:adjustRightInd w:val="0"/>
              <w:snapToGrid w:val="0"/>
              <w:spacing w:line="420" w:lineRule="exact"/>
              <w:rPr>
                <w:rFonts w:asciiTheme="minorEastAsia" w:hAnsiTheme="minorEastAsia"/>
                <w:szCs w:val="21"/>
                <w:highlight w:val="none"/>
              </w:rPr>
            </w:pPr>
            <w:r>
              <w:rPr>
                <w:rFonts w:hint="eastAsia" w:ascii="宋体" w:hAnsi="宋体"/>
                <w:szCs w:val="21"/>
                <w:highlight w:val="none"/>
              </w:rPr>
              <w:t>名称：湖南省湘咨工程咨询管理有限责任公司</w:t>
            </w:r>
          </w:p>
        </w:tc>
      </w:tr>
      <w:tr w14:paraId="0879BC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53B0450A">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第2.6款</w:t>
            </w:r>
          </w:p>
        </w:tc>
        <w:tc>
          <w:tcPr>
            <w:tcW w:w="3121" w:type="dxa"/>
            <w:vAlign w:val="center"/>
          </w:tcPr>
          <w:p w14:paraId="1341724D">
            <w:pPr>
              <w:adjustRightInd w:val="0"/>
              <w:snapToGrid w:val="0"/>
              <w:spacing w:line="360" w:lineRule="auto"/>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采购进口产品</w:t>
            </w:r>
          </w:p>
        </w:tc>
        <w:tc>
          <w:tcPr>
            <w:tcW w:w="4755" w:type="dxa"/>
            <w:vAlign w:val="center"/>
          </w:tcPr>
          <w:p w14:paraId="4029FC77">
            <w:pPr>
              <w:adjustRightInd w:val="0"/>
              <w:snapToGrid w:val="0"/>
              <w:rPr>
                <w:rFonts w:ascii="宋体" w:hAnsi="宋体" w:cs="宋体"/>
                <w:szCs w:val="21"/>
                <w:highlight w:val="none"/>
              </w:rPr>
            </w:pPr>
            <w:r>
              <w:rPr>
                <w:rFonts w:hint="eastAsia" w:ascii="宋体" w:hAnsi="宋体" w:cs="宋体"/>
                <w:szCs w:val="21"/>
                <w:highlight w:val="none"/>
              </w:rPr>
              <w:t xml:space="preserve">本项目为服务类项目，此条款不作要求。 </w:t>
            </w:r>
          </w:p>
        </w:tc>
      </w:tr>
      <w:tr w14:paraId="78B714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65367B23">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第3.2款</w:t>
            </w:r>
          </w:p>
        </w:tc>
        <w:tc>
          <w:tcPr>
            <w:tcW w:w="3121" w:type="dxa"/>
            <w:vAlign w:val="center"/>
          </w:tcPr>
          <w:p w14:paraId="1DF1920E">
            <w:pPr>
              <w:adjustRightInd w:val="0"/>
              <w:snapToGrid w:val="0"/>
              <w:spacing w:line="360" w:lineRule="auto"/>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联合体投标</w:t>
            </w:r>
          </w:p>
        </w:tc>
        <w:tc>
          <w:tcPr>
            <w:tcW w:w="4755" w:type="dxa"/>
            <w:vAlign w:val="center"/>
          </w:tcPr>
          <w:p w14:paraId="24AB5B4B">
            <w:pPr>
              <w:adjustRightInd w:val="0"/>
              <w:snapToGrid w:val="0"/>
              <w:spacing w:line="420" w:lineRule="exact"/>
              <w:rPr>
                <w:rFonts w:ascii="宋体" w:hAnsi="宋体"/>
                <w:szCs w:val="21"/>
                <w:highlight w:val="none"/>
              </w:rPr>
            </w:pPr>
            <w:r>
              <w:rPr>
                <w:rFonts w:ascii="宋体" w:hAnsi="宋体"/>
                <w:b/>
                <w:szCs w:val="21"/>
                <w:highlight w:val="none"/>
              </w:rPr>
              <w:t>■</w:t>
            </w:r>
            <w:r>
              <w:rPr>
                <w:rFonts w:ascii="宋体" w:hAnsi="宋体"/>
                <w:szCs w:val="21"/>
                <w:highlight w:val="none"/>
              </w:rPr>
              <w:t>不接受</w:t>
            </w:r>
          </w:p>
          <w:p w14:paraId="6AFCA3BB">
            <w:pPr>
              <w:adjustRightInd w:val="0"/>
              <w:snapToGrid w:val="0"/>
              <w:spacing w:line="280" w:lineRule="exact"/>
              <w:jc w:val="left"/>
              <w:rPr>
                <w:rFonts w:ascii="宋体" w:hAnsi="宋体" w:cs="宋体"/>
                <w:szCs w:val="21"/>
                <w:highlight w:val="none"/>
              </w:rPr>
            </w:pPr>
            <w:r>
              <w:rPr>
                <w:rFonts w:ascii="宋体" w:hAnsi="宋体"/>
                <w:szCs w:val="21"/>
                <w:highlight w:val="none"/>
              </w:rPr>
              <w:sym w:font="Wingdings 2" w:char="00A3"/>
            </w:r>
            <w:r>
              <w:rPr>
                <w:rFonts w:ascii="宋体" w:hAnsi="宋体"/>
                <w:szCs w:val="21"/>
                <w:highlight w:val="none"/>
              </w:rPr>
              <w:t xml:space="preserve"> 接受</w:t>
            </w:r>
          </w:p>
        </w:tc>
      </w:tr>
      <w:tr w14:paraId="2253B6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2336B630">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第6.2</w:t>
            </w:r>
            <w:r>
              <w:rPr>
                <w:rFonts w:hint="eastAsia" w:cs="宋体" w:asciiTheme="minorEastAsia" w:hAnsiTheme="minorEastAsia" w:eastAsiaTheme="minorEastAsia"/>
                <w:kern w:val="0"/>
                <w:szCs w:val="21"/>
                <w:highlight w:val="none"/>
                <w:lang w:val="zh-CN"/>
              </w:rPr>
              <w:t>款</w:t>
            </w:r>
          </w:p>
        </w:tc>
        <w:tc>
          <w:tcPr>
            <w:tcW w:w="3121" w:type="dxa"/>
            <w:vAlign w:val="center"/>
          </w:tcPr>
          <w:p w14:paraId="6785E12F">
            <w:pPr>
              <w:adjustRightInd w:val="0"/>
              <w:snapToGrid w:val="0"/>
              <w:spacing w:line="360" w:lineRule="auto"/>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组织现场考察或者召开答疑会</w:t>
            </w:r>
          </w:p>
        </w:tc>
        <w:tc>
          <w:tcPr>
            <w:tcW w:w="4755" w:type="dxa"/>
            <w:vAlign w:val="center"/>
          </w:tcPr>
          <w:p w14:paraId="399A7A8B">
            <w:pPr>
              <w:adjustRightInd w:val="0"/>
              <w:snapToGrid w:val="0"/>
              <w:spacing w:line="420" w:lineRule="exact"/>
              <w:rPr>
                <w:rFonts w:ascii="宋体" w:hAnsi="宋体"/>
                <w:szCs w:val="21"/>
                <w:highlight w:val="none"/>
              </w:rPr>
            </w:pPr>
            <w:r>
              <w:rPr>
                <w:rFonts w:ascii="宋体" w:hAnsi="宋体"/>
                <w:b/>
                <w:szCs w:val="21"/>
                <w:highlight w:val="none"/>
              </w:rPr>
              <w:t>■</w:t>
            </w:r>
            <w:r>
              <w:rPr>
                <w:rFonts w:ascii="宋体" w:hAnsi="宋体"/>
                <w:szCs w:val="21"/>
                <w:highlight w:val="none"/>
              </w:rPr>
              <w:t>不接受</w:t>
            </w:r>
          </w:p>
          <w:p w14:paraId="6BC13152">
            <w:pPr>
              <w:adjustRightInd w:val="0"/>
              <w:snapToGrid w:val="0"/>
              <w:spacing w:line="360" w:lineRule="auto"/>
              <w:rPr>
                <w:rFonts w:asciiTheme="minorEastAsia" w:hAnsiTheme="minorEastAsia" w:eastAsiaTheme="minorEastAsia"/>
                <w:szCs w:val="21"/>
                <w:highlight w:val="none"/>
              </w:rPr>
            </w:pPr>
            <w:r>
              <w:rPr>
                <w:rFonts w:ascii="宋体" w:hAnsi="宋体"/>
                <w:szCs w:val="21"/>
                <w:highlight w:val="none"/>
              </w:rPr>
              <w:sym w:font="Wingdings 2" w:char="00A3"/>
            </w:r>
            <w:r>
              <w:rPr>
                <w:rFonts w:ascii="宋体" w:hAnsi="宋体"/>
                <w:szCs w:val="21"/>
                <w:highlight w:val="none"/>
              </w:rPr>
              <w:t xml:space="preserve"> 接受</w:t>
            </w:r>
          </w:p>
        </w:tc>
      </w:tr>
      <w:tr w14:paraId="6F6E13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294" w:type="dxa"/>
            <w:gridSpan w:val="3"/>
            <w:vAlign w:val="center"/>
          </w:tcPr>
          <w:p w14:paraId="07BECD41">
            <w:pPr>
              <w:adjustRightInd w:val="0"/>
              <w:snapToGrid w:val="0"/>
              <w:spacing w:line="360" w:lineRule="auto"/>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二、招标文件</w:t>
            </w:r>
          </w:p>
        </w:tc>
      </w:tr>
      <w:tr w14:paraId="7C70C9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2269D836">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第7.2款</w:t>
            </w:r>
          </w:p>
        </w:tc>
        <w:tc>
          <w:tcPr>
            <w:tcW w:w="3121" w:type="dxa"/>
            <w:vAlign w:val="center"/>
          </w:tcPr>
          <w:p w14:paraId="4879B448">
            <w:pPr>
              <w:adjustRightInd w:val="0"/>
              <w:snapToGrid w:val="0"/>
              <w:spacing w:line="360" w:lineRule="auto"/>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提交投标文件截止时间</w:t>
            </w:r>
          </w:p>
        </w:tc>
        <w:tc>
          <w:tcPr>
            <w:tcW w:w="4755" w:type="dxa"/>
            <w:vAlign w:val="center"/>
          </w:tcPr>
          <w:p w14:paraId="6388CC2A">
            <w:pPr>
              <w:adjustRightInd w:val="0"/>
              <w:snapToGrid w:val="0"/>
              <w:spacing w:line="360" w:lineRule="auto"/>
              <w:rPr>
                <w:rFonts w:asciiTheme="minorEastAsia" w:hAnsiTheme="minorEastAsia" w:eastAsiaTheme="minorEastAsia"/>
                <w:szCs w:val="21"/>
                <w:highlight w:val="none"/>
                <w:u w:val="single"/>
              </w:rPr>
            </w:pPr>
            <w:r>
              <w:rPr>
                <w:rFonts w:hint="eastAsia" w:ascii="宋体" w:hAnsi="宋体" w:cs="宋体"/>
                <w:kern w:val="0"/>
                <w:highlight w:val="yellow"/>
                <w:lang w:eastAsia="zh-CN"/>
              </w:rPr>
              <w:t>2026年9月2日9时30分</w:t>
            </w:r>
            <w:r>
              <w:rPr>
                <w:rFonts w:hint="eastAsia" w:ascii="宋体" w:hAnsi="宋体"/>
                <w:highlight w:val="none"/>
              </w:rPr>
              <w:t>（北京时间）</w:t>
            </w:r>
          </w:p>
        </w:tc>
      </w:tr>
      <w:tr w14:paraId="2569B5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522168F2">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第8.4</w:t>
            </w:r>
            <w:r>
              <w:rPr>
                <w:rFonts w:hint="eastAsia" w:cs="宋体" w:asciiTheme="minorEastAsia" w:hAnsiTheme="minorEastAsia" w:eastAsiaTheme="minorEastAsia"/>
                <w:kern w:val="0"/>
                <w:szCs w:val="21"/>
                <w:highlight w:val="none"/>
                <w:lang w:val="zh-CN"/>
              </w:rPr>
              <w:t>款</w:t>
            </w:r>
          </w:p>
        </w:tc>
        <w:tc>
          <w:tcPr>
            <w:tcW w:w="3121" w:type="dxa"/>
            <w:vAlign w:val="center"/>
          </w:tcPr>
          <w:p w14:paraId="29718503">
            <w:pPr>
              <w:adjustRightInd w:val="0"/>
              <w:snapToGrid w:val="0"/>
              <w:spacing w:line="360" w:lineRule="auto"/>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非实质性偏离的范围和幅度</w:t>
            </w:r>
          </w:p>
        </w:tc>
        <w:tc>
          <w:tcPr>
            <w:tcW w:w="4755" w:type="dxa"/>
            <w:vAlign w:val="center"/>
          </w:tcPr>
          <w:p w14:paraId="44A4E959">
            <w:pPr>
              <w:adjustRightInd w:val="0"/>
              <w:snapToGrid w:val="0"/>
              <w:spacing w:line="360" w:lineRule="auto"/>
              <w:rPr>
                <w:rFonts w:asciiTheme="minorEastAsia" w:hAnsiTheme="minorEastAsia"/>
                <w:szCs w:val="21"/>
                <w:highlight w:val="none"/>
                <w:u w:val="single"/>
              </w:rPr>
            </w:pPr>
            <w:r>
              <w:rPr>
                <w:rFonts w:hint="eastAsia" w:ascii="宋体" w:hAnsi="宋体"/>
                <w:szCs w:val="21"/>
                <w:highlight w:val="none"/>
              </w:rPr>
              <w:t>一般技术条款偏离项数之和</w:t>
            </w:r>
            <w:r>
              <w:rPr>
                <w:rFonts w:hint="eastAsia" w:ascii="宋体" w:hAnsi="宋体"/>
                <w:szCs w:val="21"/>
                <w:highlight w:val="none"/>
                <w:lang w:val="en-US" w:eastAsia="zh-CN"/>
              </w:rPr>
              <w:t>≥</w:t>
            </w:r>
            <w:r>
              <w:rPr>
                <w:rFonts w:hint="eastAsia" w:ascii="宋体" w:hAnsi="宋体"/>
                <w:szCs w:val="21"/>
                <w:highlight w:val="none"/>
                <w:u w:val="single"/>
                <w:lang w:val="en-US" w:eastAsia="zh-CN"/>
              </w:rPr>
              <w:t xml:space="preserve"> / </w:t>
            </w:r>
            <w:r>
              <w:rPr>
                <w:rFonts w:hint="eastAsia" w:ascii="宋体" w:hAnsi="宋体"/>
                <w:szCs w:val="21"/>
                <w:highlight w:val="none"/>
              </w:rPr>
              <w:t>项将导致无效投标。</w:t>
            </w:r>
          </w:p>
        </w:tc>
      </w:tr>
      <w:tr w14:paraId="0DD4C9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418" w:type="dxa"/>
            <w:vAlign w:val="center"/>
          </w:tcPr>
          <w:p w14:paraId="57BAE992">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第10.1款</w:t>
            </w:r>
          </w:p>
        </w:tc>
        <w:tc>
          <w:tcPr>
            <w:tcW w:w="3121" w:type="dxa"/>
            <w:vAlign w:val="center"/>
          </w:tcPr>
          <w:p w14:paraId="0C5B991B">
            <w:pPr>
              <w:adjustRightInd w:val="0"/>
              <w:snapToGrid w:val="0"/>
              <w:jc w:val="left"/>
              <w:rPr>
                <w:rFonts w:asciiTheme="minorEastAsia" w:hAnsiTheme="minorEastAsia" w:eastAsiaTheme="minorEastAsia"/>
                <w:szCs w:val="21"/>
                <w:highlight w:val="none"/>
              </w:rPr>
            </w:pPr>
            <w:r>
              <w:rPr>
                <w:rFonts w:hint="eastAsia" w:ascii="宋体" w:hAnsi="宋体" w:cs="宋体"/>
                <w:szCs w:val="21"/>
                <w:highlight w:val="none"/>
              </w:rPr>
              <w:t>指定的媒体</w:t>
            </w:r>
          </w:p>
        </w:tc>
        <w:tc>
          <w:tcPr>
            <w:tcW w:w="4755" w:type="dxa"/>
            <w:vAlign w:val="center"/>
          </w:tcPr>
          <w:p w14:paraId="6780A2B8">
            <w:pPr>
              <w:adjustRightInd w:val="0"/>
              <w:snapToGrid w:val="0"/>
              <w:spacing w:line="420" w:lineRule="exact"/>
              <w:jc w:val="left"/>
              <w:rPr>
                <w:rFonts w:ascii="宋体" w:hAnsi="宋体"/>
                <w:szCs w:val="21"/>
                <w:highlight w:val="none"/>
              </w:rPr>
            </w:pPr>
            <w:r>
              <w:rPr>
                <w:rFonts w:ascii="宋体" w:hAnsi="宋体"/>
                <w:szCs w:val="21"/>
                <w:highlight w:val="none"/>
              </w:rPr>
              <w:t>《</w:t>
            </w:r>
            <w:r>
              <w:rPr>
                <w:rFonts w:hint="eastAsia" w:ascii="宋体" w:hAnsi="宋体"/>
                <w:szCs w:val="21"/>
                <w:highlight w:val="none"/>
              </w:rPr>
              <w:t>湖南省政府采购网</w:t>
            </w:r>
            <w:r>
              <w:rPr>
                <w:rFonts w:ascii="宋体" w:hAnsi="宋体"/>
                <w:szCs w:val="21"/>
                <w:highlight w:val="none"/>
              </w:rPr>
              <w:t>》</w:t>
            </w:r>
          </w:p>
          <w:p w14:paraId="7C8A3532">
            <w:pPr>
              <w:wordWrap w:val="0"/>
              <w:adjustRightInd w:val="0"/>
              <w:snapToGrid w:val="0"/>
              <w:spacing w:line="280" w:lineRule="exact"/>
              <w:jc w:val="left"/>
              <w:rPr>
                <w:rFonts w:asciiTheme="minorEastAsia" w:hAnsiTheme="minorEastAsia"/>
                <w:b/>
                <w:bCs/>
                <w:szCs w:val="21"/>
                <w:highlight w:val="none"/>
                <w:u w:val="single"/>
              </w:rPr>
            </w:pPr>
            <w:r>
              <w:rPr>
                <w:rFonts w:hint="eastAsia" w:ascii="宋体" w:hAnsi="宋体"/>
                <w:szCs w:val="21"/>
                <w:highlight w:val="none"/>
              </w:rPr>
              <w:t>（http://www.ccgp-hunan.gov.cn/）、《</w:t>
            </w:r>
            <w:r>
              <w:rPr>
                <w:rFonts w:hint="eastAsia" w:ascii="宋体" w:hAnsi="宋体" w:cs="宋体"/>
                <w:szCs w:val="21"/>
                <w:highlight w:val="none"/>
              </w:rPr>
              <w:t>郴州市公共资源交易中心网</w:t>
            </w:r>
            <w:r>
              <w:rPr>
                <w:rFonts w:hint="eastAsia" w:ascii="宋体" w:hAnsi="宋体"/>
                <w:szCs w:val="21"/>
                <w:highlight w:val="none"/>
              </w:rPr>
              <w:t>》</w:t>
            </w:r>
            <w:r>
              <w:rPr>
                <w:rFonts w:hint="eastAsia" w:ascii="宋体" w:hAnsi="宋体" w:cs="宋体"/>
                <w:szCs w:val="21"/>
                <w:highlight w:val="none"/>
              </w:rPr>
              <w:t>（：http://czggzy.czs.gov.cn)</w:t>
            </w:r>
          </w:p>
        </w:tc>
      </w:tr>
      <w:tr w14:paraId="48748D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5" w:hRule="atLeast"/>
        </w:trPr>
        <w:tc>
          <w:tcPr>
            <w:tcW w:w="9294" w:type="dxa"/>
            <w:gridSpan w:val="3"/>
            <w:vAlign w:val="center"/>
          </w:tcPr>
          <w:p w14:paraId="0882BC06">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b/>
                <w:szCs w:val="21"/>
                <w:highlight w:val="none"/>
              </w:rPr>
              <w:t>三、投标文件</w:t>
            </w:r>
          </w:p>
        </w:tc>
      </w:tr>
      <w:tr w14:paraId="2BC3EA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1418" w:type="dxa"/>
            <w:vAlign w:val="center"/>
          </w:tcPr>
          <w:p w14:paraId="73259C59">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第14.1款</w:t>
            </w:r>
          </w:p>
        </w:tc>
        <w:tc>
          <w:tcPr>
            <w:tcW w:w="3121" w:type="dxa"/>
            <w:vAlign w:val="center"/>
          </w:tcPr>
          <w:p w14:paraId="17663286">
            <w:pPr>
              <w:adjustRightInd w:val="0"/>
              <w:snapToGrid w:val="0"/>
              <w:spacing w:line="360" w:lineRule="auto"/>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投标报价的规定</w:t>
            </w:r>
          </w:p>
        </w:tc>
        <w:tc>
          <w:tcPr>
            <w:tcW w:w="4755" w:type="dxa"/>
            <w:vAlign w:val="center"/>
          </w:tcPr>
          <w:p w14:paraId="27A6CD4E">
            <w:pPr>
              <w:suppressAutoHyphens/>
              <w:snapToGrid w:val="0"/>
              <w:spacing w:before="156" w:line="360" w:lineRule="auto"/>
              <w:rPr>
                <w:rFonts w:hint="eastAsia" w:ascii="宋体" w:hAnsi="宋体" w:cs="宋体"/>
                <w:color w:val="auto"/>
                <w:highlight w:val="none"/>
                <w:lang w:val="en-US" w:eastAsia="zh-CN"/>
              </w:rPr>
            </w:pPr>
            <w:r>
              <w:rPr>
                <w:rFonts w:hint="eastAsia" w:ascii="宋体" w:hAnsi="宋体" w:eastAsia="宋体" w:cs="宋体"/>
                <w:color w:val="auto"/>
                <w:highlight w:val="none"/>
                <w:lang w:val="en-US" w:eastAsia="zh-CN"/>
              </w:rPr>
              <w:t>★</w:t>
            </w:r>
            <w:r>
              <w:rPr>
                <w:rFonts w:hint="eastAsia" w:ascii="宋体" w:hAnsi="宋体" w:cs="宋体"/>
                <w:color w:val="auto"/>
                <w:highlight w:val="none"/>
                <w:lang w:val="en-US" w:eastAsia="zh-CN"/>
              </w:rPr>
              <w:t>以</w:t>
            </w:r>
            <w:r>
              <w:rPr>
                <w:rFonts w:hint="eastAsia" w:ascii="宋体" w:hAnsi="宋体" w:cs="宋体"/>
                <w:color w:val="auto"/>
                <w:highlight w:val="none"/>
              </w:rPr>
              <w:t>医疗设备固定资产金额，乘以报价比例</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包1：报价比例最高值为：360/3/4793.6458=2.50%</w:t>
            </w:r>
          </w:p>
          <w:p w14:paraId="362C644F">
            <w:pPr>
              <w:suppressAutoHyphens/>
              <w:snapToGrid w:val="0"/>
              <w:spacing w:before="156" w:line="360" w:lineRule="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包2：报价比例最高值为：135/3/973.43=4.62%</w:t>
            </w:r>
          </w:p>
        </w:tc>
      </w:tr>
      <w:tr w14:paraId="4E8AF2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trPr>
        <w:tc>
          <w:tcPr>
            <w:tcW w:w="1418" w:type="dxa"/>
            <w:vAlign w:val="center"/>
          </w:tcPr>
          <w:p w14:paraId="554D641A">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第14.5</w:t>
            </w:r>
            <w:r>
              <w:rPr>
                <w:rFonts w:hint="eastAsia" w:cs="宋体" w:asciiTheme="minorEastAsia" w:hAnsiTheme="minorEastAsia" w:eastAsiaTheme="minorEastAsia"/>
                <w:kern w:val="0"/>
                <w:szCs w:val="21"/>
                <w:highlight w:val="none"/>
                <w:lang w:val="zh-CN"/>
              </w:rPr>
              <w:t>款</w:t>
            </w:r>
          </w:p>
        </w:tc>
        <w:tc>
          <w:tcPr>
            <w:tcW w:w="3121" w:type="dxa"/>
            <w:vAlign w:val="center"/>
          </w:tcPr>
          <w:p w14:paraId="64B5108E">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最高限价</w:t>
            </w:r>
          </w:p>
        </w:tc>
        <w:tc>
          <w:tcPr>
            <w:tcW w:w="4755" w:type="dxa"/>
            <w:vAlign w:val="center"/>
          </w:tcPr>
          <w:p w14:paraId="60A6D800">
            <w:pPr>
              <w:adjustRightInd w:val="0"/>
              <w:snapToGrid w:val="0"/>
              <w:spacing w:line="440" w:lineRule="exact"/>
              <w:rPr>
                <w:rFonts w:hint="eastAsia" w:ascii="宋体" w:hAnsi="宋体" w:eastAsia="宋体" w:cs="宋体"/>
                <w:highlight w:val="none"/>
                <w:lang w:val="en-US" w:eastAsia="zh-CN"/>
              </w:rPr>
            </w:pPr>
            <w:r>
              <w:rPr>
                <w:rFonts w:hint="eastAsia" w:ascii="宋体" w:hAnsi="宋体" w:eastAsia="宋体" w:cs="宋体"/>
                <w:highlight w:val="none"/>
                <w:lang w:val="en-US" w:eastAsia="zh-CN"/>
              </w:rPr>
              <w:t>包1：人民币</w:t>
            </w:r>
            <w:r>
              <w:rPr>
                <w:rFonts w:hint="eastAsia" w:ascii="宋体" w:hAnsi="宋体" w:cs="宋体"/>
                <w:highlight w:val="none"/>
                <w:lang w:val="en-US" w:eastAsia="zh-CN"/>
              </w:rPr>
              <w:t>叁佰陆拾万元整</w:t>
            </w:r>
            <w:r>
              <w:rPr>
                <w:rFonts w:hint="eastAsia" w:ascii="宋体" w:hAnsi="宋体" w:eastAsia="宋体" w:cs="宋体"/>
                <w:highlight w:val="none"/>
                <w:lang w:val="en-US" w:eastAsia="zh-CN"/>
              </w:rPr>
              <w:t>（¥</w:t>
            </w:r>
            <w:r>
              <w:rPr>
                <w:rFonts w:hint="eastAsia" w:ascii="宋体" w:hAnsi="宋体" w:cs="宋体"/>
                <w:highlight w:val="none"/>
                <w:lang w:val="en-US" w:eastAsia="zh-CN"/>
              </w:rPr>
              <w:t>360</w:t>
            </w:r>
            <w:r>
              <w:rPr>
                <w:rFonts w:hint="eastAsia" w:ascii="宋体" w:hAnsi="宋体" w:eastAsia="宋体" w:cs="宋体"/>
                <w:highlight w:val="none"/>
                <w:lang w:val="en-US" w:eastAsia="zh-CN"/>
              </w:rPr>
              <w:t>0000.00）</w:t>
            </w:r>
          </w:p>
          <w:p w14:paraId="12DB842A">
            <w:pPr>
              <w:adjustRightInd w:val="0"/>
              <w:snapToGrid w:val="0"/>
              <w:spacing w:line="440" w:lineRule="exact"/>
              <w:rPr>
                <w:rFonts w:hint="default"/>
                <w:highlight w:val="none"/>
                <w:lang w:val="en-US" w:eastAsia="zh-CN"/>
              </w:rPr>
            </w:pPr>
            <w:r>
              <w:rPr>
                <w:rFonts w:hint="eastAsia" w:ascii="宋体" w:hAnsi="宋体" w:eastAsia="宋体" w:cs="宋体"/>
                <w:highlight w:val="none"/>
                <w:lang w:val="en-US" w:eastAsia="zh-CN"/>
              </w:rPr>
              <w:t>包2：人民币</w:t>
            </w:r>
            <w:r>
              <w:rPr>
                <w:rFonts w:hint="eastAsia" w:ascii="宋体" w:hAnsi="宋体" w:cs="宋体"/>
                <w:highlight w:val="none"/>
                <w:lang w:val="en-US" w:eastAsia="zh-CN"/>
              </w:rPr>
              <w:t>壹佰叁拾伍万元整</w:t>
            </w:r>
            <w:r>
              <w:rPr>
                <w:rFonts w:hint="eastAsia" w:ascii="宋体" w:hAnsi="宋体" w:eastAsia="宋体" w:cs="宋体"/>
                <w:highlight w:val="none"/>
                <w:lang w:val="en-US" w:eastAsia="zh-CN"/>
              </w:rPr>
              <w:t>（¥</w:t>
            </w:r>
            <w:r>
              <w:rPr>
                <w:rFonts w:hint="eastAsia" w:ascii="宋体" w:hAnsi="宋体" w:cs="宋体"/>
                <w:highlight w:val="none"/>
                <w:lang w:val="en-US" w:eastAsia="zh-CN"/>
              </w:rPr>
              <w:t>1350000.00</w:t>
            </w:r>
            <w:r>
              <w:rPr>
                <w:rFonts w:hint="eastAsia" w:ascii="宋体" w:hAnsi="宋体" w:eastAsia="宋体" w:cs="宋体"/>
                <w:highlight w:val="none"/>
                <w:lang w:val="en-US" w:eastAsia="zh-CN"/>
              </w:rPr>
              <w:t>）</w:t>
            </w:r>
          </w:p>
        </w:tc>
      </w:tr>
      <w:tr w14:paraId="6C20BF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38B40C0D">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第15.1款</w:t>
            </w:r>
          </w:p>
        </w:tc>
        <w:tc>
          <w:tcPr>
            <w:tcW w:w="3121" w:type="dxa"/>
            <w:vAlign w:val="center"/>
          </w:tcPr>
          <w:p w14:paraId="1385A838">
            <w:pPr>
              <w:adjustRightInd w:val="0"/>
              <w:snapToGrid w:val="0"/>
              <w:spacing w:line="360" w:lineRule="auto"/>
              <w:rPr>
                <w:rFonts w:asciiTheme="minorEastAsia" w:hAnsiTheme="minorEastAsia" w:eastAsiaTheme="minorEastAsia"/>
                <w:bCs/>
                <w:szCs w:val="21"/>
                <w:highlight w:val="none"/>
              </w:rPr>
            </w:pPr>
            <w:r>
              <w:rPr>
                <w:rFonts w:hint="eastAsia" w:asciiTheme="minorEastAsia" w:hAnsiTheme="minorEastAsia" w:eastAsiaTheme="minorEastAsia"/>
                <w:szCs w:val="21"/>
                <w:highlight w:val="none"/>
              </w:rPr>
              <w:t>投标人应提供资格审查资料</w:t>
            </w:r>
          </w:p>
        </w:tc>
        <w:tc>
          <w:tcPr>
            <w:tcW w:w="4755" w:type="dxa"/>
            <w:vAlign w:val="center"/>
          </w:tcPr>
          <w:p w14:paraId="1A04B7B2">
            <w:pPr>
              <w:adjustRightInd w:val="0"/>
              <w:snapToGrid w:val="0"/>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1、投标人的基本资格条件：应当符合《政府采购法》第二十二条第一款的规定，即：</w:t>
            </w:r>
          </w:p>
          <w:p w14:paraId="74C7C260">
            <w:pPr>
              <w:adjustRightInd w:val="0"/>
              <w:snapToGrid w:val="0"/>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（1）具有独立承担民事责任的能力；</w:t>
            </w:r>
          </w:p>
          <w:p w14:paraId="09C065CB">
            <w:pPr>
              <w:adjustRightInd w:val="0"/>
              <w:snapToGrid w:val="0"/>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（2）具有良好的商业信誉和健全的财务会计制度；</w:t>
            </w:r>
          </w:p>
          <w:p w14:paraId="0EEABF24">
            <w:pPr>
              <w:adjustRightInd w:val="0"/>
              <w:snapToGrid w:val="0"/>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（3）具有履行合同所必需的设备和专业技术能力；</w:t>
            </w:r>
          </w:p>
          <w:p w14:paraId="0EB027D3">
            <w:pPr>
              <w:adjustRightInd w:val="0"/>
              <w:snapToGrid w:val="0"/>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（4）有依法缴纳税收和社会保障资金的良好记录；</w:t>
            </w:r>
          </w:p>
          <w:p w14:paraId="6669C831">
            <w:pPr>
              <w:adjustRightInd w:val="0"/>
              <w:snapToGrid w:val="0"/>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（5）参加政府采购活动前三年内，在经营活动中没有重大违法记录；</w:t>
            </w:r>
          </w:p>
          <w:p w14:paraId="4A1E60D6">
            <w:pPr>
              <w:adjustRightInd w:val="0"/>
              <w:snapToGrid w:val="0"/>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（6）法律、行政法规规定的其他条件。</w:t>
            </w:r>
          </w:p>
          <w:p w14:paraId="64CA1B27">
            <w:pPr>
              <w:adjustRightInd w:val="0"/>
              <w:snapToGrid w:val="0"/>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投标人提供以下资格证明材料：</w:t>
            </w:r>
          </w:p>
          <w:p w14:paraId="055A4BD7">
            <w:pPr>
              <w:adjustRightInd w:val="0"/>
              <w:snapToGrid w:val="0"/>
              <w:spacing w:line="360" w:lineRule="auto"/>
              <w:ind w:firstLine="420" w:firstLineChars="200"/>
              <w:rPr>
                <w:rFonts w:hint="eastAsia" w:ascii="宋体" w:hAnsi="宋体" w:eastAsia="宋体" w:cs="Times New Roman"/>
                <w:szCs w:val="21"/>
                <w:highlight w:val="none"/>
              </w:rPr>
            </w:pPr>
            <w:r>
              <w:rPr>
                <w:rFonts w:hint="eastAsia" w:ascii="宋体" w:hAnsi="宋体" w:eastAsia="宋体" w:cs="Times New Roman"/>
                <w:szCs w:val="21"/>
                <w:highlight w:val="none"/>
              </w:rPr>
              <w:t>1.1 提供有效的具有统一社会信用代码的《营业执照》副本。</w:t>
            </w:r>
          </w:p>
          <w:p w14:paraId="76146115">
            <w:pPr>
              <w:adjustRightInd w:val="0"/>
              <w:snapToGrid w:val="0"/>
              <w:spacing w:line="360" w:lineRule="auto"/>
              <w:ind w:firstLine="420" w:firstLineChars="200"/>
              <w:rPr>
                <w:rFonts w:hint="eastAsia" w:ascii="宋体" w:hAnsi="宋体" w:eastAsia="宋体" w:cs="Times New Roman"/>
                <w:szCs w:val="21"/>
                <w:highlight w:val="none"/>
              </w:rPr>
            </w:pPr>
            <w:r>
              <w:rPr>
                <w:rFonts w:hint="eastAsia" w:ascii="宋体" w:hAnsi="宋体" w:eastAsia="宋体" w:cs="Times New Roman"/>
                <w:szCs w:val="21"/>
                <w:highlight w:val="none"/>
              </w:rPr>
              <w:t>1.2 提供法定代表人身份证明及法定代表人的身份证，或法定代表人身份证明、法定代表人授权委托书及其委托代理人的身份证。</w:t>
            </w:r>
          </w:p>
          <w:p w14:paraId="4782DA3E">
            <w:pPr>
              <w:adjustRightInd w:val="0"/>
              <w:snapToGrid w:val="0"/>
              <w:spacing w:line="360" w:lineRule="auto"/>
              <w:ind w:firstLine="420" w:firstLineChars="200"/>
              <w:rPr>
                <w:rFonts w:hint="eastAsia" w:ascii="宋体" w:hAnsi="宋体" w:eastAsia="宋体" w:cs="Times New Roman"/>
                <w:szCs w:val="21"/>
                <w:highlight w:val="none"/>
              </w:rPr>
            </w:pPr>
            <w:r>
              <w:rPr>
                <w:rFonts w:hint="eastAsia" w:ascii="宋体" w:hAnsi="宋体" w:eastAsia="宋体" w:cs="Times New Roman"/>
                <w:szCs w:val="21"/>
                <w:highlight w:val="none"/>
              </w:rPr>
              <w:t>1.3 提供湖南省政府采购供应商资格承诺函。</w:t>
            </w:r>
          </w:p>
          <w:p w14:paraId="71825298">
            <w:pPr>
              <w:adjustRightInd w:val="0"/>
              <w:snapToGrid w:val="0"/>
              <w:spacing w:line="360" w:lineRule="auto"/>
              <w:ind w:firstLine="420" w:firstLineChars="200"/>
              <w:rPr>
                <w:rFonts w:hint="default"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 xml:space="preserve">1.4 </w:t>
            </w:r>
            <w:r>
              <w:rPr>
                <w:rFonts w:hint="eastAsia" w:ascii="宋体" w:hAnsi="宋体" w:eastAsia="宋体" w:cs="Times New Roman"/>
                <w:szCs w:val="21"/>
                <w:highlight w:val="none"/>
              </w:rPr>
              <w:t>提供</w:t>
            </w:r>
            <w:r>
              <w:rPr>
                <w:rFonts w:hint="eastAsia" w:ascii="宋体" w:hAnsi="宋体" w:eastAsia="宋体" w:cs="Times New Roman"/>
                <w:szCs w:val="21"/>
                <w:highlight w:val="none"/>
                <w:lang w:val="en-US" w:eastAsia="zh-CN"/>
              </w:rPr>
              <w:t>投标人资格声明。</w:t>
            </w:r>
          </w:p>
          <w:p w14:paraId="25C8AC63">
            <w:pPr>
              <w:adjustRightInd w:val="0"/>
              <w:snapToGrid w:val="0"/>
              <w:spacing w:line="360" w:lineRule="auto"/>
              <w:ind w:firstLine="420" w:firstLineChars="200"/>
              <w:rPr>
                <w:rFonts w:asciiTheme="minorEastAsia" w:hAnsiTheme="minorEastAsia" w:eastAsiaTheme="minorEastAsia"/>
                <w:szCs w:val="21"/>
                <w:highlight w:val="none"/>
              </w:rPr>
            </w:pPr>
            <w:r>
              <w:rPr>
                <w:rFonts w:hint="eastAsia" w:ascii="宋体" w:hAnsi="宋体" w:eastAsia="宋体" w:cs="Times New Roman"/>
                <w:szCs w:val="21"/>
                <w:highlight w:val="none"/>
              </w:rPr>
              <w:t>1.</w:t>
            </w:r>
            <w:r>
              <w:rPr>
                <w:rFonts w:hint="eastAsia" w:ascii="宋体" w:hAnsi="宋体" w:eastAsia="宋体" w:cs="Times New Roman"/>
                <w:szCs w:val="21"/>
                <w:highlight w:val="none"/>
                <w:lang w:val="en-US" w:eastAsia="zh-CN"/>
              </w:rPr>
              <w:t>5</w:t>
            </w:r>
            <w:r>
              <w:rPr>
                <w:rFonts w:hint="eastAsia" w:ascii="宋体" w:hAnsi="宋体" w:eastAsia="宋体" w:cs="Times New Roman"/>
                <w:szCs w:val="21"/>
                <w:highlight w:val="none"/>
              </w:rPr>
              <w:t xml:space="preserve"> 被“信用中国”“信用湖南”“信用郴州”网站列入失信被执行人和重大税收违法案件当事人名单的、被“中国政府采购网”“湖南省政府采购网”网站列入政府采购严重违法失信行为记录名单（处罚期限尚未届满的），不得参与本项目的政府采购活动。</w:t>
            </w:r>
          </w:p>
        </w:tc>
      </w:tr>
      <w:tr w14:paraId="64EADC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6A74A11D">
            <w:pPr>
              <w:rPr>
                <w:rFonts w:asciiTheme="minorEastAsia" w:hAnsiTheme="minorEastAsia" w:eastAsiaTheme="minorEastAsia"/>
                <w:szCs w:val="21"/>
                <w:highlight w:val="none"/>
              </w:rPr>
            </w:pPr>
            <w:r>
              <w:rPr>
                <w:rFonts w:hint="eastAsia"/>
                <w:highlight w:val="none"/>
              </w:rPr>
              <w:t>第15.1</w:t>
            </w:r>
            <w:r>
              <w:rPr>
                <w:rFonts w:hint="eastAsia" w:asciiTheme="minorEastAsia" w:hAnsiTheme="minorEastAsia" w:eastAsiaTheme="minorEastAsia"/>
                <w:szCs w:val="21"/>
                <w:highlight w:val="none"/>
              </w:rPr>
              <w:t>(2)项</w:t>
            </w:r>
          </w:p>
        </w:tc>
        <w:tc>
          <w:tcPr>
            <w:tcW w:w="3121" w:type="dxa"/>
            <w:vAlign w:val="center"/>
          </w:tcPr>
          <w:p w14:paraId="28298653">
            <w:pPr>
              <w:rPr>
                <w:rFonts w:asciiTheme="minorEastAsia" w:hAnsiTheme="minorEastAsia" w:eastAsiaTheme="minorEastAsia"/>
                <w:szCs w:val="21"/>
                <w:highlight w:val="none"/>
              </w:rPr>
            </w:pPr>
            <w:r>
              <w:rPr>
                <w:rFonts w:hint="eastAsia"/>
                <w:highlight w:val="none"/>
              </w:rPr>
              <w:t>投标人应提供资格审查资料</w:t>
            </w:r>
          </w:p>
        </w:tc>
        <w:tc>
          <w:tcPr>
            <w:tcW w:w="4755" w:type="dxa"/>
            <w:vAlign w:val="center"/>
          </w:tcPr>
          <w:p w14:paraId="0E5DD088">
            <w:pPr>
              <w:adjustRightInd w:val="0"/>
              <w:snapToGrid w:val="0"/>
              <w:spacing w:line="360" w:lineRule="auto"/>
              <w:rPr>
                <w:rFonts w:ascii="宋体" w:cs="宋体"/>
                <w:b/>
                <w:highlight w:val="none"/>
              </w:rPr>
            </w:pPr>
            <w:r>
              <w:rPr>
                <w:rFonts w:hint="eastAsia" w:ascii="宋体" w:cs="宋体"/>
                <w:b/>
                <w:highlight w:val="none"/>
              </w:rPr>
              <w:t>投标人投标文件中需提供的资格证明文件详见“附表1 投标人资格审查表”</w:t>
            </w:r>
          </w:p>
        </w:tc>
      </w:tr>
      <w:tr w14:paraId="2C1C67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35F51F62">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第15.1(3)项</w:t>
            </w:r>
          </w:p>
        </w:tc>
        <w:tc>
          <w:tcPr>
            <w:tcW w:w="3121" w:type="dxa"/>
            <w:vAlign w:val="center"/>
          </w:tcPr>
          <w:p w14:paraId="1F0DF8E6">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特定资格条件应提供的资格审查资料</w:t>
            </w:r>
          </w:p>
        </w:tc>
        <w:tc>
          <w:tcPr>
            <w:tcW w:w="4755" w:type="dxa"/>
            <w:vAlign w:val="center"/>
          </w:tcPr>
          <w:p w14:paraId="4AB1AAB8">
            <w:pPr>
              <w:numPr>
                <w:ilvl w:val="0"/>
                <w:numId w:val="0"/>
              </w:numPr>
              <w:adjustRightInd w:val="0"/>
              <w:snapToGrid w:val="0"/>
              <w:spacing w:line="360" w:lineRule="auto"/>
              <w:rPr>
                <w:rFonts w:asciiTheme="minorEastAsia" w:hAnsiTheme="minorEastAsia" w:eastAsiaTheme="minorEastAsia"/>
                <w:szCs w:val="21"/>
                <w:highlight w:val="none"/>
              </w:rPr>
            </w:pPr>
            <w:r>
              <w:rPr>
                <w:rFonts w:hint="eastAsia" w:ascii="宋体" w:hAnsi="宋体" w:cs="Times New Roman"/>
                <w:szCs w:val="21"/>
                <w:highlight w:val="none"/>
                <w:lang w:eastAsia="zh-CN"/>
              </w:rPr>
              <w:t>投标人须具有医疗器械经营许可证（或相应的备案凭证）</w:t>
            </w:r>
            <w:r>
              <w:rPr>
                <w:rFonts w:hint="eastAsia" w:ascii="宋体" w:hAnsi="宋体" w:eastAsia="宋体" w:cs="Times New Roman"/>
                <w:szCs w:val="21"/>
                <w:highlight w:val="none"/>
              </w:rPr>
              <w:t>。</w:t>
            </w:r>
          </w:p>
        </w:tc>
      </w:tr>
      <w:tr w14:paraId="4679BE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391546A9">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第17.1</w:t>
            </w:r>
            <w:r>
              <w:rPr>
                <w:rFonts w:hint="eastAsia" w:cs="宋体" w:asciiTheme="minorEastAsia" w:hAnsiTheme="minorEastAsia" w:eastAsiaTheme="minorEastAsia"/>
                <w:kern w:val="0"/>
                <w:szCs w:val="21"/>
                <w:highlight w:val="none"/>
                <w:lang w:val="zh-CN"/>
              </w:rPr>
              <w:t>款</w:t>
            </w:r>
          </w:p>
        </w:tc>
        <w:tc>
          <w:tcPr>
            <w:tcW w:w="3121" w:type="dxa"/>
            <w:vAlign w:val="center"/>
          </w:tcPr>
          <w:p w14:paraId="61F1A158">
            <w:pPr>
              <w:adjustRightInd w:val="0"/>
              <w:snapToGrid w:val="0"/>
              <w:spacing w:line="360" w:lineRule="auto"/>
              <w:jc w:val="left"/>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投标有效期</w:t>
            </w:r>
          </w:p>
        </w:tc>
        <w:tc>
          <w:tcPr>
            <w:tcW w:w="4755" w:type="dxa"/>
            <w:vAlign w:val="center"/>
          </w:tcPr>
          <w:p w14:paraId="6A5FA178">
            <w:pPr>
              <w:adjustRightInd w:val="0"/>
              <w:snapToGrid w:val="0"/>
              <w:spacing w:line="360" w:lineRule="auto"/>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90日历天</w:t>
            </w:r>
          </w:p>
        </w:tc>
      </w:tr>
      <w:tr w14:paraId="278B75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418" w:type="dxa"/>
            <w:vAlign w:val="center"/>
          </w:tcPr>
          <w:p w14:paraId="61922A8C">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第18.1</w:t>
            </w:r>
            <w:r>
              <w:rPr>
                <w:rFonts w:hint="eastAsia" w:cs="宋体" w:asciiTheme="minorEastAsia" w:hAnsiTheme="minorEastAsia" w:eastAsiaTheme="minorEastAsia"/>
                <w:kern w:val="0"/>
                <w:szCs w:val="21"/>
                <w:highlight w:val="none"/>
                <w:lang w:val="zh-CN"/>
              </w:rPr>
              <w:t>款</w:t>
            </w:r>
          </w:p>
        </w:tc>
        <w:tc>
          <w:tcPr>
            <w:tcW w:w="3121" w:type="dxa"/>
            <w:vAlign w:val="center"/>
          </w:tcPr>
          <w:p w14:paraId="23F9D5B7">
            <w:pPr>
              <w:adjustRightInd w:val="0"/>
              <w:snapToGrid w:val="0"/>
              <w:spacing w:line="360" w:lineRule="auto"/>
              <w:ind w:left="-533" w:leftChars="-254" w:firstLine="533" w:firstLineChars="254"/>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投标保证金</w:t>
            </w:r>
          </w:p>
        </w:tc>
        <w:tc>
          <w:tcPr>
            <w:tcW w:w="4755" w:type="dxa"/>
            <w:vAlign w:val="center"/>
          </w:tcPr>
          <w:p w14:paraId="25DB36A3">
            <w:pPr>
              <w:adjustRightInd w:val="0"/>
              <w:snapToGrid w:val="0"/>
              <w:spacing w:beforeLines="50" w:line="360" w:lineRule="auto"/>
              <w:rPr>
                <w:rFonts w:asciiTheme="minorEastAsia" w:hAnsiTheme="minorEastAsia" w:eastAsiaTheme="minorEastAsia"/>
                <w:szCs w:val="21"/>
                <w:highlight w:val="none"/>
              </w:rPr>
            </w:pPr>
            <w:r>
              <w:rPr>
                <w:rFonts w:hint="eastAsia" w:ascii="宋体" w:hAnsi="宋体" w:cs="宋体"/>
                <w:highlight w:val="none"/>
              </w:rPr>
              <w:t>不要求提供</w:t>
            </w:r>
          </w:p>
        </w:tc>
      </w:tr>
      <w:tr w14:paraId="12D8A8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7257A57E">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第19.1</w:t>
            </w:r>
            <w:r>
              <w:rPr>
                <w:rFonts w:hint="eastAsia" w:cs="宋体" w:asciiTheme="minorEastAsia" w:hAnsiTheme="minorEastAsia" w:eastAsiaTheme="minorEastAsia"/>
                <w:kern w:val="0"/>
                <w:szCs w:val="21"/>
                <w:highlight w:val="none"/>
                <w:lang w:val="zh-CN"/>
              </w:rPr>
              <w:t>款</w:t>
            </w:r>
          </w:p>
        </w:tc>
        <w:tc>
          <w:tcPr>
            <w:tcW w:w="3121" w:type="dxa"/>
            <w:vAlign w:val="center"/>
          </w:tcPr>
          <w:p w14:paraId="5A55A719">
            <w:pPr>
              <w:adjustRightInd w:val="0"/>
              <w:snapToGrid w:val="0"/>
              <w:spacing w:line="360" w:lineRule="auto"/>
              <w:jc w:val="left"/>
              <w:rPr>
                <w:rFonts w:asciiTheme="minorEastAsia" w:hAnsiTheme="minorEastAsia" w:eastAsiaTheme="minorEastAsia"/>
                <w:szCs w:val="21"/>
                <w:highlight w:val="none"/>
              </w:rPr>
            </w:pPr>
            <w:r>
              <w:rPr>
                <w:rFonts w:hint="eastAsia" w:asciiTheme="minorEastAsia" w:hAnsiTheme="minorEastAsia" w:eastAsiaTheme="minorEastAsia"/>
                <w:bCs/>
                <w:szCs w:val="21"/>
                <w:highlight w:val="none"/>
              </w:rPr>
              <w:t>分包</w:t>
            </w:r>
          </w:p>
        </w:tc>
        <w:tc>
          <w:tcPr>
            <w:tcW w:w="4755" w:type="dxa"/>
            <w:vAlign w:val="center"/>
          </w:tcPr>
          <w:p w14:paraId="544A559C">
            <w:pPr>
              <w:adjustRightInd w:val="0"/>
              <w:snapToGrid w:val="0"/>
              <w:spacing w:line="360" w:lineRule="auto"/>
              <w:rPr>
                <w:rFonts w:asciiTheme="minorEastAsia" w:hAnsiTheme="minorEastAsia" w:eastAsiaTheme="minorEastAsia"/>
                <w:b/>
                <w:bCs/>
                <w:szCs w:val="21"/>
                <w:highlight w:val="none"/>
              </w:rPr>
            </w:pPr>
            <w:r>
              <w:rPr>
                <w:rFonts w:hint="eastAsia" w:asciiTheme="minorEastAsia" w:hAnsiTheme="minorEastAsia" w:eastAsiaTheme="minorEastAsia"/>
                <w:b/>
                <w:bCs/>
                <w:szCs w:val="21"/>
                <w:highlight w:val="none"/>
              </w:rPr>
              <w:t>不允许分包。</w:t>
            </w:r>
          </w:p>
        </w:tc>
      </w:tr>
      <w:tr w14:paraId="53A668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294" w:type="dxa"/>
            <w:gridSpan w:val="3"/>
            <w:vAlign w:val="center"/>
          </w:tcPr>
          <w:p w14:paraId="25211C5A">
            <w:pPr>
              <w:adjustRightInd w:val="0"/>
              <w:snapToGrid w:val="0"/>
              <w:spacing w:line="360" w:lineRule="auto"/>
              <w:rPr>
                <w:rFonts w:asciiTheme="minorEastAsia" w:hAnsiTheme="minorEastAsia" w:eastAsiaTheme="minorEastAsia"/>
                <w:b/>
                <w:bCs/>
                <w:szCs w:val="21"/>
                <w:highlight w:val="none"/>
              </w:rPr>
            </w:pPr>
            <w:r>
              <w:rPr>
                <w:rFonts w:hint="eastAsia" w:asciiTheme="minorEastAsia" w:hAnsiTheme="minorEastAsia" w:eastAsiaTheme="minorEastAsia"/>
                <w:b/>
                <w:szCs w:val="21"/>
                <w:highlight w:val="none"/>
              </w:rPr>
              <w:t>四、投标</w:t>
            </w:r>
          </w:p>
        </w:tc>
      </w:tr>
      <w:tr w14:paraId="2FBB34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418" w:type="dxa"/>
            <w:vAlign w:val="center"/>
          </w:tcPr>
          <w:p w14:paraId="1DC145AE">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第22.1</w:t>
            </w:r>
            <w:r>
              <w:rPr>
                <w:rFonts w:hint="eastAsia" w:cs="宋体" w:asciiTheme="minorEastAsia" w:hAnsiTheme="minorEastAsia" w:eastAsiaTheme="minorEastAsia"/>
                <w:kern w:val="0"/>
                <w:szCs w:val="21"/>
                <w:highlight w:val="none"/>
                <w:lang w:val="zh-CN"/>
              </w:rPr>
              <w:t>款</w:t>
            </w:r>
          </w:p>
        </w:tc>
        <w:tc>
          <w:tcPr>
            <w:tcW w:w="3121" w:type="dxa"/>
            <w:vAlign w:val="center"/>
          </w:tcPr>
          <w:p w14:paraId="089267CB">
            <w:pPr>
              <w:adjustRightInd w:val="0"/>
              <w:snapToGrid w:val="0"/>
              <w:spacing w:line="360" w:lineRule="auto"/>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开标地点</w:t>
            </w:r>
          </w:p>
        </w:tc>
        <w:tc>
          <w:tcPr>
            <w:tcW w:w="4755" w:type="dxa"/>
            <w:vAlign w:val="center"/>
          </w:tcPr>
          <w:p w14:paraId="2A69F9D2">
            <w:pPr>
              <w:adjustRightInd w:val="0"/>
              <w:snapToGrid w:val="0"/>
              <w:spacing w:line="360" w:lineRule="auto"/>
              <w:rPr>
                <w:rFonts w:asciiTheme="minorEastAsia" w:hAnsiTheme="minorEastAsia" w:eastAsiaTheme="minorEastAsia"/>
                <w:b/>
                <w:bCs/>
                <w:szCs w:val="21"/>
                <w:highlight w:val="none"/>
              </w:rPr>
            </w:pPr>
            <w:r>
              <w:rPr>
                <w:rFonts w:hint="eastAsia" w:ascii="宋体" w:hAnsi="宋体"/>
                <w:highlight w:val="yellow"/>
              </w:rPr>
              <w:t>郴州市市民服务中心4楼市公共资源交易中心第</w:t>
            </w:r>
            <w:r>
              <w:rPr>
                <w:rFonts w:hint="eastAsia" w:ascii="宋体" w:hAnsi="宋体"/>
                <w:highlight w:val="yellow"/>
                <w:lang w:val="en-US" w:eastAsia="zh-CN"/>
              </w:rPr>
              <w:t>5开标室</w:t>
            </w:r>
          </w:p>
        </w:tc>
      </w:tr>
      <w:tr w14:paraId="391724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294" w:type="dxa"/>
            <w:gridSpan w:val="3"/>
            <w:vAlign w:val="center"/>
          </w:tcPr>
          <w:p w14:paraId="10A782FD">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b/>
                <w:bCs/>
                <w:szCs w:val="21"/>
                <w:highlight w:val="none"/>
              </w:rPr>
              <w:t>五、开标、资格审查和评标</w:t>
            </w:r>
          </w:p>
        </w:tc>
      </w:tr>
      <w:tr w14:paraId="686FA3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6DE10A38">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第23.3款</w:t>
            </w:r>
          </w:p>
        </w:tc>
        <w:tc>
          <w:tcPr>
            <w:tcW w:w="3121" w:type="dxa"/>
            <w:vAlign w:val="center"/>
          </w:tcPr>
          <w:p w14:paraId="666677CF">
            <w:pPr>
              <w:adjustRightInd w:val="0"/>
              <w:snapToGrid w:val="0"/>
              <w:spacing w:line="360" w:lineRule="auto"/>
              <w:rPr>
                <w:rFonts w:cs="宋体"/>
                <w:bCs/>
                <w:highlight w:val="none"/>
              </w:rPr>
            </w:pPr>
            <w:r>
              <w:rPr>
                <w:rFonts w:hint="eastAsia" w:cs="宋体"/>
                <w:bCs/>
                <w:highlight w:val="none"/>
              </w:rPr>
              <w:t>解密电子投标文件时限及方式</w:t>
            </w:r>
          </w:p>
        </w:tc>
        <w:tc>
          <w:tcPr>
            <w:tcW w:w="4755" w:type="dxa"/>
            <w:vAlign w:val="center"/>
          </w:tcPr>
          <w:p w14:paraId="03EDA25A">
            <w:pPr>
              <w:adjustRightInd w:val="0"/>
              <w:snapToGrid w:val="0"/>
              <w:spacing w:line="360" w:lineRule="auto"/>
              <w:rPr>
                <w:rFonts w:cs="宋体"/>
                <w:bCs/>
                <w:highlight w:val="none"/>
              </w:rPr>
            </w:pPr>
            <w:r>
              <w:rPr>
                <w:rFonts w:hint="eastAsia" w:cs="宋体"/>
                <w:bCs/>
                <w:highlight w:val="none"/>
              </w:rPr>
              <w:t>投标人使用加密投标文件的CA数字证书在投标截止时间起30分钟内完成投标文件的解密，投标文件在解密时限内未解密或解密失败，视为撤销其投标文件，开标继续进行。</w:t>
            </w:r>
          </w:p>
        </w:tc>
      </w:tr>
      <w:tr w14:paraId="5F9172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294" w:type="dxa"/>
            <w:gridSpan w:val="3"/>
            <w:vAlign w:val="center"/>
          </w:tcPr>
          <w:p w14:paraId="772851B1">
            <w:pPr>
              <w:adjustRightInd w:val="0"/>
              <w:snapToGrid w:val="0"/>
              <w:spacing w:line="360" w:lineRule="auto"/>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六、中标信息公布</w:t>
            </w:r>
          </w:p>
        </w:tc>
      </w:tr>
      <w:tr w14:paraId="0F98EE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5B7DD910">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第29.2</w:t>
            </w:r>
            <w:r>
              <w:rPr>
                <w:rFonts w:hint="eastAsia" w:cs="宋体" w:asciiTheme="minorEastAsia" w:hAnsiTheme="minorEastAsia" w:eastAsiaTheme="minorEastAsia"/>
                <w:kern w:val="0"/>
                <w:szCs w:val="21"/>
                <w:highlight w:val="none"/>
                <w:lang w:val="zh-CN"/>
              </w:rPr>
              <w:t>款</w:t>
            </w:r>
          </w:p>
        </w:tc>
        <w:tc>
          <w:tcPr>
            <w:tcW w:w="3121" w:type="dxa"/>
            <w:vAlign w:val="center"/>
          </w:tcPr>
          <w:p w14:paraId="66F3DA16">
            <w:pPr>
              <w:adjustRightInd w:val="0"/>
              <w:snapToGrid w:val="0"/>
              <w:spacing w:line="360" w:lineRule="auto"/>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确定中标人的方式</w:t>
            </w:r>
          </w:p>
        </w:tc>
        <w:tc>
          <w:tcPr>
            <w:tcW w:w="4755" w:type="dxa"/>
            <w:vAlign w:val="center"/>
          </w:tcPr>
          <w:p w14:paraId="25F734CD">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综合评分法，根据投标人的得分，按得分从高到低的顺序确定中标候选人。得分相同的，按价格由低到高的顺序排列。得分且报价相同的，按技术指标优劣顺序排列。</w:t>
            </w:r>
          </w:p>
        </w:tc>
      </w:tr>
      <w:tr w14:paraId="20DCA0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2E3285C0">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第30.5</w:t>
            </w:r>
            <w:r>
              <w:rPr>
                <w:rFonts w:hint="eastAsia" w:cs="宋体" w:asciiTheme="minorEastAsia" w:hAnsiTheme="minorEastAsia" w:eastAsiaTheme="minorEastAsia"/>
                <w:kern w:val="0"/>
                <w:szCs w:val="21"/>
                <w:highlight w:val="none"/>
                <w:lang w:val="zh-CN"/>
              </w:rPr>
              <w:t>款</w:t>
            </w:r>
          </w:p>
        </w:tc>
        <w:tc>
          <w:tcPr>
            <w:tcW w:w="3121" w:type="dxa"/>
            <w:vAlign w:val="center"/>
          </w:tcPr>
          <w:p w14:paraId="2A8976F5">
            <w:pPr>
              <w:adjustRightInd w:val="0"/>
              <w:snapToGrid w:val="0"/>
              <w:spacing w:line="360" w:lineRule="auto"/>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接收质疑函的联系部门、联系电话和通讯地址</w:t>
            </w:r>
          </w:p>
        </w:tc>
        <w:tc>
          <w:tcPr>
            <w:tcW w:w="4755" w:type="dxa"/>
            <w:vAlign w:val="center"/>
          </w:tcPr>
          <w:p w14:paraId="4B3AE967">
            <w:pPr>
              <w:spacing w:line="360" w:lineRule="exact"/>
              <w:rPr>
                <w:rFonts w:ascii="宋体" w:hAnsi="宋体"/>
                <w:highlight w:val="none"/>
              </w:rPr>
            </w:pPr>
            <w:r>
              <w:rPr>
                <w:rFonts w:hint="eastAsia" w:ascii="宋体" w:hAnsi="宋体"/>
                <w:b/>
                <w:highlight w:val="none"/>
              </w:rPr>
              <w:t>1、接收质疑函的方式：</w:t>
            </w:r>
            <w:r>
              <w:rPr>
                <w:rFonts w:hint="eastAsia" w:ascii="宋体" w:hAnsi="宋体"/>
                <w:highlight w:val="none"/>
              </w:rPr>
              <w:t>投标人应当按照《湖南省财政厅关于印发&lt;政府采购质疑答复和投诉处理操作规程&gt;的通知》（</w:t>
            </w:r>
            <w:r>
              <w:rPr>
                <w:rFonts w:hint="eastAsia" w:ascii="宋体" w:hAnsi="宋体"/>
                <w:highlight w:val="none"/>
                <w:lang w:eastAsia="zh-CN"/>
              </w:rPr>
              <w:t>湘财购〔2024〕67号</w:t>
            </w:r>
            <w:r>
              <w:rPr>
                <w:rFonts w:hint="eastAsia" w:ascii="宋体" w:hAnsi="宋体"/>
                <w:highlight w:val="none"/>
              </w:rPr>
              <w:t>）规定向采购人和采购代理机构一并提交书面质疑函及相关证明材料。</w:t>
            </w:r>
          </w:p>
          <w:p w14:paraId="1422F675">
            <w:pPr>
              <w:spacing w:line="360" w:lineRule="exact"/>
              <w:rPr>
                <w:rFonts w:ascii="宋体" w:hAnsi="宋体"/>
                <w:b/>
                <w:highlight w:val="none"/>
              </w:rPr>
            </w:pPr>
            <w:r>
              <w:rPr>
                <w:rFonts w:hint="eastAsia" w:ascii="宋体" w:hAnsi="宋体"/>
                <w:b/>
                <w:highlight w:val="none"/>
              </w:rPr>
              <w:t>2、接收质疑函的联系部门、联系电话和通讯地址：</w:t>
            </w:r>
          </w:p>
          <w:p w14:paraId="629CA9AB">
            <w:pPr>
              <w:spacing w:line="360" w:lineRule="exact"/>
              <w:rPr>
                <w:rFonts w:hint="eastAsia" w:ascii="宋体" w:hAnsi="宋体" w:eastAsia="宋体"/>
                <w:highlight w:val="none"/>
                <w:lang w:eastAsia="zh-CN"/>
              </w:rPr>
            </w:pPr>
            <w:r>
              <w:rPr>
                <w:rFonts w:hint="eastAsia" w:ascii="宋体" w:hAnsi="宋体" w:eastAsia="宋体"/>
                <w:highlight w:val="none"/>
                <w:lang w:eastAsia="zh-CN"/>
              </w:rPr>
              <w:t>1、采购人信息</w:t>
            </w:r>
          </w:p>
          <w:p w14:paraId="186DFD30">
            <w:pPr>
              <w:spacing w:line="360" w:lineRule="exact"/>
              <w:rPr>
                <w:rFonts w:hint="eastAsia" w:ascii="宋体" w:hAnsi="宋体" w:eastAsia="宋体"/>
                <w:highlight w:val="none"/>
                <w:lang w:eastAsia="zh-CN"/>
              </w:rPr>
            </w:pPr>
            <w:r>
              <w:rPr>
                <w:rFonts w:hint="eastAsia" w:ascii="宋体" w:hAnsi="宋体" w:eastAsia="宋体"/>
                <w:highlight w:val="none"/>
                <w:lang w:eastAsia="zh-CN"/>
              </w:rPr>
              <w:t>（1）名称：</w:t>
            </w:r>
            <w:r>
              <w:rPr>
                <w:rFonts w:hint="eastAsia" w:ascii="宋体" w:hAnsi="宋体"/>
                <w:highlight w:val="none"/>
                <w:lang w:eastAsia="zh-CN"/>
              </w:rPr>
              <w:t>郴州市第二人民医院</w:t>
            </w:r>
          </w:p>
          <w:p w14:paraId="22E0862C">
            <w:pPr>
              <w:spacing w:line="360" w:lineRule="exact"/>
              <w:rPr>
                <w:rFonts w:hint="eastAsia" w:ascii="宋体" w:hAnsi="宋体" w:eastAsia="宋体"/>
                <w:highlight w:val="none"/>
                <w:lang w:eastAsia="zh-CN"/>
              </w:rPr>
            </w:pPr>
            <w:r>
              <w:rPr>
                <w:rFonts w:hint="eastAsia" w:ascii="宋体" w:hAnsi="宋体" w:eastAsia="宋体"/>
                <w:highlight w:val="none"/>
                <w:lang w:eastAsia="zh-CN"/>
              </w:rPr>
              <w:t>（2）地址：</w:t>
            </w:r>
            <w:r>
              <w:rPr>
                <w:rFonts w:hint="eastAsia" w:ascii="宋体" w:hAnsi="宋体" w:eastAsia="宋体"/>
                <w:highlight w:val="none"/>
                <w:lang w:val="en-US" w:eastAsia="zh-CN"/>
              </w:rPr>
              <w:t xml:space="preserve">郴州市苏仙区东塔路10号 </w:t>
            </w:r>
          </w:p>
          <w:p w14:paraId="227759DF">
            <w:pPr>
              <w:spacing w:line="360" w:lineRule="exact"/>
              <w:rPr>
                <w:rFonts w:hint="eastAsia" w:ascii="宋体" w:hAnsi="宋体" w:eastAsia="宋体"/>
                <w:highlight w:val="none"/>
                <w:lang w:eastAsia="zh-CN"/>
              </w:rPr>
            </w:pPr>
            <w:r>
              <w:rPr>
                <w:rFonts w:hint="eastAsia" w:ascii="宋体" w:hAnsi="宋体" w:eastAsia="宋体"/>
                <w:highlight w:val="none"/>
                <w:lang w:eastAsia="zh-CN"/>
              </w:rPr>
              <w:t>（3）联系人：</w:t>
            </w:r>
            <w:r>
              <w:rPr>
                <w:rFonts w:hint="eastAsia" w:ascii="宋体" w:hAnsi="宋体"/>
                <w:highlight w:val="none"/>
                <w:lang w:val="en-US" w:eastAsia="zh-CN"/>
              </w:rPr>
              <w:t>刘跃银</w:t>
            </w:r>
          </w:p>
          <w:p w14:paraId="670AC84E">
            <w:pPr>
              <w:spacing w:line="360" w:lineRule="exact"/>
              <w:rPr>
                <w:rFonts w:hint="eastAsia" w:ascii="宋体" w:hAnsi="宋体" w:eastAsia="宋体"/>
                <w:highlight w:val="none"/>
                <w:lang w:eastAsia="zh-CN"/>
              </w:rPr>
            </w:pPr>
            <w:r>
              <w:rPr>
                <w:rFonts w:hint="eastAsia" w:ascii="宋体" w:hAnsi="宋体" w:eastAsia="宋体"/>
                <w:highlight w:val="none"/>
                <w:lang w:eastAsia="zh-CN"/>
              </w:rPr>
              <w:t>（4）电话：</w:t>
            </w:r>
            <w:r>
              <w:rPr>
                <w:rFonts w:hint="eastAsia" w:ascii="宋体" w:hAnsi="宋体"/>
                <w:highlight w:val="none"/>
                <w:lang w:eastAsia="zh-CN"/>
              </w:rPr>
              <w:t>13975531030</w:t>
            </w:r>
          </w:p>
          <w:p w14:paraId="44DCAA30">
            <w:pPr>
              <w:spacing w:line="360" w:lineRule="exact"/>
              <w:rPr>
                <w:rFonts w:hint="eastAsia" w:ascii="宋体" w:hAnsi="宋体" w:eastAsia="宋体"/>
                <w:highlight w:val="none"/>
                <w:lang w:eastAsia="zh-CN"/>
              </w:rPr>
            </w:pPr>
            <w:r>
              <w:rPr>
                <w:rFonts w:hint="eastAsia" w:ascii="宋体" w:hAnsi="宋体" w:eastAsia="宋体"/>
                <w:highlight w:val="none"/>
                <w:lang w:eastAsia="zh-CN"/>
              </w:rPr>
              <w:t>2、采购代理机构信息</w:t>
            </w:r>
          </w:p>
          <w:p w14:paraId="3AB58E36">
            <w:pPr>
              <w:spacing w:line="360" w:lineRule="exact"/>
              <w:rPr>
                <w:rFonts w:hint="eastAsia" w:ascii="宋体" w:hAnsi="宋体" w:eastAsia="宋体"/>
                <w:highlight w:val="none"/>
                <w:lang w:eastAsia="zh-CN"/>
              </w:rPr>
            </w:pPr>
            <w:r>
              <w:rPr>
                <w:rFonts w:hint="eastAsia" w:ascii="宋体" w:hAnsi="宋体" w:eastAsia="宋体"/>
                <w:highlight w:val="none"/>
                <w:lang w:eastAsia="zh-CN"/>
              </w:rPr>
              <w:t>（1）名称：湖南省湘咨工程咨询管理有限责任公司</w:t>
            </w:r>
          </w:p>
          <w:p w14:paraId="29638DC5">
            <w:pPr>
              <w:spacing w:line="360" w:lineRule="exact"/>
              <w:rPr>
                <w:rFonts w:hint="eastAsia" w:ascii="宋体" w:hAnsi="宋体" w:eastAsia="宋体"/>
                <w:highlight w:val="none"/>
                <w:lang w:eastAsia="zh-CN"/>
              </w:rPr>
            </w:pPr>
            <w:r>
              <w:rPr>
                <w:rFonts w:hint="eastAsia" w:ascii="宋体" w:hAnsi="宋体" w:eastAsia="宋体"/>
                <w:highlight w:val="none"/>
                <w:lang w:eastAsia="zh-CN"/>
              </w:rPr>
              <w:t>（2）地址：</w:t>
            </w:r>
            <w:r>
              <w:rPr>
                <w:rFonts w:hint="eastAsia" w:ascii="宋体" w:hAnsi="宋体"/>
                <w:highlight w:val="none"/>
              </w:rPr>
              <w:t>郴州市北湖区郴州大道汇金时代B栋丽枫酒店13楼</w:t>
            </w:r>
          </w:p>
          <w:p w14:paraId="719DBA4D">
            <w:pPr>
              <w:spacing w:line="360" w:lineRule="exact"/>
              <w:rPr>
                <w:rFonts w:hint="eastAsia" w:ascii="宋体" w:hAnsi="宋体" w:eastAsia="宋体"/>
                <w:highlight w:val="none"/>
                <w:lang w:eastAsia="zh-CN"/>
              </w:rPr>
            </w:pPr>
            <w:r>
              <w:rPr>
                <w:rFonts w:hint="eastAsia" w:ascii="宋体" w:hAnsi="宋体" w:eastAsia="宋体"/>
                <w:highlight w:val="none"/>
                <w:lang w:eastAsia="zh-CN"/>
              </w:rPr>
              <w:t>（3）联系人：</w:t>
            </w:r>
            <w:r>
              <w:rPr>
                <w:rFonts w:hint="eastAsia" w:ascii="宋体" w:hAnsi="宋体"/>
                <w:highlight w:val="none"/>
                <w:lang w:eastAsia="zh-CN"/>
              </w:rPr>
              <w:t>吴招香、陈少林、李陈坤</w:t>
            </w:r>
          </w:p>
          <w:p w14:paraId="0C725C5A">
            <w:pPr>
              <w:spacing w:line="360" w:lineRule="exact"/>
              <w:rPr>
                <w:rFonts w:hint="eastAsia" w:ascii="宋体" w:hAnsi="宋体" w:eastAsia="宋体"/>
                <w:highlight w:val="none"/>
                <w:lang w:eastAsia="zh-CN"/>
              </w:rPr>
            </w:pPr>
            <w:r>
              <w:rPr>
                <w:rFonts w:hint="eastAsia" w:ascii="宋体" w:hAnsi="宋体" w:eastAsia="宋体"/>
                <w:highlight w:val="none"/>
                <w:lang w:eastAsia="zh-CN"/>
              </w:rPr>
              <w:t>（4）电话：18007350553</w:t>
            </w:r>
          </w:p>
          <w:p w14:paraId="48BB5056">
            <w:pPr>
              <w:spacing w:line="360" w:lineRule="auto"/>
              <w:jc w:val="left"/>
              <w:rPr>
                <w:rFonts w:asciiTheme="minorEastAsia" w:hAnsiTheme="minorEastAsia"/>
                <w:szCs w:val="21"/>
                <w:highlight w:val="none"/>
              </w:rPr>
            </w:pPr>
            <w:r>
              <w:rPr>
                <w:rFonts w:hint="eastAsia" w:ascii="宋体" w:hAnsi="宋体"/>
                <w:b/>
                <w:highlight w:val="none"/>
                <w:u w:val="dottedHeavy"/>
              </w:rPr>
              <w:t>注：投标人在法定质疑期内针对同一采购程序环节的质疑要求一次性提出。</w:t>
            </w:r>
          </w:p>
        </w:tc>
      </w:tr>
      <w:tr w14:paraId="45620C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294" w:type="dxa"/>
            <w:gridSpan w:val="3"/>
            <w:vAlign w:val="center"/>
          </w:tcPr>
          <w:p w14:paraId="038483A2">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b/>
                <w:szCs w:val="21"/>
                <w:highlight w:val="none"/>
              </w:rPr>
              <w:t>七、合同签订</w:t>
            </w:r>
          </w:p>
        </w:tc>
      </w:tr>
      <w:tr w14:paraId="23691D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0" w:hRule="atLeast"/>
        </w:trPr>
        <w:tc>
          <w:tcPr>
            <w:tcW w:w="1418" w:type="dxa"/>
            <w:vAlign w:val="center"/>
          </w:tcPr>
          <w:p w14:paraId="62CDD4CB">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第32.1</w:t>
            </w:r>
            <w:r>
              <w:rPr>
                <w:rFonts w:hint="eastAsia" w:cs="宋体" w:asciiTheme="minorEastAsia" w:hAnsiTheme="minorEastAsia" w:eastAsiaTheme="minorEastAsia"/>
                <w:kern w:val="0"/>
                <w:szCs w:val="21"/>
                <w:highlight w:val="none"/>
                <w:lang w:val="zh-CN"/>
              </w:rPr>
              <w:t>款</w:t>
            </w:r>
          </w:p>
        </w:tc>
        <w:tc>
          <w:tcPr>
            <w:tcW w:w="3121" w:type="dxa"/>
            <w:vAlign w:val="center"/>
          </w:tcPr>
          <w:p w14:paraId="43E1B46B">
            <w:pPr>
              <w:adjustRightInd w:val="0"/>
              <w:snapToGrid w:val="0"/>
              <w:spacing w:line="360" w:lineRule="auto"/>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履约担保</w:t>
            </w:r>
          </w:p>
        </w:tc>
        <w:tc>
          <w:tcPr>
            <w:tcW w:w="4755" w:type="dxa"/>
            <w:vAlign w:val="center"/>
          </w:tcPr>
          <w:p w14:paraId="2B02135F">
            <w:pPr>
              <w:spacing w:line="360" w:lineRule="exact"/>
              <w:rPr>
                <w:rFonts w:ascii="宋体" w:hAnsi="宋体"/>
                <w:highlight w:val="none"/>
              </w:rPr>
            </w:pPr>
            <w:r>
              <w:rPr>
                <w:rFonts w:hint="eastAsia" w:ascii="MS Gothic" w:hAnsi="MS Gothic" w:eastAsia="MS Gothic" w:cs="MS Gothic"/>
                <w:highlight w:val="none"/>
              </w:rPr>
              <w:t>■</w:t>
            </w:r>
            <w:r>
              <w:rPr>
                <w:rFonts w:hint="eastAsia" w:ascii="宋体" w:hAnsi="宋体"/>
                <w:highlight w:val="none"/>
              </w:rPr>
              <w:t xml:space="preserve"> 不要求提供</w:t>
            </w:r>
          </w:p>
          <w:p w14:paraId="62548868">
            <w:pPr>
              <w:widowControl/>
              <w:jc w:val="left"/>
              <w:rPr>
                <w:rFonts w:asciiTheme="minorEastAsia" w:hAnsiTheme="minorEastAsia"/>
                <w:strike/>
                <w:szCs w:val="21"/>
                <w:highlight w:val="none"/>
              </w:rPr>
            </w:pPr>
            <w:r>
              <w:rPr>
                <w:rFonts w:hint="eastAsia" w:ascii="宋体" w:hAnsi="宋体"/>
                <w:highlight w:val="none"/>
              </w:rPr>
              <w:t>□ 要求提供，履约担保的金额为：合同金额的</w:t>
            </w:r>
            <w:r>
              <w:rPr>
                <w:rFonts w:hint="eastAsia" w:ascii="宋体" w:hAnsi="宋体"/>
                <w:highlight w:val="none"/>
                <w:lang w:val="en-US" w:eastAsia="zh-CN"/>
              </w:rPr>
              <w:t>/</w:t>
            </w:r>
            <w:r>
              <w:rPr>
                <w:rFonts w:hint="eastAsia" w:ascii="宋体" w:hAnsi="宋体"/>
                <w:highlight w:val="none"/>
              </w:rPr>
              <w:t>%。要求在发出中标通知书后10天内，按照采购人要求交纳履约保证金到采购人指定账户。逾期没有交纳履约保证金的视为放弃中标资格，且不退还投标保证金。</w:t>
            </w:r>
          </w:p>
        </w:tc>
      </w:tr>
      <w:tr w14:paraId="158C64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294" w:type="dxa"/>
            <w:gridSpan w:val="3"/>
            <w:vAlign w:val="center"/>
          </w:tcPr>
          <w:p w14:paraId="47E8DC98">
            <w:pPr>
              <w:adjustRightInd w:val="0"/>
              <w:snapToGrid w:val="0"/>
              <w:spacing w:line="360" w:lineRule="auto"/>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八、其他规定</w:t>
            </w:r>
          </w:p>
        </w:tc>
      </w:tr>
      <w:tr w14:paraId="765F7F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28DA4B5C">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第36.1</w:t>
            </w:r>
            <w:r>
              <w:rPr>
                <w:rFonts w:hint="eastAsia" w:cs="宋体" w:asciiTheme="minorEastAsia" w:hAnsiTheme="minorEastAsia" w:eastAsiaTheme="minorEastAsia"/>
                <w:kern w:val="0"/>
                <w:szCs w:val="21"/>
                <w:highlight w:val="none"/>
                <w:lang w:val="zh-CN"/>
              </w:rPr>
              <w:t>款</w:t>
            </w:r>
          </w:p>
        </w:tc>
        <w:tc>
          <w:tcPr>
            <w:tcW w:w="3121" w:type="dxa"/>
            <w:vAlign w:val="center"/>
          </w:tcPr>
          <w:p w14:paraId="37734313">
            <w:pPr>
              <w:adjustRightInd w:val="0"/>
              <w:snapToGrid w:val="0"/>
              <w:spacing w:line="360" w:lineRule="auto"/>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招标代理服务费</w:t>
            </w:r>
          </w:p>
        </w:tc>
        <w:tc>
          <w:tcPr>
            <w:tcW w:w="4755" w:type="dxa"/>
            <w:vAlign w:val="center"/>
          </w:tcPr>
          <w:p w14:paraId="55516B22">
            <w:pPr>
              <w:adjustRightInd w:val="0"/>
              <w:snapToGrid w:val="0"/>
              <w:spacing w:line="360" w:lineRule="auto"/>
              <w:rPr>
                <w:rFonts w:asciiTheme="minorEastAsia" w:hAnsiTheme="minorEastAsia"/>
                <w:szCs w:val="21"/>
                <w:highlight w:val="none"/>
              </w:rPr>
            </w:pPr>
            <w:r>
              <w:rPr>
                <w:rFonts w:hint="eastAsia" w:ascii="宋体" w:hAnsi="宋体" w:cs="宋体"/>
                <w:bCs/>
                <w:highlight w:val="none"/>
              </w:rPr>
              <w:t>招标代理服务费</w:t>
            </w:r>
            <w:r>
              <w:rPr>
                <w:rFonts w:hint="eastAsia" w:ascii="宋体" w:hAnsi="宋体" w:cs="宋体"/>
                <w:bCs/>
                <w:highlight w:val="none"/>
                <w:lang w:val="en-US" w:eastAsia="zh-CN"/>
              </w:rPr>
              <w:t>上限值</w:t>
            </w:r>
            <w:r>
              <w:rPr>
                <w:rFonts w:hint="eastAsia" w:ascii="宋体" w:hAnsi="宋体" w:cs="宋体"/>
                <w:bCs/>
                <w:highlight w:val="none"/>
              </w:rPr>
              <w:t>为</w:t>
            </w:r>
            <w:r>
              <w:rPr>
                <w:rFonts w:hint="eastAsia" w:ascii="宋体" w:hAnsi="宋体" w:cs="宋体"/>
                <w:bCs/>
                <w:highlight w:val="none"/>
                <w:lang w:eastAsia="zh-CN"/>
              </w:rPr>
              <w:t>：</w:t>
            </w:r>
            <w:r>
              <w:rPr>
                <w:rFonts w:hint="eastAsia" w:ascii="宋体" w:hAnsi="宋体" w:cs="宋体"/>
                <w:bCs/>
                <w:highlight w:val="none"/>
              </w:rPr>
              <w:t>人民币</w:t>
            </w:r>
            <w:r>
              <w:rPr>
                <w:rFonts w:hint="eastAsia" w:ascii="宋体" w:hAnsi="宋体" w:cs="宋体"/>
                <w:bCs/>
                <w:highlight w:val="none"/>
                <w:lang w:val="en-US" w:eastAsia="zh-CN"/>
              </w:rPr>
              <w:t>叁万贰仟陆佰贰拾元整</w:t>
            </w:r>
          </w:p>
        </w:tc>
      </w:tr>
      <w:tr w14:paraId="22E3E2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7E7BF7AC">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第37.1</w:t>
            </w:r>
            <w:r>
              <w:rPr>
                <w:rFonts w:hint="eastAsia" w:cs="宋体" w:asciiTheme="minorEastAsia" w:hAnsiTheme="minorEastAsia" w:eastAsiaTheme="minorEastAsia"/>
                <w:kern w:val="0"/>
                <w:szCs w:val="21"/>
                <w:highlight w:val="none"/>
                <w:lang w:val="zh-CN"/>
              </w:rPr>
              <w:t>款</w:t>
            </w:r>
          </w:p>
        </w:tc>
        <w:tc>
          <w:tcPr>
            <w:tcW w:w="3121" w:type="dxa"/>
            <w:vAlign w:val="center"/>
          </w:tcPr>
          <w:p w14:paraId="0691DEC7">
            <w:pPr>
              <w:adjustRightInd w:val="0"/>
              <w:snapToGrid w:val="0"/>
              <w:spacing w:beforeLines="50" w:line="360" w:lineRule="auto"/>
              <w:jc w:val="left"/>
              <w:rPr>
                <w:rFonts w:asciiTheme="minorEastAsia" w:hAnsiTheme="minorEastAsia" w:eastAsiaTheme="minorEastAsia"/>
                <w:szCs w:val="21"/>
                <w:highlight w:val="none"/>
              </w:rPr>
            </w:pPr>
            <w:r>
              <w:rPr>
                <w:rFonts w:hint="eastAsia" w:cs="宋体"/>
                <w:highlight w:val="none"/>
                <w:shd w:val="clear" w:color="auto" w:fill="FFFFFF"/>
              </w:rPr>
              <w:t>其他规定</w:t>
            </w:r>
          </w:p>
        </w:tc>
        <w:tc>
          <w:tcPr>
            <w:tcW w:w="4755" w:type="dxa"/>
            <w:vAlign w:val="center"/>
          </w:tcPr>
          <w:p w14:paraId="42619385">
            <w:pPr>
              <w:adjustRightInd w:val="0"/>
              <w:snapToGrid w:val="0"/>
              <w:spacing w:line="360" w:lineRule="auto"/>
              <w:rPr>
                <w:rFonts w:hint="eastAsia" w:ascii="宋体" w:hAnsi="宋体"/>
                <w:b/>
                <w:szCs w:val="21"/>
                <w:highlight w:val="none"/>
                <w:lang w:eastAsia="zh-CN"/>
              </w:rPr>
            </w:pPr>
            <w:r>
              <w:rPr>
                <w:rFonts w:hint="eastAsia" w:ascii="宋体" w:hAnsi="宋体"/>
                <w:b/>
                <w:szCs w:val="21"/>
                <w:highlight w:val="none"/>
                <w:lang w:eastAsia="zh-CN"/>
              </w:rPr>
              <w:t>（</w:t>
            </w:r>
            <w:r>
              <w:rPr>
                <w:rFonts w:hint="eastAsia" w:ascii="宋体" w:hAnsi="宋体"/>
                <w:b/>
                <w:szCs w:val="21"/>
                <w:highlight w:val="none"/>
                <w:lang w:val="en-US" w:eastAsia="zh-CN"/>
              </w:rPr>
              <w:t>1</w:t>
            </w:r>
            <w:r>
              <w:rPr>
                <w:rFonts w:hint="eastAsia" w:ascii="宋体" w:hAnsi="宋体"/>
                <w:b/>
                <w:bCs w:val="0"/>
                <w:szCs w:val="21"/>
                <w:highlight w:val="none"/>
                <w:lang w:eastAsia="zh-CN"/>
              </w:rPr>
              <w:t>）</w:t>
            </w:r>
            <w:r>
              <w:rPr>
                <w:rFonts w:hint="eastAsia" w:ascii="宋体" w:hAnsi="宋体"/>
                <w:b/>
                <w:bCs w:val="0"/>
                <w:color w:val="auto"/>
                <w:szCs w:val="21"/>
                <w:highlight w:val="none"/>
              </w:rPr>
              <w:t>同一家公司可以投多个包，但同一家公司只允许中标</w:t>
            </w:r>
            <w:r>
              <w:rPr>
                <w:rFonts w:hint="eastAsia" w:ascii="宋体" w:hAnsi="宋体"/>
                <w:b/>
                <w:bCs w:val="0"/>
                <w:color w:val="auto"/>
                <w:szCs w:val="21"/>
                <w:highlight w:val="none"/>
                <w:lang w:val="en-US" w:eastAsia="zh-CN"/>
              </w:rPr>
              <w:t>1</w:t>
            </w:r>
            <w:r>
              <w:rPr>
                <w:rFonts w:hint="eastAsia" w:ascii="宋体" w:hAnsi="宋体"/>
                <w:b/>
                <w:bCs w:val="0"/>
                <w:color w:val="auto"/>
                <w:szCs w:val="21"/>
                <w:highlight w:val="none"/>
              </w:rPr>
              <w:t>个包</w:t>
            </w:r>
            <w:r>
              <w:rPr>
                <w:rFonts w:hint="eastAsia" w:ascii="宋体" w:hAnsi="宋体"/>
                <w:b/>
                <w:bCs w:val="0"/>
                <w:color w:val="auto"/>
                <w:szCs w:val="21"/>
                <w:highlight w:val="none"/>
                <w:lang w:eastAsia="zh-CN"/>
              </w:rPr>
              <w:t>（</w:t>
            </w:r>
            <w:r>
              <w:rPr>
                <w:rFonts w:hint="eastAsia" w:ascii="宋体" w:hAnsi="宋体"/>
                <w:b/>
                <w:bCs w:val="0"/>
                <w:color w:val="auto"/>
                <w:szCs w:val="21"/>
                <w:highlight w:val="none"/>
                <w:lang w:val="en-US" w:eastAsia="zh-CN"/>
              </w:rPr>
              <w:t>如包1中标人，在包2评审中，仍为第一中标候选人，则采购人确定第二中标候选人为该包中标人</w:t>
            </w:r>
            <w:r>
              <w:rPr>
                <w:rFonts w:hint="eastAsia" w:ascii="宋体" w:hAnsi="宋体"/>
                <w:b/>
                <w:bCs w:val="0"/>
                <w:color w:val="auto"/>
                <w:szCs w:val="21"/>
                <w:highlight w:val="none"/>
                <w:lang w:eastAsia="zh-CN"/>
              </w:rPr>
              <w:t>），</w:t>
            </w:r>
            <w:r>
              <w:rPr>
                <w:rFonts w:hint="eastAsia" w:ascii="宋体" w:hAnsi="宋体"/>
                <w:b/>
                <w:bCs w:val="0"/>
                <w:color w:val="auto"/>
                <w:szCs w:val="21"/>
                <w:highlight w:val="none"/>
                <w:lang w:val="en-US" w:eastAsia="zh-CN"/>
              </w:rPr>
              <w:t>本项目</w:t>
            </w:r>
            <w:r>
              <w:rPr>
                <w:rFonts w:hint="eastAsia" w:ascii="宋体" w:hAnsi="宋体"/>
                <w:b/>
                <w:bCs w:val="0"/>
                <w:color w:val="auto"/>
                <w:szCs w:val="21"/>
                <w:highlight w:val="none"/>
              </w:rPr>
              <w:t>按照包</w:t>
            </w:r>
            <w:r>
              <w:rPr>
                <w:rFonts w:hint="eastAsia" w:ascii="宋体" w:hAnsi="宋体"/>
                <w:b/>
                <w:bCs w:val="0"/>
                <w:color w:val="auto"/>
                <w:szCs w:val="21"/>
                <w:highlight w:val="none"/>
                <w:lang w:val="en-US" w:eastAsia="zh-CN"/>
              </w:rPr>
              <w:t>1</w:t>
            </w:r>
            <w:r>
              <w:rPr>
                <w:rFonts w:hint="eastAsia" w:ascii="宋体" w:hAnsi="宋体"/>
                <w:b/>
                <w:bCs w:val="0"/>
                <w:color w:val="auto"/>
                <w:szCs w:val="21"/>
                <w:highlight w:val="none"/>
              </w:rPr>
              <w:t>、包</w:t>
            </w:r>
            <w:r>
              <w:rPr>
                <w:rFonts w:hint="eastAsia" w:ascii="宋体" w:hAnsi="宋体"/>
                <w:b/>
                <w:bCs w:val="0"/>
                <w:color w:val="auto"/>
                <w:szCs w:val="21"/>
                <w:highlight w:val="none"/>
                <w:lang w:val="en-US" w:eastAsia="zh-CN"/>
              </w:rPr>
              <w:t>2</w:t>
            </w:r>
            <w:r>
              <w:rPr>
                <w:rFonts w:hint="eastAsia" w:ascii="宋体" w:hAnsi="宋体"/>
                <w:b/>
                <w:bCs w:val="0"/>
                <w:color w:val="auto"/>
                <w:szCs w:val="21"/>
                <w:highlight w:val="none"/>
              </w:rPr>
              <w:t>的顺序进行</w:t>
            </w:r>
            <w:r>
              <w:rPr>
                <w:rFonts w:hint="eastAsia" w:ascii="宋体" w:hAnsi="宋体"/>
                <w:b/>
                <w:bCs w:val="0"/>
                <w:color w:val="auto"/>
                <w:szCs w:val="21"/>
                <w:highlight w:val="none"/>
                <w:lang w:val="en-US" w:eastAsia="zh-CN"/>
              </w:rPr>
              <w:t>确定</w:t>
            </w:r>
            <w:r>
              <w:rPr>
                <w:rFonts w:hint="eastAsia" w:ascii="宋体" w:hAnsi="宋体"/>
                <w:b/>
                <w:bCs w:val="0"/>
                <w:color w:val="auto"/>
                <w:szCs w:val="21"/>
                <w:highlight w:val="none"/>
              </w:rPr>
              <w:t>。如中标单位放弃中标资格或无法履约的，按相关规定上报相关部门处理。</w:t>
            </w:r>
          </w:p>
          <w:p w14:paraId="2E4A0A5C">
            <w:pPr>
              <w:widowControl/>
              <w:adjustRightInd w:val="0"/>
              <w:snapToGrid w:val="0"/>
              <w:spacing w:line="360" w:lineRule="auto"/>
              <w:jc w:val="left"/>
              <w:rPr>
                <w:highlight w:val="none"/>
              </w:rPr>
            </w:pPr>
            <w:r>
              <w:rPr>
                <w:rFonts w:hint="eastAsia" w:ascii="宋体" w:hAnsi="宋体"/>
                <w:b/>
                <w:szCs w:val="21"/>
                <w:highlight w:val="none"/>
                <w:lang w:eastAsia="zh-CN"/>
              </w:rPr>
              <w:t>（</w:t>
            </w:r>
            <w:r>
              <w:rPr>
                <w:rFonts w:hint="eastAsia" w:ascii="宋体" w:hAnsi="宋体"/>
                <w:b/>
                <w:szCs w:val="21"/>
                <w:highlight w:val="none"/>
                <w:lang w:val="en-US" w:eastAsia="zh-CN"/>
              </w:rPr>
              <w:t>2</w:t>
            </w:r>
            <w:r>
              <w:rPr>
                <w:rFonts w:hint="eastAsia" w:ascii="宋体" w:hAnsi="宋体"/>
                <w:b/>
                <w:szCs w:val="21"/>
                <w:highlight w:val="none"/>
                <w:lang w:eastAsia="zh-CN"/>
              </w:rPr>
              <w:t>）</w:t>
            </w:r>
            <w:r>
              <w:rPr>
                <w:rFonts w:hint="eastAsia" w:ascii="宋体" w:hAnsi="宋体"/>
                <w:b/>
                <w:szCs w:val="21"/>
                <w:highlight w:val="none"/>
              </w:rPr>
              <w:t>中标单位在领取中标通知书之前须向采购代理机构提供一正二副纸质盖章版的投标文件。</w:t>
            </w:r>
            <w:r>
              <w:rPr>
                <w:rFonts w:hint="eastAsia"/>
                <w:b/>
                <w:highlight w:val="none"/>
              </w:rPr>
              <w:t>纸质投标文件与电子投标文件不一致的，以电子投标文件为准。</w:t>
            </w:r>
          </w:p>
        </w:tc>
      </w:tr>
    </w:tbl>
    <w:p w14:paraId="22733F94">
      <w:pPr>
        <w:adjustRightInd w:val="0"/>
        <w:snapToGrid w:val="0"/>
        <w:spacing w:line="360" w:lineRule="auto"/>
        <w:rPr>
          <w:rFonts w:ascii="宋体" w:hAnsi="宋体"/>
          <w:b/>
          <w:szCs w:val="21"/>
          <w:highlight w:val="none"/>
        </w:rPr>
      </w:pPr>
      <w:r>
        <w:rPr>
          <w:rFonts w:ascii="宋体" w:hAnsi="宋体"/>
          <w:b/>
          <w:szCs w:val="21"/>
          <w:highlight w:val="none"/>
        </w:rPr>
        <w:br w:type="page"/>
      </w:r>
    </w:p>
    <w:p w14:paraId="466E303D">
      <w:pPr>
        <w:pStyle w:val="3"/>
        <w:adjustRightInd w:val="0"/>
        <w:snapToGrid w:val="0"/>
        <w:spacing w:beforeLines="50" w:line="240" w:lineRule="auto"/>
        <w:jc w:val="center"/>
        <w:rPr>
          <w:rFonts w:ascii="黑体" w:hAnsi="黑体" w:eastAsia="黑体"/>
          <w:sz w:val="28"/>
          <w:szCs w:val="28"/>
          <w:highlight w:val="none"/>
        </w:rPr>
      </w:pPr>
      <w:bookmarkStart w:id="11" w:name="_Toc2426"/>
      <w:r>
        <w:rPr>
          <w:rFonts w:hint="eastAsia" w:ascii="黑体" w:hAnsi="黑体" w:eastAsia="黑体"/>
          <w:sz w:val="28"/>
          <w:szCs w:val="28"/>
          <w:highlight w:val="none"/>
        </w:rPr>
        <w:t>投标须知正文</w:t>
      </w:r>
      <w:bookmarkEnd w:id="11"/>
    </w:p>
    <w:p w14:paraId="337EBBEE">
      <w:pPr>
        <w:pStyle w:val="4"/>
        <w:spacing w:line="240" w:lineRule="auto"/>
        <w:jc w:val="center"/>
        <w:rPr>
          <w:highlight w:val="none"/>
        </w:rPr>
      </w:pPr>
      <w:bookmarkStart w:id="12" w:name="_Toc14826"/>
      <w:bookmarkStart w:id="13" w:name="_Toc31160"/>
      <w:r>
        <w:rPr>
          <w:rFonts w:hint="eastAsia"/>
          <w:highlight w:val="none"/>
        </w:rPr>
        <w:t>一、总则</w:t>
      </w:r>
      <w:bookmarkEnd w:id="12"/>
      <w:bookmarkEnd w:id="13"/>
    </w:p>
    <w:p w14:paraId="6BB6A8BD">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1. 适用范围</w:t>
      </w:r>
    </w:p>
    <w:p w14:paraId="44CD01E2">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1.1本招标文件仅适用于本章第一节“投标须知前附表”（以下简称</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szCs w:val="21"/>
          <w:highlight w:val="none"/>
        </w:rPr>
        <w:t>）中所叙述的采购项目。</w:t>
      </w:r>
    </w:p>
    <w:p w14:paraId="6C057378">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1.2</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szCs w:val="21"/>
          <w:highlight w:val="none"/>
        </w:rPr>
        <w:t>规定采购项目专门面向中小企业采购的，如投标人为非中小企业，其</w:t>
      </w:r>
      <w:r>
        <w:rPr>
          <w:rFonts w:hint="eastAsia" w:asciiTheme="minorEastAsia" w:hAnsiTheme="minorEastAsia" w:eastAsiaTheme="minorEastAsia"/>
          <w:b/>
          <w:szCs w:val="21"/>
          <w:highlight w:val="none"/>
        </w:rPr>
        <w:t>投标无效</w:t>
      </w:r>
      <w:r>
        <w:rPr>
          <w:rFonts w:hint="eastAsia" w:asciiTheme="minorEastAsia" w:hAnsiTheme="minorEastAsia" w:eastAsiaTheme="minorEastAsia"/>
          <w:szCs w:val="21"/>
          <w:highlight w:val="none"/>
        </w:rPr>
        <w:t>。</w:t>
      </w:r>
    </w:p>
    <w:p w14:paraId="5FA2FABF">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2. 定义</w:t>
      </w:r>
    </w:p>
    <w:p w14:paraId="6B4B9245">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2.1采购项目联系人姓名和电话见</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szCs w:val="21"/>
          <w:highlight w:val="none"/>
        </w:rPr>
        <w:t>。</w:t>
      </w:r>
    </w:p>
    <w:p w14:paraId="2492F9FA">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2.2采购人名称、地址、电话、联系人见</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szCs w:val="21"/>
          <w:highlight w:val="none"/>
        </w:rPr>
        <w:t>。</w:t>
      </w:r>
    </w:p>
    <w:p w14:paraId="018BF5A1">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2.3采购代理机构名称、地址、电话、联系人见</w:t>
      </w:r>
      <w:r>
        <w:rPr>
          <w:rFonts w:hint="eastAsia" w:asciiTheme="minorEastAsia" w:hAnsiTheme="minorEastAsia" w:eastAsiaTheme="minorEastAsia"/>
          <w:b/>
          <w:szCs w:val="21"/>
          <w:highlight w:val="none"/>
        </w:rPr>
        <w:t>【投标须知前附表】。</w:t>
      </w:r>
    </w:p>
    <w:p w14:paraId="3C2BFCFF">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2.4投标人系指响应招标、参加投标竞争的法人、其他组织或自然人。</w:t>
      </w:r>
    </w:p>
    <w:p w14:paraId="01936149">
      <w:pPr>
        <w:adjustRightInd w:val="0"/>
        <w:snapToGrid w:val="0"/>
        <w:spacing w:beforeLines="50" w:line="353" w:lineRule="auto"/>
        <w:ind w:firstLine="420" w:firstLineChars="200"/>
        <w:jc w:val="left"/>
        <w:rPr>
          <w:rFonts w:cs="宋体" w:asciiTheme="minorEastAsia" w:hAnsiTheme="minorEastAsia" w:eastAsiaTheme="minorEastAsia"/>
          <w:b/>
          <w:bCs/>
          <w:kern w:val="0"/>
          <w:szCs w:val="21"/>
          <w:highlight w:val="none"/>
        </w:rPr>
      </w:pPr>
      <w:r>
        <w:rPr>
          <w:rFonts w:asciiTheme="minorEastAsia" w:hAnsiTheme="minorEastAsia" w:eastAsiaTheme="minorEastAsia"/>
          <w:szCs w:val="21"/>
          <w:highlight w:val="none"/>
        </w:rPr>
        <w:t>2.</w:t>
      </w:r>
      <w:r>
        <w:rPr>
          <w:rFonts w:hint="eastAsia" w:asciiTheme="minorEastAsia" w:hAnsiTheme="minorEastAsia" w:eastAsiaTheme="minorEastAsia"/>
          <w:szCs w:val="21"/>
          <w:highlight w:val="none"/>
        </w:rPr>
        <w:t>5</w:t>
      </w:r>
      <w:r>
        <w:rPr>
          <w:rFonts w:hint="eastAsia" w:cs="宋体" w:asciiTheme="minorEastAsia" w:hAnsiTheme="minorEastAsia" w:eastAsiaTheme="minorEastAsia"/>
          <w:kern w:val="0"/>
          <w:szCs w:val="21"/>
          <w:highlight w:val="none"/>
        </w:rPr>
        <w:t>进口产品是指符合《政府采购进口产品管理办法》（财库〔2007〕119号）和《关于政府采购进口产品管理有关问题的通知》（财办库〔2008〕248号）文件规定的产品。</w:t>
      </w:r>
    </w:p>
    <w:p w14:paraId="0EC21936">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3. 投标人的资格要求</w:t>
      </w:r>
    </w:p>
    <w:p w14:paraId="17B4A08A">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3.1投标人应当符合</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szCs w:val="21"/>
          <w:highlight w:val="none"/>
        </w:rPr>
        <w:t>规定的投标人资格条件。</w:t>
      </w:r>
    </w:p>
    <w:p w14:paraId="29CAD3DD">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3.2</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szCs w:val="21"/>
          <w:highlight w:val="none"/>
        </w:rPr>
        <w:t>规定接受联合体形式投标的，投标人除应符合本章第3.1</w:t>
      </w:r>
      <w:r>
        <w:rPr>
          <w:rFonts w:hint="eastAsia" w:cs="宋体" w:asciiTheme="minorEastAsia" w:hAnsiTheme="minorEastAsia" w:eastAsiaTheme="minorEastAsia"/>
          <w:kern w:val="0"/>
          <w:szCs w:val="21"/>
          <w:highlight w:val="none"/>
          <w:lang w:val="zh-CN"/>
        </w:rPr>
        <w:t>款</w:t>
      </w:r>
      <w:r>
        <w:rPr>
          <w:rFonts w:hint="eastAsia" w:asciiTheme="minorEastAsia" w:hAnsiTheme="minorEastAsia" w:eastAsiaTheme="minorEastAsia"/>
          <w:szCs w:val="21"/>
          <w:highlight w:val="none"/>
        </w:rPr>
        <w:t xml:space="preserve">规定外，还应遵守以下规定： </w:t>
      </w:r>
    </w:p>
    <w:p w14:paraId="62AD0981">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（l）联合体中有同类资质的供应商按照联合体分工承担相同工作的，应当按照资质等级较低的供应商确定资质等级。</w:t>
      </w:r>
    </w:p>
    <w:p w14:paraId="391504DE">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（2）联合体各方应按招标文件提供的格式签订联合体协议书，明确联合体牵头人和各方的权利义务、合同工作量比例；</w:t>
      </w:r>
    </w:p>
    <w:p w14:paraId="2AB1CB47">
      <w:pPr>
        <w:adjustRightInd w:val="0"/>
        <w:snapToGrid w:val="0"/>
        <w:spacing w:beforeLines="50" w:line="353" w:lineRule="auto"/>
        <w:ind w:firstLine="420" w:firstLineChars="200"/>
        <w:jc w:val="left"/>
        <w:rPr>
          <w:rFonts w:cs="宋体" w:asciiTheme="minorEastAsia" w:hAnsiTheme="minorEastAsia" w:eastAsiaTheme="minorEastAsia"/>
          <w:kern w:val="0"/>
          <w:szCs w:val="21"/>
          <w:highlight w:val="none"/>
          <w:lang w:val="zh-CN"/>
        </w:rPr>
      </w:pPr>
      <w:r>
        <w:rPr>
          <w:rFonts w:hint="eastAsia" w:asciiTheme="minorEastAsia" w:hAnsiTheme="minorEastAsia" w:eastAsiaTheme="minorEastAsia"/>
          <w:szCs w:val="21"/>
          <w:highlight w:val="none"/>
        </w:rPr>
        <w:t>（3）联合体各方签订联合体协议书后，</w:t>
      </w:r>
      <w:r>
        <w:rPr>
          <w:rFonts w:hint="eastAsia" w:cs="宋体" w:asciiTheme="minorEastAsia" w:hAnsiTheme="minorEastAsia" w:eastAsiaTheme="minorEastAsia"/>
          <w:kern w:val="0"/>
          <w:szCs w:val="21"/>
          <w:highlight w:val="none"/>
          <w:lang w:val="zh-CN"/>
        </w:rPr>
        <w:t>不得再单独参加或者与其他投标人组成新的联合体参加同一合同项下的采购活动。</w:t>
      </w:r>
    </w:p>
    <w:p w14:paraId="0ADF43D8">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 xml:space="preserve">4. 投标费用 </w:t>
      </w:r>
    </w:p>
    <w:p w14:paraId="08A6321E">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4.1投标人应自行承担所有参与投标的相关费用，不论投标的结果如何，采购人或者采购代理机构均无义务和责任承担这些费用。</w:t>
      </w:r>
    </w:p>
    <w:p w14:paraId="53BD7D0A">
      <w:pPr>
        <w:adjustRightInd w:val="0"/>
        <w:snapToGrid w:val="0"/>
        <w:spacing w:beforeLines="50" w:line="353" w:lineRule="auto"/>
        <w:jc w:val="left"/>
        <w:rPr>
          <w:rFonts w:asciiTheme="minorEastAsia" w:hAnsiTheme="minorEastAsia" w:eastAsiaTheme="minorEastAsia"/>
          <w:b/>
          <w:sz w:val="24"/>
          <w:highlight w:val="none"/>
        </w:rPr>
      </w:pPr>
      <w:r>
        <w:rPr>
          <w:rFonts w:hint="eastAsia" w:asciiTheme="minorEastAsia" w:hAnsiTheme="minorEastAsia" w:eastAsiaTheme="minorEastAsia"/>
          <w:b/>
          <w:bCs/>
          <w:sz w:val="24"/>
          <w:highlight w:val="none"/>
        </w:rPr>
        <w:t xml:space="preserve">5. </w:t>
      </w:r>
      <w:r>
        <w:rPr>
          <w:rFonts w:hint="eastAsia" w:asciiTheme="minorEastAsia" w:hAnsiTheme="minorEastAsia" w:eastAsiaTheme="minorEastAsia"/>
          <w:b/>
          <w:sz w:val="24"/>
          <w:highlight w:val="none"/>
        </w:rPr>
        <w:t>保密</w:t>
      </w:r>
    </w:p>
    <w:p w14:paraId="17697992">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5.1参与招标投标活动的各方应对招标文件和投标文件中的商业和技术等秘密保密，违者应对由此造成的后果承担法律责任。</w:t>
      </w:r>
    </w:p>
    <w:p w14:paraId="26F71659">
      <w:pPr>
        <w:adjustRightInd w:val="0"/>
        <w:snapToGrid w:val="0"/>
        <w:spacing w:beforeLines="50" w:line="353" w:lineRule="auto"/>
        <w:jc w:val="left"/>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6．组织现场考察或者召开答疑会</w:t>
      </w:r>
    </w:p>
    <w:p w14:paraId="156C9213">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highlight w:val="none"/>
        </w:rPr>
        <w:t>6.1采购人或者采购代理机构可以在</w:t>
      </w:r>
      <w:r>
        <w:rPr>
          <w:rFonts w:hint="eastAsia" w:asciiTheme="minorEastAsia" w:hAnsiTheme="minorEastAsia" w:eastAsiaTheme="minorEastAsia"/>
          <w:szCs w:val="21"/>
          <w:highlight w:val="none"/>
        </w:rPr>
        <w:t>招标文件提供期限截止后，组织已获取招标文件的潜在投标人现场考察或者召开开标前答疑会。</w:t>
      </w:r>
    </w:p>
    <w:p w14:paraId="31FE8404">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6.2获取招标文件的潜在投标人应按</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szCs w:val="21"/>
          <w:highlight w:val="none"/>
        </w:rPr>
        <w:t>规定参加现场考察或者答疑会；如不参加，其风险由其自行承担。</w:t>
      </w:r>
    </w:p>
    <w:p w14:paraId="56EA9849">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6.3潜在投标人现场考察或者参加答疑会的费用由自己承担，现场考察期间所发生的人身伤害及财产损失由自己负责。</w:t>
      </w:r>
    </w:p>
    <w:p w14:paraId="38DBAF56">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6.4采购人或者采购代理机构不对投标人据此而做出的推论、理解和结论负责。投标人一旦中标，不得以任何借口，提出额外补偿，或延长合同期限的要求。</w:t>
      </w:r>
    </w:p>
    <w:p w14:paraId="3DBCA91E">
      <w:pPr>
        <w:pStyle w:val="4"/>
        <w:adjustRightInd w:val="0"/>
        <w:snapToGrid w:val="0"/>
        <w:spacing w:beforeLines="50" w:after="0" w:line="353" w:lineRule="auto"/>
        <w:jc w:val="center"/>
        <w:rPr>
          <w:rFonts w:ascii="黑体" w:hAnsi="黑体" w:eastAsia="黑体"/>
          <w:sz w:val="28"/>
          <w:szCs w:val="28"/>
          <w:highlight w:val="none"/>
        </w:rPr>
      </w:pPr>
      <w:bookmarkStart w:id="14" w:name="_Toc23464"/>
      <w:bookmarkStart w:id="15" w:name="_Toc3136"/>
      <w:r>
        <w:rPr>
          <w:rFonts w:hint="eastAsia" w:ascii="黑体" w:hAnsi="黑体" w:eastAsia="黑体"/>
          <w:sz w:val="28"/>
          <w:szCs w:val="28"/>
          <w:highlight w:val="none"/>
        </w:rPr>
        <w:t>二、招标文件</w:t>
      </w:r>
      <w:bookmarkEnd w:id="14"/>
      <w:bookmarkEnd w:id="15"/>
    </w:p>
    <w:p w14:paraId="2CDD98D1">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7. 招标文件的构成</w:t>
      </w:r>
    </w:p>
    <w:p w14:paraId="6D26F6E5">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7.1 招标文件共七章，各章内容如下：</w:t>
      </w:r>
    </w:p>
    <w:p w14:paraId="200F9FD5">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第一章 投标邀请</w:t>
      </w:r>
    </w:p>
    <w:p w14:paraId="764B9D04">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第二章 投标须知</w:t>
      </w:r>
    </w:p>
    <w:p w14:paraId="0970B4CA">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第三章 资格审查</w:t>
      </w:r>
    </w:p>
    <w:p w14:paraId="2947959C">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第四章 评标方法及标准</w:t>
      </w:r>
    </w:p>
    <w:p w14:paraId="69EDF308">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第五章 采购需求</w:t>
      </w:r>
    </w:p>
    <w:p w14:paraId="7EB56496">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第六章 政府采购合同</w:t>
      </w:r>
    </w:p>
    <w:p w14:paraId="1A0EF619">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第七章 投标文件的组成</w:t>
      </w:r>
    </w:p>
    <w:p w14:paraId="14EC8911">
      <w:pPr>
        <w:adjustRightInd w:val="0"/>
        <w:snapToGrid w:val="0"/>
        <w:spacing w:beforeLines="50" w:line="353" w:lineRule="auto"/>
        <w:ind w:firstLine="420" w:firstLineChars="200"/>
        <w:jc w:val="left"/>
        <w:rPr>
          <w:rFonts w:cs="宋体" w:asciiTheme="minorEastAsia" w:hAnsiTheme="minorEastAsia" w:eastAsiaTheme="minorEastAsia"/>
          <w:b/>
          <w:szCs w:val="21"/>
          <w:highlight w:val="none"/>
        </w:rPr>
      </w:pPr>
      <w:r>
        <w:rPr>
          <w:rFonts w:hint="eastAsia" w:asciiTheme="minorEastAsia" w:hAnsiTheme="minorEastAsia" w:eastAsiaTheme="minorEastAsia"/>
          <w:szCs w:val="21"/>
          <w:highlight w:val="none"/>
        </w:rPr>
        <w:t>7.2采购人或者采购代理机构在</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bCs/>
          <w:szCs w:val="21"/>
          <w:highlight w:val="none"/>
        </w:rPr>
        <w:t>规定的</w:t>
      </w:r>
      <w:r>
        <w:rPr>
          <w:rFonts w:hint="eastAsia" w:asciiTheme="minorEastAsia" w:hAnsiTheme="minorEastAsia" w:eastAsiaTheme="minorEastAsia"/>
          <w:szCs w:val="21"/>
          <w:highlight w:val="none"/>
        </w:rPr>
        <w:t>提交投标文件截止时间前</w:t>
      </w:r>
      <w:r>
        <w:rPr>
          <w:rFonts w:hint="eastAsia" w:cs="宋体" w:asciiTheme="minorEastAsia" w:hAnsiTheme="minorEastAsia" w:eastAsiaTheme="minorEastAsia"/>
          <w:szCs w:val="21"/>
          <w:highlight w:val="none"/>
        </w:rPr>
        <w:t>对招标文件所作的澄清或者修改，构成招标文件的组成部分。</w:t>
      </w:r>
    </w:p>
    <w:p w14:paraId="69164995">
      <w:pPr>
        <w:adjustRightInd w:val="0"/>
        <w:snapToGrid w:val="0"/>
        <w:spacing w:beforeLines="50" w:line="353" w:lineRule="auto"/>
        <w:jc w:val="left"/>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8．偏离与实质性响应</w:t>
      </w:r>
    </w:p>
    <w:p w14:paraId="7A2E5809">
      <w:pPr>
        <w:adjustRightInd w:val="0"/>
        <w:snapToGrid w:val="0"/>
        <w:spacing w:beforeLines="50" w:line="353" w:lineRule="auto"/>
        <w:ind w:firstLine="420" w:firstLineChars="200"/>
        <w:rPr>
          <w:rFonts w:asciiTheme="minorEastAsia" w:hAnsiTheme="minorEastAsia" w:eastAsiaTheme="minorEastAsia"/>
          <w:highlight w:val="none"/>
        </w:rPr>
      </w:pPr>
      <w:r>
        <w:rPr>
          <w:rFonts w:hint="eastAsia" w:asciiTheme="minorEastAsia" w:hAnsiTheme="minorEastAsia" w:eastAsiaTheme="minorEastAsia"/>
          <w:highlight w:val="none"/>
        </w:rPr>
        <w:t>8.1投标人应当按照招标文件的要求编制投标文件。投标文件应当对招标文件提出的要求和条件作出明确响应。</w:t>
      </w:r>
    </w:p>
    <w:p w14:paraId="19F55F19">
      <w:pPr>
        <w:adjustRightInd w:val="0"/>
        <w:snapToGrid w:val="0"/>
        <w:spacing w:beforeLines="50" w:line="353" w:lineRule="auto"/>
        <w:ind w:firstLine="420" w:firstLineChars="200"/>
        <w:rPr>
          <w:rFonts w:asciiTheme="minorEastAsia" w:hAnsiTheme="minorEastAsia" w:eastAsiaTheme="minorEastAsia"/>
          <w:highlight w:val="none"/>
        </w:rPr>
      </w:pPr>
      <w:r>
        <w:rPr>
          <w:rFonts w:hint="eastAsia" w:asciiTheme="minorEastAsia" w:hAnsiTheme="minorEastAsia" w:eastAsiaTheme="minorEastAsia"/>
          <w:highlight w:val="none"/>
        </w:rPr>
        <w:t>8.2偏离是指投标文件不响应或者不满足招标文件提出的要求和条件，分为实质性偏离和非实质性偏离。</w:t>
      </w:r>
    </w:p>
    <w:p w14:paraId="4F08BB3D">
      <w:pPr>
        <w:adjustRightInd w:val="0"/>
        <w:snapToGrid w:val="0"/>
        <w:spacing w:beforeLines="50" w:line="353" w:lineRule="auto"/>
        <w:ind w:firstLine="420" w:firstLineChars="200"/>
        <w:rPr>
          <w:rFonts w:asciiTheme="minorEastAsia" w:hAnsiTheme="minorEastAsia" w:eastAsiaTheme="minorEastAsia"/>
          <w:highlight w:val="none"/>
        </w:rPr>
      </w:pPr>
      <w:r>
        <w:rPr>
          <w:rFonts w:hint="eastAsia" w:asciiTheme="minorEastAsia" w:hAnsiTheme="minorEastAsia" w:eastAsiaTheme="minorEastAsia"/>
          <w:highlight w:val="none"/>
        </w:rPr>
        <w:t>8.3招标文件中用“★”符号标明的条款为实质性要求和条件，对其中任何一条的偏离，为实质性偏离，其投标无效。</w:t>
      </w:r>
    </w:p>
    <w:p w14:paraId="7448B9AB">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8.4投标</w:t>
      </w:r>
      <w:r>
        <w:rPr>
          <w:rFonts w:hint="eastAsia" w:asciiTheme="minorEastAsia" w:hAnsiTheme="minorEastAsia" w:eastAsiaTheme="minorEastAsia"/>
          <w:szCs w:val="21"/>
          <w:highlight w:val="none"/>
        </w:rPr>
        <w:t>文件偏离招标文件的非实质性要求和条件，为非实质性偏离。非实质性偏离的范围和幅度超出</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szCs w:val="21"/>
          <w:highlight w:val="none"/>
        </w:rPr>
        <w:t>规定的，其</w:t>
      </w:r>
      <w:r>
        <w:rPr>
          <w:rFonts w:hint="eastAsia" w:asciiTheme="minorEastAsia" w:hAnsiTheme="minorEastAsia" w:eastAsiaTheme="minorEastAsia"/>
          <w:highlight w:val="none"/>
        </w:rPr>
        <w:t>投标无效。</w:t>
      </w:r>
    </w:p>
    <w:p w14:paraId="1DE74432">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sz w:val="24"/>
          <w:highlight w:val="none"/>
        </w:rPr>
        <w:t>9. 询问</w:t>
      </w:r>
    </w:p>
    <w:p w14:paraId="79495284">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9.1潜在投标人应仔细阅读和检查招标文件的全部内容。如有疑问，可以向采购人或者采购代理机构提出询问。</w:t>
      </w:r>
    </w:p>
    <w:p w14:paraId="08A22C52">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10. 招标文件的澄清或者修改</w:t>
      </w:r>
    </w:p>
    <w:p w14:paraId="2850D622">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10.1采购人或者采购代理机构对已发出的招标文件进行必要澄清或者修改的，将在</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highlight w:val="none"/>
        </w:rPr>
        <w:t>指定的媒体上发布澄清或者更正公告。</w:t>
      </w:r>
    </w:p>
    <w:p w14:paraId="6C73FA7F">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cs="宋体" w:asciiTheme="minorEastAsia" w:hAnsiTheme="minorEastAsia" w:eastAsiaTheme="minorEastAsia"/>
          <w:kern w:val="0"/>
          <w:szCs w:val="21"/>
          <w:highlight w:val="none"/>
        </w:rPr>
        <w:t>10.2澄清或者修改</w:t>
      </w:r>
      <w:r>
        <w:rPr>
          <w:rFonts w:hint="eastAsia" w:asciiTheme="minorEastAsia" w:hAnsiTheme="minorEastAsia" w:eastAsiaTheme="minorEastAsia"/>
          <w:highlight w:val="none"/>
        </w:rPr>
        <w:t>的</w:t>
      </w:r>
      <w:r>
        <w:rPr>
          <w:rFonts w:hint="eastAsia" w:cs="宋体" w:asciiTheme="minorEastAsia" w:hAnsiTheme="minorEastAsia" w:eastAsiaTheme="minorEastAsia"/>
          <w:kern w:val="0"/>
          <w:szCs w:val="21"/>
          <w:highlight w:val="none"/>
        </w:rPr>
        <w:t>内容可能影响投标文件编制的，采购人或者采购代理机构</w:t>
      </w:r>
      <w:r>
        <w:rPr>
          <w:rFonts w:hint="eastAsia" w:asciiTheme="minorEastAsia" w:hAnsiTheme="minorEastAsia" w:eastAsiaTheme="minorEastAsia"/>
          <w:highlight w:val="none"/>
        </w:rPr>
        <w:t>将</w:t>
      </w:r>
      <w:r>
        <w:rPr>
          <w:rFonts w:hint="eastAsia" w:cs="宋体" w:asciiTheme="minorEastAsia" w:hAnsiTheme="minorEastAsia" w:eastAsiaTheme="minorEastAsia"/>
          <w:kern w:val="0"/>
          <w:szCs w:val="21"/>
          <w:highlight w:val="none"/>
        </w:rPr>
        <w:t>在提交投标文件截止时间15日前，</w:t>
      </w:r>
      <w:r>
        <w:rPr>
          <w:rFonts w:hint="eastAsia" w:asciiTheme="minorEastAsia" w:hAnsiTheme="minorEastAsia" w:eastAsiaTheme="minorEastAsia"/>
          <w:highlight w:val="none"/>
        </w:rPr>
        <w:t>以书面形式通知所有获取招标文件的潜在投标人；不足15日的，将相应延长提交投标文件的截止时间。</w:t>
      </w:r>
    </w:p>
    <w:p w14:paraId="2EBDDBCD">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asciiTheme="minorEastAsia" w:hAnsiTheme="minorEastAsia" w:eastAsiaTheme="minorEastAsia"/>
          <w:highlight w:val="none"/>
        </w:rPr>
        <w:t>10.3</w:t>
      </w:r>
      <w:r>
        <w:rPr>
          <w:rFonts w:hint="eastAsia" w:asciiTheme="minorEastAsia" w:hAnsiTheme="minorEastAsia" w:eastAsiaTheme="minorEastAsia"/>
          <w:highlight w:val="none"/>
        </w:rPr>
        <w:t>招标文件的提供期限届满后，获取招标文件的潜在投标人不足3家的，可以顺延提供期限，并在</w:t>
      </w:r>
      <w:r>
        <w:rPr>
          <w:rFonts w:hint="eastAsia" w:asciiTheme="minorEastAsia" w:hAnsiTheme="minorEastAsia" w:eastAsiaTheme="minorEastAsia"/>
          <w:bCs/>
          <w:szCs w:val="21"/>
          <w:highlight w:val="none"/>
        </w:rPr>
        <w:t>本章第10.1款</w:t>
      </w:r>
      <w:r>
        <w:rPr>
          <w:rFonts w:hint="eastAsia" w:asciiTheme="minorEastAsia" w:hAnsiTheme="minorEastAsia" w:eastAsiaTheme="minorEastAsia"/>
          <w:bCs/>
          <w:highlight w:val="none"/>
        </w:rPr>
        <w:t>规</w:t>
      </w:r>
      <w:r>
        <w:rPr>
          <w:rFonts w:hint="eastAsia" w:asciiTheme="minorEastAsia" w:hAnsiTheme="minorEastAsia" w:eastAsiaTheme="minorEastAsia"/>
          <w:highlight w:val="none"/>
        </w:rPr>
        <w:t>定的媒体上发布更正公告。</w:t>
      </w:r>
    </w:p>
    <w:p w14:paraId="3D636715">
      <w:pPr>
        <w:adjustRightInd w:val="0"/>
        <w:snapToGrid w:val="0"/>
        <w:spacing w:beforeLines="50" w:line="353" w:lineRule="auto"/>
        <w:ind w:firstLine="420" w:firstLineChars="200"/>
        <w:jc w:val="left"/>
        <w:rPr>
          <w:rFonts w:ascii="黑体" w:hAnsi="黑体" w:eastAsia="黑体"/>
          <w:sz w:val="28"/>
          <w:szCs w:val="28"/>
          <w:highlight w:val="none"/>
        </w:rPr>
      </w:pPr>
      <w:r>
        <w:rPr>
          <w:rFonts w:hint="eastAsia" w:asciiTheme="minorEastAsia" w:hAnsiTheme="minorEastAsia" w:eastAsiaTheme="minorEastAsia"/>
          <w:highlight w:val="none"/>
        </w:rPr>
        <w:t>10.4 通过交易平台下载招标文件的，请获取招标文件的潜在投标人应及时关注</w:t>
      </w:r>
      <w:r>
        <w:rPr>
          <w:rFonts w:hint="eastAsia" w:asciiTheme="minorEastAsia" w:hAnsiTheme="minorEastAsia" w:eastAsiaTheme="minorEastAsia"/>
          <w:bCs/>
          <w:szCs w:val="21"/>
          <w:highlight w:val="none"/>
        </w:rPr>
        <w:t>本章第10.1款</w:t>
      </w:r>
      <w:r>
        <w:rPr>
          <w:rFonts w:hint="eastAsia" w:asciiTheme="minorEastAsia" w:hAnsiTheme="minorEastAsia" w:eastAsiaTheme="minorEastAsia"/>
          <w:bCs/>
          <w:highlight w:val="none"/>
        </w:rPr>
        <w:t>规</w:t>
      </w:r>
      <w:r>
        <w:rPr>
          <w:rFonts w:hint="eastAsia" w:asciiTheme="minorEastAsia" w:hAnsiTheme="minorEastAsia" w:eastAsiaTheme="minorEastAsia"/>
          <w:highlight w:val="none"/>
        </w:rPr>
        <w:t>定的媒体发布的澄清或者修改公告，采购代理机构不再书面通知。</w:t>
      </w:r>
    </w:p>
    <w:p w14:paraId="527472A6">
      <w:pPr>
        <w:pStyle w:val="4"/>
        <w:adjustRightInd w:val="0"/>
        <w:snapToGrid w:val="0"/>
        <w:spacing w:beforeLines="50" w:after="0" w:line="353" w:lineRule="auto"/>
        <w:jc w:val="center"/>
        <w:rPr>
          <w:rFonts w:ascii="黑体" w:hAnsi="黑体" w:eastAsia="黑体"/>
          <w:sz w:val="28"/>
          <w:szCs w:val="28"/>
          <w:highlight w:val="none"/>
        </w:rPr>
      </w:pPr>
      <w:bookmarkStart w:id="16" w:name="_Toc17281"/>
      <w:bookmarkStart w:id="17" w:name="_Toc25044"/>
      <w:r>
        <w:rPr>
          <w:rFonts w:hint="eastAsia" w:ascii="黑体" w:hAnsi="黑体" w:eastAsia="黑体"/>
          <w:sz w:val="28"/>
          <w:szCs w:val="28"/>
          <w:highlight w:val="none"/>
        </w:rPr>
        <w:t>三、投标文件</w:t>
      </w:r>
      <w:bookmarkEnd w:id="16"/>
      <w:bookmarkEnd w:id="17"/>
    </w:p>
    <w:p w14:paraId="5525D3BA">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11. 投标语言</w:t>
      </w:r>
    </w:p>
    <w:p w14:paraId="37CA64FC">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11.1除专用术语外，投标人提交的投标文件及投标人与采购代理机构就有关投标的所有来往函电均使用中文。投标人可以提交其它语言的资料，但应附有中文注释，有差异时以中文为准。</w:t>
      </w:r>
    </w:p>
    <w:p w14:paraId="4379DEE3">
      <w:pPr>
        <w:adjustRightInd w:val="0"/>
        <w:snapToGrid w:val="0"/>
        <w:spacing w:beforeLines="50" w:line="353" w:lineRule="auto"/>
        <w:jc w:val="left"/>
        <w:rPr>
          <w:rFonts w:asciiTheme="minorEastAsia" w:hAnsiTheme="minorEastAsia" w:eastAsiaTheme="minorEastAsia"/>
          <w:b/>
          <w:sz w:val="24"/>
          <w:highlight w:val="none"/>
        </w:rPr>
      </w:pPr>
      <w:r>
        <w:rPr>
          <w:rFonts w:hint="eastAsia" w:asciiTheme="minorEastAsia" w:hAnsiTheme="minorEastAsia" w:eastAsiaTheme="minorEastAsia"/>
          <w:b/>
          <w:bCs/>
          <w:sz w:val="24"/>
          <w:highlight w:val="none"/>
        </w:rPr>
        <w:t xml:space="preserve">12. </w:t>
      </w:r>
      <w:r>
        <w:rPr>
          <w:rFonts w:hint="eastAsia" w:asciiTheme="minorEastAsia" w:hAnsiTheme="minorEastAsia" w:eastAsiaTheme="minorEastAsia"/>
          <w:b/>
          <w:sz w:val="24"/>
          <w:highlight w:val="none"/>
        </w:rPr>
        <w:t>计量单位</w:t>
      </w:r>
    </w:p>
    <w:p w14:paraId="216879F8">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12.1所有计量均采用中华人民共和国法定计量单位。</w:t>
      </w:r>
    </w:p>
    <w:p w14:paraId="40911909">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sz w:val="24"/>
          <w:highlight w:val="none"/>
        </w:rPr>
        <w:t xml:space="preserve">13. </w:t>
      </w:r>
      <w:r>
        <w:rPr>
          <w:rFonts w:hint="eastAsia" w:asciiTheme="minorEastAsia" w:hAnsiTheme="minorEastAsia" w:eastAsiaTheme="minorEastAsia"/>
          <w:b/>
          <w:bCs/>
          <w:sz w:val="24"/>
          <w:highlight w:val="none"/>
        </w:rPr>
        <w:t>投标文件的组成</w:t>
      </w:r>
    </w:p>
    <w:p w14:paraId="308B76C1">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13.1投标文件由第一部分资格证明文件和第二部分商务和技术文件组成。投标文件内容如下：</w:t>
      </w:r>
    </w:p>
    <w:p w14:paraId="6B1CB603">
      <w:pPr>
        <w:adjustRightInd w:val="0"/>
        <w:snapToGrid w:val="0"/>
        <w:spacing w:beforeLines="50" w:line="353" w:lineRule="auto"/>
        <w:ind w:firstLine="422" w:firstLineChars="200"/>
        <w:jc w:val="left"/>
        <w:rPr>
          <w:rFonts w:asciiTheme="minorEastAsia" w:hAnsiTheme="minorEastAsia" w:eastAsiaTheme="minorEastAsia"/>
          <w:b/>
          <w:bCs/>
          <w:szCs w:val="21"/>
          <w:highlight w:val="none"/>
        </w:rPr>
      </w:pPr>
      <w:r>
        <w:rPr>
          <w:rFonts w:hint="eastAsia" w:asciiTheme="minorEastAsia" w:hAnsiTheme="minorEastAsia" w:eastAsiaTheme="minorEastAsia"/>
          <w:b/>
          <w:bCs/>
          <w:szCs w:val="21"/>
          <w:highlight w:val="none"/>
        </w:rPr>
        <w:t>第一部分 资格证明文件</w:t>
      </w:r>
    </w:p>
    <w:p w14:paraId="74A7DACE">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一、开标一览表</w:t>
      </w:r>
    </w:p>
    <w:p w14:paraId="24C37D74">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二、投标保证金</w:t>
      </w:r>
    </w:p>
    <w:p w14:paraId="5A73DE4B">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三、</w:t>
      </w:r>
      <w:r>
        <w:rPr>
          <w:rFonts w:hint="eastAsia" w:asciiTheme="minorEastAsia" w:hAnsiTheme="minorEastAsia" w:eastAsiaTheme="minorEastAsia"/>
          <w:szCs w:val="21"/>
          <w:highlight w:val="none"/>
          <w:lang w:val="en-US" w:eastAsia="zh-CN"/>
        </w:rPr>
        <w:t>法定代表人证明或</w:t>
      </w:r>
      <w:r>
        <w:rPr>
          <w:rFonts w:hint="eastAsia" w:asciiTheme="minorEastAsia" w:hAnsiTheme="minorEastAsia" w:eastAsiaTheme="minorEastAsia"/>
          <w:szCs w:val="21"/>
          <w:highlight w:val="none"/>
        </w:rPr>
        <w:t>法定代表人授权委托书</w:t>
      </w:r>
    </w:p>
    <w:p w14:paraId="156E72A0">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四、投标人提供的资格证明文件</w:t>
      </w:r>
    </w:p>
    <w:p w14:paraId="36992DA0">
      <w:pPr>
        <w:adjustRightInd w:val="0"/>
        <w:snapToGrid w:val="0"/>
        <w:spacing w:beforeLines="50" w:line="353" w:lineRule="auto"/>
        <w:ind w:firstLine="422" w:firstLineChars="200"/>
        <w:jc w:val="left"/>
        <w:rPr>
          <w:rFonts w:asciiTheme="minorEastAsia" w:hAnsiTheme="minorEastAsia" w:eastAsiaTheme="minorEastAsia"/>
          <w:b/>
          <w:bCs/>
          <w:szCs w:val="21"/>
          <w:highlight w:val="none"/>
        </w:rPr>
      </w:pPr>
      <w:r>
        <w:rPr>
          <w:rFonts w:hint="eastAsia" w:asciiTheme="minorEastAsia" w:hAnsiTheme="minorEastAsia" w:eastAsiaTheme="minorEastAsia"/>
          <w:b/>
          <w:bCs/>
          <w:szCs w:val="21"/>
          <w:highlight w:val="none"/>
        </w:rPr>
        <w:t>第二部分 商务技术文件</w:t>
      </w:r>
    </w:p>
    <w:p w14:paraId="6C6FF507">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五、投标函</w:t>
      </w:r>
    </w:p>
    <w:p w14:paraId="081FECEB">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六、分项报价明细表</w:t>
      </w:r>
    </w:p>
    <w:p w14:paraId="5330B819">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七、采购需求响应</w:t>
      </w:r>
    </w:p>
    <w:p w14:paraId="13B1EEE0">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八、商务、合同条款偏离表</w:t>
      </w:r>
    </w:p>
    <w:p w14:paraId="01FF2EB2">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九、采购需求偏离表</w:t>
      </w:r>
    </w:p>
    <w:p w14:paraId="297B9F21">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十、享受政府采购政策优惠的证明资料和清单表</w:t>
      </w:r>
    </w:p>
    <w:p w14:paraId="089C5060">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十一、投标服务（</w:t>
      </w:r>
      <w:r>
        <w:rPr>
          <w:rFonts w:hint="eastAsia" w:asciiTheme="minorEastAsia" w:hAnsiTheme="minorEastAsia" w:eastAsiaTheme="minorEastAsia"/>
          <w:szCs w:val="21"/>
          <w:highlight w:val="none"/>
          <w:lang w:eastAsia="zh-CN"/>
        </w:rPr>
        <w:t>服务及配套货物</w:t>
      </w:r>
      <w:r>
        <w:rPr>
          <w:rFonts w:hint="eastAsia" w:asciiTheme="minorEastAsia" w:hAnsiTheme="minorEastAsia" w:eastAsiaTheme="minorEastAsia"/>
          <w:szCs w:val="21"/>
          <w:highlight w:val="none"/>
        </w:rPr>
        <w:t>）符合招标文件规定的证明文件</w:t>
      </w:r>
    </w:p>
    <w:p w14:paraId="786BC03A">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十二、投标人认为需提供的其他资料</w:t>
      </w:r>
    </w:p>
    <w:p w14:paraId="252915BC">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13.2根据《政府采购法》第四十二条的规定，投标人无论中标与否，其投标文件不予退还。</w:t>
      </w:r>
    </w:p>
    <w:p w14:paraId="3C313DA3">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14. 投标报价</w:t>
      </w:r>
    </w:p>
    <w:p w14:paraId="4B4F3F7B">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14.1投标人应以招标文件规定的供货及服务要求、责任范围和合同条件为基础，按</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szCs w:val="21"/>
          <w:highlight w:val="none"/>
        </w:rPr>
        <w:t>及第五章采购需求的有关规定进行报价。</w:t>
      </w:r>
    </w:p>
    <w:p w14:paraId="02AFB2A0">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asciiTheme="minorEastAsia" w:hAnsiTheme="minorEastAsia" w:eastAsiaTheme="minorEastAsia"/>
          <w:szCs w:val="21"/>
          <w:highlight w:val="none"/>
        </w:rPr>
        <w:t>14.</w:t>
      </w:r>
      <w:r>
        <w:rPr>
          <w:rFonts w:hint="eastAsia" w:asciiTheme="minorEastAsia" w:hAnsiTheme="minorEastAsia" w:eastAsiaTheme="minorEastAsia"/>
          <w:szCs w:val="21"/>
          <w:highlight w:val="none"/>
        </w:rPr>
        <w:t>2投标人的投标报价不得超过采购预算，也不得超过最高限价(招标文件设定最高限价的)，否则其投标无效。采购项目采购预算、最高限价(如果设定)见</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szCs w:val="21"/>
          <w:highlight w:val="none"/>
        </w:rPr>
        <w:t>。</w:t>
      </w:r>
    </w:p>
    <w:p w14:paraId="7A2ADCAC">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sz w:val="24"/>
          <w:highlight w:val="none"/>
        </w:rPr>
        <w:t xml:space="preserve">15. </w:t>
      </w:r>
      <w:r>
        <w:rPr>
          <w:rFonts w:hint="eastAsia" w:asciiTheme="minorEastAsia" w:hAnsiTheme="minorEastAsia" w:eastAsiaTheme="minorEastAsia"/>
          <w:b/>
          <w:bCs/>
          <w:sz w:val="24"/>
          <w:highlight w:val="none"/>
        </w:rPr>
        <w:t>投标人的资格证明文件</w:t>
      </w:r>
    </w:p>
    <w:p w14:paraId="61E8B793">
      <w:pPr>
        <w:adjustRightInd w:val="0"/>
        <w:snapToGrid w:val="0"/>
        <w:spacing w:beforeLines="50" w:line="353" w:lineRule="auto"/>
        <w:ind w:firstLine="420" w:firstLineChars="200"/>
        <w:rPr>
          <w:rFonts w:asciiTheme="minorEastAsia" w:hAnsiTheme="minorEastAsia" w:eastAsiaTheme="minorEastAsia"/>
          <w:highlight w:val="none"/>
        </w:rPr>
      </w:pPr>
      <w:r>
        <w:rPr>
          <w:rFonts w:hint="eastAsia" w:asciiTheme="minorEastAsia" w:hAnsiTheme="minorEastAsia"/>
          <w:highlight w:val="none"/>
        </w:rPr>
        <w:t>15.1</w:t>
      </w:r>
      <w:r>
        <w:rPr>
          <w:rFonts w:hint="eastAsia" w:asciiTheme="minorEastAsia" w:hAnsiTheme="minorEastAsia" w:eastAsiaTheme="minorEastAsia"/>
          <w:szCs w:val="21"/>
          <w:highlight w:val="none"/>
        </w:rPr>
        <w:t>除</w:t>
      </w:r>
      <w:r>
        <w:rPr>
          <w:rFonts w:hint="eastAsia" w:asciiTheme="minorEastAsia" w:hAnsiTheme="minorEastAsia"/>
          <w:b/>
          <w:szCs w:val="21"/>
          <w:highlight w:val="none"/>
        </w:rPr>
        <w:t>【投标须知前附表】</w:t>
      </w:r>
      <w:r>
        <w:rPr>
          <w:rFonts w:hint="eastAsia" w:asciiTheme="minorEastAsia" w:hAnsiTheme="minorEastAsia" w:eastAsiaTheme="minorEastAsia"/>
          <w:szCs w:val="21"/>
          <w:highlight w:val="none"/>
        </w:rPr>
        <w:t>另有规</w:t>
      </w:r>
      <w:r>
        <w:rPr>
          <w:rFonts w:hint="eastAsia" w:asciiTheme="minorEastAsia" w:hAnsiTheme="minorEastAsia" w:eastAsiaTheme="minorEastAsia"/>
          <w:highlight w:val="none"/>
        </w:rPr>
        <w:t>定外，投标人应按下列规定提供资格证明文件。</w:t>
      </w:r>
    </w:p>
    <w:p w14:paraId="085D59B5">
      <w:pPr>
        <w:adjustRightInd w:val="0"/>
        <w:snapToGrid w:val="0"/>
        <w:spacing w:beforeLines="50" w:line="353" w:lineRule="auto"/>
        <w:ind w:firstLine="420" w:firstLineChars="200"/>
        <w:rPr>
          <w:rFonts w:asciiTheme="minorEastAsia" w:hAnsiTheme="minorEastAsia"/>
          <w:b/>
          <w:highlight w:val="none"/>
        </w:rPr>
      </w:pPr>
      <w:r>
        <w:rPr>
          <w:rFonts w:hint="eastAsia" w:asciiTheme="minorEastAsia" w:hAnsiTheme="minorEastAsia"/>
          <w:highlight w:val="none"/>
        </w:rPr>
        <w:t>（1）</w:t>
      </w:r>
      <w:r>
        <w:rPr>
          <w:rFonts w:hint="eastAsia" w:asciiTheme="minorEastAsia" w:hAnsiTheme="minorEastAsia" w:eastAsiaTheme="minorEastAsia"/>
          <w:b/>
          <w:highlight w:val="none"/>
        </w:rPr>
        <w:t>投标人资格声明(格式)</w:t>
      </w:r>
    </w:p>
    <w:p w14:paraId="7D472670">
      <w:pPr>
        <w:adjustRightInd w:val="0"/>
        <w:snapToGrid w:val="0"/>
        <w:spacing w:beforeLines="50" w:line="353" w:lineRule="auto"/>
        <w:ind w:firstLine="420" w:firstLineChars="200"/>
        <w:rPr>
          <w:rFonts w:asciiTheme="minorEastAsia" w:hAnsiTheme="minorEastAsia"/>
          <w:highlight w:val="none"/>
        </w:rPr>
      </w:pPr>
      <w:r>
        <w:rPr>
          <w:rFonts w:hint="eastAsia" w:asciiTheme="minorEastAsia" w:hAnsiTheme="minorEastAsia"/>
          <w:highlight w:val="none"/>
        </w:rPr>
        <w:t>（2）</w:t>
      </w:r>
      <w:r>
        <w:rPr>
          <w:rFonts w:hint="eastAsia" w:asciiTheme="minorEastAsia" w:hAnsiTheme="minorEastAsia"/>
          <w:b/>
          <w:highlight w:val="none"/>
        </w:rPr>
        <w:t>法人或者其他组织的营业执照等主体资格证明文件，自然人的身份证明</w:t>
      </w:r>
      <w:r>
        <w:rPr>
          <w:rFonts w:hint="eastAsia" w:asciiTheme="minorEastAsia" w:hAnsiTheme="minorEastAsia"/>
          <w:highlight w:val="none"/>
        </w:rPr>
        <w:t>：投标人为营利法人的，应提交营业执照的复印件；投标人为依法允许经营的事业单位的，应提交事业单位法人证书复印件；投标人为非法人组织的，应提交依法登记证书复印件；</w:t>
      </w:r>
      <w:r>
        <w:rPr>
          <w:rFonts w:hint="eastAsia" w:asciiTheme="minorEastAsia" w:hAnsiTheme="minorEastAsia"/>
          <w:szCs w:val="21"/>
          <w:highlight w:val="none"/>
        </w:rPr>
        <w:t>投标人为个体工商户的，应提交个体工商户营业执照复印件；</w:t>
      </w:r>
      <w:r>
        <w:rPr>
          <w:rFonts w:hint="eastAsia" w:asciiTheme="minorEastAsia" w:hAnsiTheme="minorEastAsia"/>
          <w:highlight w:val="none"/>
        </w:rPr>
        <w:t>投标人为自然人的，应提交自然人的身份证明复印件。</w:t>
      </w:r>
    </w:p>
    <w:p w14:paraId="05744FE9">
      <w:pPr>
        <w:adjustRightInd w:val="0"/>
        <w:snapToGrid w:val="0"/>
        <w:spacing w:beforeLines="50" w:line="353" w:lineRule="auto"/>
        <w:ind w:firstLine="420" w:firstLineChars="200"/>
        <w:rPr>
          <w:rFonts w:asciiTheme="minorEastAsia" w:hAnsiTheme="minorEastAsia"/>
          <w:szCs w:val="21"/>
          <w:highlight w:val="none"/>
        </w:rPr>
      </w:pPr>
      <w:r>
        <w:rPr>
          <w:rFonts w:hint="eastAsia" w:asciiTheme="minorEastAsia" w:hAnsiTheme="minorEastAsia"/>
          <w:highlight w:val="none"/>
        </w:rPr>
        <w:t>（3）</w:t>
      </w:r>
      <w:r>
        <w:rPr>
          <w:rFonts w:hint="eastAsia" w:asciiTheme="minorEastAsia" w:hAnsiTheme="minorEastAsia"/>
          <w:b/>
          <w:highlight w:val="none"/>
        </w:rPr>
        <w:t>符合特定资格条件证明材料复印件或者情况说明原件</w:t>
      </w:r>
      <w:r>
        <w:rPr>
          <w:rFonts w:hint="eastAsia" w:asciiTheme="minorEastAsia" w:hAnsiTheme="minorEastAsia"/>
          <w:highlight w:val="none"/>
        </w:rPr>
        <w:t>。</w:t>
      </w:r>
      <w:r>
        <w:rPr>
          <w:rFonts w:hint="eastAsia" w:asciiTheme="minorEastAsia" w:hAnsiTheme="minorEastAsia"/>
          <w:szCs w:val="21"/>
          <w:highlight w:val="none"/>
        </w:rPr>
        <w:t>具体要求见</w:t>
      </w:r>
      <w:r>
        <w:rPr>
          <w:rFonts w:hint="eastAsia" w:asciiTheme="minorEastAsia" w:hAnsiTheme="minorEastAsia"/>
          <w:b/>
          <w:szCs w:val="21"/>
          <w:highlight w:val="none"/>
        </w:rPr>
        <w:t>【投标须知前附表】</w:t>
      </w:r>
      <w:r>
        <w:rPr>
          <w:rFonts w:hint="eastAsia" w:asciiTheme="minorEastAsia" w:hAnsiTheme="minorEastAsia"/>
          <w:szCs w:val="21"/>
          <w:highlight w:val="none"/>
        </w:rPr>
        <w:t>。</w:t>
      </w:r>
    </w:p>
    <w:p w14:paraId="33425969">
      <w:pPr>
        <w:adjustRightInd w:val="0"/>
        <w:snapToGrid w:val="0"/>
        <w:spacing w:beforeLines="50" w:line="353" w:lineRule="auto"/>
        <w:ind w:firstLine="420" w:firstLineChars="200"/>
        <w:rPr>
          <w:rFonts w:asciiTheme="minorEastAsia" w:hAnsiTheme="minorEastAsia"/>
          <w:szCs w:val="21"/>
          <w:highlight w:val="none"/>
        </w:rPr>
      </w:pPr>
      <w:r>
        <w:rPr>
          <w:rFonts w:hint="eastAsia" w:asciiTheme="minorEastAsia" w:hAnsiTheme="minorEastAsia"/>
          <w:highlight w:val="none"/>
        </w:rPr>
        <w:t>（4）</w:t>
      </w:r>
      <w:r>
        <w:rPr>
          <w:rFonts w:hint="eastAsia" w:asciiTheme="minorEastAsia" w:hAnsiTheme="minorEastAsia"/>
          <w:szCs w:val="21"/>
          <w:highlight w:val="none"/>
        </w:rPr>
        <w:t>单位负责人为同一人或者存在直接控股、管理关系的书面说明。</w:t>
      </w:r>
    </w:p>
    <w:p w14:paraId="7D21354B">
      <w:pPr>
        <w:adjustRightInd w:val="0"/>
        <w:snapToGrid w:val="0"/>
        <w:spacing w:beforeLines="50" w:line="353" w:lineRule="auto"/>
        <w:ind w:firstLine="420" w:firstLineChars="200"/>
        <w:rPr>
          <w:rFonts w:asciiTheme="minorEastAsia" w:hAnsiTheme="minorEastAsia"/>
          <w:highlight w:val="none"/>
        </w:rPr>
      </w:pPr>
      <w:r>
        <w:rPr>
          <w:rFonts w:hint="eastAsia" w:asciiTheme="minorEastAsia" w:hAnsiTheme="minorEastAsia"/>
          <w:highlight w:val="none"/>
        </w:rPr>
        <w:t>15.2投标人以联合体形式投标的，除应提交联合协议(格式)外，参加联合体的各方均应提交上款资格证明材料。</w:t>
      </w:r>
    </w:p>
    <w:p w14:paraId="2ED471D0">
      <w:pPr>
        <w:adjustRightInd w:val="0"/>
        <w:snapToGrid w:val="0"/>
        <w:spacing w:beforeLines="50" w:line="353" w:lineRule="auto"/>
        <w:ind w:firstLine="420" w:firstLineChars="200"/>
        <w:rPr>
          <w:rFonts w:asciiTheme="minorEastAsia" w:hAnsiTheme="minorEastAsia"/>
          <w:highlight w:val="none"/>
        </w:rPr>
      </w:pPr>
      <w:r>
        <w:rPr>
          <w:rFonts w:hint="eastAsia" w:asciiTheme="minorEastAsia" w:hAnsiTheme="minorEastAsia"/>
          <w:highlight w:val="none"/>
        </w:rPr>
        <w:t>15.3上述投标人的资格证明文件均应为有效文件并加盖投标人单位章，并按招标文件规定签署。</w:t>
      </w:r>
    </w:p>
    <w:p w14:paraId="597F6ADA">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16. 投标服务（</w:t>
      </w:r>
      <w:r>
        <w:rPr>
          <w:rFonts w:hint="eastAsia" w:asciiTheme="minorEastAsia" w:hAnsiTheme="minorEastAsia" w:eastAsiaTheme="minorEastAsia"/>
          <w:b/>
          <w:bCs/>
          <w:sz w:val="24"/>
          <w:highlight w:val="none"/>
          <w:lang w:eastAsia="zh-CN"/>
        </w:rPr>
        <w:t>服务及配套货物</w:t>
      </w:r>
      <w:r>
        <w:rPr>
          <w:rFonts w:hint="eastAsia" w:asciiTheme="minorEastAsia" w:hAnsiTheme="minorEastAsia" w:eastAsiaTheme="minorEastAsia"/>
          <w:b/>
          <w:bCs/>
          <w:sz w:val="24"/>
          <w:highlight w:val="none"/>
        </w:rPr>
        <w:t>）及服务符合招标文件规定的证明文件</w:t>
      </w:r>
    </w:p>
    <w:p w14:paraId="3758A949">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16.1投标人应当提交其拟供的合同项下货物及其服务符合招标文件规定的证明文件,该证明文件作为投标文件的一部分。</w:t>
      </w:r>
    </w:p>
    <w:p w14:paraId="1247895D">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16.2上述证明文件可以是文字资料、图表、数据、证书等资料，包括但不限于：</w:t>
      </w:r>
    </w:p>
    <w:p w14:paraId="29CE738B">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（1）货物主要技术指标和性能的详细说明。对有具体参数要求的指标，投标人应提供具体参数值；</w:t>
      </w:r>
    </w:p>
    <w:p w14:paraId="2817ED8C">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（2）货物的品牌型号、制造商及原产地等说明；</w:t>
      </w:r>
    </w:p>
    <w:p w14:paraId="33D7B2C7">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（3）招标文件第五章采购需求要求的其它文件。</w:t>
      </w:r>
    </w:p>
    <w:p w14:paraId="6FD55881">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宋体" w:hAnsi="宋体"/>
          <w:szCs w:val="21"/>
          <w:highlight w:val="none"/>
        </w:rPr>
        <w:t xml:space="preserve">16.3 </w:t>
      </w:r>
      <w:r>
        <w:rPr>
          <w:rFonts w:ascii="宋体" w:hAnsi="宋体"/>
          <w:szCs w:val="21"/>
          <w:highlight w:val="none"/>
        </w:rPr>
        <w:t>投标人提供的软件及硬件产品要求在中华人民共和国境内拥有合法的使用权和版权，</w:t>
      </w:r>
      <w:r>
        <w:rPr>
          <w:rFonts w:hint="eastAsia" w:ascii="宋体" w:hAnsi="宋体"/>
          <w:szCs w:val="21"/>
          <w:highlight w:val="none"/>
        </w:rPr>
        <w:t>采购人</w:t>
      </w:r>
      <w:r>
        <w:rPr>
          <w:rFonts w:ascii="宋体" w:hAnsi="宋体"/>
          <w:szCs w:val="21"/>
          <w:highlight w:val="none"/>
        </w:rPr>
        <w:t>应拥有合法的使用权。</w:t>
      </w:r>
    </w:p>
    <w:p w14:paraId="3A9F74EE">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17. 投标有效期</w:t>
      </w:r>
    </w:p>
    <w:p w14:paraId="537627C7">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17.1投标有效期从提交投标文件的截止之日起计算。投标文件中承诺的投标有效期应当不少于</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szCs w:val="21"/>
          <w:highlight w:val="none"/>
        </w:rPr>
        <w:t>中载明的投标有效期。投标有效期不满足要求的，其投标无效。</w:t>
      </w:r>
    </w:p>
    <w:p w14:paraId="4D9DBBCD">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17.2投标有效期内投标人撤销投标文件的，投标人应承担招标文件和法律规定的责任。</w:t>
      </w:r>
    </w:p>
    <w:p w14:paraId="48DA40E5">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18. 投标保证金</w:t>
      </w:r>
    </w:p>
    <w:p w14:paraId="0D7E7153">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18.1招标文件要求投标人提交投标保证金的，</w:t>
      </w:r>
      <w:r>
        <w:rPr>
          <w:rFonts w:hint="eastAsia" w:asciiTheme="minorEastAsia" w:hAnsiTheme="minorEastAsia" w:eastAsiaTheme="minorEastAsia"/>
          <w:bCs/>
          <w:szCs w:val="21"/>
          <w:highlight w:val="none"/>
        </w:rPr>
        <w:t>投标人</w:t>
      </w:r>
      <w:r>
        <w:rPr>
          <w:rFonts w:hint="eastAsia" w:asciiTheme="minorEastAsia" w:hAnsiTheme="minorEastAsia" w:eastAsiaTheme="minorEastAsia"/>
          <w:szCs w:val="21"/>
          <w:highlight w:val="none"/>
        </w:rPr>
        <w:t>应按</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szCs w:val="21"/>
          <w:highlight w:val="none"/>
        </w:rPr>
        <w:t>规定，</w:t>
      </w:r>
      <w:r>
        <w:rPr>
          <w:rFonts w:hint="eastAsia" w:asciiTheme="minorEastAsia" w:hAnsiTheme="minorEastAsia" w:eastAsiaTheme="minorEastAsia"/>
          <w:bCs/>
          <w:szCs w:val="21"/>
          <w:highlight w:val="none"/>
        </w:rPr>
        <w:t>在</w:t>
      </w:r>
      <w:r>
        <w:rPr>
          <w:rFonts w:hint="eastAsia" w:asciiTheme="minorEastAsia" w:hAnsiTheme="minorEastAsia" w:eastAsiaTheme="minorEastAsia"/>
          <w:szCs w:val="21"/>
          <w:highlight w:val="none"/>
        </w:rPr>
        <w:t>提交投标文件的截止时间</w:t>
      </w:r>
      <w:r>
        <w:rPr>
          <w:rFonts w:hint="eastAsia" w:asciiTheme="minorEastAsia" w:hAnsiTheme="minorEastAsia" w:eastAsiaTheme="minorEastAsia"/>
          <w:bCs/>
          <w:szCs w:val="21"/>
          <w:highlight w:val="none"/>
        </w:rPr>
        <w:t>前提交投标保证金</w:t>
      </w:r>
      <w:r>
        <w:rPr>
          <w:rFonts w:hint="eastAsia" w:asciiTheme="minorEastAsia" w:hAnsiTheme="minorEastAsia" w:eastAsiaTheme="minorEastAsia"/>
          <w:szCs w:val="21"/>
          <w:highlight w:val="none"/>
        </w:rPr>
        <w:t>。</w:t>
      </w:r>
    </w:p>
    <w:p w14:paraId="513E634A">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18.2联合体投标的，可以由联合体中的一方或者共同提交投标保证金。以一方名义提交投标保证金的，对联合体各方均具有约束力。</w:t>
      </w:r>
    </w:p>
    <w:p w14:paraId="5B7BC1AC">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18.3投标保证金的退还按以下规定办理：</w:t>
      </w:r>
    </w:p>
    <w:p w14:paraId="1C53C3B4">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（1）中标投标人的投标保证金，将在政府采购合同签订后5个工作日内退还。</w:t>
      </w:r>
    </w:p>
    <w:p w14:paraId="35E57562">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（2）未中标的投标人的投标保证金，将在中标通知书发出后5个工作日内退还。</w:t>
      </w:r>
    </w:p>
    <w:p w14:paraId="2C39C0BD">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（3）终止招标的。对于已递交投标保证金的，采购代理机构在终止招标公告发布后5个工作日内退还。</w:t>
      </w:r>
    </w:p>
    <w:p w14:paraId="3F5A686E">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（4）在投标截止日前撤回投标的，对于已递交投标保证金的，采购代理机构在收到投标人书面撤回投标通知之日起5个工作日内退还。</w:t>
      </w:r>
    </w:p>
    <w:p w14:paraId="04D63E67">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18.4有以下情形之一的，投标保证金将不予退还，上交国库：</w:t>
      </w:r>
    </w:p>
    <w:p w14:paraId="25D210EC">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（1）投标人在招标文件中规定的投标有效期内撤销其投标；</w:t>
      </w:r>
    </w:p>
    <w:p w14:paraId="2EA0E8D0">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（2）中标人无正当理由不与招标人订立合同，在签订合同时向招标人提出附加条件，或者不按照招标文件要求提交履约保证金。</w:t>
      </w:r>
    </w:p>
    <w:p w14:paraId="2A511926">
      <w:pPr>
        <w:adjustRightInd w:val="0"/>
        <w:snapToGrid w:val="0"/>
        <w:spacing w:beforeLines="50" w:line="353" w:lineRule="auto"/>
        <w:jc w:val="left"/>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19.分包</w:t>
      </w:r>
    </w:p>
    <w:p w14:paraId="4909372C">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19.1投标人拟在中标后将中</w:t>
      </w:r>
      <w:r>
        <w:rPr>
          <w:rFonts w:hint="eastAsia" w:asciiTheme="minorEastAsia" w:hAnsiTheme="minorEastAsia" w:eastAsiaTheme="minorEastAsia"/>
          <w:szCs w:val="21"/>
          <w:highlight w:val="none"/>
        </w:rPr>
        <w:t>标项目的非主体、非关键性工作进行分包的，应符合</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szCs w:val="21"/>
          <w:highlight w:val="none"/>
        </w:rPr>
        <w:t>规定的分包内容、分包金</w:t>
      </w:r>
      <w:r>
        <w:rPr>
          <w:rFonts w:hint="eastAsia" w:asciiTheme="minorEastAsia" w:hAnsiTheme="minorEastAsia" w:eastAsiaTheme="minorEastAsia"/>
          <w:highlight w:val="none"/>
        </w:rPr>
        <w:t>额和资质要求等限制性条件，并在投标文件中载明分包承担主体，且分包承担主体不得再次分包。</w:t>
      </w:r>
    </w:p>
    <w:p w14:paraId="0F46265C">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19.2中标人应当就分包项目向采购人负责，分包承担主体就分包项目承担连带责任。</w:t>
      </w:r>
    </w:p>
    <w:p w14:paraId="4DA28B4A">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19.3不符合招标文件中有关分包规定的，其投标无效。</w:t>
      </w:r>
    </w:p>
    <w:p w14:paraId="3A2F10C7">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20. 电子投标文件的制作和签署</w:t>
      </w:r>
    </w:p>
    <w:p w14:paraId="35E456D4">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20.1投标人确认投标后，应当在郴州市公共资源交易政府采购电子化平台上认可的“投标文件制作工具软件下载”制作投标文件（含澄清、说明文件）并进行固化、加密；否则将可能影响电子投标文件的上传而导致投标无效。</w:t>
      </w:r>
    </w:p>
    <w:p w14:paraId="6FFB6366">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20.2投标人应按照电子招标文件格式及投标工具编制资格证明文件，不得将其编制上传到商务和技术文件中，否则，由于编制上传位置失误导致无法进行资格审查，由此所产生的后果和责任由投标人自行承担。</w:t>
      </w:r>
    </w:p>
    <w:p w14:paraId="7581FB3F">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20.3投标人应按照电子招标文件格式及投标工具编制商务、技术及综合评分表相关资料。必须按招标文件目录和节点对应位置上传或填写相应资料，否则，由于编制上传位置失误，系统将判断投标人未提交此项资料，由此造成的后果和责任由投标人自行承担。</w:t>
      </w:r>
    </w:p>
    <w:p w14:paraId="60D06607">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20.4投标人应注意压缩电子文件，上传的有关扫描的尺寸和清晰度应该能够在电脑上被阅读、识别和判断。若投标人未按要求提供证明材料或提供的是部分证明材料或提供不清晰的扫描件复印件，无法阅读、识别和判断的，由此可能导致的不予以计分、废标等后果由投标人自行承担。</w:t>
      </w:r>
    </w:p>
    <w:p w14:paraId="5393B232">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20.5投标人应在电子投标文件指定签章处采用郴州市公共资源交易中心交易平台认可的CA数字证书（含电子印章）进行签章。</w:t>
      </w:r>
    </w:p>
    <w:p w14:paraId="5EFC9CD0">
      <w:pPr>
        <w:adjustRightInd w:val="0"/>
        <w:snapToGrid w:val="0"/>
        <w:spacing w:beforeLines="50" w:line="353" w:lineRule="auto"/>
        <w:ind w:firstLine="420" w:firstLineChars="200"/>
        <w:jc w:val="left"/>
        <w:rPr>
          <w:highlight w:val="none"/>
        </w:rPr>
      </w:pPr>
      <w:r>
        <w:rPr>
          <w:rFonts w:hint="eastAsia" w:asciiTheme="minorEastAsia" w:hAnsiTheme="minorEastAsia" w:eastAsiaTheme="minorEastAsia"/>
          <w:szCs w:val="21"/>
          <w:highlight w:val="none"/>
        </w:rPr>
        <w:t>20.6电子投标文件具有法律效力，若投标文件与招标文件要求不一致，其内容影响中标结果时，责任由投标人自行承担。</w:t>
      </w:r>
    </w:p>
    <w:p w14:paraId="0F8D7AD3">
      <w:pPr>
        <w:pStyle w:val="4"/>
        <w:keepNext w:val="0"/>
        <w:keepLines w:val="0"/>
        <w:adjustRightInd w:val="0"/>
        <w:snapToGrid w:val="0"/>
        <w:spacing w:beforeLines="50" w:after="0" w:line="353" w:lineRule="auto"/>
        <w:jc w:val="center"/>
        <w:rPr>
          <w:rFonts w:ascii="黑体" w:hAnsi="黑体" w:eastAsia="黑体"/>
          <w:sz w:val="28"/>
          <w:szCs w:val="28"/>
          <w:highlight w:val="none"/>
        </w:rPr>
      </w:pPr>
      <w:bookmarkStart w:id="18" w:name="_Toc21697"/>
      <w:bookmarkStart w:id="19" w:name="_Toc16492"/>
      <w:r>
        <w:rPr>
          <w:rFonts w:hint="eastAsia" w:ascii="黑体" w:hAnsi="黑体" w:eastAsia="黑体"/>
          <w:sz w:val="28"/>
          <w:szCs w:val="28"/>
          <w:highlight w:val="none"/>
        </w:rPr>
        <w:t>四、投标</w:t>
      </w:r>
      <w:bookmarkEnd w:id="18"/>
      <w:bookmarkEnd w:id="19"/>
    </w:p>
    <w:p w14:paraId="0D215BAF">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sz w:val="24"/>
          <w:highlight w:val="none"/>
        </w:rPr>
        <w:t>21.</w:t>
      </w:r>
      <w:r>
        <w:rPr>
          <w:rFonts w:hint="eastAsia" w:asciiTheme="minorEastAsia" w:hAnsiTheme="minorEastAsia" w:eastAsiaTheme="minorEastAsia"/>
          <w:b/>
          <w:bCs/>
          <w:sz w:val="24"/>
          <w:highlight w:val="none"/>
        </w:rPr>
        <w:t xml:space="preserve"> 电子投标文件的加密和提交</w:t>
      </w:r>
    </w:p>
    <w:p w14:paraId="5CFA2C78">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21.1投标人应按照招标文件和交易平台的要求编制数据电文形式的投标文件并通过数字证书进行加密后，在招标文件【投标须知前附表】规定的开标时间前将电子投标文件上传到交易平台的对应项目。未按要求加密或逾期上传提交的投标文件，交易平台将无法接受，采购代理机构不予受理。</w:t>
      </w:r>
    </w:p>
    <w:p w14:paraId="6C81B33C">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21.2采购代理机构不接受投标截止时间后递交的纸质、电子、传真等所有形式的投标文件。</w:t>
      </w:r>
    </w:p>
    <w:p w14:paraId="7BF101E9">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21.3建议投标人于开标前一个工作日完成投标文件的制作与上传，系统将显示“上传成功”。如遇系统提示“上传未成功”，投标人应及时重新提交文件或与系统运维机构联系。由于投标人对电子投标操作不熟悉或自身电脑、网络等原因导致不能在投标截止时间之前上传提交投标文件的，由此造成的后果和责任由投标人自行承担。</w:t>
      </w:r>
    </w:p>
    <w:p w14:paraId="4DD42730">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22. 电子投标文件的修改和撤回</w:t>
      </w:r>
    </w:p>
    <w:p w14:paraId="3A1C215A">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22.1投标人在招标文件规定的投标截止时间前，可以撤回已上传的投标文件，也可以撤回并修改后再重新上传。</w:t>
      </w:r>
    </w:p>
    <w:p w14:paraId="71E21998">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22.2采购人、采购代理机构发布了修改、澄清文件的，投标人应按照修改、澄清后的招标文件要求重新编制投标文件并上传至交易平台。</w:t>
      </w:r>
    </w:p>
    <w:p w14:paraId="4271AC8E">
      <w:pPr>
        <w:adjustRightInd w:val="0"/>
        <w:snapToGrid w:val="0"/>
        <w:spacing w:beforeLines="50" w:line="353" w:lineRule="auto"/>
        <w:jc w:val="left"/>
        <w:rPr>
          <w:rFonts w:cs="Arial" w:asciiTheme="minorEastAsia" w:hAnsiTheme="minorEastAsia" w:eastAsiaTheme="minorEastAsia"/>
          <w:b/>
          <w:sz w:val="24"/>
          <w:highlight w:val="none"/>
        </w:rPr>
      </w:pPr>
      <w:r>
        <w:rPr>
          <w:rFonts w:hint="eastAsia" w:asciiTheme="minorEastAsia" w:hAnsiTheme="minorEastAsia" w:eastAsiaTheme="minorEastAsia"/>
          <w:b/>
          <w:bCs/>
          <w:sz w:val="24"/>
          <w:highlight w:val="none"/>
        </w:rPr>
        <w:t>23.</w:t>
      </w:r>
      <w:r>
        <w:rPr>
          <w:rFonts w:hint="eastAsia" w:cs="Arial" w:asciiTheme="minorEastAsia" w:hAnsiTheme="minorEastAsia" w:eastAsiaTheme="minorEastAsia"/>
          <w:b/>
          <w:sz w:val="24"/>
          <w:highlight w:val="none"/>
        </w:rPr>
        <w:t xml:space="preserve"> 串通</w:t>
      </w:r>
      <w:r>
        <w:rPr>
          <w:rFonts w:hint="eastAsia" w:asciiTheme="minorEastAsia" w:hAnsiTheme="minorEastAsia" w:eastAsiaTheme="minorEastAsia"/>
          <w:b/>
          <w:sz w:val="24"/>
          <w:highlight w:val="none"/>
        </w:rPr>
        <w:t>投标行为</w:t>
      </w:r>
    </w:p>
    <w:p w14:paraId="47AAA8AD">
      <w:pPr>
        <w:adjustRightInd w:val="0"/>
        <w:snapToGrid w:val="0"/>
        <w:spacing w:beforeLines="50" w:line="353" w:lineRule="auto"/>
        <w:ind w:firstLine="396" w:firstLineChars="200"/>
        <w:jc w:val="left"/>
        <w:rPr>
          <w:rFonts w:asciiTheme="minorEastAsia" w:hAnsiTheme="minorEastAsia" w:eastAsiaTheme="minorEastAsia"/>
          <w:spacing w:val="-6"/>
          <w:szCs w:val="21"/>
          <w:highlight w:val="none"/>
        </w:rPr>
      </w:pPr>
      <w:r>
        <w:rPr>
          <w:rFonts w:hint="eastAsia" w:asciiTheme="minorEastAsia" w:hAnsiTheme="minorEastAsia" w:eastAsiaTheme="minorEastAsia"/>
          <w:spacing w:val="-6"/>
          <w:szCs w:val="21"/>
          <w:highlight w:val="none"/>
        </w:rPr>
        <w:t>23.1有下列情形之一的，属于恶意串通，对投标人依照政府采购法第七十七条第一款的规定追究法律责任：</w:t>
      </w:r>
    </w:p>
    <w:p w14:paraId="0D6F0B67">
      <w:pPr>
        <w:adjustRightInd w:val="0"/>
        <w:snapToGrid w:val="0"/>
        <w:spacing w:beforeLines="50" w:line="353" w:lineRule="auto"/>
        <w:ind w:firstLine="396" w:firstLineChars="200"/>
        <w:jc w:val="left"/>
        <w:rPr>
          <w:rFonts w:asciiTheme="minorEastAsia" w:hAnsiTheme="minorEastAsia" w:eastAsiaTheme="minorEastAsia"/>
          <w:spacing w:val="-6"/>
          <w:szCs w:val="21"/>
          <w:highlight w:val="none"/>
        </w:rPr>
      </w:pPr>
      <w:r>
        <w:rPr>
          <w:rFonts w:hint="eastAsia" w:asciiTheme="minorEastAsia" w:hAnsiTheme="minorEastAsia" w:eastAsiaTheme="minorEastAsia"/>
          <w:spacing w:val="-6"/>
          <w:szCs w:val="21"/>
          <w:highlight w:val="none"/>
        </w:rPr>
        <w:t>（1）投标人直接或者间接从采购人或者采购代理机构处获得其他投标人的相关情况并修改其投标文件；</w:t>
      </w:r>
    </w:p>
    <w:p w14:paraId="168E2145">
      <w:pPr>
        <w:adjustRightInd w:val="0"/>
        <w:snapToGrid w:val="0"/>
        <w:spacing w:beforeLines="50" w:line="353" w:lineRule="auto"/>
        <w:ind w:firstLine="396" w:firstLineChars="200"/>
        <w:jc w:val="left"/>
        <w:rPr>
          <w:rFonts w:asciiTheme="minorEastAsia" w:hAnsiTheme="minorEastAsia" w:eastAsiaTheme="minorEastAsia"/>
          <w:spacing w:val="-6"/>
          <w:szCs w:val="21"/>
          <w:highlight w:val="none"/>
        </w:rPr>
      </w:pPr>
      <w:r>
        <w:rPr>
          <w:rFonts w:hint="eastAsia" w:asciiTheme="minorEastAsia" w:hAnsiTheme="minorEastAsia" w:eastAsiaTheme="minorEastAsia"/>
          <w:spacing w:val="-6"/>
          <w:szCs w:val="21"/>
          <w:highlight w:val="none"/>
        </w:rPr>
        <w:t>（2）投标人按照采购人或者采购代理机构的授意撤换、修改投标文件；</w:t>
      </w:r>
    </w:p>
    <w:p w14:paraId="731B31C7">
      <w:pPr>
        <w:adjustRightInd w:val="0"/>
        <w:snapToGrid w:val="0"/>
        <w:spacing w:beforeLines="50" w:line="353" w:lineRule="auto"/>
        <w:ind w:firstLine="396" w:firstLineChars="200"/>
        <w:jc w:val="left"/>
        <w:rPr>
          <w:rFonts w:asciiTheme="minorEastAsia" w:hAnsiTheme="minorEastAsia" w:eastAsiaTheme="minorEastAsia"/>
          <w:spacing w:val="-6"/>
          <w:szCs w:val="21"/>
          <w:highlight w:val="none"/>
        </w:rPr>
      </w:pPr>
      <w:r>
        <w:rPr>
          <w:rFonts w:hint="eastAsia" w:asciiTheme="minorEastAsia" w:hAnsiTheme="minorEastAsia" w:eastAsiaTheme="minorEastAsia"/>
          <w:spacing w:val="-6"/>
          <w:szCs w:val="21"/>
          <w:highlight w:val="none"/>
        </w:rPr>
        <w:t>（3）投标人之间协商报价、技术方案等投标文件的实质性内容；</w:t>
      </w:r>
    </w:p>
    <w:p w14:paraId="4EFCDD59">
      <w:pPr>
        <w:adjustRightInd w:val="0"/>
        <w:snapToGrid w:val="0"/>
        <w:spacing w:beforeLines="50" w:line="353" w:lineRule="auto"/>
        <w:ind w:firstLine="396" w:firstLineChars="200"/>
        <w:jc w:val="left"/>
        <w:rPr>
          <w:rFonts w:asciiTheme="minorEastAsia" w:hAnsiTheme="minorEastAsia" w:eastAsiaTheme="minorEastAsia"/>
          <w:spacing w:val="-6"/>
          <w:szCs w:val="21"/>
          <w:highlight w:val="none"/>
        </w:rPr>
      </w:pPr>
      <w:r>
        <w:rPr>
          <w:rFonts w:hint="eastAsia" w:asciiTheme="minorEastAsia" w:hAnsiTheme="minorEastAsia" w:eastAsiaTheme="minorEastAsia"/>
          <w:spacing w:val="-6"/>
          <w:szCs w:val="21"/>
          <w:highlight w:val="none"/>
        </w:rPr>
        <w:t>（4）属于同一集团、协会、商会等组织成员的投标人按照该组织要求协同参加政府采购活动；</w:t>
      </w:r>
    </w:p>
    <w:p w14:paraId="4E2C7EA5">
      <w:pPr>
        <w:adjustRightInd w:val="0"/>
        <w:snapToGrid w:val="0"/>
        <w:spacing w:beforeLines="50" w:line="353" w:lineRule="auto"/>
        <w:ind w:firstLine="396" w:firstLineChars="200"/>
        <w:jc w:val="left"/>
        <w:rPr>
          <w:rFonts w:asciiTheme="minorEastAsia" w:hAnsiTheme="minorEastAsia" w:eastAsiaTheme="minorEastAsia"/>
          <w:spacing w:val="-6"/>
          <w:szCs w:val="21"/>
          <w:highlight w:val="none"/>
        </w:rPr>
      </w:pPr>
      <w:r>
        <w:rPr>
          <w:rFonts w:hint="eastAsia" w:asciiTheme="minorEastAsia" w:hAnsiTheme="minorEastAsia" w:eastAsiaTheme="minorEastAsia"/>
          <w:spacing w:val="-6"/>
          <w:szCs w:val="21"/>
          <w:highlight w:val="none"/>
        </w:rPr>
        <w:t>（5）投标人之间事先约定由某一特定投标人中标；</w:t>
      </w:r>
    </w:p>
    <w:p w14:paraId="1D2BE33A">
      <w:pPr>
        <w:adjustRightInd w:val="0"/>
        <w:snapToGrid w:val="0"/>
        <w:spacing w:beforeLines="50" w:line="353" w:lineRule="auto"/>
        <w:ind w:firstLine="396" w:firstLineChars="200"/>
        <w:jc w:val="left"/>
        <w:rPr>
          <w:rFonts w:asciiTheme="minorEastAsia" w:hAnsiTheme="minorEastAsia" w:eastAsiaTheme="minorEastAsia"/>
          <w:spacing w:val="-6"/>
          <w:szCs w:val="21"/>
          <w:highlight w:val="none"/>
        </w:rPr>
      </w:pPr>
      <w:r>
        <w:rPr>
          <w:rFonts w:hint="eastAsia" w:asciiTheme="minorEastAsia" w:hAnsiTheme="minorEastAsia" w:eastAsiaTheme="minorEastAsia"/>
          <w:spacing w:val="-6"/>
          <w:szCs w:val="21"/>
          <w:highlight w:val="none"/>
        </w:rPr>
        <w:t>（6）投标人之间商定部分投标人放弃参加政府采购活动或者放弃中标；</w:t>
      </w:r>
    </w:p>
    <w:p w14:paraId="75FB16F6">
      <w:pPr>
        <w:adjustRightInd w:val="0"/>
        <w:snapToGrid w:val="0"/>
        <w:spacing w:beforeLines="50" w:line="353" w:lineRule="auto"/>
        <w:ind w:firstLine="396" w:firstLineChars="200"/>
        <w:jc w:val="left"/>
        <w:rPr>
          <w:rFonts w:asciiTheme="minorEastAsia" w:hAnsiTheme="minorEastAsia" w:eastAsiaTheme="minorEastAsia"/>
          <w:spacing w:val="-6"/>
          <w:szCs w:val="21"/>
          <w:highlight w:val="none"/>
        </w:rPr>
      </w:pPr>
      <w:r>
        <w:rPr>
          <w:rFonts w:hint="eastAsia" w:asciiTheme="minorEastAsia" w:hAnsiTheme="minorEastAsia" w:eastAsiaTheme="minorEastAsia"/>
          <w:spacing w:val="-6"/>
          <w:szCs w:val="21"/>
          <w:highlight w:val="none"/>
        </w:rPr>
        <w:t>（7）投标人与采购人或者采购代理机构之间、投标人相互之间，为谋求特定投标人中标或者排斥其他投标人的其他串通行为。</w:t>
      </w:r>
    </w:p>
    <w:p w14:paraId="51C97F18">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23.2有下列情形之一的，视为投标人串通投标，其投标无效：</w:t>
      </w:r>
    </w:p>
    <w:p w14:paraId="6DE6B3B5">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（1）不同投标人的投标文件由同一单位或者个人编制；</w:t>
      </w:r>
    </w:p>
    <w:p w14:paraId="620F1354">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（2）不同投标人委托同一单位或者个人办理投标事宜；</w:t>
      </w:r>
    </w:p>
    <w:p w14:paraId="006C2575">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（3）不同投标人的投标文件载明的项目管理成员或者联系人员为同一人；</w:t>
      </w:r>
    </w:p>
    <w:p w14:paraId="51A6160A">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（4）不同投标人的投标文件异常一致或者投标报价呈规律性差异；</w:t>
      </w:r>
    </w:p>
    <w:p w14:paraId="77E0375A">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（5）不同投标人的投标文件相互混装；</w:t>
      </w:r>
    </w:p>
    <w:p w14:paraId="4C165004">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（6）不同投标人的投标保证金从同一单位或者个人的账户转出。</w:t>
      </w:r>
    </w:p>
    <w:p w14:paraId="0DE66324">
      <w:pPr>
        <w:pStyle w:val="4"/>
        <w:adjustRightInd w:val="0"/>
        <w:snapToGrid w:val="0"/>
        <w:spacing w:beforeLines="50" w:after="0" w:line="353" w:lineRule="auto"/>
        <w:jc w:val="center"/>
        <w:rPr>
          <w:rFonts w:ascii="黑体" w:hAnsi="黑体" w:eastAsia="黑体"/>
          <w:sz w:val="28"/>
          <w:szCs w:val="28"/>
          <w:highlight w:val="none"/>
        </w:rPr>
      </w:pPr>
      <w:bookmarkStart w:id="20" w:name="_Toc3950"/>
      <w:bookmarkStart w:id="21" w:name="_Toc6457"/>
      <w:r>
        <w:rPr>
          <w:rFonts w:hint="eastAsia" w:ascii="黑体" w:hAnsi="黑体" w:eastAsia="黑体"/>
          <w:sz w:val="28"/>
          <w:szCs w:val="28"/>
          <w:highlight w:val="none"/>
        </w:rPr>
        <w:t>五、开标，资格审查和评标</w:t>
      </w:r>
      <w:bookmarkEnd w:id="20"/>
      <w:bookmarkEnd w:id="21"/>
    </w:p>
    <w:p w14:paraId="2FAEC147">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24. 开标</w:t>
      </w:r>
    </w:p>
    <w:p w14:paraId="3D05DE27">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24.1开标时，出现下列情形之一的，采购代理机构不予受理：</w:t>
      </w:r>
    </w:p>
    <w:p w14:paraId="14AD1552">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（1）经检查数字证书无效的电子投标文件；</w:t>
      </w:r>
    </w:p>
    <w:p w14:paraId="7410019C">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（2）电子投标文件未按照招标文件的要求进行加密的；</w:t>
      </w:r>
    </w:p>
    <w:p w14:paraId="3CD7B4EA">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（3）电子投标文件未按招标文件要求上传至交易平台的；</w:t>
      </w:r>
    </w:p>
    <w:p w14:paraId="1F00A47F">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（4）投标人未按照【投标须知前附表】规定的方式及时间解密电子投标文件的；</w:t>
      </w:r>
    </w:p>
    <w:p w14:paraId="5BAD3C22">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（5）其它违反法律、法规的情形。</w:t>
      </w:r>
    </w:p>
    <w:p w14:paraId="5FA4C49B">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24.2采购人或者采购代理机构应按招标文件规定的时间、地点在交易平台上组织公开开标，并邀请投标人参加。</w:t>
      </w:r>
    </w:p>
    <w:p w14:paraId="08759D0F">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24.3投标人在开标时间前提前登录网上开标系统，通过网上开标系统参加开标会。</w:t>
      </w:r>
    </w:p>
    <w:p w14:paraId="627A9AEA">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24.4开标程序。采购代理机构在投标截止时间后，按下列程序进行开标：</w:t>
      </w:r>
    </w:p>
    <w:p w14:paraId="52FE8508">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（1）宣读。投标截止时间，采购代理机构登根据系统显示宣布报名的投标人数量和上传了投标文件的投标人数量。</w:t>
      </w:r>
    </w:p>
    <w:p w14:paraId="63E996E1">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解密。采购代理机构在系统发出解密指令。投标人根据系统发出投标文件解密指令提示后在规定时间内使用加密投标文件的CA数字证书进行投标文件解密。解密时限见第二章第一节《投标须知前附表》，投标文件在解密时限内解密成功的为有效投标人，未解密或解密失败，视为撤销其投标文件，开标继续进行。当解密成功的投标人不足3家时，开标不再继续。</w:t>
      </w:r>
    </w:p>
    <w:p w14:paraId="5BAE2574">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（3）唱标。以投标人《开标一览表》为准，由系统在线公布投标人名单、开标关键数据和投标保证金到账情况。电子交易系统在线即时生成《开标记录表》，所有解密成功的投标人可以在线即时查看、下载。</w:t>
      </w:r>
    </w:p>
    <w:p w14:paraId="5AC8B597">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（4）确认。投标人法定代表人或授权代表应在规定的时间内通过电子交易系统在《开标记录表》上进行确认。投标人未在规定的时间进行确认的，视同认可开标结果。</w:t>
      </w:r>
    </w:p>
    <w:p w14:paraId="2F98F248">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24.5投标人代表对开标过程和开标记录有疑义，以及认为采购人或者采购代理机构相关工作人员有《政府采购法实施条例》第九条第一款需要回避的情形的，应当场提出询问或者回避申请。</w:t>
      </w:r>
    </w:p>
    <w:p w14:paraId="45BFECB4">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24.6采购人或者采购代理机构对投标人代表当场提出的询问或者回避申请，按《政府采购法实施条例》有关规定及时处理。</w:t>
      </w:r>
    </w:p>
    <w:p w14:paraId="41EF677F">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24.7开标时，出现下列情形之一的，视为投标人撤销其投标。</w:t>
      </w:r>
    </w:p>
    <w:p w14:paraId="67A4479E">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（1）投标人未按要求配置开标所需的软硬件设备，导致解密失败的；</w:t>
      </w:r>
    </w:p>
    <w:p w14:paraId="22C61FA7">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（2）投标人电脑故障或无法上网，导致解密失败的；</w:t>
      </w:r>
    </w:p>
    <w:p w14:paraId="59A9BF67">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（3）投标人电子CA证书发生故障、失效、错误等，导致解密失败的；</w:t>
      </w:r>
    </w:p>
    <w:p w14:paraId="74AFFB04">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（4）解密时间超过规定时限的；</w:t>
      </w:r>
    </w:p>
    <w:p w14:paraId="7FD3DE0E">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（5）其他由于投标人自身原因导致解密失效的情形。</w:t>
      </w:r>
    </w:p>
    <w:p w14:paraId="72B06F88">
      <w:pPr>
        <w:adjustRightInd w:val="0"/>
        <w:snapToGrid w:val="0"/>
        <w:spacing w:beforeLines="50" w:line="353" w:lineRule="auto"/>
        <w:jc w:val="left"/>
        <w:rPr>
          <w:rFonts w:asciiTheme="minorEastAsia" w:hAnsiTheme="minorEastAsia" w:eastAsiaTheme="minorEastAsia"/>
          <w:b/>
          <w:sz w:val="24"/>
          <w:highlight w:val="none"/>
        </w:rPr>
      </w:pPr>
      <w:r>
        <w:rPr>
          <w:rStyle w:val="48"/>
          <w:rFonts w:hint="eastAsia" w:cs="Arial" w:asciiTheme="minorEastAsia" w:hAnsiTheme="minorEastAsia" w:eastAsiaTheme="minorEastAsia"/>
          <w:sz w:val="24"/>
          <w:highlight w:val="none"/>
        </w:rPr>
        <w:t>25.</w:t>
      </w:r>
      <w:r>
        <w:rPr>
          <w:rFonts w:hint="eastAsia" w:asciiTheme="minorEastAsia" w:hAnsiTheme="minorEastAsia" w:eastAsiaTheme="minorEastAsia"/>
          <w:b/>
          <w:sz w:val="24"/>
          <w:highlight w:val="none"/>
        </w:rPr>
        <w:t xml:space="preserve"> 资格审查</w:t>
      </w:r>
    </w:p>
    <w:p w14:paraId="2B1B013A">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25.1开标结束后，采购人或者采购代理机构依法按照第三章资格审查规定组织资格审查。</w:t>
      </w:r>
    </w:p>
    <w:p w14:paraId="0B3178C6">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25.2资格审查结束后，采购人及采购代理机构应将资格审查结果告知评标委员会。资格审查不合格投标人不得进入评标；资格审查合格投标人少于3家的，不得评标。</w:t>
      </w:r>
    </w:p>
    <w:p w14:paraId="70A02FCA">
      <w:pPr>
        <w:adjustRightInd w:val="0"/>
        <w:snapToGrid w:val="0"/>
        <w:spacing w:beforeLines="50" w:line="353" w:lineRule="auto"/>
        <w:jc w:val="left"/>
        <w:rPr>
          <w:rFonts w:asciiTheme="minorEastAsia" w:hAnsiTheme="minorEastAsia" w:eastAsiaTheme="minorEastAsia"/>
          <w:b/>
          <w:sz w:val="24"/>
          <w:highlight w:val="none"/>
        </w:rPr>
      </w:pPr>
      <w:r>
        <w:rPr>
          <w:rFonts w:hint="eastAsia" w:asciiTheme="minorEastAsia" w:hAnsiTheme="minorEastAsia" w:eastAsiaTheme="minorEastAsia"/>
          <w:b/>
          <w:bCs/>
          <w:sz w:val="24"/>
          <w:highlight w:val="none"/>
        </w:rPr>
        <w:t>26.</w:t>
      </w:r>
      <w:r>
        <w:rPr>
          <w:rFonts w:hint="eastAsia" w:asciiTheme="minorEastAsia" w:hAnsiTheme="minorEastAsia" w:eastAsiaTheme="minorEastAsia"/>
          <w:b/>
          <w:sz w:val="24"/>
          <w:highlight w:val="none"/>
        </w:rPr>
        <w:t xml:space="preserve"> 评标委员会</w:t>
      </w:r>
    </w:p>
    <w:p w14:paraId="67714298">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26.1评标由依法组建的评标委员会负责，评标委员会由采购人代表和评审专家组成。</w:t>
      </w:r>
    </w:p>
    <w:p w14:paraId="5E62AB7B">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26.2评标委员会成员有下列情形之一的，应当回避：</w:t>
      </w:r>
    </w:p>
    <w:p w14:paraId="51F3E795">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（1）参加采购活动前三年内,与投标人存在劳动关系,或者担任过投标人的董事、监事,或者是投标人的控股股东或实际控制人；</w:t>
      </w:r>
    </w:p>
    <w:p w14:paraId="2EF49573">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（2）与投标人的法定代表人或者负责人有夫妻、直系血亲、三代以内旁系血亲或者近姻亲关系；</w:t>
      </w:r>
    </w:p>
    <w:p w14:paraId="5C46CBB4">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（3）与投标人有其他可能影响政府采购活动公平、公正进行的关系。</w:t>
      </w:r>
    </w:p>
    <w:p w14:paraId="44AF69DC">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26.3评标委员会负责具体评标事务，并独立履行下列职责：</w:t>
      </w:r>
    </w:p>
    <w:p w14:paraId="0B7057E2">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（1）审查、评价投标文件是否符合招标文件的商务、技术等实质性要求；</w:t>
      </w:r>
    </w:p>
    <w:p w14:paraId="78F34ED9">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（2）要求投标人对投标文件有关事项作出澄清或者说明；</w:t>
      </w:r>
    </w:p>
    <w:p w14:paraId="1CA44AEE">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（3）对投标文件进行比较和评价；</w:t>
      </w:r>
    </w:p>
    <w:p w14:paraId="5FFA76C0">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（4）确定中标候选人名单，以及根据采购人委托直接确定中标人。</w:t>
      </w:r>
    </w:p>
    <w:p w14:paraId="11EFA069">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sz w:val="24"/>
          <w:highlight w:val="none"/>
        </w:rPr>
        <w:t>27.</w:t>
      </w:r>
      <w:r>
        <w:rPr>
          <w:rFonts w:hint="eastAsia" w:asciiTheme="minorEastAsia" w:hAnsiTheme="minorEastAsia" w:eastAsiaTheme="minorEastAsia"/>
          <w:b/>
          <w:bCs/>
          <w:sz w:val="24"/>
          <w:highlight w:val="none"/>
        </w:rPr>
        <w:t xml:space="preserve"> 评标</w:t>
      </w:r>
    </w:p>
    <w:p w14:paraId="1444FC92">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27.1评标委员会按照</w:t>
      </w:r>
      <w:r>
        <w:rPr>
          <w:rFonts w:hint="eastAsia" w:asciiTheme="minorEastAsia" w:hAnsiTheme="minorEastAsia" w:eastAsiaTheme="minorEastAsia"/>
          <w:bCs/>
          <w:highlight w:val="none"/>
        </w:rPr>
        <w:t>第四章评标方法及标准</w:t>
      </w:r>
      <w:r>
        <w:rPr>
          <w:rFonts w:hint="eastAsia" w:asciiTheme="minorEastAsia" w:hAnsiTheme="minorEastAsia" w:eastAsiaTheme="minorEastAsia"/>
          <w:highlight w:val="none"/>
        </w:rPr>
        <w:t>规定的评标方法、评审因素、标准和程序以及有关法律、法规及规章对投标文件进行评审。</w:t>
      </w:r>
    </w:p>
    <w:p w14:paraId="11AF68F7">
      <w:pPr>
        <w:pStyle w:val="4"/>
        <w:adjustRightInd w:val="0"/>
        <w:snapToGrid w:val="0"/>
        <w:spacing w:beforeLines="50" w:after="0" w:line="353" w:lineRule="auto"/>
        <w:jc w:val="center"/>
        <w:rPr>
          <w:rFonts w:ascii="黑体" w:hAnsi="黑体" w:eastAsia="黑体"/>
          <w:sz w:val="28"/>
          <w:szCs w:val="28"/>
          <w:highlight w:val="none"/>
        </w:rPr>
      </w:pPr>
      <w:bookmarkStart w:id="22" w:name="_Toc6492"/>
      <w:bookmarkStart w:id="23" w:name="_Toc6584"/>
      <w:r>
        <w:rPr>
          <w:rFonts w:hint="eastAsia" w:ascii="黑体" w:hAnsi="黑体" w:eastAsia="黑体"/>
          <w:sz w:val="28"/>
          <w:szCs w:val="28"/>
          <w:highlight w:val="none"/>
        </w:rPr>
        <w:t>六、中标信息公布</w:t>
      </w:r>
      <w:bookmarkEnd w:id="22"/>
      <w:bookmarkEnd w:id="23"/>
    </w:p>
    <w:p w14:paraId="7AFC74A9">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sz w:val="24"/>
          <w:highlight w:val="none"/>
        </w:rPr>
        <w:t>28.</w:t>
      </w:r>
      <w:r>
        <w:rPr>
          <w:rFonts w:hint="eastAsia" w:asciiTheme="minorEastAsia" w:hAnsiTheme="minorEastAsia" w:eastAsiaTheme="minorEastAsia"/>
          <w:b/>
          <w:bCs/>
          <w:sz w:val="24"/>
          <w:highlight w:val="none"/>
        </w:rPr>
        <w:t>中标通知书与中标信息公布</w:t>
      </w:r>
    </w:p>
    <w:p w14:paraId="361E0579">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28.1采购代理机构应当在评标结束后2个工作日内将资格审查情况报告和评标报告送采购人。</w:t>
      </w:r>
    </w:p>
    <w:p w14:paraId="6B5EBD4E">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28.2</w:t>
      </w:r>
      <w:r>
        <w:rPr>
          <w:highlight w:val="none"/>
        </w:rPr>
        <w:t>采购人应当自收到评标报告之日起</w:t>
      </w:r>
      <w:r>
        <w:rPr>
          <w:rFonts w:ascii="宋体" w:hAnsi="宋体" w:cs="宋体"/>
          <w:highlight w:val="none"/>
        </w:rPr>
        <w:t>5</w:t>
      </w:r>
      <w:r>
        <w:rPr>
          <w:spacing w:val="-3"/>
          <w:highlight w:val="none"/>
        </w:rPr>
        <w:t xml:space="preserve">个工作日内，在评标报告确定的中标候选人名单中 </w:t>
      </w:r>
      <w:r>
        <w:rPr>
          <w:spacing w:val="-1"/>
          <w:highlight w:val="none"/>
        </w:rPr>
        <w:t>按顺序确定中标人。中标候选人并列的，按照</w:t>
      </w:r>
      <w:r>
        <w:rPr>
          <w:rFonts w:ascii="Microsoft JhengHei" w:hAnsi="Microsoft JhengHei" w:eastAsia="Microsoft JhengHei" w:cs="Microsoft JhengHei"/>
          <w:b/>
          <w:bCs/>
          <w:spacing w:val="-1"/>
          <w:highlight w:val="none"/>
        </w:rPr>
        <w:t>【投标须知前附表】</w:t>
      </w:r>
      <w:r>
        <w:rPr>
          <w:spacing w:val="-1"/>
          <w:highlight w:val="none"/>
        </w:rPr>
        <w:t>规定的方式确定中标人；招标</w:t>
      </w:r>
      <w:r>
        <w:rPr>
          <w:highlight w:val="none"/>
        </w:rPr>
        <w:t>文件未规定的，采取随机抽取的方式确定。</w:t>
      </w:r>
    </w:p>
    <w:p w14:paraId="3A3B7BD2">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28.3采购代理机构应当自采购人确定中标供应商之日起2个工作日内，发出中标通知书，并在本章第10.1款规定的媒体公告中标结果，招标文件随中标结果同时公告，中标结果公告期限为1个工作日。</w:t>
      </w:r>
    </w:p>
    <w:p w14:paraId="01444446">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29.</w:t>
      </w:r>
      <w:r>
        <w:rPr>
          <w:rFonts w:hint="eastAsia" w:asciiTheme="minorEastAsia" w:hAnsiTheme="minorEastAsia" w:eastAsiaTheme="minorEastAsia"/>
          <w:b/>
          <w:sz w:val="24"/>
          <w:highlight w:val="none"/>
        </w:rPr>
        <w:t xml:space="preserve"> 投标人询问及</w:t>
      </w:r>
      <w:r>
        <w:rPr>
          <w:rFonts w:hint="eastAsia" w:asciiTheme="minorEastAsia" w:hAnsiTheme="minorEastAsia" w:eastAsiaTheme="minorEastAsia"/>
          <w:b/>
          <w:bCs/>
          <w:sz w:val="24"/>
          <w:highlight w:val="none"/>
        </w:rPr>
        <w:t>质疑</w:t>
      </w:r>
    </w:p>
    <w:p w14:paraId="30327B92">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29.1投标人对政府采购活动事项有疑问的，可以向采购人或者采购代理机构提出询问。采购人或者采购代理机构应在3个工作日内作出答复。</w:t>
      </w:r>
    </w:p>
    <w:p w14:paraId="4C6AB1B9">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29.2投标人认为招标文件、采购过程和中标结果使自己的权益受到损害的，可以在知道或者应知其权益受到损害之日起 7 个工作日内，按照《湖南省财政厅关于印发＜政府采购质疑答复和 投诉处理操作规程＞的通知》(</w:t>
      </w:r>
      <w:r>
        <w:rPr>
          <w:rFonts w:hint="eastAsia" w:asciiTheme="minorEastAsia" w:hAnsiTheme="minorEastAsia" w:eastAsiaTheme="minorEastAsia"/>
          <w:szCs w:val="21"/>
          <w:highlight w:val="none"/>
          <w:lang w:eastAsia="zh-CN"/>
        </w:rPr>
        <w:t>湘财购〔2024〕67号</w:t>
      </w:r>
      <w:r>
        <w:rPr>
          <w:rFonts w:hint="eastAsia" w:asciiTheme="minorEastAsia" w:hAnsiTheme="minorEastAsia" w:eastAsiaTheme="minorEastAsia"/>
          <w:szCs w:val="21"/>
          <w:highlight w:val="none"/>
        </w:rPr>
        <w:t>)规定，以纸质书面形式向采购人、采购代理 机构提出质疑。</w:t>
      </w:r>
    </w:p>
    <w:p w14:paraId="1ADD6E98">
      <w:pPr>
        <w:adjustRightInd w:val="0"/>
        <w:snapToGrid w:val="0"/>
        <w:spacing w:beforeLines="50" w:line="353" w:lineRule="auto"/>
        <w:ind w:firstLine="420" w:firstLineChars="200"/>
        <w:jc w:val="left"/>
        <w:rPr>
          <w:highlight w:val="none"/>
        </w:rPr>
      </w:pPr>
      <w:r>
        <w:rPr>
          <w:rFonts w:ascii="宋体" w:hAnsi="宋体" w:cs="宋体"/>
          <w:highlight w:val="none"/>
        </w:rPr>
        <w:t>2</w:t>
      </w:r>
      <w:r>
        <w:rPr>
          <w:rFonts w:hint="eastAsia" w:ascii="宋体" w:hAnsi="宋体" w:cs="宋体"/>
          <w:highlight w:val="none"/>
        </w:rPr>
        <w:t>9</w:t>
      </w:r>
      <w:r>
        <w:rPr>
          <w:rFonts w:ascii="宋体" w:hAnsi="宋体" w:cs="宋体"/>
          <w:highlight w:val="none"/>
        </w:rPr>
        <w:t>.3</w:t>
      </w:r>
      <w:r>
        <w:rPr>
          <w:spacing w:val="-2"/>
          <w:highlight w:val="none"/>
        </w:rPr>
        <w:t>投标人提出质疑的，应按照《湖南省财政厅关于印发＜政府采购质疑答复和投诉处理操作规程＞的通知》规定制作、签署、送达。采购人、采购代理机构接收质疑函的联系部门、联系</w:t>
      </w:r>
      <w:r>
        <w:rPr>
          <w:highlight w:val="none"/>
        </w:rPr>
        <w:t xml:space="preserve"> 电话和通讯地址见</w:t>
      </w:r>
      <w:r>
        <w:rPr>
          <w:rFonts w:ascii="Microsoft JhengHei" w:hAnsi="Microsoft JhengHei" w:eastAsia="Microsoft JhengHei" w:cs="Microsoft JhengHei"/>
          <w:b/>
          <w:bCs/>
          <w:highlight w:val="none"/>
        </w:rPr>
        <w:t>【申请人须知前附表】</w:t>
      </w:r>
      <w:r>
        <w:rPr>
          <w:highlight w:val="none"/>
        </w:rPr>
        <w:t>。</w:t>
      </w:r>
    </w:p>
    <w:p w14:paraId="1381490E">
      <w:pPr>
        <w:adjustRightInd w:val="0"/>
        <w:snapToGrid w:val="0"/>
        <w:spacing w:beforeLines="50" w:line="353" w:lineRule="auto"/>
        <w:ind w:firstLine="420" w:firstLineChars="200"/>
        <w:jc w:val="left"/>
        <w:rPr>
          <w:rFonts w:ascii="宋体" w:hAnsi="宋体" w:cs="宋体"/>
          <w:highlight w:val="none"/>
        </w:rPr>
      </w:pPr>
      <w:r>
        <w:rPr>
          <w:rFonts w:ascii="宋体" w:hAnsi="宋体" w:cs="宋体"/>
          <w:highlight w:val="none"/>
        </w:rPr>
        <w:t>2</w:t>
      </w:r>
      <w:r>
        <w:rPr>
          <w:rFonts w:hint="eastAsia" w:ascii="宋体" w:hAnsi="宋体" w:cs="宋体"/>
          <w:highlight w:val="none"/>
        </w:rPr>
        <w:t>9</w:t>
      </w:r>
      <w:r>
        <w:rPr>
          <w:rFonts w:ascii="宋体" w:hAnsi="宋体" w:cs="宋体"/>
          <w:highlight w:val="none"/>
        </w:rPr>
        <w:t xml:space="preserve">.4 </w:t>
      </w:r>
      <w:r>
        <w:rPr>
          <w:spacing w:val="-2"/>
          <w:highlight w:val="none"/>
        </w:rPr>
        <w:t>采购人、采购代理机构按照《湖南省财政厅关于印发＜政府采购质疑答复和投诉处理操</w:t>
      </w:r>
      <w:r>
        <w:rPr>
          <w:highlight w:val="none"/>
        </w:rPr>
        <w:t xml:space="preserve"> 作规程＞的通知》规定进行质疑答复。</w:t>
      </w:r>
    </w:p>
    <w:p w14:paraId="0660E473">
      <w:pPr>
        <w:adjustRightInd w:val="0"/>
        <w:snapToGrid w:val="0"/>
        <w:spacing w:beforeLines="50" w:line="353" w:lineRule="auto"/>
        <w:ind w:firstLine="420" w:firstLineChars="200"/>
        <w:jc w:val="left"/>
        <w:rPr>
          <w:rFonts w:asciiTheme="minorEastAsia" w:hAnsiTheme="minorEastAsia" w:eastAsiaTheme="minorEastAsia"/>
          <w:b/>
          <w:bCs/>
          <w:highlight w:val="none"/>
        </w:rPr>
      </w:pPr>
      <w:r>
        <w:rPr>
          <w:rFonts w:ascii="宋体" w:hAnsi="宋体" w:cs="宋体"/>
          <w:highlight w:val="none"/>
        </w:rPr>
        <w:t>2</w:t>
      </w:r>
      <w:r>
        <w:rPr>
          <w:rFonts w:hint="eastAsia" w:ascii="宋体" w:hAnsi="宋体" w:cs="宋体"/>
          <w:highlight w:val="none"/>
        </w:rPr>
        <w:t>9</w:t>
      </w:r>
      <w:r>
        <w:rPr>
          <w:rFonts w:ascii="宋体" w:hAnsi="宋体" w:cs="宋体"/>
          <w:highlight w:val="none"/>
        </w:rPr>
        <w:t>.5</w:t>
      </w:r>
      <w:r>
        <w:rPr>
          <w:spacing w:val="-2"/>
          <w:highlight w:val="none"/>
        </w:rPr>
        <w:t>投标人对采购人、采购代理机构的答复不满意，或采购人或采购代理机构未在规定的期</w:t>
      </w:r>
      <w:r>
        <w:rPr>
          <w:spacing w:val="-3"/>
          <w:highlight w:val="none"/>
        </w:rPr>
        <w:t xml:space="preserve">限作出答复的，可在答复期满后 </w:t>
      </w:r>
      <w:r>
        <w:rPr>
          <w:rFonts w:ascii="宋体" w:hAnsi="宋体" w:cs="宋体"/>
          <w:spacing w:val="-3"/>
          <w:highlight w:val="none"/>
        </w:rPr>
        <w:t>15</w:t>
      </w:r>
      <w:r>
        <w:rPr>
          <w:spacing w:val="-4"/>
          <w:highlight w:val="none"/>
        </w:rPr>
        <w:t>个工作日内，按照《湖南省财政厅关于印发＜政府采购质疑答</w:t>
      </w:r>
      <w:r>
        <w:rPr>
          <w:highlight w:val="none"/>
        </w:rPr>
        <w:t>复和投诉处理操作规程＞的通知》规定向采购人同级财政部门提出投诉。</w:t>
      </w:r>
    </w:p>
    <w:p w14:paraId="4092098A">
      <w:pPr>
        <w:pStyle w:val="4"/>
        <w:adjustRightInd w:val="0"/>
        <w:snapToGrid w:val="0"/>
        <w:spacing w:beforeLines="50" w:after="0" w:line="353" w:lineRule="auto"/>
        <w:jc w:val="center"/>
        <w:rPr>
          <w:rFonts w:ascii="黑体" w:hAnsi="黑体" w:eastAsia="黑体"/>
          <w:sz w:val="28"/>
          <w:szCs w:val="28"/>
          <w:highlight w:val="none"/>
        </w:rPr>
      </w:pPr>
      <w:bookmarkStart w:id="24" w:name="_Toc19907"/>
      <w:bookmarkStart w:id="25" w:name="_Toc11738"/>
      <w:r>
        <w:rPr>
          <w:rFonts w:hint="eastAsia" w:ascii="黑体" w:hAnsi="黑体" w:eastAsia="黑体"/>
          <w:sz w:val="28"/>
          <w:szCs w:val="28"/>
          <w:highlight w:val="none"/>
        </w:rPr>
        <w:t>七、合同签订</w:t>
      </w:r>
      <w:bookmarkEnd w:id="24"/>
      <w:bookmarkEnd w:id="25"/>
    </w:p>
    <w:p w14:paraId="4B927D51">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30. 签订合同</w:t>
      </w:r>
    </w:p>
    <w:p w14:paraId="6A99F089">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30.1采购人应自中标通知书发出之日起30日内，按中标通知书指定的时间、地点与中标人签订政府采购合同。所签订的合同不得对招标文件和投标文件作实质性修改。</w:t>
      </w:r>
    </w:p>
    <w:p w14:paraId="40A0B4B7">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30.2招标文件、中标人的投标文件均为签订合同的依据。</w:t>
      </w:r>
    </w:p>
    <w:p w14:paraId="5CBEE660">
      <w:pPr>
        <w:adjustRightInd w:val="0"/>
        <w:snapToGrid w:val="0"/>
        <w:spacing w:beforeLines="50" w:line="353" w:lineRule="auto"/>
        <w:ind w:firstLine="420" w:firstLineChars="200"/>
        <w:jc w:val="left"/>
        <w:rPr>
          <w:rFonts w:cs="微软雅黑" w:asciiTheme="minorEastAsia" w:hAnsiTheme="minorEastAsia" w:eastAsiaTheme="minorEastAsia"/>
          <w:kern w:val="0"/>
          <w:szCs w:val="21"/>
          <w:highlight w:val="none"/>
        </w:rPr>
      </w:pPr>
      <w:r>
        <w:rPr>
          <w:rFonts w:hint="eastAsia" w:cs="微软雅黑" w:asciiTheme="minorEastAsia" w:hAnsiTheme="minorEastAsia" w:eastAsiaTheme="minorEastAsia"/>
          <w:kern w:val="0"/>
          <w:szCs w:val="21"/>
          <w:highlight w:val="none"/>
        </w:rPr>
        <w:t>30.3联</w:t>
      </w:r>
      <w:r>
        <w:rPr>
          <w:rFonts w:hint="eastAsia" w:cs="微软雅黑" w:asciiTheme="minorEastAsia" w:hAnsiTheme="minorEastAsia" w:eastAsiaTheme="minorEastAsia"/>
          <w:spacing w:val="-2"/>
          <w:kern w:val="0"/>
          <w:szCs w:val="21"/>
          <w:highlight w:val="none"/>
        </w:rPr>
        <w:t>合</w:t>
      </w:r>
      <w:r>
        <w:rPr>
          <w:rFonts w:hint="eastAsia" w:cs="微软雅黑" w:asciiTheme="minorEastAsia" w:hAnsiTheme="minorEastAsia" w:eastAsiaTheme="minorEastAsia"/>
          <w:kern w:val="0"/>
          <w:szCs w:val="21"/>
          <w:highlight w:val="none"/>
        </w:rPr>
        <w:t>体</w:t>
      </w:r>
      <w:r>
        <w:rPr>
          <w:rFonts w:hint="eastAsia" w:cs="微软雅黑" w:asciiTheme="minorEastAsia" w:hAnsiTheme="minorEastAsia" w:eastAsiaTheme="minorEastAsia"/>
          <w:spacing w:val="-2"/>
          <w:kern w:val="0"/>
          <w:szCs w:val="21"/>
          <w:highlight w:val="none"/>
        </w:rPr>
        <w:t>中</w:t>
      </w:r>
      <w:r>
        <w:rPr>
          <w:rFonts w:hint="eastAsia" w:cs="微软雅黑" w:asciiTheme="minorEastAsia" w:hAnsiTheme="minorEastAsia" w:eastAsiaTheme="minorEastAsia"/>
          <w:kern w:val="0"/>
          <w:szCs w:val="21"/>
          <w:highlight w:val="none"/>
        </w:rPr>
        <w:t>标的</w:t>
      </w:r>
      <w:r>
        <w:rPr>
          <w:rFonts w:hint="eastAsia" w:cs="微软雅黑" w:asciiTheme="minorEastAsia" w:hAnsiTheme="minorEastAsia" w:eastAsiaTheme="minorEastAsia"/>
          <w:spacing w:val="-14"/>
          <w:kern w:val="0"/>
          <w:szCs w:val="21"/>
          <w:highlight w:val="none"/>
        </w:rPr>
        <w:t>，</w:t>
      </w:r>
      <w:r>
        <w:rPr>
          <w:rFonts w:hint="eastAsia" w:cs="微软雅黑" w:asciiTheme="minorEastAsia" w:hAnsiTheme="minorEastAsia" w:eastAsiaTheme="minorEastAsia"/>
          <w:kern w:val="0"/>
          <w:szCs w:val="21"/>
          <w:highlight w:val="none"/>
        </w:rPr>
        <w:t>联</w:t>
      </w:r>
      <w:r>
        <w:rPr>
          <w:rFonts w:hint="eastAsia" w:cs="微软雅黑" w:asciiTheme="minorEastAsia" w:hAnsiTheme="minorEastAsia" w:eastAsiaTheme="minorEastAsia"/>
          <w:spacing w:val="-2"/>
          <w:kern w:val="0"/>
          <w:szCs w:val="21"/>
          <w:highlight w:val="none"/>
        </w:rPr>
        <w:t>合</w:t>
      </w:r>
      <w:r>
        <w:rPr>
          <w:rFonts w:hint="eastAsia" w:cs="微软雅黑" w:asciiTheme="minorEastAsia" w:hAnsiTheme="minorEastAsia" w:eastAsiaTheme="minorEastAsia"/>
          <w:kern w:val="0"/>
          <w:szCs w:val="21"/>
          <w:highlight w:val="none"/>
        </w:rPr>
        <w:t>体各</w:t>
      </w:r>
      <w:r>
        <w:rPr>
          <w:rFonts w:hint="eastAsia" w:cs="微软雅黑" w:asciiTheme="minorEastAsia" w:hAnsiTheme="minorEastAsia" w:eastAsiaTheme="minorEastAsia"/>
          <w:spacing w:val="-2"/>
          <w:kern w:val="0"/>
          <w:szCs w:val="21"/>
          <w:highlight w:val="none"/>
        </w:rPr>
        <w:t>方</w:t>
      </w:r>
      <w:r>
        <w:rPr>
          <w:rFonts w:hint="eastAsia" w:cs="微软雅黑" w:asciiTheme="minorEastAsia" w:hAnsiTheme="minorEastAsia" w:eastAsiaTheme="minorEastAsia"/>
          <w:kern w:val="0"/>
          <w:szCs w:val="21"/>
          <w:highlight w:val="none"/>
        </w:rPr>
        <w:t>应</w:t>
      </w:r>
      <w:r>
        <w:rPr>
          <w:rFonts w:hint="eastAsia" w:cs="微软雅黑" w:asciiTheme="minorEastAsia" w:hAnsiTheme="minorEastAsia" w:eastAsiaTheme="minorEastAsia"/>
          <w:spacing w:val="-2"/>
          <w:kern w:val="0"/>
          <w:szCs w:val="21"/>
          <w:highlight w:val="none"/>
        </w:rPr>
        <w:t>当</w:t>
      </w:r>
      <w:r>
        <w:rPr>
          <w:rFonts w:hint="eastAsia" w:cs="微软雅黑" w:asciiTheme="minorEastAsia" w:hAnsiTheme="minorEastAsia" w:eastAsiaTheme="minorEastAsia"/>
          <w:kern w:val="0"/>
          <w:szCs w:val="21"/>
          <w:highlight w:val="none"/>
        </w:rPr>
        <w:t>共</w:t>
      </w:r>
      <w:r>
        <w:rPr>
          <w:rFonts w:hint="eastAsia" w:cs="微软雅黑" w:asciiTheme="minorEastAsia" w:hAnsiTheme="minorEastAsia" w:eastAsiaTheme="minorEastAsia"/>
          <w:spacing w:val="-2"/>
          <w:kern w:val="0"/>
          <w:szCs w:val="21"/>
          <w:highlight w:val="none"/>
        </w:rPr>
        <w:t>同</w:t>
      </w:r>
      <w:r>
        <w:rPr>
          <w:rFonts w:hint="eastAsia" w:cs="微软雅黑" w:asciiTheme="minorEastAsia" w:hAnsiTheme="minorEastAsia" w:eastAsiaTheme="minorEastAsia"/>
          <w:kern w:val="0"/>
          <w:szCs w:val="21"/>
          <w:highlight w:val="none"/>
        </w:rPr>
        <w:t>与</w:t>
      </w:r>
      <w:r>
        <w:rPr>
          <w:rFonts w:hint="eastAsia" w:cs="微软雅黑" w:asciiTheme="minorEastAsia" w:hAnsiTheme="minorEastAsia" w:eastAsiaTheme="minorEastAsia"/>
          <w:spacing w:val="-2"/>
          <w:kern w:val="0"/>
          <w:szCs w:val="21"/>
          <w:highlight w:val="none"/>
        </w:rPr>
        <w:t>采购人</w:t>
      </w:r>
      <w:r>
        <w:rPr>
          <w:rFonts w:hint="eastAsia" w:cs="微软雅黑" w:asciiTheme="minorEastAsia" w:hAnsiTheme="minorEastAsia" w:eastAsiaTheme="minorEastAsia"/>
          <w:kern w:val="0"/>
          <w:szCs w:val="21"/>
          <w:highlight w:val="none"/>
        </w:rPr>
        <w:t>签订</w:t>
      </w:r>
      <w:r>
        <w:rPr>
          <w:rFonts w:hint="eastAsia" w:cs="微软雅黑" w:asciiTheme="minorEastAsia" w:hAnsiTheme="minorEastAsia" w:eastAsiaTheme="minorEastAsia"/>
          <w:spacing w:val="-2"/>
          <w:kern w:val="0"/>
          <w:szCs w:val="21"/>
          <w:highlight w:val="none"/>
        </w:rPr>
        <w:t>合</w:t>
      </w:r>
      <w:r>
        <w:rPr>
          <w:rFonts w:hint="eastAsia" w:cs="微软雅黑" w:asciiTheme="minorEastAsia" w:hAnsiTheme="minorEastAsia" w:eastAsiaTheme="minorEastAsia"/>
          <w:kern w:val="0"/>
          <w:szCs w:val="21"/>
          <w:highlight w:val="none"/>
        </w:rPr>
        <w:t>同</w:t>
      </w:r>
      <w:r>
        <w:rPr>
          <w:rFonts w:hint="eastAsia" w:cs="微软雅黑" w:asciiTheme="minorEastAsia" w:hAnsiTheme="minorEastAsia" w:eastAsiaTheme="minorEastAsia"/>
          <w:spacing w:val="-14"/>
          <w:kern w:val="0"/>
          <w:szCs w:val="21"/>
          <w:highlight w:val="none"/>
        </w:rPr>
        <w:t>，</w:t>
      </w:r>
      <w:r>
        <w:rPr>
          <w:rFonts w:hint="eastAsia" w:cs="微软雅黑" w:asciiTheme="minorEastAsia" w:hAnsiTheme="minorEastAsia" w:eastAsiaTheme="minorEastAsia"/>
          <w:kern w:val="0"/>
          <w:szCs w:val="21"/>
          <w:highlight w:val="none"/>
        </w:rPr>
        <w:t>就</w:t>
      </w:r>
      <w:r>
        <w:rPr>
          <w:rFonts w:hint="eastAsia" w:cs="微软雅黑" w:asciiTheme="minorEastAsia" w:hAnsiTheme="minorEastAsia" w:eastAsiaTheme="minorEastAsia"/>
          <w:spacing w:val="-2"/>
          <w:kern w:val="0"/>
          <w:szCs w:val="21"/>
          <w:highlight w:val="none"/>
        </w:rPr>
        <w:t>中</w:t>
      </w:r>
      <w:r>
        <w:rPr>
          <w:rFonts w:hint="eastAsia" w:cs="微软雅黑" w:asciiTheme="minorEastAsia" w:hAnsiTheme="minorEastAsia" w:eastAsiaTheme="minorEastAsia"/>
          <w:kern w:val="0"/>
          <w:szCs w:val="21"/>
          <w:highlight w:val="none"/>
        </w:rPr>
        <w:t>标</w:t>
      </w:r>
      <w:r>
        <w:rPr>
          <w:rFonts w:hint="eastAsia" w:cs="微软雅黑" w:asciiTheme="minorEastAsia" w:hAnsiTheme="minorEastAsia" w:eastAsiaTheme="minorEastAsia"/>
          <w:spacing w:val="-2"/>
          <w:kern w:val="0"/>
          <w:szCs w:val="21"/>
          <w:highlight w:val="none"/>
        </w:rPr>
        <w:t>项</w:t>
      </w:r>
      <w:r>
        <w:rPr>
          <w:rFonts w:hint="eastAsia" w:cs="微软雅黑" w:asciiTheme="minorEastAsia" w:hAnsiTheme="minorEastAsia" w:eastAsiaTheme="minorEastAsia"/>
          <w:kern w:val="0"/>
          <w:szCs w:val="21"/>
          <w:highlight w:val="none"/>
        </w:rPr>
        <w:t>目</w:t>
      </w:r>
      <w:r>
        <w:rPr>
          <w:rFonts w:hint="eastAsia" w:cs="微软雅黑" w:asciiTheme="minorEastAsia" w:hAnsiTheme="minorEastAsia" w:eastAsiaTheme="minorEastAsia"/>
          <w:spacing w:val="-2"/>
          <w:kern w:val="0"/>
          <w:szCs w:val="21"/>
          <w:highlight w:val="none"/>
        </w:rPr>
        <w:t>向</w:t>
      </w:r>
      <w:r>
        <w:rPr>
          <w:rFonts w:hint="eastAsia" w:cs="微软雅黑" w:asciiTheme="minorEastAsia" w:hAnsiTheme="minorEastAsia" w:eastAsiaTheme="minorEastAsia"/>
          <w:kern w:val="0"/>
          <w:szCs w:val="21"/>
          <w:highlight w:val="none"/>
        </w:rPr>
        <w:t>采购人承</w:t>
      </w:r>
      <w:r>
        <w:rPr>
          <w:rFonts w:hint="eastAsia" w:cs="微软雅黑" w:asciiTheme="minorEastAsia" w:hAnsiTheme="minorEastAsia" w:eastAsiaTheme="minorEastAsia"/>
          <w:spacing w:val="-2"/>
          <w:kern w:val="0"/>
          <w:szCs w:val="21"/>
          <w:highlight w:val="none"/>
        </w:rPr>
        <w:t>担</w:t>
      </w:r>
      <w:r>
        <w:rPr>
          <w:rFonts w:hint="eastAsia" w:cs="微软雅黑" w:asciiTheme="minorEastAsia" w:hAnsiTheme="minorEastAsia" w:eastAsiaTheme="minorEastAsia"/>
          <w:kern w:val="0"/>
          <w:szCs w:val="21"/>
          <w:highlight w:val="none"/>
        </w:rPr>
        <w:t>连带责</w:t>
      </w:r>
      <w:r>
        <w:rPr>
          <w:rFonts w:hint="eastAsia" w:cs="微软雅黑" w:asciiTheme="minorEastAsia" w:hAnsiTheme="minorEastAsia" w:eastAsiaTheme="minorEastAsia"/>
          <w:spacing w:val="-2"/>
          <w:kern w:val="0"/>
          <w:szCs w:val="21"/>
          <w:highlight w:val="none"/>
        </w:rPr>
        <w:t>任</w:t>
      </w:r>
      <w:r>
        <w:rPr>
          <w:rFonts w:hint="eastAsia" w:cs="微软雅黑" w:asciiTheme="minorEastAsia" w:hAnsiTheme="minorEastAsia" w:eastAsiaTheme="minorEastAsia"/>
          <w:kern w:val="0"/>
          <w:szCs w:val="21"/>
          <w:highlight w:val="none"/>
        </w:rPr>
        <w:t>。</w:t>
      </w:r>
    </w:p>
    <w:p w14:paraId="6228FEC6">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asciiTheme="minorEastAsia" w:hAnsiTheme="minorEastAsia" w:eastAsiaTheme="minorEastAsia"/>
          <w:szCs w:val="21"/>
          <w:highlight w:val="none"/>
        </w:rPr>
        <w:t>3</w:t>
      </w:r>
      <w:r>
        <w:rPr>
          <w:rFonts w:hint="eastAsia" w:asciiTheme="minorEastAsia" w:hAnsiTheme="minorEastAsia" w:eastAsiaTheme="minorEastAsia"/>
          <w:szCs w:val="21"/>
          <w:highlight w:val="none"/>
        </w:rPr>
        <w:t>0</w:t>
      </w:r>
      <w:r>
        <w:rPr>
          <w:rFonts w:asciiTheme="minorEastAsia" w:hAnsiTheme="minorEastAsia" w:eastAsiaTheme="minorEastAsia"/>
          <w:szCs w:val="21"/>
          <w:highlight w:val="none"/>
        </w:rPr>
        <w:t>.4</w:t>
      </w:r>
      <w:r>
        <w:rPr>
          <w:rFonts w:hint="eastAsia" w:asciiTheme="minorEastAsia" w:hAnsiTheme="minorEastAsia" w:eastAsiaTheme="minorEastAsia"/>
          <w:szCs w:val="21"/>
          <w:highlight w:val="none"/>
        </w:rPr>
        <w:t>中标合同将在法定的媒体上公告，但合同中涉及国家秘密、商业秘密的内容除外。</w:t>
      </w:r>
    </w:p>
    <w:p w14:paraId="0DB0740F">
      <w:pPr>
        <w:adjustRightInd w:val="0"/>
        <w:snapToGrid w:val="0"/>
        <w:spacing w:beforeLines="50" w:line="353" w:lineRule="auto"/>
        <w:ind w:firstLine="420" w:firstLineChars="200"/>
        <w:jc w:val="left"/>
        <w:rPr>
          <w:rFonts w:asciiTheme="minorEastAsia" w:hAnsiTheme="minorEastAsia" w:eastAsiaTheme="minorEastAsia"/>
          <w:bCs/>
          <w:szCs w:val="21"/>
          <w:highlight w:val="none"/>
        </w:rPr>
      </w:pPr>
      <w:r>
        <w:rPr>
          <w:rFonts w:hint="eastAsia" w:asciiTheme="minorEastAsia" w:hAnsiTheme="minorEastAsia" w:eastAsiaTheme="minorEastAsia"/>
          <w:szCs w:val="21"/>
          <w:highlight w:val="none"/>
        </w:rPr>
        <w:t>30.5中标人</w:t>
      </w:r>
      <w:r>
        <w:rPr>
          <w:rFonts w:hint="eastAsia" w:asciiTheme="minorEastAsia" w:hAnsiTheme="minorEastAsia" w:eastAsiaTheme="minorEastAsia"/>
          <w:bCs/>
          <w:szCs w:val="21"/>
          <w:highlight w:val="none"/>
        </w:rPr>
        <w:t>应当按照合同约定依法履行合同义务。政府采购合同的履行、违约责任和解决争议的方法等适用《中华人民共和国民法典》。</w:t>
      </w:r>
    </w:p>
    <w:p w14:paraId="72FF99DE">
      <w:pPr>
        <w:adjustRightInd w:val="0"/>
        <w:snapToGrid w:val="0"/>
        <w:spacing w:beforeLines="50" w:line="353" w:lineRule="auto"/>
        <w:jc w:val="left"/>
        <w:rPr>
          <w:rFonts w:cs="宋体" w:asciiTheme="minorEastAsia" w:hAnsiTheme="minorEastAsia" w:eastAsiaTheme="minorEastAsia"/>
          <w:b/>
          <w:kern w:val="0"/>
          <w:sz w:val="24"/>
          <w:highlight w:val="none"/>
        </w:rPr>
      </w:pPr>
      <w:r>
        <w:rPr>
          <w:rFonts w:hint="eastAsia" w:asciiTheme="minorEastAsia" w:hAnsiTheme="minorEastAsia" w:eastAsiaTheme="minorEastAsia"/>
          <w:b/>
          <w:bCs/>
          <w:sz w:val="24"/>
          <w:highlight w:val="none"/>
        </w:rPr>
        <w:t>31.</w:t>
      </w:r>
      <w:r>
        <w:rPr>
          <w:rFonts w:hint="eastAsia" w:cs="宋体" w:asciiTheme="minorEastAsia" w:hAnsiTheme="minorEastAsia" w:eastAsiaTheme="minorEastAsia"/>
          <w:b/>
          <w:kern w:val="0"/>
          <w:sz w:val="24"/>
          <w:highlight w:val="none"/>
        </w:rPr>
        <w:t xml:space="preserve"> 履约担保</w:t>
      </w:r>
    </w:p>
    <w:p w14:paraId="5EA22852">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cs="宋体" w:asciiTheme="minorEastAsia" w:hAnsiTheme="minorEastAsia" w:eastAsiaTheme="minorEastAsia"/>
          <w:kern w:val="0"/>
          <w:szCs w:val="21"/>
          <w:highlight w:val="none"/>
        </w:rPr>
        <w:t>31.1</w:t>
      </w:r>
      <w:r>
        <w:rPr>
          <w:rFonts w:hint="eastAsia" w:asciiTheme="minorEastAsia" w:hAnsiTheme="minorEastAsia" w:eastAsiaTheme="minorEastAsia"/>
          <w:szCs w:val="21"/>
          <w:highlight w:val="none"/>
        </w:rPr>
        <w:t>中标人在收到采购代理机构的《中标通知书》后10日内，</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bCs/>
          <w:szCs w:val="21"/>
          <w:highlight w:val="none"/>
        </w:rPr>
        <w:t>规定</w:t>
      </w:r>
      <w:r>
        <w:rPr>
          <w:rFonts w:hint="eastAsia" w:asciiTheme="minorEastAsia" w:hAnsiTheme="minorEastAsia" w:eastAsiaTheme="minorEastAsia"/>
          <w:szCs w:val="21"/>
          <w:highlight w:val="none"/>
        </w:rPr>
        <w:t>需向采购人提交履约担保的，应按照</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szCs w:val="21"/>
          <w:highlight w:val="none"/>
        </w:rPr>
        <w:t>的规定提交。联合体中标的，履约担保由联合体各方或联合体中牵头人的名义提交。</w:t>
      </w:r>
    </w:p>
    <w:p w14:paraId="3F54DB74">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31.2中标人</w:t>
      </w:r>
      <w:r>
        <w:rPr>
          <w:rFonts w:hint="eastAsia" w:asciiTheme="minorEastAsia" w:hAnsiTheme="minorEastAsia" w:eastAsiaTheme="minorEastAsia"/>
          <w:spacing w:val="4"/>
          <w:szCs w:val="21"/>
          <w:highlight w:val="none"/>
        </w:rPr>
        <w:t>没有按照本章第32.1</w:t>
      </w:r>
      <w:r>
        <w:rPr>
          <w:rFonts w:hint="eastAsia" w:cs="宋体" w:asciiTheme="minorEastAsia" w:hAnsiTheme="minorEastAsia" w:eastAsiaTheme="minorEastAsia"/>
          <w:kern w:val="0"/>
          <w:szCs w:val="21"/>
          <w:highlight w:val="none"/>
          <w:lang w:val="zh-CN"/>
        </w:rPr>
        <w:t>款</w:t>
      </w:r>
      <w:r>
        <w:rPr>
          <w:rFonts w:hint="eastAsia" w:asciiTheme="minorEastAsia" w:hAnsiTheme="minorEastAsia" w:eastAsiaTheme="minorEastAsia"/>
          <w:spacing w:val="4"/>
          <w:szCs w:val="21"/>
          <w:highlight w:val="none"/>
        </w:rPr>
        <w:t>规定</w:t>
      </w:r>
      <w:r>
        <w:rPr>
          <w:rFonts w:hint="eastAsia" w:asciiTheme="minorEastAsia" w:hAnsiTheme="minorEastAsia" w:eastAsiaTheme="minorEastAsia"/>
          <w:szCs w:val="21"/>
          <w:highlight w:val="none"/>
        </w:rPr>
        <w:t>提交履约担保的</w:t>
      </w:r>
      <w:r>
        <w:rPr>
          <w:rFonts w:hint="eastAsia" w:asciiTheme="minorEastAsia" w:hAnsiTheme="minorEastAsia" w:eastAsiaTheme="minorEastAsia"/>
          <w:spacing w:val="4"/>
          <w:szCs w:val="21"/>
          <w:highlight w:val="none"/>
        </w:rPr>
        <w:t>，视为放弃中标，</w:t>
      </w:r>
      <w:r>
        <w:rPr>
          <w:rFonts w:hint="eastAsia" w:asciiTheme="minorEastAsia" w:hAnsiTheme="minorEastAsia" w:eastAsiaTheme="minorEastAsia"/>
          <w:spacing w:val="2"/>
          <w:szCs w:val="21"/>
          <w:highlight w:val="none"/>
        </w:rPr>
        <w:t>其投标保证金不予退还。</w:t>
      </w:r>
    </w:p>
    <w:p w14:paraId="14D66CA0">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32.</w:t>
      </w:r>
      <w:r>
        <w:rPr>
          <w:rFonts w:hint="eastAsia" w:asciiTheme="minorEastAsia" w:hAnsiTheme="minorEastAsia" w:eastAsiaTheme="minorEastAsia"/>
          <w:b/>
          <w:sz w:val="24"/>
          <w:highlight w:val="none"/>
        </w:rPr>
        <w:t xml:space="preserve"> 政府采购合同履行中</w:t>
      </w:r>
      <w:r>
        <w:rPr>
          <w:rFonts w:hint="eastAsia" w:asciiTheme="minorEastAsia" w:hAnsiTheme="minorEastAsia" w:eastAsiaTheme="minorEastAsia"/>
          <w:b/>
          <w:bCs/>
          <w:sz w:val="24"/>
          <w:highlight w:val="none"/>
        </w:rPr>
        <w:t>数量的变更</w:t>
      </w:r>
    </w:p>
    <w:p w14:paraId="2B8A0164">
      <w:pPr>
        <w:adjustRightInd w:val="0"/>
        <w:snapToGrid w:val="0"/>
        <w:spacing w:beforeLines="50" w:line="353" w:lineRule="auto"/>
        <w:ind w:firstLine="420" w:firstLineChars="200"/>
        <w:jc w:val="left"/>
        <w:rPr>
          <w:rFonts w:asciiTheme="minorEastAsia" w:hAnsiTheme="minorEastAsia" w:eastAsiaTheme="minorEastAsia"/>
          <w:sz w:val="28"/>
          <w:szCs w:val="28"/>
          <w:highlight w:val="none"/>
        </w:rPr>
      </w:pPr>
      <w:r>
        <w:rPr>
          <w:rFonts w:hint="eastAsia" w:asciiTheme="minorEastAsia" w:hAnsiTheme="minorEastAsia" w:eastAsiaTheme="minorEastAsia"/>
          <w:highlight w:val="none"/>
        </w:rPr>
        <w:t>32.1政府采购合同履行中，采购人需追加与合同标的相同的货物服务的，在不改变合同其他条款的前提下，可以与中标人协商签订补充合同，但补充合同的采购金额不得超过原合同采购金额的百分之十。</w:t>
      </w:r>
    </w:p>
    <w:p w14:paraId="76354A3A">
      <w:pPr>
        <w:pStyle w:val="4"/>
        <w:adjustRightInd w:val="0"/>
        <w:snapToGrid w:val="0"/>
        <w:spacing w:beforeLines="50" w:after="0" w:line="353" w:lineRule="auto"/>
        <w:jc w:val="center"/>
        <w:rPr>
          <w:rFonts w:ascii="黑体" w:hAnsi="黑体" w:eastAsia="黑体"/>
          <w:sz w:val="28"/>
          <w:szCs w:val="28"/>
          <w:highlight w:val="none"/>
        </w:rPr>
      </w:pPr>
      <w:bookmarkStart w:id="26" w:name="_Toc29346"/>
      <w:bookmarkStart w:id="27" w:name="_Toc21707"/>
      <w:r>
        <w:rPr>
          <w:rFonts w:hint="eastAsia" w:ascii="黑体" w:hAnsi="黑体" w:eastAsia="黑体"/>
          <w:sz w:val="28"/>
          <w:szCs w:val="28"/>
          <w:highlight w:val="none"/>
        </w:rPr>
        <w:t>八、其他规定</w:t>
      </w:r>
      <w:bookmarkEnd w:id="26"/>
      <w:bookmarkEnd w:id="27"/>
    </w:p>
    <w:p w14:paraId="0DB91860">
      <w:pPr>
        <w:adjustRightInd w:val="0"/>
        <w:snapToGrid w:val="0"/>
        <w:spacing w:beforeLines="50" w:line="353" w:lineRule="auto"/>
        <w:jc w:val="left"/>
        <w:rPr>
          <w:rFonts w:asciiTheme="minorEastAsia" w:hAnsiTheme="minorEastAsia" w:eastAsiaTheme="minorEastAsia"/>
          <w:b/>
          <w:sz w:val="24"/>
          <w:highlight w:val="none"/>
        </w:rPr>
      </w:pPr>
      <w:r>
        <w:rPr>
          <w:rFonts w:hint="eastAsia" w:asciiTheme="minorEastAsia" w:hAnsiTheme="minorEastAsia" w:eastAsiaTheme="minorEastAsia"/>
          <w:b/>
          <w:bCs/>
          <w:sz w:val="24"/>
          <w:highlight w:val="none"/>
        </w:rPr>
        <w:t>33.</w:t>
      </w:r>
      <w:r>
        <w:rPr>
          <w:rFonts w:hint="eastAsia" w:asciiTheme="minorEastAsia" w:hAnsiTheme="minorEastAsia" w:eastAsiaTheme="minorEastAsia"/>
          <w:b/>
          <w:sz w:val="24"/>
          <w:highlight w:val="none"/>
        </w:rPr>
        <w:t>政府采购政策</w:t>
      </w:r>
    </w:p>
    <w:p w14:paraId="6A33461A">
      <w:pPr>
        <w:adjustRightInd w:val="0"/>
        <w:snapToGrid w:val="0"/>
        <w:spacing w:beforeLines="50" w:line="353" w:lineRule="auto"/>
        <w:ind w:firstLine="420" w:firstLineChars="200"/>
        <w:jc w:val="left"/>
        <w:rPr>
          <w:rFonts w:cs="宋体" w:asciiTheme="minorEastAsia" w:hAnsiTheme="minorEastAsia" w:eastAsiaTheme="minorEastAsia"/>
          <w:kern w:val="0"/>
          <w:highlight w:val="none"/>
        </w:rPr>
      </w:pPr>
      <w:r>
        <w:rPr>
          <w:rFonts w:hint="eastAsia" w:cs="宋体" w:asciiTheme="minorEastAsia" w:hAnsiTheme="minorEastAsia" w:eastAsiaTheme="minorEastAsia"/>
          <w:kern w:val="0"/>
          <w:highlight w:val="none"/>
        </w:rPr>
        <w:t>33.1优先采购：</w:t>
      </w:r>
    </w:p>
    <w:p w14:paraId="22DBD048">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szCs w:val="21"/>
          <w:highlight w:val="none"/>
        </w:rPr>
        <w:t>纳入财政部会同国务院有关部门发布的节能产品、环境标志产品政府采购品目清单，实施政府优先采购的，评审时按相应评标方法给予价格折扣或者加分；</w:t>
      </w:r>
    </w:p>
    <w:p w14:paraId="00641E3D">
      <w:pPr>
        <w:adjustRightInd w:val="0"/>
        <w:snapToGrid w:val="0"/>
        <w:spacing w:beforeLines="50" w:line="353" w:lineRule="auto"/>
        <w:ind w:firstLine="420" w:firstLineChars="200"/>
        <w:jc w:val="left"/>
        <w:rPr>
          <w:rFonts w:cs="宋体" w:asciiTheme="minorEastAsia" w:hAnsiTheme="minorEastAsia" w:eastAsiaTheme="minorEastAsia"/>
          <w:kern w:val="0"/>
          <w:highlight w:val="none"/>
        </w:rPr>
      </w:pPr>
      <w:r>
        <w:rPr>
          <w:rFonts w:hint="eastAsia" w:cs="宋体" w:asciiTheme="minorEastAsia" w:hAnsiTheme="minorEastAsia" w:eastAsiaTheme="minorEastAsia"/>
          <w:kern w:val="0"/>
          <w:highlight w:val="none"/>
        </w:rPr>
        <w:t>33.2强制采购：</w:t>
      </w:r>
    </w:p>
    <w:p w14:paraId="4052A2D0">
      <w:pPr>
        <w:adjustRightInd w:val="0"/>
        <w:snapToGrid w:val="0"/>
        <w:spacing w:beforeLines="50" w:line="353" w:lineRule="auto"/>
        <w:ind w:firstLine="420" w:firstLineChars="200"/>
        <w:jc w:val="left"/>
        <w:rPr>
          <w:rFonts w:cs="宋体" w:asciiTheme="minorEastAsia" w:hAnsiTheme="minorEastAsia" w:eastAsiaTheme="minorEastAsia"/>
          <w:kern w:val="0"/>
          <w:highlight w:val="none"/>
        </w:rPr>
      </w:pPr>
      <w:r>
        <w:rPr>
          <w:rFonts w:hint="eastAsia" w:cs="宋体" w:asciiTheme="minorEastAsia" w:hAnsiTheme="minorEastAsia" w:eastAsiaTheme="minorEastAsia"/>
          <w:kern w:val="0"/>
          <w:highlight w:val="none"/>
        </w:rPr>
        <w:t>（1）纳入财政部会同国务院有关部门发布的节能产品政府采购品目清单，实施政府强制采购的（品目清单标注</w:t>
      </w:r>
      <w:r>
        <w:rPr>
          <w:rFonts w:hint="eastAsia" w:cs="宋体" w:asciiTheme="minorEastAsia" w:hAnsiTheme="minorEastAsia" w:eastAsiaTheme="minorEastAsia"/>
          <w:kern w:val="0"/>
          <w:highlight w:val="none"/>
        </w:rPr>
        <w:sym w:font="Wingdings" w:char="F0AB"/>
      </w:r>
      <w:r>
        <w:rPr>
          <w:rFonts w:hint="eastAsia" w:cs="宋体" w:asciiTheme="minorEastAsia" w:hAnsiTheme="minorEastAsia" w:eastAsiaTheme="minorEastAsia"/>
          <w:kern w:val="0"/>
          <w:highlight w:val="none"/>
        </w:rPr>
        <w:t>符号产品），投标人投标产品应当取得国家确定的认证机构出具的、处于有效期之内的节能产品认证证书，否则，其</w:t>
      </w:r>
      <w:r>
        <w:rPr>
          <w:rFonts w:hint="eastAsia" w:cs="宋体" w:asciiTheme="minorEastAsia" w:hAnsiTheme="minorEastAsia" w:eastAsiaTheme="minorEastAsia"/>
          <w:kern w:val="0"/>
          <w:szCs w:val="21"/>
          <w:highlight w:val="none"/>
        </w:rPr>
        <w:t>投标无效</w:t>
      </w:r>
      <w:r>
        <w:rPr>
          <w:rFonts w:hint="eastAsia" w:cs="宋体" w:asciiTheme="minorEastAsia" w:hAnsiTheme="minorEastAsia" w:eastAsiaTheme="minorEastAsia"/>
          <w:kern w:val="0"/>
          <w:highlight w:val="none"/>
        </w:rPr>
        <w:t>。</w:t>
      </w:r>
    </w:p>
    <w:p w14:paraId="0966AECC">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33.3价格评审优惠：</w:t>
      </w:r>
    </w:p>
    <w:p w14:paraId="7CB9D7F4">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（1）投标人为小型、微型企业，且提供本企业生产的产品或者提供其他小型、微型企业生产的产品，投标价格给予一定的价格折扣，用扣除后的价格参与评审；</w:t>
      </w:r>
    </w:p>
    <w:p w14:paraId="3973B7FA">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 xml:space="preserve">（2）小型、微型企业参加联合体投标并在联合体协议中明确其在合同金额占联合体合同总金额 30%以上的，给予该联合体投标价格给予一定的价格折扣，用扣除后的价格参与评审，联合体各方均为小型、微型企业的，联合体视同为小型、微型企业； </w:t>
      </w:r>
    </w:p>
    <w:p w14:paraId="7130806E">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highlight w:val="none"/>
        </w:rPr>
        <w:t>（3）监狱企业、残</w:t>
      </w:r>
      <w:r>
        <w:rPr>
          <w:rFonts w:hint="eastAsia" w:asciiTheme="minorEastAsia" w:hAnsiTheme="minorEastAsia" w:eastAsiaTheme="minorEastAsia"/>
          <w:szCs w:val="21"/>
          <w:highlight w:val="none"/>
        </w:rPr>
        <w:t>疾人福利性单位视同小型、微型企业，享受评审中价格扣除等促进中小企业发展的政府采购政策。</w:t>
      </w:r>
    </w:p>
    <w:p w14:paraId="52ED218A">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33.4政府采购政策交叉与叠加</w:t>
      </w:r>
    </w:p>
    <w:p w14:paraId="4549F11D">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（1）优先采购同时属于“节能产品”、“环境标志产品”的，评审时只有其中一项产品能享受优先采购优惠（投标人自行选择，并在投标文件中并填报相关信息及数据）；</w:t>
      </w:r>
    </w:p>
    <w:p w14:paraId="1E35F412">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（2）监狱企业、残疾人福利性单位同时属于小型、微型企业的，不重复享受价格评审优惠政策；</w:t>
      </w:r>
    </w:p>
    <w:p w14:paraId="3A7F5FED">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（3）小型和微型企业的价格评审优惠可以与同时属于“节能产品”、“环境标志产品”中的一项优先采购优惠累加计算。</w:t>
      </w:r>
    </w:p>
    <w:p w14:paraId="47C180B5">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33.5部分投标产品属于优先采购的，以及小型和微型企业的投标人代理部分小型和微型企业产品的，评审时只对该部分产品的报价实行价格扣除及加分。投标人应按本章第33.6款规定提供相关证明资料。</w:t>
      </w:r>
    </w:p>
    <w:p w14:paraId="626AAE18">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33.6投标人符合本章第33.1款、第33.2款、第33.3款规定的，应提供相关证明资料。</w:t>
      </w:r>
    </w:p>
    <w:p w14:paraId="71053107">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（1）节能产品、环境标志产品：提供国家确定的认证机构出具的、处于有效期之内的节能产品、环境标志产品认证证书（复印件）。</w:t>
      </w:r>
    </w:p>
    <w:p w14:paraId="41DE4A69">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（2）小微企业：按《关于印发＜政府采购促进中小企业发展暂行办法＞的通知》(财库[2020]46号)规定，投标人和提供货物的制造商同时提供《小型、微型企业声明函》（格式）。</w:t>
      </w:r>
    </w:p>
    <w:p w14:paraId="456B69C9">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（2）监狱企业：按《关于政府采购支持监狱企业发展有关问题的通知》(财库〔2014〕68号)文件规定提供证明文件（复印件）。</w:t>
      </w:r>
    </w:p>
    <w:p w14:paraId="6082AE8C">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（4）残疾人福利性单位：按《关于促进残疾人就业政府采购政策的通知》(财库〔2017〕141号)文件规定提供《残疾人福利性单位声明函》（格式）。</w:t>
      </w:r>
    </w:p>
    <w:p w14:paraId="7AD1EE8E">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33.7投标人有融资、担保需求的，可登陆中国湖南省政府采购网查询相关银行、担保机构业务。</w:t>
      </w:r>
    </w:p>
    <w:p w14:paraId="3BCF4035">
      <w:pPr>
        <w:adjustRightInd w:val="0"/>
        <w:snapToGrid w:val="0"/>
        <w:spacing w:beforeLines="50" w:line="353" w:lineRule="auto"/>
        <w:jc w:val="left"/>
        <w:rPr>
          <w:rFonts w:asciiTheme="minorEastAsia" w:hAnsiTheme="minorEastAsia" w:eastAsiaTheme="minorEastAsia"/>
          <w:b/>
          <w:sz w:val="24"/>
          <w:highlight w:val="none"/>
        </w:rPr>
      </w:pPr>
      <w:r>
        <w:rPr>
          <w:rFonts w:hint="eastAsia" w:asciiTheme="minorEastAsia" w:hAnsiTheme="minorEastAsia" w:eastAsiaTheme="minorEastAsia"/>
          <w:b/>
          <w:bCs/>
          <w:sz w:val="24"/>
          <w:highlight w:val="none"/>
        </w:rPr>
        <w:t>34.</w:t>
      </w:r>
      <w:r>
        <w:rPr>
          <w:rFonts w:hint="eastAsia" w:asciiTheme="minorEastAsia" w:hAnsiTheme="minorEastAsia" w:eastAsiaTheme="minorEastAsia"/>
          <w:b/>
          <w:sz w:val="24"/>
          <w:highlight w:val="none"/>
        </w:rPr>
        <w:t>招标不足三家处理</w:t>
      </w:r>
    </w:p>
    <w:p w14:paraId="26815E5A">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34.1公开招标数额标准以上的采购项目，投标截止后投标人不足3家或者通过资格审查或符合性审查的投标人不足3家的，除采购任务取消情形外，按照以下方式处理：</w:t>
      </w:r>
    </w:p>
    <w:p w14:paraId="46FE262C">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（1）招标文件存在不合理条款或者招标程序不符合规定的，采购人或者采购代理机构改正后依法重新招标；</w:t>
      </w:r>
    </w:p>
    <w:p w14:paraId="7C5903DB">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（2）招标文件没有不合理条款、招标程序符合规定，需要采用其他采购方式采购的，采购人应当依法报财政部门批准。</w:t>
      </w:r>
    </w:p>
    <w:p w14:paraId="30378591">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34.2</w:t>
      </w:r>
      <w:r>
        <w:rPr>
          <w:rFonts w:hint="eastAsia" w:asciiTheme="minorEastAsia" w:hAnsiTheme="minorEastAsia"/>
          <w:szCs w:val="21"/>
          <w:highlight w:val="none"/>
        </w:rPr>
        <w:t>属上款第（2）项情形的，评标委员会应出具</w:t>
      </w:r>
      <w:r>
        <w:rPr>
          <w:rFonts w:hint="eastAsia" w:asciiTheme="minorEastAsia" w:hAnsiTheme="minorEastAsia"/>
          <w:strike/>
          <w:szCs w:val="21"/>
          <w:highlight w:val="none"/>
        </w:rPr>
        <w:t>的</w:t>
      </w:r>
      <w:r>
        <w:rPr>
          <w:rFonts w:hint="eastAsia" w:asciiTheme="minorEastAsia" w:hAnsiTheme="minorEastAsia"/>
          <w:szCs w:val="21"/>
          <w:highlight w:val="none"/>
        </w:rPr>
        <w:t>招标文件没有不合理条款的论证意见</w:t>
      </w:r>
      <w:r>
        <w:rPr>
          <w:rFonts w:hint="eastAsia" w:asciiTheme="minorEastAsia" w:hAnsiTheme="minorEastAsia" w:eastAsiaTheme="minorEastAsia"/>
          <w:szCs w:val="21"/>
          <w:highlight w:val="none"/>
        </w:rPr>
        <w:t>。</w:t>
      </w:r>
    </w:p>
    <w:p w14:paraId="46243805">
      <w:pPr>
        <w:adjustRightInd w:val="0"/>
        <w:snapToGrid w:val="0"/>
        <w:spacing w:beforeLines="50" w:line="353" w:lineRule="auto"/>
        <w:jc w:val="left"/>
        <w:rPr>
          <w:rFonts w:asciiTheme="minorEastAsia" w:hAnsiTheme="minorEastAsia" w:eastAsiaTheme="minorEastAsia"/>
          <w:b/>
          <w:sz w:val="24"/>
          <w:highlight w:val="none"/>
        </w:rPr>
      </w:pPr>
      <w:r>
        <w:rPr>
          <w:rFonts w:hint="eastAsia" w:asciiTheme="minorEastAsia" w:hAnsiTheme="minorEastAsia" w:eastAsiaTheme="minorEastAsia"/>
          <w:b/>
          <w:bCs/>
          <w:sz w:val="24"/>
          <w:highlight w:val="none"/>
        </w:rPr>
        <w:t>35.</w:t>
      </w:r>
      <w:r>
        <w:rPr>
          <w:rFonts w:hint="eastAsia" w:asciiTheme="minorEastAsia" w:hAnsiTheme="minorEastAsia" w:eastAsiaTheme="minorEastAsia"/>
          <w:b/>
          <w:sz w:val="24"/>
          <w:highlight w:val="none"/>
        </w:rPr>
        <w:t xml:space="preserve"> 招标代理服务费</w:t>
      </w:r>
    </w:p>
    <w:p w14:paraId="3A31A674">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35.1招标代理服务费由</w:t>
      </w:r>
      <w:r>
        <w:rPr>
          <w:rFonts w:hint="eastAsia" w:asciiTheme="minorEastAsia" w:hAnsiTheme="minorEastAsia" w:eastAsiaTheme="minorEastAsia"/>
          <w:szCs w:val="21"/>
          <w:highlight w:val="none"/>
          <w:lang w:val="en-US" w:eastAsia="zh-CN"/>
        </w:rPr>
        <w:t>采购</w:t>
      </w:r>
      <w:r>
        <w:rPr>
          <w:rFonts w:hint="eastAsia" w:asciiTheme="minorEastAsia" w:hAnsiTheme="minorEastAsia" w:eastAsiaTheme="minorEastAsia"/>
          <w:szCs w:val="21"/>
          <w:highlight w:val="none"/>
        </w:rPr>
        <w:t>人支付。</w:t>
      </w:r>
    </w:p>
    <w:p w14:paraId="2388B0B9">
      <w:pPr>
        <w:adjustRightInd w:val="0"/>
        <w:snapToGrid w:val="0"/>
        <w:spacing w:beforeLines="50" w:line="353" w:lineRule="auto"/>
        <w:jc w:val="left"/>
        <w:rPr>
          <w:rFonts w:asciiTheme="minorEastAsia" w:hAnsiTheme="minorEastAsia" w:eastAsiaTheme="minorEastAsia"/>
          <w:b/>
          <w:sz w:val="24"/>
          <w:highlight w:val="none"/>
        </w:rPr>
      </w:pPr>
      <w:r>
        <w:rPr>
          <w:rFonts w:hint="eastAsia" w:cs="宋体" w:asciiTheme="minorEastAsia" w:hAnsiTheme="minorEastAsia" w:eastAsiaTheme="minorEastAsia"/>
          <w:b/>
          <w:kern w:val="0"/>
          <w:sz w:val="24"/>
          <w:highlight w:val="none"/>
        </w:rPr>
        <w:t>36.</w:t>
      </w:r>
      <w:r>
        <w:rPr>
          <w:rFonts w:hint="eastAsia" w:asciiTheme="minorEastAsia" w:hAnsiTheme="minorEastAsia" w:eastAsiaTheme="minorEastAsia"/>
          <w:b/>
          <w:sz w:val="24"/>
          <w:highlight w:val="none"/>
        </w:rPr>
        <w:t xml:space="preserve"> 需要补充的其他内容</w:t>
      </w:r>
    </w:p>
    <w:p w14:paraId="72778985">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highlight w:val="none"/>
        </w:rPr>
        <w:t>36.1招标文件需要补充的其</w:t>
      </w:r>
      <w:r>
        <w:rPr>
          <w:rFonts w:hint="eastAsia" w:asciiTheme="minorEastAsia" w:hAnsiTheme="minorEastAsia" w:eastAsiaTheme="minorEastAsia"/>
          <w:szCs w:val="21"/>
          <w:highlight w:val="none"/>
        </w:rPr>
        <w:t>他内容见</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szCs w:val="21"/>
          <w:highlight w:val="none"/>
        </w:rPr>
        <w:t>。</w:t>
      </w:r>
      <w:r>
        <w:rPr>
          <w:rFonts w:hAnsi="宋体"/>
          <w:highlight w:val="none"/>
        </w:rPr>
        <w:br w:type="page"/>
      </w:r>
    </w:p>
    <w:p w14:paraId="60C694CA">
      <w:pPr>
        <w:pStyle w:val="2"/>
        <w:rPr>
          <w:rFonts w:ascii="黑体" w:hAnsi="黑体" w:eastAsia="黑体"/>
          <w:sz w:val="32"/>
          <w:szCs w:val="32"/>
          <w:highlight w:val="none"/>
        </w:rPr>
      </w:pPr>
      <w:bookmarkStart w:id="28" w:name="_Toc4657"/>
      <w:r>
        <w:rPr>
          <w:rFonts w:hint="eastAsia" w:ascii="黑体" w:hAnsi="黑体" w:eastAsia="黑体"/>
          <w:sz w:val="32"/>
          <w:szCs w:val="32"/>
          <w:highlight w:val="none"/>
        </w:rPr>
        <w:t>第三章 资格审查</w:t>
      </w:r>
      <w:bookmarkEnd w:id="28"/>
    </w:p>
    <w:p w14:paraId="059B7F38">
      <w:pPr>
        <w:pStyle w:val="4"/>
        <w:adjustRightInd w:val="0"/>
        <w:snapToGrid w:val="0"/>
        <w:spacing w:beforeLines="50" w:after="0" w:line="360" w:lineRule="auto"/>
        <w:rPr>
          <w:rFonts w:ascii="黑体" w:hAnsi="黑体" w:eastAsia="黑体"/>
          <w:sz w:val="24"/>
          <w:szCs w:val="24"/>
          <w:highlight w:val="none"/>
        </w:rPr>
      </w:pPr>
      <w:bookmarkStart w:id="29" w:name="_Toc21887"/>
      <w:r>
        <w:rPr>
          <w:rFonts w:hint="eastAsia" w:ascii="黑体" w:hAnsi="黑体" w:eastAsia="黑体"/>
          <w:sz w:val="24"/>
          <w:szCs w:val="24"/>
          <w:highlight w:val="none"/>
        </w:rPr>
        <w:t>1．资格审查主体</w:t>
      </w:r>
      <w:bookmarkEnd w:id="29"/>
    </w:p>
    <w:p w14:paraId="0A607B2E">
      <w:pPr>
        <w:adjustRightInd w:val="0"/>
        <w:snapToGrid w:val="0"/>
        <w:spacing w:beforeLines="50" w:line="360" w:lineRule="auto"/>
        <w:ind w:firstLine="417" w:firstLineChars="199"/>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1.1资格审查主体：采购人及采购代理机构负责资格审查。</w:t>
      </w:r>
    </w:p>
    <w:p w14:paraId="1059E177">
      <w:pPr>
        <w:pStyle w:val="4"/>
        <w:adjustRightInd w:val="0"/>
        <w:snapToGrid w:val="0"/>
        <w:spacing w:beforeLines="50" w:after="0" w:line="360" w:lineRule="auto"/>
        <w:rPr>
          <w:rFonts w:ascii="黑体" w:hAnsi="黑体" w:eastAsia="黑体"/>
          <w:sz w:val="24"/>
          <w:szCs w:val="24"/>
          <w:highlight w:val="none"/>
        </w:rPr>
      </w:pPr>
      <w:bookmarkStart w:id="30" w:name="_Toc8854"/>
      <w:r>
        <w:rPr>
          <w:rFonts w:hint="eastAsia" w:ascii="黑体" w:hAnsi="黑体" w:eastAsia="黑体"/>
          <w:sz w:val="24"/>
          <w:szCs w:val="24"/>
          <w:highlight w:val="none"/>
        </w:rPr>
        <w:t>2．资格审查</w:t>
      </w:r>
      <w:bookmarkEnd w:id="30"/>
    </w:p>
    <w:p w14:paraId="67ADEBCB">
      <w:pPr>
        <w:adjustRightInd w:val="0"/>
        <w:snapToGrid w:val="0"/>
        <w:spacing w:beforeLines="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2.1资格审查依据法律法规和招标文件的规定，对投标文件中的资格证明文件等进行审查，以确定投标人是否符合招标文件规定的资格条件。</w:t>
      </w:r>
    </w:p>
    <w:p w14:paraId="221DBE69">
      <w:pPr>
        <w:adjustRightInd w:val="0"/>
        <w:snapToGrid w:val="0"/>
        <w:spacing w:beforeLines="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2.2除第二章第15.1款另有规定外，采购人及采购代理机构按附表1所列审查项目及审查标准，对投标人资格进行审查。</w:t>
      </w:r>
    </w:p>
    <w:p w14:paraId="45221ACD">
      <w:pPr>
        <w:adjustRightInd w:val="0"/>
        <w:snapToGrid w:val="0"/>
        <w:spacing w:beforeLines="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2.3在资格审查时，投标人存在下列情况之一的，资格审查不合格，其投标无效：</w:t>
      </w:r>
    </w:p>
    <w:p w14:paraId="5FACFFDE">
      <w:pPr>
        <w:adjustRightInd w:val="0"/>
        <w:snapToGrid w:val="0"/>
        <w:spacing w:beforeLines="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（1）不具备招标文件中规定的资格要求的，或提交的资格证明文件不符合招标文件要求的；</w:t>
      </w:r>
    </w:p>
    <w:p w14:paraId="58151E09">
      <w:pPr>
        <w:adjustRightInd w:val="0"/>
        <w:snapToGrid w:val="0"/>
        <w:spacing w:beforeLines="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（2）联合体投标未提交联合体协议书，或未提交联合体各方资格证明文件的；</w:t>
      </w:r>
    </w:p>
    <w:p w14:paraId="3B549305">
      <w:pPr>
        <w:adjustRightInd w:val="0"/>
        <w:snapToGrid w:val="0"/>
        <w:spacing w:beforeLines="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（3）投标文件的资格证明文件未按照招标文件要求签署、盖章的；</w:t>
      </w:r>
    </w:p>
    <w:p w14:paraId="690AFCB0">
      <w:pPr>
        <w:adjustRightInd w:val="0"/>
        <w:snapToGrid w:val="0"/>
        <w:spacing w:beforeLines="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（4）未按照招标文件的规定提交投标保证金的；</w:t>
      </w:r>
    </w:p>
    <w:p w14:paraId="6BA16B55">
      <w:pPr>
        <w:adjustRightInd w:val="0"/>
        <w:snapToGrid w:val="0"/>
        <w:spacing w:beforeLines="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（5）投标报价超过招标文件中规定的预算金额或者最高限价的；</w:t>
      </w:r>
    </w:p>
    <w:p w14:paraId="17607FF2">
      <w:pPr>
        <w:adjustRightInd w:val="0"/>
        <w:snapToGrid w:val="0"/>
        <w:spacing w:beforeLines="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（6）法律、法规和招标文件规定的其他投标无效情形的。</w:t>
      </w:r>
    </w:p>
    <w:p w14:paraId="65AD4C59">
      <w:pPr>
        <w:adjustRightInd w:val="0"/>
        <w:snapToGrid w:val="0"/>
        <w:spacing w:beforeLines="50" w:line="360" w:lineRule="auto"/>
        <w:ind w:firstLine="420" w:firstLineChars="200"/>
        <w:jc w:val="left"/>
        <w:rPr>
          <w:rFonts w:asciiTheme="minorEastAsia" w:hAnsiTheme="minorEastAsia" w:eastAsiaTheme="minorEastAsia"/>
          <w:b/>
          <w:sz w:val="32"/>
          <w:szCs w:val="32"/>
          <w:highlight w:val="none"/>
        </w:rPr>
      </w:pPr>
      <w:r>
        <w:rPr>
          <w:rFonts w:hint="eastAsia" w:asciiTheme="minorEastAsia" w:hAnsiTheme="minorEastAsia" w:eastAsiaTheme="minorEastAsia"/>
          <w:highlight w:val="none"/>
        </w:rPr>
        <w:t>2.4信用记录。开标结束后</w:t>
      </w:r>
      <w:r>
        <w:rPr>
          <w:rFonts w:hint="eastAsia" w:asciiTheme="minorEastAsia" w:hAnsiTheme="minorEastAsia" w:eastAsiaTheme="minorEastAsia"/>
          <w:szCs w:val="21"/>
          <w:highlight w:val="none"/>
        </w:rPr>
        <w:t>资格审查时，采购人及采购代理机构将对投标人信用记录进行甄别。</w:t>
      </w:r>
    </w:p>
    <w:p w14:paraId="4D305079">
      <w:pPr>
        <w:adjustRightInd w:val="0"/>
        <w:snapToGrid w:val="0"/>
        <w:spacing w:beforeLines="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（1）信用信息查询的查询渠道：</w:t>
      </w:r>
      <w:r>
        <w:rPr>
          <w:rFonts w:hint="eastAsia" w:ascii="宋体" w:hAnsi="宋体" w:cs="宋体"/>
          <w:szCs w:val="21"/>
          <w:highlight w:val="none"/>
        </w:rPr>
        <w:t>“信用中国”网站（www.creditchina.gov.cn）、中国政府采购网(www.ccgp.gov.cn)、“信用湖南”网站（www.credithunan.gov.cn）、湖南省政府采购网（www.ccgp-hunan.gov.cn）和“信用郴州”网站（xycz.czs.gov.cn）五个网站的渠道查询相关主体信用记录，并采取必要方式做好信用信息查询记录和证据留存，信用信息查询记录及相关证据应当与其他采购文件一并保存；对列入失信被执行人、重大税收违法案件当事人名单、政府采购严重违法失信行为记录名单及其他不符合《中华人民共和国政府采购法》第二十二条规定条件的供应商，应当拒绝其参与政府采购活动</w:t>
      </w:r>
      <w:r>
        <w:rPr>
          <w:rFonts w:hint="eastAsia" w:asciiTheme="minorEastAsia" w:hAnsiTheme="minorEastAsia" w:eastAsiaTheme="minorEastAsia"/>
          <w:szCs w:val="21"/>
          <w:highlight w:val="none"/>
        </w:rPr>
        <w:t>；</w:t>
      </w:r>
    </w:p>
    <w:p w14:paraId="3B770614">
      <w:pPr>
        <w:adjustRightInd w:val="0"/>
        <w:snapToGrid w:val="0"/>
        <w:spacing w:beforeLines="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（2）联合体形式投标的，联合体成员存在不良信用记录的，视同联合体存在不良信用记录。</w:t>
      </w:r>
    </w:p>
    <w:p w14:paraId="127D5651">
      <w:pPr>
        <w:adjustRightInd w:val="0"/>
        <w:snapToGrid w:val="0"/>
        <w:spacing w:beforeLines="50" w:line="360" w:lineRule="auto"/>
        <w:ind w:firstLine="420" w:firstLineChars="200"/>
        <w:jc w:val="left"/>
        <w:rPr>
          <w:rFonts w:ascii="宋体" w:hAnsi="宋体" w:cs="宋体"/>
          <w:szCs w:val="21"/>
          <w:highlight w:val="none"/>
        </w:rPr>
      </w:pPr>
      <w:r>
        <w:rPr>
          <w:rFonts w:hint="eastAsia" w:asciiTheme="minorEastAsia" w:hAnsiTheme="minorEastAsia" w:eastAsiaTheme="minorEastAsia"/>
          <w:szCs w:val="21"/>
          <w:highlight w:val="none"/>
        </w:rPr>
        <w:t>（</w:t>
      </w:r>
      <w:r>
        <w:rPr>
          <w:rFonts w:hint="eastAsia" w:ascii="宋体" w:hAnsi="宋体" w:cs="宋体"/>
          <w:szCs w:val="21"/>
          <w:highlight w:val="none"/>
        </w:rPr>
        <w:t>3）信用信息查询记录和证据留存具体方式：采购人及采购代理机构经办人将查询网页截图、打印、签字，作为查询记录和证据，与其他采购文件一并保存。投标人不良信用记录以采购人及采购代理机构查询结果为准。采购人及采购代理机构查询之后，本章指定网站信息发生的任何变更均不再作为资格审查依据，投标人自行提供的与本章指定网站信息不一致的其他证明材料亦不作为资格审查依据。</w:t>
      </w:r>
    </w:p>
    <w:p w14:paraId="4A1BDA95">
      <w:pPr>
        <w:pStyle w:val="4"/>
        <w:adjustRightInd w:val="0"/>
        <w:snapToGrid w:val="0"/>
        <w:spacing w:beforeLines="50" w:after="0" w:line="360" w:lineRule="auto"/>
        <w:rPr>
          <w:rFonts w:ascii="黑体" w:hAnsi="黑体" w:eastAsia="黑体"/>
          <w:sz w:val="24"/>
          <w:szCs w:val="24"/>
          <w:highlight w:val="none"/>
        </w:rPr>
      </w:pPr>
      <w:bookmarkStart w:id="31" w:name="_Toc16255"/>
      <w:r>
        <w:rPr>
          <w:rFonts w:hint="eastAsia" w:ascii="黑体" w:hAnsi="黑体" w:eastAsia="黑体"/>
          <w:sz w:val="24"/>
          <w:szCs w:val="24"/>
          <w:highlight w:val="none"/>
        </w:rPr>
        <w:t>3．资格审查结果</w:t>
      </w:r>
      <w:bookmarkEnd w:id="31"/>
    </w:p>
    <w:p w14:paraId="680B0BCE">
      <w:pPr>
        <w:adjustRightInd w:val="0"/>
        <w:snapToGrid w:val="0"/>
        <w:spacing w:beforeLines="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3.1未通过资格审查的投标人，采购人及采购代理机构应当告知其未通过的原因。</w:t>
      </w:r>
    </w:p>
    <w:p w14:paraId="6FC63B37">
      <w:pPr>
        <w:adjustRightInd w:val="0"/>
        <w:snapToGrid w:val="0"/>
        <w:spacing w:beforeLines="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3.2资格审查结束后，采购人及采购代理机构应将资格审查结果告知评标委员会。</w:t>
      </w:r>
    </w:p>
    <w:p w14:paraId="580F82AA">
      <w:pPr>
        <w:pStyle w:val="4"/>
        <w:adjustRightInd w:val="0"/>
        <w:snapToGrid w:val="0"/>
        <w:spacing w:before="50" w:after="0" w:line="360" w:lineRule="auto"/>
        <w:rPr>
          <w:rFonts w:ascii="黑体" w:hAnsi="黑体" w:eastAsia="黑体"/>
          <w:sz w:val="24"/>
          <w:szCs w:val="24"/>
          <w:highlight w:val="none"/>
        </w:rPr>
      </w:pPr>
      <w:bookmarkStart w:id="32" w:name="_Toc16553"/>
      <w:r>
        <w:rPr>
          <w:rFonts w:hint="eastAsia" w:ascii="黑体" w:hAnsi="黑体" w:eastAsia="黑体"/>
          <w:sz w:val="24"/>
          <w:szCs w:val="24"/>
          <w:highlight w:val="none"/>
        </w:rPr>
        <w:t>4．其他</w:t>
      </w:r>
      <w:bookmarkEnd w:id="32"/>
    </w:p>
    <w:p w14:paraId="479FDB85">
      <w:pPr>
        <w:adjustRightInd w:val="0"/>
        <w:snapToGrid w:val="0"/>
        <w:spacing w:beforeLines="50" w:line="360" w:lineRule="auto"/>
        <w:ind w:firstLine="420" w:firstLineChars="200"/>
        <w:jc w:val="left"/>
        <w:rPr>
          <w:rFonts w:ascii="华文中宋" w:hAnsi="华文中宋" w:eastAsia="华文中宋"/>
          <w:b/>
          <w:bCs/>
          <w:sz w:val="32"/>
          <w:highlight w:val="none"/>
        </w:rPr>
      </w:pPr>
      <w:r>
        <w:rPr>
          <w:rFonts w:hint="eastAsia" w:asciiTheme="minorEastAsia" w:hAnsiTheme="minorEastAsia" w:eastAsiaTheme="minorEastAsia"/>
          <w:szCs w:val="21"/>
          <w:highlight w:val="none"/>
        </w:rPr>
        <w:t>4.1实行资格预审的采购项目，开标结束后可以不再对投标人资格进行审查。资格预审合格的投标人在提交投标文件的截止时间前资格发生变化的，应当通知采购人和采购代理机构，并按新情况更新或补充其在申请资格预审时提供的证明资料，以证实其各项资格条件仍能继续满足资格预审公告的要求。</w:t>
      </w:r>
      <w:r>
        <w:rPr>
          <w:rFonts w:ascii="华文中宋" w:hAnsi="华文中宋" w:eastAsia="华文中宋"/>
          <w:highlight w:val="none"/>
        </w:rPr>
        <w:br w:type="page"/>
      </w:r>
    </w:p>
    <w:p w14:paraId="2CF3E615">
      <w:pPr>
        <w:pStyle w:val="5"/>
        <w:rPr>
          <w:rFonts w:ascii="黑体" w:hAnsi="黑体"/>
          <w:b w:val="0"/>
          <w:sz w:val="21"/>
          <w:szCs w:val="21"/>
          <w:highlight w:val="none"/>
        </w:rPr>
      </w:pPr>
      <w:bookmarkStart w:id="33" w:name="_Toc18476"/>
      <w:r>
        <w:rPr>
          <w:rFonts w:hint="eastAsia" w:ascii="黑体" w:hAnsi="黑体"/>
          <w:b w:val="0"/>
          <w:sz w:val="21"/>
          <w:szCs w:val="21"/>
          <w:highlight w:val="none"/>
        </w:rPr>
        <w:t xml:space="preserve">附表1 </w:t>
      </w:r>
      <w:r>
        <w:rPr>
          <w:rFonts w:ascii="黑体" w:hAnsi="黑体"/>
          <w:b w:val="0"/>
          <w:sz w:val="21"/>
          <w:szCs w:val="21"/>
          <w:highlight w:val="none"/>
        </w:rPr>
        <w:t>投标人资格审查表</w:t>
      </w:r>
      <w:bookmarkEnd w:id="33"/>
    </w:p>
    <w:p w14:paraId="69AF58CC">
      <w:pPr>
        <w:adjustRightInd w:val="0"/>
        <w:snapToGrid w:val="0"/>
        <w:spacing w:line="360" w:lineRule="auto"/>
        <w:jc w:val="center"/>
        <w:rPr>
          <w:rFonts w:ascii="黑体" w:hAnsi="黑体" w:eastAsia="黑体"/>
          <w:b/>
          <w:sz w:val="28"/>
          <w:szCs w:val="28"/>
          <w:highlight w:val="none"/>
        </w:rPr>
      </w:pPr>
      <w:r>
        <w:rPr>
          <w:rFonts w:hint="eastAsia" w:ascii="黑体" w:hAnsi="黑体" w:eastAsia="黑体"/>
          <w:b/>
          <w:sz w:val="28"/>
          <w:szCs w:val="28"/>
          <w:highlight w:val="none"/>
          <w:lang w:val="en-US" w:eastAsia="zh-CN"/>
        </w:rPr>
        <w:t>包1、包2</w:t>
      </w:r>
      <w:r>
        <w:rPr>
          <w:rFonts w:ascii="黑体" w:hAnsi="黑体" w:eastAsia="黑体"/>
          <w:b/>
          <w:sz w:val="28"/>
          <w:szCs w:val="28"/>
          <w:highlight w:val="none"/>
        </w:rPr>
        <w:t>投标人资格审查表</w:t>
      </w:r>
    </w:p>
    <w:p w14:paraId="151F6D90">
      <w:pPr>
        <w:adjustRightInd w:val="0"/>
        <w:snapToGrid w:val="0"/>
        <w:spacing w:line="360" w:lineRule="auto"/>
        <w:rPr>
          <w:rFonts w:ascii="黑体" w:hAnsi="黑体" w:eastAsia="黑体"/>
          <w:sz w:val="28"/>
          <w:szCs w:val="28"/>
          <w:highlight w:val="none"/>
        </w:rPr>
      </w:pPr>
      <w:r>
        <w:rPr>
          <w:rFonts w:hint="eastAsia" w:asciiTheme="minorEastAsia" w:hAnsiTheme="minorEastAsia" w:eastAsiaTheme="minorEastAsia"/>
          <w:szCs w:val="21"/>
          <w:highlight w:val="none"/>
        </w:rPr>
        <w:t>项目名称：                                          采购代理编号：</w:t>
      </w:r>
    </w:p>
    <w:tbl>
      <w:tblPr>
        <w:tblStyle w:val="46"/>
        <w:tblW w:w="919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3"/>
        <w:gridCol w:w="6732"/>
        <w:gridCol w:w="1774"/>
      </w:tblGrid>
      <w:tr w14:paraId="2F87CC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9" w:hRule="atLeast"/>
          <w:jc w:val="center"/>
        </w:trPr>
        <w:tc>
          <w:tcPr>
            <w:tcW w:w="693" w:type="dxa"/>
            <w:vAlign w:val="center"/>
          </w:tcPr>
          <w:p w14:paraId="1B9C4AB3">
            <w:pPr>
              <w:adjustRightInd w:val="0"/>
              <w:snapToGrid w:val="0"/>
              <w:spacing w:beforeLines="50" w:line="360" w:lineRule="auto"/>
              <w:jc w:val="center"/>
              <w:rPr>
                <w:rFonts w:cs="宋体" w:asciiTheme="minorEastAsia" w:hAnsiTheme="minorEastAsia" w:eastAsiaTheme="minorEastAsia"/>
                <w:b/>
                <w:kern w:val="0"/>
                <w:szCs w:val="21"/>
                <w:highlight w:val="none"/>
              </w:rPr>
            </w:pPr>
            <w:r>
              <w:rPr>
                <w:rFonts w:hint="eastAsia" w:cs="宋体" w:asciiTheme="minorEastAsia" w:hAnsiTheme="minorEastAsia" w:eastAsiaTheme="minorEastAsia"/>
                <w:b/>
                <w:kern w:val="0"/>
                <w:szCs w:val="21"/>
                <w:highlight w:val="none"/>
              </w:rPr>
              <w:t>序号</w:t>
            </w:r>
          </w:p>
        </w:tc>
        <w:tc>
          <w:tcPr>
            <w:tcW w:w="6732" w:type="dxa"/>
            <w:vAlign w:val="center"/>
          </w:tcPr>
          <w:p w14:paraId="074930B3">
            <w:pPr>
              <w:adjustRightInd w:val="0"/>
              <w:snapToGrid w:val="0"/>
              <w:spacing w:beforeLines="50" w:line="360" w:lineRule="auto"/>
              <w:jc w:val="center"/>
              <w:rPr>
                <w:rFonts w:cs="宋体" w:asciiTheme="minorEastAsia" w:hAnsiTheme="minorEastAsia" w:eastAsiaTheme="minorEastAsia"/>
                <w:b/>
                <w:kern w:val="0"/>
                <w:szCs w:val="21"/>
                <w:highlight w:val="none"/>
              </w:rPr>
            </w:pPr>
            <w:r>
              <w:rPr>
                <w:rFonts w:hint="eastAsia" w:cs="宋体" w:asciiTheme="minorEastAsia" w:hAnsiTheme="minorEastAsia" w:eastAsiaTheme="minorEastAsia"/>
                <w:b/>
                <w:kern w:val="0"/>
                <w:szCs w:val="21"/>
                <w:highlight w:val="none"/>
              </w:rPr>
              <w:t>审查项目</w:t>
            </w:r>
          </w:p>
        </w:tc>
        <w:tc>
          <w:tcPr>
            <w:tcW w:w="1774" w:type="dxa"/>
            <w:vAlign w:val="center"/>
          </w:tcPr>
          <w:p w14:paraId="73FE4375">
            <w:pPr>
              <w:adjustRightInd w:val="0"/>
              <w:snapToGrid w:val="0"/>
              <w:spacing w:beforeLines="50" w:line="360" w:lineRule="auto"/>
              <w:jc w:val="center"/>
              <w:rPr>
                <w:rFonts w:cs="宋体" w:asciiTheme="minorEastAsia" w:hAnsiTheme="minorEastAsia" w:eastAsiaTheme="minorEastAsia"/>
                <w:b/>
                <w:kern w:val="0"/>
                <w:szCs w:val="21"/>
                <w:highlight w:val="none"/>
              </w:rPr>
            </w:pPr>
            <w:r>
              <w:rPr>
                <w:rFonts w:hint="eastAsia" w:cs="宋体" w:asciiTheme="minorEastAsia" w:hAnsiTheme="minorEastAsia" w:eastAsiaTheme="minorEastAsia"/>
                <w:b/>
                <w:kern w:val="0"/>
                <w:szCs w:val="21"/>
                <w:highlight w:val="none"/>
              </w:rPr>
              <w:t>审查标准</w:t>
            </w:r>
          </w:p>
        </w:tc>
      </w:tr>
      <w:tr w14:paraId="034B03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935" w:hRule="atLeast"/>
          <w:jc w:val="center"/>
        </w:trPr>
        <w:tc>
          <w:tcPr>
            <w:tcW w:w="693" w:type="dxa"/>
            <w:vAlign w:val="center"/>
          </w:tcPr>
          <w:p w14:paraId="7EE241C2">
            <w:pPr>
              <w:adjustRightInd w:val="0"/>
              <w:snapToGrid w:val="0"/>
              <w:spacing w:beforeLines="50" w:line="360" w:lineRule="auto"/>
              <w:jc w:val="center"/>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1</w:t>
            </w:r>
          </w:p>
        </w:tc>
        <w:tc>
          <w:tcPr>
            <w:tcW w:w="6732" w:type="dxa"/>
          </w:tcPr>
          <w:p w14:paraId="253DEC3D">
            <w:pPr>
              <w:adjustRightInd w:val="0"/>
              <w:snapToGrid w:val="0"/>
              <w:spacing w:line="360" w:lineRule="auto"/>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具有独立承担民事责任的能力，提供有效的《营业执照》副本、《组织机构代码证》、《税务登记证》副本（备注：如投标单位所在省市已实施“三证合一、一照一码”制度改革的，要求提供三证合一后的新《营业执照》副本复印件，可不提供《税务登记证》副本和《组织机构代码证》）；</w:t>
            </w:r>
          </w:p>
        </w:tc>
        <w:tc>
          <w:tcPr>
            <w:tcW w:w="1774" w:type="dxa"/>
            <w:vAlign w:val="center"/>
          </w:tcPr>
          <w:p w14:paraId="129AC166">
            <w:pPr>
              <w:adjustRightInd w:val="0"/>
              <w:snapToGrid w:val="0"/>
              <w:spacing w:beforeLines="50" w:line="360" w:lineRule="auto"/>
              <w:jc w:val="center"/>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第二章第15.1</w:t>
            </w:r>
            <w:r>
              <w:rPr>
                <w:rFonts w:hint="eastAsia" w:cs="宋体" w:asciiTheme="minorEastAsia" w:hAnsiTheme="minorEastAsia" w:eastAsiaTheme="minorEastAsia"/>
                <w:kern w:val="0"/>
                <w:sz w:val="20"/>
                <w:szCs w:val="21"/>
                <w:highlight w:val="none"/>
              </w:rPr>
              <w:t>款</w:t>
            </w:r>
          </w:p>
        </w:tc>
      </w:tr>
      <w:tr w14:paraId="1BB364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43" w:hRule="atLeast"/>
          <w:jc w:val="center"/>
        </w:trPr>
        <w:tc>
          <w:tcPr>
            <w:tcW w:w="693" w:type="dxa"/>
            <w:vAlign w:val="center"/>
          </w:tcPr>
          <w:p w14:paraId="20029D72">
            <w:pPr>
              <w:adjustRightInd w:val="0"/>
              <w:snapToGrid w:val="0"/>
              <w:spacing w:beforeLines="50" w:line="360" w:lineRule="auto"/>
              <w:jc w:val="center"/>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2</w:t>
            </w:r>
          </w:p>
        </w:tc>
        <w:tc>
          <w:tcPr>
            <w:tcW w:w="6732" w:type="dxa"/>
          </w:tcPr>
          <w:p w14:paraId="71FDF215">
            <w:pPr>
              <w:adjustRightInd w:val="0"/>
              <w:snapToGrid w:val="0"/>
              <w:spacing w:line="360" w:lineRule="auto"/>
              <w:rPr>
                <w:rFonts w:hint="eastAsia" w:ascii="宋体" w:hAnsi="宋体" w:eastAsia="宋体" w:cs="宋体"/>
                <w:szCs w:val="21"/>
                <w:highlight w:val="none"/>
                <w:lang w:eastAsia="zh-CN"/>
              </w:rPr>
            </w:pPr>
            <w:r>
              <w:rPr>
                <w:rFonts w:hint="eastAsia" w:ascii="宋体" w:hAnsi="宋体" w:eastAsia="宋体" w:cs="Times New Roman"/>
                <w:szCs w:val="21"/>
                <w:highlight w:val="none"/>
              </w:rPr>
              <w:t>提供法定代表人身份证明及法定代表人的身份证，或法定代表人身份证明、法定代表人授权委托书及其委托代理人的身份证</w:t>
            </w:r>
            <w:r>
              <w:rPr>
                <w:rFonts w:hint="eastAsia" w:ascii="宋体" w:hAnsi="宋体" w:eastAsia="宋体" w:cs="Times New Roman"/>
                <w:szCs w:val="21"/>
                <w:highlight w:val="none"/>
                <w:lang w:eastAsia="zh-CN"/>
              </w:rPr>
              <w:t>；</w:t>
            </w:r>
          </w:p>
        </w:tc>
        <w:tc>
          <w:tcPr>
            <w:tcW w:w="1774" w:type="dxa"/>
            <w:vAlign w:val="center"/>
          </w:tcPr>
          <w:p w14:paraId="3862A4CE">
            <w:pPr>
              <w:adjustRightInd w:val="0"/>
              <w:snapToGrid w:val="0"/>
              <w:spacing w:beforeLines="50" w:line="360" w:lineRule="auto"/>
              <w:jc w:val="center"/>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第二章第15.1</w:t>
            </w:r>
            <w:r>
              <w:rPr>
                <w:rFonts w:hint="eastAsia" w:cs="宋体" w:asciiTheme="minorEastAsia" w:hAnsiTheme="minorEastAsia" w:eastAsiaTheme="minorEastAsia"/>
                <w:kern w:val="0"/>
                <w:sz w:val="20"/>
                <w:szCs w:val="21"/>
                <w:highlight w:val="none"/>
              </w:rPr>
              <w:t>款</w:t>
            </w:r>
          </w:p>
        </w:tc>
      </w:tr>
      <w:tr w14:paraId="7A6609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3" w:hRule="atLeast"/>
          <w:jc w:val="center"/>
        </w:trPr>
        <w:tc>
          <w:tcPr>
            <w:tcW w:w="693" w:type="dxa"/>
            <w:vAlign w:val="center"/>
          </w:tcPr>
          <w:p w14:paraId="64B756E8">
            <w:pPr>
              <w:adjustRightInd w:val="0"/>
              <w:snapToGrid w:val="0"/>
              <w:spacing w:beforeLines="50" w:line="360" w:lineRule="auto"/>
              <w:jc w:val="center"/>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3</w:t>
            </w:r>
          </w:p>
        </w:tc>
        <w:tc>
          <w:tcPr>
            <w:tcW w:w="6732" w:type="dxa"/>
            <w:vAlign w:val="center"/>
          </w:tcPr>
          <w:p w14:paraId="2149CA64">
            <w:pPr>
              <w:adjustRightInd w:val="0"/>
              <w:snapToGrid w:val="0"/>
              <w:spacing w:beforeLines="50" w:line="360" w:lineRule="auto"/>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提供湖南省政府采购供应商资格承诺函；</w:t>
            </w:r>
          </w:p>
        </w:tc>
        <w:tc>
          <w:tcPr>
            <w:tcW w:w="1774" w:type="dxa"/>
            <w:vAlign w:val="center"/>
          </w:tcPr>
          <w:p w14:paraId="0A351F62">
            <w:pPr>
              <w:adjustRightInd w:val="0"/>
              <w:snapToGrid w:val="0"/>
              <w:spacing w:beforeLines="50" w:line="360" w:lineRule="auto"/>
              <w:jc w:val="center"/>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第二章第15.1款</w:t>
            </w:r>
          </w:p>
        </w:tc>
      </w:tr>
      <w:tr w14:paraId="24F173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2" w:hRule="atLeast"/>
          <w:jc w:val="center"/>
        </w:trPr>
        <w:tc>
          <w:tcPr>
            <w:tcW w:w="693" w:type="dxa"/>
            <w:vAlign w:val="center"/>
          </w:tcPr>
          <w:p w14:paraId="532585F0">
            <w:pPr>
              <w:adjustRightInd w:val="0"/>
              <w:snapToGrid w:val="0"/>
              <w:spacing w:beforeLines="50" w:line="360" w:lineRule="auto"/>
              <w:jc w:val="center"/>
              <w:rPr>
                <w:rFonts w:hint="eastAsia" w:cs="宋体" w:asciiTheme="minorEastAsia" w:hAnsiTheme="minorEastAsia" w:eastAsiaTheme="minorEastAsia"/>
                <w:kern w:val="0"/>
                <w:szCs w:val="21"/>
                <w:highlight w:val="none"/>
                <w:lang w:val="en-US" w:eastAsia="zh-CN"/>
              </w:rPr>
            </w:pPr>
            <w:r>
              <w:rPr>
                <w:rFonts w:hint="eastAsia" w:cs="宋体" w:asciiTheme="minorEastAsia" w:hAnsiTheme="minorEastAsia" w:eastAsiaTheme="minorEastAsia"/>
                <w:kern w:val="0"/>
                <w:szCs w:val="21"/>
                <w:highlight w:val="none"/>
                <w:lang w:val="en-US" w:eastAsia="zh-CN"/>
              </w:rPr>
              <w:t>4</w:t>
            </w:r>
          </w:p>
        </w:tc>
        <w:tc>
          <w:tcPr>
            <w:tcW w:w="6732" w:type="dxa"/>
            <w:vAlign w:val="center"/>
          </w:tcPr>
          <w:p w14:paraId="4C751B8C">
            <w:pPr>
              <w:adjustRightInd w:val="0"/>
              <w:snapToGrid w:val="0"/>
              <w:spacing w:beforeLines="50" w:line="360" w:lineRule="auto"/>
              <w:jc w:val="left"/>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提供</w:t>
            </w:r>
            <w:r>
              <w:rPr>
                <w:rFonts w:hint="eastAsia" w:cs="宋体" w:asciiTheme="minorEastAsia" w:hAnsiTheme="minorEastAsia" w:eastAsiaTheme="minorEastAsia"/>
                <w:kern w:val="0"/>
                <w:szCs w:val="21"/>
                <w:highlight w:val="none"/>
                <w:lang w:val="en-US" w:eastAsia="zh-CN"/>
              </w:rPr>
              <w:t>投标人资格声明；</w:t>
            </w:r>
          </w:p>
        </w:tc>
        <w:tc>
          <w:tcPr>
            <w:tcW w:w="1774" w:type="dxa"/>
            <w:vAlign w:val="center"/>
          </w:tcPr>
          <w:p w14:paraId="21397902">
            <w:pPr>
              <w:adjustRightInd w:val="0"/>
              <w:snapToGrid w:val="0"/>
              <w:spacing w:beforeLines="50" w:line="360" w:lineRule="auto"/>
              <w:jc w:val="center"/>
              <w:rPr>
                <w:rFonts w:hint="eastAsia"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第二章第15.1款</w:t>
            </w:r>
          </w:p>
        </w:tc>
      </w:tr>
      <w:tr w14:paraId="1F10FA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67" w:hRule="atLeast"/>
          <w:jc w:val="center"/>
        </w:trPr>
        <w:tc>
          <w:tcPr>
            <w:tcW w:w="693" w:type="dxa"/>
            <w:vAlign w:val="center"/>
          </w:tcPr>
          <w:p w14:paraId="15E5B553">
            <w:pPr>
              <w:adjustRightInd w:val="0"/>
              <w:snapToGrid w:val="0"/>
              <w:spacing w:beforeLines="50" w:line="360" w:lineRule="auto"/>
              <w:jc w:val="center"/>
              <w:rPr>
                <w:rFonts w:hint="eastAsia" w:cs="宋体" w:asciiTheme="minorEastAsia" w:hAnsiTheme="minorEastAsia" w:eastAsiaTheme="minorEastAsia"/>
                <w:kern w:val="0"/>
                <w:szCs w:val="21"/>
                <w:highlight w:val="none"/>
                <w:lang w:eastAsia="zh-CN"/>
              </w:rPr>
            </w:pPr>
            <w:r>
              <w:rPr>
                <w:rFonts w:hint="eastAsia" w:cs="宋体" w:asciiTheme="minorEastAsia" w:hAnsiTheme="minorEastAsia" w:eastAsiaTheme="minorEastAsia"/>
                <w:kern w:val="0"/>
                <w:szCs w:val="21"/>
                <w:highlight w:val="none"/>
                <w:lang w:val="en-US" w:eastAsia="zh-CN"/>
              </w:rPr>
              <w:t>5</w:t>
            </w:r>
          </w:p>
        </w:tc>
        <w:tc>
          <w:tcPr>
            <w:tcW w:w="6732" w:type="dxa"/>
            <w:vAlign w:val="center"/>
          </w:tcPr>
          <w:p w14:paraId="29FFF4AA">
            <w:pPr>
              <w:adjustRightInd w:val="0"/>
              <w:snapToGrid w:val="0"/>
              <w:spacing w:line="360" w:lineRule="auto"/>
              <w:rPr>
                <w:rFonts w:ascii="宋体" w:hAnsi="宋体"/>
                <w:szCs w:val="21"/>
                <w:highlight w:val="none"/>
              </w:rPr>
            </w:pPr>
            <w:r>
              <w:rPr>
                <w:rFonts w:ascii="宋体" w:cs="宋体"/>
                <w:highlight w:val="none"/>
              </w:rPr>
              <w:t>提供“信用中国”“信用湖南”“信用郴州”、“中国政府采购网”“湖南省政府采购网”网站截图</w:t>
            </w:r>
            <w:r>
              <w:rPr>
                <w:rFonts w:hint="eastAsia" w:ascii="宋体" w:cs="宋体"/>
                <w:highlight w:val="none"/>
              </w:rPr>
              <w:t>；</w:t>
            </w:r>
          </w:p>
        </w:tc>
        <w:tc>
          <w:tcPr>
            <w:tcW w:w="1774" w:type="dxa"/>
            <w:vAlign w:val="center"/>
          </w:tcPr>
          <w:p w14:paraId="48902678">
            <w:pPr>
              <w:adjustRightInd w:val="0"/>
              <w:snapToGrid w:val="0"/>
              <w:spacing w:line="360" w:lineRule="auto"/>
              <w:rPr>
                <w:rFonts w:ascii="宋体" w:hAnsi="宋体"/>
                <w:szCs w:val="21"/>
                <w:highlight w:val="none"/>
              </w:rPr>
            </w:pPr>
            <w:r>
              <w:rPr>
                <w:rFonts w:hint="eastAsia" w:ascii="宋体" w:hAnsi="宋体"/>
                <w:szCs w:val="21"/>
                <w:highlight w:val="none"/>
              </w:rPr>
              <w:t>第二章第15.1款</w:t>
            </w:r>
          </w:p>
        </w:tc>
      </w:tr>
      <w:tr w14:paraId="0D8561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93" w:type="dxa"/>
            <w:vAlign w:val="center"/>
          </w:tcPr>
          <w:p w14:paraId="1D00ADBB">
            <w:pPr>
              <w:adjustRightInd w:val="0"/>
              <w:snapToGrid w:val="0"/>
              <w:spacing w:beforeLines="50" w:line="360" w:lineRule="auto"/>
              <w:jc w:val="center"/>
              <w:rPr>
                <w:rFonts w:hint="default" w:cs="宋体" w:asciiTheme="minorEastAsia" w:hAnsiTheme="minorEastAsia" w:eastAsiaTheme="minorEastAsia"/>
                <w:kern w:val="0"/>
                <w:szCs w:val="21"/>
                <w:highlight w:val="none"/>
                <w:lang w:val="en-US" w:eastAsia="zh-CN"/>
              </w:rPr>
            </w:pPr>
            <w:r>
              <w:rPr>
                <w:rFonts w:hint="eastAsia" w:cs="宋体" w:asciiTheme="minorEastAsia" w:hAnsiTheme="minorEastAsia" w:eastAsiaTheme="minorEastAsia"/>
                <w:kern w:val="0"/>
                <w:szCs w:val="21"/>
                <w:highlight w:val="none"/>
                <w:lang w:val="en-US" w:eastAsia="zh-CN"/>
              </w:rPr>
              <w:t>6</w:t>
            </w:r>
          </w:p>
        </w:tc>
        <w:tc>
          <w:tcPr>
            <w:tcW w:w="6732" w:type="dxa"/>
            <w:vAlign w:val="center"/>
          </w:tcPr>
          <w:p w14:paraId="453142C5">
            <w:pPr>
              <w:adjustRightInd w:val="0"/>
              <w:snapToGrid w:val="0"/>
              <w:spacing w:line="360" w:lineRule="auto"/>
              <w:rPr>
                <w:rFonts w:ascii="宋体" w:cs="宋体"/>
                <w:highlight w:val="none"/>
              </w:rPr>
            </w:pPr>
            <w:r>
              <w:rPr>
                <w:rFonts w:hint="eastAsia" w:ascii="宋体" w:cs="宋体"/>
                <w:highlight w:val="none"/>
                <w:lang w:eastAsia="zh-CN"/>
              </w:rPr>
              <w:t>投标人须具有医疗器械经营许可证（或相应的备案凭证）；</w:t>
            </w:r>
          </w:p>
        </w:tc>
        <w:tc>
          <w:tcPr>
            <w:tcW w:w="1774" w:type="dxa"/>
            <w:vAlign w:val="center"/>
          </w:tcPr>
          <w:p w14:paraId="366F1E47">
            <w:pPr>
              <w:adjustRightInd w:val="0"/>
              <w:snapToGrid w:val="0"/>
              <w:spacing w:line="360" w:lineRule="auto"/>
              <w:rPr>
                <w:rFonts w:hint="eastAsia" w:ascii="宋体" w:hAnsi="宋体"/>
                <w:szCs w:val="21"/>
                <w:highlight w:val="none"/>
              </w:rPr>
            </w:pPr>
            <w:r>
              <w:rPr>
                <w:rFonts w:hint="eastAsia" w:ascii="宋体" w:hAnsi="宋体"/>
                <w:szCs w:val="21"/>
                <w:highlight w:val="none"/>
              </w:rPr>
              <w:t>第二章</w:t>
            </w:r>
            <w:r>
              <w:rPr>
                <w:rFonts w:hint="eastAsia" w:asciiTheme="minorEastAsia" w:hAnsiTheme="minorEastAsia" w:eastAsiaTheme="minorEastAsia"/>
                <w:szCs w:val="21"/>
                <w:highlight w:val="none"/>
              </w:rPr>
              <w:t>第15.1(3)项</w:t>
            </w:r>
          </w:p>
        </w:tc>
      </w:tr>
      <w:tr w14:paraId="4A5BAB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2" w:hRule="atLeast"/>
          <w:jc w:val="center"/>
        </w:trPr>
        <w:tc>
          <w:tcPr>
            <w:tcW w:w="693" w:type="dxa"/>
            <w:vAlign w:val="center"/>
          </w:tcPr>
          <w:p w14:paraId="71BDB73C">
            <w:pPr>
              <w:adjustRightInd w:val="0"/>
              <w:snapToGrid w:val="0"/>
              <w:spacing w:line="360" w:lineRule="exact"/>
              <w:jc w:val="center"/>
              <w:rPr>
                <w:rFonts w:hint="default" w:ascii="宋体" w:cs="宋体"/>
                <w:highlight w:val="none"/>
                <w:lang w:val="en-US" w:eastAsia="zh-CN"/>
              </w:rPr>
            </w:pPr>
            <w:r>
              <w:rPr>
                <w:rFonts w:hint="eastAsia" w:ascii="宋体" w:cs="宋体"/>
                <w:highlight w:val="none"/>
                <w:lang w:val="en-US" w:eastAsia="zh-CN"/>
              </w:rPr>
              <w:t>7</w:t>
            </w:r>
          </w:p>
        </w:tc>
        <w:tc>
          <w:tcPr>
            <w:tcW w:w="6732" w:type="dxa"/>
            <w:vAlign w:val="center"/>
          </w:tcPr>
          <w:p w14:paraId="2D898BB1">
            <w:pPr>
              <w:adjustRightInd w:val="0"/>
              <w:snapToGrid w:val="0"/>
              <w:spacing w:beforeLines="50" w:line="360" w:lineRule="auto"/>
              <w:jc w:val="left"/>
              <w:rPr>
                <w:rFonts w:hint="eastAsia" w:ascii="宋体" w:hAnsi="Times New Roman" w:cs="宋体" w:eastAsiaTheme="minorEastAsia"/>
                <w:highlight w:val="none"/>
                <w:lang w:eastAsia="zh-CN"/>
              </w:rPr>
            </w:pPr>
            <w:r>
              <w:rPr>
                <w:rFonts w:hint="eastAsia" w:asciiTheme="minorEastAsia" w:hAnsiTheme="minorEastAsia" w:eastAsiaTheme="minorEastAsia"/>
                <w:szCs w:val="21"/>
                <w:highlight w:val="none"/>
              </w:rPr>
              <w:t>提交的资格证明文件符合招标文件要求</w:t>
            </w:r>
            <w:r>
              <w:rPr>
                <w:rFonts w:hint="eastAsia" w:asciiTheme="minorEastAsia" w:hAnsiTheme="minorEastAsia" w:eastAsiaTheme="minorEastAsia"/>
                <w:szCs w:val="21"/>
                <w:highlight w:val="none"/>
                <w:lang w:eastAsia="zh-CN"/>
              </w:rPr>
              <w:t>。</w:t>
            </w:r>
          </w:p>
        </w:tc>
        <w:tc>
          <w:tcPr>
            <w:tcW w:w="1774" w:type="dxa"/>
            <w:vAlign w:val="center"/>
          </w:tcPr>
          <w:p w14:paraId="3B9DF636">
            <w:pPr>
              <w:adjustRightInd w:val="0"/>
              <w:snapToGrid w:val="0"/>
              <w:spacing w:line="360" w:lineRule="exact"/>
              <w:jc w:val="center"/>
              <w:rPr>
                <w:rFonts w:hint="default" w:ascii="宋体" w:hAnsi="Times New Roman" w:eastAsia="宋体" w:cs="宋体"/>
                <w:highlight w:val="none"/>
                <w:lang w:val="en-US" w:eastAsia="zh-CN"/>
              </w:rPr>
            </w:pPr>
            <w:r>
              <w:rPr>
                <w:rFonts w:hint="eastAsia" w:ascii="宋体" w:hAnsi="Times New Roman" w:eastAsia="宋体" w:cs="宋体"/>
                <w:highlight w:val="none"/>
              </w:rPr>
              <w:t>第三章</w:t>
            </w:r>
            <w:r>
              <w:rPr>
                <w:rFonts w:hint="eastAsia" w:ascii="宋体" w:cs="宋体"/>
                <w:highlight w:val="none"/>
                <w:lang w:val="en-US" w:eastAsia="zh-CN"/>
              </w:rPr>
              <w:t xml:space="preserve"> 2.3款</w:t>
            </w:r>
          </w:p>
        </w:tc>
      </w:tr>
    </w:tbl>
    <w:p w14:paraId="54560709">
      <w:pPr>
        <w:adjustRightInd w:val="0"/>
        <w:snapToGrid w:val="0"/>
        <w:spacing w:line="360" w:lineRule="auto"/>
        <w:jc w:val="center"/>
        <w:rPr>
          <w:rFonts w:ascii="黑体" w:hAnsi="黑体" w:eastAsia="黑体"/>
          <w:bCs/>
          <w:szCs w:val="21"/>
          <w:highlight w:val="none"/>
        </w:rPr>
      </w:pPr>
    </w:p>
    <w:p w14:paraId="197A6920">
      <w:pPr>
        <w:adjustRightInd w:val="0"/>
        <w:snapToGrid w:val="0"/>
        <w:spacing w:line="360" w:lineRule="auto"/>
        <w:jc w:val="center"/>
        <w:rPr>
          <w:rFonts w:ascii="黑体" w:hAnsi="黑体" w:eastAsia="黑体"/>
          <w:bCs/>
          <w:szCs w:val="21"/>
          <w:highlight w:val="none"/>
        </w:rPr>
      </w:pPr>
      <w:r>
        <w:rPr>
          <w:rFonts w:hint="eastAsia" w:ascii="宋体" w:hAnsi="宋体" w:eastAsia="宋体" w:cs="Times New Roman"/>
          <w:szCs w:val="21"/>
          <w:highlight w:val="none"/>
        </w:rPr>
        <w:t>1</w:t>
      </w:r>
    </w:p>
    <w:p w14:paraId="187765C0">
      <w:pPr>
        <w:adjustRightInd w:val="0"/>
        <w:snapToGrid w:val="0"/>
        <w:spacing w:line="360" w:lineRule="auto"/>
        <w:jc w:val="center"/>
        <w:rPr>
          <w:rFonts w:ascii="黑体" w:hAnsi="黑体" w:eastAsia="黑体"/>
          <w:bCs/>
          <w:szCs w:val="21"/>
          <w:highlight w:val="none"/>
        </w:rPr>
      </w:pPr>
    </w:p>
    <w:p w14:paraId="4F677AB9">
      <w:pPr>
        <w:rPr>
          <w:rFonts w:ascii="黑体" w:hAnsi="黑体" w:eastAsia="黑体"/>
          <w:bCs/>
          <w:szCs w:val="21"/>
          <w:highlight w:val="none"/>
        </w:rPr>
      </w:pPr>
      <w:r>
        <w:rPr>
          <w:rFonts w:ascii="黑体" w:hAnsi="黑体" w:eastAsia="黑体"/>
          <w:bCs/>
          <w:szCs w:val="21"/>
          <w:highlight w:val="none"/>
        </w:rPr>
        <w:br w:type="page"/>
      </w:r>
    </w:p>
    <w:p w14:paraId="3552D452">
      <w:pPr>
        <w:pStyle w:val="5"/>
        <w:adjustRightInd w:val="0"/>
        <w:snapToGrid w:val="0"/>
        <w:spacing w:before="0" w:after="0" w:line="360" w:lineRule="auto"/>
        <w:rPr>
          <w:rFonts w:ascii="黑体" w:hAnsi="黑体"/>
          <w:b w:val="0"/>
          <w:sz w:val="21"/>
          <w:szCs w:val="21"/>
          <w:highlight w:val="none"/>
        </w:rPr>
      </w:pPr>
      <w:bookmarkStart w:id="34" w:name="_Toc6286"/>
      <w:r>
        <w:rPr>
          <w:rFonts w:hint="eastAsia" w:ascii="黑体" w:hAnsi="黑体"/>
          <w:b w:val="0"/>
          <w:sz w:val="21"/>
          <w:szCs w:val="21"/>
          <w:highlight w:val="none"/>
        </w:rPr>
        <w:t>附表2 资格审查结果一览表</w:t>
      </w:r>
      <w:bookmarkEnd w:id="34"/>
    </w:p>
    <w:p w14:paraId="6B43D586">
      <w:pPr>
        <w:adjustRightInd w:val="0"/>
        <w:snapToGrid w:val="0"/>
        <w:spacing w:line="360" w:lineRule="auto"/>
        <w:jc w:val="center"/>
        <w:rPr>
          <w:rFonts w:ascii="黑体" w:hAnsi="黑体" w:eastAsia="黑体"/>
          <w:b/>
          <w:sz w:val="28"/>
          <w:szCs w:val="28"/>
          <w:highlight w:val="none"/>
        </w:rPr>
      </w:pPr>
      <w:r>
        <w:rPr>
          <w:rFonts w:hint="eastAsia" w:ascii="黑体" w:hAnsi="黑体" w:eastAsia="黑体"/>
          <w:b/>
          <w:sz w:val="28"/>
          <w:szCs w:val="28"/>
          <w:highlight w:val="none"/>
        </w:rPr>
        <w:t>资格审查结果一览表</w:t>
      </w:r>
    </w:p>
    <w:p w14:paraId="43235048">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项目名称：                                           采购代理编号：</w:t>
      </w:r>
    </w:p>
    <w:tbl>
      <w:tblPr>
        <w:tblStyle w:val="46"/>
        <w:tblW w:w="906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7FC986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jc w:val="center"/>
        </w:trPr>
        <w:tc>
          <w:tcPr>
            <w:tcW w:w="697" w:type="dxa"/>
            <w:vAlign w:val="center"/>
          </w:tcPr>
          <w:p w14:paraId="24A0326D">
            <w:pPr>
              <w:jc w:val="center"/>
              <w:rPr>
                <w:rFonts w:asciiTheme="minorEastAsia" w:hAnsiTheme="minorEastAsia" w:eastAsiaTheme="minorEastAsia"/>
                <w:b/>
                <w:kern w:val="0"/>
                <w:szCs w:val="21"/>
                <w:highlight w:val="none"/>
              </w:rPr>
            </w:pPr>
            <w:r>
              <w:rPr>
                <w:rFonts w:hint="eastAsia" w:asciiTheme="minorEastAsia" w:hAnsiTheme="minorEastAsia" w:eastAsiaTheme="minorEastAsia"/>
                <w:b/>
                <w:kern w:val="0"/>
                <w:szCs w:val="21"/>
                <w:highlight w:val="none"/>
              </w:rPr>
              <w:t>序号</w:t>
            </w:r>
          </w:p>
        </w:tc>
        <w:tc>
          <w:tcPr>
            <w:tcW w:w="2963" w:type="dxa"/>
            <w:vAlign w:val="center"/>
          </w:tcPr>
          <w:p w14:paraId="1854B702">
            <w:pPr>
              <w:jc w:val="center"/>
              <w:rPr>
                <w:rFonts w:asciiTheme="minorEastAsia" w:hAnsiTheme="minorEastAsia" w:eastAsiaTheme="minorEastAsia"/>
                <w:b/>
                <w:kern w:val="0"/>
                <w:szCs w:val="21"/>
                <w:highlight w:val="none"/>
              </w:rPr>
            </w:pPr>
            <w:r>
              <w:rPr>
                <w:rFonts w:hint="eastAsia" w:asciiTheme="minorEastAsia" w:hAnsiTheme="minorEastAsia" w:eastAsiaTheme="minorEastAsia"/>
                <w:b/>
                <w:kern w:val="0"/>
                <w:szCs w:val="21"/>
                <w:highlight w:val="none"/>
              </w:rPr>
              <w:t>投标人名称</w:t>
            </w:r>
          </w:p>
        </w:tc>
        <w:tc>
          <w:tcPr>
            <w:tcW w:w="2439" w:type="dxa"/>
            <w:vAlign w:val="center"/>
          </w:tcPr>
          <w:p w14:paraId="27B90D4B">
            <w:pPr>
              <w:jc w:val="center"/>
              <w:rPr>
                <w:rFonts w:asciiTheme="minorEastAsia" w:hAnsiTheme="minorEastAsia" w:eastAsiaTheme="minorEastAsia"/>
                <w:b/>
                <w:kern w:val="0"/>
                <w:szCs w:val="21"/>
                <w:highlight w:val="none"/>
              </w:rPr>
            </w:pPr>
            <w:r>
              <w:rPr>
                <w:rFonts w:hint="eastAsia" w:asciiTheme="minorEastAsia" w:hAnsiTheme="minorEastAsia" w:eastAsiaTheme="minorEastAsia"/>
                <w:b/>
                <w:kern w:val="0"/>
                <w:szCs w:val="21"/>
                <w:highlight w:val="none"/>
              </w:rPr>
              <w:t>资格审查结果</w:t>
            </w:r>
          </w:p>
          <w:p w14:paraId="18609231">
            <w:pPr>
              <w:jc w:val="center"/>
              <w:rPr>
                <w:rFonts w:asciiTheme="minorEastAsia" w:hAnsiTheme="minorEastAsia" w:eastAsiaTheme="minorEastAsia"/>
                <w:b/>
                <w:kern w:val="0"/>
                <w:szCs w:val="21"/>
                <w:highlight w:val="none"/>
              </w:rPr>
            </w:pPr>
            <w:r>
              <w:rPr>
                <w:rFonts w:hint="eastAsia" w:asciiTheme="minorEastAsia" w:hAnsiTheme="minorEastAsia" w:eastAsiaTheme="minorEastAsia"/>
                <w:b/>
                <w:kern w:val="0"/>
                <w:szCs w:val="21"/>
                <w:highlight w:val="none"/>
              </w:rPr>
              <w:t>（合格/不合格）</w:t>
            </w:r>
          </w:p>
        </w:tc>
        <w:tc>
          <w:tcPr>
            <w:tcW w:w="2961" w:type="dxa"/>
            <w:vAlign w:val="center"/>
          </w:tcPr>
          <w:p w14:paraId="7E758FBD">
            <w:pPr>
              <w:jc w:val="center"/>
              <w:rPr>
                <w:rFonts w:asciiTheme="minorEastAsia" w:hAnsiTheme="minorEastAsia" w:eastAsiaTheme="minorEastAsia"/>
                <w:b/>
                <w:kern w:val="0"/>
                <w:szCs w:val="21"/>
                <w:highlight w:val="none"/>
              </w:rPr>
            </w:pPr>
            <w:r>
              <w:rPr>
                <w:rFonts w:hint="eastAsia" w:asciiTheme="minorEastAsia" w:hAnsiTheme="minorEastAsia" w:eastAsiaTheme="minorEastAsia"/>
                <w:b/>
                <w:kern w:val="0"/>
                <w:szCs w:val="21"/>
                <w:highlight w:val="none"/>
              </w:rPr>
              <w:t>资格审查不合格原因</w:t>
            </w:r>
          </w:p>
        </w:tc>
      </w:tr>
      <w:tr w14:paraId="2D6501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60A4F67D">
            <w:pPr>
              <w:adjustRightInd w:val="0"/>
              <w:snapToGrid w:val="0"/>
              <w:spacing w:line="360" w:lineRule="auto"/>
              <w:rPr>
                <w:rFonts w:asciiTheme="minorEastAsia" w:hAnsiTheme="minorEastAsia" w:eastAsiaTheme="minorEastAsia"/>
                <w:kern w:val="0"/>
                <w:sz w:val="24"/>
                <w:highlight w:val="none"/>
              </w:rPr>
            </w:pPr>
          </w:p>
        </w:tc>
        <w:tc>
          <w:tcPr>
            <w:tcW w:w="2963" w:type="dxa"/>
          </w:tcPr>
          <w:p w14:paraId="7605394C">
            <w:pPr>
              <w:adjustRightInd w:val="0"/>
              <w:snapToGrid w:val="0"/>
              <w:spacing w:line="360" w:lineRule="auto"/>
              <w:rPr>
                <w:rFonts w:asciiTheme="minorEastAsia" w:hAnsiTheme="minorEastAsia" w:eastAsiaTheme="minorEastAsia"/>
                <w:kern w:val="0"/>
                <w:sz w:val="24"/>
                <w:highlight w:val="none"/>
              </w:rPr>
            </w:pPr>
          </w:p>
        </w:tc>
        <w:tc>
          <w:tcPr>
            <w:tcW w:w="2439" w:type="dxa"/>
          </w:tcPr>
          <w:p w14:paraId="6A921053">
            <w:pPr>
              <w:adjustRightInd w:val="0"/>
              <w:snapToGrid w:val="0"/>
              <w:spacing w:line="360" w:lineRule="auto"/>
              <w:rPr>
                <w:rFonts w:asciiTheme="minorEastAsia" w:hAnsiTheme="minorEastAsia" w:eastAsiaTheme="minorEastAsia"/>
                <w:kern w:val="0"/>
                <w:sz w:val="24"/>
                <w:highlight w:val="none"/>
              </w:rPr>
            </w:pPr>
          </w:p>
        </w:tc>
        <w:tc>
          <w:tcPr>
            <w:tcW w:w="2961" w:type="dxa"/>
          </w:tcPr>
          <w:p w14:paraId="2CDDB58B">
            <w:pPr>
              <w:adjustRightInd w:val="0"/>
              <w:snapToGrid w:val="0"/>
              <w:spacing w:line="360" w:lineRule="auto"/>
              <w:rPr>
                <w:rFonts w:asciiTheme="minorEastAsia" w:hAnsiTheme="minorEastAsia" w:eastAsiaTheme="minorEastAsia"/>
                <w:kern w:val="0"/>
                <w:sz w:val="24"/>
                <w:highlight w:val="none"/>
              </w:rPr>
            </w:pPr>
          </w:p>
        </w:tc>
      </w:tr>
      <w:tr w14:paraId="1C3C7B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5407DB95">
            <w:pPr>
              <w:adjustRightInd w:val="0"/>
              <w:snapToGrid w:val="0"/>
              <w:spacing w:line="360" w:lineRule="auto"/>
              <w:rPr>
                <w:rFonts w:asciiTheme="minorEastAsia" w:hAnsiTheme="minorEastAsia" w:eastAsiaTheme="minorEastAsia"/>
                <w:kern w:val="0"/>
                <w:sz w:val="24"/>
                <w:highlight w:val="none"/>
              </w:rPr>
            </w:pPr>
          </w:p>
        </w:tc>
        <w:tc>
          <w:tcPr>
            <w:tcW w:w="2963" w:type="dxa"/>
          </w:tcPr>
          <w:p w14:paraId="6E21B96B">
            <w:pPr>
              <w:adjustRightInd w:val="0"/>
              <w:snapToGrid w:val="0"/>
              <w:spacing w:line="360" w:lineRule="auto"/>
              <w:rPr>
                <w:rFonts w:asciiTheme="minorEastAsia" w:hAnsiTheme="minorEastAsia" w:eastAsiaTheme="minorEastAsia"/>
                <w:kern w:val="0"/>
                <w:sz w:val="24"/>
                <w:highlight w:val="none"/>
              </w:rPr>
            </w:pPr>
          </w:p>
        </w:tc>
        <w:tc>
          <w:tcPr>
            <w:tcW w:w="2439" w:type="dxa"/>
          </w:tcPr>
          <w:p w14:paraId="0BBD7FF7">
            <w:pPr>
              <w:adjustRightInd w:val="0"/>
              <w:snapToGrid w:val="0"/>
              <w:spacing w:line="360" w:lineRule="auto"/>
              <w:rPr>
                <w:rFonts w:asciiTheme="minorEastAsia" w:hAnsiTheme="minorEastAsia" w:eastAsiaTheme="minorEastAsia"/>
                <w:kern w:val="0"/>
                <w:sz w:val="24"/>
                <w:highlight w:val="none"/>
              </w:rPr>
            </w:pPr>
          </w:p>
        </w:tc>
        <w:tc>
          <w:tcPr>
            <w:tcW w:w="2961" w:type="dxa"/>
          </w:tcPr>
          <w:p w14:paraId="5B0AF771">
            <w:pPr>
              <w:adjustRightInd w:val="0"/>
              <w:snapToGrid w:val="0"/>
              <w:spacing w:line="360" w:lineRule="auto"/>
              <w:rPr>
                <w:rFonts w:asciiTheme="minorEastAsia" w:hAnsiTheme="minorEastAsia" w:eastAsiaTheme="minorEastAsia"/>
                <w:kern w:val="0"/>
                <w:sz w:val="24"/>
                <w:highlight w:val="none"/>
              </w:rPr>
            </w:pPr>
          </w:p>
        </w:tc>
      </w:tr>
      <w:tr w14:paraId="5B5B9A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41F5A91D">
            <w:pPr>
              <w:adjustRightInd w:val="0"/>
              <w:snapToGrid w:val="0"/>
              <w:spacing w:line="360" w:lineRule="auto"/>
              <w:rPr>
                <w:rFonts w:asciiTheme="minorEastAsia" w:hAnsiTheme="minorEastAsia" w:eastAsiaTheme="minorEastAsia"/>
                <w:kern w:val="0"/>
                <w:sz w:val="24"/>
                <w:highlight w:val="none"/>
              </w:rPr>
            </w:pPr>
          </w:p>
        </w:tc>
        <w:tc>
          <w:tcPr>
            <w:tcW w:w="2963" w:type="dxa"/>
          </w:tcPr>
          <w:p w14:paraId="5008E92D">
            <w:pPr>
              <w:adjustRightInd w:val="0"/>
              <w:snapToGrid w:val="0"/>
              <w:spacing w:line="360" w:lineRule="auto"/>
              <w:rPr>
                <w:rFonts w:asciiTheme="minorEastAsia" w:hAnsiTheme="minorEastAsia" w:eastAsiaTheme="minorEastAsia"/>
                <w:kern w:val="0"/>
                <w:sz w:val="24"/>
                <w:highlight w:val="none"/>
              </w:rPr>
            </w:pPr>
          </w:p>
        </w:tc>
        <w:tc>
          <w:tcPr>
            <w:tcW w:w="2439" w:type="dxa"/>
          </w:tcPr>
          <w:p w14:paraId="0E735CB9">
            <w:pPr>
              <w:adjustRightInd w:val="0"/>
              <w:snapToGrid w:val="0"/>
              <w:spacing w:line="360" w:lineRule="auto"/>
              <w:rPr>
                <w:rFonts w:asciiTheme="minorEastAsia" w:hAnsiTheme="minorEastAsia" w:eastAsiaTheme="minorEastAsia"/>
                <w:kern w:val="0"/>
                <w:sz w:val="24"/>
                <w:highlight w:val="none"/>
              </w:rPr>
            </w:pPr>
          </w:p>
        </w:tc>
        <w:tc>
          <w:tcPr>
            <w:tcW w:w="2961" w:type="dxa"/>
          </w:tcPr>
          <w:p w14:paraId="50DC7E4B">
            <w:pPr>
              <w:adjustRightInd w:val="0"/>
              <w:snapToGrid w:val="0"/>
              <w:spacing w:line="360" w:lineRule="auto"/>
              <w:rPr>
                <w:rFonts w:asciiTheme="minorEastAsia" w:hAnsiTheme="minorEastAsia" w:eastAsiaTheme="minorEastAsia"/>
                <w:kern w:val="0"/>
                <w:sz w:val="24"/>
                <w:highlight w:val="none"/>
              </w:rPr>
            </w:pPr>
          </w:p>
        </w:tc>
      </w:tr>
      <w:tr w14:paraId="2E1EE6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11365B89">
            <w:pPr>
              <w:adjustRightInd w:val="0"/>
              <w:snapToGrid w:val="0"/>
              <w:spacing w:line="360" w:lineRule="auto"/>
              <w:rPr>
                <w:rFonts w:asciiTheme="minorEastAsia" w:hAnsiTheme="minorEastAsia" w:eastAsiaTheme="minorEastAsia"/>
                <w:kern w:val="0"/>
                <w:sz w:val="24"/>
                <w:highlight w:val="none"/>
              </w:rPr>
            </w:pPr>
          </w:p>
        </w:tc>
        <w:tc>
          <w:tcPr>
            <w:tcW w:w="2963" w:type="dxa"/>
          </w:tcPr>
          <w:p w14:paraId="220F0CA9">
            <w:pPr>
              <w:adjustRightInd w:val="0"/>
              <w:snapToGrid w:val="0"/>
              <w:spacing w:line="360" w:lineRule="auto"/>
              <w:rPr>
                <w:rFonts w:asciiTheme="minorEastAsia" w:hAnsiTheme="minorEastAsia" w:eastAsiaTheme="minorEastAsia"/>
                <w:kern w:val="0"/>
                <w:sz w:val="24"/>
                <w:highlight w:val="none"/>
              </w:rPr>
            </w:pPr>
          </w:p>
        </w:tc>
        <w:tc>
          <w:tcPr>
            <w:tcW w:w="2439" w:type="dxa"/>
          </w:tcPr>
          <w:p w14:paraId="323F9022">
            <w:pPr>
              <w:adjustRightInd w:val="0"/>
              <w:snapToGrid w:val="0"/>
              <w:spacing w:line="360" w:lineRule="auto"/>
              <w:rPr>
                <w:rFonts w:asciiTheme="minorEastAsia" w:hAnsiTheme="minorEastAsia" w:eastAsiaTheme="minorEastAsia"/>
                <w:kern w:val="0"/>
                <w:sz w:val="24"/>
                <w:highlight w:val="none"/>
              </w:rPr>
            </w:pPr>
          </w:p>
        </w:tc>
        <w:tc>
          <w:tcPr>
            <w:tcW w:w="2961" w:type="dxa"/>
          </w:tcPr>
          <w:p w14:paraId="08911D5D">
            <w:pPr>
              <w:adjustRightInd w:val="0"/>
              <w:snapToGrid w:val="0"/>
              <w:spacing w:line="360" w:lineRule="auto"/>
              <w:rPr>
                <w:rFonts w:asciiTheme="minorEastAsia" w:hAnsiTheme="minorEastAsia" w:eastAsiaTheme="minorEastAsia"/>
                <w:kern w:val="0"/>
                <w:sz w:val="24"/>
                <w:highlight w:val="none"/>
              </w:rPr>
            </w:pPr>
          </w:p>
        </w:tc>
      </w:tr>
      <w:tr w14:paraId="300E86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00F00CB7">
            <w:pPr>
              <w:adjustRightInd w:val="0"/>
              <w:snapToGrid w:val="0"/>
              <w:spacing w:line="360" w:lineRule="auto"/>
              <w:rPr>
                <w:rFonts w:asciiTheme="minorEastAsia" w:hAnsiTheme="minorEastAsia" w:eastAsiaTheme="minorEastAsia"/>
                <w:kern w:val="0"/>
                <w:sz w:val="24"/>
                <w:highlight w:val="none"/>
              </w:rPr>
            </w:pPr>
          </w:p>
        </w:tc>
        <w:tc>
          <w:tcPr>
            <w:tcW w:w="2963" w:type="dxa"/>
          </w:tcPr>
          <w:p w14:paraId="710E7BD6">
            <w:pPr>
              <w:adjustRightInd w:val="0"/>
              <w:snapToGrid w:val="0"/>
              <w:spacing w:line="360" w:lineRule="auto"/>
              <w:rPr>
                <w:rFonts w:asciiTheme="minorEastAsia" w:hAnsiTheme="minorEastAsia" w:eastAsiaTheme="minorEastAsia"/>
                <w:kern w:val="0"/>
                <w:sz w:val="24"/>
                <w:highlight w:val="none"/>
              </w:rPr>
            </w:pPr>
          </w:p>
        </w:tc>
        <w:tc>
          <w:tcPr>
            <w:tcW w:w="2439" w:type="dxa"/>
          </w:tcPr>
          <w:p w14:paraId="42A52358">
            <w:pPr>
              <w:adjustRightInd w:val="0"/>
              <w:snapToGrid w:val="0"/>
              <w:spacing w:line="360" w:lineRule="auto"/>
              <w:rPr>
                <w:rFonts w:asciiTheme="minorEastAsia" w:hAnsiTheme="minorEastAsia" w:eastAsiaTheme="minorEastAsia"/>
                <w:kern w:val="0"/>
                <w:sz w:val="24"/>
                <w:highlight w:val="none"/>
              </w:rPr>
            </w:pPr>
          </w:p>
        </w:tc>
        <w:tc>
          <w:tcPr>
            <w:tcW w:w="2961" w:type="dxa"/>
          </w:tcPr>
          <w:p w14:paraId="73714B4A">
            <w:pPr>
              <w:adjustRightInd w:val="0"/>
              <w:snapToGrid w:val="0"/>
              <w:spacing w:line="360" w:lineRule="auto"/>
              <w:rPr>
                <w:rFonts w:asciiTheme="minorEastAsia" w:hAnsiTheme="minorEastAsia" w:eastAsiaTheme="minorEastAsia"/>
                <w:kern w:val="0"/>
                <w:sz w:val="24"/>
                <w:highlight w:val="none"/>
              </w:rPr>
            </w:pPr>
          </w:p>
        </w:tc>
      </w:tr>
      <w:tr w14:paraId="591F5C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044F46EA">
            <w:pPr>
              <w:adjustRightInd w:val="0"/>
              <w:snapToGrid w:val="0"/>
              <w:spacing w:line="360" w:lineRule="auto"/>
              <w:rPr>
                <w:rFonts w:asciiTheme="minorEastAsia" w:hAnsiTheme="minorEastAsia" w:eastAsiaTheme="minorEastAsia"/>
                <w:kern w:val="0"/>
                <w:sz w:val="24"/>
                <w:highlight w:val="none"/>
              </w:rPr>
            </w:pPr>
          </w:p>
        </w:tc>
        <w:tc>
          <w:tcPr>
            <w:tcW w:w="2963" w:type="dxa"/>
          </w:tcPr>
          <w:p w14:paraId="21F392A1">
            <w:pPr>
              <w:adjustRightInd w:val="0"/>
              <w:snapToGrid w:val="0"/>
              <w:spacing w:line="360" w:lineRule="auto"/>
              <w:rPr>
                <w:rFonts w:asciiTheme="minorEastAsia" w:hAnsiTheme="minorEastAsia" w:eastAsiaTheme="minorEastAsia"/>
                <w:kern w:val="0"/>
                <w:sz w:val="24"/>
                <w:highlight w:val="none"/>
              </w:rPr>
            </w:pPr>
          </w:p>
        </w:tc>
        <w:tc>
          <w:tcPr>
            <w:tcW w:w="2439" w:type="dxa"/>
          </w:tcPr>
          <w:p w14:paraId="70393B9A">
            <w:pPr>
              <w:adjustRightInd w:val="0"/>
              <w:snapToGrid w:val="0"/>
              <w:spacing w:line="360" w:lineRule="auto"/>
              <w:rPr>
                <w:rFonts w:asciiTheme="minorEastAsia" w:hAnsiTheme="minorEastAsia" w:eastAsiaTheme="minorEastAsia"/>
                <w:kern w:val="0"/>
                <w:sz w:val="24"/>
                <w:highlight w:val="none"/>
              </w:rPr>
            </w:pPr>
          </w:p>
        </w:tc>
        <w:tc>
          <w:tcPr>
            <w:tcW w:w="2961" w:type="dxa"/>
          </w:tcPr>
          <w:p w14:paraId="2EF19A21">
            <w:pPr>
              <w:adjustRightInd w:val="0"/>
              <w:snapToGrid w:val="0"/>
              <w:spacing w:line="360" w:lineRule="auto"/>
              <w:rPr>
                <w:rFonts w:asciiTheme="minorEastAsia" w:hAnsiTheme="minorEastAsia" w:eastAsiaTheme="minorEastAsia"/>
                <w:kern w:val="0"/>
                <w:sz w:val="24"/>
                <w:highlight w:val="none"/>
              </w:rPr>
            </w:pPr>
          </w:p>
        </w:tc>
      </w:tr>
      <w:tr w14:paraId="4675D0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28114577">
            <w:pPr>
              <w:adjustRightInd w:val="0"/>
              <w:snapToGrid w:val="0"/>
              <w:spacing w:line="360" w:lineRule="auto"/>
              <w:rPr>
                <w:rFonts w:asciiTheme="minorEastAsia" w:hAnsiTheme="minorEastAsia" w:eastAsiaTheme="minorEastAsia"/>
                <w:kern w:val="0"/>
                <w:sz w:val="24"/>
                <w:highlight w:val="none"/>
              </w:rPr>
            </w:pPr>
          </w:p>
        </w:tc>
        <w:tc>
          <w:tcPr>
            <w:tcW w:w="2963" w:type="dxa"/>
          </w:tcPr>
          <w:p w14:paraId="4457AFD4">
            <w:pPr>
              <w:adjustRightInd w:val="0"/>
              <w:snapToGrid w:val="0"/>
              <w:spacing w:line="360" w:lineRule="auto"/>
              <w:rPr>
                <w:rFonts w:asciiTheme="minorEastAsia" w:hAnsiTheme="minorEastAsia" w:eastAsiaTheme="minorEastAsia"/>
                <w:kern w:val="0"/>
                <w:sz w:val="24"/>
                <w:highlight w:val="none"/>
              </w:rPr>
            </w:pPr>
          </w:p>
        </w:tc>
        <w:tc>
          <w:tcPr>
            <w:tcW w:w="2439" w:type="dxa"/>
          </w:tcPr>
          <w:p w14:paraId="14850D69">
            <w:pPr>
              <w:adjustRightInd w:val="0"/>
              <w:snapToGrid w:val="0"/>
              <w:spacing w:line="360" w:lineRule="auto"/>
              <w:rPr>
                <w:rFonts w:asciiTheme="minorEastAsia" w:hAnsiTheme="minorEastAsia" w:eastAsiaTheme="minorEastAsia"/>
                <w:kern w:val="0"/>
                <w:sz w:val="24"/>
                <w:highlight w:val="none"/>
              </w:rPr>
            </w:pPr>
          </w:p>
        </w:tc>
        <w:tc>
          <w:tcPr>
            <w:tcW w:w="2961" w:type="dxa"/>
          </w:tcPr>
          <w:p w14:paraId="715071A2">
            <w:pPr>
              <w:adjustRightInd w:val="0"/>
              <w:snapToGrid w:val="0"/>
              <w:spacing w:line="360" w:lineRule="auto"/>
              <w:rPr>
                <w:rFonts w:asciiTheme="minorEastAsia" w:hAnsiTheme="minorEastAsia" w:eastAsiaTheme="minorEastAsia"/>
                <w:kern w:val="0"/>
                <w:sz w:val="24"/>
                <w:highlight w:val="none"/>
              </w:rPr>
            </w:pPr>
          </w:p>
        </w:tc>
      </w:tr>
      <w:tr w14:paraId="671D8A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5ED5E1C2">
            <w:pPr>
              <w:adjustRightInd w:val="0"/>
              <w:snapToGrid w:val="0"/>
              <w:spacing w:line="360" w:lineRule="auto"/>
              <w:rPr>
                <w:rFonts w:asciiTheme="minorEastAsia" w:hAnsiTheme="minorEastAsia" w:eastAsiaTheme="minorEastAsia"/>
                <w:kern w:val="0"/>
                <w:sz w:val="24"/>
                <w:highlight w:val="none"/>
              </w:rPr>
            </w:pPr>
          </w:p>
        </w:tc>
        <w:tc>
          <w:tcPr>
            <w:tcW w:w="2963" w:type="dxa"/>
          </w:tcPr>
          <w:p w14:paraId="3F6A206E">
            <w:pPr>
              <w:adjustRightInd w:val="0"/>
              <w:snapToGrid w:val="0"/>
              <w:spacing w:line="360" w:lineRule="auto"/>
              <w:rPr>
                <w:rFonts w:asciiTheme="minorEastAsia" w:hAnsiTheme="minorEastAsia" w:eastAsiaTheme="minorEastAsia"/>
                <w:kern w:val="0"/>
                <w:sz w:val="24"/>
                <w:highlight w:val="none"/>
              </w:rPr>
            </w:pPr>
          </w:p>
        </w:tc>
        <w:tc>
          <w:tcPr>
            <w:tcW w:w="2439" w:type="dxa"/>
          </w:tcPr>
          <w:p w14:paraId="5F938856">
            <w:pPr>
              <w:adjustRightInd w:val="0"/>
              <w:snapToGrid w:val="0"/>
              <w:spacing w:line="360" w:lineRule="auto"/>
              <w:rPr>
                <w:rFonts w:asciiTheme="minorEastAsia" w:hAnsiTheme="minorEastAsia" w:eastAsiaTheme="minorEastAsia"/>
                <w:kern w:val="0"/>
                <w:sz w:val="24"/>
                <w:highlight w:val="none"/>
              </w:rPr>
            </w:pPr>
          </w:p>
        </w:tc>
        <w:tc>
          <w:tcPr>
            <w:tcW w:w="2961" w:type="dxa"/>
          </w:tcPr>
          <w:p w14:paraId="0B752955">
            <w:pPr>
              <w:adjustRightInd w:val="0"/>
              <w:snapToGrid w:val="0"/>
              <w:spacing w:line="360" w:lineRule="auto"/>
              <w:rPr>
                <w:rFonts w:asciiTheme="minorEastAsia" w:hAnsiTheme="minorEastAsia" w:eastAsiaTheme="minorEastAsia"/>
                <w:kern w:val="0"/>
                <w:sz w:val="24"/>
                <w:highlight w:val="none"/>
              </w:rPr>
            </w:pPr>
          </w:p>
        </w:tc>
      </w:tr>
      <w:tr w14:paraId="16981B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4D8CE8C7">
            <w:pPr>
              <w:adjustRightInd w:val="0"/>
              <w:snapToGrid w:val="0"/>
              <w:spacing w:line="360" w:lineRule="auto"/>
              <w:rPr>
                <w:rFonts w:asciiTheme="minorEastAsia" w:hAnsiTheme="minorEastAsia" w:eastAsiaTheme="minorEastAsia"/>
                <w:kern w:val="0"/>
                <w:sz w:val="24"/>
                <w:highlight w:val="none"/>
              </w:rPr>
            </w:pPr>
          </w:p>
        </w:tc>
        <w:tc>
          <w:tcPr>
            <w:tcW w:w="2963" w:type="dxa"/>
          </w:tcPr>
          <w:p w14:paraId="2B62B287">
            <w:pPr>
              <w:adjustRightInd w:val="0"/>
              <w:snapToGrid w:val="0"/>
              <w:spacing w:line="360" w:lineRule="auto"/>
              <w:rPr>
                <w:rFonts w:asciiTheme="minorEastAsia" w:hAnsiTheme="minorEastAsia" w:eastAsiaTheme="minorEastAsia"/>
                <w:kern w:val="0"/>
                <w:sz w:val="24"/>
                <w:highlight w:val="none"/>
              </w:rPr>
            </w:pPr>
          </w:p>
        </w:tc>
        <w:tc>
          <w:tcPr>
            <w:tcW w:w="2439" w:type="dxa"/>
          </w:tcPr>
          <w:p w14:paraId="2E9EA39A">
            <w:pPr>
              <w:adjustRightInd w:val="0"/>
              <w:snapToGrid w:val="0"/>
              <w:spacing w:line="360" w:lineRule="auto"/>
              <w:rPr>
                <w:rFonts w:asciiTheme="minorEastAsia" w:hAnsiTheme="minorEastAsia" w:eastAsiaTheme="minorEastAsia"/>
                <w:kern w:val="0"/>
                <w:sz w:val="24"/>
                <w:highlight w:val="none"/>
              </w:rPr>
            </w:pPr>
          </w:p>
        </w:tc>
        <w:tc>
          <w:tcPr>
            <w:tcW w:w="2961" w:type="dxa"/>
          </w:tcPr>
          <w:p w14:paraId="59D16EBB">
            <w:pPr>
              <w:adjustRightInd w:val="0"/>
              <w:snapToGrid w:val="0"/>
              <w:spacing w:line="360" w:lineRule="auto"/>
              <w:rPr>
                <w:rFonts w:asciiTheme="minorEastAsia" w:hAnsiTheme="minorEastAsia" w:eastAsiaTheme="minorEastAsia"/>
                <w:kern w:val="0"/>
                <w:sz w:val="24"/>
                <w:highlight w:val="none"/>
              </w:rPr>
            </w:pPr>
          </w:p>
        </w:tc>
      </w:tr>
    </w:tbl>
    <w:p w14:paraId="06BC8EA5">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采购人（签字）：</w:t>
      </w:r>
    </w:p>
    <w:p w14:paraId="605450AD">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采购代理机构（签字）：</w:t>
      </w:r>
    </w:p>
    <w:p w14:paraId="422EA231">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日期：年月日</w:t>
      </w:r>
    </w:p>
    <w:p w14:paraId="70F0EFF1">
      <w:pPr>
        <w:widowControl/>
        <w:jc w:val="left"/>
        <w:rPr>
          <w:rFonts w:asciiTheme="minorEastAsia" w:hAnsiTheme="minorEastAsia" w:eastAsiaTheme="minorEastAsia"/>
          <w:sz w:val="24"/>
          <w:highlight w:val="none"/>
        </w:rPr>
      </w:pPr>
      <w:r>
        <w:rPr>
          <w:rFonts w:asciiTheme="minorEastAsia" w:hAnsiTheme="minorEastAsia" w:eastAsiaTheme="minorEastAsia"/>
          <w:sz w:val="24"/>
          <w:highlight w:val="none"/>
        </w:rPr>
        <w:br w:type="page"/>
      </w:r>
    </w:p>
    <w:p w14:paraId="02F51B6F">
      <w:pPr>
        <w:pStyle w:val="5"/>
        <w:adjustRightInd w:val="0"/>
        <w:snapToGrid w:val="0"/>
        <w:spacing w:before="0" w:after="0" w:line="360" w:lineRule="auto"/>
        <w:rPr>
          <w:rFonts w:ascii="黑体" w:hAnsi="黑体"/>
          <w:b w:val="0"/>
          <w:sz w:val="21"/>
          <w:szCs w:val="21"/>
          <w:highlight w:val="none"/>
        </w:rPr>
      </w:pPr>
      <w:bookmarkStart w:id="35" w:name="_Toc6867"/>
      <w:r>
        <w:rPr>
          <w:rFonts w:hint="eastAsia" w:ascii="黑体" w:hAnsi="黑体"/>
          <w:b w:val="0"/>
          <w:sz w:val="21"/>
          <w:szCs w:val="21"/>
          <w:highlight w:val="none"/>
        </w:rPr>
        <w:t>附表3 资格审查合格投标人名单</w:t>
      </w:r>
      <w:bookmarkEnd w:id="35"/>
    </w:p>
    <w:p w14:paraId="478D7E20">
      <w:pPr>
        <w:adjustRightInd w:val="0"/>
        <w:snapToGrid w:val="0"/>
        <w:spacing w:line="360" w:lineRule="auto"/>
        <w:jc w:val="center"/>
        <w:rPr>
          <w:rFonts w:ascii="黑体" w:hAnsi="黑体" w:eastAsia="黑体"/>
          <w:b/>
          <w:sz w:val="28"/>
          <w:szCs w:val="28"/>
          <w:highlight w:val="none"/>
        </w:rPr>
      </w:pPr>
      <w:r>
        <w:rPr>
          <w:rFonts w:hint="eastAsia" w:ascii="黑体" w:hAnsi="黑体" w:eastAsia="黑体"/>
          <w:b/>
          <w:sz w:val="28"/>
          <w:szCs w:val="28"/>
          <w:highlight w:val="none"/>
        </w:rPr>
        <w:t>资格审查合格投标人名单</w:t>
      </w:r>
    </w:p>
    <w:p w14:paraId="1AB50234">
      <w:pPr>
        <w:adjustRightInd w:val="0"/>
        <w:snapToGrid w:val="0"/>
        <w:spacing w:line="360" w:lineRule="auto"/>
        <w:rPr>
          <w:rFonts w:ascii="华文中宋" w:hAnsi="华文中宋" w:eastAsia="华文中宋"/>
          <w:sz w:val="32"/>
          <w:szCs w:val="32"/>
          <w:highlight w:val="none"/>
        </w:rPr>
      </w:pPr>
      <w:r>
        <w:rPr>
          <w:rFonts w:hint="eastAsia" w:asciiTheme="minorEastAsia" w:hAnsiTheme="minorEastAsia" w:eastAsiaTheme="minorEastAsia"/>
          <w:szCs w:val="21"/>
          <w:highlight w:val="none"/>
        </w:rPr>
        <w:t>项目名称：                                        采购代理编号：</w:t>
      </w:r>
    </w:p>
    <w:tbl>
      <w:tblPr>
        <w:tblStyle w:val="4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66E366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vAlign w:val="center"/>
          </w:tcPr>
          <w:p w14:paraId="3C285F5A">
            <w:pPr>
              <w:jc w:val="center"/>
              <w:rPr>
                <w:b/>
                <w:kern w:val="0"/>
                <w:szCs w:val="21"/>
                <w:highlight w:val="none"/>
              </w:rPr>
            </w:pPr>
            <w:r>
              <w:rPr>
                <w:rFonts w:hint="eastAsia"/>
                <w:b/>
                <w:kern w:val="0"/>
                <w:szCs w:val="21"/>
                <w:highlight w:val="none"/>
              </w:rPr>
              <w:t>序号</w:t>
            </w:r>
          </w:p>
        </w:tc>
        <w:tc>
          <w:tcPr>
            <w:tcW w:w="7796" w:type="dxa"/>
            <w:vAlign w:val="center"/>
          </w:tcPr>
          <w:p w14:paraId="33190082">
            <w:pPr>
              <w:jc w:val="center"/>
              <w:rPr>
                <w:b/>
                <w:kern w:val="0"/>
                <w:szCs w:val="21"/>
                <w:highlight w:val="none"/>
              </w:rPr>
            </w:pPr>
            <w:r>
              <w:rPr>
                <w:rFonts w:hint="eastAsia"/>
                <w:b/>
                <w:kern w:val="0"/>
                <w:szCs w:val="21"/>
                <w:highlight w:val="none"/>
              </w:rPr>
              <w:t>合格投标人名称</w:t>
            </w:r>
          </w:p>
        </w:tc>
      </w:tr>
      <w:tr w14:paraId="7E9E3F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57C07CAC">
            <w:pPr>
              <w:adjustRightInd w:val="0"/>
              <w:snapToGrid w:val="0"/>
              <w:spacing w:line="360" w:lineRule="auto"/>
              <w:rPr>
                <w:rFonts w:asciiTheme="minorEastAsia" w:hAnsiTheme="minorEastAsia" w:eastAsiaTheme="minorEastAsia"/>
                <w:kern w:val="0"/>
                <w:szCs w:val="21"/>
                <w:highlight w:val="none"/>
              </w:rPr>
            </w:pPr>
          </w:p>
        </w:tc>
        <w:tc>
          <w:tcPr>
            <w:tcW w:w="7796" w:type="dxa"/>
          </w:tcPr>
          <w:p w14:paraId="433ABD2B">
            <w:pPr>
              <w:adjustRightInd w:val="0"/>
              <w:snapToGrid w:val="0"/>
              <w:spacing w:line="360" w:lineRule="auto"/>
              <w:rPr>
                <w:rFonts w:asciiTheme="minorEastAsia" w:hAnsiTheme="minorEastAsia" w:eastAsiaTheme="minorEastAsia"/>
                <w:kern w:val="0"/>
                <w:szCs w:val="21"/>
                <w:highlight w:val="none"/>
              </w:rPr>
            </w:pPr>
          </w:p>
        </w:tc>
      </w:tr>
      <w:tr w14:paraId="12CCDF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086D31FE">
            <w:pPr>
              <w:adjustRightInd w:val="0"/>
              <w:snapToGrid w:val="0"/>
              <w:spacing w:line="360" w:lineRule="auto"/>
              <w:rPr>
                <w:rFonts w:asciiTheme="minorEastAsia" w:hAnsiTheme="minorEastAsia" w:eastAsiaTheme="minorEastAsia"/>
                <w:kern w:val="0"/>
                <w:sz w:val="24"/>
                <w:highlight w:val="none"/>
              </w:rPr>
            </w:pPr>
          </w:p>
        </w:tc>
        <w:tc>
          <w:tcPr>
            <w:tcW w:w="7796" w:type="dxa"/>
          </w:tcPr>
          <w:p w14:paraId="419831E7">
            <w:pPr>
              <w:adjustRightInd w:val="0"/>
              <w:snapToGrid w:val="0"/>
              <w:spacing w:line="360" w:lineRule="auto"/>
              <w:rPr>
                <w:rFonts w:asciiTheme="minorEastAsia" w:hAnsiTheme="minorEastAsia" w:eastAsiaTheme="minorEastAsia"/>
                <w:kern w:val="0"/>
                <w:sz w:val="24"/>
                <w:highlight w:val="none"/>
              </w:rPr>
            </w:pPr>
          </w:p>
        </w:tc>
      </w:tr>
      <w:tr w14:paraId="4D253F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3FE2C1C5">
            <w:pPr>
              <w:adjustRightInd w:val="0"/>
              <w:snapToGrid w:val="0"/>
              <w:spacing w:line="360" w:lineRule="auto"/>
              <w:rPr>
                <w:rFonts w:asciiTheme="minorEastAsia" w:hAnsiTheme="minorEastAsia" w:eastAsiaTheme="minorEastAsia"/>
                <w:kern w:val="0"/>
                <w:sz w:val="24"/>
                <w:highlight w:val="none"/>
              </w:rPr>
            </w:pPr>
          </w:p>
        </w:tc>
        <w:tc>
          <w:tcPr>
            <w:tcW w:w="7796" w:type="dxa"/>
          </w:tcPr>
          <w:p w14:paraId="2A7DB6A3">
            <w:pPr>
              <w:adjustRightInd w:val="0"/>
              <w:snapToGrid w:val="0"/>
              <w:spacing w:line="360" w:lineRule="auto"/>
              <w:rPr>
                <w:rFonts w:asciiTheme="minorEastAsia" w:hAnsiTheme="minorEastAsia" w:eastAsiaTheme="minorEastAsia"/>
                <w:kern w:val="0"/>
                <w:sz w:val="24"/>
                <w:highlight w:val="none"/>
              </w:rPr>
            </w:pPr>
          </w:p>
        </w:tc>
      </w:tr>
      <w:tr w14:paraId="08A367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10600A69">
            <w:pPr>
              <w:adjustRightInd w:val="0"/>
              <w:snapToGrid w:val="0"/>
              <w:spacing w:line="360" w:lineRule="auto"/>
              <w:rPr>
                <w:rFonts w:asciiTheme="minorEastAsia" w:hAnsiTheme="minorEastAsia" w:eastAsiaTheme="minorEastAsia"/>
                <w:kern w:val="0"/>
                <w:sz w:val="24"/>
                <w:highlight w:val="none"/>
              </w:rPr>
            </w:pPr>
          </w:p>
        </w:tc>
        <w:tc>
          <w:tcPr>
            <w:tcW w:w="7796" w:type="dxa"/>
          </w:tcPr>
          <w:p w14:paraId="6E544A3C">
            <w:pPr>
              <w:adjustRightInd w:val="0"/>
              <w:snapToGrid w:val="0"/>
              <w:spacing w:line="360" w:lineRule="auto"/>
              <w:rPr>
                <w:rFonts w:asciiTheme="minorEastAsia" w:hAnsiTheme="minorEastAsia" w:eastAsiaTheme="minorEastAsia"/>
                <w:kern w:val="0"/>
                <w:sz w:val="24"/>
                <w:highlight w:val="none"/>
              </w:rPr>
            </w:pPr>
          </w:p>
        </w:tc>
      </w:tr>
      <w:tr w14:paraId="64C623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01BEE0BC">
            <w:pPr>
              <w:adjustRightInd w:val="0"/>
              <w:snapToGrid w:val="0"/>
              <w:spacing w:line="360" w:lineRule="auto"/>
              <w:rPr>
                <w:rFonts w:asciiTheme="minorEastAsia" w:hAnsiTheme="minorEastAsia" w:eastAsiaTheme="minorEastAsia"/>
                <w:kern w:val="0"/>
                <w:sz w:val="24"/>
                <w:highlight w:val="none"/>
              </w:rPr>
            </w:pPr>
          </w:p>
        </w:tc>
        <w:tc>
          <w:tcPr>
            <w:tcW w:w="7796" w:type="dxa"/>
          </w:tcPr>
          <w:p w14:paraId="1E3D574B">
            <w:pPr>
              <w:adjustRightInd w:val="0"/>
              <w:snapToGrid w:val="0"/>
              <w:spacing w:line="360" w:lineRule="auto"/>
              <w:rPr>
                <w:rFonts w:asciiTheme="minorEastAsia" w:hAnsiTheme="minorEastAsia" w:eastAsiaTheme="minorEastAsia"/>
                <w:kern w:val="0"/>
                <w:sz w:val="24"/>
                <w:highlight w:val="none"/>
              </w:rPr>
            </w:pPr>
          </w:p>
        </w:tc>
      </w:tr>
      <w:tr w14:paraId="0710D9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02756965">
            <w:pPr>
              <w:adjustRightInd w:val="0"/>
              <w:snapToGrid w:val="0"/>
              <w:spacing w:line="360" w:lineRule="auto"/>
              <w:rPr>
                <w:rFonts w:asciiTheme="minorEastAsia" w:hAnsiTheme="minorEastAsia" w:eastAsiaTheme="minorEastAsia"/>
                <w:kern w:val="0"/>
                <w:sz w:val="24"/>
                <w:highlight w:val="none"/>
              </w:rPr>
            </w:pPr>
          </w:p>
        </w:tc>
        <w:tc>
          <w:tcPr>
            <w:tcW w:w="7796" w:type="dxa"/>
          </w:tcPr>
          <w:p w14:paraId="505E4A9D">
            <w:pPr>
              <w:adjustRightInd w:val="0"/>
              <w:snapToGrid w:val="0"/>
              <w:spacing w:line="360" w:lineRule="auto"/>
              <w:rPr>
                <w:rFonts w:asciiTheme="minorEastAsia" w:hAnsiTheme="minorEastAsia" w:eastAsiaTheme="minorEastAsia"/>
                <w:kern w:val="0"/>
                <w:sz w:val="24"/>
                <w:highlight w:val="none"/>
              </w:rPr>
            </w:pPr>
          </w:p>
        </w:tc>
      </w:tr>
    </w:tbl>
    <w:p w14:paraId="75594C33">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采购人（签字）：</w:t>
      </w:r>
    </w:p>
    <w:p w14:paraId="51EB844B">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采购代理机构（签字）：</w:t>
      </w:r>
    </w:p>
    <w:p w14:paraId="0881153B">
      <w:pPr>
        <w:rPr>
          <w:rFonts w:ascii="黑体" w:hAnsi="华文中宋" w:eastAsia="黑体"/>
          <w:b/>
          <w:sz w:val="32"/>
          <w:szCs w:val="32"/>
          <w:highlight w:val="none"/>
        </w:rPr>
      </w:pPr>
      <w:r>
        <w:rPr>
          <w:rFonts w:hint="eastAsia" w:asciiTheme="minorEastAsia" w:hAnsiTheme="minorEastAsia" w:eastAsiaTheme="minorEastAsia"/>
          <w:szCs w:val="21"/>
          <w:highlight w:val="none"/>
        </w:rPr>
        <w:t>日期：年月日</w:t>
      </w:r>
      <w:r>
        <w:rPr>
          <w:rFonts w:ascii="宋体" w:hAnsi="宋体"/>
          <w:highlight w:val="none"/>
        </w:rPr>
        <w:br w:type="page"/>
      </w:r>
    </w:p>
    <w:p w14:paraId="2A4135F6">
      <w:pPr>
        <w:pStyle w:val="23"/>
        <w:adjustRightInd w:val="0"/>
        <w:snapToGrid w:val="0"/>
        <w:spacing w:line="360" w:lineRule="auto"/>
        <w:jc w:val="center"/>
        <w:outlineLvl w:val="0"/>
        <w:rPr>
          <w:rFonts w:ascii="黑体" w:hAnsi="华文中宋" w:eastAsia="黑体"/>
          <w:b/>
          <w:sz w:val="28"/>
          <w:szCs w:val="28"/>
          <w:highlight w:val="none"/>
        </w:rPr>
      </w:pPr>
      <w:bookmarkStart w:id="36" w:name="_Toc309"/>
      <w:r>
        <w:rPr>
          <w:rFonts w:hint="eastAsia" w:ascii="黑体" w:hAnsi="华文中宋" w:eastAsia="黑体"/>
          <w:b/>
          <w:sz w:val="32"/>
          <w:szCs w:val="32"/>
          <w:highlight w:val="none"/>
        </w:rPr>
        <w:t>第四章 评标方法及标准（综合评分法）</w:t>
      </w:r>
      <w:bookmarkEnd w:id="36"/>
    </w:p>
    <w:p w14:paraId="07AF3E36">
      <w:pPr>
        <w:keepNext/>
        <w:keepLines/>
        <w:widowControl w:val="0"/>
        <w:adjustRightInd w:val="0"/>
        <w:snapToGrid w:val="0"/>
        <w:spacing w:line="360" w:lineRule="auto"/>
        <w:jc w:val="center"/>
        <w:outlineLvl w:val="1"/>
        <w:rPr>
          <w:rFonts w:ascii="黑体" w:hAnsi="华文中宋" w:eastAsia="黑体" w:cs="Times New Roman"/>
          <w:b/>
          <w:bCs/>
          <w:kern w:val="2"/>
          <w:sz w:val="28"/>
          <w:szCs w:val="28"/>
          <w:lang w:val="en-US" w:eastAsia="zh-CN" w:bidi="ar-SA"/>
        </w:rPr>
      </w:pPr>
      <w:bookmarkStart w:id="37" w:name="_Toc27055"/>
      <w:bookmarkStart w:id="38" w:name="_Toc24566"/>
      <w:bookmarkStart w:id="39" w:name="_Toc29913911"/>
      <w:bookmarkStart w:id="40" w:name="_Toc28723"/>
      <w:r>
        <w:rPr>
          <w:rFonts w:hint="eastAsia" w:ascii="黑体" w:hAnsi="华文中宋" w:eastAsia="黑体" w:cs="Times New Roman"/>
          <w:b/>
          <w:bCs/>
          <w:kern w:val="2"/>
          <w:sz w:val="28"/>
          <w:szCs w:val="28"/>
          <w:lang w:val="en-US" w:eastAsia="zh-CN" w:bidi="ar-SA"/>
        </w:rPr>
        <w:t>第一节 评标方法及标准前附表</w:t>
      </w:r>
      <w:bookmarkEnd w:id="37"/>
      <w:bookmarkEnd w:id="38"/>
      <w:bookmarkEnd w:id="39"/>
      <w:bookmarkEnd w:id="40"/>
    </w:p>
    <w:p w14:paraId="4ED12EB7">
      <w:pPr>
        <w:adjustRightInd w:val="0"/>
        <w:snapToGrid w:val="0"/>
        <w:spacing w:line="360" w:lineRule="auto"/>
        <w:jc w:val="left"/>
        <w:rPr>
          <w:rFonts w:asciiTheme="minorEastAsia" w:hAnsiTheme="minorEastAsia" w:eastAsiaTheme="minorEastAsia"/>
          <w:bCs/>
          <w:iCs/>
          <w:szCs w:val="21"/>
          <w:highlight w:val="none"/>
        </w:rPr>
      </w:pPr>
      <w:r>
        <w:rPr>
          <w:rFonts w:hint="eastAsia" w:asciiTheme="minorEastAsia" w:hAnsiTheme="minorEastAsia" w:eastAsiaTheme="minorEastAsia"/>
          <w:bCs/>
          <w:iCs/>
          <w:szCs w:val="21"/>
          <w:highlight w:val="none"/>
        </w:rPr>
        <w:t>本项目启用的条款在“编列内容规定”栏内以“■”标注。</w:t>
      </w:r>
    </w:p>
    <w:tbl>
      <w:tblPr>
        <w:tblStyle w:val="45"/>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2127"/>
        <w:gridCol w:w="4961"/>
      </w:tblGrid>
      <w:tr w14:paraId="09DF3F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Pr>
          <w:p w14:paraId="19ED77A2">
            <w:pPr>
              <w:adjustRightInd w:val="0"/>
              <w:snapToGrid w:val="0"/>
              <w:spacing w:beforeLines="50" w:line="360" w:lineRule="auto"/>
              <w:jc w:val="center"/>
              <w:rPr>
                <w:b/>
                <w:highlight w:val="none"/>
              </w:rPr>
            </w:pPr>
            <w:r>
              <w:rPr>
                <w:rFonts w:hint="eastAsia"/>
                <w:b/>
                <w:highlight w:val="none"/>
              </w:rPr>
              <w:t>条款号</w:t>
            </w:r>
          </w:p>
        </w:tc>
        <w:tc>
          <w:tcPr>
            <w:tcW w:w="2127" w:type="dxa"/>
          </w:tcPr>
          <w:p w14:paraId="3E984B7E">
            <w:pPr>
              <w:adjustRightInd w:val="0"/>
              <w:snapToGrid w:val="0"/>
              <w:spacing w:beforeLines="50" w:line="360" w:lineRule="auto"/>
              <w:jc w:val="center"/>
              <w:rPr>
                <w:b/>
                <w:highlight w:val="none"/>
              </w:rPr>
            </w:pPr>
            <w:r>
              <w:rPr>
                <w:rFonts w:hint="eastAsia"/>
                <w:b/>
                <w:highlight w:val="none"/>
              </w:rPr>
              <w:t>条款名称</w:t>
            </w:r>
          </w:p>
        </w:tc>
        <w:tc>
          <w:tcPr>
            <w:tcW w:w="4961" w:type="dxa"/>
          </w:tcPr>
          <w:p w14:paraId="2B8DF54F">
            <w:pPr>
              <w:adjustRightInd w:val="0"/>
              <w:snapToGrid w:val="0"/>
              <w:spacing w:beforeLines="50" w:line="360" w:lineRule="auto"/>
              <w:jc w:val="center"/>
              <w:rPr>
                <w:b/>
                <w:highlight w:val="none"/>
              </w:rPr>
            </w:pPr>
            <w:r>
              <w:rPr>
                <w:rFonts w:hint="eastAsia"/>
                <w:b/>
                <w:highlight w:val="none"/>
              </w:rPr>
              <w:t>编列内容规定</w:t>
            </w:r>
          </w:p>
        </w:tc>
      </w:tr>
      <w:tr w14:paraId="128397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4" w:hRule="atLeast"/>
        </w:trPr>
        <w:tc>
          <w:tcPr>
            <w:tcW w:w="1701" w:type="dxa"/>
            <w:vAlign w:val="center"/>
          </w:tcPr>
          <w:p w14:paraId="7F00F8DC">
            <w:pPr>
              <w:adjustRightInd w:val="0"/>
              <w:snapToGrid w:val="0"/>
              <w:spacing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第1.2</w:t>
            </w:r>
            <w:r>
              <w:rPr>
                <w:rFonts w:hint="eastAsia" w:cs="宋体" w:asciiTheme="minorEastAsia" w:hAnsiTheme="minorEastAsia" w:eastAsiaTheme="minorEastAsia"/>
                <w:kern w:val="0"/>
                <w:szCs w:val="21"/>
                <w:highlight w:val="none"/>
                <w:lang w:val="zh-CN"/>
              </w:rPr>
              <w:t>款</w:t>
            </w:r>
          </w:p>
        </w:tc>
        <w:tc>
          <w:tcPr>
            <w:tcW w:w="2127" w:type="dxa"/>
            <w:vAlign w:val="center"/>
          </w:tcPr>
          <w:p w14:paraId="4B923531">
            <w:pPr>
              <w:adjustRightInd w:val="0"/>
              <w:snapToGrid w:val="0"/>
              <w:spacing w:before="156"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rPr>
              <w:t>评标方法</w:t>
            </w:r>
          </w:p>
        </w:tc>
        <w:tc>
          <w:tcPr>
            <w:tcW w:w="4961" w:type="dxa"/>
            <w:vAlign w:val="center"/>
          </w:tcPr>
          <w:p w14:paraId="2263B4B2">
            <w:pPr>
              <w:adjustRightInd w:val="0"/>
              <w:snapToGrid w:val="0"/>
              <w:spacing w:before="156" w:beforeLines="50"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rPr>
              <w:t>综合评分法</w:t>
            </w:r>
          </w:p>
        </w:tc>
      </w:tr>
      <w:tr w14:paraId="66B64F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68" w:hRule="atLeast"/>
        </w:trPr>
        <w:tc>
          <w:tcPr>
            <w:tcW w:w="1701" w:type="dxa"/>
            <w:vAlign w:val="center"/>
          </w:tcPr>
          <w:p w14:paraId="46931A07">
            <w:pPr>
              <w:adjustRightInd w:val="0"/>
              <w:snapToGrid w:val="0"/>
              <w:spacing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第4.2</w:t>
            </w:r>
            <w:r>
              <w:rPr>
                <w:rFonts w:hint="eastAsia" w:cs="宋体" w:asciiTheme="minorEastAsia" w:hAnsiTheme="minorEastAsia" w:eastAsiaTheme="minorEastAsia"/>
                <w:kern w:val="0"/>
                <w:szCs w:val="21"/>
                <w:highlight w:val="none"/>
                <w:lang w:val="zh-CN"/>
              </w:rPr>
              <w:t>款</w:t>
            </w:r>
          </w:p>
        </w:tc>
        <w:tc>
          <w:tcPr>
            <w:tcW w:w="2127" w:type="dxa"/>
            <w:vAlign w:val="center"/>
          </w:tcPr>
          <w:p w14:paraId="33AC4712">
            <w:pPr>
              <w:adjustRightInd w:val="0"/>
              <w:snapToGrid w:val="0"/>
              <w:spacing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投标文件报价出现前后不一致的修正</w:t>
            </w:r>
          </w:p>
        </w:tc>
        <w:tc>
          <w:tcPr>
            <w:tcW w:w="4961" w:type="dxa"/>
            <w:vAlign w:val="center"/>
          </w:tcPr>
          <w:p w14:paraId="10867494">
            <w:pPr>
              <w:adjustRightInd w:val="0"/>
              <w:snapToGrid w:val="0"/>
              <w:spacing w:beforeLines="50"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1、投标文件中开标一览表内容与投标文件中相应内容不一致的，以开标一览表为准；</w:t>
            </w:r>
          </w:p>
          <w:p w14:paraId="60612336">
            <w:pPr>
              <w:adjustRightInd w:val="0"/>
              <w:snapToGrid w:val="0"/>
              <w:spacing w:beforeLines="50"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2、大写金额和小写金额不一致的，以大写金额为准；</w:t>
            </w:r>
          </w:p>
          <w:p w14:paraId="11810338">
            <w:pPr>
              <w:adjustRightInd w:val="0"/>
              <w:snapToGrid w:val="0"/>
              <w:spacing w:beforeLines="50"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3、单价金额小数点或者百分比有明显错位的，以开标一览表的总价为准，并修改单价；</w:t>
            </w:r>
          </w:p>
          <w:p w14:paraId="531A49A2">
            <w:pPr>
              <w:adjustRightInd w:val="0"/>
              <w:snapToGrid w:val="0"/>
              <w:spacing w:beforeLines="50"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4、总价金额与按单价汇总金额不一致的，以单价金额计算结果为准。</w:t>
            </w:r>
          </w:p>
          <w:p w14:paraId="5355E91A">
            <w:pPr>
              <w:adjustRightInd w:val="0"/>
              <w:snapToGrid w:val="0"/>
              <w:spacing w:beforeLines="50"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5、投标文件报价同时出现两种以上不一致的，按照前款规定的顺序修正。修正后的报价由投标人代表签字或者加盖单位章确认后产生约束力，投标人不确认的，其投标无效。</w:t>
            </w:r>
          </w:p>
        </w:tc>
      </w:tr>
      <w:tr w14:paraId="2731DF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vAlign w:val="center"/>
          </w:tcPr>
          <w:p w14:paraId="37E45DD7">
            <w:pPr>
              <w:adjustRightInd w:val="0"/>
              <w:snapToGrid w:val="0"/>
              <w:spacing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第5.2</w:t>
            </w:r>
            <w:r>
              <w:rPr>
                <w:rFonts w:hint="eastAsia" w:cs="宋体" w:asciiTheme="minorEastAsia" w:hAnsiTheme="minorEastAsia" w:eastAsiaTheme="minorEastAsia"/>
                <w:kern w:val="0"/>
                <w:szCs w:val="21"/>
                <w:highlight w:val="none"/>
                <w:lang w:val="zh-CN"/>
              </w:rPr>
              <w:t>款</w:t>
            </w:r>
          </w:p>
        </w:tc>
        <w:tc>
          <w:tcPr>
            <w:tcW w:w="2127" w:type="dxa"/>
            <w:vAlign w:val="center"/>
          </w:tcPr>
          <w:p w14:paraId="08331200">
            <w:pPr>
              <w:adjustRightInd w:val="0"/>
              <w:snapToGrid w:val="0"/>
              <w:spacing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价格评审优惠</w:t>
            </w:r>
          </w:p>
        </w:tc>
        <w:tc>
          <w:tcPr>
            <w:tcW w:w="4961" w:type="dxa"/>
            <w:vAlign w:val="center"/>
          </w:tcPr>
          <w:p w14:paraId="53B7A906">
            <w:pPr>
              <w:spacing w:line="360" w:lineRule="auto"/>
              <w:rPr>
                <w:rFonts w:cs="宋体"/>
                <w:highlight w:val="none"/>
              </w:rPr>
            </w:pPr>
            <w:r>
              <w:rPr>
                <w:rFonts w:hint="eastAsia" w:ascii="宋体" w:cs="宋体"/>
                <w:szCs w:val="21"/>
                <w:highlight w:val="none"/>
              </w:rPr>
              <w:t>给予小型和微型企业的价格给予10%-20%的扣除，用扣除后的价格参与评审，本项目具体扣除比例为</w:t>
            </w:r>
            <w:r>
              <w:rPr>
                <w:rFonts w:hint="eastAsia" w:ascii="宋体" w:cs="宋体"/>
                <w:szCs w:val="21"/>
                <w:highlight w:val="none"/>
                <w:u w:val="single"/>
              </w:rPr>
              <w:t xml:space="preserve"> </w:t>
            </w:r>
            <w:r>
              <w:rPr>
                <w:rFonts w:hint="eastAsia" w:ascii="宋体" w:cs="宋体"/>
                <w:szCs w:val="21"/>
                <w:highlight w:val="none"/>
                <w:u w:val="single"/>
                <w:lang w:val="en-US" w:eastAsia="zh-CN"/>
              </w:rPr>
              <w:t xml:space="preserve"> / </w:t>
            </w:r>
            <w:r>
              <w:rPr>
                <w:rFonts w:hint="eastAsia" w:ascii="宋体" w:cs="宋体"/>
                <w:szCs w:val="21"/>
                <w:highlight w:val="none"/>
              </w:rPr>
              <w:t>%；</w:t>
            </w:r>
            <w:r>
              <w:rPr>
                <w:rFonts w:ascii="ˎ̥" w:hAnsi="ˎ̥"/>
                <w:highlight w:val="none"/>
              </w:rPr>
              <w:t>监狱企业</w:t>
            </w:r>
            <w:r>
              <w:rPr>
                <w:rFonts w:hint="eastAsia" w:ascii="ˎ̥" w:hAnsi="ˎ̥"/>
                <w:highlight w:val="none"/>
              </w:rPr>
              <w:t>、</w:t>
            </w:r>
            <w:r>
              <w:rPr>
                <w:rFonts w:hint="eastAsia" w:ascii="宋体" w:hAnsi="宋体" w:cs="宋体"/>
                <w:szCs w:val="21"/>
                <w:highlight w:val="none"/>
              </w:rPr>
              <w:t>残疾人福利性单位的</w:t>
            </w:r>
            <w:r>
              <w:rPr>
                <w:rFonts w:ascii="ˎ̥" w:hAnsi="ˎ̥"/>
                <w:highlight w:val="none"/>
              </w:rPr>
              <w:t>视同小型、微型企业</w:t>
            </w:r>
            <w:r>
              <w:rPr>
                <w:rFonts w:hint="eastAsia" w:ascii="ˎ̥" w:hAnsi="ˎ̥"/>
                <w:highlight w:val="none"/>
              </w:rPr>
              <w:t>。</w:t>
            </w:r>
            <w:r>
              <w:rPr>
                <w:rFonts w:hint="eastAsia" w:ascii="宋体" w:hAnsi="宋体" w:cs="宋体"/>
                <w:b/>
                <w:bCs/>
                <w:szCs w:val="21"/>
                <w:highlight w:val="none"/>
              </w:rPr>
              <w:t>投标文件必须按招标文件要求提供“享受政府采购政策优惠的证明材料”，否则评审时不予以考虑</w:t>
            </w:r>
            <w:r>
              <w:rPr>
                <w:rFonts w:ascii="ˎ̥" w:hAnsi="ˎ̥"/>
                <w:b/>
                <w:bCs/>
                <w:highlight w:val="none"/>
              </w:rPr>
              <w:t>。</w:t>
            </w:r>
          </w:p>
        </w:tc>
      </w:tr>
      <w:tr w14:paraId="5012B9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vAlign w:val="center"/>
          </w:tcPr>
          <w:p w14:paraId="6198EB08">
            <w:pPr>
              <w:adjustRightInd w:val="0"/>
              <w:snapToGrid w:val="0"/>
              <w:spacing w:beforeLines="50" w:line="360" w:lineRule="auto"/>
              <w:jc w:val="center"/>
              <w:rPr>
                <w:rFonts w:asciiTheme="minorEastAsia" w:hAnsiTheme="minorEastAsia" w:eastAsiaTheme="minorEastAsia"/>
                <w:b/>
                <w:szCs w:val="21"/>
                <w:highlight w:val="none"/>
              </w:rPr>
            </w:pPr>
            <w:r>
              <w:rPr>
                <w:rFonts w:hint="eastAsia" w:asciiTheme="minorEastAsia" w:hAnsiTheme="minorEastAsia" w:eastAsiaTheme="minorEastAsia"/>
                <w:bCs/>
                <w:szCs w:val="21"/>
                <w:highlight w:val="none"/>
              </w:rPr>
              <w:t>第5.4（2）项</w:t>
            </w:r>
          </w:p>
        </w:tc>
        <w:tc>
          <w:tcPr>
            <w:tcW w:w="2127" w:type="dxa"/>
            <w:vAlign w:val="center"/>
          </w:tcPr>
          <w:p w14:paraId="42D89A56">
            <w:pPr>
              <w:adjustRightInd w:val="0"/>
              <w:snapToGrid w:val="0"/>
              <w:spacing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优先采购</w:t>
            </w:r>
          </w:p>
        </w:tc>
        <w:tc>
          <w:tcPr>
            <w:tcW w:w="4961" w:type="dxa"/>
            <w:vAlign w:val="center"/>
          </w:tcPr>
          <w:p w14:paraId="05E23369">
            <w:pPr>
              <w:snapToGrid w:val="0"/>
              <w:spacing w:line="400" w:lineRule="exact"/>
              <w:ind w:left="50" w:hanging="50"/>
              <w:rPr>
                <w:rFonts w:asciiTheme="minorEastAsia" w:hAnsiTheme="minorEastAsia" w:eastAsiaTheme="minorEastAsia" w:cstheme="minorEastAsia"/>
                <w:szCs w:val="21"/>
                <w:highlight w:val="none"/>
              </w:rPr>
            </w:pPr>
            <w:r>
              <w:rPr>
                <w:rFonts w:hint="eastAsia"/>
                <w:highlight w:val="none"/>
              </w:rPr>
              <w:t>1</w:t>
            </w:r>
            <w:r>
              <w:rPr>
                <w:rFonts w:hint="eastAsia" w:asciiTheme="minorEastAsia" w:hAnsiTheme="minorEastAsia" w:eastAsiaTheme="minorEastAsia" w:cstheme="minorEastAsia"/>
                <w:szCs w:val="21"/>
                <w:highlight w:val="none"/>
              </w:rPr>
              <w:t>、采购产品为《节能产品政府采购品目清单》内非标记★符号的：</w:t>
            </w:r>
          </w:p>
          <w:p w14:paraId="615F0D61">
            <w:pPr>
              <w:adjustRightInd w:val="0"/>
              <w:snapToGrid w:val="0"/>
              <w:spacing w:beforeLines="50" w:line="360" w:lineRule="auto"/>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采用综合评分法时，对于技术和价格分，应分别给予技术、价格总分值4%-8%的加分。本项目具体加分比例分别为：技术</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%、价格</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14:paraId="0BA52CD4">
            <w:pPr>
              <w:snapToGrid w:val="0"/>
              <w:spacing w:before="156" w:line="360" w:lineRule="auto"/>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2、采购产品为《环境标志产品政府采购品目清单》内的：</w:t>
            </w:r>
          </w:p>
          <w:p w14:paraId="7E866AC6">
            <w:pPr>
              <w:adjustRightInd w:val="0"/>
              <w:snapToGrid w:val="0"/>
              <w:spacing w:beforeLines="50" w:line="360" w:lineRule="auto"/>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采用综合评分法时，对于技术和价格分，应分别给予总分值4%-8%的加分。本项目具体加分比例分别为：技术</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%、价格</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14:paraId="22540B9C">
            <w:pPr>
              <w:pStyle w:val="65"/>
              <w:ind w:firstLine="0" w:firstLineChars="0"/>
              <w:rPr>
                <w:b/>
                <w:bCs/>
                <w:highlight w:val="none"/>
              </w:rPr>
            </w:pPr>
            <w:r>
              <w:rPr>
                <w:rFonts w:hint="eastAsia"/>
                <w:b/>
                <w:bCs/>
                <w:highlight w:val="none"/>
              </w:rPr>
              <w:t>上述产品中取其中一类进行加分（由投标人在报价文件中选择并填报政策功能编码）。</w:t>
            </w:r>
          </w:p>
          <w:p w14:paraId="62E64FD6">
            <w:pPr>
              <w:widowControl/>
              <w:jc w:val="left"/>
              <w:rPr>
                <w:b/>
                <w:bCs/>
                <w:highlight w:val="none"/>
              </w:rPr>
            </w:pPr>
            <w:r>
              <w:rPr>
                <w:rFonts w:hint="eastAsia" w:ascii="宋体" w:hAnsi="宋体" w:cs="宋体"/>
                <w:b/>
                <w:bCs/>
                <w:kern w:val="0"/>
                <w:szCs w:val="21"/>
                <w:highlight w:val="none"/>
              </w:rPr>
              <w:t xml:space="preserve">注：本项目为服务类项目，此条款不作要求。 </w:t>
            </w:r>
          </w:p>
        </w:tc>
      </w:tr>
      <w:tr w14:paraId="09881D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vAlign w:val="center"/>
          </w:tcPr>
          <w:p w14:paraId="539CBA01">
            <w:pPr>
              <w:adjustRightInd w:val="0"/>
              <w:snapToGrid w:val="0"/>
              <w:spacing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第5.8（2）</w:t>
            </w:r>
            <w:r>
              <w:rPr>
                <w:rFonts w:hint="eastAsia" w:cs="宋体" w:asciiTheme="minorEastAsia" w:hAnsiTheme="minorEastAsia" w:eastAsiaTheme="minorEastAsia"/>
                <w:kern w:val="0"/>
                <w:szCs w:val="21"/>
                <w:highlight w:val="none"/>
                <w:lang w:val="zh-CN"/>
              </w:rPr>
              <w:t>项</w:t>
            </w:r>
          </w:p>
        </w:tc>
        <w:tc>
          <w:tcPr>
            <w:tcW w:w="2127" w:type="dxa"/>
            <w:vAlign w:val="center"/>
          </w:tcPr>
          <w:p w14:paraId="5A19A8E0">
            <w:pPr>
              <w:adjustRightInd w:val="0"/>
              <w:snapToGrid w:val="0"/>
              <w:spacing w:beforeLines="50" w:line="360" w:lineRule="auto"/>
              <w:jc w:val="center"/>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相同品牌产品评审</w:t>
            </w:r>
          </w:p>
          <w:p w14:paraId="738F20D1">
            <w:pPr>
              <w:adjustRightInd w:val="0"/>
              <w:snapToGrid w:val="0"/>
              <w:spacing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bCs/>
                <w:szCs w:val="21"/>
                <w:highlight w:val="none"/>
              </w:rPr>
              <w:t>得分相同的规定</w:t>
            </w:r>
          </w:p>
        </w:tc>
        <w:tc>
          <w:tcPr>
            <w:tcW w:w="4961" w:type="dxa"/>
            <w:vAlign w:val="center"/>
          </w:tcPr>
          <w:p w14:paraId="36CDBD2F">
            <w:pPr>
              <w:adjustRightInd w:val="0"/>
              <w:snapToGrid w:val="0"/>
              <w:spacing w:beforeLines="50" w:line="360" w:lineRule="auto"/>
              <w:rPr>
                <w:highlight w:val="none"/>
              </w:rPr>
            </w:pPr>
            <w:r>
              <w:rPr>
                <w:rFonts w:hint="eastAsia"/>
                <w:highlight w:val="none"/>
              </w:rPr>
              <w:t>1、提供相同品牌产品且通过资格审查、符合性审查的不同投标人参加同一合同项下投标的，按一家投标人计算。由此导致投标人不足三家的，应予废标：</w:t>
            </w:r>
          </w:p>
          <w:p w14:paraId="2DEE0046">
            <w:pPr>
              <w:adjustRightInd w:val="0"/>
              <w:snapToGrid w:val="0"/>
              <w:spacing w:beforeLines="50" w:line="360" w:lineRule="auto"/>
              <w:jc w:val="left"/>
              <w:rPr>
                <w:highlight w:val="none"/>
              </w:rPr>
            </w:pPr>
            <w:r>
              <w:rPr>
                <w:rFonts w:hint="eastAsia"/>
                <w:highlight w:val="none"/>
              </w:rPr>
              <w:t>（1）评审后得分最高的同品牌投标人获得中标人推荐资格，其他同品牌投标人不作为中标候选人。</w:t>
            </w:r>
          </w:p>
          <w:p w14:paraId="182D80CC">
            <w:pPr>
              <w:adjustRightInd w:val="0"/>
              <w:snapToGrid w:val="0"/>
              <w:spacing w:beforeLines="50" w:line="360" w:lineRule="auto"/>
              <w:jc w:val="left"/>
              <w:rPr>
                <w:highlight w:val="none"/>
              </w:rPr>
            </w:pPr>
            <w:r>
              <w:rPr>
                <w:rFonts w:hint="eastAsia"/>
                <w:highlight w:val="none"/>
              </w:rPr>
              <w:t>（2）评审得分相同的，由采购人或者采购人委托评标委员会按照【评标方法及标准前附表】规定的方式确定一个投标人获得中标人推荐资格，招标文件未规定的采取随机抽取方式确定，其他同品牌投标人不作为中标候选人。</w:t>
            </w:r>
          </w:p>
          <w:p w14:paraId="723C804E">
            <w:pPr>
              <w:widowControl/>
              <w:jc w:val="left"/>
              <w:rPr>
                <w:highlight w:val="none"/>
              </w:rPr>
            </w:pPr>
            <w:r>
              <w:rPr>
                <w:rFonts w:hint="eastAsia" w:ascii="宋体" w:hAnsi="宋体" w:cs="宋体"/>
                <w:b/>
                <w:bCs/>
                <w:kern w:val="0"/>
                <w:szCs w:val="21"/>
                <w:highlight w:val="none"/>
              </w:rPr>
              <w:t xml:space="preserve">注：本项目为服务类项目，此条款不作要求。 </w:t>
            </w:r>
          </w:p>
        </w:tc>
      </w:tr>
      <w:tr w14:paraId="51606F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vAlign w:val="center"/>
          </w:tcPr>
          <w:p w14:paraId="20A4781E">
            <w:pPr>
              <w:adjustRightInd w:val="0"/>
              <w:snapToGrid w:val="0"/>
              <w:spacing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第5.9</w:t>
            </w:r>
            <w:r>
              <w:rPr>
                <w:rFonts w:hint="eastAsia" w:cs="宋体" w:asciiTheme="minorEastAsia" w:hAnsiTheme="minorEastAsia" w:eastAsiaTheme="minorEastAsia"/>
                <w:kern w:val="0"/>
                <w:szCs w:val="21"/>
                <w:highlight w:val="none"/>
                <w:lang w:val="zh-CN"/>
              </w:rPr>
              <w:t>款</w:t>
            </w:r>
          </w:p>
        </w:tc>
        <w:tc>
          <w:tcPr>
            <w:tcW w:w="2127" w:type="dxa"/>
            <w:vAlign w:val="center"/>
          </w:tcPr>
          <w:p w14:paraId="43466BF9">
            <w:pPr>
              <w:adjustRightInd w:val="0"/>
              <w:snapToGrid w:val="0"/>
              <w:spacing w:beforeLines="50" w:line="360" w:lineRule="auto"/>
              <w:jc w:val="center"/>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非单一产品采购项目的核心产品</w:t>
            </w:r>
          </w:p>
        </w:tc>
        <w:tc>
          <w:tcPr>
            <w:tcW w:w="4961" w:type="dxa"/>
            <w:vAlign w:val="center"/>
          </w:tcPr>
          <w:p w14:paraId="7C6DC528">
            <w:pPr>
              <w:adjustRightInd w:val="0"/>
              <w:snapToGrid w:val="0"/>
              <w:spacing w:line="360" w:lineRule="auto"/>
              <w:rPr>
                <w:rFonts w:ascii="宋体" w:hAnsi="宋体" w:cs="宋体"/>
                <w:szCs w:val="21"/>
                <w:highlight w:val="none"/>
              </w:rPr>
            </w:pPr>
            <w:r>
              <w:rPr>
                <w:rFonts w:hint="eastAsia" w:ascii="宋体" w:hAnsi="宋体" w:cs="宋体"/>
                <w:szCs w:val="21"/>
                <w:highlight w:val="none"/>
              </w:rPr>
              <w:t>□ 核心产品为</w:t>
            </w:r>
            <w:r>
              <w:rPr>
                <w:rFonts w:hint="eastAsia" w:ascii="宋体" w:hAnsi="宋体" w:cs="宋体"/>
                <w:szCs w:val="21"/>
                <w:highlight w:val="none"/>
                <w:u w:val="single"/>
              </w:rPr>
              <w:t>/</w:t>
            </w:r>
            <w:r>
              <w:rPr>
                <w:rFonts w:hint="eastAsia" w:ascii="宋体" w:hAnsi="宋体" w:cs="宋体"/>
                <w:szCs w:val="21"/>
                <w:highlight w:val="none"/>
              </w:rPr>
              <w:t>（提示：根据采购项目技术构成、产品价格比重等合理确定具体产品为核心产品）</w:t>
            </w:r>
          </w:p>
          <w:p w14:paraId="3AC233B8">
            <w:pPr>
              <w:adjustRightInd w:val="0"/>
              <w:snapToGrid w:val="0"/>
              <w:spacing w:beforeLines="50" w:line="360" w:lineRule="auto"/>
              <w:rPr>
                <w:rFonts w:ascii="宋体" w:hAnsi="宋体" w:cs="宋体"/>
                <w:szCs w:val="21"/>
                <w:highlight w:val="none"/>
              </w:rPr>
            </w:pPr>
            <w:r>
              <w:rPr>
                <w:rFonts w:hint="eastAsia" w:ascii="宋体" w:hAnsi="宋体" w:cs="宋体"/>
                <w:szCs w:val="21"/>
                <w:highlight w:val="none"/>
              </w:rPr>
              <w:t>□两家及以上投标人提供相同产品的价格总和均超过该项目各自投标总价</w:t>
            </w:r>
            <w:r>
              <w:rPr>
                <w:rFonts w:hint="eastAsia" w:ascii="宋体" w:hAnsi="宋体" w:cs="宋体"/>
                <w:szCs w:val="21"/>
                <w:highlight w:val="none"/>
                <w:u w:val="single"/>
              </w:rPr>
              <w:t xml:space="preserve"> 60 </w:t>
            </w:r>
            <w:r>
              <w:rPr>
                <w:rFonts w:hint="eastAsia" w:ascii="宋体" w:hAnsi="宋体" w:cs="宋体"/>
                <w:szCs w:val="21"/>
                <w:highlight w:val="none"/>
              </w:rPr>
              <w:t>%的，为核心产品。</w:t>
            </w:r>
          </w:p>
          <w:p w14:paraId="2AB81BE7">
            <w:pPr>
              <w:adjustRightInd w:val="0"/>
              <w:snapToGrid w:val="0"/>
              <w:spacing w:beforeLines="50" w:line="360" w:lineRule="auto"/>
              <w:rPr>
                <w:rFonts w:asciiTheme="minorEastAsia" w:hAnsiTheme="minorEastAsia" w:eastAsiaTheme="minorEastAsia"/>
                <w:szCs w:val="21"/>
                <w:highlight w:val="none"/>
              </w:rPr>
            </w:pPr>
            <w:r>
              <w:rPr>
                <w:rFonts w:hint="eastAsia" w:ascii="宋体" w:hAnsi="宋体" w:cs="宋体"/>
                <w:b/>
                <w:bCs/>
                <w:kern w:val="0"/>
                <w:szCs w:val="21"/>
                <w:highlight w:val="none"/>
              </w:rPr>
              <w:t xml:space="preserve">注：本项目为服务类项目，此条款不作要求。 </w:t>
            </w:r>
          </w:p>
        </w:tc>
      </w:tr>
      <w:tr w14:paraId="1E1CD2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vAlign w:val="center"/>
          </w:tcPr>
          <w:p w14:paraId="2616E68B">
            <w:pPr>
              <w:adjustRightInd w:val="0"/>
              <w:snapToGrid w:val="0"/>
              <w:spacing w:before="156" w:beforeLines="50" w:line="360" w:lineRule="auto"/>
              <w:jc w:val="center"/>
              <w:rPr>
                <w:rFonts w:hint="eastAsia" w:asciiTheme="minorEastAsia" w:hAnsiTheme="minorEastAsia" w:eastAsiaTheme="minorEastAsia"/>
                <w:szCs w:val="21"/>
                <w:highlight w:val="none"/>
              </w:rPr>
            </w:pPr>
            <w:r>
              <w:rPr>
                <w:rFonts w:hint="eastAsia" w:asciiTheme="minorEastAsia" w:hAnsiTheme="minorEastAsia" w:eastAsiaTheme="minorEastAsia"/>
                <w:szCs w:val="21"/>
              </w:rPr>
              <w:t>第6.1</w:t>
            </w:r>
            <w:r>
              <w:rPr>
                <w:rFonts w:hint="eastAsia" w:cs="宋体" w:asciiTheme="minorEastAsia" w:hAnsiTheme="minorEastAsia" w:eastAsiaTheme="minorEastAsia"/>
                <w:kern w:val="0"/>
                <w:szCs w:val="21"/>
                <w:lang w:val="zh-CN"/>
              </w:rPr>
              <w:t>款</w:t>
            </w:r>
          </w:p>
        </w:tc>
        <w:tc>
          <w:tcPr>
            <w:tcW w:w="2127" w:type="dxa"/>
            <w:vAlign w:val="center"/>
          </w:tcPr>
          <w:p w14:paraId="3176902C">
            <w:pPr>
              <w:adjustRightInd w:val="0"/>
              <w:snapToGrid w:val="0"/>
              <w:spacing w:before="156" w:beforeLines="50" w:line="360" w:lineRule="auto"/>
              <w:jc w:val="center"/>
              <w:rPr>
                <w:rFonts w:hint="eastAsia" w:asciiTheme="minorEastAsia" w:hAnsiTheme="minorEastAsia" w:eastAsiaTheme="minorEastAsia"/>
                <w:bCs/>
                <w:szCs w:val="21"/>
                <w:highlight w:val="none"/>
              </w:rPr>
            </w:pPr>
            <w:r>
              <w:rPr>
                <w:rFonts w:hint="eastAsia" w:asciiTheme="minorEastAsia" w:hAnsiTheme="minorEastAsia" w:eastAsiaTheme="minorEastAsia"/>
                <w:szCs w:val="21"/>
              </w:rPr>
              <w:t>中标候选人并列的确定中标人的方式</w:t>
            </w:r>
          </w:p>
        </w:tc>
        <w:tc>
          <w:tcPr>
            <w:tcW w:w="4961" w:type="dxa"/>
            <w:vAlign w:val="center"/>
          </w:tcPr>
          <w:p w14:paraId="37852647">
            <w:pPr>
              <w:adjustRightInd w:val="0"/>
              <w:snapToGrid w:val="0"/>
              <w:spacing w:beforeLines="50" w:line="360" w:lineRule="auto"/>
              <w:rPr>
                <w:rFonts w:hint="eastAsia" w:ascii="宋体" w:hAnsi="宋体" w:cs="宋体"/>
                <w:b/>
                <w:bCs/>
                <w:kern w:val="0"/>
                <w:szCs w:val="21"/>
                <w:highlight w:val="none"/>
              </w:rPr>
            </w:pPr>
            <w:bookmarkStart w:id="41" w:name="EB0c849da51f0f438890ae30f53772e2e7"/>
            <w:r>
              <w:rPr>
                <w:rFonts w:hint="eastAsia" w:ascii="宋体" w:hAnsi="宋体" w:cs="宋体"/>
                <w:b w:val="0"/>
                <w:bCs w:val="0"/>
                <w:kern w:val="0"/>
                <w:szCs w:val="21"/>
                <w:highlight w:val="none"/>
                <w:lang w:val="en-US" w:eastAsia="zh-CN"/>
              </w:rPr>
              <w:t>按评审后得分由高到低顺序排列。得分相同的，按投标报价由低到高顺序排列。得分且投标报价相同的，按照技术得分由高到低顺序排列。得分、投标报价、技术得分相同的，按照商务得分由高到低顺序排列。得分、投标报价、技术得分、商务得分相同的，采购人自行确定排列顺序。</w:t>
            </w:r>
            <w:bookmarkEnd w:id="41"/>
          </w:p>
        </w:tc>
      </w:tr>
    </w:tbl>
    <w:p w14:paraId="11F4EDD3">
      <w:pPr>
        <w:rPr>
          <w:rFonts w:ascii="黑体" w:hAnsi="黑体"/>
          <w:b/>
          <w:highlight w:val="none"/>
        </w:rPr>
      </w:pPr>
      <w:r>
        <w:rPr>
          <w:rFonts w:hint="eastAsia" w:ascii="黑体" w:hAnsi="黑体"/>
          <w:b/>
          <w:highlight w:val="none"/>
        </w:rPr>
        <w:br w:type="page"/>
      </w:r>
    </w:p>
    <w:p w14:paraId="7DBDBCFF">
      <w:pPr>
        <w:keepNext w:val="0"/>
        <w:keepLines w:val="0"/>
        <w:widowControl w:val="0"/>
        <w:adjustRightInd w:val="0"/>
        <w:snapToGrid w:val="0"/>
        <w:spacing w:before="156" w:beforeLines="50" w:line="360" w:lineRule="auto"/>
        <w:jc w:val="center"/>
        <w:outlineLvl w:val="1"/>
        <w:rPr>
          <w:rFonts w:ascii="黑体" w:hAnsi="华文中宋" w:eastAsia="黑体" w:cs="Times New Roman"/>
          <w:b/>
          <w:bCs/>
          <w:kern w:val="2"/>
          <w:sz w:val="28"/>
          <w:szCs w:val="28"/>
          <w:lang w:val="en-US" w:eastAsia="zh-CN" w:bidi="ar-SA"/>
        </w:rPr>
      </w:pPr>
      <w:bookmarkStart w:id="42" w:name="_Toc12691"/>
      <w:bookmarkStart w:id="43" w:name="_Toc16316"/>
      <w:bookmarkStart w:id="44" w:name="_Toc10823"/>
      <w:bookmarkStart w:id="45" w:name="_Toc29913912"/>
      <w:r>
        <w:rPr>
          <w:rFonts w:hint="eastAsia" w:ascii="黑体" w:hAnsi="华文中宋" w:eastAsia="黑体" w:cs="Times New Roman"/>
          <w:b/>
          <w:bCs/>
          <w:kern w:val="2"/>
          <w:sz w:val="28"/>
          <w:szCs w:val="28"/>
          <w:lang w:val="en-US" w:eastAsia="zh-CN" w:bidi="ar-SA"/>
        </w:rPr>
        <w:t>第二节 评标方法及标准</w:t>
      </w:r>
      <w:bookmarkEnd w:id="42"/>
      <w:bookmarkEnd w:id="43"/>
      <w:bookmarkEnd w:id="44"/>
      <w:bookmarkEnd w:id="45"/>
    </w:p>
    <w:p w14:paraId="443BA566">
      <w:pPr>
        <w:keepNext w:val="0"/>
        <w:keepLines w:val="0"/>
        <w:widowControl w:val="0"/>
        <w:adjustRightInd w:val="0"/>
        <w:snapToGrid w:val="0"/>
        <w:spacing w:before="156" w:beforeLines="50" w:after="0" w:line="360" w:lineRule="auto"/>
        <w:jc w:val="both"/>
        <w:outlineLvl w:val="2"/>
        <w:rPr>
          <w:rFonts w:ascii="黑体" w:hAnsi="黑体" w:eastAsia="黑体" w:cs="Times New Roman"/>
          <w:b/>
          <w:bCs/>
          <w:kern w:val="2"/>
          <w:sz w:val="24"/>
          <w:szCs w:val="24"/>
          <w:lang w:val="en-US" w:eastAsia="zh-CN" w:bidi="ar-SA"/>
        </w:rPr>
      </w:pPr>
      <w:bookmarkStart w:id="46" w:name="_Toc31611"/>
      <w:bookmarkStart w:id="47" w:name="_Toc13213"/>
      <w:bookmarkStart w:id="48" w:name="_Toc12997"/>
      <w:bookmarkStart w:id="49" w:name="_Toc29913913"/>
      <w:r>
        <w:rPr>
          <w:rFonts w:hint="eastAsia" w:ascii="黑体" w:hAnsi="黑体" w:eastAsia="黑体" w:cs="Times New Roman"/>
          <w:b/>
          <w:bCs/>
          <w:kern w:val="2"/>
          <w:sz w:val="24"/>
          <w:szCs w:val="24"/>
          <w:lang w:val="en-US" w:eastAsia="zh-CN" w:bidi="ar-SA"/>
        </w:rPr>
        <w:t>1．评标方法</w:t>
      </w:r>
      <w:bookmarkEnd w:id="46"/>
      <w:bookmarkEnd w:id="47"/>
      <w:bookmarkEnd w:id="48"/>
      <w:bookmarkEnd w:id="49"/>
    </w:p>
    <w:p w14:paraId="428AC426">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1.1综合评分法，指投标文件满足招标文件全部实质性要求，且按照评审因素的量化指标评审得分最高的投标人为中标候选人的评标方法。</w:t>
      </w:r>
    </w:p>
    <w:p w14:paraId="0D1B6178">
      <w:pPr>
        <w:adjustRightInd w:val="0"/>
        <w:snapToGrid w:val="0"/>
        <w:spacing w:before="156" w:beforeLines="50" w:line="360" w:lineRule="auto"/>
        <w:ind w:firstLine="420" w:firstLineChars="200"/>
        <w:jc w:val="left"/>
        <w:rPr>
          <w:rFonts w:cs="Times New Roman" w:asciiTheme="minorEastAsia" w:hAnsiTheme="minorEastAsia" w:eastAsiaTheme="minorEastAsia"/>
          <w:bCs/>
          <w:szCs w:val="21"/>
        </w:rPr>
      </w:pPr>
      <w:r>
        <w:rPr>
          <w:rFonts w:hint="eastAsia" w:cs="Times New Roman" w:asciiTheme="minorEastAsia" w:hAnsiTheme="minorEastAsia" w:eastAsiaTheme="minorEastAsia"/>
          <w:bCs/>
          <w:szCs w:val="21"/>
        </w:rPr>
        <w:t>1.2本采购项目评标方法见本章第一节“评标规范前附表”</w:t>
      </w:r>
      <w:r>
        <w:rPr>
          <w:rFonts w:hint="eastAsia" w:ascii="华文中宋" w:hAnsi="华文中宋" w:eastAsia="华文中宋" w:cs="Times New Roman"/>
          <w:bCs/>
          <w:szCs w:val="21"/>
        </w:rPr>
        <w:t>（</w:t>
      </w:r>
      <w:r>
        <w:rPr>
          <w:rFonts w:hint="eastAsia" w:cs="Times New Roman" w:asciiTheme="minorEastAsia" w:hAnsiTheme="minorEastAsia" w:eastAsiaTheme="minorEastAsia"/>
          <w:bCs/>
          <w:szCs w:val="21"/>
        </w:rPr>
        <w:t>以下简称</w:t>
      </w:r>
      <w:r>
        <w:rPr>
          <w:rFonts w:hint="eastAsia" w:cs="Times New Roman" w:asciiTheme="minorEastAsia" w:hAnsiTheme="minorEastAsia" w:eastAsiaTheme="minorEastAsia"/>
          <w:b/>
          <w:szCs w:val="21"/>
        </w:rPr>
        <w:t>【评标方法及标准前附表】）</w:t>
      </w:r>
      <w:r>
        <w:rPr>
          <w:rFonts w:hint="eastAsia" w:cs="Times New Roman" w:asciiTheme="minorEastAsia" w:hAnsiTheme="minorEastAsia" w:eastAsiaTheme="minorEastAsia"/>
          <w:szCs w:val="21"/>
        </w:rPr>
        <w:t>。</w:t>
      </w:r>
    </w:p>
    <w:p w14:paraId="7E22EA9B">
      <w:pPr>
        <w:keepNext w:val="0"/>
        <w:keepLines w:val="0"/>
        <w:widowControl w:val="0"/>
        <w:adjustRightInd w:val="0"/>
        <w:snapToGrid w:val="0"/>
        <w:spacing w:before="156" w:beforeLines="50" w:after="0" w:line="360" w:lineRule="auto"/>
        <w:jc w:val="both"/>
        <w:outlineLvl w:val="2"/>
        <w:rPr>
          <w:rFonts w:ascii="黑体" w:hAnsi="黑体" w:eastAsia="黑体" w:cs="Times New Roman"/>
          <w:b/>
          <w:bCs w:val="0"/>
          <w:kern w:val="2"/>
          <w:sz w:val="24"/>
          <w:szCs w:val="24"/>
          <w:lang w:val="en-US" w:eastAsia="zh-CN" w:bidi="ar-SA"/>
        </w:rPr>
      </w:pPr>
      <w:bookmarkStart w:id="50" w:name="_Toc29913914"/>
      <w:bookmarkStart w:id="51" w:name="_Toc20271"/>
      <w:bookmarkStart w:id="52" w:name="_Toc30157"/>
      <w:bookmarkStart w:id="53" w:name="_Toc31385"/>
      <w:r>
        <w:rPr>
          <w:rFonts w:hint="eastAsia" w:ascii="黑体" w:hAnsi="黑体" w:eastAsia="黑体" w:cs="Times New Roman"/>
          <w:b/>
          <w:bCs w:val="0"/>
          <w:kern w:val="2"/>
          <w:sz w:val="24"/>
          <w:szCs w:val="24"/>
          <w:lang w:val="en-US" w:eastAsia="zh-CN" w:bidi="ar-SA"/>
        </w:rPr>
        <w:t>2．评标程序</w:t>
      </w:r>
      <w:bookmarkEnd w:id="50"/>
      <w:bookmarkEnd w:id="51"/>
      <w:bookmarkEnd w:id="52"/>
      <w:bookmarkEnd w:id="53"/>
    </w:p>
    <w:p w14:paraId="35EFB02F">
      <w:pPr>
        <w:adjustRightInd w:val="0"/>
        <w:snapToGrid w:val="0"/>
        <w:spacing w:before="156" w:beforeLines="50" w:line="360" w:lineRule="auto"/>
        <w:ind w:firstLine="420" w:firstLineChars="200"/>
        <w:jc w:val="left"/>
        <w:rPr>
          <w:rFonts w:cs="Times New Roman" w:asciiTheme="minorEastAsia" w:hAnsiTheme="minorEastAsia" w:eastAsiaTheme="minorEastAsia"/>
          <w:bCs/>
          <w:szCs w:val="21"/>
        </w:rPr>
      </w:pPr>
      <w:r>
        <w:rPr>
          <w:rFonts w:hint="eastAsia" w:cs="Times New Roman" w:asciiTheme="minorEastAsia" w:hAnsiTheme="minorEastAsia" w:eastAsiaTheme="minorEastAsia"/>
          <w:bCs/>
          <w:szCs w:val="21"/>
        </w:rPr>
        <w:t>2.1评标程序分为投标文件符合性审查、澄清有关问题、比较和评价、推荐中标候选人。</w:t>
      </w:r>
    </w:p>
    <w:p w14:paraId="2BCB5EE6">
      <w:pPr>
        <w:keepNext w:val="0"/>
        <w:keepLines w:val="0"/>
        <w:widowControl w:val="0"/>
        <w:adjustRightInd w:val="0"/>
        <w:snapToGrid w:val="0"/>
        <w:spacing w:before="156" w:beforeLines="50" w:after="0" w:line="360" w:lineRule="auto"/>
        <w:jc w:val="both"/>
        <w:outlineLvl w:val="2"/>
        <w:rPr>
          <w:rFonts w:ascii="黑体" w:hAnsi="黑体" w:eastAsia="黑体" w:cs="Times New Roman"/>
          <w:b/>
          <w:bCs w:val="0"/>
          <w:kern w:val="2"/>
          <w:sz w:val="24"/>
          <w:szCs w:val="24"/>
          <w:lang w:val="en-US" w:eastAsia="zh-CN" w:bidi="ar-SA"/>
        </w:rPr>
      </w:pPr>
      <w:bookmarkStart w:id="54" w:name="_Toc2580"/>
      <w:bookmarkStart w:id="55" w:name="_Toc23423"/>
      <w:bookmarkStart w:id="56" w:name="_Toc5640"/>
      <w:bookmarkStart w:id="57" w:name="_Toc29913915"/>
      <w:r>
        <w:rPr>
          <w:rFonts w:hint="eastAsia" w:ascii="黑体" w:hAnsi="黑体" w:eastAsia="黑体" w:cs="Times New Roman"/>
          <w:b/>
          <w:bCs w:val="0"/>
          <w:kern w:val="2"/>
          <w:sz w:val="24"/>
          <w:szCs w:val="24"/>
          <w:lang w:val="en-US" w:eastAsia="zh-CN" w:bidi="ar-SA"/>
        </w:rPr>
        <w:t>3．投标文件的符合性审查</w:t>
      </w:r>
      <w:bookmarkEnd w:id="54"/>
      <w:bookmarkEnd w:id="55"/>
      <w:bookmarkEnd w:id="56"/>
      <w:bookmarkEnd w:id="57"/>
    </w:p>
    <w:p w14:paraId="172AFE2E">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3.1资格审查结束后，评标委员会依法按照本章第三节“投标文件的符合性审查”规定进行投标文件符合性。</w:t>
      </w:r>
    </w:p>
    <w:p w14:paraId="2AC413BC">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3.2符合性审查合格投标人少于3家的，应予废标。</w:t>
      </w:r>
    </w:p>
    <w:p w14:paraId="58541AE4">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3.3单一产品采购项目：提供相同品牌产品的不同投标人参加同一合同项下投标的，按一家投标人计算。提供不同品牌产品的投标人不足三家的，应予废标。</w:t>
      </w:r>
    </w:p>
    <w:p w14:paraId="559EF994">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3.4非单一产品采购项目：采购人或者采购代理机构将在</w:t>
      </w:r>
      <w:r>
        <w:rPr>
          <w:rFonts w:hint="eastAsia" w:cs="Times New Roman" w:asciiTheme="minorEastAsia" w:hAnsiTheme="minorEastAsia" w:eastAsiaTheme="minorEastAsia"/>
          <w:b/>
          <w:szCs w:val="21"/>
        </w:rPr>
        <w:t>【评标方法及标准前附表】</w:t>
      </w:r>
      <w:r>
        <w:rPr>
          <w:rFonts w:hint="eastAsia" w:cs="Times New Roman" w:asciiTheme="minorEastAsia" w:hAnsiTheme="minorEastAsia" w:eastAsiaTheme="minorEastAsia"/>
          <w:szCs w:val="21"/>
        </w:rPr>
        <w:t>中载明核心产品。多家投标人提供的核心产品品牌相同的，视为相同品牌，按本章本节第3.3款规定处理。</w:t>
      </w:r>
    </w:p>
    <w:p w14:paraId="55F9008E">
      <w:pPr>
        <w:keepNext w:val="0"/>
        <w:keepLines w:val="0"/>
        <w:widowControl w:val="0"/>
        <w:adjustRightInd w:val="0"/>
        <w:snapToGrid w:val="0"/>
        <w:spacing w:before="156" w:beforeLines="50" w:after="0" w:line="360" w:lineRule="auto"/>
        <w:jc w:val="both"/>
        <w:outlineLvl w:val="2"/>
        <w:rPr>
          <w:rFonts w:ascii="黑体" w:hAnsi="黑体" w:eastAsia="黑体" w:cs="Times New Roman"/>
          <w:b/>
          <w:bCs w:val="0"/>
          <w:kern w:val="2"/>
          <w:sz w:val="24"/>
          <w:szCs w:val="24"/>
          <w:lang w:val="en-US" w:eastAsia="zh-CN" w:bidi="ar-SA"/>
        </w:rPr>
      </w:pPr>
      <w:bookmarkStart w:id="58" w:name="_Toc29913916"/>
      <w:bookmarkStart w:id="59" w:name="_Toc5868"/>
      <w:bookmarkStart w:id="60" w:name="_Toc483"/>
      <w:bookmarkStart w:id="61" w:name="_Toc15039"/>
      <w:r>
        <w:rPr>
          <w:rFonts w:hint="eastAsia" w:ascii="黑体" w:hAnsi="黑体" w:eastAsia="黑体" w:cs="Times New Roman"/>
          <w:b/>
          <w:bCs w:val="0"/>
          <w:kern w:val="2"/>
          <w:sz w:val="24"/>
          <w:szCs w:val="24"/>
          <w:lang w:val="en-US" w:eastAsia="zh-CN" w:bidi="ar-SA"/>
        </w:rPr>
        <w:t>4．投标文件的澄清</w:t>
      </w:r>
      <w:bookmarkEnd w:id="58"/>
      <w:bookmarkEnd w:id="59"/>
      <w:bookmarkEnd w:id="60"/>
      <w:bookmarkEnd w:id="61"/>
    </w:p>
    <w:p w14:paraId="3A57DD7C">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4.1对于投标文件中含义不明确、同类问题表述不一致或者有明显文字和计算错误的内容，评标委员会应当以数据电文形式要求投标人作出必要的澄清、说明或者补正。</w:t>
      </w:r>
    </w:p>
    <w:p w14:paraId="382B311D">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4.2投标文件的投标报价出现前后不一致的，除</w:t>
      </w:r>
      <w:r>
        <w:rPr>
          <w:rFonts w:hint="eastAsia" w:cs="Times New Roman" w:asciiTheme="minorEastAsia" w:hAnsiTheme="minorEastAsia" w:eastAsiaTheme="minorEastAsia"/>
          <w:b/>
          <w:szCs w:val="21"/>
        </w:rPr>
        <w:t>【评标方法及标准前附表】</w:t>
      </w:r>
      <w:r>
        <w:rPr>
          <w:rFonts w:hint="eastAsia" w:cs="Times New Roman" w:asciiTheme="minorEastAsia" w:hAnsiTheme="minorEastAsia" w:eastAsiaTheme="minorEastAsia"/>
          <w:szCs w:val="21"/>
        </w:rPr>
        <w:t>另有规定外，按照下列规定修正：</w:t>
      </w:r>
    </w:p>
    <w:p w14:paraId="45C88BD6">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（1）投标文件中开标一览表内容与投标文件中相应内容不一致的，以开标一览表为准；</w:t>
      </w:r>
    </w:p>
    <w:p w14:paraId="674A0EDF">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（2）大写金额和小写金额不一致的，以大写金额为准；</w:t>
      </w:r>
    </w:p>
    <w:p w14:paraId="4591013D">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（3）单价金额小数点或者百分比有明显错位的，以开标一览表的总价为准，并修改单价；</w:t>
      </w:r>
    </w:p>
    <w:p w14:paraId="6AC3A0EC">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（4）总价金额与按单价汇总金额不一致的，以单价金额计算结果为准。</w:t>
      </w:r>
    </w:p>
    <w:p w14:paraId="02A46BF5">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4.3投标文件报价同时出现两种以上不一致的，按照前款规定的顺序修正。修正后的报价由投标人代表电子签名或者加盖单位电子章确认后产生约束力，投标人不确认的，其投标无效。</w:t>
      </w:r>
    </w:p>
    <w:p w14:paraId="5530BFBE">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4.4投标人的澄清、说明或者补正应当采用数据电文形式，并加盖电子公章，或者由法定代表人或其授权的代表电子签名，并按评标委员会的通知要求递交至交易平台。投标人的澄清、说明或者补正不得超出投标文件的范围或者改变投标文件的实质性内容。</w:t>
      </w:r>
    </w:p>
    <w:p w14:paraId="450FF12E">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4.5有效的澄清材料，是投标文件的补充材料，成为投标文件的组成部分。</w:t>
      </w:r>
    </w:p>
    <w:p w14:paraId="2A5BCB79">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4.6评标委员会认为投标人的报价明显低于其他通过符合性审查投标人的报价，有可能影响产品质量或者不能诚信履约的，应当要求其在评标现场合理的时间内提供说明，必要时提交相关证明材料；投标人不能证明其报价合理性的，评标委员会应当将其作为投标无效处理。</w:t>
      </w:r>
    </w:p>
    <w:p w14:paraId="35433E63">
      <w:pPr>
        <w:keepNext w:val="0"/>
        <w:keepLines w:val="0"/>
        <w:widowControl w:val="0"/>
        <w:adjustRightInd w:val="0"/>
        <w:snapToGrid w:val="0"/>
        <w:spacing w:before="156" w:beforeLines="50" w:after="0" w:line="360" w:lineRule="auto"/>
        <w:jc w:val="both"/>
        <w:outlineLvl w:val="2"/>
        <w:rPr>
          <w:rFonts w:ascii="黑体" w:hAnsi="黑体" w:eastAsia="黑体" w:cs="Times New Roman"/>
          <w:b/>
          <w:bCs w:val="0"/>
          <w:kern w:val="2"/>
          <w:sz w:val="24"/>
          <w:szCs w:val="24"/>
          <w:lang w:val="en-US" w:eastAsia="zh-CN" w:bidi="ar-SA"/>
        </w:rPr>
      </w:pPr>
      <w:bookmarkStart w:id="62" w:name="_Toc11773"/>
      <w:bookmarkStart w:id="63" w:name="_Toc5596"/>
      <w:bookmarkStart w:id="64" w:name="_Toc282"/>
      <w:bookmarkStart w:id="65" w:name="_Toc29913917"/>
      <w:r>
        <w:rPr>
          <w:rFonts w:hint="eastAsia" w:ascii="黑体" w:hAnsi="黑体" w:eastAsia="黑体" w:cs="Times New Roman"/>
          <w:b/>
          <w:bCs w:val="0"/>
          <w:kern w:val="2"/>
          <w:sz w:val="24"/>
          <w:szCs w:val="24"/>
          <w:lang w:val="en-US" w:eastAsia="zh-CN" w:bidi="ar-SA"/>
        </w:rPr>
        <w:t>5．投标文件的比较与评价</w:t>
      </w:r>
      <w:bookmarkEnd w:id="62"/>
      <w:bookmarkEnd w:id="63"/>
      <w:bookmarkEnd w:id="64"/>
      <w:bookmarkEnd w:id="65"/>
    </w:p>
    <w:p w14:paraId="636BEA53">
      <w:pPr>
        <w:adjustRightInd w:val="0"/>
        <w:snapToGrid w:val="0"/>
        <w:spacing w:before="156" w:beforeLines="50" w:line="360" w:lineRule="auto"/>
        <w:ind w:firstLine="420" w:firstLineChars="200"/>
        <w:jc w:val="left"/>
        <w:rPr>
          <w:rFonts w:cs="Times New Roman" w:asciiTheme="minorEastAsia" w:hAnsiTheme="minorEastAsia" w:eastAsiaTheme="minorEastAsia"/>
          <w:bCs/>
          <w:szCs w:val="21"/>
        </w:rPr>
      </w:pPr>
      <w:r>
        <w:rPr>
          <w:rFonts w:hint="eastAsia" w:cs="Times New Roman" w:asciiTheme="minorEastAsia" w:hAnsiTheme="minorEastAsia" w:eastAsiaTheme="minorEastAsia"/>
          <w:bCs/>
          <w:szCs w:val="21"/>
        </w:rPr>
        <w:t>5.1评标委员会依法按照本章第三节“投标文件的比较与评价”规定，对资格性检查和符合性检查合格的投标文件进行比较和评价。</w:t>
      </w:r>
    </w:p>
    <w:p w14:paraId="473A5E52">
      <w:pPr>
        <w:adjustRightInd w:val="0"/>
        <w:snapToGrid w:val="0"/>
        <w:spacing w:before="156" w:beforeLines="50" w:line="360" w:lineRule="auto"/>
        <w:ind w:firstLine="420" w:firstLineChars="200"/>
        <w:jc w:val="left"/>
        <w:rPr>
          <w:rFonts w:cs="Times New Roman" w:asciiTheme="minorEastAsia" w:hAnsiTheme="minorEastAsia" w:eastAsiaTheme="minorEastAsia"/>
          <w:bCs/>
          <w:szCs w:val="21"/>
        </w:rPr>
      </w:pPr>
      <w:r>
        <w:rPr>
          <w:rFonts w:hint="eastAsia" w:cs="Times New Roman" w:asciiTheme="minorEastAsia" w:hAnsiTheme="minorEastAsia" w:eastAsiaTheme="minorEastAsia"/>
          <w:bCs/>
          <w:szCs w:val="21"/>
        </w:rPr>
        <w:t>5.2单一产品采购项目：</w:t>
      </w:r>
    </w:p>
    <w:p w14:paraId="7EAC5112">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综合评分法：提供相同品牌产品且通过资格审查、符合性审查的不同投标人参加同一合同项下投标的，评审后得分最高的同品牌投标人获得中标人推荐资格；评审得分相同的，按照</w:t>
      </w:r>
      <w:r>
        <w:rPr>
          <w:rFonts w:hint="eastAsia" w:cs="Times New Roman" w:asciiTheme="minorEastAsia" w:hAnsiTheme="minorEastAsia" w:eastAsiaTheme="minorEastAsia"/>
          <w:b/>
          <w:szCs w:val="21"/>
        </w:rPr>
        <w:t>【评标方法及标准前附表】</w:t>
      </w:r>
      <w:r>
        <w:rPr>
          <w:rFonts w:hint="eastAsia" w:cs="Times New Roman" w:asciiTheme="minorEastAsia" w:hAnsiTheme="minorEastAsia" w:eastAsiaTheme="minorEastAsia"/>
          <w:szCs w:val="21"/>
        </w:rPr>
        <w:t>规定的方式确定一个投标人获得中标人推荐资格，招标文件未规定的采取随机抽取方式确定，其他同品牌投标人</w:t>
      </w:r>
      <w:r>
        <w:rPr>
          <w:rFonts w:hint="eastAsia" w:cs="Times New Roman" w:asciiTheme="minorEastAsia" w:hAnsiTheme="minorEastAsia" w:eastAsiaTheme="minorEastAsia"/>
          <w:b/>
          <w:szCs w:val="21"/>
        </w:rPr>
        <w:t>不作为中标候选人</w:t>
      </w:r>
      <w:r>
        <w:rPr>
          <w:rFonts w:hint="eastAsia" w:cs="Times New Roman" w:asciiTheme="minorEastAsia" w:hAnsiTheme="minorEastAsia" w:eastAsiaTheme="minorEastAsia"/>
          <w:szCs w:val="21"/>
        </w:rPr>
        <w:t>。</w:t>
      </w:r>
    </w:p>
    <w:p w14:paraId="4BCB417B">
      <w:pPr>
        <w:adjustRightInd w:val="0"/>
        <w:snapToGrid w:val="0"/>
        <w:spacing w:before="156" w:beforeLines="50" w:line="360" w:lineRule="auto"/>
        <w:ind w:firstLine="420" w:firstLineChars="200"/>
        <w:jc w:val="left"/>
        <w:rPr>
          <w:rFonts w:cs="Times New Roman" w:asciiTheme="minorEastAsia" w:hAnsiTheme="minorEastAsia" w:eastAsiaTheme="minorEastAsia"/>
          <w:bCs/>
          <w:szCs w:val="21"/>
        </w:rPr>
      </w:pPr>
      <w:r>
        <w:rPr>
          <w:rFonts w:hint="eastAsia" w:cs="Times New Roman" w:asciiTheme="minorEastAsia" w:hAnsiTheme="minorEastAsia" w:eastAsiaTheme="minorEastAsia"/>
          <w:bCs/>
          <w:szCs w:val="21"/>
        </w:rPr>
        <w:t>5.3非单一产品采购项目：多家投标人提供的核心产品品牌相同的，视为相同品牌，按本章本节第 5.2 款规定处理。</w:t>
      </w:r>
    </w:p>
    <w:p w14:paraId="39394E4B">
      <w:pPr>
        <w:adjustRightInd w:val="0"/>
        <w:snapToGrid w:val="0"/>
        <w:spacing w:before="156" w:beforeLines="50" w:line="360" w:lineRule="auto"/>
        <w:ind w:firstLine="420" w:firstLineChars="200"/>
        <w:jc w:val="left"/>
        <w:rPr>
          <w:rFonts w:cs="Times New Roman" w:asciiTheme="minorEastAsia" w:hAnsiTheme="minorEastAsia" w:eastAsiaTheme="minorEastAsia"/>
          <w:bCs/>
          <w:szCs w:val="21"/>
        </w:rPr>
      </w:pPr>
      <w:r>
        <w:rPr>
          <w:rFonts w:hint="eastAsia" w:cs="Times New Roman" w:asciiTheme="minorEastAsia" w:hAnsiTheme="minorEastAsia" w:eastAsiaTheme="minorEastAsia"/>
          <w:bCs/>
          <w:szCs w:val="21"/>
        </w:rPr>
        <w:t>5.</w:t>
      </w:r>
      <w:r>
        <w:rPr>
          <w:rFonts w:hint="eastAsia" w:cs="Times New Roman" w:asciiTheme="minorEastAsia" w:hAnsiTheme="minorEastAsia" w:eastAsiaTheme="minorEastAsia"/>
          <w:bCs/>
          <w:szCs w:val="21"/>
          <w:lang w:val="en-US" w:eastAsia="zh-CN"/>
        </w:rPr>
        <w:t>4</w:t>
      </w:r>
      <w:r>
        <w:rPr>
          <w:rFonts w:hint="eastAsia" w:cs="Times New Roman" w:asciiTheme="minorEastAsia" w:hAnsiTheme="minorEastAsia" w:eastAsiaTheme="minorEastAsia"/>
          <w:bCs/>
          <w:szCs w:val="21"/>
        </w:rPr>
        <w:t>政府采购政策：</w:t>
      </w:r>
    </w:p>
    <w:p w14:paraId="706044B6">
      <w:pPr>
        <w:adjustRightInd w:val="0"/>
        <w:snapToGrid w:val="0"/>
        <w:spacing w:before="156" w:beforeLines="50" w:line="360" w:lineRule="auto"/>
        <w:ind w:firstLine="420" w:firstLineChars="200"/>
        <w:jc w:val="left"/>
        <w:rPr>
          <w:rFonts w:cs="Times New Roman" w:asciiTheme="minorEastAsia" w:hAnsiTheme="minorEastAsia" w:eastAsiaTheme="minorEastAsia"/>
          <w:bCs/>
          <w:szCs w:val="21"/>
        </w:rPr>
      </w:pPr>
      <w:r>
        <w:rPr>
          <w:rFonts w:hint="eastAsia" w:cs="Times New Roman" w:asciiTheme="minorEastAsia" w:hAnsiTheme="minorEastAsia" w:eastAsiaTheme="minorEastAsia"/>
          <w:szCs w:val="21"/>
        </w:rPr>
        <w:t>（1）</w:t>
      </w:r>
      <w:r>
        <w:rPr>
          <w:rFonts w:hint="eastAsia" w:cs="Times New Roman" w:asciiTheme="minorEastAsia" w:hAnsiTheme="minorEastAsia" w:eastAsiaTheme="minorEastAsia"/>
          <w:bCs/>
          <w:szCs w:val="21"/>
        </w:rPr>
        <w:t>价格评审优惠：</w:t>
      </w:r>
      <w:r>
        <w:rPr>
          <w:rFonts w:hint="eastAsia" w:cs="Times New Roman" w:asciiTheme="minorEastAsia" w:hAnsiTheme="minorEastAsia" w:eastAsiaTheme="minorEastAsia"/>
          <w:szCs w:val="21"/>
        </w:rPr>
        <w:t>按</w:t>
      </w:r>
      <w:r>
        <w:rPr>
          <w:rFonts w:hint="eastAsia" w:cs="Times New Roman" w:asciiTheme="minorEastAsia" w:hAnsiTheme="minorEastAsia" w:eastAsiaTheme="minorEastAsia"/>
          <w:b/>
          <w:szCs w:val="21"/>
        </w:rPr>
        <w:t>【评标方法及标准前附表】</w:t>
      </w:r>
      <w:r>
        <w:rPr>
          <w:rFonts w:hint="eastAsia" w:cs="Times New Roman" w:asciiTheme="minorEastAsia" w:hAnsiTheme="minorEastAsia" w:eastAsiaTheme="minorEastAsia"/>
          <w:szCs w:val="21"/>
        </w:rPr>
        <w:t>及第二章“投标须知”的相关规定给予一定的价格折扣。</w:t>
      </w:r>
    </w:p>
    <w:p w14:paraId="54BF4DE0">
      <w:pPr>
        <w:adjustRightInd w:val="0"/>
        <w:snapToGrid w:val="0"/>
        <w:spacing w:before="156" w:beforeLines="50" w:line="360" w:lineRule="auto"/>
        <w:ind w:firstLine="420" w:firstLineChars="200"/>
        <w:jc w:val="left"/>
        <w:rPr>
          <w:rFonts w:cs="Times New Roman" w:asciiTheme="minorEastAsia" w:hAnsiTheme="minorEastAsia" w:eastAsiaTheme="minorEastAsia"/>
          <w:bCs/>
          <w:szCs w:val="21"/>
        </w:rPr>
      </w:pPr>
      <w:r>
        <w:rPr>
          <w:rFonts w:hint="eastAsia" w:cs="Times New Roman" w:asciiTheme="minorEastAsia" w:hAnsiTheme="minorEastAsia" w:eastAsiaTheme="minorEastAsia"/>
          <w:szCs w:val="21"/>
        </w:rPr>
        <w:t>（2）优先采购：</w:t>
      </w:r>
      <w:r>
        <w:rPr>
          <w:rFonts w:hint="eastAsia" w:cs="Times New Roman" w:asciiTheme="minorEastAsia" w:hAnsiTheme="minorEastAsia" w:eastAsiaTheme="minorEastAsia"/>
          <w:bCs/>
          <w:szCs w:val="21"/>
        </w:rPr>
        <w:t>评审时按</w:t>
      </w:r>
      <w:r>
        <w:rPr>
          <w:rFonts w:hint="eastAsia" w:cs="Times New Roman" w:asciiTheme="minorEastAsia" w:hAnsiTheme="minorEastAsia" w:eastAsiaTheme="minorEastAsia"/>
          <w:b/>
          <w:szCs w:val="21"/>
        </w:rPr>
        <w:t>【评标方法及标准前附表】</w:t>
      </w:r>
      <w:r>
        <w:rPr>
          <w:rFonts w:hint="eastAsia" w:cs="Times New Roman" w:asciiTheme="minorEastAsia" w:hAnsiTheme="minorEastAsia" w:eastAsiaTheme="minorEastAsia"/>
          <w:bCs/>
          <w:szCs w:val="21"/>
        </w:rPr>
        <w:t>及第二章</w:t>
      </w:r>
      <w:r>
        <w:rPr>
          <w:rFonts w:hint="eastAsia" w:cs="Times New Roman" w:asciiTheme="minorEastAsia" w:hAnsiTheme="minorEastAsia" w:eastAsiaTheme="minorEastAsia"/>
          <w:szCs w:val="21"/>
        </w:rPr>
        <w:t>“投标须知”</w:t>
      </w:r>
      <w:r>
        <w:rPr>
          <w:rFonts w:hint="eastAsia" w:cs="Times New Roman" w:asciiTheme="minorEastAsia" w:hAnsiTheme="minorEastAsia" w:eastAsiaTheme="minorEastAsia"/>
          <w:bCs/>
          <w:szCs w:val="21"/>
        </w:rPr>
        <w:t>的相关规定给予价格折扣或者加分。</w:t>
      </w:r>
    </w:p>
    <w:p w14:paraId="78FE6B51">
      <w:pPr>
        <w:keepNext w:val="0"/>
        <w:keepLines w:val="0"/>
        <w:widowControl w:val="0"/>
        <w:adjustRightInd w:val="0"/>
        <w:snapToGrid w:val="0"/>
        <w:spacing w:before="156" w:beforeLines="50" w:after="0" w:line="360" w:lineRule="auto"/>
        <w:jc w:val="both"/>
        <w:outlineLvl w:val="2"/>
        <w:rPr>
          <w:rFonts w:ascii="黑体" w:hAnsi="黑体" w:eastAsia="黑体" w:cs="Times New Roman"/>
          <w:b/>
          <w:bCs/>
          <w:color w:val="FF0000"/>
          <w:kern w:val="2"/>
          <w:sz w:val="24"/>
          <w:szCs w:val="24"/>
          <w:lang w:val="en-US" w:eastAsia="zh-CN" w:bidi="ar-SA"/>
        </w:rPr>
      </w:pPr>
      <w:bookmarkStart w:id="66" w:name="_Toc29913918"/>
      <w:bookmarkStart w:id="67" w:name="_Toc3441"/>
      <w:bookmarkStart w:id="68" w:name="_Toc1000"/>
      <w:bookmarkStart w:id="69" w:name="_Toc23499"/>
      <w:r>
        <w:rPr>
          <w:rFonts w:hint="eastAsia" w:ascii="黑体" w:hAnsi="黑体" w:eastAsia="黑体" w:cs="Times New Roman"/>
          <w:b/>
          <w:bCs w:val="0"/>
          <w:kern w:val="2"/>
          <w:sz w:val="24"/>
          <w:szCs w:val="24"/>
          <w:lang w:val="en-US" w:eastAsia="zh-CN" w:bidi="ar-SA"/>
        </w:rPr>
        <w:t>6．</w:t>
      </w:r>
      <w:r>
        <w:rPr>
          <w:rFonts w:hint="eastAsia" w:ascii="黑体" w:hAnsi="黑体" w:eastAsia="黑体" w:cs="Times New Roman"/>
          <w:b/>
          <w:bCs/>
          <w:kern w:val="2"/>
          <w:sz w:val="24"/>
          <w:szCs w:val="24"/>
          <w:lang w:val="en-US" w:eastAsia="zh-CN" w:bidi="ar-SA"/>
        </w:rPr>
        <w:t>推荐中标候选人</w:t>
      </w:r>
      <w:bookmarkEnd w:id="66"/>
      <w:bookmarkEnd w:id="67"/>
      <w:bookmarkEnd w:id="68"/>
      <w:bookmarkEnd w:id="69"/>
    </w:p>
    <w:p w14:paraId="10FFB187">
      <w:pPr>
        <w:adjustRightInd w:val="0"/>
        <w:snapToGrid w:val="0"/>
        <w:spacing w:before="156" w:beforeLines="50" w:line="360" w:lineRule="auto"/>
        <w:ind w:firstLine="420" w:firstLineChars="200"/>
        <w:jc w:val="left"/>
        <w:rPr>
          <w:rFonts w:cs="Times New Roman" w:asciiTheme="minorEastAsia" w:hAnsiTheme="minorEastAsia" w:eastAsiaTheme="minorEastAsia"/>
          <w:bCs/>
          <w:szCs w:val="21"/>
        </w:rPr>
      </w:pPr>
      <w:r>
        <w:rPr>
          <w:rFonts w:hint="eastAsia" w:cs="Times New Roman" w:asciiTheme="minorEastAsia" w:hAnsiTheme="minorEastAsia" w:eastAsiaTheme="minorEastAsia"/>
          <w:bCs/>
          <w:szCs w:val="21"/>
        </w:rPr>
        <w:t>综合评分法：评标结果按评审后得分由高到低顺序排列。得分相同的，按投标报价由低到高顺序排列。得分且投标报价相同的并列，按</w:t>
      </w:r>
      <w:r>
        <w:rPr>
          <w:rFonts w:hint="eastAsia" w:cs="Times New Roman" w:asciiTheme="minorEastAsia" w:hAnsiTheme="minorEastAsia" w:eastAsiaTheme="minorEastAsia"/>
          <w:b/>
          <w:bCs/>
          <w:szCs w:val="21"/>
        </w:rPr>
        <w:t>【评标方法及标准前附表】</w:t>
      </w:r>
      <w:r>
        <w:rPr>
          <w:rFonts w:hint="eastAsia" w:cs="Times New Roman" w:asciiTheme="minorEastAsia" w:hAnsiTheme="minorEastAsia" w:eastAsiaTheme="minorEastAsia"/>
          <w:bCs/>
          <w:szCs w:val="21"/>
        </w:rPr>
        <w:t>规定的方式确定中标人；招标文件未规定的，采取随机抽取的方式确定。</w:t>
      </w:r>
    </w:p>
    <w:p w14:paraId="34A8A81E">
      <w:pPr>
        <w:keepNext w:val="0"/>
        <w:keepLines w:val="0"/>
        <w:widowControl w:val="0"/>
        <w:adjustRightInd w:val="0"/>
        <w:snapToGrid w:val="0"/>
        <w:spacing w:before="156" w:beforeLines="50" w:after="0" w:line="360" w:lineRule="auto"/>
        <w:jc w:val="both"/>
        <w:outlineLvl w:val="2"/>
        <w:rPr>
          <w:rFonts w:ascii="黑体" w:hAnsi="黑体" w:eastAsia="黑体" w:cs="Times New Roman"/>
          <w:b/>
          <w:bCs/>
          <w:kern w:val="2"/>
          <w:sz w:val="24"/>
          <w:szCs w:val="24"/>
          <w:lang w:val="en-US" w:eastAsia="zh-CN" w:bidi="ar-SA"/>
        </w:rPr>
      </w:pPr>
      <w:bookmarkStart w:id="70" w:name="_Toc29913919"/>
      <w:bookmarkStart w:id="71" w:name="_Toc13136"/>
      <w:bookmarkStart w:id="72" w:name="_Toc11040"/>
      <w:bookmarkStart w:id="73" w:name="_Toc10450"/>
      <w:r>
        <w:rPr>
          <w:rFonts w:hint="eastAsia" w:ascii="黑体" w:hAnsi="黑体" w:eastAsia="黑体" w:cs="Times New Roman"/>
          <w:b/>
          <w:bCs w:val="0"/>
          <w:kern w:val="2"/>
          <w:sz w:val="24"/>
          <w:szCs w:val="24"/>
          <w:lang w:val="en-US" w:eastAsia="zh-CN" w:bidi="ar-SA"/>
        </w:rPr>
        <w:t>7．</w:t>
      </w:r>
      <w:r>
        <w:rPr>
          <w:rFonts w:hint="eastAsia" w:ascii="黑体" w:hAnsi="黑体" w:eastAsia="黑体" w:cs="Times New Roman"/>
          <w:b/>
          <w:bCs/>
          <w:kern w:val="2"/>
          <w:sz w:val="24"/>
          <w:szCs w:val="24"/>
          <w:lang w:val="en-US" w:eastAsia="zh-CN" w:bidi="ar-SA"/>
        </w:rPr>
        <w:t>编写评标报告</w:t>
      </w:r>
      <w:bookmarkEnd w:id="70"/>
      <w:bookmarkEnd w:id="71"/>
      <w:bookmarkEnd w:id="72"/>
      <w:bookmarkEnd w:id="73"/>
    </w:p>
    <w:p w14:paraId="5C4D71A1">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7.1评标</w:t>
      </w:r>
      <w:r>
        <w:rPr>
          <w:rFonts w:hint="eastAsia" w:cs="Times New Roman" w:asciiTheme="minorEastAsia" w:hAnsiTheme="minorEastAsia" w:eastAsiaTheme="minorEastAsia"/>
          <w:bCs/>
          <w:szCs w:val="21"/>
        </w:rPr>
        <w:t>委员会</w:t>
      </w:r>
      <w:r>
        <w:rPr>
          <w:rFonts w:hint="eastAsia" w:cs="Times New Roman" w:asciiTheme="minorEastAsia" w:hAnsiTheme="minorEastAsia" w:eastAsiaTheme="minorEastAsia"/>
          <w:szCs w:val="21"/>
        </w:rPr>
        <w:t>根据全体评标成员电子签名的原始评标记录和评标结果编写评标报告。</w:t>
      </w:r>
    </w:p>
    <w:p w14:paraId="34CE54D6">
      <w:pPr>
        <w:adjustRightInd w:val="0"/>
        <w:snapToGrid w:val="0"/>
        <w:spacing w:before="156" w:beforeLines="50" w:line="360" w:lineRule="auto"/>
        <w:ind w:firstLine="420" w:firstLineChars="200"/>
        <w:jc w:val="left"/>
        <w:rPr>
          <w:rFonts w:cs="Times New Roman" w:asciiTheme="minorEastAsia" w:hAnsiTheme="minorEastAsia" w:eastAsiaTheme="minorEastAsia"/>
          <w:bCs/>
          <w:szCs w:val="21"/>
        </w:rPr>
      </w:pPr>
      <w:r>
        <w:rPr>
          <w:rFonts w:hint="eastAsia" w:cs="Times New Roman" w:asciiTheme="minorEastAsia" w:hAnsiTheme="minorEastAsia" w:eastAsiaTheme="minorEastAsia"/>
          <w:szCs w:val="21"/>
        </w:rPr>
        <w:t>7.2</w:t>
      </w:r>
      <w:r>
        <w:rPr>
          <w:rFonts w:hint="eastAsia" w:cs="Times New Roman" w:asciiTheme="minorEastAsia" w:hAnsiTheme="minorEastAsia" w:eastAsiaTheme="minorEastAsia"/>
          <w:bCs/>
          <w:szCs w:val="21"/>
        </w:rPr>
        <w:t>评标委员会成员对需要共同认定的事项存在争议的，应当按照少数服从多数的原则作出结论。持不同意见的评标委员会成员应当在评标报告上签署不同意见及理由，否则视为同意评标报告。</w:t>
      </w:r>
    </w:p>
    <w:p w14:paraId="3B0BB3BA">
      <w:pPr>
        <w:keepNext w:val="0"/>
        <w:keepLines w:val="0"/>
        <w:widowControl w:val="0"/>
        <w:adjustRightInd w:val="0"/>
        <w:snapToGrid w:val="0"/>
        <w:spacing w:before="156" w:beforeLines="50" w:after="0" w:line="360" w:lineRule="auto"/>
        <w:jc w:val="both"/>
        <w:outlineLvl w:val="2"/>
        <w:rPr>
          <w:rFonts w:ascii="黑体" w:hAnsi="黑体" w:eastAsia="黑体" w:cs="Times New Roman"/>
          <w:b/>
          <w:bCs w:val="0"/>
          <w:kern w:val="2"/>
          <w:sz w:val="24"/>
          <w:szCs w:val="24"/>
          <w:lang w:val="en-US" w:eastAsia="zh-CN" w:bidi="ar-SA"/>
        </w:rPr>
      </w:pPr>
      <w:bookmarkStart w:id="74" w:name="_Toc9642"/>
      <w:bookmarkStart w:id="75" w:name="_Toc29285"/>
      <w:bookmarkStart w:id="76" w:name="_Toc29913920"/>
      <w:bookmarkStart w:id="77" w:name="_Toc4435"/>
      <w:r>
        <w:rPr>
          <w:rFonts w:hint="eastAsia" w:ascii="黑体" w:hAnsi="黑体" w:eastAsia="黑体" w:cs="Times New Roman"/>
          <w:b/>
          <w:bCs w:val="0"/>
          <w:kern w:val="2"/>
          <w:sz w:val="24"/>
          <w:szCs w:val="24"/>
          <w:lang w:val="en-US" w:eastAsia="zh-CN" w:bidi="ar-SA"/>
        </w:rPr>
        <w:t>8．</w:t>
      </w:r>
      <w:r>
        <w:rPr>
          <w:rFonts w:hint="eastAsia" w:ascii="黑体" w:hAnsi="黑体" w:eastAsia="黑体" w:cs="Times New Roman"/>
          <w:b/>
          <w:bCs/>
          <w:kern w:val="2"/>
          <w:sz w:val="24"/>
          <w:szCs w:val="24"/>
          <w:lang w:val="en-US" w:eastAsia="zh-CN" w:bidi="ar-SA"/>
        </w:rPr>
        <w:t>评标报告</w:t>
      </w:r>
      <w:r>
        <w:rPr>
          <w:rFonts w:hint="eastAsia" w:ascii="黑体" w:hAnsi="黑体" w:eastAsia="黑体" w:cs="Times New Roman"/>
          <w:b/>
          <w:bCs w:val="0"/>
          <w:kern w:val="2"/>
          <w:sz w:val="24"/>
          <w:szCs w:val="24"/>
          <w:lang w:val="en-US" w:eastAsia="zh-CN" w:bidi="ar-SA"/>
        </w:rPr>
        <w:t>复核</w:t>
      </w:r>
      <w:bookmarkEnd w:id="74"/>
      <w:bookmarkEnd w:id="75"/>
      <w:bookmarkEnd w:id="76"/>
      <w:bookmarkEnd w:id="77"/>
    </w:p>
    <w:p w14:paraId="0879F069">
      <w:pPr>
        <w:adjustRightInd w:val="0"/>
        <w:snapToGrid w:val="0"/>
        <w:spacing w:before="156" w:beforeLines="50" w:line="360" w:lineRule="auto"/>
        <w:ind w:firstLine="420" w:firstLineChars="200"/>
        <w:jc w:val="left"/>
        <w:rPr>
          <w:rFonts w:cs="Times New Roman" w:asciiTheme="minorEastAsia" w:hAnsiTheme="minorEastAsia" w:eastAsiaTheme="minorEastAsia"/>
          <w:bCs/>
          <w:szCs w:val="21"/>
        </w:rPr>
      </w:pPr>
      <w:r>
        <w:rPr>
          <w:rFonts w:hint="eastAsia" w:cs="Times New Roman" w:asciiTheme="minorEastAsia" w:hAnsiTheme="minorEastAsia" w:eastAsiaTheme="minorEastAsia"/>
          <w:bCs/>
          <w:szCs w:val="21"/>
        </w:rPr>
        <w:t>8.1汇总结束后，评标委员会应当进行复核，特别要对拟推荐为中标候选供应商的、报价最低的、投标文件被认定为无效的进行重点复核。</w:t>
      </w:r>
    </w:p>
    <w:p w14:paraId="455DE3BA">
      <w:pPr>
        <w:adjustRightInd w:val="0"/>
        <w:snapToGrid w:val="0"/>
        <w:spacing w:before="156" w:beforeLines="50" w:line="360" w:lineRule="auto"/>
        <w:ind w:firstLine="420" w:firstLineChars="200"/>
        <w:jc w:val="left"/>
        <w:rPr>
          <w:rFonts w:cs="Times New Roman" w:asciiTheme="minorEastAsia" w:hAnsiTheme="minorEastAsia" w:eastAsiaTheme="minorEastAsia"/>
          <w:bCs/>
          <w:szCs w:val="21"/>
        </w:rPr>
      </w:pPr>
      <w:r>
        <w:rPr>
          <w:rFonts w:hint="eastAsia" w:cs="Times New Roman" w:asciiTheme="minorEastAsia" w:hAnsiTheme="minorEastAsia" w:eastAsiaTheme="minorEastAsia"/>
          <w:bCs/>
          <w:szCs w:val="21"/>
        </w:rPr>
        <w:t>8.2汇总完成后，除下列情形外，任何人不得修改评标结果：</w:t>
      </w:r>
    </w:p>
    <w:p w14:paraId="0D06FCA2">
      <w:pPr>
        <w:adjustRightInd w:val="0"/>
        <w:snapToGrid w:val="0"/>
        <w:spacing w:before="156" w:beforeLines="50"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（1）分值汇总计算错误的；</w:t>
      </w:r>
    </w:p>
    <w:p w14:paraId="12CC988F">
      <w:pPr>
        <w:adjustRightInd w:val="0"/>
        <w:snapToGrid w:val="0"/>
        <w:spacing w:before="156" w:beforeLines="50"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（2）分项评分超出评分标准范围的；</w:t>
      </w:r>
    </w:p>
    <w:p w14:paraId="08FE8677">
      <w:pPr>
        <w:adjustRightInd w:val="0"/>
        <w:snapToGrid w:val="0"/>
        <w:spacing w:before="156" w:beforeLines="50"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（3）评标委员会成员对客观评审因素评分不一致的；</w:t>
      </w:r>
    </w:p>
    <w:p w14:paraId="4E439DC1">
      <w:pPr>
        <w:adjustRightInd w:val="0"/>
        <w:snapToGrid w:val="0"/>
        <w:spacing w:before="156" w:beforeLines="50"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（4）经评标委员会认定评分畸高、畸低的。</w:t>
      </w:r>
    </w:p>
    <w:p w14:paraId="7BE3326A">
      <w:pPr>
        <w:adjustRightInd w:val="0"/>
        <w:snapToGrid w:val="0"/>
        <w:spacing w:before="156" w:beforeLines="50" w:line="360" w:lineRule="auto"/>
        <w:ind w:firstLine="420" w:firstLineChars="200"/>
        <w:jc w:val="left"/>
        <w:rPr>
          <w:rFonts w:cs="Times New Roman" w:asciiTheme="minorEastAsia" w:hAnsiTheme="minorEastAsia" w:eastAsiaTheme="minorEastAsia"/>
          <w:b/>
          <w:bCs/>
          <w:szCs w:val="21"/>
        </w:rPr>
      </w:pPr>
      <w:r>
        <w:rPr>
          <w:rFonts w:hint="eastAsia" w:cs="Times New Roman" w:asciiTheme="minorEastAsia" w:hAnsiTheme="minorEastAsia" w:eastAsiaTheme="minorEastAsia"/>
          <w:bCs/>
          <w:szCs w:val="21"/>
        </w:rPr>
        <w:t>8.3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347C214E">
      <w:pPr>
        <w:keepNext w:val="0"/>
        <w:keepLines w:val="0"/>
        <w:widowControl w:val="0"/>
        <w:adjustRightInd w:val="0"/>
        <w:snapToGrid w:val="0"/>
        <w:spacing w:before="156" w:beforeLines="50" w:after="0" w:line="360" w:lineRule="auto"/>
        <w:jc w:val="both"/>
        <w:outlineLvl w:val="2"/>
        <w:rPr>
          <w:rFonts w:ascii="黑体" w:hAnsi="黑体" w:eastAsia="黑体" w:cs="Times New Roman"/>
          <w:b/>
          <w:bCs w:val="0"/>
          <w:kern w:val="2"/>
          <w:sz w:val="24"/>
          <w:szCs w:val="24"/>
          <w:lang w:val="en-US" w:eastAsia="zh-CN" w:bidi="ar-SA"/>
        </w:rPr>
      </w:pPr>
      <w:bookmarkStart w:id="78" w:name="_Toc10166"/>
      <w:bookmarkStart w:id="79" w:name="_Toc22688"/>
      <w:bookmarkStart w:id="80" w:name="_Toc29913921"/>
      <w:bookmarkStart w:id="81" w:name="_Toc14213"/>
      <w:r>
        <w:rPr>
          <w:rFonts w:hint="eastAsia" w:ascii="黑体" w:hAnsi="黑体" w:eastAsia="黑体" w:cs="Times New Roman"/>
          <w:b/>
          <w:bCs/>
          <w:kern w:val="2"/>
          <w:sz w:val="24"/>
          <w:szCs w:val="24"/>
          <w:lang w:val="en-US" w:eastAsia="zh-CN" w:bidi="ar-SA"/>
        </w:rPr>
        <w:t>9．</w:t>
      </w:r>
      <w:r>
        <w:rPr>
          <w:rFonts w:hint="eastAsia" w:ascii="黑体" w:hAnsi="黑体" w:eastAsia="黑体" w:cs="Times New Roman"/>
          <w:b/>
          <w:bCs w:val="0"/>
          <w:kern w:val="2"/>
          <w:sz w:val="24"/>
          <w:szCs w:val="24"/>
          <w:lang w:val="en-US" w:eastAsia="zh-CN" w:bidi="ar-SA"/>
        </w:rPr>
        <w:t>停止评标</w:t>
      </w:r>
      <w:bookmarkEnd w:id="78"/>
      <w:bookmarkEnd w:id="79"/>
      <w:bookmarkEnd w:id="80"/>
      <w:bookmarkEnd w:id="81"/>
    </w:p>
    <w:p w14:paraId="0B7596AA">
      <w:pPr>
        <w:adjustRightInd w:val="0"/>
        <w:snapToGrid w:val="0"/>
        <w:spacing w:before="156" w:beforeLines="50" w:line="360" w:lineRule="auto"/>
        <w:ind w:firstLine="420" w:firstLineChars="200"/>
        <w:jc w:val="left"/>
        <w:rPr>
          <w:rFonts w:cs="宋体" w:asciiTheme="minorEastAsia" w:hAnsiTheme="minorEastAsia" w:eastAsiaTheme="minorEastAsia"/>
          <w:kern w:val="0"/>
          <w:szCs w:val="21"/>
        </w:rPr>
      </w:pPr>
      <w:r>
        <w:rPr>
          <w:rFonts w:hint="eastAsia" w:cs="Times New Roman" w:asciiTheme="minorEastAsia" w:hAnsiTheme="minorEastAsia" w:eastAsiaTheme="minorEastAsia"/>
          <w:bCs/>
          <w:szCs w:val="21"/>
        </w:rPr>
        <w:t>9.1</w:t>
      </w:r>
      <w:r>
        <w:rPr>
          <w:rFonts w:hint="eastAsia" w:cs="宋体" w:asciiTheme="minorEastAsia" w:hAnsiTheme="minorEastAsia" w:eastAsiaTheme="minorEastAsia"/>
          <w:kern w:val="0"/>
          <w:szCs w:val="21"/>
        </w:rPr>
        <w:t>评标委员会发现招标文件存在歧义、重大缺陷导致评标工作无法进行，或者招标文件内容违反国家有关强制性规定的，应当停止评标工作，与采购人、采购代理机构沟通并作书面记录。采购人、采购代理机构确认后，应当修改招标文件，重新组织采购活动。</w:t>
      </w:r>
    </w:p>
    <w:p w14:paraId="750C2FA1">
      <w:pPr>
        <w:keepNext/>
        <w:keepLines/>
        <w:widowControl w:val="0"/>
        <w:bidi w:val="0"/>
        <w:spacing w:before="260" w:after="260" w:line="416" w:lineRule="auto"/>
        <w:jc w:val="both"/>
        <w:outlineLvl w:val="2"/>
        <w:rPr>
          <w:rFonts w:hint="eastAsia" w:ascii="黑体" w:hAnsi="黑体" w:eastAsia="黑体" w:cs="黑体"/>
          <w:b/>
          <w:bCs/>
          <w:kern w:val="2"/>
          <w:sz w:val="28"/>
          <w:szCs w:val="28"/>
          <w:lang w:val="en-US" w:eastAsia="zh-CN" w:bidi="ar-SA"/>
        </w:rPr>
      </w:pPr>
      <w:bookmarkStart w:id="82" w:name="_Toc25111"/>
      <w:r>
        <w:rPr>
          <w:rFonts w:hint="eastAsia" w:ascii="黑体" w:hAnsi="黑体" w:eastAsia="黑体" w:cs="黑体"/>
          <w:b/>
          <w:bCs/>
          <w:kern w:val="2"/>
          <w:sz w:val="28"/>
          <w:szCs w:val="28"/>
          <w:lang w:val="en-US" w:eastAsia="zh-CN" w:bidi="ar-SA"/>
        </w:rPr>
        <w:t>10.废标</w:t>
      </w:r>
      <w:bookmarkEnd w:id="82"/>
    </w:p>
    <w:p w14:paraId="089F95C9">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10.1 根据有关法律法规和招标文件的有关规定，如出现下列情况之一的，应予以废标：</w:t>
      </w:r>
    </w:p>
    <w:p w14:paraId="1B40BA9B">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（1）符合专业条件的投标人或者对招标文件作实质响应的投标人不足三家的；</w:t>
      </w:r>
    </w:p>
    <w:p w14:paraId="082F9ADB">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（2）出现影响采购公正的违法、违规行为的；</w:t>
      </w:r>
    </w:p>
    <w:p w14:paraId="1DC26B1E">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（3）投标人的报价均超过招标人项目采购预算，招标人不能支付的；</w:t>
      </w:r>
    </w:p>
    <w:p w14:paraId="7771B5B8">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（4）因重大变故，采购任务取消的。</w:t>
      </w:r>
    </w:p>
    <w:p w14:paraId="4DC8897C">
      <w:pPr>
        <w:keepNext w:val="0"/>
        <w:keepLines w:val="0"/>
        <w:widowControl w:val="0"/>
        <w:adjustRightInd w:val="0"/>
        <w:snapToGrid w:val="0"/>
        <w:spacing w:before="156" w:beforeLines="50" w:after="0" w:line="360" w:lineRule="auto"/>
        <w:jc w:val="both"/>
        <w:outlineLvl w:val="2"/>
        <w:rPr>
          <w:rFonts w:ascii="黑体" w:hAnsi="黑体" w:eastAsia="黑体" w:cs="Times New Roman"/>
          <w:b/>
          <w:bCs w:val="0"/>
          <w:kern w:val="2"/>
          <w:sz w:val="24"/>
          <w:szCs w:val="24"/>
          <w:lang w:val="en-US" w:eastAsia="zh-CN" w:bidi="ar-SA"/>
        </w:rPr>
      </w:pPr>
      <w:bookmarkStart w:id="83" w:name="_Toc29913922"/>
      <w:bookmarkStart w:id="84" w:name="_Toc881"/>
      <w:bookmarkStart w:id="85" w:name="_Toc5791"/>
      <w:bookmarkStart w:id="86" w:name="_Toc12967"/>
      <w:r>
        <w:rPr>
          <w:rFonts w:hint="eastAsia" w:ascii="黑体" w:hAnsi="黑体" w:eastAsia="黑体" w:cs="宋体"/>
          <w:b/>
          <w:bCs/>
          <w:kern w:val="0"/>
          <w:sz w:val="24"/>
          <w:szCs w:val="24"/>
          <w:lang w:val="en-US" w:eastAsia="zh-CN" w:bidi="ar-SA"/>
        </w:rPr>
        <w:t>11．重新组建评标委员会进行评标</w:t>
      </w:r>
      <w:bookmarkEnd w:id="83"/>
      <w:bookmarkEnd w:id="84"/>
      <w:bookmarkEnd w:id="85"/>
      <w:bookmarkEnd w:id="86"/>
    </w:p>
    <w:p w14:paraId="4FA730A1">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11.1评标委员会或者其成员存在下列情形导致评标结果无效的，采购人、采购代理机构可以重新组建评标委员会进行评标，并书面报告本级财政部门，但采购合同已经履行的除外：</w:t>
      </w:r>
    </w:p>
    <w:p w14:paraId="078A3DBF">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（1）评标委员会组成不符合《政府采购货物和服务招标投标管理办法》规定的；</w:t>
      </w:r>
    </w:p>
    <w:p w14:paraId="38A29B9E">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（2）有《政府采购货物和服务招标投标管理办法》第六十二条第一至五项情形的；</w:t>
      </w:r>
    </w:p>
    <w:p w14:paraId="74949694">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（3）评标委员会及其成员独立评标受到非法干预的；</w:t>
      </w:r>
    </w:p>
    <w:p w14:paraId="229FBC53">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（4）有政府采购法实施条例第七十五条规定的违法行为的。</w:t>
      </w:r>
    </w:p>
    <w:p w14:paraId="4A26C5FE">
      <w:pPr>
        <w:adjustRightInd w:val="0"/>
        <w:snapToGrid w:val="0"/>
        <w:spacing w:before="156" w:beforeLines="50" w:line="360" w:lineRule="auto"/>
        <w:ind w:firstLine="420" w:firstLineChars="200"/>
        <w:jc w:val="left"/>
        <w:rPr>
          <w:rFonts w:ascii="黑体" w:hAnsi="华文中宋" w:eastAsia="黑体" w:cs="Times New Roman"/>
          <w:b/>
          <w:sz w:val="32"/>
          <w:szCs w:val="32"/>
        </w:rPr>
      </w:pPr>
      <w:r>
        <w:rPr>
          <w:rFonts w:hint="eastAsia" w:cs="Times New Roman" w:asciiTheme="minorEastAsia" w:hAnsiTheme="minorEastAsia" w:eastAsiaTheme="minorEastAsia"/>
          <w:szCs w:val="21"/>
        </w:rPr>
        <w:t>11.2有违法违规行为的原评标委员会成员不得参加重新组建的评标委员会。</w:t>
      </w:r>
      <w:r>
        <w:rPr>
          <w:rFonts w:ascii="黑体" w:hAnsi="华文中宋" w:eastAsia="黑体" w:cs="Times New Roman"/>
          <w:b/>
          <w:sz w:val="32"/>
          <w:szCs w:val="32"/>
        </w:rPr>
        <w:br w:type="page"/>
      </w:r>
    </w:p>
    <w:p w14:paraId="626D9D6E">
      <w:pPr>
        <w:keepNext/>
        <w:keepLines/>
        <w:widowControl w:val="0"/>
        <w:adjustRightInd w:val="0"/>
        <w:snapToGrid w:val="0"/>
        <w:spacing w:line="360" w:lineRule="auto"/>
        <w:jc w:val="center"/>
        <w:outlineLvl w:val="1"/>
        <w:rPr>
          <w:rFonts w:ascii="黑体" w:hAnsi="华文中宋" w:eastAsia="黑体" w:cs="Times New Roman"/>
          <w:b/>
          <w:bCs/>
          <w:kern w:val="2"/>
          <w:sz w:val="28"/>
          <w:szCs w:val="28"/>
          <w:lang w:val="en-US" w:eastAsia="zh-CN" w:bidi="ar-SA"/>
        </w:rPr>
      </w:pPr>
      <w:bookmarkStart w:id="87" w:name="_Toc21963"/>
      <w:bookmarkStart w:id="88" w:name="_Toc7410"/>
      <w:bookmarkStart w:id="89" w:name="_Toc30098"/>
      <w:bookmarkStart w:id="90" w:name="_Toc29913923"/>
      <w:r>
        <w:rPr>
          <w:rFonts w:hint="eastAsia" w:ascii="黑体" w:hAnsi="华文中宋" w:eastAsia="黑体" w:cs="Times New Roman"/>
          <w:b/>
          <w:bCs/>
          <w:kern w:val="2"/>
          <w:sz w:val="28"/>
          <w:szCs w:val="28"/>
          <w:lang w:val="en-US" w:eastAsia="zh-CN" w:bidi="ar-SA"/>
        </w:rPr>
        <w:t>第三节 投标文件的符合性审查</w:t>
      </w:r>
      <w:bookmarkEnd w:id="87"/>
      <w:bookmarkEnd w:id="88"/>
      <w:bookmarkEnd w:id="89"/>
      <w:bookmarkEnd w:id="90"/>
    </w:p>
    <w:p w14:paraId="3AE4D961">
      <w:pPr>
        <w:adjustRightInd w:val="0"/>
        <w:snapToGrid w:val="0"/>
        <w:spacing w:before="156" w:beforeLines="50" w:line="360" w:lineRule="auto"/>
        <w:rPr>
          <w:rFonts w:ascii="黑体" w:hAnsi="黑体" w:eastAsia="黑体" w:cs="Times New Roman"/>
          <w:b/>
          <w:sz w:val="24"/>
        </w:rPr>
      </w:pPr>
      <w:r>
        <w:rPr>
          <w:rFonts w:hint="eastAsia" w:ascii="黑体" w:hAnsi="黑体" w:eastAsia="黑体" w:cs="Times New Roman"/>
          <w:b/>
          <w:sz w:val="24"/>
        </w:rPr>
        <w:t>1.符合性审查</w:t>
      </w:r>
    </w:p>
    <w:p w14:paraId="3A31B144">
      <w:pPr>
        <w:adjustRightInd w:val="0"/>
        <w:snapToGrid w:val="0"/>
        <w:spacing w:before="156" w:beforeLines="50" w:line="360" w:lineRule="auto"/>
        <w:ind w:firstLine="420" w:firstLineChars="200"/>
        <w:rPr>
          <w:rFonts w:cs="Times New Roman" w:asciiTheme="minorEastAsia" w:hAnsiTheme="minorEastAsia" w:eastAsiaTheme="minorEastAsia"/>
        </w:rPr>
      </w:pPr>
      <w:r>
        <w:rPr>
          <w:rFonts w:hint="eastAsia" w:cs="Times New Roman" w:asciiTheme="minorEastAsia" w:hAnsiTheme="minorEastAsia" w:eastAsiaTheme="minorEastAsia"/>
        </w:rPr>
        <w:t>1.1</w:t>
      </w:r>
      <w:r>
        <w:rPr>
          <w:rFonts w:hint="eastAsia" w:cs="Times New Roman" w:asciiTheme="minorEastAsia" w:hAnsiTheme="minorEastAsia" w:eastAsiaTheme="minorEastAsia"/>
          <w:szCs w:val="21"/>
        </w:rPr>
        <w:t>评标委员会应</w:t>
      </w:r>
      <w:r>
        <w:rPr>
          <w:rFonts w:hint="eastAsia" w:cs="Times New Roman" w:asciiTheme="minorEastAsia" w:hAnsiTheme="minorEastAsia" w:eastAsiaTheme="minorEastAsia"/>
        </w:rPr>
        <w:t>对符合资格条件的投标人的投标文件进行符合性审查，以确定其是否满足招标文件的实质性要求。</w:t>
      </w:r>
    </w:p>
    <w:p w14:paraId="61E458C5">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1A5A99DF">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（2）投标人不得通过修正或撤销不合要求的偏离从而使其投标成为实质上响应的投标。</w:t>
      </w:r>
    </w:p>
    <w:p w14:paraId="023CEB5D">
      <w:pPr>
        <w:adjustRightInd w:val="0"/>
        <w:snapToGrid w:val="0"/>
        <w:spacing w:before="156" w:beforeLines="50" w:line="360" w:lineRule="auto"/>
        <w:ind w:firstLine="420" w:firstLineChars="200"/>
        <w:jc w:val="left"/>
        <w:rPr>
          <w:rFonts w:cs="Times New Roman" w:asciiTheme="minorEastAsia" w:hAnsiTheme="minorEastAsia" w:eastAsiaTheme="minorEastAsia"/>
        </w:rPr>
      </w:pPr>
      <w:r>
        <w:rPr>
          <w:rFonts w:hint="eastAsia" w:cs="Times New Roman" w:asciiTheme="minorEastAsia" w:hAnsiTheme="minorEastAsia" w:eastAsiaTheme="minorEastAsia"/>
          <w:kern w:val="0"/>
          <w:szCs w:val="21"/>
        </w:rPr>
        <w:t>1.2</w:t>
      </w:r>
      <w:r>
        <w:rPr>
          <w:rFonts w:hint="eastAsia" w:cs="Times New Roman" w:asciiTheme="minorEastAsia" w:hAnsiTheme="minorEastAsia" w:eastAsiaTheme="minorEastAsia"/>
        </w:rPr>
        <w:t>未通过符合性审查的投标人，其投标将被认定为投标无效，不能进入下一阶段评审。通过符合性审查的投标人数量不足 3 家的，不得作进一步的比较和评价。</w:t>
      </w:r>
    </w:p>
    <w:p w14:paraId="43CAD3A7">
      <w:pPr>
        <w:adjustRightInd w:val="0"/>
        <w:snapToGrid w:val="0"/>
        <w:spacing w:before="156" w:beforeLines="50" w:line="360" w:lineRule="auto"/>
        <w:jc w:val="left"/>
        <w:rPr>
          <w:rFonts w:ascii="黑体" w:hAnsi="黑体" w:eastAsia="黑体" w:cs="Times New Roman"/>
          <w:b/>
          <w:sz w:val="24"/>
        </w:rPr>
      </w:pPr>
      <w:r>
        <w:rPr>
          <w:rFonts w:hint="eastAsia" w:ascii="黑体" w:hAnsi="黑体" w:eastAsia="黑体" w:cs="Times New Roman"/>
          <w:b/>
          <w:sz w:val="24"/>
        </w:rPr>
        <w:t>2.投标无效</w:t>
      </w:r>
    </w:p>
    <w:p w14:paraId="2823C6E7">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2.1投标人存在下列情况之一的，符合性审查不合格，投标无效：</w:t>
      </w:r>
    </w:p>
    <w:p w14:paraId="46F58DBB">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（1）投标文件中商务技术文件未按照招标文件规定要求签署、盖章的；</w:t>
      </w:r>
    </w:p>
    <w:p w14:paraId="1A951323">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（2）投标文件没有对招标文件的实质性要求和条件作出响应，或者对招标文件的偏离超出招标文件规定的偏离</w:t>
      </w:r>
      <w:r>
        <w:rPr>
          <w:rFonts w:hint="eastAsia" w:cs="Times New Roman" w:asciiTheme="minorEastAsia" w:hAnsiTheme="minorEastAsia" w:eastAsiaTheme="minorEastAsia"/>
        </w:rPr>
        <w:t>范围和幅度</w:t>
      </w:r>
      <w:r>
        <w:rPr>
          <w:rFonts w:hint="eastAsia" w:cs="Times New Roman" w:asciiTheme="minorEastAsia" w:hAnsiTheme="minorEastAsia" w:eastAsiaTheme="minorEastAsia"/>
          <w:szCs w:val="21"/>
        </w:rPr>
        <w:t>；</w:t>
      </w:r>
    </w:p>
    <w:p w14:paraId="3185A4C4">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（3）投标有效期不足的；</w:t>
      </w:r>
    </w:p>
    <w:p w14:paraId="56187720">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（4）投标文件含有采购人不能接受的附加条件的；</w:t>
      </w:r>
    </w:p>
    <w:p w14:paraId="11012830">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（5）不符合本节第1.1款规定符合性审查标准的；</w:t>
      </w:r>
    </w:p>
    <w:p w14:paraId="6D325C76">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（6）法律、法规和招标文件规定的其他投标无效情形的。</w:t>
      </w:r>
    </w:p>
    <w:p w14:paraId="79B16FB0">
      <w:pPr>
        <w:adjustRightInd w:val="0"/>
        <w:snapToGrid w:val="0"/>
        <w:spacing w:before="156" w:beforeLines="50" w:line="360" w:lineRule="auto"/>
        <w:ind w:firstLine="420" w:firstLineChars="200"/>
        <w:jc w:val="left"/>
        <w:rPr>
          <w:rFonts w:cs="Times New Roman" w:asciiTheme="minorEastAsia" w:hAnsiTheme="minorEastAsia" w:eastAsiaTheme="minorEastAsia"/>
          <w:kern w:val="0"/>
          <w:szCs w:val="21"/>
        </w:rPr>
      </w:pPr>
      <w:r>
        <w:rPr>
          <w:rFonts w:hint="eastAsia" w:cs="Times New Roman" w:asciiTheme="minorEastAsia" w:hAnsiTheme="minorEastAsia" w:eastAsiaTheme="minorEastAsia"/>
          <w:kern w:val="0"/>
          <w:szCs w:val="21"/>
        </w:rPr>
        <w:t>2.2在评标过程中发现投标人有不遵循公平竞争的原则，恶意串通，妨碍其他投标人的竞争行为，损害采购人或者其他投标人的合法权益的，评标委员会应当认定其</w:t>
      </w:r>
      <w:r>
        <w:rPr>
          <w:rFonts w:hint="eastAsia" w:cs="Times New Roman" w:asciiTheme="minorEastAsia" w:hAnsiTheme="minorEastAsia" w:eastAsiaTheme="minorEastAsia"/>
          <w:b/>
          <w:kern w:val="0"/>
          <w:szCs w:val="21"/>
        </w:rPr>
        <w:t>投标无效</w:t>
      </w:r>
      <w:r>
        <w:rPr>
          <w:rFonts w:hint="eastAsia" w:cs="Times New Roman" w:asciiTheme="minorEastAsia" w:hAnsiTheme="minorEastAsia" w:eastAsiaTheme="minorEastAsia"/>
          <w:kern w:val="0"/>
          <w:szCs w:val="21"/>
        </w:rPr>
        <w:t>，并书面报告本级财政部门。</w:t>
      </w:r>
    </w:p>
    <w:p w14:paraId="1CF4C693">
      <w:pPr>
        <w:rPr>
          <w:rFonts w:ascii="Times New Roman" w:hAnsi="Times New Roman" w:eastAsia="宋体" w:cs="Times New Roman"/>
        </w:rPr>
      </w:pPr>
    </w:p>
    <w:p w14:paraId="0A3A4190">
      <w:pPr>
        <w:rPr>
          <w:rFonts w:ascii="Times New Roman" w:hAnsi="Times New Roman" w:eastAsia="宋体" w:cs="Times New Roman"/>
        </w:rPr>
      </w:pPr>
    </w:p>
    <w:p w14:paraId="6BDACBBE">
      <w:pPr>
        <w:widowControl/>
        <w:jc w:val="left"/>
        <w:rPr>
          <w:rFonts w:ascii="黑体" w:hAnsi="黑体" w:eastAsia="宋体" w:cs="Times New Roman"/>
          <w:b/>
          <w:color w:val="FF0000"/>
          <w:szCs w:val="21"/>
        </w:rPr>
      </w:pPr>
      <w:r>
        <w:rPr>
          <w:rFonts w:ascii="黑体" w:hAnsi="黑体" w:eastAsia="宋体" w:cs="Times New Roman"/>
          <w:b/>
          <w:color w:val="FF0000"/>
          <w:szCs w:val="21"/>
        </w:rPr>
        <w:br w:type="page"/>
      </w:r>
    </w:p>
    <w:p w14:paraId="26736097">
      <w:pPr>
        <w:keepNext/>
        <w:keepLines/>
        <w:widowControl w:val="0"/>
        <w:adjustRightInd w:val="0"/>
        <w:snapToGrid w:val="0"/>
        <w:spacing w:before="156" w:beforeLines="50" w:after="0" w:line="360" w:lineRule="auto"/>
        <w:jc w:val="both"/>
        <w:outlineLvl w:val="2"/>
        <w:rPr>
          <w:rFonts w:ascii="Times New Roman" w:hAnsi="Times New Roman" w:eastAsia="宋体" w:cs="Times New Roman"/>
          <w:b/>
          <w:bCs/>
          <w:kern w:val="2"/>
          <w:sz w:val="21"/>
          <w:szCs w:val="21"/>
          <w:lang w:val="en-US" w:eastAsia="zh-CN" w:bidi="ar-SA"/>
        </w:rPr>
      </w:pPr>
      <w:bookmarkStart w:id="91" w:name="_Toc12820"/>
      <w:bookmarkStart w:id="92" w:name="_Toc20651227"/>
      <w:bookmarkStart w:id="93" w:name="_Toc20064"/>
      <w:bookmarkStart w:id="94" w:name="_Toc7233"/>
      <w:bookmarkStart w:id="95" w:name="_Toc29913924"/>
      <w:r>
        <w:rPr>
          <w:rFonts w:hint="eastAsia" w:ascii="Times New Roman" w:hAnsi="Times New Roman" w:eastAsia="宋体" w:cs="Times New Roman"/>
          <w:b/>
          <w:bCs/>
          <w:kern w:val="2"/>
          <w:sz w:val="21"/>
          <w:szCs w:val="21"/>
          <w:lang w:val="en-US" w:eastAsia="zh-CN" w:bidi="ar-SA"/>
        </w:rPr>
        <w:t>附表1 符合性审查表</w:t>
      </w:r>
      <w:bookmarkEnd w:id="91"/>
      <w:bookmarkEnd w:id="92"/>
      <w:bookmarkEnd w:id="93"/>
      <w:bookmarkEnd w:id="94"/>
    </w:p>
    <w:p w14:paraId="36C43BC6">
      <w:pPr>
        <w:adjustRightInd w:val="0"/>
        <w:snapToGrid w:val="0"/>
        <w:spacing w:before="156" w:beforeLines="50" w:line="360" w:lineRule="auto"/>
        <w:jc w:val="center"/>
        <w:rPr>
          <w:rFonts w:ascii="黑体" w:hAnsi="黑体" w:eastAsia="黑体" w:cs="Times New Roman"/>
          <w:b/>
          <w:sz w:val="28"/>
          <w:szCs w:val="28"/>
        </w:rPr>
      </w:pPr>
      <w:r>
        <w:rPr>
          <w:rFonts w:hint="eastAsia" w:ascii="黑体" w:hAnsi="黑体" w:eastAsia="黑体"/>
          <w:b/>
          <w:sz w:val="28"/>
          <w:szCs w:val="28"/>
          <w:highlight w:val="none"/>
          <w:lang w:val="en-US" w:eastAsia="zh-CN"/>
        </w:rPr>
        <w:t>包1、包2</w:t>
      </w:r>
      <w:r>
        <w:rPr>
          <w:rFonts w:hint="eastAsia" w:ascii="黑体" w:hAnsi="黑体" w:eastAsia="黑体" w:cs="Times New Roman"/>
          <w:b/>
          <w:sz w:val="28"/>
          <w:szCs w:val="28"/>
        </w:rPr>
        <w:t>符合性审查表</w:t>
      </w:r>
    </w:p>
    <w:p w14:paraId="03EA2FA0">
      <w:pPr>
        <w:adjustRightInd w:val="0"/>
        <w:snapToGrid w:val="0"/>
        <w:spacing w:before="156" w:beforeLines="50" w:line="360" w:lineRule="auto"/>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 xml:space="preserve">项目名称：                                           采购代理编号： </w:t>
      </w:r>
    </w:p>
    <w:tbl>
      <w:tblPr>
        <w:tblStyle w:val="46"/>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4058"/>
        <w:gridCol w:w="4319"/>
      </w:tblGrid>
      <w:tr w14:paraId="4E0F37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532" w:hRule="atLeast"/>
        </w:trPr>
        <w:tc>
          <w:tcPr>
            <w:tcW w:w="683" w:type="dxa"/>
            <w:vAlign w:val="center"/>
          </w:tcPr>
          <w:p w14:paraId="4DF76BA1">
            <w:pPr>
              <w:adjustRightInd w:val="0"/>
              <w:snapToGrid w:val="0"/>
              <w:spacing w:before="156" w:beforeLines="50" w:line="360" w:lineRule="auto"/>
              <w:jc w:val="center"/>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序号</w:t>
            </w:r>
          </w:p>
        </w:tc>
        <w:tc>
          <w:tcPr>
            <w:tcW w:w="4058" w:type="dxa"/>
            <w:vAlign w:val="center"/>
          </w:tcPr>
          <w:p w14:paraId="5A0B6716">
            <w:pPr>
              <w:adjustRightInd w:val="0"/>
              <w:snapToGrid w:val="0"/>
              <w:spacing w:before="156" w:beforeLines="50" w:line="360" w:lineRule="auto"/>
              <w:jc w:val="center"/>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审查项目</w:t>
            </w:r>
          </w:p>
        </w:tc>
        <w:tc>
          <w:tcPr>
            <w:tcW w:w="4319" w:type="dxa"/>
            <w:vAlign w:val="center"/>
          </w:tcPr>
          <w:p w14:paraId="72668BEC">
            <w:pPr>
              <w:adjustRightInd w:val="0"/>
              <w:snapToGrid w:val="0"/>
              <w:spacing w:before="156" w:beforeLines="50" w:line="360" w:lineRule="auto"/>
              <w:jc w:val="center"/>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审查标准</w:t>
            </w:r>
          </w:p>
        </w:tc>
      </w:tr>
      <w:tr w14:paraId="32F897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3E9218E5">
            <w:pPr>
              <w:adjustRightInd w:val="0"/>
              <w:snapToGrid w:val="0"/>
              <w:spacing w:before="156"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w:t>
            </w:r>
          </w:p>
        </w:tc>
        <w:tc>
          <w:tcPr>
            <w:tcW w:w="4058" w:type="dxa"/>
            <w:shd w:val="clear" w:color="auto" w:fill="auto"/>
            <w:vAlign w:val="top"/>
          </w:tcPr>
          <w:p w14:paraId="1E1F846D">
            <w:pPr>
              <w:adjustRightInd w:val="0"/>
              <w:snapToGrid w:val="0"/>
              <w:spacing w:beforeLines="50" w:line="360" w:lineRule="auto"/>
              <w:rPr>
                <w:rFonts w:cs="宋体" w:asciiTheme="minorEastAsia" w:hAnsiTheme="minorEastAsia" w:eastAsiaTheme="minorEastAsia"/>
                <w:color w:val="FF0000"/>
                <w:kern w:val="0"/>
                <w:sz w:val="21"/>
                <w:szCs w:val="21"/>
                <w:lang w:val="en-US" w:eastAsia="zh-CN" w:bidi="ar-SA"/>
              </w:rPr>
            </w:pPr>
            <w:r>
              <w:rPr>
                <w:rFonts w:hint="eastAsia" w:asciiTheme="minorEastAsia" w:hAnsiTheme="minorEastAsia" w:eastAsiaTheme="minorEastAsia"/>
                <w:kern w:val="0"/>
                <w:szCs w:val="21"/>
              </w:rPr>
              <w:t>投标报价是否响应招标文件</w:t>
            </w:r>
          </w:p>
        </w:tc>
        <w:tc>
          <w:tcPr>
            <w:tcW w:w="4319" w:type="dxa"/>
            <w:vAlign w:val="top"/>
          </w:tcPr>
          <w:p w14:paraId="480E2980">
            <w:pPr>
              <w:adjustRightInd w:val="0"/>
              <w:snapToGrid w:val="0"/>
              <w:spacing w:beforeLines="50" w:line="360" w:lineRule="auto"/>
              <w:rPr>
                <w:rFonts w:cs="宋体" w:asciiTheme="minorEastAsia" w:hAnsiTheme="minorEastAsia" w:eastAsiaTheme="minorEastAsia"/>
                <w:color w:val="FF0000"/>
                <w:kern w:val="0"/>
                <w:szCs w:val="21"/>
              </w:rPr>
            </w:pPr>
            <w:r>
              <w:rPr>
                <w:rFonts w:hint="eastAsia" w:asciiTheme="minorEastAsia" w:hAnsiTheme="minorEastAsia" w:eastAsiaTheme="minorEastAsia"/>
                <w:kern w:val="0"/>
                <w:szCs w:val="21"/>
              </w:rPr>
              <w:t>投标报价是否响应招标文件</w:t>
            </w:r>
          </w:p>
        </w:tc>
      </w:tr>
      <w:tr w14:paraId="43A57C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1AFDDE36">
            <w:pPr>
              <w:adjustRightInd w:val="0"/>
              <w:snapToGrid w:val="0"/>
              <w:spacing w:before="156"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w:t>
            </w:r>
          </w:p>
        </w:tc>
        <w:tc>
          <w:tcPr>
            <w:tcW w:w="4058" w:type="dxa"/>
            <w:shd w:val="clear" w:color="auto" w:fill="auto"/>
            <w:vAlign w:val="center"/>
          </w:tcPr>
          <w:p w14:paraId="730D1174">
            <w:pPr>
              <w:adjustRightInd w:val="0"/>
              <w:snapToGrid w:val="0"/>
              <w:spacing w:line="360" w:lineRule="auto"/>
              <w:jc w:val="left"/>
              <w:rPr>
                <w:rFonts w:cs="宋体" w:asciiTheme="minorEastAsia" w:hAnsiTheme="minorEastAsia" w:eastAsiaTheme="minorEastAsia"/>
                <w:color w:val="FF0000"/>
                <w:kern w:val="0"/>
                <w:sz w:val="21"/>
                <w:szCs w:val="21"/>
                <w:lang w:val="en-US" w:eastAsia="zh-CN" w:bidi="ar-SA"/>
              </w:rPr>
            </w:pPr>
            <w:r>
              <w:rPr>
                <w:rFonts w:hint="eastAsia" w:asciiTheme="minorEastAsia" w:hAnsiTheme="minorEastAsia" w:eastAsiaTheme="minorEastAsia"/>
                <w:bCs/>
                <w:szCs w:val="21"/>
              </w:rPr>
              <w:t>投标有效期是否响应招标文件</w:t>
            </w:r>
          </w:p>
        </w:tc>
        <w:tc>
          <w:tcPr>
            <w:tcW w:w="4319" w:type="dxa"/>
            <w:vAlign w:val="center"/>
          </w:tcPr>
          <w:p w14:paraId="55CCE86A">
            <w:pPr>
              <w:adjustRightInd w:val="0"/>
              <w:snapToGrid w:val="0"/>
              <w:spacing w:line="360" w:lineRule="auto"/>
              <w:jc w:val="left"/>
              <w:rPr>
                <w:rFonts w:cs="宋体" w:asciiTheme="minorEastAsia" w:hAnsiTheme="minorEastAsia" w:eastAsiaTheme="minorEastAsia"/>
                <w:color w:val="FF0000"/>
                <w:kern w:val="0"/>
                <w:szCs w:val="21"/>
              </w:rPr>
            </w:pPr>
            <w:r>
              <w:rPr>
                <w:rFonts w:hint="eastAsia" w:asciiTheme="minorEastAsia" w:hAnsiTheme="minorEastAsia" w:eastAsiaTheme="minorEastAsia"/>
                <w:bCs/>
                <w:szCs w:val="21"/>
              </w:rPr>
              <w:t>投标有效期是否响应招标文件</w:t>
            </w:r>
          </w:p>
        </w:tc>
      </w:tr>
      <w:tr w14:paraId="1B46E1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0AC00D08">
            <w:pPr>
              <w:adjustRightInd w:val="0"/>
              <w:snapToGrid w:val="0"/>
              <w:spacing w:before="156"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w:t>
            </w:r>
          </w:p>
        </w:tc>
        <w:tc>
          <w:tcPr>
            <w:tcW w:w="4058" w:type="dxa"/>
            <w:shd w:val="clear" w:color="auto" w:fill="auto"/>
            <w:vAlign w:val="center"/>
          </w:tcPr>
          <w:p w14:paraId="75FBE18D">
            <w:pPr>
              <w:adjustRightInd w:val="0"/>
              <w:snapToGrid w:val="0"/>
              <w:spacing w:line="360" w:lineRule="auto"/>
              <w:jc w:val="left"/>
              <w:rPr>
                <w:rFonts w:cs="Times New Roman" w:asciiTheme="minorEastAsia" w:hAnsiTheme="minorEastAsia" w:eastAsiaTheme="minorEastAsia"/>
                <w:color w:val="FF0000"/>
                <w:kern w:val="0"/>
                <w:sz w:val="21"/>
                <w:szCs w:val="21"/>
                <w:lang w:val="en-US" w:eastAsia="zh-CN" w:bidi="ar-SA"/>
              </w:rPr>
            </w:pPr>
            <w:r>
              <w:rPr>
                <w:rFonts w:hint="eastAsia" w:ascii="宋体" w:hAnsi="宋体"/>
                <w:szCs w:val="21"/>
              </w:rPr>
              <w:t>履行合同的地点及方式是否响应招标文件</w:t>
            </w:r>
          </w:p>
        </w:tc>
        <w:tc>
          <w:tcPr>
            <w:tcW w:w="4319" w:type="dxa"/>
            <w:vAlign w:val="center"/>
          </w:tcPr>
          <w:p w14:paraId="0B01F61A">
            <w:pPr>
              <w:adjustRightInd w:val="0"/>
              <w:snapToGrid w:val="0"/>
              <w:spacing w:line="360" w:lineRule="auto"/>
              <w:jc w:val="left"/>
              <w:rPr>
                <w:rFonts w:cs="宋体" w:asciiTheme="minorEastAsia" w:hAnsiTheme="minorEastAsia" w:eastAsiaTheme="minorEastAsia"/>
                <w:color w:val="FF0000"/>
                <w:kern w:val="0"/>
                <w:szCs w:val="21"/>
              </w:rPr>
            </w:pPr>
            <w:r>
              <w:rPr>
                <w:rFonts w:hint="eastAsia" w:ascii="宋体" w:hAnsi="宋体"/>
                <w:szCs w:val="21"/>
              </w:rPr>
              <w:t>履行合同的地点及方式是否响应招标文件</w:t>
            </w:r>
          </w:p>
        </w:tc>
      </w:tr>
      <w:tr w14:paraId="185CCF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53E2024A">
            <w:pPr>
              <w:adjustRightInd w:val="0"/>
              <w:snapToGrid w:val="0"/>
              <w:spacing w:before="156"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4</w:t>
            </w:r>
          </w:p>
        </w:tc>
        <w:tc>
          <w:tcPr>
            <w:tcW w:w="4058" w:type="dxa"/>
            <w:shd w:val="clear" w:color="auto" w:fill="auto"/>
            <w:vAlign w:val="center"/>
          </w:tcPr>
          <w:p w14:paraId="31EB9FE9">
            <w:pPr>
              <w:adjustRightInd w:val="0"/>
              <w:snapToGrid w:val="0"/>
              <w:spacing w:line="360" w:lineRule="auto"/>
              <w:jc w:val="left"/>
              <w:rPr>
                <w:rFonts w:cs="Times New Roman" w:asciiTheme="minorEastAsia" w:hAnsiTheme="minorEastAsia" w:eastAsiaTheme="minorEastAsia"/>
                <w:color w:val="FF0000"/>
                <w:kern w:val="0"/>
                <w:sz w:val="21"/>
                <w:szCs w:val="21"/>
                <w:lang w:val="en-US" w:eastAsia="zh-CN" w:bidi="ar-SA"/>
              </w:rPr>
            </w:pPr>
            <w:r>
              <w:rPr>
                <w:rFonts w:hint="eastAsia" w:ascii="宋体" w:hAnsi="宋体"/>
                <w:szCs w:val="21"/>
              </w:rPr>
              <w:t>服务期限是否响应招标文件</w:t>
            </w:r>
          </w:p>
        </w:tc>
        <w:tc>
          <w:tcPr>
            <w:tcW w:w="4319" w:type="dxa"/>
            <w:vAlign w:val="center"/>
          </w:tcPr>
          <w:p w14:paraId="39F043B0">
            <w:pPr>
              <w:adjustRightInd w:val="0"/>
              <w:snapToGrid w:val="0"/>
              <w:spacing w:line="360" w:lineRule="auto"/>
              <w:jc w:val="left"/>
              <w:rPr>
                <w:rFonts w:cs="宋体" w:asciiTheme="minorEastAsia" w:hAnsiTheme="minorEastAsia" w:eastAsiaTheme="minorEastAsia"/>
                <w:color w:val="FF0000"/>
                <w:kern w:val="0"/>
                <w:szCs w:val="21"/>
              </w:rPr>
            </w:pPr>
            <w:r>
              <w:rPr>
                <w:rFonts w:hint="eastAsia" w:ascii="宋体" w:hAnsi="宋体"/>
                <w:szCs w:val="21"/>
              </w:rPr>
              <w:t>服务期限是否响应招标文件</w:t>
            </w:r>
          </w:p>
        </w:tc>
      </w:tr>
      <w:tr w14:paraId="56424C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1DE0688A">
            <w:pPr>
              <w:adjustRightInd w:val="0"/>
              <w:snapToGrid w:val="0"/>
              <w:spacing w:before="156"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5</w:t>
            </w:r>
          </w:p>
        </w:tc>
        <w:tc>
          <w:tcPr>
            <w:tcW w:w="4058" w:type="dxa"/>
            <w:shd w:val="clear" w:color="auto" w:fill="auto"/>
            <w:vAlign w:val="center"/>
          </w:tcPr>
          <w:p w14:paraId="677C167C">
            <w:pPr>
              <w:adjustRightInd w:val="0"/>
              <w:snapToGrid w:val="0"/>
              <w:spacing w:line="360" w:lineRule="auto"/>
              <w:jc w:val="left"/>
              <w:rPr>
                <w:rFonts w:cs="宋体" w:asciiTheme="minorEastAsia" w:hAnsiTheme="minorEastAsia" w:eastAsiaTheme="minorEastAsia"/>
                <w:color w:val="FF0000"/>
                <w:kern w:val="0"/>
                <w:sz w:val="21"/>
                <w:szCs w:val="21"/>
                <w:lang w:val="en-US" w:eastAsia="zh-CN" w:bidi="ar-SA"/>
              </w:rPr>
            </w:pPr>
            <w:r>
              <w:rPr>
                <w:rFonts w:hint="eastAsia" w:ascii="宋体" w:hAnsi="宋体"/>
                <w:szCs w:val="21"/>
              </w:rPr>
              <w:t>合同价款支付方式</w:t>
            </w:r>
            <w:r>
              <w:rPr>
                <w:rFonts w:hint="eastAsia" w:ascii="宋体" w:hAnsi="宋体"/>
                <w:bCs/>
                <w:szCs w:val="21"/>
              </w:rPr>
              <w:t>和条件是否响应招标文件</w:t>
            </w:r>
          </w:p>
        </w:tc>
        <w:tc>
          <w:tcPr>
            <w:tcW w:w="4319" w:type="dxa"/>
            <w:vAlign w:val="center"/>
          </w:tcPr>
          <w:p w14:paraId="3568B2BC">
            <w:pPr>
              <w:adjustRightInd w:val="0"/>
              <w:snapToGrid w:val="0"/>
              <w:spacing w:line="360" w:lineRule="auto"/>
              <w:jc w:val="left"/>
              <w:rPr>
                <w:rFonts w:cs="宋体" w:asciiTheme="minorEastAsia" w:hAnsiTheme="minorEastAsia" w:eastAsiaTheme="minorEastAsia"/>
                <w:color w:val="FF0000"/>
                <w:kern w:val="0"/>
                <w:szCs w:val="21"/>
              </w:rPr>
            </w:pPr>
            <w:r>
              <w:rPr>
                <w:rFonts w:hint="eastAsia" w:ascii="宋体" w:hAnsi="宋体"/>
                <w:szCs w:val="21"/>
              </w:rPr>
              <w:t>合同价款支付方式</w:t>
            </w:r>
            <w:r>
              <w:rPr>
                <w:rFonts w:hint="eastAsia" w:ascii="宋体" w:hAnsi="宋体"/>
                <w:bCs/>
                <w:szCs w:val="21"/>
              </w:rPr>
              <w:t>和条件是否响应招标文件</w:t>
            </w:r>
          </w:p>
        </w:tc>
      </w:tr>
      <w:tr w14:paraId="3F8353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7081A7F0">
            <w:pPr>
              <w:adjustRightInd w:val="0"/>
              <w:snapToGrid w:val="0"/>
              <w:spacing w:before="156"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6</w:t>
            </w:r>
          </w:p>
        </w:tc>
        <w:tc>
          <w:tcPr>
            <w:tcW w:w="4058" w:type="dxa"/>
            <w:vAlign w:val="center"/>
          </w:tcPr>
          <w:p w14:paraId="36FA3D34">
            <w:pPr>
              <w:adjustRightInd w:val="0"/>
              <w:snapToGrid w:val="0"/>
              <w:spacing w:line="360" w:lineRule="auto"/>
              <w:jc w:val="left"/>
              <w:rPr>
                <w:rFonts w:cs="宋体" w:asciiTheme="minorEastAsia" w:hAnsiTheme="minorEastAsia" w:eastAsiaTheme="minorEastAsia"/>
                <w:color w:val="FF0000"/>
                <w:kern w:val="0"/>
                <w:szCs w:val="21"/>
              </w:rPr>
            </w:pPr>
            <w:r>
              <w:rPr>
                <w:rFonts w:hint="eastAsia" w:ascii="宋体" w:hAnsi="宋体"/>
              </w:rPr>
              <w:t>投标文件中没有不符合法律、法规和招标文件其他实质性规定的</w:t>
            </w:r>
          </w:p>
        </w:tc>
        <w:tc>
          <w:tcPr>
            <w:tcW w:w="4319" w:type="dxa"/>
            <w:vAlign w:val="center"/>
          </w:tcPr>
          <w:p w14:paraId="50344F58">
            <w:pPr>
              <w:adjustRightInd w:val="0"/>
              <w:snapToGrid w:val="0"/>
              <w:spacing w:line="360" w:lineRule="auto"/>
              <w:jc w:val="left"/>
              <w:rPr>
                <w:rFonts w:cs="宋体" w:asciiTheme="minorEastAsia" w:hAnsiTheme="minorEastAsia" w:eastAsiaTheme="minorEastAsia"/>
                <w:color w:val="FF0000"/>
                <w:kern w:val="0"/>
                <w:szCs w:val="21"/>
              </w:rPr>
            </w:pPr>
            <w:r>
              <w:rPr>
                <w:rFonts w:hint="eastAsia" w:ascii="宋体" w:hAnsi="宋体"/>
              </w:rPr>
              <w:t>投标文件中没有不符合法律、法规和招标文件其他实质性规定的</w:t>
            </w:r>
          </w:p>
        </w:tc>
      </w:tr>
      <w:tr w14:paraId="70568C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44AEB535">
            <w:pPr>
              <w:adjustRightInd w:val="0"/>
              <w:snapToGrid w:val="0"/>
              <w:spacing w:before="156" w:beforeLines="50" w:line="360" w:lineRule="auto"/>
              <w:jc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结论</w:t>
            </w:r>
          </w:p>
        </w:tc>
        <w:tc>
          <w:tcPr>
            <w:tcW w:w="8377" w:type="dxa"/>
            <w:gridSpan w:val="2"/>
            <w:vAlign w:val="center"/>
          </w:tcPr>
          <w:p w14:paraId="5A3E4C6B">
            <w:pPr>
              <w:adjustRightInd w:val="0"/>
              <w:snapToGrid w:val="0"/>
              <w:spacing w:before="156" w:beforeLines="50" w:line="360" w:lineRule="auto"/>
              <w:jc w:val="center"/>
              <w:rPr>
                <w:rFonts w:cs="宋体" w:asciiTheme="minorEastAsia" w:hAnsiTheme="minorEastAsia" w:eastAsiaTheme="minorEastAsia"/>
                <w:kern w:val="0"/>
                <w:sz w:val="20"/>
                <w:szCs w:val="21"/>
              </w:rPr>
            </w:pPr>
          </w:p>
        </w:tc>
      </w:tr>
    </w:tbl>
    <w:p w14:paraId="121EDDF6">
      <w:pPr>
        <w:adjustRightInd w:val="0"/>
        <w:snapToGrid w:val="0"/>
        <w:spacing w:line="360" w:lineRule="auto"/>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 xml:space="preserve"> </w:t>
      </w:r>
    </w:p>
    <w:p w14:paraId="25FEBD16">
      <w:pPr>
        <w:widowControl/>
        <w:jc w:val="left"/>
        <w:rPr>
          <w:rFonts w:cs="Times New Roman" w:asciiTheme="minorEastAsia" w:hAnsiTheme="minorEastAsia" w:eastAsiaTheme="minorEastAsia"/>
          <w:szCs w:val="21"/>
        </w:rPr>
      </w:pPr>
      <w:r>
        <w:rPr>
          <w:rFonts w:cs="Times New Roman" w:asciiTheme="minorEastAsia" w:hAnsiTheme="minorEastAsia" w:eastAsiaTheme="minorEastAsia"/>
          <w:szCs w:val="21"/>
        </w:rPr>
        <w:br w:type="page"/>
      </w:r>
    </w:p>
    <w:p w14:paraId="2EC1B74B">
      <w:pPr>
        <w:keepNext/>
        <w:keepLines/>
        <w:widowControl w:val="0"/>
        <w:spacing w:before="260" w:after="260" w:line="416" w:lineRule="auto"/>
        <w:jc w:val="both"/>
        <w:outlineLvl w:val="2"/>
        <w:rPr>
          <w:rFonts w:ascii="Times New Roman" w:hAnsi="Times New Roman" w:eastAsia="宋体" w:cs="Times New Roman"/>
          <w:b/>
          <w:bCs/>
          <w:kern w:val="2"/>
          <w:sz w:val="21"/>
          <w:szCs w:val="21"/>
          <w:lang w:val="en-US" w:eastAsia="zh-CN" w:bidi="ar-SA"/>
        </w:rPr>
      </w:pPr>
      <w:bookmarkStart w:id="96" w:name="_Toc20651228"/>
      <w:bookmarkStart w:id="97" w:name="_Toc32647"/>
      <w:bookmarkStart w:id="98" w:name="_Toc30641"/>
      <w:bookmarkStart w:id="99" w:name="_Toc24980"/>
      <w:r>
        <w:rPr>
          <w:rFonts w:hint="eastAsia" w:ascii="Times New Roman" w:hAnsi="Times New Roman" w:eastAsia="宋体" w:cs="Times New Roman"/>
          <w:b/>
          <w:bCs/>
          <w:kern w:val="2"/>
          <w:sz w:val="21"/>
          <w:szCs w:val="21"/>
          <w:lang w:val="en-US" w:eastAsia="zh-CN" w:bidi="ar-SA"/>
        </w:rPr>
        <w:t>附表2 符合性审查结果一览表</w:t>
      </w:r>
      <w:bookmarkEnd w:id="96"/>
      <w:bookmarkEnd w:id="97"/>
      <w:bookmarkEnd w:id="98"/>
      <w:bookmarkEnd w:id="99"/>
    </w:p>
    <w:p w14:paraId="5BF096E0">
      <w:pPr>
        <w:adjustRightInd w:val="0"/>
        <w:snapToGrid w:val="0"/>
        <w:spacing w:before="156" w:beforeLines="50" w:line="360" w:lineRule="auto"/>
        <w:jc w:val="center"/>
        <w:rPr>
          <w:rFonts w:ascii="黑体" w:hAnsi="黑体" w:eastAsia="黑体" w:cs="Times New Roman"/>
          <w:b/>
          <w:sz w:val="28"/>
          <w:szCs w:val="28"/>
        </w:rPr>
      </w:pPr>
      <w:r>
        <w:rPr>
          <w:rFonts w:hint="eastAsia" w:ascii="黑体" w:hAnsi="黑体" w:eastAsia="黑体" w:cs="Times New Roman"/>
          <w:b/>
          <w:sz w:val="28"/>
          <w:szCs w:val="28"/>
        </w:rPr>
        <w:t>符合性审查结果一览表</w:t>
      </w:r>
    </w:p>
    <w:p w14:paraId="280E38AD">
      <w:pPr>
        <w:adjustRightInd w:val="0"/>
        <w:snapToGrid w:val="0"/>
        <w:spacing w:before="156" w:beforeLines="50" w:line="360" w:lineRule="auto"/>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项目名称：                                           采购代理编号：</w:t>
      </w:r>
    </w:p>
    <w:tbl>
      <w:tblPr>
        <w:tblStyle w:val="46"/>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38E942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vAlign w:val="center"/>
          </w:tcPr>
          <w:p w14:paraId="40101359">
            <w:pPr>
              <w:jc w:val="center"/>
              <w:rPr>
                <w:rFonts w:cs="Times New Roman" w:asciiTheme="minorEastAsia" w:hAnsiTheme="minorEastAsia" w:eastAsiaTheme="minorEastAsia"/>
                <w:b/>
                <w:kern w:val="0"/>
                <w:szCs w:val="21"/>
              </w:rPr>
            </w:pPr>
            <w:r>
              <w:rPr>
                <w:rFonts w:hint="eastAsia" w:cs="Times New Roman" w:asciiTheme="minorEastAsia" w:hAnsiTheme="minorEastAsia" w:eastAsiaTheme="minorEastAsia"/>
                <w:b/>
                <w:kern w:val="0"/>
                <w:szCs w:val="21"/>
              </w:rPr>
              <w:t>序号</w:t>
            </w:r>
          </w:p>
        </w:tc>
        <w:tc>
          <w:tcPr>
            <w:tcW w:w="2963" w:type="dxa"/>
            <w:vAlign w:val="center"/>
          </w:tcPr>
          <w:p w14:paraId="338CFE43">
            <w:pPr>
              <w:jc w:val="center"/>
              <w:rPr>
                <w:rFonts w:cs="Times New Roman" w:asciiTheme="minorEastAsia" w:hAnsiTheme="minorEastAsia" w:eastAsiaTheme="minorEastAsia"/>
                <w:b/>
                <w:kern w:val="0"/>
                <w:szCs w:val="21"/>
              </w:rPr>
            </w:pPr>
            <w:r>
              <w:rPr>
                <w:rFonts w:hint="eastAsia" w:cs="Times New Roman" w:asciiTheme="minorEastAsia" w:hAnsiTheme="minorEastAsia" w:eastAsiaTheme="minorEastAsia"/>
                <w:b/>
                <w:kern w:val="0"/>
                <w:szCs w:val="21"/>
              </w:rPr>
              <w:t>投标人名称</w:t>
            </w:r>
          </w:p>
        </w:tc>
        <w:tc>
          <w:tcPr>
            <w:tcW w:w="2439" w:type="dxa"/>
            <w:vAlign w:val="center"/>
          </w:tcPr>
          <w:p w14:paraId="453888CB">
            <w:pPr>
              <w:jc w:val="center"/>
              <w:rPr>
                <w:rFonts w:cs="Times New Roman" w:asciiTheme="minorEastAsia" w:hAnsiTheme="minorEastAsia" w:eastAsiaTheme="minorEastAsia"/>
                <w:b/>
                <w:kern w:val="0"/>
                <w:szCs w:val="21"/>
              </w:rPr>
            </w:pPr>
            <w:r>
              <w:rPr>
                <w:rFonts w:hint="eastAsia" w:cs="Times New Roman" w:asciiTheme="minorEastAsia" w:hAnsiTheme="minorEastAsia" w:eastAsiaTheme="minorEastAsia"/>
                <w:b/>
                <w:kern w:val="0"/>
                <w:szCs w:val="21"/>
              </w:rPr>
              <w:t>符合性审查结果</w:t>
            </w:r>
          </w:p>
          <w:p w14:paraId="4F9A5455">
            <w:pPr>
              <w:jc w:val="center"/>
              <w:rPr>
                <w:rFonts w:cs="Times New Roman" w:asciiTheme="minorEastAsia" w:hAnsiTheme="minorEastAsia" w:eastAsiaTheme="minorEastAsia"/>
                <w:b/>
                <w:kern w:val="0"/>
                <w:szCs w:val="21"/>
              </w:rPr>
            </w:pPr>
            <w:r>
              <w:rPr>
                <w:rFonts w:hint="eastAsia" w:cs="Times New Roman" w:asciiTheme="minorEastAsia" w:hAnsiTheme="minorEastAsia" w:eastAsiaTheme="minorEastAsia"/>
                <w:b/>
                <w:kern w:val="0"/>
                <w:szCs w:val="21"/>
              </w:rPr>
              <w:t>（合格/不合格）</w:t>
            </w:r>
          </w:p>
        </w:tc>
        <w:tc>
          <w:tcPr>
            <w:tcW w:w="2961" w:type="dxa"/>
            <w:vAlign w:val="center"/>
          </w:tcPr>
          <w:p w14:paraId="06307317">
            <w:pPr>
              <w:jc w:val="center"/>
              <w:rPr>
                <w:rFonts w:cs="Times New Roman" w:asciiTheme="minorEastAsia" w:hAnsiTheme="minorEastAsia" w:eastAsiaTheme="minorEastAsia"/>
                <w:b/>
                <w:kern w:val="0"/>
                <w:szCs w:val="21"/>
              </w:rPr>
            </w:pPr>
            <w:r>
              <w:rPr>
                <w:rFonts w:hint="eastAsia" w:cs="Times New Roman" w:asciiTheme="minorEastAsia" w:hAnsiTheme="minorEastAsia" w:eastAsiaTheme="minorEastAsia"/>
                <w:b/>
                <w:kern w:val="0"/>
                <w:szCs w:val="21"/>
              </w:rPr>
              <w:t>符合性审查不合格原因</w:t>
            </w:r>
          </w:p>
        </w:tc>
      </w:tr>
      <w:tr w14:paraId="726608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3DB3CCCF">
            <w:pPr>
              <w:adjustRightInd w:val="0"/>
              <w:snapToGrid w:val="0"/>
              <w:spacing w:line="360" w:lineRule="auto"/>
              <w:rPr>
                <w:rFonts w:cs="Times New Roman" w:asciiTheme="minorEastAsia" w:hAnsiTheme="minorEastAsia" w:eastAsiaTheme="minorEastAsia"/>
                <w:kern w:val="0"/>
                <w:sz w:val="24"/>
              </w:rPr>
            </w:pPr>
          </w:p>
        </w:tc>
        <w:tc>
          <w:tcPr>
            <w:tcW w:w="2963" w:type="dxa"/>
          </w:tcPr>
          <w:p w14:paraId="2EAB0069">
            <w:pPr>
              <w:adjustRightInd w:val="0"/>
              <w:snapToGrid w:val="0"/>
              <w:spacing w:line="360" w:lineRule="auto"/>
              <w:rPr>
                <w:rFonts w:cs="Times New Roman" w:asciiTheme="minorEastAsia" w:hAnsiTheme="minorEastAsia" w:eastAsiaTheme="minorEastAsia"/>
                <w:kern w:val="0"/>
                <w:sz w:val="24"/>
              </w:rPr>
            </w:pPr>
          </w:p>
        </w:tc>
        <w:tc>
          <w:tcPr>
            <w:tcW w:w="2439" w:type="dxa"/>
          </w:tcPr>
          <w:p w14:paraId="6369D5FA">
            <w:pPr>
              <w:adjustRightInd w:val="0"/>
              <w:snapToGrid w:val="0"/>
              <w:spacing w:line="360" w:lineRule="auto"/>
              <w:rPr>
                <w:rFonts w:cs="Times New Roman" w:asciiTheme="minorEastAsia" w:hAnsiTheme="minorEastAsia" w:eastAsiaTheme="minorEastAsia"/>
                <w:kern w:val="0"/>
                <w:sz w:val="24"/>
              </w:rPr>
            </w:pPr>
          </w:p>
        </w:tc>
        <w:tc>
          <w:tcPr>
            <w:tcW w:w="2961" w:type="dxa"/>
          </w:tcPr>
          <w:p w14:paraId="4AEFFB40">
            <w:pPr>
              <w:adjustRightInd w:val="0"/>
              <w:snapToGrid w:val="0"/>
              <w:spacing w:line="360" w:lineRule="auto"/>
              <w:rPr>
                <w:rFonts w:cs="Times New Roman" w:asciiTheme="minorEastAsia" w:hAnsiTheme="minorEastAsia" w:eastAsiaTheme="minorEastAsia"/>
                <w:kern w:val="0"/>
                <w:sz w:val="24"/>
              </w:rPr>
            </w:pPr>
          </w:p>
        </w:tc>
      </w:tr>
      <w:tr w14:paraId="76E0BF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702BBB29">
            <w:pPr>
              <w:adjustRightInd w:val="0"/>
              <w:snapToGrid w:val="0"/>
              <w:spacing w:line="360" w:lineRule="auto"/>
              <w:rPr>
                <w:rFonts w:cs="Times New Roman" w:asciiTheme="minorEastAsia" w:hAnsiTheme="minorEastAsia" w:eastAsiaTheme="minorEastAsia"/>
                <w:kern w:val="0"/>
                <w:sz w:val="24"/>
              </w:rPr>
            </w:pPr>
          </w:p>
        </w:tc>
        <w:tc>
          <w:tcPr>
            <w:tcW w:w="2963" w:type="dxa"/>
          </w:tcPr>
          <w:p w14:paraId="03C87B60">
            <w:pPr>
              <w:adjustRightInd w:val="0"/>
              <w:snapToGrid w:val="0"/>
              <w:spacing w:line="360" w:lineRule="auto"/>
              <w:rPr>
                <w:rFonts w:cs="Times New Roman" w:asciiTheme="minorEastAsia" w:hAnsiTheme="minorEastAsia" w:eastAsiaTheme="minorEastAsia"/>
                <w:kern w:val="0"/>
                <w:sz w:val="24"/>
              </w:rPr>
            </w:pPr>
          </w:p>
        </w:tc>
        <w:tc>
          <w:tcPr>
            <w:tcW w:w="2439" w:type="dxa"/>
          </w:tcPr>
          <w:p w14:paraId="239C7D70">
            <w:pPr>
              <w:adjustRightInd w:val="0"/>
              <w:snapToGrid w:val="0"/>
              <w:spacing w:line="360" w:lineRule="auto"/>
              <w:rPr>
                <w:rFonts w:cs="Times New Roman" w:asciiTheme="minorEastAsia" w:hAnsiTheme="minorEastAsia" w:eastAsiaTheme="minorEastAsia"/>
                <w:kern w:val="0"/>
                <w:sz w:val="24"/>
              </w:rPr>
            </w:pPr>
          </w:p>
        </w:tc>
        <w:tc>
          <w:tcPr>
            <w:tcW w:w="2961" w:type="dxa"/>
          </w:tcPr>
          <w:p w14:paraId="1180233B">
            <w:pPr>
              <w:adjustRightInd w:val="0"/>
              <w:snapToGrid w:val="0"/>
              <w:spacing w:line="360" w:lineRule="auto"/>
              <w:rPr>
                <w:rFonts w:cs="Times New Roman" w:asciiTheme="minorEastAsia" w:hAnsiTheme="minorEastAsia" w:eastAsiaTheme="minorEastAsia"/>
                <w:kern w:val="0"/>
                <w:sz w:val="24"/>
              </w:rPr>
            </w:pPr>
          </w:p>
        </w:tc>
      </w:tr>
      <w:tr w14:paraId="6EB6C1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c>
          <w:tcPr>
            <w:tcW w:w="697" w:type="dxa"/>
          </w:tcPr>
          <w:p w14:paraId="2D45F041">
            <w:pPr>
              <w:adjustRightInd w:val="0"/>
              <w:snapToGrid w:val="0"/>
              <w:spacing w:line="360" w:lineRule="auto"/>
              <w:rPr>
                <w:rFonts w:cs="Times New Roman" w:asciiTheme="minorEastAsia" w:hAnsiTheme="minorEastAsia" w:eastAsiaTheme="minorEastAsia"/>
                <w:kern w:val="0"/>
                <w:sz w:val="24"/>
              </w:rPr>
            </w:pPr>
          </w:p>
        </w:tc>
        <w:tc>
          <w:tcPr>
            <w:tcW w:w="2963" w:type="dxa"/>
          </w:tcPr>
          <w:p w14:paraId="7FC35B23">
            <w:pPr>
              <w:adjustRightInd w:val="0"/>
              <w:snapToGrid w:val="0"/>
              <w:spacing w:line="360" w:lineRule="auto"/>
              <w:rPr>
                <w:rFonts w:cs="Times New Roman" w:asciiTheme="minorEastAsia" w:hAnsiTheme="minorEastAsia" w:eastAsiaTheme="minorEastAsia"/>
                <w:kern w:val="0"/>
                <w:sz w:val="24"/>
              </w:rPr>
            </w:pPr>
          </w:p>
        </w:tc>
        <w:tc>
          <w:tcPr>
            <w:tcW w:w="2439" w:type="dxa"/>
          </w:tcPr>
          <w:p w14:paraId="1A383872">
            <w:pPr>
              <w:adjustRightInd w:val="0"/>
              <w:snapToGrid w:val="0"/>
              <w:spacing w:line="360" w:lineRule="auto"/>
              <w:rPr>
                <w:rFonts w:cs="Times New Roman" w:asciiTheme="minorEastAsia" w:hAnsiTheme="minorEastAsia" w:eastAsiaTheme="minorEastAsia"/>
                <w:kern w:val="0"/>
                <w:sz w:val="24"/>
              </w:rPr>
            </w:pPr>
          </w:p>
        </w:tc>
        <w:tc>
          <w:tcPr>
            <w:tcW w:w="2961" w:type="dxa"/>
          </w:tcPr>
          <w:p w14:paraId="3C8151AE">
            <w:pPr>
              <w:adjustRightInd w:val="0"/>
              <w:snapToGrid w:val="0"/>
              <w:spacing w:line="360" w:lineRule="auto"/>
              <w:rPr>
                <w:rFonts w:cs="Times New Roman" w:asciiTheme="minorEastAsia" w:hAnsiTheme="minorEastAsia" w:eastAsiaTheme="minorEastAsia"/>
                <w:kern w:val="0"/>
                <w:sz w:val="24"/>
              </w:rPr>
            </w:pPr>
          </w:p>
        </w:tc>
      </w:tr>
      <w:tr w14:paraId="543800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7498CD07">
            <w:pPr>
              <w:adjustRightInd w:val="0"/>
              <w:snapToGrid w:val="0"/>
              <w:spacing w:line="360" w:lineRule="auto"/>
              <w:rPr>
                <w:rFonts w:cs="Times New Roman" w:asciiTheme="minorEastAsia" w:hAnsiTheme="minorEastAsia" w:eastAsiaTheme="minorEastAsia"/>
                <w:kern w:val="0"/>
                <w:sz w:val="24"/>
              </w:rPr>
            </w:pPr>
          </w:p>
        </w:tc>
        <w:tc>
          <w:tcPr>
            <w:tcW w:w="2963" w:type="dxa"/>
          </w:tcPr>
          <w:p w14:paraId="01A42047">
            <w:pPr>
              <w:adjustRightInd w:val="0"/>
              <w:snapToGrid w:val="0"/>
              <w:spacing w:line="360" w:lineRule="auto"/>
              <w:rPr>
                <w:rFonts w:cs="Times New Roman" w:asciiTheme="minorEastAsia" w:hAnsiTheme="minorEastAsia" w:eastAsiaTheme="minorEastAsia"/>
                <w:kern w:val="0"/>
                <w:sz w:val="24"/>
              </w:rPr>
            </w:pPr>
          </w:p>
        </w:tc>
        <w:tc>
          <w:tcPr>
            <w:tcW w:w="2439" w:type="dxa"/>
          </w:tcPr>
          <w:p w14:paraId="45A9706C">
            <w:pPr>
              <w:adjustRightInd w:val="0"/>
              <w:snapToGrid w:val="0"/>
              <w:spacing w:line="360" w:lineRule="auto"/>
              <w:rPr>
                <w:rFonts w:cs="Times New Roman" w:asciiTheme="minorEastAsia" w:hAnsiTheme="minorEastAsia" w:eastAsiaTheme="minorEastAsia"/>
                <w:kern w:val="0"/>
                <w:sz w:val="24"/>
              </w:rPr>
            </w:pPr>
          </w:p>
        </w:tc>
        <w:tc>
          <w:tcPr>
            <w:tcW w:w="2961" w:type="dxa"/>
          </w:tcPr>
          <w:p w14:paraId="17ED7743">
            <w:pPr>
              <w:adjustRightInd w:val="0"/>
              <w:snapToGrid w:val="0"/>
              <w:spacing w:line="360" w:lineRule="auto"/>
              <w:rPr>
                <w:rFonts w:cs="Times New Roman" w:asciiTheme="minorEastAsia" w:hAnsiTheme="minorEastAsia" w:eastAsiaTheme="minorEastAsia"/>
                <w:kern w:val="0"/>
                <w:sz w:val="24"/>
              </w:rPr>
            </w:pPr>
          </w:p>
        </w:tc>
      </w:tr>
      <w:tr w14:paraId="258675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1B9AD9EA">
            <w:pPr>
              <w:adjustRightInd w:val="0"/>
              <w:snapToGrid w:val="0"/>
              <w:spacing w:line="360" w:lineRule="auto"/>
              <w:rPr>
                <w:rFonts w:cs="Times New Roman" w:asciiTheme="minorEastAsia" w:hAnsiTheme="minorEastAsia" w:eastAsiaTheme="minorEastAsia"/>
                <w:kern w:val="0"/>
                <w:sz w:val="24"/>
              </w:rPr>
            </w:pPr>
          </w:p>
        </w:tc>
        <w:tc>
          <w:tcPr>
            <w:tcW w:w="2963" w:type="dxa"/>
          </w:tcPr>
          <w:p w14:paraId="79C70FAE">
            <w:pPr>
              <w:adjustRightInd w:val="0"/>
              <w:snapToGrid w:val="0"/>
              <w:spacing w:line="360" w:lineRule="auto"/>
              <w:rPr>
                <w:rFonts w:cs="Times New Roman" w:asciiTheme="minorEastAsia" w:hAnsiTheme="minorEastAsia" w:eastAsiaTheme="minorEastAsia"/>
                <w:kern w:val="0"/>
                <w:sz w:val="24"/>
              </w:rPr>
            </w:pPr>
          </w:p>
        </w:tc>
        <w:tc>
          <w:tcPr>
            <w:tcW w:w="2439" w:type="dxa"/>
          </w:tcPr>
          <w:p w14:paraId="0AB48AE8">
            <w:pPr>
              <w:adjustRightInd w:val="0"/>
              <w:snapToGrid w:val="0"/>
              <w:spacing w:line="360" w:lineRule="auto"/>
              <w:rPr>
                <w:rFonts w:cs="Times New Roman" w:asciiTheme="minorEastAsia" w:hAnsiTheme="minorEastAsia" w:eastAsiaTheme="minorEastAsia"/>
                <w:kern w:val="0"/>
                <w:sz w:val="24"/>
              </w:rPr>
            </w:pPr>
          </w:p>
        </w:tc>
        <w:tc>
          <w:tcPr>
            <w:tcW w:w="2961" w:type="dxa"/>
          </w:tcPr>
          <w:p w14:paraId="2101A761">
            <w:pPr>
              <w:adjustRightInd w:val="0"/>
              <w:snapToGrid w:val="0"/>
              <w:spacing w:line="360" w:lineRule="auto"/>
              <w:rPr>
                <w:rFonts w:cs="Times New Roman" w:asciiTheme="minorEastAsia" w:hAnsiTheme="minorEastAsia" w:eastAsiaTheme="minorEastAsia"/>
                <w:kern w:val="0"/>
                <w:sz w:val="24"/>
              </w:rPr>
            </w:pPr>
          </w:p>
        </w:tc>
      </w:tr>
      <w:tr w14:paraId="1BAA55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0825CC74">
            <w:pPr>
              <w:adjustRightInd w:val="0"/>
              <w:snapToGrid w:val="0"/>
              <w:spacing w:line="360" w:lineRule="auto"/>
              <w:rPr>
                <w:rFonts w:cs="Times New Roman" w:asciiTheme="minorEastAsia" w:hAnsiTheme="minorEastAsia" w:eastAsiaTheme="minorEastAsia"/>
                <w:kern w:val="0"/>
                <w:sz w:val="24"/>
              </w:rPr>
            </w:pPr>
          </w:p>
        </w:tc>
        <w:tc>
          <w:tcPr>
            <w:tcW w:w="2963" w:type="dxa"/>
          </w:tcPr>
          <w:p w14:paraId="72060F74">
            <w:pPr>
              <w:adjustRightInd w:val="0"/>
              <w:snapToGrid w:val="0"/>
              <w:spacing w:line="360" w:lineRule="auto"/>
              <w:rPr>
                <w:rFonts w:cs="Times New Roman" w:asciiTheme="minorEastAsia" w:hAnsiTheme="minorEastAsia" w:eastAsiaTheme="minorEastAsia"/>
                <w:kern w:val="0"/>
                <w:sz w:val="24"/>
              </w:rPr>
            </w:pPr>
          </w:p>
        </w:tc>
        <w:tc>
          <w:tcPr>
            <w:tcW w:w="2439" w:type="dxa"/>
          </w:tcPr>
          <w:p w14:paraId="1EFDB02B">
            <w:pPr>
              <w:adjustRightInd w:val="0"/>
              <w:snapToGrid w:val="0"/>
              <w:spacing w:line="360" w:lineRule="auto"/>
              <w:rPr>
                <w:rFonts w:cs="Times New Roman" w:asciiTheme="minorEastAsia" w:hAnsiTheme="minorEastAsia" w:eastAsiaTheme="minorEastAsia"/>
                <w:kern w:val="0"/>
                <w:sz w:val="24"/>
              </w:rPr>
            </w:pPr>
          </w:p>
        </w:tc>
        <w:tc>
          <w:tcPr>
            <w:tcW w:w="2961" w:type="dxa"/>
          </w:tcPr>
          <w:p w14:paraId="0E0FFF18">
            <w:pPr>
              <w:adjustRightInd w:val="0"/>
              <w:snapToGrid w:val="0"/>
              <w:spacing w:line="360" w:lineRule="auto"/>
              <w:rPr>
                <w:rFonts w:cs="Times New Roman" w:asciiTheme="minorEastAsia" w:hAnsiTheme="minorEastAsia" w:eastAsiaTheme="minorEastAsia"/>
                <w:kern w:val="0"/>
                <w:sz w:val="24"/>
              </w:rPr>
            </w:pPr>
          </w:p>
        </w:tc>
      </w:tr>
      <w:tr w14:paraId="17C37F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07BFAED3">
            <w:pPr>
              <w:adjustRightInd w:val="0"/>
              <w:snapToGrid w:val="0"/>
              <w:spacing w:line="360" w:lineRule="auto"/>
              <w:rPr>
                <w:rFonts w:cs="Times New Roman" w:asciiTheme="minorEastAsia" w:hAnsiTheme="minorEastAsia" w:eastAsiaTheme="minorEastAsia"/>
                <w:kern w:val="0"/>
                <w:sz w:val="24"/>
              </w:rPr>
            </w:pPr>
          </w:p>
        </w:tc>
        <w:tc>
          <w:tcPr>
            <w:tcW w:w="2963" w:type="dxa"/>
          </w:tcPr>
          <w:p w14:paraId="3FB78182">
            <w:pPr>
              <w:adjustRightInd w:val="0"/>
              <w:snapToGrid w:val="0"/>
              <w:spacing w:line="360" w:lineRule="auto"/>
              <w:rPr>
                <w:rFonts w:cs="Times New Roman" w:asciiTheme="minorEastAsia" w:hAnsiTheme="minorEastAsia" w:eastAsiaTheme="minorEastAsia"/>
                <w:kern w:val="0"/>
                <w:sz w:val="24"/>
              </w:rPr>
            </w:pPr>
          </w:p>
        </w:tc>
        <w:tc>
          <w:tcPr>
            <w:tcW w:w="2439" w:type="dxa"/>
          </w:tcPr>
          <w:p w14:paraId="1D9615D9">
            <w:pPr>
              <w:adjustRightInd w:val="0"/>
              <w:snapToGrid w:val="0"/>
              <w:spacing w:line="360" w:lineRule="auto"/>
              <w:rPr>
                <w:rFonts w:cs="Times New Roman" w:asciiTheme="minorEastAsia" w:hAnsiTheme="minorEastAsia" w:eastAsiaTheme="minorEastAsia"/>
                <w:kern w:val="0"/>
                <w:sz w:val="24"/>
              </w:rPr>
            </w:pPr>
          </w:p>
        </w:tc>
        <w:tc>
          <w:tcPr>
            <w:tcW w:w="2961" w:type="dxa"/>
          </w:tcPr>
          <w:p w14:paraId="1EC94FA8">
            <w:pPr>
              <w:adjustRightInd w:val="0"/>
              <w:snapToGrid w:val="0"/>
              <w:spacing w:line="360" w:lineRule="auto"/>
              <w:rPr>
                <w:rFonts w:cs="Times New Roman" w:asciiTheme="minorEastAsia" w:hAnsiTheme="minorEastAsia" w:eastAsiaTheme="minorEastAsia"/>
                <w:kern w:val="0"/>
                <w:sz w:val="24"/>
              </w:rPr>
            </w:pPr>
          </w:p>
        </w:tc>
      </w:tr>
      <w:tr w14:paraId="34B49F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19BEDD57">
            <w:pPr>
              <w:adjustRightInd w:val="0"/>
              <w:snapToGrid w:val="0"/>
              <w:spacing w:line="360" w:lineRule="auto"/>
              <w:rPr>
                <w:rFonts w:cs="Times New Roman" w:asciiTheme="minorEastAsia" w:hAnsiTheme="minorEastAsia" w:eastAsiaTheme="minorEastAsia"/>
                <w:kern w:val="0"/>
                <w:sz w:val="24"/>
              </w:rPr>
            </w:pPr>
          </w:p>
        </w:tc>
        <w:tc>
          <w:tcPr>
            <w:tcW w:w="2963" w:type="dxa"/>
          </w:tcPr>
          <w:p w14:paraId="4BF35831">
            <w:pPr>
              <w:adjustRightInd w:val="0"/>
              <w:snapToGrid w:val="0"/>
              <w:spacing w:line="360" w:lineRule="auto"/>
              <w:rPr>
                <w:rFonts w:cs="Times New Roman" w:asciiTheme="minorEastAsia" w:hAnsiTheme="minorEastAsia" w:eastAsiaTheme="minorEastAsia"/>
                <w:kern w:val="0"/>
                <w:sz w:val="24"/>
              </w:rPr>
            </w:pPr>
          </w:p>
        </w:tc>
        <w:tc>
          <w:tcPr>
            <w:tcW w:w="2439" w:type="dxa"/>
          </w:tcPr>
          <w:p w14:paraId="679D533F">
            <w:pPr>
              <w:adjustRightInd w:val="0"/>
              <w:snapToGrid w:val="0"/>
              <w:spacing w:line="360" w:lineRule="auto"/>
              <w:rPr>
                <w:rFonts w:cs="Times New Roman" w:asciiTheme="minorEastAsia" w:hAnsiTheme="minorEastAsia" w:eastAsiaTheme="minorEastAsia"/>
                <w:kern w:val="0"/>
                <w:sz w:val="24"/>
              </w:rPr>
            </w:pPr>
          </w:p>
        </w:tc>
        <w:tc>
          <w:tcPr>
            <w:tcW w:w="2961" w:type="dxa"/>
          </w:tcPr>
          <w:p w14:paraId="5673C0D1">
            <w:pPr>
              <w:adjustRightInd w:val="0"/>
              <w:snapToGrid w:val="0"/>
              <w:spacing w:line="360" w:lineRule="auto"/>
              <w:rPr>
                <w:rFonts w:cs="Times New Roman" w:asciiTheme="minorEastAsia" w:hAnsiTheme="minorEastAsia" w:eastAsiaTheme="minorEastAsia"/>
                <w:kern w:val="0"/>
                <w:sz w:val="24"/>
              </w:rPr>
            </w:pPr>
          </w:p>
        </w:tc>
      </w:tr>
      <w:tr w14:paraId="19B36C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03AE34FC">
            <w:pPr>
              <w:adjustRightInd w:val="0"/>
              <w:snapToGrid w:val="0"/>
              <w:spacing w:line="360" w:lineRule="auto"/>
              <w:rPr>
                <w:rFonts w:cs="Times New Roman" w:asciiTheme="minorEastAsia" w:hAnsiTheme="minorEastAsia" w:eastAsiaTheme="minorEastAsia"/>
                <w:kern w:val="0"/>
                <w:sz w:val="24"/>
              </w:rPr>
            </w:pPr>
          </w:p>
        </w:tc>
        <w:tc>
          <w:tcPr>
            <w:tcW w:w="2963" w:type="dxa"/>
          </w:tcPr>
          <w:p w14:paraId="68DB1278">
            <w:pPr>
              <w:adjustRightInd w:val="0"/>
              <w:snapToGrid w:val="0"/>
              <w:spacing w:line="360" w:lineRule="auto"/>
              <w:rPr>
                <w:rFonts w:cs="Times New Roman" w:asciiTheme="minorEastAsia" w:hAnsiTheme="minorEastAsia" w:eastAsiaTheme="minorEastAsia"/>
                <w:kern w:val="0"/>
                <w:sz w:val="24"/>
              </w:rPr>
            </w:pPr>
          </w:p>
        </w:tc>
        <w:tc>
          <w:tcPr>
            <w:tcW w:w="2439" w:type="dxa"/>
          </w:tcPr>
          <w:p w14:paraId="45048E1C">
            <w:pPr>
              <w:adjustRightInd w:val="0"/>
              <w:snapToGrid w:val="0"/>
              <w:spacing w:line="360" w:lineRule="auto"/>
              <w:rPr>
                <w:rFonts w:cs="Times New Roman" w:asciiTheme="minorEastAsia" w:hAnsiTheme="minorEastAsia" w:eastAsiaTheme="minorEastAsia"/>
                <w:kern w:val="0"/>
                <w:sz w:val="24"/>
              </w:rPr>
            </w:pPr>
          </w:p>
        </w:tc>
        <w:tc>
          <w:tcPr>
            <w:tcW w:w="2961" w:type="dxa"/>
          </w:tcPr>
          <w:p w14:paraId="7ADC4CD3">
            <w:pPr>
              <w:adjustRightInd w:val="0"/>
              <w:snapToGrid w:val="0"/>
              <w:spacing w:line="360" w:lineRule="auto"/>
              <w:rPr>
                <w:rFonts w:cs="Times New Roman" w:asciiTheme="minorEastAsia" w:hAnsiTheme="minorEastAsia" w:eastAsiaTheme="minorEastAsia"/>
                <w:kern w:val="0"/>
                <w:sz w:val="24"/>
              </w:rPr>
            </w:pPr>
          </w:p>
        </w:tc>
      </w:tr>
    </w:tbl>
    <w:p w14:paraId="0B98ADE2">
      <w:pPr>
        <w:widowControl/>
        <w:jc w:val="left"/>
        <w:rPr>
          <w:rFonts w:ascii="黑体" w:hAnsi="黑体" w:eastAsia="黑体" w:cs="Times New Roman"/>
          <w:bCs/>
          <w:szCs w:val="21"/>
        </w:rPr>
      </w:pPr>
      <w:r>
        <w:rPr>
          <w:rFonts w:ascii="黑体" w:hAnsi="黑体" w:eastAsia="宋体" w:cs="Times New Roman"/>
          <w:b/>
          <w:szCs w:val="21"/>
        </w:rPr>
        <w:br w:type="page"/>
      </w:r>
    </w:p>
    <w:p w14:paraId="4490878E">
      <w:pPr>
        <w:keepNext/>
        <w:keepLines/>
        <w:widowControl w:val="0"/>
        <w:spacing w:before="260" w:after="260" w:line="416" w:lineRule="auto"/>
        <w:jc w:val="both"/>
        <w:outlineLvl w:val="2"/>
        <w:rPr>
          <w:rFonts w:ascii="Times New Roman" w:hAnsi="Times New Roman" w:eastAsia="宋体" w:cs="Times New Roman"/>
          <w:b/>
          <w:bCs/>
          <w:kern w:val="2"/>
          <w:sz w:val="21"/>
          <w:szCs w:val="21"/>
          <w:lang w:val="en-US" w:eastAsia="zh-CN" w:bidi="ar-SA"/>
        </w:rPr>
      </w:pPr>
      <w:bookmarkStart w:id="100" w:name="_Toc20651229"/>
      <w:bookmarkStart w:id="101" w:name="_Toc3474"/>
      <w:bookmarkStart w:id="102" w:name="_Toc5622"/>
      <w:bookmarkStart w:id="103" w:name="_Toc26810"/>
      <w:r>
        <w:rPr>
          <w:rFonts w:hint="eastAsia" w:ascii="Times New Roman" w:hAnsi="Times New Roman" w:eastAsia="宋体" w:cs="Times New Roman"/>
          <w:b/>
          <w:bCs/>
          <w:kern w:val="2"/>
          <w:sz w:val="21"/>
          <w:szCs w:val="21"/>
          <w:lang w:val="en-US" w:eastAsia="zh-CN" w:bidi="ar-SA"/>
        </w:rPr>
        <w:t>附表3 符合性审查合格投标人名单</w:t>
      </w:r>
      <w:bookmarkEnd w:id="100"/>
      <w:bookmarkEnd w:id="101"/>
      <w:bookmarkEnd w:id="102"/>
      <w:bookmarkEnd w:id="103"/>
    </w:p>
    <w:p w14:paraId="3CE165AA">
      <w:pPr>
        <w:adjustRightInd w:val="0"/>
        <w:snapToGrid w:val="0"/>
        <w:spacing w:before="156" w:beforeLines="50" w:line="360" w:lineRule="auto"/>
        <w:jc w:val="center"/>
        <w:rPr>
          <w:rFonts w:ascii="黑体" w:hAnsi="黑体" w:eastAsia="黑体" w:cs="Times New Roman"/>
          <w:b/>
          <w:sz w:val="28"/>
          <w:szCs w:val="28"/>
        </w:rPr>
      </w:pPr>
      <w:r>
        <w:rPr>
          <w:rFonts w:hint="eastAsia" w:ascii="黑体" w:hAnsi="黑体" w:eastAsia="黑体" w:cs="Times New Roman"/>
          <w:b/>
          <w:sz w:val="28"/>
          <w:szCs w:val="28"/>
        </w:rPr>
        <w:t>符合性审查合格投标人名单</w:t>
      </w:r>
    </w:p>
    <w:p w14:paraId="78A13A2B">
      <w:pPr>
        <w:adjustRightInd w:val="0"/>
        <w:snapToGrid w:val="0"/>
        <w:spacing w:before="156" w:beforeLines="50" w:line="360" w:lineRule="auto"/>
        <w:rPr>
          <w:rFonts w:ascii="华文中宋" w:hAnsi="华文中宋" w:eastAsia="华文中宋" w:cs="Times New Roman"/>
          <w:sz w:val="32"/>
          <w:szCs w:val="32"/>
        </w:rPr>
      </w:pPr>
      <w:r>
        <w:rPr>
          <w:rFonts w:hint="eastAsia" w:cs="Times New Roman" w:asciiTheme="minorEastAsia" w:hAnsiTheme="minorEastAsia" w:eastAsiaTheme="minorEastAsia"/>
          <w:szCs w:val="21"/>
        </w:rPr>
        <w:t>项目名称：                                        采购代理编号：</w:t>
      </w:r>
    </w:p>
    <w:tbl>
      <w:tblPr>
        <w:tblStyle w:val="4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1B9594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vAlign w:val="center"/>
          </w:tcPr>
          <w:p w14:paraId="7E6587C8">
            <w:pPr>
              <w:jc w:val="center"/>
              <w:rPr>
                <w:rFonts w:ascii="Times New Roman" w:hAnsi="Times New Roman" w:eastAsia="宋体" w:cs="Times New Roman"/>
                <w:b/>
                <w:kern w:val="0"/>
                <w:szCs w:val="21"/>
              </w:rPr>
            </w:pPr>
            <w:r>
              <w:rPr>
                <w:rFonts w:hint="eastAsia" w:ascii="Times New Roman" w:hAnsi="Times New Roman" w:eastAsia="宋体" w:cs="Times New Roman"/>
                <w:b/>
                <w:kern w:val="0"/>
                <w:szCs w:val="21"/>
              </w:rPr>
              <w:t>序号</w:t>
            </w:r>
          </w:p>
        </w:tc>
        <w:tc>
          <w:tcPr>
            <w:tcW w:w="7796" w:type="dxa"/>
            <w:vAlign w:val="center"/>
          </w:tcPr>
          <w:p w14:paraId="6B755F8B">
            <w:pPr>
              <w:jc w:val="center"/>
              <w:rPr>
                <w:rFonts w:ascii="Times New Roman" w:hAnsi="Times New Roman" w:eastAsia="宋体" w:cs="Times New Roman"/>
                <w:b/>
                <w:kern w:val="0"/>
                <w:szCs w:val="21"/>
              </w:rPr>
            </w:pPr>
            <w:r>
              <w:rPr>
                <w:rFonts w:hint="eastAsia" w:ascii="Times New Roman" w:hAnsi="Times New Roman" w:eastAsia="宋体" w:cs="Times New Roman"/>
                <w:b/>
                <w:kern w:val="0"/>
                <w:szCs w:val="21"/>
              </w:rPr>
              <w:t>合格投标人名称</w:t>
            </w:r>
          </w:p>
        </w:tc>
      </w:tr>
      <w:tr w14:paraId="35ED43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76B556FA">
            <w:pPr>
              <w:adjustRightInd w:val="0"/>
              <w:snapToGrid w:val="0"/>
              <w:spacing w:line="360" w:lineRule="auto"/>
              <w:rPr>
                <w:rFonts w:cs="Times New Roman" w:asciiTheme="minorEastAsia" w:hAnsiTheme="minorEastAsia" w:eastAsiaTheme="minorEastAsia"/>
                <w:kern w:val="0"/>
                <w:szCs w:val="21"/>
              </w:rPr>
            </w:pPr>
          </w:p>
        </w:tc>
        <w:tc>
          <w:tcPr>
            <w:tcW w:w="7796" w:type="dxa"/>
          </w:tcPr>
          <w:p w14:paraId="32CC487C">
            <w:pPr>
              <w:adjustRightInd w:val="0"/>
              <w:snapToGrid w:val="0"/>
              <w:spacing w:line="360" w:lineRule="auto"/>
              <w:rPr>
                <w:rFonts w:cs="Times New Roman" w:asciiTheme="minorEastAsia" w:hAnsiTheme="minorEastAsia" w:eastAsiaTheme="minorEastAsia"/>
                <w:kern w:val="0"/>
                <w:szCs w:val="21"/>
              </w:rPr>
            </w:pPr>
          </w:p>
        </w:tc>
      </w:tr>
      <w:tr w14:paraId="6BF3A6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2B5DCCB1">
            <w:pPr>
              <w:adjustRightInd w:val="0"/>
              <w:snapToGrid w:val="0"/>
              <w:spacing w:line="360" w:lineRule="auto"/>
              <w:rPr>
                <w:rFonts w:cs="Times New Roman" w:asciiTheme="minorEastAsia" w:hAnsiTheme="minorEastAsia" w:eastAsiaTheme="minorEastAsia"/>
                <w:kern w:val="0"/>
                <w:sz w:val="24"/>
              </w:rPr>
            </w:pPr>
          </w:p>
        </w:tc>
        <w:tc>
          <w:tcPr>
            <w:tcW w:w="7796" w:type="dxa"/>
          </w:tcPr>
          <w:p w14:paraId="3E9ACC3B">
            <w:pPr>
              <w:adjustRightInd w:val="0"/>
              <w:snapToGrid w:val="0"/>
              <w:spacing w:line="360" w:lineRule="auto"/>
              <w:rPr>
                <w:rFonts w:cs="Times New Roman" w:asciiTheme="minorEastAsia" w:hAnsiTheme="minorEastAsia" w:eastAsiaTheme="minorEastAsia"/>
                <w:kern w:val="0"/>
                <w:sz w:val="24"/>
              </w:rPr>
            </w:pPr>
          </w:p>
        </w:tc>
      </w:tr>
      <w:tr w14:paraId="710B87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6A630B93">
            <w:pPr>
              <w:adjustRightInd w:val="0"/>
              <w:snapToGrid w:val="0"/>
              <w:spacing w:line="360" w:lineRule="auto"/>
              <w:rPr>
                <w:rFonts w:cs="Times New Roman" w:asciiTheme="minorEastAsia" w:hAnsiTheme="minorEastAsia" w:eastAsiaTheme="minorEastAsia"/>
                <w:kern w:val="0"/>
                <w:sz w:val="24"/>
              </w:rPr>
            </w:pPr>
          </w:p>
        </w:tc>
        <w:tc>
          <w:tcPr>
            <w:tcW w:w="7796" w:type="dxa"/>
          </w:tcPr>
          <w:p w14:paraId="1B06C3D7">
            <w:pPr>
              <w:adjustRightInd w:val="0"/>
              <w:snapToGrid w:val="0"/>
              <w:spacing w:line="360" w:lineRule="auto"/>
              <w:rPr>
                <w:rFonts w:cs="Times New Roman" w:asciiTheme="minorEastAsia" w:hAnsiTheme="minorEastAsia" w:eastAsiaTheme="minorEastAsia"/>
                <w:kern w:val="0"/>
                <w:sz w:val="24"/>
              </w:rPr>
            </w:pPr>
          </w:p>
        </w:tc>
      </w:tr>
      <w:tr w14:paraId="383F2C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7CA5F29B">
            <w:pPr>
              <w:adjustRightInd w:val="0"/>
              <w:snapToGrid w:val="0"/>
              <w:spacing w:line="360" w:lineRule="auto"/>
              <w:rPr>
                <w:rFonts w:cs="Times New Roman" w:asciiTheme="minorEastAsia" w:hAnsiTheme="minorEastAsia" w:eastAsiaTheme="minorEastAsia"/>
                <w:kern w:val="0"/>
                <w:sz w:val="24"/>
              </w:rPr>
            </w:pPr>
          </w:p>
        </w:tc>
        <w:tc>
          <w:tcPr>
            <w:tcW w:w="7796" w:type="dxa"/>
          </w:tcPr>
          <w:p w14:paraId="3C1D4B5D">
            <w:pPr>
              <w:adjustRightInd w:val="0"/>
              <w:snapToGrid w:val="0"/>
              <w:spacing w:line="360" w:lineRule="auto"/>
              <w:rPr>
                <w:rFonts w:cs="Times New Roman" w:asciiTheme="minorEastAsia" w:hAnsiTheme="minorEastAsia" w:eastAsiaTheme="minorEastAsia"/>
                <w:kern w:val="0"/>
                <w:sz w:val="24"/>
              </w:rPr>
            </w:pPr>
          </w:p>
        </w:tc>
      </w:tr>
      <w:tr w14:paraId="544FF6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06B36251">
            <w:pPr>
              <w:adjustRightInd w:val="0"/>
              <w:snapToGrid w:val="0"/>
              <w:spacing w:line="360" w:lineRule="auto"/>
              <w:rPr>
                <w:rFonts w:cs="Times New Roman" w:asciiTheme="minorEastAsia" w:hAnsiTheme="minorEastAsia" w:eastAsiaTheme="minorEastAsia"/>
                <w:kern w:val="0"/>
                <w:sz w:val="24"/>
              </w:rPr>
            </w:pPr>
          </w:p>
        </w:tc>
        <w:tc>
          <w:tcPr>
            <w:tcW w:w="7796" w:type="dxa"/>
          </w:tcPr>
          <w:p w14:paraId="2C0869EE">
            <w:pPr>
              <w:adjustRightInd w:val="0"/>
              <w:snapToGrid w:val="0"/>
              <w:spacing w:line="360" w:lineRule="auto"/>
              <w:rPr>
                <w:rFonts w:cs="Times New Roman" w:asciiTheme="minorEastAsia" w:hAnsiTheme="minorEastAsia" w:eastAsiaTheme="minorEastAsia"/>
                <w:kern w:val="0"/>
                <w:sz w:val="24"/>
              </w:rPr>
            </w:pPr>
          </w:p>
        </w:tc>
      </w:tr>
      <w:tr w14:paraId="63D20C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3D416366">
            <w:pPr>
              <w:adjustRightInd w:val="0"/>
              <w:snapToGrid w:val="0"/>
              <w:spacing w:line="360" w:lineRule="auto"/>
              <w:rPr>
                <w:rFonts w:cs="Times New Roman" w:asciiTheme="minorEastAsia" w:hAnsiTheme="minorEastAsia" w:eastAsiaTheme="minorEastAsia"/>
                <w:kern w:val="0"/>
                <w:sz w:val="24"/>
              </w:rPr>
            </w:pPr>
          </w:p>
        </w:tc>
        <w:tc>
          <w:tcPr>
            <w:tcW w:w="7796" w:type="dxa"/>
          </w:tcPr>
          <w:p w14:paraId="2A6246A8">
            <w:pPr>
              <w:adjustRightInd w:val="0"/>
              <w:snapToGrid w:val="0"/>
              <w:spacing w:line="360" w:lineRule="auto"/>
              <w:rPr>
                <w:rFonts w:cs="Times New Roman" w:asciiTheme="minorEastAsia" w:hAnsiTheme="minorEastAsia" w:eastAsiaTheme="minorEastAsia"/>
                <w:kern w:val="0"/>
                <w:sz w:val="24"/>
              </w:rPr>
            </w:pPr>
          </w:p>
        </w:tc>
      </w:tr>
    </w:tbl>
    <w:p w14:paraId="7C50EE11">
      <w:pPr>
        <w:rPr>
          <w:rFonts w:ascii="Times New Roman" w:hAnsi="Times New Roman" w:eastAsia="宋体" w:cs="Times New Roman"/>
          <w:w w:val="90"/>
        </w:rPr>
      </w:pPr>
    </w:p>
    <w:p w14:paraId="58BEEDF7">
      <w:pPr>
        <w:rPr>
          <w:rFonts w:ascii="黑体" w:hAnsi="黑体" w:eastAsia="黑体" w:cs="Times New Roman"/>
          <w:b/>
          <w:sz w:val="32"/>
          <w:szCs w:val="32"/>
        </w:rPr>
      </w:pPr>
    </w:p>
    <w:p w14:paraId="29F80261">
      <w:pPr>
        <w:keepNext/>
        <w:keepLines/>
        <w:widowControl w:val="0"/>
        <w:adjustRightInd w:val="0"/>
        <w:snapToGrid w:val="0"/>
        <w:spacing w:line="360" w:lineRule="auto"/>
        <w:jc w:val="center"/>
        <w:outlineLvl w:val="1"/>
        <w:rPr>
          <w:rFonts w:ascii="黑体" w:hAnsi="华文中宋" w:eastAsia="黑体" w:cs="Times New Roman"/>
          <w:b/>
          <w:bCs/>
          <w:kern w:val="2"/>
          <w:sz w:val="28"/>
          <w:szCs w:val="28"/>
          <w:lang w:val="en-US" w:eastAsia="zh-CN" w:bidi="ar-SA"/>
        </w:rPr>
      </w:pPr>
      <w:r>
        <w:rPr>
          <w:rFonts w:ascii="黑体" w:hAnsi="黑体" w:eastAsia="黑体" w:cs="Times New Roman"/>
          <w:b w:val="0"/>
          <w:bCs/>
          <w:kern w:val="2"/>
          <w:sz w:val="32"/>
          <w:szCs w:val="32"/>
          <w:lang w:val="en-US" w:eastAsia="zh-CN" w:bidi="ar-SA"/>
        </w:rPr>
        <w:br w:type="page"/>
      </w:r>
      <w:bookmarkStart w:id="104" w:name="_Toc23932"/>
      <w:bookmarkStart w:id="105" w:name="_Toc9540"/>
      <w:bookmarkStart w:id="106" w:name="_Toc7492"/>
      <w:r>
        <w:rPr>
          <w:rFonts w:hint="eastAsia" w:ascii="黑体" w:hAnsi="华文中宋" w:eastAsia="黑体" w:cs="Times New Roman"/>
          <w:b/>
          <w:bCs/>
          <w:kern w:val="2"/>
          <w:sz w:val="28"/>
          <w:szCs w:val="28"/>
          <w:lang w:val="en-US" w:eastAsia="zh-CN" w:bidi="ar-SA"/>
        </w:rPr>
        <w:t>第四节 投标文件的比较与评价</w:t>
      </w:r>
      <w:bookmarkEnd w:id="95"/>
      <w:bookmarkEnd w:id="104"/>
      <w:bookmarkEnd w:id="105"/>
      <w:bookmarkEnd w:id="106"/>
    </w:p>
    <w:p w14:paraId="1A655534">
      <w:pPr>
        <w:widowControl/>
        <w:adjustRightInd w:val="0"/>
        <w:snapToGrid w:val="0"/>
        <w:spacing w:before="156" w:beforeLines="50" w:line="360" w:lineRule="auto"/>
        <w:jc w:val="left"/>
        <w:rPr>
          <w:rFonts w:ascii="黑体" w:hAnsi="黑体" w:eastAsia="黑体" w:cs="Times New Roman"/>
          <w:b/>
          <w:color w:val="000000" w:themeColor="text1"/>
          <w:sz w:val="24"/>
          <w14:textFill>
            <w14:solidFill>
              <w14:schemeClr w14:val="tx1"/>
            </w14:solidFill>
          </w14:textFill>
        </w:rPr>
      </w:pPr>
      <w:r>
        <w:rPr>
          <w:rFonts w:hint="eastAsia" w:ascii="黑体" w:hAnsi="黑体" w:eastAsia="黑体" w:cs="Times New Roman"/>
          <w:b/>
          <w:color w:val="000000" w:themeColor="text1"/>
          <w:sz w:val="24"/>
          <w14:textFill>
            <w14:solidFill>
              <w14:schemeClr w14:val="tx1"/>
            </w14:solidFill>
          </w14:textFill>
        </w:rPr>
        <w:t>1.</w:t>
      </w:r>
      <w:r>
        <w:rPr>
          <w:rFonts w:hint="eastAsia" w:ascii="Times New Roman" w:hAnsi="Times New Roman" w:eastAsia="宋体" w:cs="Times New Roman"/>
          <w:color w:val="000000" w:themeColor="text1"/>
          <w14:textFill>
            <w14:solidFill>
              <w14:schemeClr w14:val="tx1"/>
            </w14:solidFill>
          </w14:textFill>
        </w:rPr>
        <w:t xml:space="preserve"> </w:t>
      </w:r>
      <w:r>
        <w:rPr>
          <w:rFonts w:hint="eastAsia" w:ascii="黑体" w:hAnsi="黑体" w:eastAsia="黑体" w:cs="Times New Roman"/>
          <w:b/>
          <w:color w:val="000000" w:themeColor="text1"/>
          <w:sz w:val="24"/>
          <w14:textFill>
            <w14:solidFill>
              <w14:schemeClr w14:val="tx1"/>
            </w14:solidFill>
          </w14:textFill>
        </w:rPr>
        <w:t>综合评分法</w:t>
      </w:r>
    </w:p>
    <w:p w14:paraId="5590D8B8">
      <w:pPr>
        <w:adjustRightInd w:val="0"/>
        <w:snapToGrid w:val="0"/>
        <w:spacing w:before="156" w:beforeLines="50" w:line="360" w:lineRule="auto"/>
        <w:ind w:firstLine="420" w:firstLineChars="200"/>
        <w:jc w:val="left"/>
        <w:rPr>
          <w:rFonts w:cs="Times New Roman" w:asciiTheme="minorEastAsia" w:hAnsiTheme="minorEastAsia" w:eastAsiaTheme="minorEastAsia"/>
          <w:bCs/>
          <w:color w:val="000000" w:themeColor="text1"/>
          <w:szCs w:val="21"/>
          <w14:textFill>
            <w14:solidFill>
              <w14:schemeClr w14:val="tx1"/>
            </w14:solidFill>
          </w14:textFill>
        </w:rPr>
      </w:pPr>
      <w:r>
        <w:rPr>
          <w:rFonts w:hint="eastAsia" w:cs="Times New Roman" w:asciiTheme="minorEastAsia" w:hAnsiTheme="minorEastAsia" w:eastAsiaTheme="minorEastAsia"/>
          <w:bCs/>
          <w:color w:val="000000" w:themeColor="text1"/>
          <w:szCs w:val="21"/>
          <w14:textFill>
            <w14:solidFill>
              <w14:schemeClr w14:val="tx1"/>
            </w14:solidFill>
          </w14:textFill>
        </w:rPr>
        <w:t>1.1综合评分法，指投标文件满足招标文件全部实质性要求，且按照评审因素的量化指标评审得分最高的投标人为中标候选人的评标方法。</w:t>
      </w:r>
    </w:p>
    <w:p w14:paraId="29AAA225">
      <w:pPr>
        <w:adjustRightInd w:val="0"/>
        <w:snapToGrid w:val="0"/>
        <w:spacing w:before="156" w:beforeLines="50" w:line="360" w:lineRule="auto"/>
        <w:ind w:firstLine="420" w:firstLineChars="200"/>
        <w:jc w:val="left"/>
        <w:rPr>
          <w:rFonts w:cs="Times New Roman" w:asciiTheme="minorEastAsia" w:hAnsiTheme="minorEastAsia" w:eastAsiaTheme="minorEastAsia"/>
          <w:bCs/>
          <w:color w:val="000000" w:themeColor="text1"/>
          <w:szCs w:val="21"/>
          <w14:textFill>
            <w14:solidFill>
              <w14:schemeClr w14:val="tx1"/>
            </w14:solidFill>
          </w14:textFill>
        </w:rPr>
      </w:pPr>
      <w:r>
        <w:rPr>
          <w:rFonts w:hint="eastAsia" w:cs="Times New Roman" w:asciiTheme="minorEastAsia" w:hAnsiTheme="minorEastAsia" w:eastAsiaTheme="minorEastAsia"/>
          <w:bCs/>
          <w:color w:val="000000" w:themeColor="text1"/>
          <w:szCs w:val="21"/>
          <w14:textFill>
            <w14:solidFill>
              <w14:schemeClr w14:val="tx1"/>
            </w14:solidFill>
          </w14:textFill>
        </w:rPr>
        <w:t>1.2评标因素：评审因素的设定应当与投标人所提供货物服务的质量相关，包括投标报价、技术或者服务水平、履约能力、售后服务等，但不包括第一章投标人的资格要求。本采购项目的评标因素和标准见本章本节附页1“评标方法及标准表”。</w:t>
      </w:r>
    </w:p>
    <w:p w14:paraId="7674A8D7">
      <w:pPr>
        <w:adjustRightInd w:val="0"/>
        <w:snapToGrid w:val="0"/>
        <w:spacing w:before="156" w:beforeLines="50" w:line="360" w:lineRule="auto"/>
        <w:ind w:firstLine="420" w:firstLineChars="200"/>
        <w:jc w:val="left"/>
        <w:rPr>
          <w:rFonts w:cs="Times New Roman" w:asciiTheme="minorEastAsia" w:hAnsiTheme="minorEastAsia" w:eastAsiaTheme="minorEastAsia"/>
          <w:bCs/>
          <w:color w:val="000000" w:themeColor="text1"/>
          <w:szCs w:val="21"/>
          <w14:textFill>
            <w14:solidFill>
              <w14:schemeClr w14:val="tx1"/>
            </w14:solidFill>
          </w14:textFill>
        </w:rPr>
      </w:pPr>
      <w:r>
        <w:rPr>
          <w:rFonts w:hint="eastAsia" w:cs="Times New Roman" w:asciiTheme="minorEastAsia" w:hAnsiTheme="minorEastAsia" w:eastAsiaTheme="minorEastAsia"/>
          <w:bCs/>
          <w:color w:val="000000" w:themeColor="text1"/>
          <w:szCs w:val="21"/>
          <w14:textFill>
            <w14:solidFill>
              <w14:schemeClr w14:val="tx1"/>
            </w14:solidFill>
          </w14:textFill>
        </w:rPr>
        <w:t>1.3未通过符合性审查的投标文件不得进入比较与评价。</w:t>
      </w:r>
    </w:p>
    <w:p w14:paraId="49D01E31">
      <w:pPr>
        <w:adjustRightInd w:val="0"/>
        <w:snapToGrid w:val="0"/>
        <w:spacing w:before="156" w:beforeLines="50" w:line="360" w:lineRule="auto"/>
        <w:jc w:val="left"/>
        <w:rPr>
          <w:rFonts w:ascii="黑体" w:hAnsi="黑体" w:eastAsia="黑体" w:cs="Times New Roman"/>
          <w:b/>
          <w:bCs/>
          <w:color w:val="000000" w:themeColor="text1"/>
          <w:sz w:val="24"/>
          <w14:textFill>
            <w14:solidFill>
              <w14:schemeClr w14:val="tx1"/>
            </w14:solidFill>
          </w14:textFill>
        </w:rPr>
      </w:pPr>
      <w:r>
        <w:rPr>
          <w:rFonts w:hint="eastAsia" w:ascii="黑体" w:hAnsi="黑体" w:eastAsia="黑体" w:cs="Times New Roman"/>
          <w:b/>
          <w:bCs/>
          <w:color w:val="000000" w:themeColor="text1"/>
          <w:sz w:val="24"/>
          <w14:textFill>
            <w14:solidFill>
              <w14:schemeClr w14:val="tx1"/>
            </w14:solidFill>
          </w14:textFill>
        </w:rPr>
        <w:t>2.</w:t>
      </w:r>
      <w:r>
        <w:rPr>
          <w:rFonts w:hint="eastAsia" w:ascii="Times New Roman" w:hAnsi="Times New Roman" w:eastAsia="宋体" w:cs="Times New Roman"/>
          <w:color w:val="000000" w:themeColor="text1"/>
          <w14:textFill>
            <w14:solidFill>
              <w14:schemeClr w14:val="tx1"/>
            </w14:solidFill>
          </w14:textFill>
        </w:rPr>
        <w:t xml:space="preserve"> </w:t>
      </w:r>
      <w:r>
        <w:rPr>
          <w:rFonts w:hint="eastAsia" w:ascii="黑体" w:hAnsi="黑体" w:eastAsia="黑体" w:cs="Times New Roman"/>
          <w:b/>
          <w:bCs/>
          <w:color w:val="000000" w:themeColor="text1"/>
          <w:sz w:val="24"/>
          <w14:textFill>
            <w14:solidFill>
              <w14:schemeClr w14:val="tx1"/>
            </w14:solidFill>
          </w14:textFill>
        </w:rPr>
        <w:t>投标报价的算术修正及政府采购政策调整</w:t>
      </w:r>
    </w:p>
    <w:p w14:paraId="4F6FEACE">
      <w:pPr>
        <w:adjustRightInd w:val="0"/>
        <w:snapToGrid w:val="0"/>
        <w:spacing w:before="156" w:beforeLines="50" w:line="360" w:lineRule="auto"/>
        <w:ind w:firstLine="420" w:firstLineChars="200"/>
        <w:jc w:val="left"/>
        <w:rPr>
          <w:rFonts w:cs="Times New Roman" w:asciiTheme="minorEastAsia" w:hAnsiTheme="minorEastAsia" w:eastAsiaTheme="minorEastAsia"/>
          <w:bCs/>
          <w:color w:val="000000" w:themeColor="text1"/>
          <w:szCs w:val="21"/>
          <w14:textFill>
            <w14:solidFill>
              <w14:schemeClr w14:val="tx1"/>
            </w14:solidFill>
          </w14:textFill>
        </w:rPr>
      </w:pPr>
      <w:r>
        <w:rPr>
          <w:rFonts w:hint="eastAsia" w:cs="Times New Roman" w:asciiTheme="minorEastAsia" w:hAnsiTheme="minorEastAsia" w:eastAsiaTheme="minorEastAsia"/>
          <w:bCs/>
          <w:color w:val="000000" w:themeColor="text1"/>
          <w:szCs w:val="21"/>
          <w14:textFill>
            <w14:solidFill>
              <w14:schemeClr w14:val="tx1"/>
            </w14:solidFill>
          </w14:textFill>
        </w:rPr>
        <w:t>2.1如果有算术错误，投标报价将按本章第二节第4.2款、第4.3款规定进行算术修正。</w:t>
      </w:r>
    </w:p>
    <w:p w14:paraId="4EA7AA68">
      <w:pPr>
        <w:adjustRightInd w:val="0"/>
        <w:snapToGrid w:val="0"/>
        <w:spacing w:before="156" w:beforeLines="50" w:line="360" w:lineRule="auto"/>
        <w:ind w:firstLine="420" w:firstLineChars="200"/>
        <w:jc w:val="left"/>
        <w:rPr>
          <w:rFonts w:cs="Times New Roman" w:asciiTheme="minorEastAsia" w:hAnsiTheme="minorEastAsia" w:eastAsiaTheme="minorEastAsia"/>
          <w:bCs/>
          <w:color w:val="000000" w:themeColor="text1"/>
          <w:szCs w:val="21"/>
          <w14:textFill>
            <w14:solidFill>
              <w14:schemeClr w14:val="tx1"/>
            </w14:solidFill>
          </w14:textFill>
        </w:rPr>
      </w:pPr>
      <w:r>
        <w:rPr>
          <w:rFonts w:hint="eastAsia" w:cs="Times New Roman" w:asciiTheme="minorEastAsia" w:hAnsiTheme="minorEastAsia" w:eastAsiaTheme="minorEastAsia"/>
          <w:bCs/>
          <w:color w:val="000000" w:themeColor="text1"/>
          <w:szCs w:val="21"/>
          <w14:textFill>
            <w14:solidFill>
              <w14:schemeClr w14:val="tx1"/>
            </w14:solidFill>
          </w14:textFill>
        </w:rPr>
        <w:t>2.2需落实政府采购政策（价格评审优惠）的，按第二章“投标须知”及本章第二节第</w:t>
      </w:r>
      <w:r>
        <w:rPr>
          <w:rFonts w:cs="Times New Roman" w:asciiTheme="minorEastAsia" w:hAnsiTheme="minorEastAsia" w:eastAsiaTheme="minorEastAsia"/>
          <w:bCs/>
          <w:color w:val="000000" w:themeColor="text1"/>
          <w:szCs w:val="21"/>
          <w14:textFill>
            <w14:solidFill>
              <w14:schemeClr w14:val="tx1"/>
            </w14:solidFill>
          </w14:textFill>
        </w:rPr>
        <w:t>5.</w:t>
      </w:r>
      <w:r>
        <w:rPr>
          <w:rFonts w:hint="eastAsia" w:cs="Times New Roman" w:asciiTheme="minorEastAsia" w:hAnsiTheme="minorEastAsia" w:eastAsiaTheme="minorEastAsia"/>
          <w:bCs/>
          <w:color w:val="000000" w:themeColor="text1"/>
          <w:szCs w:val="21"/>
          <w:lang w:val="en-US" w:eastAsia="zh-CN"/>
          <w14:textFill>
            <w14:solidFill>
              <w14:schemeClr w14:val="tx1"/>
            </w14:solidFill>
          </w14:textFill>
        </w:rPr>
        <w:t>4</w:t>
      </w:r>
      <w:r>
        <w:rPr>
          <w:rFonts w:hint="eastAsia" w:cs="Times New Roman" w:asciiTheme="minorEastAsia" w:hAnsiTheme="minorEastAsia" w:eastAsiaTheme="minorEastAsia"/>
          <w:bCs/>
          <w:color w:val="000000" w:themeColor="text1"/>
          <w:szCs w:val="21"/>
          <w14:textFill>
            <w14:solidFill>
              <w14:schemeClr w14:val="tx1"/>
            </w14:solidFill>
          </w14:textFill>
        </w:rPr>
        <w:t>（1）项的相关规定进行价格调整。</w:t>
      </w:r>
    </w:p>
    <w:p w14:paraId="476F633F">
      <w:pPr>
        <w:adjustRightInd w:val="0"/>
        <w:snapToGrid w:val="0"/>
        <w:spacing w:before="156" w:beforeLines="50" w:line="360" w:lineRule="auto"/>
        <w:ind w:firstLine="420" w:firstLineChars="200"/>
        <w:jc w:val="left"/>
        <w:rPr>
          <w:rFonts w:cs="Times New Roman" w:asciiTheme="minorEastAsia" w:hAnsiTheme="minorEastAsia" w:eastAsiaTheme="minorEastAsia"/>
          <w:bCs/>
          <w:color w:val="000000" w:themeColor="text1"/>
          <w:szCs w:val="21"/>
          <w14:textFill>
            <w14:solidFill>
              <w14:schemeClr w14:val="tx1"/>
            </w14:solidFill>
          </w14:textFill>
        </w:rPr>
      </w:pPr>
      <w:r>
        <w:rPr>
          <w:rFonts w:hint="eastAsia" w:cs="Times New Roman" w:asciiTheme="minorEastAsia" w:hAnsiTheme="minorEastAsia" w:eastAsiaTheme="minorEastAsia"/>
          <w:bCs/>
          <w:color w:val="000000" w:themeColor="text1"/>
          <w:szCs w:val="21"/>
          <w14:textFill>
            <w14:solidFill>
              <w14:schemeClr w14:val="tx1"/>
            </w14:solidFill>
          </w14:textFill>
        </w:rPr>
        <w:t>2.3按本章本节第2.1款、第2.2款规定，以修正或调整后的价格确定投标人的投标报价和评标基准价，用于投标报价评价。</w:t>
      </w:r>
    </w:p>
    <w:p w14:paraId="3E4142F6">
      <w:pPr>
        <w:adjustRightInd w:val="0"/>
        <w:snapToGrid w:val="0"/>
        <w:spacing w:before="156" w:beforeLines="50" w:line="360" w:lineRule="auto"/>
        <w:jc w:val="left"/>
        <w:rPr>
          <w:rFonts w:ascii="黑体" w:hAnsi="黑体" w:eastAsia="黑体" w:cs="Times New Roman"/>
          <w:b/>
          <w:bCs/>
          <w:sz w:val="24"/>
        </w:rPr>
      </w:pPr>
      <w:r>
        <w:rPr>
          <w:rFonts w:hint="eastAsia" w:ascii="黑体" w:hAnsi="黑体" w:eastAsia="黑体" w:cs="Times New Roman"/>
          <w:b/>
          <w:bCs/>
          <w:sz w:val="24"/>
        </w:rPr>
        <w:t>3.</w:t>
      </w:r>
      <w:r>
        <w:rPr>
          <w:rFonts w:hint="eastAsia" w:ascii="Times New Roman" w:hAnsi="Times New Roman" w:eastAsia="宋体" w:cs="Times New Roman"/>
        </w:rPr>
        <w:t xml:space="preserve"> </w:t>
      </w:r>
      <w:r>
        <w:rPr>
          <w:rFonts w:hint="eastAsia" w:ascii="黑体" w:hAnsi="黑体" w:eastAsia="黑体" w:cs="Times New Roman"/>
          <w:b/>
          <w:bCs/>
          <w:sz w:val="24"/>
        </w:rPr>
        <w:t>投标报价评价</w:t>
      </w:r>
    </w:p>
    <w:p w14:paraId="664D7F72">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3.1投标报价评价：价格分应当采用低价优先法计算，即满足招标文件要求且投标价格最低的投标报价为评标基准价，其价格分为满分（报价权重分）。其他投标人的价格分统一按照下列公式计算：</w:t>
      </w:r>
    </w:p>
    <w:p w14:paraId="798F5F43">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投标报价得分=（评标基准价</w:t>
      </w:r>
      <w:r>
        <w:rPr>
          <w:rFonts w:hint="eastAsia" w:cs="Times New Roman" w:asciiTheme="minorEastAsia" w:hAnsiTheme="minorEastAsia" w:eastAsiaTheme="minorEastAsia"/>
          <w:szCs w:val="21"/>
          <w:vertAlign w:val="subscript"/>
        </w:rPr>
        <w:t>修正或调整</w:t>
      </w:r>
      <w:r>
        <w:rPr>
          <w:rFonts w:hint="eastAsia" w:cs="Times New Roman" w:asciiTheme="minorEastAsia" w:hAnsiTheme="minorEastAsia" w:eastAsiaTheme="minorEastAsia"/>
          <w:szCs w:val="21"/>
        </w:rPr>
        <w:t>／投标报价</w:t>
      </w:r>
      <w:r>
        <w:rPr>
          <w:rFonts w:hint="eastAsia" w:cs="Times New Roman" w:asciiTheme="minorEastAsia" w:hAnsiTheme="minorEastAsia" w:eastAsiaTheme="minorEastAsia"/>
          <w:szCs w:val="21"/>
          <w:vertAlign w:val="subscript"/>
        </w:rPr>
        <w:t>修正或调整</w:t>
      </w:r>
      <w:r>
        <w:rPr>
          <w:rFonts w:hint="eastAsia" w:cs="Times New Roman" w:asciiTheme="minorEastAsia" w:hAnsiTheme="minorEastAsia" w:eastAsiaTheme="minorEastAsia"/>
          <w:szCs w:val="21"/>
        </w:rPr>
        <w:t>） × 报价权重分</w:t>
      </w:r>
    </w:p>
    <w:p w14:paraId="7E1E4D33">
      <w:pPr>
        <w:adjustRightInd w:val="0"/>
        <w:snapToGrid w:val="0"/>
        <w:spacing w:before="156" w:beforeLines="50" w:line="360" w:lineRule="auto"/>
        <w:jc w:val="left"/>
        <w:rPr>
          <w:rFonts w:ascii="黑体" w:hAnsi="黑体" w:eastAsia="黑体" w:cs="Times New Roman"/>
          <w:sz w:val="24"/>
        </w:rPr>
      </w:pPr>
      <w:r>
        <w:rPr>
          <w:rFonts w:hint="eastAsia" w:ascii="黑体" w:hAnsi="黑体" w:eastAsia="黑体" w:cs="Times New Roman"/>
          <w:bCs/>
          <w:sz w:val="24"/>
        </w:rPr>
        <w:t>4.</w:t>
      </w:r>
      <w:r>
        <w:rPr>
          <w:rFonts w:hint="eastAsia" w:ascii="黑体" w:hAnsi="黑体" w:eastAsia="黑体" w:cs="Times New Roman"/>
          <w:sz w:val="24"/>
        </w:rPr>
        <w:t>技术、商务等评分项响应评价及政府采购政策加分</w:t>
      </w:r>
    </w:p>
    <w:p w14:paraId="7CA4E695">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4.1技术、商务等评分项响应评分。按</w:t>
      </w:r>
      <w:r>
        <w:rPr>
          <w:rFonts w:hint="eastAsia" w:cs="Times New Roman" w:asciiTheme="minorEastAsia" w:hAnsiTheme="minorEastAsia" w:eastAsiaTheme="minorEastAsia"/>
          <w:bCs/>
          <w:color w:val="000000" w:themeColor="text1"/>
          <w:szCs w:val="21"/>
          <w14:textFill>
            <w14:solidFill>
              <w14:schemeClr w14:val="tx1"/>
            </w14:solidFill>
          </w14:textFill>
        </w:rPr>
        <w:t>本章</w:t>
      </w:r>
      <w:r>
        <w:rPr>
          <w:rFonts w:hint="eastAsia" w:cs="Times New Roman" w:asciiTheme="minorEastAsia" w:hAnsiTheme="minorEastAsia" w:eastAsiaTheme="minorEastAsia"/>
          <w:szCs w:val="21"/>
        </w:rPr>
        <w:t>本节附页1“评标方法及标准表”规定的评标因素和标准，对技术、商务等评分项计算得分。</w:t>
      </w:r>
    </w:p>
    <w:p w14:paraId="4D8C429E">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4.2需落实政府采购政策（优先采购）的，按第二章、本章第二节第5.3（2）项以及本节附页1“评标方法及标准表”的相关规定进行技术、价格、商务项得分(加分)计算。</w:t>
      </w:r>
    </w:p>
    <w:p w14:paraId="7420ED19">
      <w:pPr>
        <w:adjustRightInd w:val="0"/>
        <w:snapToGrid w:val="0"/>
        <w:spacing w:before="156" w:beforeLines="50" w:line="360" w:lineRule="auto"/>
        <w:jc w:val="left"/>
        <w:rPr>
          <w:rFonts w:ascii="黑体" w:hAnsi="黑体" w:eastAsia="黑体" w:cs="Times New Roman"/>
          <w:b/>
          <w:sz w:val="24"/>
        </w:rPr>
      </w:pPr>
      <w:r>
        <w:rPr>
          <w:rFonts w:hint="eastAsia" w:ascii="黑体" w:hAnsi="黑体" w:eastAsia="黑体" w:cs="Times New Roman"/>
          <w:b/>
          <w:sz w:val="24"/>
        </w:rPr>
        <w:t>5.评标总得分</w:t>
      </w:r>
    </w:p>
    <w:p w14:paraId="320CA85B">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5.1评标总得分为投标报价、技术、商务等评分项得分(含优先采购政策加分)之和。</w:t>
      </w:r>
    </w:p>
    <w:p w14:paraId="22556E9A">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评标总得分＝A</w:t>
      </w:r>
      <w:r>
        <w:rPr>
          <w:rFonts w:hint="eastAsia" w:cs="Times New Roman" w:asciiTheme="minorEastAsia" w:hAnsiTheme="minorEastAsia" w:eastAsiaTheme="minorEastAsia"/>
          <w:szCs w:val="21"/>
          <w:vertAlign w:val="subscript"/>
        </w:rPr>
        <w:t>投标报价得分</w:t>
      </w:r>
      <w:r>
        <w:rPr>
          <w:rFonts w:hint="eastAsia" w:cs="Times New Roman" w:asciiTheme="minorEastAsia" w:hAnsiTheme="minorEastAsia" w:eastAsiaTheme="minorEastAsia"/>
          <w:szCs w:val="21"/>
        </w:rPr>
        <w:t>＋A</w:t>
      </w:r>
      <w:r>
        <w:rPr>
          <w:rFonts w:hint="eastAsia" w:cs="Times New Roman" w:asciiTheme="minorEastAsia" w:hAnsiTheme="minorEastAsia" w:eastAsiaTheme="minorEastAsia"/>
          <w:szCs w:val="21"/>
          <w:vertAlign w:val="subscript"/>
        </w:rPr>
        <w:t>技术项得分</w:t>
      </w:r>
      <w:r>
        <w:rPr>
          <w:rFonts w:hint="eastAsia" w:cs="Times New Roman" w:asciiTheme="minorEastAsia" w:hAnsiTheme="minorEastAsia" w:eastAsiaTheme="minorEastAsia"/>
          <w:szCs w:val="21"/>
        </w:rPr>
        <w:t>＋A</w:t>
      </w:r>
      <w:r>
        <w:rPr>
          <w:rFonts w:hint="eastAsia" w:cs="Times New Roman" w:asciiTheme="minorEastAsia" w:hAnsiTheme="minorEastAsia" w:eastAsiaTheme="minorEastAsia"/>
          <w:szCs w:val="21"/>
          <w:vertAlign w:val="subscript"/>
        </w:rPr>
        <w:t>商务项得分</w:t>
      </w:r>
      <w:r>
        <w:rPr>
          <w:rFonts w:hint="eastAsia" w:cs="Times New Roman" w:asciiTheme="minorEastAsia" w:hAnsiTheme="minorEastAsia" w:eastAsiaTheme="minorEastAsia"/>
          <w:szCs w:val="21"/>
        </w:rPr>
        <w:t>＋A</w:t>
      </w:r>
      <w:r>
        <w:rPr>
          <w:rFonts w:hint="eastAsia" w:cs="Times New Roman" w:asciiTheme="minorEastAsia" w:hAnsiTheme="minorEastAsia" w:eastAsiaTheme="minorEastAsia"/>
          <w:szCs w:val="21"/>
          <w:vertAlign w:val="subscript"/>
        </w:rPr>
        <w:t>优先采购加分</w:t>
      </w:r>
    </w:p>
    <w:p w14:paraId="7D497CFD">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5.2评分分值计算保留小数点后两位，小数点后第三位“四舍五入”。</w:t>
      </w:r>
    </w:p>
    <w:p w14:paraId="40018403">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宋体" w:asciiTheme="minorEastAsia" w:hAnsiTheme="minorEastAsia" w:eastAsiaTheme="minorEastAsia"/>
          <w:kern w:val="0"/>
          <w:szCs w:val="21"/>
        </w:rPr>
        <w:t>5.3</w:t>
      </w:r>
      <w:r>
        <w:rPr>
          <w:rFonts w:hint="eastAsia" w:cs="Times New Roman" w:asciiTheme="minorEastAsia" w:hAnsiTheme="minorEastAsia" w:eastAsiaTheme="minorEastAsia"/>
          <w:szCs w:val="21"/>
        </w:rPr>
        <w:t>评标时，评标委员会成员应当独立对满足招标文件全部实质性要求投标人的</w:t>
      </w:r>
      <w:r>
        <w:rPr>
          <w:rFonts w:hint="eastAsia" w:cs="Times New Roman" w:asciiTheme="minorEastAsia" w:hAnsiTheme="minorEastAsia" w:eastAsiaTheme="minorEastAsia"/>
          <w:bCs/>
          <w:szCs w:val="21"/>
        </w:rPr>
        <w:t>投标文件</w:t>
      </w:r>
      <w:r>
        <w:rPr>
          <w:rFonts w:hint="eastAsia" w:cs="Times New Roman" w:asciiTheme="minorEastAsia" w:hAnsiTheme="minorEastAsia" w:eastAsiaTheme="minorEastAsia"/>
          <w:szCs w:val="21"/>
        </w:rPr>
        <w:t>进行评价、评分，然后汇总每个投标人每项评分因素的得分。每个投标人的最终得分为所有评标委员会成员评分的算术平均值。</w:t>
      </w:r>
    </w:p>
    <w:p w14:paraId="451AAD76">
      <w:pPr>
        <w:adjustRightInd w:val="0"/>
        <w:snapToGrid w:val="0"/>
        <w:spacing w:before="156" w:beforeLines="50" w:line="360" w:lineRule="auto"/>
        <w:jc w:val="left"/>
        <w:rPr>
          <w:rFonts w:ascii="黑体" w:hAnsi="黑体" w:eastAsia="黑体" w:cs="Times New Roman"/>
          <w:b/>
          <w:bCs/>
          <w:sz w:val="24"/>
        </w:rPr>
      </w:pPr>
      <w:r>
        <w:rPr>
          <w:rFonts w:hint="eastAsia" w:ascii="黑体" w:hAnsi="黑体" w:eastAsia="黑体" w:cs="Times New Roman"/>
          <w:b/>
          <w:bCs/>
          <w:sz w:val="24"/>
        </w:rPr>
        <w:t>6.中标候选人的推荐方法</w:t>
      </w:r>
    </w:p>
    <w:p w14:paraId="20B9B0B9">
      <w:pPr>
        <w:adjustRightInd w:val="0"/>
        <w:snapToGrid w:val="0"/>
        <w:spacing w:before="156" w:beforeLines="50" w:line="360" w:lineRule="auto"/>
        <w:ind w:firstLine="420" w:firstLineChars="200"/>
        <w:jc w:val="left"/>
        <w:rPr>
          <w:rFonts w:cs="Times New Roman" w:asciiTheme="minorEastAsia" w:hAnsiTheme="minorEastAsia" w:eastAsiaTheme="minorEastAsia"/>
          <w:bCs/>
          <w:szCs w:val="21"/>
        </w:rPr>
      </w:pPr>
      <w:r>
        <w:rPr>
          <w:rFonts w:hint="eastAsia" w:cs="Times New Roman" w:asciiTheme="minorEastAsia" w:hAnsiTheme="minorEastAsia" w:eastAsiaTheme="minorEastAsia"/>
          <w:bCs/>
          <w:szCs w:val="21"/>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5630E90F">
      <w:pPr>
        <w:adjustRightInd w:val="0"/>
        <w:snapToGrid w:val="0"/>
        <w:spacing w:before="156" w:beforeLines="50" w:line="360" w:lineRule="auto"/>
        <w:ind w:firstLine="420" w:firstLineChars="200"/>
        <w:jc w:val="left"/>
        <w:rPr>
          <w:rFonts w:cs="Times New Roman" w:asciiTheme="minorEastAsia" w:hAnsiTheme="minorEastAsia" w:eastAsiaTheme="minorEastAsia"/>
          <w:bCs/>
          <w:szCs w:val="21"/>
        </w:rPr>
      </w:pPr>
      <w:r>
        <w:rPr>
          <w:rFonts w:hint="eastAsia" w:cs="Times New Roman" w:asciiTheme="minorEastAsia" w:hAnsiTheme="minorEastAsia" w:eastAsiaTheme="minorEastAsia"/>
          <w:bCs/>
          <w:szCs w:val="21"/>
        </w:rPr>
        <w:t>6.2得分且投标报价相同的并列，按本章第二节规定确定中标候选人。</w:t>
      </w:r>
    </w:p>
    <w:p w14:paraId="0AB7CDBE">
      <w:pPr>
        <w:adjustRightInd w:val="0"/>
        <w:snapToGrid w:val="0"/>
        <w:spacing w:before="156" w:beforeLines="50" w:line="360" w:lineRule="auto"/>
        <w:ind w:firstLine="420" w:firstLineChars="200"/>
        <w:jc w:val="left"/>
        <w:rPr>
          <w:rFonts w:cs="Times New Roman" w:asciiTheme="minorEastAsia" w:hAnsiTheme="minorEastAsia" w:eastAsiaTheme="minorEastAsia"/>
          <w:bCs/>
          <w:szCs w:val="21"/>
        </w:rPr>
      </w:pPr>
    </w:p>
    <w:p w14:paraId="44D45BDF">
      <w:pPr>
        <w:widowControl/>
        <w:jc w:val="left"/>
        <w:rPr>
          <w:rFonts w:cs="Times New Roman" w:asciiTheme="minorEastAsia" w:hAnsiTheme="minorEastAsia" w:eastAsiaTheme="minorEastAsia"/>
          <w:bCs/>
          <w:szCs w:val="21"/>
        </w:rPr>
      </w:pPr>
      <w:r>
        <w:rPr>
          <w:rFonts w:cs="Times New Roman" w:asciiTheme="minorEastAsia" w:hAnsiTheme="minorEastAsia" w:eastAsiaTheme="minorEastAsia"/>
          <w:bCs/>
          <w:szCs w:val="21"/>
        </w:rPr>
        <w:br w:type="page"/>
      </w:r>
    </w:p>
    <w:p w14:paraId="4DC773A8">
      <w:pPr>
        <w:keepNext/>
        <w:keepLines/>
        <w:widowControl w:val="0"/>
        <w:adjustRightInd w:val="0"/>
        <w:snapToGrid w:val="0"/>
        <w:spacing w:before="156" w:beforeLines="50" w:after="0" w:line="360" w:lineRule="auto"/>
        <w:jc w:val="both"/>
        <w:outlineLvl w:val="2"/>
        <w:rPr>
          <w:rFonts w:ascii="Times New Roman" w:hAnsi="Times New Roman" w:eastAsia="宋体" w:cs="Times New Roman"/>
          <w:b/>
          <w:bCs/>
          <w:kern w:val="2"/>
          <w:sz w:val="21"/>
          <w:szCs w:val="21"/>
          <w:lang w:val="en-US" w:eastAsia="zh-CN" w:bidi="ar-SA"/>
        </w:rPr>
      </w:pPr>
      <w:bookmarkStart w:id="107" w:name="_Toc29913925"/>
      <w:bookmarkStart w:id="108" w:name="_Toc29604"/>
      <w:bookmarkStart w:id="109" w:name="_Toc21176"/>
      <w:bookmarkStart w:id="110" w:name="_Toc9218"/>
      <w:r>
        <w:rPr>
          <w:rFonts w:hint="eastAsia" w:ascii="Times New Roman" w:hAnsi="Times New Roman" w:eastAsia="宋体" w:cs="Times New Roman"/>
          <w:b/>
          <w:bCs/>
          <w:kern w:val="2"/>
          <w:sz w:val="21"/>
          <w:szCs w:val="21"/>
          <w:lang w:val="en-US" w:eastAsia="zh-CN" w:bidi="ar-SA"/>
        </w:rPr>
        <w:t>附页1 评标方法及标准表</w:t>
      </w:r>
      <w:bookmarkEnd w:id="107"/>
      <w:bookmarkEnd w:id="108"/>
      <w:bookmarkEnd w:id="109"/>
      <w:bookmarkEnd w:id="110"/>
    </w:p>
    <w:p w14:paraId="437C08E2">
      <w:pPr>
        <w:adjustRightInd w:val="0"/>
        <w:snapToGrid w:val="0"/>
        <w:spacing w:line="360" w:lineRule="auto"/>
        <w:jc w:val="center"/>
        <w:rPr>
          <w:rFonts w:ascii="黑体" w:eastAsia="黑体"/>
          <w:sz w:val="28"/>
          <w:szCs w:val="28"/>
          <w:highlight w:val="none"/>
        </w:rPr>
      </w:pPr>
    </w:p>
    <w:p w14:paraId="23FECE9F">
      <w:pPr>
        <w:adjustRightInd w:val="0"/>
        <w:snapToGrid w:val="0"/>
        <w:spacing w:line="360" w:lineRule="auto"/>
        <w:jc w:val="center"/>
        <w:rPr>
          <w:rFonts w:ascii="黑体" w:hAnsi="黑体" w:eastAsia="黑体"/>
          <w:highlight w:val="none"/>
        </w:rPr>
      </w:pPr>
      <w:r>
        <w:rPr>
          <w:rFonts w:hint="eastAsia" w:ascii="黑体" w:eastAsia="黑体"/>
          <w:sz w:val="28"/>
          <w:szCs w:val="28"/>
          <w:highlight w:val="none"/>
        </w:rPr>
        <w:t>包1评标因素及权值</w:t>
      </w:r>
    </w:p>
    <w:tbl>
      <w:tblPr>
        <w:tblStyle w:val="45"/>
        <w:tblW w:w="900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4547"/>
        <w:gridCol w:w="4453"/>
      </w:tblGrid>
      <w:tr w14:paraId="7222E4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9000" w:type="dxa"/>
            <w:gridSpan w:val="2"/>
            <w:tcBorders>
              <w:top w:val="single" w:color="auto" w:sz="12" w:space="0"/>
              <w:left w:val="single" w:color="auto" w:sz="12" w:space="0"/>
              <w:bottom w:val="single" w:color="auto" w:sz="4" w:space="0"/>
              <w:right w:val="single" w:color="auto" w:sz="12" w:space="0"/>
            </w:tcBorders>
            <w:noWrap/>
            <w:vAlign w:val="center"/>
          </w:tcPr>
          <w:p w14:paraId="054D7756">
            <w:pPr>
              <w:jc w:val="center"/>
              <w:rPr>
                <w:rFonts w:ascii="宋体" w:hAnsi="宋体" w:cs="宋体"/>
                <w:szCs w:val="21"/>
                <w:highlight w:val="none"/>
              </w:rPr>
            </w:pPr>
            <w:r>
              <w:rPr>
                <w:rFonts w:hint="eastAsia" w:ascii="宋体" w:hAnsi="宋体" w:cs="宋体"/>
                <w:szCs w:val="21"/>
                <w:highlight w:val="none"/>
              </w:rPr>
              <w:t>评标因素及权值</w:t>
            </w:r>
          </w:p>
        </w:tc>
      </w:tr>
      <w:tr w14:paraId="6CB030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97" w:hRule="atLeast"/>
          <w:jc w:val="center"/>
        </w:trPr>
        <w:tc>
          <w:tcPr>
            <w:tcW w:w="4547" w:type="dxa"/>
            <w:tcBorders>
              <w:top w:val="single" w:color="auto" w:sz="4" w:space="0"/>
              <w:left w:val="single" w:color="auto" w:sz="12" w:space="0"/>
              <w:bottom w:val="single" w:color="auto" w:sz="4" w:space="0"/>
              <w:right w:val="single" w:color="auto" w:sz="4" w:space="0"/>
            </w:tcBorders>
            <w:noWrap/>
            <w:vAlign w:val="center"/>
          </w:tcPr>
          <w:p w14:paraId="43448F28">
            <w:pPr>
              <w:jc w:val="center"/>
              <w:rPr>
                <w:rFonts w:ascii="宋体" w:hAnsi="宋体" w:cs="宋体"/>
                <w:szCs w:val="21"/>
                <w:highlight w:val="none"/>
              </w:rPr>
            </w:pPr>
            <w:r>
              <w:rPr>
                <w:rFonts w:hint="eastAsia" w:ascii="宋体" w:hAnsi="宋体" w:cs="宋体"/>
                <w:szCs w:val="21"/>
                <w:highlight w:val="none"/>
              </w:rPr>
              <w:t>评标因素</w:t>
            </w:r>
          </w:p>
        </w:tc>
        <w:tc>
          <w:tcPr>
            <w:tcW w:w="4453" w:type="dxa"/>
            <w:tcBorders>
              <w:top w:val="single" w:color="auto" w:sz="4" w:space="0"/>
              <w:left w:val="single" w:color="auto" w:sz="4" w:space="0"/>
              <w:bottom w:val="single" w:color="auto" w:sz="4" w:space="0"/>
              <w:right w:val="single" w:color="auto" w:sz="12" w:space="0"/>
            </w:tcBorders>
            <w:noWrap/>
            <w:vAlign w:val="center"/>
          </w:tcPr>
          <w:p w14:paraId="4F8F1FC3">
            <w:pPr>
              <w:jc w:val="center"/>
              <w:rPr>
                <w:rFonts w:ascii="宋体" w:hAnsi="宋体" w:cs="宋体"/>
                <w:szCs w:val="21"/>
                <w:highlight w:val="none"/>
              </w:rPr>
            </w:pPr>
            <w:r>
              <w:rPr>
                <w:rFonts w:hint="eastAsia" w:ascii="宋体" w:hAnsi="宋体" w:cs="宋体"/>
                <w:szCs w:val="21"/>
                <w:highlight w:val="none"/>
              </w:rPr>
              <w:t>权值范围</w:t>
            </w:r>
          </w:p>
        </w:tc>
      </w:tr>
      <w:tr w14:paraId="44F385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8" w:hRule="atLeast"/>
          <w:jc w:val="center"/>
        </w:trPr>
        <w:tc>
          <w:tcPr>
            <w:tcW w:w="4547" w:type="dxa"/>
            <w:tcBorders>
              <w:top w:val="single" w:color="auto" w:sz="4" w:space="0"/>
              <w:left w:val="single" w:color="auto" w:sz="12" w:space="0"/>
              <w:bottom w:val="single" w:color="auto" w:sz="4" w:space="0"/>
              <w:right w:val="single" w:color="auto" w:sz="4" w:space="0"/>
            </w:tcBorders>
            <w:noWrap/>
            <w:vAlign w:val="center"/>
          </w:tcPr>
          <w:p w14:paraId="25D867EB">
            <w:pPr>
              <w:jc w:val="center"/>
              <w:rPr>
                <w:rFonts w:ascii="宋体" w:hAnsi="宋体" w:cs="宋体"/>
                <w:color w:val="auto"/>
                <w:szCs w:val="21"/>
                <w:highlight w:val="none"/>
              </w:rPr>
            </w:pPr>
            <w:r>
              <w:rPr>
                <w:rFonts w:hint="eastAsia" w:ascii="宋体" w:hAnsi="宋体" w:cs="宋体"/>
                <w:color w:val="auto"/>
                <w:szCs w:val="21"/>
                <w:highlight w:val="none"/>
              </w:rPr>
              <w:t>技术部分</w:t>
            </w:r>
          </w:p>
        </w:tc>
        <w:tc>
          <w:tcPr>
            <w:tcW w:w="4453" w:type="dxa"/>
            <w:tcBorders>
              <w:top w:val="single" w:color="auto" w:sz="4" w:space="0"/>
              <w:left w:val="single" w:color="auto" w:sz="4" w:space="0"/>
              <w:bottom w:val="single" w:color="auto" w:sz="4" w:space="0"/>
              <w:right w:val="single" w:color="auto" w:sz="12" w:space="0"/>
            </w:tcBorders>
            <w:noWrap/>
            <w:vAlign w:val="center"/>
          </w:tcPr>
          <w:p w14:paraId="6E5A3083">
            <w:pPr>
              <w:jc w:val="center"/>
              <w:rPr>
                <w:rFonts w:ascii="宋体" w:hAnsi="宋体" w:cs="宋体"/>
                <w:color w:val="auto"/>
                <w:szCs w:val="21"/>
                <w:highlight w:val="none"/>
              </w:rPr>
            </w:pPr>
            <w:r>
              <w:rPr>
                <w:rFonts w:hint="eastAsia" w:ascii="宋体" w:hAnsi="宋体" w:cs="宋体"/>
                <w:color w:val="auto"/>
                <w:szCs w:val="21"/>
                <w:highlight w:val="none"/>
                <w:lang w:val="en-US" w:eastAsia="zh-CN"/>
              </w:rPr>
              <w:t>50</w:t>
            </w:r>
            <w:r>
              <w:rPr>
                <w:rFonts w:hint="eastAsia" w:ascii="宋体" w:hAnsi="宋体" w:cs="宋体"/>
                <w:color w:val="auto"/>
                <w:szCs w:val="21"/>
                <w:highlight w:val="none"/>
              </w:rPr>
              <w:t>%</w:t>
            </w:r>
          </w:p>
        </w:tc>
      </w:tr>
      <w:tr w14:paraId="3C9018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90" w:hRule="atLeast"/>
          <w:jc w:val="center"/>
        </w:trPr>
        <w:tc>
          <w:tcPr>
            <w:tcW w:w="4547" w:type="dxa"/>
            <w:tcBorders>
              <w:top w:val="single" w:color="auto" w:sz="4" w:space="0"/>
              <w:left w:val="single" w:color="auto" w:sz="12" w:space="0"/>
              <w:bottom w:val="single" w:color="auto" w:sz="4" w:space="0"/>
              <w:right w:val="single" w:color="auto" w:sz="4" w:space="0"/>
            </w:tcBorders>
            <w:noWrap/>
            <w:vAlign w:val="center"/>
          </w:tcPr>
          <w:p w14:paraId="05E4D287">
            <w:pPr>
              <w:jc w:val="center"/>
              <w:rPr>
                <w:rFonts w:ascii="宋体" w:hAnsi="宋体" w:cs="宋体"/>
                <w:color w:val="auto"/>
                <w:szCs w:val="21"/>
                <w:highlight w:val="none"/>
              </w:rPr>
            </w:pPr>
            <w:r>
              <w:rPr>
                <w:rFonts w:hint="eastAsia" w:ascii="宋体" w:hAnsi="宋体" w:cs="宋体"/>
                <w:color w:val="auto"/>
                <w:szCs w:val="21"/>
                <w:highlight w:val="none"/>
              </w:rPr>
              <w:t>商务部分</w:t>
            </w:r>
          </w:p>
        </w:tc>
        <w:tc>
          <w:tcPr>
            <w:tcW w:w="4453" w:type="dxa"/>
            <w:tcBorders>
              <w:top w:val="single" w:color="auto" w:sz="4" w:space="0"/>
              <w:left w:val="single" w:color="auto" w:sz="4" w:space="0"/>
              <w:bottom w:val="single" w:color="auto" w:sz="4" w:space="0"/>
              <w:right w:val="single" w:color="auto" w:sz="12" w:space="0"/>
            </w:tcBorders>
            <w:noWrap/>
            <w:vAlign w:val="center"/>
          </w:tcPr>
          <w:p w14:paraId="12DA9653">
            <w:pPr>
              <w:jc w:val="center"/>
              <w:rPr>
                <w:rFonts w:ascii="宋体" w:hAnsi="宋体" w:cs="宋体"/>
                <w:color w:val="auto"/>
                <w:szCs w:val="21"/>
                <w:highlight w:val="none"/>
              </w:rPr>
            </w:pP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w:t>
            </w:r>
          </w:p>
        </w:tc>
      </w:tr>
      <w:tr w14:paraId="079509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4547" w:type="dxa"/>
            <w:tcBorders>
              <w:top w:val="single" w:color="auto" w:sz="4" w:space="0"/>
              <w:left w:val="single" w:color="auto" w:sz="12" w:space="0"/>
              <w:bottom w:val="single" w:color="auto" w:sz="12" w:space="0"/>
              <w:right w:val="single" w:color="auto" w:sz="4" w:space="0"/>
            </w:tcBorders>
            <w:noWrap/>
            <w:vAlign w:val="center"/>
          </w:tcPr>
          <w:p w14:paraId="5BAE9BA4">
            <w:pPr>
              <w:jc w:val="center"/>
              <w:rPr>
                <w:rFonts w:ascii="宋体" w:hAnsi="宋体" w:cs="宋体"/>
                <w:color w:val="auto"/>
                <w:szCs w:val="21"/>
                <w:highlight w:val="none"/>
              </w:rPr>
            </w:pPr>
            <w:r>
              <w:rPr>
                <w:rFonts w:hint="eastAsia" w:ascii="宋体" w:hAnsi="宋体" w:cs="宋体"/>
                <w:color w:val="auto"/>
                <w:szCs w:val="21"/>
                <w:highlight w:val="none"/>
              </w:rPr>
              <w:t>价格部分</w:t>
            </w:r>
          </w:p>
        </w:tc>
        <w:tc>
          <w:tcPr>
            <w:tcW w:w="4453" w:type="dxa"/>
            <w:tcBorders>
              <w:top w:val="single" w:color="auto" w:sz="4" w:space="0"/>
              <w:left w:val="single" w:color="auto" w:sz="4" w:space="0"/>
              <w:bottom w:val="single" w:color="auto" w:sz="12" w:space="0"/>
              <w:right w:val="single" w:color="auto" w:sz="12" w:space="0"/>
            </w:tcBorders>
            <w:noWrap/>
            <w:vAlign w:val="center"/>
          </w:tcPr>
          <w:p w14:paraId="1D321990">
            <w:pPr>
              <w:jc w:val="center"/>
              <w:rPr>
                <w:rFonts w:ascii="宋体" w:hAnsi="宋体" w:cs="宋体"/>
                <w:color w:val="auto"/>
                <w:szCs w:val="21"/>
                <w:highlight w:val="none"/>
              </w:rPr>
            </w:pP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w:t>
            </w:r>
          </w:p>
        </w:tc>
      </w:tr>
    </w:tbl>
    <w:p w14:paraId="4A8718AB">
      <w:pPr>
        <w:adjustRightInd w:val="0"/>
        <w:snapToGrid w:val="0"/>
        <w:spacing w:beforeLines="50" w:line="360" w:lineRule="auto"/>
        <w:jc w:val="center"/>
        <w:rPr>
          <w:rFonts w:ascii="黑体" w:hAnsi="黑体" w:eastAsia="黑体"/>
          <w:b/>
          <w:sz w:val="28"/>
          <w:szCs w:val="28"/>
          <w:highlight w:val="none"/>
        </w:rPr>
      </w:pPr>
    </w:p>
    <w:p w14:paraId="71A1A682">
      <w:pPr>
        <w:rPr>
          <w:rFonts w:hint="eastAsia" w:ascii="黑体" w:hAnsi="黑体" w:eastAsia="黑体"/>
          <w:b/>
          <w:sz w:val="28"/>
          <w:szCs w:val="28"/>
          <w:highlight w:val="none"/>
          <w:lang w:val="en-US" w:eastAsia="zh-CN"/>
        </w:rPr>
      </w:pPr>
      <w:r>
        <w:rPr>
          <w:rFonts w:hint="eastAsia" w:ascii="黑体" w:hAnsi="黑体" w:eastAsia="黑体"/>
          <w:b/>
          <w:sz w:val="28"/>
          <w:szCs w:val="28"/>
          <w:highlight w:val="none"/>
          <w:lang w:val="en-US" w:eastAsia="zh-CN"/>
        </w:rPr>
        <w:br w:type="page"/>
      </w:r>
    </w:p>
    <w:p w14:paraId="1637AA04">
      <w:pPr>
        <w:adjustRightInd w:val="0"/>
        <w:snapToGrid w:val="0"/>
        <w:spacing w:beforeLines="50" w:line="360" w:lineRule="auto"/>
        <w:jc w:val="center"/>
        <w:rPr>
          <w:rFonts w:hint="eastAsia" w:ascii="黑体" w:hAnsi="黑体" w:eastAsia="黑体"/>
          <w:b/>
          <w:sz w:val="28"/>
          <w:szCs w:val="28"/>
          <w:highlight w:val="none"/>
        </w:rPr>
      </w:pPr>
      <w:r>
        <w:rPr>
          <w:rFonts w:hint="eastAsia" w:ascii="黑体" w:hAnsi="黑体" w:eastAsia="黑体"/>
          <w:b/>
          <w:sz w:val="28"/>
          <w:szCs w:val="28"/>
          <w:highlight w:val="none"/>
          <w:lang w:val="en-US" w:eastAsia="zh-CN"/>
        </w:rPr>
        <w:t>包1</w:t>
      </w:r>
      <w:r>
        <w:rPr>
          <w:rFonts w:hint="eastAsia" w:ascii="黑体" w:hAnsi="黑体" w:eastAsia="黑体"/>
          <w:b/>
          <w:sz w:val="28"/>
          <w:szCs w:val="28"/>
          <w:highlight w:val="none"/>
        </w:rPr>
        <w:t>评标方法及标准</w:t>
      </w:r>
    </w:p>
    <w:tbl>
      <w:tblPr>
        <w:tblStyle w:val="45"/>
        <w:tblW w:w="925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99"/>
        <w:gridCol w:w="1268"/>
        <w:gridCol w:w="1295"/>
        <w:gridCol w:w="6090"/>
      </w:tblGrid>
      <w:tr w14:paraId="228335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00" w:hRule="atLeast"/>
          <w:jc w:val="center"/>
        </w:trPr>
        <w:tc>
          <w:tcPr>
            <w:tcW w:w="599" w:type="dxa"/>
            <w:tcBorders>
              <w:right w:val="single" w:color="auto" w:sz="4" w:space="0"/>
            </w:tcBorders>
            <w:vAlign w:val="center"/>
          </w:tcPr>
          <w:p w14:paraId="2E51FB62">
            <w:pPr>
              <w:adjustRightInd w:val="0"/>
              <w:snapToGrid w:val="0"/>
              <w:spacing w:beforeLines="50" w:line="360" w:lineRule="auto"/>
              <w:jc w:val="center"/>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序号</w:t>
            </w:r>
          </w:p>
        </w:tc>
        <w:tc>
          <w:tcPr>
            <w:tcW w:w="2563" w:type="dxa"/>
            <w:gridSpan w:val="2"/>
            <w:tcBorders>
              <w:left w:val="single" w:color="auto" w:sz="4" w:space="0"/>
              <w:right w:val="single" w:color="auto" w:sz="4" w:space="0"/>
            </w:tcBorders>
            <w:vAlign w:val="center"/>
          </w:tcPr>
          <w:p w14:paraId="54B196E7">
            <w:pPr>
              <w:adjustRightInd w:val="0"/>
              <w:snapToGrid w:val="0"/>
              <w:spacing w:beforeLines="50" w:line="360" w:lineRule="auto"/>
              <w:jc w:val="center"/>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评标因素（分值）</w:t>
            </w:r>
          </w:p>
        </w:tc>
        <w:tc>
          <w:tcPr>
            <w:tcW w:w="6090" w:type="dxa"/>
            <w:tcBorders>
              <w:left w:val="single" w:color="auto" w:sz="4" w:space="0"/>
            </w:tcBorders>
            <w:vAlign w:val="center"/>
          </w:tcPr>
          <w:p w14:paraId="71F79222">
            <w:pPr>
              <w:adjustRightInd w:val="0"/>
              <w:snapToGrid w:val="0"/>
              <w:spacing w:beforeLines="50" w:line="360" w:lineRule="auto"/>
              <w:jc w:val="center"/>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评标标准</w:t>
            </w:r>
          </w:p>
        </w:tc>
      </w:tr>
      <w:tr w14:paraId="4747CC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99" w:type="dxa"/>
            <w:tcBorders>
              <w:right w:val="single" w:color="auto" w:sz="4" w:space="0"/>
            </w:tcBorders>
            <w:vAlign w:val="center"/>
          </w:tcPr>
          <w:p w14:paraId="7C04D991">
            <w:pPr>
              <w:adjustRightInd w:val="0"/>
              <w:snapToGrid w:val="0"/>
              <w:spacing w:beforeLines="50" w:line="360" w:lineRule="auto"/>
              <w:jc w:val="center"/>
              <w:rPr>
                <w:rFonts w:asciiTheme="minorEastAsia" w:hAnsiTheme="minorEastAsia" w:eastAsiaTheme="minorEastAsia"/>
                <w:b/>
                <w:szCs w:val="21"/>
                <w:highlight w:val="none"/>
              </w:rPr>
            </w:pPr>
            <w:r>
              <w:rPr>
                <w:rFonts w:hint="eastAsia" w:asciiTheme="minorEastAsia" w:hAnsiTheme="minorEastAsia" w:eastAsiaTheme="minorEastAsia"/>
                <w:b w:val="0"/>
                <w:bCs/>
                <w:szCs w:val="21"/>
                <w:highlight w:val="none"/>
              </w:rPr>
              <w:t>1</w:t>
            </w:r>
          </w:p>
        </w:tc>
        <w:tc>
          <w:tcPr>
            <w:tcW w:w="2563" w:type="dxa"/>
            <w:gridSpan w:val="2"/>
            <w:tcBorders>
              <w:left w:val="single" w:color="auto" w:sz="4" w:space="0"/>
              <w:right w:val="single" w:color="auto" w:sz="4" w:space="0"/>
            </w:tcBorders>
            <w:vAlign w:val="center"/>
          </w:tcPr>
          <w:p w14:paraId="1B11A770">
            <w:pPr>
              <w:adjustRightInd w:val="0"/>
              <w:snapToGrid w:val="0"/>
              <w:spacing w:beforeLines="50" w:line="360" w:lineRule="auto"/>
              <w:jc w:val="center"/>
              <w:rPr>
                <w:rFonts w:hint="eastAsia"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价格评价项</w:t>
            </w:r>
          </w:p>
          <w:p w14:paraId="73503F29">
            <w:pPr>
              <w:adjustRightInd w:val="0"/>
              <w:snapToGrid w:val="0"/>
              <w:spacing w:beforeLines="50" w:line="360" w:lineRule="auto"/>
              <w:jc w:val="center"/>
              <w:rPr>
                <w:rFonts w:hint="eastAsia" w:asciiTheme="minorEastAsia" w:hAnsiTheme="minorEastAsia" w:eastAsiaTheme="minorEastAsia"/>
                <w:b/>
                <w:szCs w:val="21"/>
                <w:highlight w:val="none"/>
                <w:lang w:eastAsia="zh-CN"/>
              </w:rPr>
            </w:pPr>
            <w:r>
              <w:rPr>
                <w:rFonts w:hint="eastAsia" w:asciiTheme="minorEastAsia" w:hAnsiTheme="minorEastAsia" w:eastAsiaTheme="minorEastAsia"/>
                <w:b w:val="0"/>
                <w:bCs/>
                <w:szCs w:val="21"/>
                <w:highlight w:val="none"/>
                <w:lang w:eastAsia="zh-CN"/>
              </w:rPr>
              <w:t>（</w:t>
            </w:r>
            <w:r>
              <w:rPr>
                <w:rFonts w:hint="eastAsia" w:asciiTheme="minorEastAsia" w:hAnsiTheme="minorEastAsia" w:eastAsiaTheme="minorEastAsia"/>
                <w:b w:val="0"/>
                <w:bCs/>
                <w:szCs w:val="21"/>
                <w:highlight w:val="none"/>
                <w:lang w:val="en-US" w:eastAsia="zh-CN"/>
              </w:rPr>
              <w:t>100分</w:t>
            </w:r>
            <w:r>
              <w:rPr>
                <w:rFonts w:hint="eastAsia" w:asciiTheme="minorEastAsia" w:hAnsiTheme="minorEastAsia" w:eastAsiaTheme="minorEastAsia"/>
                <w:b w:val="0"/>
                <w:bCs/>
                <w:szCs w:val="21"/>
                <w:highlight w:val="none"/>
                <w:lang w:eastAsia="zh-CN"/>
              </w:rPr>
              <w:t>）</w:t>
            </w:r>
          </w:p>
        </w:tc>
        <w:tc>
          <w:tcPr>
            <w:tcW w:w="6090" w:type="dxa"/>
            <w:tcBorders>
              <w:left w:val="single" w:color="auto" w:sz="4" w:space="0"/>
            </w:tcBorders>
            <w:vAlign w:val="center"/>
          </w:tcPr>
          <w:p w14:paraId="280045D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lang w:val="en-US" w:eastAsia="zh-CN"/>
                <w14:textFill>
                  <w14:solidFill>
                    <w14:schemeClr w14:val="tx1"/>
                  </w14:solidFill>
                </w14:textFill>
              </w:rPr>
              <w:t>一、</w:t>
            </w:r>
            <w:r>
              <w:rPr>
                <w:rFonts w:hint="eastAsia" w:ascii="宋体" w:hAnsi="宋体"/>
                <w:color w:val="000000" w:themeColor="text1"/>
                <w:szCs w:val="21"/>
                <w:highlight w:val="none"/>
                <w14:textFill>
                  <w14:solidFill>
                    <w14:schemeClr w14:val="tx1"/>
                  </w14:solidFill>
                </w14:textFill>
              </w:rPr>
              <w:t>以经评委会一致认定满足招标文件要求且投标价格最低的投标报价为评标基准价，其价格得分计100分。其他投标人的价格得分统一按公式计算：报价得分</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评标基准价÷投标报价×价格权重</w:t>
            </w:r>
          </w:p>
          <w:p w14:paraId="6DFEA335">
            <w:pPr>
              <w:spacing w:line="360" w:lineRule="auto"/>
              <w:rPr>
                <w:rFonts w:hint="eastAsia" w:ascii="宋体" w:hAnsi="宋体" w:eastAsia="宋体" w:cs="Times New Roman"/>
                <w:color w:val="000000" w:themeColor="text1"/>
                <w:szCs w:val="21"/>
                <w:highlight w:val="none"/>
                <w:lang w:eastAsia="zh-CN"/>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二、</w:t>
            </w:r>
            <w:r>
              <w:rPr>
                <w:rFonts w:hint="eastAsia" w:ascii="宋体" w:hAnsi="宋体" w:eastAsia="宋体" w:cs="Times New Roman"/>
                <w:color w:val="000000" w:themeColor="text1"/>
                <w:szCs w:val="21"/>
                <w:highlight w:val="none"/>
                <w14:textFill>
                  <w14:solidFill>
                    <w14:schemeClr w14:val="tx1"/>
                  </w14:solidFill>
                </w14:textFill>
              </w:rPr>
              <w:t>参照</w:t>
            </w:r>
            <w:r>
              <w:rPr>
                <w:rFonts w:hint="eastAsia" w:ascii="宋体" w:hAnsi="宋体" w:eastAsia="宋体" w:cs="Times New Roman"/>
                <w:color w:val="000000" w:themeColor="text1"/>
                <w:szCs w:val="21"/>
                <w:highlight w:val="none"/>
                <w:lang w:eastAsia="zh-CN"/>
                <w14:textFill>
                  <w14:solidFill>
                    <w14:schemeClr w14:val="tx1"/>
                  </w14:solidFill>
                </w14:textFill>
              </w:rPr>
              <w:t>《关于推动解决政府采购异常低价问题的通知》（财库〔2026〕2号）</w:t>
            </w:r>
            <w:r>
              <w:rPr>
                <w:rFonts w:hint="eastAsia" w:ascii="宋体" w:hAnsi="宋体" w:eastAsia="宋体" w:cs="Times New Roman"/>
                <w:color w:val="000000" w:themeColor="text1"/>
                <w:szCs w:val="21"/>
                <w:highlight w:val="none"/>
                <w14:textFill>
                  <w14:solidFill>
                    <w14:schemeClr w14:val="tx1"/>
                  </w14:solidFill>
                </w14:textFill>
              </w:rPr>
              <w:t>第的规定</w:t>
            </w:r>
            <w:r>
              <w:rPr>
                <w:rFonts w:hint="eastAsia" w:ascii="宋体" w:hAnsi="宋体" w:eastAsia="宋体" w:cs="Times New Roman"/>
                <w:color w:val="000000" w:themeColor="text1"/>
                <w:szCs w:val="21"/>
                <w:highlight w:val="none"/>
                <w:lang w:eastAsia="zh-CN"/>
                <w14:textFill>
                  <w14:solidFill>
                    <w14:schemeClr w14:val="tx1"/>
                  </w14:solidFill>
                </w14:textFill>
              </w:rPr>
              <w:t>：</w:t>
            </w:r>
          </w:p>
          <w:p w14:paraId="3B21462B">
            <w:pPr>
              <w:spacing w:line="360" w:lineRule="auto"/>
              <w:rPr>
                <w:rFonts w:hint="eastAsia" w:ascii="宋体" w:hAnsi="宋体" w:eastAsia="宋体" w:cs="Times New Roman"/>
                <w:b/>
                <w:bCs/>
                <w:color w:val="000000" w:themeColor="text1"/>
                <w:szCs w:val="21"/>
                <w:highlight w:val="none"/>
                <w14:textFill>
                  <w14:solidFill>
                    <w14:schemeClr w14:val="tx1"/>
                  </w14:solidFill>
                </w14:textFill>
              </w:rPr>
            </w:pPr>
            <w:r>
              <w:rPr>
                <w:rFonts w:hint="eastAsia" w:ascii="宋体" w:hAnsi="宋体" w:eastAsia="宋体" w:cs="Times New Roman"/>
                <w:b/>
                <w:bCs/>
                <w:color w:val="000000" w:themeColor="text1"/>
                <w:szCs w:val="21"/>
                <w:highlight w:val="none"/>
                <w14:textFill>
                  <w14:solidFill>
                    <w14:schemeClr w14:val="tx1"/>
                  </w14:solidFill>
                </w14:textFill>
              </w:rPr>
              <w:t>政府采购评审中出现下列情形之一的，评审委员会应当启动异常低价投标（响应）审查程序：</w:t>
            </w:r>
          </w:p>
          <w:p w14:paraId="4D011C53">
            <w:pPr>
              <w:spacing w:line="360" w:lineRule="auto"/>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1.投标（响应）报价低于全部通过符合性审查供应商投标（响应）报价平均值50%的，即投标（响应）报价&lt;全部通过符合性审查供应商投标（响应）报价平均值×50%；</w:t>
            </w:r>
          </w:p>
          <w:p w14:paraId="5119F37E">
            <w:pPr>
              <w:spacing w:line="360" w:lineRule="auto"/>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2.投标（响应）报价低于通过符合性审查的次低报价供应商投标（响应）报价50%的，即投标（响应）报价&lt;通过符合性审查的次低报价供应商投标（响应）报价×50%；</w:t>
            </w:r>
          </w:p>
          <w:p w14:paraId="196B87B1">
            <w:pPr>
              <w:spacing w:line="360" w:lineRule="auto"/>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3.投标（响应）报价低于采购项目最高限价45%的，即投标（响应）报价&lt;采购项目最高限价×45%；</w:t>
            </w:r>
          </w:p>
          <w:p w14:paraId="6F7CD862">
            <w:pPr>
              <w:spacing w:line="360" w:lineRule="auto"/>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4.评审委员会基于专业判断，认为供应商报价过低，有可能影响产品质量或者不能诚信履约的其他情形。</w:t>
            </w:r>
          </w:p>
          <w:p w14:paraId="771653E1">
            <w:pPr>
              <w:spacing w:line="360" w:lineRule="auto"/>
              <w:rPr>
                <w:rFonts w:hint="eastAsia" w:ascii="宋体" w:hAnsi="宋体" w:eastAsia="宋体" w:cs="Times New Roman"/>
                <w:color w:val="000000" w:themeColor="text1"/>
                <w:szCs w:val="21"/>
                <w:highlight w:val="none"/>
                <w:lang w:val="en-US" w:eastAsia="zh-CN"/>
                <w14:textFill>
                  <w14:solidFill>
                    <w14:schemeClr w14:val="tx1"/>
                  </w14:solidFill>
                </w14:textFill>
              </w:rPr>
            </w:pPr>
            <w:r>
              <w:rPr>
                <w:rFonts w:hint="eastAsia" w:ascii="宋体" w:hAnsi="宋体" w:eastAsia="宋体" w:cs="Times New Roman"/>
                <w:color w:val="000000" w:themeColor="text1"/>
                <w:szCs w:val="21"/>
                <w:highlight w:val="none"/>
                <w:lang w:val="en-US" w:eastAsia="zh-CN"/>
                <w14:textFill>
                  <w14:solidFill>
                    <w14:schemeClr w14:val="tx1"/>
                  </w14:solidFill>
                </w14:textFill>
              </w:rPr>
              <w:t>三、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3988321">
            <w:pPr>
              <w:spacing w:line="360" w:lineRule="auto"/>
              <w:ind w:firstLine="420" w:firstLineChars="200"/>
              <w:rPr>
                <w:rFonts w:hint="eastAsia"/>
              </w:rPr>
            </w:pPr>
            <w:r>
              <w:rPr>
                <w:rFonts w:hint="eastAsia" w:ascii="宋体" w:hAnsi="宋体" w:eastAsia="宋体" w:cs="Times New Roman"/>
                <w:color w:val="000000" w:themeColor="text1"/>
                <w:szCs w:val="21"/>
                <w:highlight w:val="none"/>
                <w:lang w:val="en-US" w:eastAsia="zh-CN"/>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432B15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70" w:hRule="atLeast"/>
          <w:jc w:val="center"/>
        </w:trPr>
        <w:tc>
          <w:tcPr>
            <w:tcW w:w="599" w:type="dxa"/>
            <w:vMerge w:val="restart"/>
            <w:tcBorders>
              <w:right w:val="single" w:color="auto" w:sz="4" w:space="0"/>
            </w:tcBorders>
            <w:vAlign w:val="center"/>
          </w:tcPr>
          <w:p w14:paraId="7D65C0DF">
            <w:pPr>
              <w:adjustRightInd w:val="0"/>
              <w:snapToGrid w:val="0"/>
              <w:spacing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w:t>
            </w:r>
          </w:p>
        </w:tc>
        <w:tc>
          <w:tcPr>
            <w:tcW w:w="1268" w:type="dxa"/>
            <w:vMerge w:val="restart"/>
            <w:tcBorders>
              <w:left w:val="single" w:color="auto" w:sz="4" w:space="0"/>
            </w:tcBorders>
            <w:vAlign w:val="center"/>
          </w:tcPr>
          <w:p w14:paraId="73B4B271">
            <w:pPr>
              <w:adjustRightInd w:val="0"/>
              <w:snapToGrid w:val="0"/>
              <w:spacing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技术评价项（100</w:t>
            </w:r>
            <w:r>
              <w:rPr>
                <w:rFonts w:hint="eastAsia" w:asciiTheme="minorEastAsia" w:hAnsiTheme="minorEastAsia" w:eastAsiaTheme="minorEastAsia"/>
                <w:szCs w:val="21"/>
                <w:highlight w:val="none"/>
                <w:lang w:val="en-US" w:eastAsia="zh-CN"/>
              </w:rPr>
              <w:t>分</w:t>
            </w:r>
            <w:r>
              <w:rPr>
                <w:rFonts w:hint="eastAsia" w:asciiTheme="minorEastAsia" w:hAnsiTheme="minorEastAsia" w:eastAsiaTheme="minorEastAsia"/>
                <w:szCs w:val="21"/>
                <w:highlight w:val="none"/>
              </w:rPr>
              <w:t>）</w:t>
            </w:r>
          </w:p>
        </w:tc>
        <w:tc>
          <w:tcPr>
            <w:tcW w:w="1295" w:type="dxa"/>
            <w:tcBorders>
              <w:left w:val="single" w:color="auto" w:sz="4" w:space="0"/>
            </w:tcBorders>
            <w:shd w:val="clear" w:color="auto" w:fill="auto"/>
            <w:vAlign w:val="center"/>
          </w:tcPr>
          <w:p w14:paraId="51910426">
            <w:pPr>
              <w:spacing w:line="360" w:lineRule="auto"/>
              <w:jc w:val="center"/>
              <w:rPr>
                <w:rFonts w:hint="eastAsia"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对采购需求的响应程度</w:t>
            </w:r>
          </w:p>
          <w:p w14:paraId="37B5FE12">
            <w:pPr>
              <w:widowControl w:val="0"/>
              <w:spacing w:after="120" w:line="480" w:lineRule="auto"/>
              <w:ind w:left="0" w:leftChars="0" w:firstLine="0" w:firstLineChars="0"/>
              <w:jc w:val="center"/>
              <w:rPr>
                <w:rFonts w:hint="eastAsia"/>
                <w:color w:val="auto"/>
                <w:highlight w:val="none"/>
                <w:lang w:val="en-US" w:eastAsia="zh-CN"/>
              </w:rPr>
            </w:pPr>
            <w:r>
              <w:rPr>
                <w:rFonts w:hint="eastAsia" w:ascii="Times New Roman" w:hAnsi="Times New Roman" w:eastAsia="宋体" w:cs="Times New Roman"/>
                <w:b/>
                <w:bCs/>
                <w:color w:val="auto"/>
                <w:kern w:val="2"/>
                <w:sz w:val="21"/>
                <w:szCs w:val="24"/>
                <w:highlight w:val="none"/>
                <w:lang w:val="en-US" w:eastAsia="zh-CN" w:bidi="ar-SA"/>
              </w:rPr>
              <w:t>（</w:t>
            </w:r>
            <w:r>
              <w:rPr>
                <w:rFonts w:hint="eastAsia" w:cs="Times New Roman"/>
                <w:b/>
                <w:bCs/>
                <w:color w:val="auto"/>
                <w:kern w:val="2"/>
                <w:sz w:val="21"/>
                <w:szCs w:val="24"/>
                <w:highlight w:val="none"/>
                <w:lang w:val="en-US" w:eastAsia="zh-CN" w:bidi="ar-SA"/>
              </w:rPr>
              <w:t>20</w:t>
            </w:r>
            <w:r>
              <w:rPr>
                <w:rFonts w:hint="eastAsia" w:ascii="Times New Roman" w:hAnsi="Times New Roman" w:eastAsia="宋体" w:cs="Times New Roman"/>
                <w:b/>
                <w:bCs/>
                <w:color w:val="auto"/>
                <w:kern w:val="2"/>
                <w:sz w:val="21"/>
                <w:szCs w:val="24"/>
                <w:highlight w:val="none"/>
                <w:lang w:val="en-US" w:eastAsia="zh-CN" w:bidi="ar-SA"/>
              </w:rPr>
              <w:t>分）</w:t>
            </w:r>
          </w:p>
        </w:tc>
        <w:tc>
          <w:tcPr>
            <w:tcW w:w="6090" w:type="dxa"/>
            <w:tcBorders>
              <w:bottom w:val="single" w:color="auto" w:sz="4" w:space="0"/>
            </w:tcBorders>
            <w:shd w:val="clear" w:color="auto" w:fill="auto"/>
            <w:vAlign w:val="center"/>
          </w:tcPr>
          <w:p w14:paraId="371FFA81">
            <w:pPr>
              <w:numPr>
                <w:ilvl w:val="0"/>
                <w:numId w:val="0"/>
              </w:num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Cs w:val="21"/>
                <w:highlight w:val="none"/>
              </w:rPr>
              <w:t>投标人</w:t>
            </w:r>
            <w:r>
              <w:rPr>
                <w:rFonts w:ascii="宋体" w:hAnsi="宋体" w:eastAsia="宋体" w:cs="宋体"/>
                <w:b w:val="0"/>
                <w:color w:val="auto"/>
                <w:sz w:val="21"/>
                <w:szCs w:val="24"/>
                <w:highlight w:val="none"/>
              </w:rPr>
              <w:t>完全满足招标文件“第五章 采购需求</w:t>
            </w:r>
            <w:r>
              <w:rPr>
                <w:rFonts w:hint="eastAsia" w:ascii="宋体" w:hAnsi="宋体" w:eastAsia="宋体" w:cs="宋体"/>
                <w:b w:val="0"/>
                <w:color w:val="auto"/>
                <w:sz w:val="21"/>
                <w:szCs w:val="24"/>
                <w:highlight w:val="none"/>
                <w:lang w:eastAsia="zh-CN"/>
              </w:rPr>
              <w:t>”</w:t>
            </w:r>
            <w:r>
              <w:rPr>
                <w:rFonts w:ascii="宋体" w:hAnsi="宋体" w:eastAsia="宋体" w:cs="宋体"/>
                <w:b w:val="0"/>
                <w:color w:val="auto"/>
                <w:sz w:val="21"/>
                <w:szCs w:val="24"/>
                <w:highlight w:val="none"/>
              </w:rPr>
              <w:t>的</w:t>
            </w:r>
            <w:r>
              <w:rPr>
                <w:rFonts w:hint="eastAsia" w:ascii="宋体" w:hAnsi="宋体" w:eastAsia="宋体" w:cs="宋体"/>
                <w:color w:val="auto"/>
                <w:szCs w:val="21"/>
                <w:highlight w:val="none"/>
              </w:rPr>
              <w:t>计</w:t>
            </w:r>
            <w:r>
              <w:rPr>
                <w:rFonts w:hint="eastAsia" w:ascii="宋体" w:hAnsi="宋体" w:cs="宋体"/>
                <w:color w:val="auto"/>
                <w:szCs w:val="21"/>
                <w:highlight w:val="none"/>
                <w:lang w:val="en-US" w:eastAsia="zh-CN"/>
              </w:rPr>
              <w:t>20</w:t>
            </w:r>
            <w:r>
              <w:rPr>
                <w:rFonts w:hint="eastAsia" w:ascii="宋体" w:hAnsi="宋体" w:eastAsia="宋体" w:cs="宋体"/>
                <w:color w:val="auto"/>
                <w:szCs w:val="21"/>
                <w:highlight w:val="none"/>
              </w:rPr>
              <w:t>分。</w:t>
            </w:r>
          </w:p>
          <w:p w14:paraId="046D50BA">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（2）投标人</w:t>
            </w:r>
            <w:r>
              <w:rPr>
                <w:rFonts w:hint="eastAsia" w:ascii="宋体" w:hAnsi="宋体" w:eastAsia="宋体" w:cs="宋体"/>
                <w:color w:val="auto"/>
                <w:szCs w:val="21"/>
                <w:highlight w:val="none"/>
                <w:lang w:val="en-US" w:eastAsia="zh-CN"/>
              </w:rPr>
              <w:t>不满足</w:t>
            </w:r>
            <w:r>
              <w:rPr>
                <w:rFonts w:ascii="宋体" w:hAnsi="宋体" w:eastAsia="宋体" w:cs="宋体"/>
                <w:b w:val="0"/>
                <w:color w:val="auto"/>
                <w:sz w:val="21"/>
                <w:szCs w:val="24"/>
                <w:highlight w:val="none"/>
              </w:rPr>
              <w:t>招标文件“第五章 采购需求</w:t>
            </w:r>
            <w:r>
              <w:rPr>
                <w:rFonts w:hint="eastAsia" w:ascii="宋体" w:hAnsi="宋体" w:eastAsia="宋体" w:cs="宋体"/>
                <w:b w:val="0"/>
                <w:color w:val="auto"/>
                <w:sz w:val="21"/>
                <w:szCs w:val="24"/>
                <w:highlight w:val="none"/>
                <w:lang w:eastAsia="zh-CN"/>
              </w:rPr>
              <w:t>”</w:t>
            </w:r>
            <w:r>
              <w:rPr>
                <w:rFonts w:hint="eastAsia" w:ascii="宋体" w:hAnsi="宋体" w:eastAsia="宋体" w:cs="宋体"/>
                <w:color w:val="auto"/>
                <w:szCs w:val="21"/>
                <w:highlight w:val="none"/>
              </w:rPr>
              <w:t>带“★”</w:t>
            </w:r>
            <w:r>
              <w:rPr>
                <w:rFonts w:hint="eastAsia" w:ascii="宋体" w:hAnsi="宋体" w:eastAsia="宋体" w:cs="宋体"/>
                <w:color w:val="auto"/>
                <w:szCs w:val="21"/>
                <w:highlight w:val="none"/>
                <w:lang w:val="en-US" w:eastAsia="zh-CN"/>
              </w:rPr>
              <w:t>条款</w:t>
            </w:r>
            <w:r>
              <w:rPr>
                <w:rFonts w:hint="eastAsia" w:ascii="Times New Roman" w:hAnsi="Times New Roman" w:eastAsia="宋体" w:cs="Times New Roman"/>
                <w:color w:val="auto"/>
                <w:highlight w:val="none"/>
              </w:rPr>
              <w:t>经评标小组</w:t>
            </w:r>
            <w:r>
              <w:rPr>
                <w:rFonts w:hint="eastAsia" w:ascii="宋体" w:hAnsi="宋体" w:eastAsia="宋体" w:cs="宋体"/>
                <w:color w:val="auto"/>
                <w:szCs w:val="21"/>
                <w:highlight w:val="none"/>
              </w:rPr>
              <w:t>审定对每一处负偏离</w:t>
            </w:r>
            <w:r>
              <w:rPr>
                <w:rFonts w:hint="eastAsia" w:ascii="宋体" w:hAnsi="宋体" w:eastAsia="宋体" w:cs="宋体"/>
                <w:color w:val="auto"/>
                <w:szCs w:val="21"/>
                <w:highlight w:val="none"/>
                <w:lang w:val="en-US" w:eastAsia="zh-CN"/>
              </w:rPr>
              <w:t>视为无效投标</w:t>
            </w:r>
            <w:r>
              <w:rPr>
                <w:rFonts w:hint="eastAsia" w:ascii="宋体" w:hAnsi="宋体" w:eastAsia="宋体" w:cs="宋体"/>
                <w:color w:val="auto"/>
                <w:szCs w:val="21"/>
                <w:highlight w:val="none"/>
              </w:rPr>
              <w:t>；</w:t>
            </w:r>
          </w:p>
          <w:p w14:paraId="29C82ED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（3）投标人其他</w:t>
            </w:r>
            <w:r>
              <w:rPr>
                <w:rFonts w:hint="eastAsia" w:ascii="宋体" w:hAnsi="宋体" w:eastAsia="宋体" w:cs="宋体"/>
                <w:color w:val="auto"/>
                <w:szCs w:val="21"/>
                <w:highlight w:val="none"/>
                <w:lang w:val="en-US" w:eastAsia="zh-CN"/>
              </w:rPr>
              <w:t>条款</w:t>
            </w:r>
            <w:r>
              <w:rPr>
                <w:rFonts w:hint="eastAsia" w:ascii="宋体" w:hAnsi="宋体" w:eastAsia="宋体" w:cs="宋体"/>
                <w:color w:val="auto"/>
                <w:szCs w:val="21"/>
                <w:highlight w:val="none"/>
              </w:rPr>
              <w:t>负偏离</w:t>
            </w:r>
            <w:r>
              <w:rPr>
                <w:rFonts w:hint="eastAsia" w:ascii="Times New Roman" w:hAnsi="Times New Roman" w:eastAsia="宋体" w:cs="Times New Roman"/>
                <w:color w:val="auto"/>
                <w:highlight w:val="none"/>
              </w:rPr>
              <w:t>经评标小组</w:t>
            </w:r>
            <w:r>
              <w:rPr>
                <w:rFonts w:hint="eastAsia" w:ascii="宋体" w:hAnsi="宋体" w:eastAsia="宋体" w:cs="宋体"/>
                <w:color w:val="auto"/>
                <w:szCs w:val="21"/>
                <w:highlight w:val="none"/>
              </w:rPr>
              <w:t>审定对每一处负偏离扣</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分，扣完为止。</w:t>
            </w:r>
          </w:p>
          <w:p w14:paraId="323E1E87">
            <w:pPr>
              <w:spacing w:line="360" w:lineRule="auto"/>
              <w:rPr>
                <w:rFonts w:hint="eastAsia" w:ascii="宋体" w:hAnsi="宋体" w:eastAsia="宋体" w:cs="Times New Roman"/>
                <w:b w:val="0"/>
                <w:bCs w:val="0"/>
                <w:color w:val="auto"/>
                <w:kern w:val="2"/>
                <w:sz w:val="21"/>
                <w:szCs w:val="21"/>
                <w:highlight w:val="none"/>
                <w:lang w:val="en-US" w:eastAsia="zh-CN" w:bidi="ar-SA"/>
              </w:rPr>
            </w:pPr>
            <w:r>
              <w:rPr>
                <w:rFonts w:hint="eastAsia" w:ascii="宋体" w:hAnsi="宋体" w:eastAsia="宋体" w:cs="宋体"/>
                <w:b/>
                <w:bCs/>
                <w:color w:val="auto"/>
                <w:szCs w:val="21"/>
                <w:highlight w:val="none"/>
              </w:rPr>
              <w:t>注：负偏离包括但不限于:缺项、漏项、</w:t>
            </w:r>
            <w:r>
              <w:rPr>
                <w:rFonts w:hint="eastAsia" w:ascii="宋体" w:hAnsi="宋体" w:eastAsia="宋体" w:cs="宋体"/>
                <w:b/>
                <w:bCs/>
                <w:color w:val="auto"/>
                <w:szCs w:val="21"/>
                <w:highlight w:val="none"/>
                <w:lang w:val="en-US" w:eastAsia="zh-CN"/>
              </w:rPr>
              <w:t>服务</w:t>
            </w:r>
            <w:r>
              <w:rPr>
                <w:rFonts w:hint="eastAsia" w:ascii="宋体" w:hAnsi="宋体" w:eastAsia="宋体" w:cs="宋体"/>
                <w:b/>
                <w:bCs/>
                <w:color w:val="auto"/>
                <w:szCs w:val="21"/>
                <w:highlight w:val="none"/>
              </w:rPr>
              <w:t>不明确等。</w:t>
            </w:r>
            <w:r>
              <w:rPr>
                <w:rFonts w:hint="eastAsia" w:ascii="宋体" w:hAnsi="宋体" w:eastAsia="宋体" w:cs="宋体"/>
                <w:b/>
                <w:bCs/>
                <w:color w:val="auto"/>
                <w:szCs w:val="21"/>
                <w:highlight w:val="none"/>
                <w:lang w:val="en-US" w:eastAsia="zh-CN"/>
              </w:rPr>
              <w:t>相同内容的条款不重复计算。</w:t>
            </w:r>
          </w:p>
        </w:tc>
      </w:tr>
      <w:tr w14:paraId="4535F0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984" w:hRule="atLeast"/>
          <w:jc w:val="center"/>
        </w:trPr>
        <w:tc>
          <w:tcPr>
            <w:tcW w:w="599" w:type="dxa"/>
            <w:vMerge w:val="continue"/>
            <w:tcBorders>
              <w:right w:val="single" w:color="auto" w:sz="4" w:space="0"/>
            </w:tcBorders>
            <w:vAlign w:val="center"/>
          </w:tcPr>
          <w:p w14:paraId="7B4C2CC7">
            <w:pPr>
              <w:adjustRightInd w:val="0"/>
              <w:snapToGrid w:val="0"/>
              <w:spacing w:beforeLines="50" w:line="360" w:lineRule="auto"/>
              <w:jc w:val="center"/>
              <w:rPr>
                <w:rFonts w:hint="eastAsia" w:asciiTheme="minorEastAsia" w:hAnsiTheme="minorEastAsia" w:eastAsiaTheme="minorEastAsia"/>
                <w:szCs w:val="21"/>
                <w:highlight w:val="none"/>
              </w:rPr>
            </w:pPr>
          </w:p>
        </w:tc>
        <w:tc>
          <w:tcPr>
            <w:tcW w:w="1268" w:type="dxa"/>
            <w:vMerge w:val="continue"/>
            <w:tcBorders>
              <w:left w:val="single" w:color="auto" w:sz="4" w:space="0"/>
            </w:tcBorders>
            <w:vAlign w:val="center"/>
          </w:tcPr>
          <w:p w14:paraId="257FE702">
            <w:pPr>
              <w:adjustRightInd w:val="0"/>
              <w:snapToGrid w:val="0"/>
              <w:spacing w:beforeLines="50" w:line="360" w:lineRule="auto"/>
              <w:jc w:val="center"/>
              <w:rPr>
                <w:rFonts w:hint="eastAsia" w:asciiTheme="minorEastAsia" w:hAnsiTheme="minorEastAsia" w:eastAsiaTheme="minorEastAsia"/>
                <w:szCs w:val="21"/>
                <w:highlight w:val="none"/>
              </w:rPr>
            </w:pPr>
          </w:p>
        </w:tc>
        <w:tc>
          <w:tcPr>
            <w:tcW w:w="1295" w:type="dxa"/>
            <w:tcBorders>
              <w:left w:val="single" w:color="auto" w:sz="4" w:space="0"/>
            </w:tcBorders>
            <w:shd w:val="clear" w:color="auto" w:fill="auto"/>
            <w:vAlign w:val="center"/>
          </w:tcPr>
          <w:p w14:paraId="2551C5CD">
            <w:pPr>
              <w:spacing w:line="360" w:lineRule="auto"/>
              <w:jc w:val="center"/>
              <w:rPr>
                <w:rFonts w:hint="eastAsia"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维保托管服务方案</w:t>
            </w:r>
          </w:p>
          <w:p w14:paraId="705B77D0">
            <w:pPr>
              <w:spacing w:line="360" w:lineRule="auto"/>
              <w:jc w:val="center"/>
              <w:rPr>
                <w:rFonts w:hint="default"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w:t>
            </w:r>
            <w:r>
              <w:rPr>
                <w:rFonts w:hint="eastAsia" w:cs="Times New Roman"/>
                <w:b/>
                <w:bCs/>
                <w:color w:val="auto"/>
                <w:highlight w:val="none"/>
                <w:lang w:val="en-US" w:eastAsia="zh-CN"/>
              </w:rPr>
              <w:t>3</w:t>
            </w:r>
            <w:r>
              <w:rPr>
                <w:rFonts w:hint="eastAsia" w:ascii="Times New Roman" w:hAnsi="Times New Roman" w:eastAsia="宋体" w:cs="Times New Roman"/>
                <w:b/>
                <w:bCs/>
                <w:color w:val="auto"/>
                <w:highlight w:val="none"/>
                <w:lang w:val="en-US" w:eastAsia="zh-CN"/>
              </w:rPr>
              <w:t>0分）</w:t>
            </w:r>
          </w:p>
        </w:tc>
        <w:tc>
          <w:tcPr>
            <w:tcW w:w="6090" w:type="dxa"/>
            <w:tcBorders>
              <w:bottom w:val="single" w:color="auto" w:sz="4" w:space="0"/>
            </w:tcBorders>
            <w:shd w:val="clear" w:color="auto" w:fill="auto"/>
            <w:vAlign w:val="center"/>
          </w:tcPr>
          <w:p w14:paraId="718E1D68">
            <w:pPr>
              <w:spacing w:line="360" w:lineRule="auto"/>
              <w:rPr>
                <w:rFonts w:hint="default" w:ascii="宋体" w:hAnsi="宋体" w:eastAsia="宋体" w:cs="宋体"/>
                <w:b w:val="0"/>
                <w:color w:val="auto"/>
                <w:sz w:val="21"/>
                <w:szCs w:val="24"/>
                <w:highlight w:val="none"/>
                <w:lang w:val="en-US" w:eastAsia="zh-CN"/>
              </w:rPr>
            </w:pPr>
            <w:r>
              <w:rPr>
                <w:rFonts w:hint="eastAsia" w:ascii="宋体" w:hAnsi="宋体" w:eastAsia="宋体" w:cs="宋体"/>
                <w:b w:val="0"/>
                <w:color w:val="auto"/>
                <w:sz w:val="21"/>
                <w:szCs w:val="24"/>
                <w:highlight w:val="none"/>
              </w:rPr>
              <w:t>根据投标人针对本项目制定的</w:t>
            </w:r>
            <w:r>
              <w:rPr>
                <w:rFonts w:hint="eastAsia" w:ascii="宋体" w:hAnsi="宋体" w:eastAsia="宋体" w:cs="宋体"/>
                <w:b w:val="0"/>
                <w:color w:val="auto"/>
                <w:sz w:val="21"/>
                <w:szCs w:val="24"/>
                <w:highlight w:val="none"/>
                <w:lang w:val="en-US" w:eastAsia="zh-CN"/>
              </w:rPr>
              <w:t>维保托管服务方案</w:t>
            </w:r>
            <w:r>
              <w:rPr>
                <w:rFonts w:hint="eastAsia" w:ascii="宋体" w:hAnsi="宋体" w:eastAsia="宋体" w:cs="宋体"/>
                <w:b w:val="0"/>
                <w:color w:val="auto"/>
                <w:sz w:val="21"/>
                <w:szCs w:val="24"/>
                <w:highlight w:val="none"/>
              </w:rPr>
              <w:t>，包含但不限于下列内容：①</w:t>
            </w:r>
            <w:r>
              <w:rPr>
                <w:rFonts w:hint="eastAsia" w:ascii="宋体" w:hAnsi="宋体" w:eastAsia="宋体" w:cs="宋体"/>
                <w:b w:val="0"/>
                <w:color w:val="auto"/>
                <w:sz w:val="21"/>
                <w:szCs w:val="24"/>
                <w:highlight w:val="none"/>
                <w:lang w:val="en-US" w:eastAsia="zh-CN"/>
              </w:rPr>
              <w:t>维保托管服务</w:t>
            </w:r>
            <w:r>
              <w:rPr>
                <w:rFonts w:hint="eastAsia" w:ascii="宋体" w:hAnsi="宋体" w:eastAsia="宋体" w:cs="Times New Roman"/>
                <w:color w:val="auto"/>
                <w:szCs w:val="21"/>
                <w:highlight w:val="none"/>
                <w:lang w:val="en-US" w:eastAsia="zh-CN"/>
              </w:rPr>
              <w:t>日常巡检，设备保养，设备维护</w:t>
            </w:r>
            <w:r>
              <w:rPr>
                <w:rFonts w:hint="eastAsia" w:ascii="宋体" w:hAnsi="宋体" w:eastAsia="宋体" w:cs="宋体"/>
                <w:b w:val="0"/>
                <w:color w:val="auto"/>
                <w:sz w:val="21"/>
                <w:szCs w:val="24"/>
                <w:highlight w:val="none"/>
              </w:rPr>
              <w:t>操作流程、②</w:t>
            </w:r>
            <w:r>
              <w:rPr>
                <w:rFonts w:hint="eastAsia" w:ascii="宋体" w:hAnsi="宋体" w:eastAsia="宋体" w:cs="宋体"/>
                <w:b w:val="0"/>
                <w:color w:val="auto"/>
                <w:sz w:val="21"/>
                <w:szCs w:val="24"/>
                <w:highlight w:val="none"/>
                <w:lang w:val="en-US" w:eastAsia="zh-CN"/>
              </w:rPr>
              <w:t>维保托管服务安全</w:t>
            </w:r>
            <w:r>
              <w:rPr>
                <w:rFonts w:hint="eastAsia" w:ascii="宋体" w:hAnsi="宋体" w:eastAsia="宋体" w:cs="宋体"/>
                <w:b w:val="0"/>
                <w:color w:val="auto"/>
                <w:sz w:val="21"/>
                <w:szCs w:val="24"/>
                <w:highlight w:val="none"/>
              </w:rPr>
              <w:t>保障措施</w:t>
            </w:r>
            <w:r>
              <w:rPr>
                <w:rFonts w:hint="eastAsia" w:ascii="宋体" w:hAnsi="宋体" w:eastAsia="宋体" w:cs="宋体"/>
                <w:b w:val="0"/>
                <w:color w:val="auto"/>
                <w:sz w:val="21"/>
                <w:szCs w:val="24"/>
                <w:highlight w:val="none"/>
                <w:lang w:val="en-US" w:eastAsia="zh-CN"/>
              </w:rPr>
              <w:t>及质量控制</w:t>
            </w:r>
            <w:r>
              <w:rPr>
                <w:rFonts w:hint="eastAsia" w:ascii="宋体" w:hAnsi="宋体" w:eastAsia="宋体" w:cs="宋体"/>
                <w:b w:val="0"/>
                <w:color w:val="auto"/>
                <w:sz w:val="21"/>
                <w:szCs w:val="24"/>
                <w:highlight w:val="none"/>
              </w:rPr>
              <w:t>、③</w:t>
            </w:r>
            <w:r>
              <w:rPr>
                <w:rFonts w:hint="eastAsia" w:ascii="宋体" w:hAnsi="宋体" w:eastAsia="宋体" w:cs="宋体"/>
                <w:b w:val="0"/>
                <w:color w:val="auto"/>
                <w:sz w:val="21"/>
                <w:szCs w:val="24"/>
                <w:highlight w:val="none"/>
                <w:lang w:val="en-US" w:eastAsia="zh-CN"/>
              </w:rPr>
              <w:t>维保托管服务</w:t>
            </w:r>
            <w:r>
              <w:rPr>
                <w:rFonts w:hint="eastAsia" w:ascii="宋体" w:hAnsi="宋体" w:eastAsia="宋体" w:cs="Times New Roman"/>
                <w:color w:val="auto"/>
                <w:szCs w:val="21"/>
                <w:highlight w:val="none"/>
                <w:lang w:val="en-US" w:eastAsia="zh-CN"/>
              </w:rPr>
              <w:t>人员安排及培训内容</w:t>
            </w:r>
            <w:r>
              <w:rPr>
                <w:rFonts w:hint="eastAsia" w:ascii="宋体" w:hAnsi="宋体" w:eastAsia="宋体" w:cs="宋体"/>
                <w:b w:val="0"/>
                <w:color w:val="auto"/>
                <w:sz w:val="21"/>
                <w:szCs w:val="24"/>
                <w:highlight w:val="none"/>
              </w:rPr>
              <w:t>实施办法、④</w:t>
            </w:r>
            <w:r>
              <w:rPr>
                <w:rFonts w:hint="eastAsia" w:ascii="宋体" w:hAnsi="宋体" w:eastAsia="宋体" w:cs="宋体"/>
                <w:b w:val="0"/>
                <w:color w:val="auto"/>
                <w:sz w:val="21"/>
                <w:szCs w:val="24"/>
                <w:highlight w:val="none"/>
                <w:lang w:val="en-US" w:eastAsia="zh-CN"/>
              </w:rPr>
              <w:t>维保托管服务</w:t>
            </w:r>
            <w:r>
              <w:rPr>
                <w:rFonts w:hint="eastAsia" w:ascii="宋体" w:hAnsi="宋体" w:eastAsia="宋体" w:cs="宋体"/>
                <w:b w:val="0"/>
                <w:color w:val="auto"/>
                <w:sz w:val="21"/>
                <w:szCs w:val="24"/>
                <w:highlight w:val="none"/>
              </w:rPr>
              <w:t>时间</w:t>
            </w:r>
            <w:r>
              <w:rPr>
                <w:rFonts w:hint="eastAsia" w:ascii="宋体" w:hAnsi="宋体" w:cs="宋体"/>
                <w:b w:val="0"/>
                <w:color w:val="auto"/>
                <w:sz w:val="21"/>
                <w:szCs w:val="24"/>
                <w:highlight w:val="none"/>
                <w:lang w:eastAsia="zh-CN"/>
              </w:rPr>
              <w:t>、</w:t>
            </w:r>
            <w:r>
              <w:rPr>
                <w:rFonts w:hint="eastAsia" w:ascii="仿宋" w:hAnsi="仿宋" w:eastAsia="仿宋" w:cs="仿宋"/>
                <w:b w:val="0"/>
                <w:color w:val="auto"/>
                <w:sz w:val="21"/>
                <w:szCs w:val="24"/>
                <w:highlight w:val="none"/>
                <w:lang w:eastAsia="zh-CN"/>
              </w:rPr>
              <w:t>⑤</w:t>
            </w:r>
            <w:r>
              <w:rPr>
                <w:rFonts w:hint="eastAsia" w:ascii="宋体" w:hAnsi="宋体" w:cs="宋体"/>
                <w:b w:val="0"/>
                <w:color w:val="auto"/>
                <w:sz w:val="21"/>
                <w:szCs w:val="24"/>
                <w:highlight w:val="none"/>
                <w:lang w:val="en-US" w:eastAsia="zh-CN"/>
              </w:rPr>
              <w:t>数据服务能力</w:t>
            </w:r>
            <w:r>
              <w:rPr>
                <w:rFonts w:hint="eastAsia" w:ascii="宋体" w:hAnsi="宋体" w:eastAsia="宋体" w:cs="Times New Roman"/>
                <w:color w:val="auto"/>
                <w:szCs w:val="21"/>
                <w:highlight w:val="none"/>
              </w:rPr>
              <w:t>等</w:t>
            </w:r>
            <w:r>
              <w:rPr>
                <w:rFonts w:hint="eastAsia" w:ascii="宋体" w:hAnsi="宋体" w:eastAsia="宋体" w:cs="Times New Roman"/>
                <w:color w:val="auto"/>
                <w:szCs w:val="21"/>
                <w:highlight w:val="none"/>
                <w:lang w:eastAsia="zh-CN"/>
              </w:rPr>
              <w:t>。</w:t>
            </w:r>
          </w:p>
          <w:p w14:paraId="26307E20">
            <w:pPr>
              <w:spacing w:line="360" w:lineRule="auto"/>
              <w:rPr>
                <w:rStyle w:val="47"/>
                <w:rFonts w:hint="eastAsia" w:ascii="宋体" w:hAnsi="宋体" w:eastAsia="宋体" w:cs="宋体"/>
                <w:b w:val="0"/>
                <w:color w:val="auto"/>
                <w:sz w:val="21"/>
                <w:szCs w:val="24"/>
                <w:highlight w:val="none"/>
              </w:rPr>
            </w:pPr>
            <w:r>
              <w:rPr>
                <w:rFonts w:hint="eastAsia" w:ascii="宋体" w:hAnsi="宋体" w:eastAsia="宋体" w:cs="Times New Roman"/>
                <w:color w:val="auto"/>
                <w:szCs w:val="21"/>
                <w:highlight w:val="none"/>
              </w:rPr>
              <w:t>上述方案每缺少一项内容，扣</w:t>
            </w:r>
            <w:r>
              <w:rPr>
                <w:rFonts w:hint="eastAsia" w:ascii="宋体" w:hAnsi="宋体" w:cs="Times New Roman"/>
                <w:color w:val="auto"/>
                <w:szCs w:val="21"/>
                <w:highlight w:val="none"/>
                <w:lang w:val="en-US" w:eastAsia="zh-CN"/>
              </w:rPr>
              <w:t>6</w:t>
            </w:r>
            <w:r>
              <w:rPr>
                <w:rFonts w:hint="eastAsia" w:ascii="宋体" w:hAnsi="宋体" w:eastAsia="宋体" w:cs="Times New Roman"/>
                <w:color w:val="auto"/>
                <w:szCs w:val="21"/>
                <w:highlight w:val="none"/>
              </w:rPr>
              <w:t>分；每有一处缺陷（缺陷是指非专门针对本项目或不适用项目特性的情形、内容不完整或缺少关键节点、套用其他项目方案、内容前后矛盾、涉及的规范及标准错误、不利于项目实施、不可能实现的情形等任意一种情形）的扣</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分，扣完为止。</w:t>
            </w:r>
          </w:p>
        </w:tc>
      </w:tr>
      <w:tr w14:paraId="7C3A85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599" w:type="dxa"/>
            <w:vMerge w:val="continue"/>
            <w:tcBorders>
              <w:right w:val="single" w:color="auto" w:sz="4" w:space="0"/>
            </w:tcBorders>
            <w:vAlign w:val="center"/>
          </w:tcPr>
          <w:p w14:paraId="465BF08E">
            <w:pPr>
              <w:adjustRightInd w:val="0"/>
              <w:snapToGrid w:val="0"/>
              <w:spacing w:beforeLines="50" w:line="360" w:lineRule="auto"/>
              <w:jc w:val="center"/>
              <w:rPr>
                <w:rFonts w:hint="eastAsia" w:asciiTheme="minorEastAsia" w:hAnsiTheme="minorEastAsia" w:eastAsiaTheme="minorEastAsia"/>
                <w:szCs w:val="21"/>
                <w:highlight w:val="none"/>
              </w:rPr>
            </w:pPr>
          </w:p>
        </w:tc>
        <w:tc>
          <w:tcPr>
            <w:tcW w:w="1268" w:type="dxa"/>
            <w:vMerge w:val="continue"/>
            <w:tcBorders>
              <w:left w:val="single" w:color="auto" w:sz="4" w:space="0"/>
            </w:tcBorders>
            <w:vAlign w:val="center"/>
          </w:tcPr>
          <w:p w14:paraId="2665EBDD">
            <w:pPr>
              <w:adjustRightInd w:val="0"/>
              <w:snapToGrid w:val="0"/>
              <w:spacing w:beforeLines="50" w:line="360" w:lineRule="auto"/>
              <w:jc w:val="center"/>
              <w:rPr>
                <w:rFonts w:hint="eastAsia" w:asciiTheme="minorEastAsia" w:hAnsiTheme="minorEastAsia" w:eastAsiaTheme="minorEastAsia"/>
                <w:szCs w:val="21"/>
                <w:highlight w:val="none"/>
              </w:rPr>
            </w:pPr>
          </w:p>
        </w:tc>
        <w:tc>
          <w:tcPr>
            <w:tcW w:w="1295" w:type="dxa"/>
            <w:tcBorders>
              <w:left w:val="single" w:color="auto" w:sz="4" w:space="0"/>
            </w:tcBorders>
            <w:shd w:val="clear" w:color="auto" w:fill="auto"/>
            <w:vAlign w:val="center"/>
          </w:tcPr>
          <w:p w14:paraId="105DE838">
            <w:pPr>
              <w:spacing w:line="360" w:lineRule="auto"/>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设备定位技术方案</w:t>
            </w:r>
          </w:p>
          <w:p w14:paraId="557B090F">
            <w:pPr>
              <w:spacing w:line="360" w:lineRule="auto"/>
              <w:jc w:val="center"/>
              <w:rPr>
                <w:rStyle w:val="47"/>
                <w:rFonts w:hint="eastAsia" w:ascii="宋体" w:hAnsi="宋体" w:eastAsia="宋体" w:cs="宋体"/>
                <w:b/>
                <w:bCs/>
                <w:color w:val="auto"/>
                <w:sz w:val="21"/>
                <w:szCs w:val="24"/>
                <w:highlight w:val="none"/>
                <w:lang w:eastAsia="zh-CN"/>
              </w:rPr>
            </w:pPr>
            <w:r>
              <w:rPr>
                <w:rFonts w:hint="eastAsia" w:ascii="宋体" w:hAnsi="宋体" w:eastAsia="宋体" w:cs="宋体"/>
                <w:b/>
                <w:bCs/>
                <w:color w:val="auto"/>
                <w:kern w:val="2"/>
                <w:sz w:val="21"/>
                <w:szCs w:val="21"/>
                <w:highlight w:val="none"/>
                <w:lang w:val="en-US" w:eastAsia="zh-CN" w:bidi="ar-SA"/>
              </w:rPr>
              <w:t>（2</w:t>
            </w:r>
            <w:r>
              <w:rPr>
                <w:rFonts w:hint="eastAsia" w:ascii="宋体" w:hAnsi="宋体" w:cs="宋体"/>
                <w:b/>
                <w:bCs/>
                <w:color w:val="auto"/>
                <w:kern w:val="2"/>
                <w:sz w:val="21"/>
                <w:szCs w:val="21"/>
                <w:highlight w:val="none"/>
                <w:lang w:val="en-US" w:eastAsia="zh-CN" w:bidi="ar-SA"/>
              </w:rPr>
              <w:t>0</w:t>
            </w:r>
            <w:r>
              <w:rPr>
                <w:rFonts w:hint="eastAsia" w:ascii="宋体" w:hAnsi="宋体" w:eastAsia="宋体" w:cs="宋体"/>
                <w:b/>
                <w:bCs/>
                <w:color w:val="auto"/>
                <w:kern w:val="2"/>
                <w:sz w:val="21"/>
                <w:szCs w:val="21"/>
                <w:highlight w:val="none"/>
                <w:lang w:val="en-US" w:eastAsia="zh-CN" w:bidi="ar-SA"/>
              </w:rPr>
              <w:t>）</w:t>
            </w:r>
          </w:p>
        </w:tc>
        <w:tc>
          <w:tcPr>
            <w:tcW w:w="6090" w:type="dxa"/>
            <w:tcBorders>
              <w:bottom w:val="single" w:color="auto" w:sz="4" w:space="0"/>
            </w:tcBorders>
            <w:shd w:val="clear" w:color="auto" w:fill="auto"/>
            <w:vAlign w:val="center"/>
          </w:tcPr>
          <w:p w14:paraId="134D81B5">
            <w:pPr>
              <w:widowControl w:val="0"/>
              <w:adjustRightInd w:val="0"/>
              <w:snapToGrid w:val="0"/>
              <w:spacing w:after="120" w:line="360" w:lineRule="auto"/>
              <w:ind w:left="0" w:leftChars="0" w:firstLine="0" w:firstLineChars="0"/>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根据投标人针对本项目制定的</w:t>
            </w:r>
            <w:r>
              <w:rPr>
                <w:rFonts w:hint="eastAsia" w:ascii="宋体" w:hAnsi="宋体" w:eastAsia="宋体" w:cs="宋体"/>
                <w:color w:val="auto"/>
                <w:kern w:val="2"/>
                <w:sz w:val="21"/>
                <w:szCs w:val="21"/>
                <w:highlight w:val="none"/>
                <w:lang w:val="en-US" w:eastAsia="zh-CN" w:bidi="ar-SA"/>
              </w:rPr>
              <w:t>设备定位技术方案</w:t>
            </w:r>
            <w:r>
              <w:rPr>
                <w:rFonts w:hint="eastAsia" w:ascii="宋体" w:hAnsi="宋体" w:eastAsia="宋体" w:cs="Times New Roman"/>
                <w:color w:val="auto"/>
                <w:kern w:val="2"/>
                <w:sz w:val="21"/>
                <w:szCs w:val="21"/>
                <w:highlight w:val="none"/>
                <w:lang w:val="en-US" w:eastAsia="zh-CN" w:bidi="ar-SA"/>
              </w:rPr>
              <w:t>，包含但不限于下列内容：①</w:t>
            </w:r>
            <w:r>
              <w:rPr>
                <w:rFonts w:hint="eastAsia" w:ascii="宋体" w:hAnsi="宋体" w:eastAsia="宋体" w:cs="宋体"/>
                <w:color w:val="auto"/>
                <w:kern w:val="2"/>
                <w:sz w:val="21"/>
                <w:szCs w:val="21"/>
                <w:highlight w:val="none"/>
                <w:lang w:val="en-US" w:eastAsia="zh-CN" w:bidi="ar-SA"/>
              </w:rPr>
              <w:t>设备定位技术方案</w:t>
            </w:r>
            <w:r>
              <w:rPr>
                <w:rFonts w:hint="eastAsia" w:ascii="宋体" w:hAnsi="宋体" w:eastAsia="宋体" w:cs="Times New Roman"/>
                <w:color w:val="auto"/>
                <w:kern w:val="2"/>
                <w:sz w:val="21"/>
                <w:szCs w:val="21"/>
                <w:highlight w:val="none"/>
                <w:lang w:val="en-US" w:eastAsia="zh-CN" w:bidi="ar-SA"/>
              </w:rPr>
              <w:t>；②</w:t>
            </w:r>
            <w:r>
              <w:rPr>
                <w:rFonts w:hint="eastAsia" w:ascii="宋体" w:hAnsi="宋体" w:eastAsia="宋体" w:cs="宋体"/>
                <w:color w:val="auto"/>
                <w:kern w:val="2"/>
                <w:sz w:val="21"/>
                <w:szCs w:val="21"/>
                <w:highlight w:val="none"/>
                <w:lang w:val="en-US" w:eastAsia="zh-CN" w:bidi="ar-SA"/>
              </w:rPr>
              <w:t>硬件选型</w:t>
            </w:r>
            <w:r>
              <w:rPr>
                <w:rFonts w:hint="eastAsia" w:ascii="宋体" w:hAnsi="宋体" w:eastAsia="宋体" w:cs="Times New Roman"/>
                <w:color w:val="auto"/>
                <w:kern w:val="2"/>
                <w:sz w:val="21"/>
                <w:szCs w:val="21"/>
                <w:highlight w:val="none"/>
                <w:lang w:val="en-US" w:eastAsia="zh-CN" w:bidi="ar-SA"/>
              </w:rPr>
              <w:t>；③</w:t>
            </w:r>
            <w:r>
              <w:rPr>
                <w:rFonts w:hint="eastAsia" w:ascii="宋体" w:hAnsi="宋体" w:eastAsia="宋体" w:cs="宋体"/>
                <w:color w:val="auto"/>
                <w:kern w:val="2"/>
                <w:sz w:val="21"/>
                <w:szCs w:val="21"/>
                <w:highlight w:val="none"/>
                <w:lang w:val="en-US" w:eastAsia="zh-CN" w:bidi="ar-SA"/>
              </w:rPr>
              <w:t>部署方案</w:t>
            </w:r>
            <w:r>
              <w:rPr>
                <w:rFonts w:hint="eastAsia" w:ascii="宋体" w:hAnsi="宋体" w:eastAsia="宋体" w:cs="Times New Roman"/>
                <w:color w:val="auto"/>
                <w:kern w:val="2"/>
                <w:sz w:val="21"/>
                <w:szCs w:val="21"/>
                <w:highlight w:val="none"/>
                <w:lang w:val="en-US" w:eastAsia="zh-CN" w:bidi="ar-SA"/>
              </w:rPr>
              <w:t>；④</w:t>
            </w:r>
            <w:r>
              <w:rPr>
                <w:rFonts w:hint="eastAsia" w:ascii="宋体" w:hAnsi="宋体" w:eastAsia="宋体" w:cs="宋体"/>
                <w:color w:val="auto"/>
                <w:kern w:val="2"/>
                <w:sz w:val="21"/>
                <w:szCs w:val="21"/>
                <w:highlight w:val="none"/>
                <w:lang w:val="en-US" w:eastAsia="zh-CN" w:bidi="ar-SA"/>
              </w:rPr>
              <w:t>实施周期</w:t>
            </w:r>
            <w:r>
              <w:rPr>
                <w:rFonts w:hint="eastAsia" w:ascii="宋体" w:hAnsi="宋体" w:eastAsia="宋体" w:cs="Times New Roman"/>
                <w:color w:val="auto"/>
                <w:kern w:val="2"/>
                <w:sz w:val="21"/>
                <w:szCs w:val="21"/>
                <w:highlight w:val="none"/>
                <w:lang w:val="en-US" w:eastAsia="zh-CN" w:bidi="ar-SA"/>
              </w:rPr>
              <w:t>；⑤</w:t>
            </w:r>
            <w:r>
              <w:rPr>
                <w:rFonts w:hint="eastAsia" w:ascii="宋体" w:hAnsi="宋体" w:eastAsia="宋体" w:cs="宋体"/>
                <w:color w:val="auto"/>
                <w:kern w:val="2"/>
                <w:sz w:val="21"/>
                <w:szCs w:val="21"/>
                <w:highlight w:val="none"/>
                <w:lang w:val="en-US" w:eastAsia="zh-CN" w:bidi="ar-SA"/>
              </w:rPr>
              <w:t>运维保障</w:t>
            </w:r>
            <w:r>
              <w:rPr>
                <w:rFonts w:hint="eastAsia" w:ascii="宋体" w:hAnsi="宋体" w:eastAsia="宋体" w:cs="Times New Roman"/>
                <w:color w:val="auto"/>
                <w:kern w:val="2"/>
                <w:sz w:val="21"/>
                <w:szCs w:val="21"/>
                <w:highlight w:val="none"/>
                <w:lang w:val="en-US" w:eastAsia="zh-CN" w:bidi="ar-SA"/>
              </w:rPr>
              <w:t>等。</w:t>
            </w:r>
          </w:p>
          <w:p w14:paraId="4FA650A0">
            <w:pPr>
              <w:widowControl w:val="0"/>
              <w:adjustRightInd w:val="0"/>
              <w:snapToGrid w:val="0"/>
              <w:spacing w:after="120" w:line="360" w:lineRule="auto"/>
              <w:ind w:left="0" w:leftChars="0" w:firstLine="0" w:firstLineChars="0"/>
              <w:jc w:val="both"/>
              <w:rPr>
                <w:rStyle w:val="47"/>
                <w:rFonts w:hint="eastAsia" w:ascii="宋体" w:hAnsi="宋体" w:eastAsia="宋体" w:cs="宋体"/>
                <w:b w:val="0"/>
                <w:color w:val="auto"/>
                <w:sz w:val="21"/>
                <w:szCs w:val="24"/>
                <w:highlight w:val="none"/>
              </w:rPr>
            </w:pPr>
            <w:r>
              <w:rPr>
                <w:rFonts w:hint="eastAsia" w:ascii="宋体" w:hAnsi="宋体" w:eastAsia="宋体" w:cs="宋体"/>
                <w:b w:val="0"/>
                <w:color w:val="auto"/>
                <w:sz w:val="21"/>
                <w:szCs w:val="24"/>
                <w:highlight w:val="none"/>
              </w:rPr>
              <w:t>上述方案每缺少一项内容，扣</w:t>
            </w:r>
            <w:r>
              <w:rPr>
                <w:rFonts w:hint="eastAsia" w:ascii="宋体" w:hAnsi="宋体" w:cs="宋体"/>
                <w:b w:val="0"/>
                <w:color w:val="auto"/>
                <w:sz w:val="21"/>
                <w:szCs w:val="24"/>
                <w:highlight w:val="none"/>
                <w:lang w:val="en-US" w:eastAsia="zh-CN"/>
              </w:rPr>
              <w:t>4</w:t>
            </w:r>
            <w:r>
              <w:rPr>
                <w:rFonts w:hint="eastAsia" w:ascii="宋体" w:hAnsi="宋体" w:eastAsia="宋体" w:cs="宋体"/>
                <w:b w:val="0"/>
                <w:color w:val="auto"/>
                <w:sz w:val="21"/>
                <w:szCs w:val="24"/>
                <w:highlight w:val="none"/>
              </w:rPr>
              <w:t>分；每有一处缺陷（缺陷是指非专门针对本项目或不适用项目特性的情形、内容不完整或缺少关键节点、套用其他项目方案、内容前后矛盾、涉及的规范及标准错误、不利于项目实施、不可能实现的情形等任意一种情形）的扣</w:t>
            </w:r>
            <w:r>
              <w:rPr>
                <w:rFonts w:hint="eastAsia" w:ascii="宋体" w:hAnsi="宋体" w:eastAsia="宋体" w:cs="宋体"/>
                <w:b w:val="0"/>
                <w:color w:val="auto"/>
                <w:sz w:val="21"/>
                <w:szCs w:val="24"/>
                <w:highlight w:val="none"/>
                <w:lang w:val="en-US" w:eastAsia="zh-CN"/>
              </w:rPr>
              <w:t>2</w:t>
            </w:r>
            <w:r>
              <w:rPr>
                <w:rFonts w:hint="eastAsia" w:ascii="宋体" w:hAnsi="宋体" w:eastAsia="宋体" w:cs="宋体"/>
                <w:b w:val="0"/>
                <w:color w:val="auto"/>
                <w:sz w:val="21"/>
                <w:szCs w:val="24"/>
                <w:highlight w:val="none"/>
              </w:rPr>
              <w:t>分，扣完为止。</w:t>
            </w:r>
          </w:p>
        </w:tc>
      </w:tr>
      <w:tr w14:paraId="5A44D8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79" w:hRule="atLeast"/>
          <w:jc w:val="center"/>
        </w:trPr>
        <w:tc>
          <w:tcPr>
            <w:tcW w:w="599" w:type="dxa"/>
            <w:vMerge w:val="continue"/>
            <w:tcBorders>
              <w:right w:val="single" w:color="auto" w:sz="4" w:space="0"/>
            </w:tcBorders>
            <w:vAlign w:val="center"/>
          </w:tcPr>
          <w:p w14:paraId="1CEF2BAD">
            <w:pPr>
              <w:adjustRightInd w:val="0"/>
              <w:snapToGrid w:val="0"/>
              <w:spacing w:beforeLines="50" w:line="360" w:lineRule="auto"/>
              <w:jc w:val="center"/>
              <w:rPr>
                <w:rFonts w:hint="eastAsia" w:asciiTheme="minorEastAsia" w:hAnsiTheme="minorEastAsia" w:eastAsiaTheme="minorEastAsia"/>
                <w:szCs w:val="21"/>
                <w:highlight w:val="none"/>
              </w:rPr>
            </w:pPr>
          </w:p>
        </w:tc>
        <w:tc>
          <w:tcPr>
            <w:tcW w:w="1268" w:type="dxa"/>
            <w:vMerge w:val="continue"/>
            <w:tcBorders>
              <w:left w:val="single" w:color="auto" w:sz="4" w:space="0"/>
            </w:tcBorders>
            <w:vAlign w:val="center"/>
          </w:tcPr>
          <w:p w14:paraId="0280927A">
            <w:pPr>
              <w:adjustRightInd w:val="0"/>
              <w:snapToGrid w:val="0"/>
              <w:spacing w:beforeLines="50" w:line="360" w:lineRule="auto"/>
              <w:jc w:val="center"/>
              <w:rPr>
                <w:rFonts w:hint="eastAsia" w:asciiTheme="minorEastAsia" w:hAnsiTheme="minorEastAsia" w:eastAsiaTheme="minorEastAsia"/>
                <w:szCs w:val="21"/>
                <w:highlight w:val="none"/>
              </w:rPr>
            </w:pPr>
          </w:p>
        </w:tc>
        <w:tc>
          <w:tcPr>
            <w:tcW w:w="1295" w:type="dxa"/>
            <w:tcBorders>
              <w:left w:val="single" w:color="auto" w:sz="4" w:space="0"/>
            </w:tcBorders>
            <w:shd w:val="clear" w:color="auto" w:fill="auto"/>
            <w:vAlign w:val="center"/>
          </w:tcPr>
          <w:p w14:paraId="19174C75">
            <w:pPr>
              <w:spacing w:line="360" w:lineRule="auto"/>
              <w:jc w:val="center"/>
              <w:rPr>
                <w:rFonts w:hint="eastAsia" w:ascii="宋体" w:hAnsi="宋体" w:eastAsia="宋体" w:cs="宋体"/>
                <w:b/>
                <w:bCs/>
                <w:color w:val="auto"/>
                <w:sz w:val="21"/>
                <w:szCs w:val="24"/>
                <w:highlight w:val="none"/>
                <w:lang w:eastAsia="zh-CN"/>
              </w:rPr>
            </w:pPr>
            <w:r>
              <w:rPr>
                <w:rFonts w:hint="eastAsia" w:ascii="宋体" w:hAnsi="宋体" w:eastAsia="宋体" w:cs="宋体"/>
                <w:b/>
                <w:bCs/>
                <w:color w:val="auto"/>
                <w:sz w:val="21"/>
                <w:szCs w:val="24"/>
                <w:highlight w:val="none"/>
                <w:lang w:eastAsia="zh-CN"/>
              </w:rPr>
              <w:t>备品备件储备管理及配送方案</w:t>
            </w:r>
          </w:p>
          <w:p w14:paraId="51C109CB">
            <w:pPr>
              <w:spacing w:line="360" w:lineRule="auto"/>
              <w:jc w:val="center"/>
              <w:rPr>
                <w:rFonts w:hint="eastAsia" w:ascii="Times New Roman" w:hAnsi="Times New Roman" w:eastAsia="宋体" w:cs="Times New Roman"/>
                <w:b/>
                <w:bCs/>
                <w:color w:val="auto"/>
                <w:kern w:val="2"/>
                <w:sz w:val="21"/>
                <w:szCs w:val="24"/>
                <w:highlight w:val="none"/>
                <w:lang w:val="en-US" w:eastAsia="zh-CN" w:bidi="ar-SA"/>
              </w:rPr>
            </w:pPr>
            <w:r>
              <w:rPr>
                <w:rFonts w:hint="eastAsia" w:ascii="宋体" w:hAnsi="宋体" w:eastAsia="宋体" w:cs="宋体"/>
                <w:b/>
                <w:bCs/>
                <w:color w:val="auto"/>
                <w:sz w:val="21"/>
                <w:szCs w:val="24"/>
                <w:highlight w:val="none"/>
                <w:lang w:eastAsia="zh-CN"/>
              </w:rPr>
              <w:t>（</w:t>
            </w:r>
            <w:r>
              <w:rPr>
                <w:rFonts w:hint="eastAsia" w:ascii="宋体" w:hAnsi="宋体" w:eastAsia="宋体" w:cs="宋体"/>
                <w:b/>
                <w:bCs/>
                <w:color w:val="auto"/>
                <w:sz w:val="21"/>
                <w:szCs w:val="24"/>
                <w:highlight w:val="none"/>
                <w:lang w:val="en-US" w:eastAsia="zh-CN"/>
              </w:rPr>
              <w:t>20</w:t>
            </w:r>
            <w:r>
              <w:rPr>
                <w:rFonts w:hint="eastAsia" w:ascii="宋体" w:hAnsi="宋体" w:eastAsia="宋体" w:cs="宋体"/>
                <w:b/>
                <w:bCs/>
                <w:color w:val="auto"/>
                <w:sz w:val="21"/>
                <w:szCs w:val="24"/>
                <w:highlight w:val="none"/>
                <w:lang w:eastAsia="zh-CN"/>
              </w:rPr>
              <w:t>）</w:t>
            </w:r>
          </w:p>
        </w:tc>
        <w:tc>
          <w:tcPr>
            <w:tcW w:w="6090" w:type="dxa"/>
            <w:tcBorders>
              <w:bottom w:val="single" w:color="auto" w:sz="4" w:space="0"/>
            </w:tcBorders>
            <w:shd w:val="clear" w:color="auto" w:fill="auto"/>
            <w:vAlign w:val="center"/>
          </w:tcPr>
          <w:p w14:paraId="66BB703A">
            <w:pPr>
              <w:spacing w:line="360" w:lineRule="auto"/>
              <w:rPr>
                <w:rFonts w:hint="eastAsia" w:ascii="宋体" w:hAnsi="宋体" w:eastAsia="宋体" w:cs="宋体"/>
                <w:b w:val="0"/>
                <w:color w:val="auto"/>
                <w:sz w:val="21"/>
                <w:szCs w:val="24"/>
                <w:highlight w:val="none"/>
                <w:lang w:eastAsia="zh-CN"/>
              </w:rPr>
            </w:pPr>
            <w:r>
              <w:rPr>
                <w:rFonts w:hint="eastAsia" w:ascii="宋体" w:hAnsi="宋体" w:eastAsia="宋体" w:cs="宋体"/>
                <w:b w:val="0"/>
                <w:color w:val="auto"/>
                <w:sz w:val="21"/>
                <w:szCs w:val="24"/>
                <w:highlight w:val="none"/>
              </w:rPr>
              <w:t>根据投标人针对本项目制定的</w:t>
            </w:r>
            <w:r>
              <w:rPr>
                <w:rFonts w:hint="eastAsia" w:ascii="宋体" w:hAnsi="宋体" w:eastAsia="宋体" w:cs="宋体"/>
                <w:b w:val="0"/>
                <w:color w:val="auto"/>
                <w:sz w:val="21"/>
                <w:szCs w:val="24"/>
                <w:highlight w:val="none"/>
                <w:lang w:eastAsia="zh-CN"/>
              </w:rPr>
              <w:t>备品备件储备管理及配送方案</w:t>
            </w:r>
            <w:r>
              <w:rPr>
                <w:rFonts w:hint="eastAsia" w:ascii="宋体" w:hAnsi="宋体" w:eastAsia="宋体" w:cs="宋体"/>
                <w:b w:val="0"/>
                <w:color w:val="auto"/>
                <w:sz w:val="21"/>
                <w:szCs w:val="24"/>
                <w:highlight w:val="none"/>
              </w:rPr>
              <w:t>，包含但不限于下列内容：①</w:t>
            </w:r>
            <w:r>
              <w:rPr>
                <w:rFonts w:hint="eastAsia" w:ascii="宋体" w:hAnsi="宋体" w:eastAsia="宋体" w:cs="宋体"/>
                <w:b w:val="0"/>
                <w:color w:val="auto"/>
                <w:sz w:val="21"/>
                <w:szCs w:val="24"/>
                <w:highlight w:val="none"/>
                <w:lang w:val="en-US" w:eastAsia="zh-CN"/>
              </w:rPr>
              <w:t>备品备件仓库面积及储备情况</w:t>
            </w:r>
            <w:r>
              <w:rPr>
                <w:rFonts w:hint="eastAsia" w:ascii="宋体" w:hAnsi="宋体" w:eastAsia="宋体" w:cs="宋体"/>
                <w:b w:val="0"/>
                <w:color w:val="auto"/>
                <w:sz w:val="21"/>
                <w:szCs w:val="24"/>
                <w:highlight w:val="none"/>
              </w:rPr>
              <w:t>、②</w:t>
            </w:r>
            <w:r>
              <w:rPr>
                <w:rFonts w:hint="eastAsia" w:ascii="宋体" w:hAnsi="宋体" w:eastAsia="宋体" w:cs="宋体"/>
                <w:b w:val="0"/>
                <w:color w:val="auto"/>
                <w:sz w:val="21"/>
                <w:szCs w:val="24"/>
                <w:highlight w:val="none"/>
                <w:lang w:val="en-US" w:eastAsia="zh-CN"/>
              </w:rPr>
              <w:t>备品备件储存管理措施</w:t>
            </w:r>
            <w:r>
              <w:rPr>
                <w:rFonts w:hint="eastAsia" w:ascii="宋体" w:hAnsi="宋体" w:eastAsia="宋体" w:cs="宋体"/>
                <w:b w:val="0"/>
                <w:color w:val="auto"/>
                <w:sz w:val="21"/>
                <w:szCs w:val="24"/>
                <w:highlight w:val="none"/>
              </w:rPr>
              <w:t>、③</w:t>
            </w:r>
            <w:r>
              <w:rPr>
                <w:rFonts w:hint="eastAsia" w:ascii="宋体" w:hAnsi="宋体" w:eastAsia="宋体" w:cs="宋体"/>
                <w:b w:val="0"/>
                <w:color w:val="auto"/>
                <w:sz w:val="21"/>
                <w:szCs w:val="24"/>
                <w:highlight w:val="none"/>
                <w:lang w:val="en-US" w:eastAsia="zh-CN"/>
              </w:rPr>
              <w:t>备品备件配送时间、</w:t>
            </w:r>
            <w:r>
              <w:rPr>
                <w:rFonts w:hint="eastAsia" w:ascii="宋体" w:hAnsi="宋体" w:eastAsia="宋体" w:cs="宋体"/>
                <w:b w:val="0"/>
                <w:color w:val="auto"/>
                <w:sz w:val="21"/>
                <w:szCs w:val="24"/>
                <w:highlight w:val="none"/>
              </w:rPr>
              <w:t>④</w:t>
            </w:r>
            <w:r>
              <w:rPr>
                <w:rFonts w:hint="eastAsia" w:ascii="宋体" w:hAnsi="宋体" w:eastAsia="宋体" w:cs="宋体"/>
                <w:b w:val="0"/>
                <w:color w:val="auto"/>
                <w:sz w:val="21"/>
                <w:szCs w:val="24"/>
                <w:highlight w:val="none"/>
                <w:lang w:val="en-US" w:eastAsia="zh-CN"/>
              </w:rPr>
              <w:t>备品备件保障设备运行</w:t>
            </w:r>
            <w:r>
              <w:rPr>
                <w:rFonts w:hint="eastAsia" w:ascii="宋体" w:hAnsi="宋体" w:eastAsia="宋体" w:cs="Times New Roman"/>
                <w:color w:val="auto"/>
                <w:szCs w:val="21"/>
                <w:highlight w:val="none"/>
              </w:rPr>
              <w:t>等</w:t>
            </w:r>
            <w:r>
              <w:rPr>
                <w:rFonts w:hint="eastAsia" w:ascii="宋体" w:hAnsi="宋体" w:eastAsia="宋体" w:cs="Times New Roman"/>
                <w:color w:val="auto"/>
                <w:szCs w:val="21"/>
                <w:highlight w:val="none"/>
                <w:lang w:eastAsia="zh-CN"/>
              </w:rPr>
              <w:t>。</w:t>
            </w:r>
          </w:p>
          <w:p w14:paraId="24F972A0">
            <w:pPr>
              <w:spacing w:line="360" w:lineRule="auto"/>
              <w:rPr>
                <w:rFonts w:hint="eastAsia" w:ascii="Times New Roman" w:hAnsi="Times New Roman" w:eastAsia="宋体" w:cs="Times New Roman"/>
                <w:b/>
                <w:bCs/>
                <w:color w:val="auto"/>
                <w:kern w:val="2"/>
                <w:sz w:val="21"/>
                <w:szCs w:val="24"/>
                <w:highlight w:val="none"/>
                <w:lang w:val="en-US" w:eastAsia="zh-CN" w:bidi="ar-SA"/>
              </w:rPr>
            </w:pPr>
            <w:r>
              <w:rPr>
                <w:rFonts w:hint="eastAsia" w:ascii="宋体" w:hAnsi="宋体" w:eastAsia="宋体" w:cs="Times New Roman"/>
                <w:color w:val="auto"/>
                <w:szCs w:val="21"/>
                <w:highlight w:val="none"/>
              </w:rPr>
              <w:t>上述方案每缺少一项内容，扣</w:t>
            </w:r>
            <w:r>
              <w:rPr>
                <w:rFonts w:hint="eastAsia" w:ascii="宋体" w:hAnsi="宋体" w:eastAsia="宋体" w:cs="Times New Roman"/>
                <w:color w:val="auto"/>
                <w:szCs w:val="21"/>
                <w:highlight w:val="none"/>
                <w:lang w:val="en-US" w:eastAsia="zh-CN"/>
              </w:rPr>
              <w:t>5</w:t>
            </w:r>
            <w:r>
              <w:rPr>
                <w:rFonts w:hint="eastAsia" w:ascii="宋体" w:hAnsi="宋体" w:eastAsia="宋体" w:cs="Times New Roman"/>
                <w:color w:val="auto"/>
                <w:szCs w:val="21"/>
                <w:highlight w:val="none"/>
              </w:rPr>
              <w:t>分；每有一处缺陷（缺陷是指非专门针对本项目或不适用项目特性的情形、内容不完整或缺少关键节点、套用其他项目方案、内容前后矛盾、涉及的规范及标准错误、不利于项目实施、不可能实现的情形等任意一种情形）的扣</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分，扣完为止。</w:t>
            </w:r>
          </w:p>
        </w:tc>
      </w:tr>
      <w:tr w14:paraId="5689A8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79" w:hRule="atLeast"/>
          <w:jc w:val="center"/>
        </w:trPr>
        <w:tc>
          <w:tcPr>
            <w:tcW w:w="599" w:type="dxa"/>
            <w:vMerge w:val="continue"/>
            <w:tcBorders>
              <w:right w:val="single" w:color="auto" w:sz="4" w:space="0"/>
            </w:tcBorders>
            <w:vAlign w:val="center"/>
          </w:tcPr>
          <w:p w14:paraId="0B47B207">
            <w:pPr>
              <w:adjustRightInd w:val="0"/>
              <w:snapToGrid w:val="0"/>
              <w:spacing w:beforeLines="50" w:line="360" w:lineRule="auto"/>
              <w:jc w:val="center"/>
              <w:rPr>
                <w:rFonts w:hint="eastAsia" w:asciiTheme="minorEastAsia" w:hAnsiTheme="minorEastAsia" w:eastAsiaTheme="minorEastAsia"/>
                <w:szCs w:val="21"/>
                <w:highlight w:val="none"/>
              </w:rPr>
            </w:pPr>
          </w:p>
        </w:tc>
        <w:tc>
          <w:tcPr>
            <w:tcW w:w="1268" w:type="dxa"/>
            <w:vMerge w:val="continue"/>
            <w:tcBorders>
              <w:left w:val="single" w:color="auto" w:sz="4" w:space="0"/>
            </w:tcBorders>
            <w:vAlign w:val="center"/>
          </w:tcPr>
          <w:p w14:paraId="04169834">
            <w:pPr>
              <w:adjustRightInd w:val="0"/>
              <w:snapToGrid w:val="0"/>
              <w:spacing w:beforeLines="50" w:line="360" w:lineRule="auto"/>
              <w:jc w:val="center"/>
              <w:rPr>
                <w:rFonts w:hint="eastAsia" w:asciiTheme="minorEastAsia" w:hAnsiTheme="minorEastAsia" w:eastAsiaTheme="minorEastAsia"/>
                <w:szCs w:val="21"/>
                <w:highlight w:val="none"/>
              </w:rPr>
            </w:pPr>
          </w:p>
        </w:tc>
        <w:tc>
          <w:tcPr>
            <w:tcW w:w="1295" w:type="dxa"/>
            <w:tcBorders>
              <w:left w:val="single" w:color="auto" w:sz="4" w:space="0"/>
            </w:tcBorders>
            <w:shd w:val="clear" w:color="auto" w:fill="auto"/>
            <w:vAlign w:val="center"/>
          </w:tcPr>
          <w:p w14:paraId="08F3CF49">
            <w:pPr>
              <w:spacing w:line="360" w:lineRule="auto"/>
              <w:jc w:val="center"/>
              <w:rPr>
                <w:rFonts w:hint="eastAsia" w:ascii="宋体" w:hAnsi="宋体" w:eastAsia="宋体" w:cs="宋体"/>
                <w:b/>
                <w:bCs/>
                <w:color w:val="auto"/>
                <w:sz w:val="21"/>
                <w:szCs w:val="24"/>
                <w:highlight w:val="none"/>
                <w:lang w:val="en-US" w:eastAsia="zh-CN"/>
              </w:rPr>
            </w:pPr>
            <w:r>
              <w:rPr>
                <w:rFonts w:ascii="宋体" w:hAnsi="宋体" w:eastAsia="宋体" w:cs="宋体"/>
                <w:b/>
                <w:bCs/>
                <w:color w:val="auto"/>
                <w:sz w:val="21"/>
                <w:szCs w:val="24"/>
                <w:highlight w:val="none"/>
              </w:rPr>
              <w:t>应急</w:t>
            </w:r>
            <w:r>
              <w:rPr>
                <w:rFonts w:hint="eastAsia" w:ascii="宋体" w:hAnsi="宋体" w:eastAsia="宋体" w:cs="宋体"/>
                <w:b/>
                <w:bCs/>
                <w:color w:val="auto"/>
                <w:sz w:val="21"/>
                <w:szCs w:val="24"/>
                <w:highlight w:val="none"/>
                <w:lang w:val="en-US" w:eastAsia="zh-CN"/>
              </w:rPr>
              <w:t>预案</w:t>
            </w:r>
          </w:p>
          <w:p w14:paraId="5CE30420">
            <w:pPr>
              <w:spacing w:line="360" w:lineRule="auto"/>
              <w:jc w:val="center"/>
              <w:rPr>
                <w:rFonts w:hint="eastAsia" w:ascii="Times New Roman" w:hAnsi="Times New Roman" w:eastAsia="宋体" w:cs="Times New Roman"/>
                <w:b/>
                <w:bCs/>
                <w:color w:val="auto"/>
                <w:kern w:val="2"/>
                <w:sz w:val="21"/>
                <w:szCs w:val="24"/>
                <w:highlight w:val="none"/>
                <w:lang w:val="en-US" w:eastAsia="zh-CN" w:bidi="ar-SA"/>
              </w:rPr>
            </w:pPr>
            <w:r>
              <w:rPr>
                <w:rFonts w:hint="eastAsia" w:ascii="宋体" w:hAnsi="宋体" w:eastAsia="宋体" w:cs="宋体"/>
                <w:b/>
                <w:bCs/>
                <w:color w:val="auto"/>
                <w:sz w:val="21"/>
                <w:szCs w:val="24"/>
                <w:highlight w:val="none"/>
                <w:lang w:eastAsia="zh-CN"/>
              </w:rPr>
              <w:t>（</w:t>
            </w:r>
            <w:r>
              <w:rPr>
                <w:rFonts w:hint="eastAsia" w:ascii="宋体" w:hAnsi="宋体" w:cs="宋体"/>
                <w:b/>
                <w:bCs/>
                <w:color w:val="auto"/>
                <w:sz w:val="21"/>
                <w:szCs w:val="24"/>
                <w:highlight w:val="none"/>
                <w:lang w:val="en-US" w:eastAsia="zh-CN"/>
              </w:rPr>
              <w:t>1</w:t>
            </w:r>
            <w:r>
              <w:rPr>
                <w:rFonts w:hint="eastAsia" w:ascii="宋体" w:hAnsi="宋体" w:eastAsia="宋体" w:cs="宋体"/>
                <w:b/>
                <w:bCs/>
                <w:color w:val="auto"/>
                <w:sz w:val="21"/>
                <w:szCs w:val="24"/>
                <w:highlight w:val="none"/>
                <w:lang w:val="en-US" w:eastAsia="zh-CN"/>
              </w:rPr>
              <w:t>0分</w:t>
            </w:r>
            <w:r>
              <w:rPr>
                <w:rFonts w:hint="eastAsia" w:ascii="宋体" w:hAnsi="宋体" w:eastAsia="宋体" w:cs="宋体"/>
                <w:b/>
                <w:bCs/>
                <w:color w:val="auto"/>
                <w:sz w:val="21"/>
                <w:szCs w:val="24"/>
                <w:highlight w:val="none"/>
                <w:lang w:eastAsia="zh-CN"/>
              </w:rPr>
              <w:t>）</w:t>
            </w:r>
          </w:p>
        </w:tc>
        <w:tc>
          <w:tcPr>
            <w:tcW w:w="6090" w:type="dxa"/>
            <w:tcBorders>
              <w:bottom w:val="single" w:color="auto" w:sz="4" w:space="0"/>
            </w:tcBorders>
            <w:shd w:val="clear" w:color="auto" w:fill="auto"/>
            <w:vAlign w:val="center"/>
          </w:tcPr>
          <w:p w14:paraId="2A664192">
            <w:pPr>
              <w:widowControl w:val="0"/>
              <w:adjustRightInd w:val="0"/>
              <w:snapToGrid w:val="0"/>
              <w:spacing w:after="120" w:line="360" w:lineRule="auto"/>
              <w:ind w:left="0" w:leftChars="0" w:firstLine="0" w:firstLineChars="0"/>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根据投标人针对本项目制定的应急预案，包含但不限于下列内容：①故障分类级别及处理流程；②应急指挥组及应急人员配置；③紧急响应时间承诺；④突发事件保障措施等。</w:t>
            </w:r>
          </w:p>
          <w:p w14:paraId="51015662">
            <w:pPr>
              <w:spacing w:line="360" w:lineRule="auto"/>
              <w:rPr>
                <w:rFonts w:hint="eastAsia" w:ascii="Times New Roman" w:hAnsi="Times New Roman" w:eastAsia="宋体" w:cs="Times New Roman"/>
                <w:b/>
                <w:bCs/>
                <w:color w:val="auto"/>
                <w:kern w:val="2"/>
                <w:sz w:val="21"/>
                <w:szCs w:val="24"/>
                <w:highlight w:val="none"/>
                <w:lang w:val="en-US" w:eastAsia="zh-CN" w:bidi="ar-SA"/>
              </w:rPr>
            </w:pPr>
            <w:r>
              <w:rPr>
                <w:rFonts w:hint="eastAsia" w:ascii="宋体" w:hAnsi="宋体" w:eastAsia="宋体" w:cs="宋体"/>
                <w:b w:val="0"/>
                <w:color w:val="auto"/>
                <w:sz w:val="21"/>
                <w:szCs w:val="24"/>
                <w:highlight w:val="none"/>
              </w:rPr>
              <w:t>上述方案每缺少一项内容，扣</w:t>
            </w:r>
            <w:r>
              <w:rPr>
                <w:rFonts w:hint="eastAsia" w:ascii="宋体" w:hAnsi="宋体" w:cs="宋体"/>
                <w:b w:val="0"/>
                <w:color w:val="auto"/>
                <w:sz w:val="21"/>
                <w:szCs w:val="24"/>
                <w:highlight w:val="none"/>
                <w:lang w:val="en-US" w:eastAsia="zh-CN"/>
              </w:rPr>
              <w:t>2.5</w:t>
            </w:r>
            <w:r>
              <w:rPr>
                <w:rFonts w:hint="eastAsia" w:ascii="宋体" w:hAnsi="宋体" w:eastAsia="宋体" w:cs="宋体"/>
                <w:b w:val="0"/>
                <w:color w:val="auto"/>
                <w:sz w:val="21"/>
                <w:szCs w:val="24"/>
                <w:highlight w:val="none"/>
              </w:rPr>
              <w:t>分；每有一处缺陷（缺陷是指非专门针对本项目或不适用项目特性的情形、内容不完整或缺少关键节点、套用其他项目方案、内容前后矛盾、涉及的规范及标准错误、不利于项目实施、不可能实现的情形等任意一种情形）的扣</w:t>
            </w:r>
            <w:r>
              <w:rPr>
                <w:rFonts w:hint="eastAsia" w:ascii="宋体" w:hAnsi="宋体" w:eastAsia="宋体" w:cs="宋体"/>
                <w:b w:val="0"/>
                <w:color w:val="auto"/>
                <w:sz w:val="21"/>
                <w:szCs w:val="24"/>
                <w:highlight w:val="none"/>
                <w:lang w:val="en-US" w:eastAsia="zh-CN"/>
              </w:rPr>
              <w:t>2</w:t>
            </w:r>
            <w:r>
              <w:rPr>
                <w:rFonts w:hint="eastAsia" w:ascii="宋体" w:hAnsi="宋体" w:eastAsia="宋体" w:cs="宋体"/>
                <w:b w:val="0"/>
                <w:color w:val="auto"/>
                <w:sz w:val="21"/>
                <w:szCs w:val="24"/>
                <w:highlight w:val="none"/>
              </w:rPr>
              <w:t>分，扣完为止。</w:t>
            </w:r>
          </w:p>
        </w:tc>
      </w:tr>
      <w:tr w14:paraId="1C6688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9" w:hRule="atLeast"/>
          <w:jc w:val="center"/>
        </w:trPr>
        <w:tc>
          <w:tcPr>
            <w:tcW w:w="599" w:type="dxa"/>
            <w:vMerge w:val="restart"/>
            <w:tcBorders>
              <w:right w:val="single" w:color="auto" w:sz="4" w:space="0"/>
            </w:tcBorders>
            <w:vAlign w:val="center"/>
          </w:tcPr>
          <w:p w14:paraId="54EFB5B2">
            <w:pPr>
              <w:adjustRightInd w:val="0"/>
              <w:snapToGrid w:val="0"/>
              <w:spacing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w:t>
            </w:r>
          </w:p>
        </w:tc>
        <w:tc>
          <w:tcPr>
            <w:tcW w:w="1268" w:type="dxa"/>
            <w:vMerge w:val="restart"/>
            <w:tcBorders>
              <w:left w:val="single" w:color="auto" w:sz="4" w:space="0"/>
            </w:tcBorders>
            <w:vAlign w:val="center"/>
          </w:tcPr>
          <w:p w14:paraId="239D9A8F">
            <w:pPr>
              <w:adjustRightInd w:val="0"/>
              <w:snapToGrid w:val="0"/>
              <w:spacing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商务评价项（100</w:t>
            </w:r>
            <w:r>
              <w:rPr>
                <w:rFonts w:hint="eastAsia" w:asciiTheme="minorEastAsia" w:hAnsiTheme="minorEastAsia" w:eastAsiaTheme="minorEastAsia"/>
                <w:szCs w:val="21"/>
                <w:highlight w:val="none"/>
                <w:lang w:val="en-US" w:eastAsia="zh-CN"/>
              </w:rPr>
              <w:t>分</w:t>
            </w:r>
            <w:r>
              <w:rPr>
                <w:rFonts w:asciiTheme="minorEastAsia" w:hAnsiTheme="minorEastAsia" w:eastAsiaTheme="minorEastAsia"/>
                <w:szCs w:val="21"/>
                <w:highlight w:val="none"/>
              </w:rPr>
              <w:t>）</w:t>
            </w:r>
          </w:p>
        </w:tc>
        <w:tc>
          <w:tcPr>
            <w:tcW w:w="1295" w:type="dxa"/>
            <w:tcBorders>
              <w:left w:val="single" w:color="auto" w:sz="4" w:space="0"/>
            </w:tcBorders>
            <w:vAlign w:val="center"/>
          </w:tcPr>
          <w:p w14:paraId="56F47F88">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类似业绩</w:t>
            </w:r>
          </w:p>
          <w:p w14:paraId="239B6750">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50</w:t>
            </w:r>
            <w:r>
              <w:rPr>
                <w:rFonts w:hint="eastAsia" w:ascii="宋体" w:hAnsi="宋体" w:eastAsia="宋体" w:cs="宋体"/>
                <w:b/>
                <w:bCs/>
                <w:color w:val="auto"/>
                <w:sz w:val="21"/>
                <w:szCs w:val="21"/>
                <w:highlight w:val="none"/>
              </w:rPr>
              <w:t>分）</w:t>
            </w:r>
          </w:p>
        </w:tc>
        <w:tc>
          <w:tcPr>
            <w:tcW w:w="6090" w:type="dxa"/>
            <w:vAlign w:val="center"/>
          </w:tcPr>
          <w:p w14:paraId="425DECA1">
            <w:pPr>
              <w:widowControl/>
              <w:spacing w:line="360" w:lineRule="auto"/>
              <w:jc w:val="left"/>
              <w:rPr>
                <w:rFonts w:hint="eastAsia" w:ascii="宋体" w:hAnsi="宋体" w:eastAsia="宋体" w:cs="Times New Roman"/>
                <w:b w:val="0"/>
                <w:bCs w:val="0"/>
                <w:color w:val="auto"/>
                <w:sz w:val="21"/>
                <w:szCs w:val="21"/>
                <w:highlight w:val="none"/>
              </w:rPr>
            </w:pPr>
            <w:r>
              <w:rPr>
                <w:rFonts w:hint="eastAsia" w:ascii="宋体" w:hAnsi="宋体" w:eastAsia="宋体" w:cs="Times New Roman"/>
                <w:b w:val="0"/>
                <w:bCs w:val="0"/>
                <w:color w:val="auto"/>
                <w:sz w:val="21"/>
                <w:szCs w:val="21"/>
                <w:highlight w:val="none"/>
                <w:lang w:eastAsia="zh-CN"/>
              </w:rPr>
              <w:t>（</w:t>
            </w:r>
            <w:r>
              <w:rPr>
                <w:rFonts w:hint="eastAsia" w:ascii="宋体" w:hAnsi="宋体" w:eastAsia="宋体" w:cs="Times New Roman"/>
                <w:b w:val="0"/>
                <w:bCs w:val="0"/>
                <w:color w:val="auto"/>
                <w:sz w:val="21"/>
                <w:szCs w:val="21"/>
                <w:highlight w:val="none"/>
                <w:lang w:val="en-US" w:eastAsia="zh-CN"/>
              </w:rPr>
              <w:t>1</w:t>
            </w:r>
            <w:r>
              <w:rPr>
                <w:rFonts w:hint="eastAsia" w:ascii="宋体" w:hAnsi="宋体" w:eastAsia="宋体" w:cs="Times New Roman"/>
                <w:b w:val="0"/>
                <w:bCs w:val="0"/>
                <w:color w:val="auto"/>
                <w:sz w:val="21"/>
                <w:szCs w:val="21"/>
                <w:highlight w:val="none"/>
                <w:lang w:eastAsia="zh-CN"/>
              </w:rPr>
              <w:t>）</w:t>
            </w:r>
            <w:r>
              <w:rPr>
                <w:rFonts w:hint="eastAsia" w:ascii="宋体" w:hAnsi="宋体" w:eastAsia="宋体" w:cs="Times New Roman"/>
                <w:b w:val="0"/>
                <w:bCs w:val="0"/>
                <w:color w:val="auto"/>
                <w:sz w:val="21"/>
                <w:szCs w:val="21"/>
                <w:highlight w:val="none"/>
              </w:rPr>
              <w:t>投标人自202</w:t>
            </w:r>
            <w:r>
              <w:rPr>
                <w:rFonts w:hint="eastAsia" w:ascii="宋体" w:hAnsi="宋体" w:eastAsia="宋体" w:cs="Times New Roman"/>
                <w:b w:val="0"/>
                <w:bCs w:val="0"/>
                <w:color w:val="auto"/>
                <w:sz w:val="21"/>
                <w:szCs w:val="21"/>
                <w:highlight w:val="none"/>
                <w:lang w:eastAsia="zh-CN"/>
              </w:rPr>
              <w:t>3年</w:t>
            </w:r>
            <w:r>
              <w:rPr>
                <w:rFonts w:hint="eastAsia" w:ascii="宋体" w:hAnsi="宋体" w:cs="Times New Roman"/>
                <w:b w:val="0"/>
                <w:bCs w:val="0"/>
                <w:color w:val="auto"/>
                <w:sz w:val="21"/>
                <w:szCs w:val="21"/>
                <w:highlight w:val="none"/>
                <w:lang w:val="en-US" w:eastAsia="zh-CN"/>
              </w:rPr>
              <w:t>1月1日</w:t>
            </w:r>
            <w:r>
              <w:rPr>
                <w:rFonts w:hint="eastAsia" w:ascii="宋体" w:hAnsi="宋体" w:eastAsia="宋体" w:cs="Times New Roman"/>
                <w:b w:val="0"/>
                <w:bCs w:val="0"/>
                <w:color w:val="auto"/>
                <w:sz w:val="21"/>
                <w:szCs w:val="21"/>
                <w:highlight w:val="none"/>
              </w:rPr>
              <w:t>以来</w:t>
            </w:r>
            <w:r>
              <w:rPr>
                <w:rFonts w:hint="eastAsia" w:ascii="宋体" w:hAnsi="宋体" w:eastAsia="宋体" w:cs="Times New Roman"/>
                <w:b w:val="0"/>
                <w:bCs w:val="0"/>
                <w:color w:val="auto"/>
                <w:sz w:val="21"/>
                <w:szCs w:val="21"/>
                <w:highlight w:val="none"/>
                <w:lang w:val="en-US" w:eastAsia="zh-CN"/>
              </w:rPr>
              <w:t>具有医院整体设备维保</w:t>
            </w:r>
            <w:r>
              <w:rPr>
                <w:rFonts w:hint="eastAsia" w:ascii="宋体" w:hAnsi="宋体" w:eastAsia="宋体" w:cs="Times New Roman"/>
                <w:b w:val="0"/>
                <w:bCs w:val="0"/>
                <w:color w:val="auto"/>
                <w:sz w:val="21"/>
                <w:szCs w:val="21"/>
                <w:highlight w:val="none"/>
              </w:rPr>
              <w:t>业绩</w:t>
            </w:r>
            <w:r>
              <w:rPr>
                <w:rFonts w:hint="eastAsia" w:ascii="宋体" w:hAnsi="宋体" w:eastAsia="宋体" w:cs="Times New Roman"/>
                <w:b w:val="0"/>
                <w:bCs w:val="0"/>
                <w:color w:val="auto"/>
                <w:sz w:val="21"/>
                <w:szCs w:val="21"/>
                <w:highlight w:val="none"/>
                <w:lang w:val="en-US" w:eastAsia="zh-CN"/>
              </w:rPr>
              <w:t>的</w:t>
            </w:r>
            <w:r>
              <w:rPr>
                <w:rFonts w:hint="eastAsia" w:ascii="宋体" w:hAnsi="宋体" w:eastAsia="宋体" w:cs="Times New Roman"/>
                <w:b w:val="0"/>
                <w:bCs w:val="0"/>
                <w:color w:val="auto"/>
                <w:sz w:val="21"/>
                <w:szCs w:val="21"/>
                <w:highlight w:val="none"/>
              </w:rPr>
              <w:t>，每</w:t>
            </w:r>
            <w:r>
              <w:rPr>
                <w:rFonts w:hint="eastAsia" w:ascii="宋体" w:hAnsi="宋体" w:eastAsia="宋体" w:cs="Times New Roman"/>
                <w:b w:val="0"/>
                <w:bCs w:val="0"/>
                <w:color w:val="auto"/>
                <w:sz w:val="21"/>
                <w:szCs w:val="21"/>
                <w:highlight w:val="none"/>
                <w:lang w:val="en-US" w:eastAsia="zh-CN"/>
              </w:rPr>
              <w:t>提供一个</w:t>
            </w:r>
            <w:r>
              <w:rPr>
                <w:rFonts w:hint="eastAsia" w:ascii="宋体" w:hAnsi="宋体" w:eastAsia="宋体" w:cs="Times New Roman"/>
                <w:b w:val="0"/>
                <w:bCs w:val="0"/>
                <w:color w:val="auto"/>
                <w:sz w:val="21"/>
                <w:szCs w:val="21"/>
                <w:highlight w:val="none"/>
              </w:rPr>
              <w:t>计</w:t>
            </w:r>
            <w:r>
              <w:rPr>
                <w:rFonts w:hint="eastAsia" w:ascii="宋体" w:hAnsi="宋体" w:eastAsia="宋体" w:cs="Times New Roman"/>
                <w:b w:val="0"/>
                <w:bCs w:val="0"/>
                <w:color w:val="auto"/>
                <w:sz w:val="21"/>
                <w:szCs w:val="21"/>
                <w:highlight w:val="none"/>
                <w:lang w:val="en-US" w:eastAsia="zh-CN"/>
              </w:rPr>
              <w:t>30</w:t>
            </w:r>
            <w:r>
              <w:rPr>
                <w:rFonts w:hint="eastAsia" w:ascii="宋体" w:hAnsi="宋体" w:eastAsia="宋体" w:cs="Times New Roman"/>
                <w:b w:val="0"/>
                <w:bCs w:val="0"/>
                <w:color w:val="auto"/>
                <w:sz w:val="21"/>
                <w:szCs w:val="21"/>
                <w:highlight w:val="none"/>
              </w:rPr>
              <w:t>分，最多计</w:t>
            </w:r>
            <w:r>
              <w:rPr>
                <w:rFonts w:hint="eastAsia" w:ascii="宋体" w:hAnsi="宋体" w:eastAsia="宋体" w:cs="Times New Roman"/>
                <w:b w:val="0"/>
                <w:bCs w:val="0"/>
                <w:color w:val="auto"/>
                <w:sz w:val="21"/>
                <w:szCs w:val="21"/>
                <w:highlight w:val="none"/>
                <w:lang w:val="en-US" w:eastAsia="zh-CN"/>
              </w:rPr>
              <w:t>30</w:t>
            </w:r>
            <w:r>
              <w:rPr>
                <w:rFonts w:hint="eastAsia" w:ascii="宋体" w:hAnsi="宋体" w:eastAsia="宋体" w:cs="Times New Roman"/>
                <w:b w:val="0"/>
                <w:bCs w:val="0"/>
                <w:color w:val="auto"/>
                <w:sz w:val="21"/>
                <w:szCs w:val="21"/>
                <w:highlight w:val="none"/>
              </w:rPr>
              <w:t>分。</w:t>
            </w:r>
          </w:p>
          <w:p w14:paraId="31352685">
            <w:pPr>
              <w:widowControl/>
              <w:spacing w:line="360" w:lineRule="auto"/>
              <w:jc w:val="left"/>
              <w:rPr>
                <w:rFonts w:hint="eastAsia" w:ascii="宋体" w:hAnsi="宋体" w:eastAsia="宋体" w:cs="Times New Roman"/>
                <w:b w:val="0"/>
                <w:bCs w:val="0"/>
                <w:color w:val="auto"/>
                <w:sz w:val="21"/>
                <w:szCs w:val="21"/>
                <w:highlight w:val="none"/>
                <w:lang w:eastAsia="zh-CN"/>
              </w:rPr>
            </w:pPr>
            <w:r>
              <w:rPr>
                <w:rFonts w:hint="eastAsia" w:ascii="宋体" w:hAnsi="宋体" w:eastAsia="宋体" w:cs="Times New Roman"/>
                <w:b w:val="0"/>
                <w:bCs w:val="0"/>
                <w:color w:val="auto"/>
                <w:sz w:val="21"/>
                <w:szCs w:val="21"/>
                <w:highlight w:val="none"/>
                <w:lang w:eastAsia="zh-CN"/>
              </w:rPr>
              <w:t>（</w:t>
            </w:r>
            <w:r>
              <w:rPr>
                <w:rFonts w:hint="eastAsia" w:ascii="宋体" w:hAnsi="宋体" w:eastAsia="宋体" w:cs="Times New Roman"/>
                <w:b w:val="0"/>
                <w:bCs w:val="0"/>
                <w:color w:val="auto"/>
                <w:sz w:val="21"/>
                <w:szCs w:val="21"/>
                <w:highlight w:val="none"/>
                <w:lang w:val="en-US" w:eastAsia="zh-CN"/>
              </w:rPr>
              <w:t>2</w:t>
            </w:r>
            <w:r>
              <w:rPr>
                <w:rFonts w:hint="eastAsia" w:ascii="宋体" w:hAnsi="宋体" w:eastAsia="宋体" w:cs="Times New Roman"/>
                <w:b w:val="0"/>
                <w:bCs w:val="0"/>
                <w:color w:val="auto"/>
                <w:sz w:val="21"/>
                <w:szCs w:val="21"/>
                <w:highlight w:val="none"/>
                <w:lang w:eastAsia="zh-CN"/>
              </w:rPr>
              <w:t>）</w:t>
            </w:r>
            <w:r>
              <w:rPr>
                <w:rFonts w:hint="eastAsia" w:ascii="宋体" w:hAnsi="宋体" w:eastAsia="宋体" w:cs="Times New Roman"/>
                <w:b w:val="0"/>
                <w:bCs w:val="0"/>
                <w:color w:val="auto"/>
                <w:sz w:val="21"/>
                <w:szCs w:val="21"/>
                <w:highlight w:val="none"/>
              </w:rPr>
              <w:t>投标人自202</w:t>
            </w:r>
            <w:r>
              <w:rPr>
                <w:rFonts w:hint="eastAsia" w:ascii="宋体" w:hAnsi="宋体" w:eastAsia="宋体" w:cs="Times New Roman"/>
                <w:b w:val="0"/>
                <w:bCs w:val="0"/>
                <w:color w:val="auto"/>
                <w:sz w:val="21"/>
                <w:szCs w:val="21"/>
                <w:highlight w:val="none"/>
                <w:lang w:eastAsia="zh-CN"/>
              </w:rPr>
              <w:t>3年</w:t>
            </w:r>
            <w:r>
              <w:rPr>
                <w:rFonts w:hint="eastAsia" w:ascii="宋体" w:hAnsi="宋体" w:cs="Times New Roman"/>
                <w:b w:val="0"/>
                <w:bCs w:val="0"/>
                <w:color w:val="auto"/>
                <w:sz w:val="21"/>
                <w:szCs w:val="21"/>
                <w:highlight w:val="none"/>
                <w:lang w:val="en-US" w:eastAsia="zh-CN"/>
              </w:rPr>
              <w:t>1月1日</w:t>
            </w:r>
            <w:r>
              <w:rPr>
                <w:rFonts w:hint="eastAsia" w:ascii="宋体" w:hAnsi="宋体" w:eastAsia="宋体" w:cs="Times New Roman"/>
                <w:b w:val="0"/>
                <w:bCs w:val="0"/>
                <w:color w:val="auto"/>
                <w:sz w:val="21"/>
                <w:szCs w:val="21"/>
                <w:highlight w:val="none"/>
              </w:rPr>
              <w:t>以来</w:t>
            </w:r>
            <w:r>
              <w:rPr>
                <w:rFonts w:hint="eastAsia" w:ascii="宋体" w:hAnsi="宋体" w:eastAsia="宋体" w:cs="Times New Roman"/>
                <w:b w:val="0"/>
                <w:bCs w:val="0"/>
                <w:color w:val="auto"/>
                <w:sz w:val="21"/>
                <w:szCs w:val="21"/>
                <w:highlight w:val="none"/>
                <w:lang w:val="en-US" w:eastAsia="zh-CN"/>
              </w:rPr>
              <w:t>具有</w:t>
            </w:r>
            <w:r>
              <w:rPr>
                <w:rFonts w:hint="eastAsia" w:ascii="宋体" w:hAnsi="宋体" w:eastAsia="宋体" w:cs="宋体"/>
                <w:b w:val="0"/>
                <w:bCs w:val="0"/>
                <w:i w:val="0"/>
                <w:iCs w:val="0"/>
                <w:color w:val="auto"/>
                <w:kern w:val="0"/>
                <w:sz w:val="21"/>
                <w:szCs w:val="21"/>
                <w:highlight w:val="none"/>
                <w:u w:val="none"/>
                <w:lang w:val="en-US" w:eastAsia="zh-CN" w:bidi="ar"/>
              </w:rPr>
              <w:t>CT设备维保</w:t>
            </w:r>
            <w:r>
              <w:rPr>
                <w:rFonts w:hint="eastAsia" w:ascii="宋体" w:hAnsi="宋体" w:eastAsia="宋体" w:cs="Times New Roman"/>
                <w:b w:val="0"/>
                <w:bCs w:val="0"/>
                <w:color w:val="auto"/>
                <w:sz w:val="21"/>
                <w:szCs w:val="21"/>
                <w:highlight w:val="none"/>
              </w:rPr>
              <w:t>业绩</w:t>
            </w:r>
            <w:r>
              <w:rPr>
                <w:rFonts w:hint="eastAsia" w:ascii="宋体" w:hAnsi="宋体" w:eastAsia="宋体" w:cs="Times New Roman"/>
                <w:b w:val="0"/>
                <w:bCs w:val="0"/>
                <w:color w:val="auto"/>
                <w:sz w:val="21"/>
                <w:szCs w:val="21"/>
                <w:highlight w:val="none"/>
                <w:lang w:val="en-US" w:eastAsia="zh-CN"/>
              </w:rPr>
              <w:t>的</w:t>
            </w:r>
            <w:r>
              <w:rPr>
                <w:rFonts w:hint="eastAsia" w:ascii="宋体" w:hAnsi="宋体" w:eastAsia="宋体" w:cs="Times New Roman"/>
                <w:b w:val="0"/>
                <w:bCs w:val="0"/>
                <w:color w:val="auto"/>
                <w:sz w:val="21"/>
                <w:szCs w:val="21"/>
                <w:highlight w:val="none"/>
              </w:rPr>
              <w:t>，每</w:t>
            </w:r>
            <w:r>
              <w:rPr>
                <w:rFonts w:hint="eastAsia" w:ascii="宋体" w:hAnsi="宋体" w:eastAsia="宋体" w:cs="Times New Roman"/>
                <w:b w:val="0"/>
                <w:bCs w:val="0"/>
                <w:color w:val="auto"/>
                <w:sz w:val="21"/>
                <w:szCs w:val="21"/>
                <w:highlight w:val="none"/>
                <w:lang w:val="en-US" w:eastAsia="zh-CN"/>
              </w:rPr>
              <w:t>提供一个</w:t>
            </w:r>
            <w:r>
              <w:rPr>
                <w:rFonts w:hint="eastAsia" w:ascii="宋体" w:hAnsi="宋体" w:eastAsia="宋体" w:cs="Times New Roman"/>
                <w:b w:val="0"/>
                <w:bCs w:val="0"/>
                <w:color w:val="auto"/>
                <w:sz w:val="21"/>
                <w:szCs w:val="21"/>
                <w:highlight w:val="none"/>
              </w:rPr>
              <w:t>计</w:t>
            </w:r>
            <w:r>
              <w:rPr>
                <w:rFonts w:hint="eastAsia" w:ascii="宋体" w:hAnsi="宋体" w:eastAsia="宋体" w:cs="Times New Roman"/>
                <w:b w:val="0"/>
                <w:bCs w:val="0"/>
                <w:color w:val="auto"/>
                <w:sz w:val="21"/>
                <w:szCs w:val="21"/>
                <w:highlight w:val="none"/>
                <w:lang w:val="en-US" w:eastAsia="zh-CN"/>
              </w:rPr>
              <w:t>20</w:t>
            </w:r>
            <w:r>
              <w:rPr>
                <w:rFonts w:hint="eastAsia" w:ascii="宋体" w:hAnsi="宋体" w:eastAsia="宋体" w:cs="Times New Roman"/>
                <w:b w:val="0"/>
                <w:bCs w:val="0"/>
                <w:color w:val="auto"/>
                <w:sz w:val="21"/>
                <w:szCs w:val="21"/>
                <w:highlight w:val="none"/>
              </w:rPr>
              <w:t>分，最多计</w:t>
            </w:r>
            <w:r>
              <w:rPr>
                <w:rFonts w:hint="eastAsia" w:ascii="宋体" w:hAnsi="宋体" w:eastAsia="宋体" w:cs="Times New Roman"/>
                <w:b w:val="0"/>
                <w:bCs w:val="0"/>
                <w:color w:val="auto"/>
                <w:sz w:val="21"/>
                <w:szCs w:val="21"/>
                <w:highlight w:val="none"/>
                <w:lang w:val="en-US" w:eastAsia="zh-CN"/>
              </w:rPr>
              <w:t>20</w:t>
            </w:r>
            <w:r>
              <w:rPr>
                <w:rFonts w:hint="eastAsia" w:ascii="宋体" w:hAnsi="宋体" w:eastAsia="宋体" w:cs="Times New Roman"/>
                <w:b w:val="0"/>
                <w:bCs w:val="0"/>
                <w:color w:val="auto"/>
                <w:sz w:val="21"/>
                <w:szCs w:val="21"/>
                <w:highlight w:val="none"/>
              </w:rPr>
              <w:t>分。</w:t>
            </w:r>
          </w:p>
          <w:p w14:paraId="6E627389">
            <w:pPr>
              <w:widowControl/>
              <w:spacing w:line="360" w:lineRule="auto"/>
              <w:jc w:val="left"/>
              <w:rPr>
                <w:rFonts w:ascii="宋体" w:hAnsi="宋体"/>
                <w:b w:val="0"/>
                <w:bCs w:val="0"/>
                <w:color w:val="auto"/>
                <w:sz w:val="21"/>
                <w:szCs w:val="21"/>
                <w:highlight w:val="none"/>
              </w:rPr>
            </w:pPr>
            <w:r>
              <w:rPr>
                <w:rFonts w:hint="eastAsia" w:ascii="宋体" w:hAnsi="宋体" w:eastAsia="宋体" w:cs="Times New Roman"/>
                <w:b w:val="0"/>
                <w:bCs w:val="0"/>
                <w:color w:val="auto"/>
                <w:sz w:val="21"/>
                <w:szCs w:val="21"/>
                <w:highlight w:val="none"/>
                <w:lang w:val="en-US" w:eastAsia="zh-CN"/>
              </w:rPr>
              <w:t>注：以上业绩不重复计分，</w:t>
            </w:r>
            <w:r>
              <w:rPr>
                <w:rFonts w:hint="eastAsia" w:ascii="宋体" w:hAnsi="宋体" w:eastAsia="宋体" w:cs="Times New Roman"/>
                <w:b w:val="0"/>
                <w:bCs w:val="0"/>
                <w:color w:val="auto"/>
                <w:sz w:val="21"/>
                <w:szCs w:val="21"/>
                <w:highlight w:val="none"/>
              </w:rPr>
              <w:t>提供合同扫描件</w:t>
            </w:r>
            <w:r>
              <w:rPr>
                <w:rFonts w:hint="eastAsia" w:ascii="宋体" w:hAnsi="宋体" w:eastAsia="宋体" w:cs="Times New Roman"/>
                <w:b w:val="0"/>
                <w:bCs w:val="0"/>
                <w:color w:val="auto"/>
                <w:sz w:val="21"/>
                <w:szCs w:val="21"/>
                <w:highlight w:val="none"/>
                <w:lang w:eastAsia="zh-CN"/>
              </w:rPr>
              <w:t>，</w:t>
            </w:r>
            <w:r>
              <w:rPr>
                <w:rFonts w:hint="eastAsia" w:ascii="宋体" w:hAnsi="宋体" w:eastAsia="宋体" w:cs="Times New Roman"/>
                <w:b w:val="0"/>
                <w:bCs w:val="0"/>
                <w:color w:val="auto"/>
                <w:sz w:val="21"/>
                <w:szCs w:val="21"/>
                <w:highlight w:val="none"/>
                <w:lang w:val="en-US" w:eastAsia="zh-CN"/>
              </w:rPr>
              <w:t>时间以签订合同为准，</w:t>
            </w:r>
            <w:r>
              <w:rPr>
                <w:rFonts w:hint="eastAsia" w:ascii="宋体" w:hAnsi="宋体" w:eastAsia="宋体" w:cs="Times New Roman"/>
                <w:b w:val="0"/>
                <w:bCs w:val="0"/>
                <w:color w:val="auto"/>
                <w:sz w:val="21"/>
                <w:szCs w:val="21"/>
                <w:highlight w:val="none"/>
              </w:rPr>
              <w:t>否则不计分。</w:t>
            </w:r>
          </w:p>
        </w:tc>
      </w:tr>
      <w:tr w14:paraId="180704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5" w:hRule="atLeast"/>
          <w:jc w:val="center"/>
        </w:trPr>
        <w:tc>
          <w:tcPr>
            <w:tcW w:w="599" w:type="dxa"/>
            <w:vMerge w:val="continue"/>
            <w:tcBorders>
              <w:right w:val="single" w:color="auto" w:sz="4" w:space="0"/>
            </w:tcBorders>
            <w:vAlign w:val="center"/>
          </w:tcPr>
          <w:p w14:paraId="415D5957">
            <w:pPr>
              <w:adjustRightInd w:val="0"/>
              <w:snapToGrid w:val="0"/>
              <w:spacing w:beforeLines="50" w:line="360" w:lineRule="auto"/>
              <w:jc w:val="center"/>
              <w:rPr>
                <w:rFonts w:asciiTheme="minorEastAsia" w:hAnsiTheme="minorEastAsia" w:eastAsiaTheme="minorEastAsia"/>
                <w:szCs w:val="21"/>
                <w:highlight w:val="none"/>
              </w:rPr>
            </w:pPr>
          </w:p>
        </w:tc>
        <w:tc>
          <w:tcPr>
            <w:tcW w:w="1268" w:type="dxa"/>
            <w:vMerge w:val="continue"/>
            <w:tcBorders>
              <w:left w:val="single" w:color="auto" w:sz="4" w:space="0"/>
            </w:tcBorders>
            <w:vAlign w:val="center"/>
          </w:tcPr>
          <w:p w14:paraId="3D1D6689">
            <w:pPr>
              <w:adjustRightInd w:val="0"/>
              <w:snapToGrid w:val="0"/>
              <w:spacing w:beforeLines="50" w:line="360" w:lineRule="auto"/>
              <w:jc w:val="center"/>
              <w:rPr>
                <w:rFonts w:asciiTheme="minorEastAsia" w:hAnsiTheme="minorEastAsia" w:eastAsiaTheme="minorEastAsia"/>
                <w:szCs w:val="21"/>
                <w:highlight w:val="none"/>
              </w:rPr>
            </w:pPr>
          </w:p>
        </w:tc>
        <w:tc>
          <w:tcPr>
            <w:tcW w:w="1295" w:type="dxa"/>
            <w:tcBorders>
              <w:left w:val="single" w:color="auto" w:sz="4" w:space="0"/>
            </w:tcBorders>
            <w:shd w:val="clear" w:color="auto" w:fill="auto"/>
            <w:vAlign w:val="center"/>
          </w:tcPr>
          <w:p w14:paraId="3B7E24CB">
            <w:pPr>
              <w:widowControl w:val="0"/>
              <w:spacing w:after="120" w:line="360" w:lineRule="auto"/>
              <w:ind w:firstLine="0" w:firstLineChars="0"/>
              <w:jc w:val="center"/>
              <w:rPr>
                <w:rFonts w:hint="eastAsia"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技术团队人员</w:t>
            </w:r>
            <w:r>
              <w:rPr>
                <w:rFonts w:hint="eastAsia" w:ascii="宋体" w:hAnsi="宋体" w:eastAsia="宋体" w:cs="宋体"/>
                <w:b/>
                <w:bCs/>
                <w:color w:val="000000"/>
                <w:kern w:val="2"/>
                <w:sz w:val="21"/>
                <w:szCs w:val="21"/>
                <w:highlight w:val="none"/>
                <w:lang w:val="en-US" w:eastAsia="zh-CN" w:bidi="ar-SA"/>
              </w:rPr>
              <w:t>（50分）</w:t>
            </w:r>
          </w:p>
        </w:tc>
        <w:tc>
          <w:tcPr>
            <w:tcW w:w="6090" w:type="dxa"/>
            <w:shd w:val="clear" w:color="auto" w:fill="auto"/>
            <w:vAlign w:val="top"/>
          </w:tcPr>
          <w:p w14:paraId="1C83555F">
            <w:pPr>
              <w:widowControl w:val="0"/>
              <w:numPr>
                <w:ilvl w:val="0"/>
                <w:numId w:val="2"/>
              </w:numPr>
              <w:spacing w:after="120" w:line="360" w:lineRule="auto"/>
              <w:ind w:firstLine="0" w:firstLineChars="0"/>
              <w:jc w:val="both"/>
              <w:rPr>
                <w:rFonts w:hint="default"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拟任项目负责人：具有5年以上医疗设备检测、维修相关工作经验的计</w:t>
            </w:r>
            <w:r>
              <w:rPr>
                <w:rFonts w:hint="default" w:ascii="宋体" w:hAnsi="宋体" w:eastAsia="宋体" w:cs="宋体"/>
                <w:b w:val="0"/>
                <w:bCs w:val="0"/>
                <w:kern w:val="2"/>
                <w:sz w:val="21"/>
                <w:szCs w:val="21"/>
                <w:highlight w:val="none"/>
                <w:lang w:val="en-US" w:eastAsia="zh-CN" w:bidi="ar-SA"/>
              </w:rPr>
              <w:t>5</w:t>
            </w:r>
            <w:r>
              <w:rPr>
                <w:rFonts w:hint="eastAsia" w:ascii="宋体" w:hAnsi="宋体" w:eastAsia="宋体" w:cs="宋体"/>
                <w:b w:val="0"/>
                <w:bCs w:val="0"/>
                <w:kern w:val="2"/>
                <w:sz w:val="21"/>
                <w:szCs w:val="21"/>
                <w:highlight w:val="none"/>
                <w:lang w:val="en-US" w:eastAsia="zh-CN" w:bidi="ar-SA"/>
              </w:rPr>
              <w:t xml:space="preserve">分，具有本科及以上学历计5分，具有医疗设备维修工程师证书计5分，具有医疗设备维保管理能力培训证书计5分。本小项最多计20分。提供相关经验证明材料、学历证书、工程师证书、培训证书及劳动合同扫描件，否则不计分。 </w:t>
            </w:r>
          </w:p>
          <w:p w14:paraId="2DBA072B">
            <w:pPr>
              <w:widowControl w:val="0"/>
              <w:spacing w:after="120" w:line="360" w:lineRule="auto"/>
              <w:ind w:firstLine="0" w:firstLineChars="0"/>
              <w:jc w:val="both"/>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2）驻场工程师：每提供一名具有3年以上医疗设备检测、维修相关工作经验的计5分，具有专科及以上学历计5分，具有医疗设备维修工程师证书计5分。本小项最多计2人，本小项最多计30分。提供相关经验证明材料、学历证书、工程师证书及劳动合同扫描件，否则不计分。</w:t>
            </w:r>
          </w:p>
        </w:tc>
      </w:tr>
    </w:tbl>
    <w:p w14:paraId="3A0A9BCC">
      <w:pPr>
        <w:rPr>
          <w:rFonts w:hint="eastAsia" w:ascii="黑体" w:hAnsi="黑体" w:eastAsia="黑体"/>
          <w:b/>
          <w:sz w:val="28"/>
          <w:szCs w:val="28"/>
          <w:highlight w:val="none"/>
        </w:rPr>
      </w:pPr>
      <w:r>
        <w:rPr>
          <w:rFonts w:hint="eastAsia" w:ascii="黑体" w:hAnsi="黑体" w:eastAsia="黑体"/>
          <w:b/>
          <w:sz w:val="28"/>
          <w:szCs w:val="28"/>
          <w:highlight w:val="none"/>
        </w:rPr>
        <w:br w:type="page"/>
      </w:r>
    </w:p>
    <w:p w14:paraId="3D1962F7">
      <w:pPr>
        <w:adjustRightInd w:val="0"/>
        <w:snapToGrid w:val="0"/>
        <w:spacing w:line="360" w:lineRule="auto"/>
        <w:jc w:val="center"/>
        <w:rPr>
          <w:rFonts w:ascii="黑体" w:hAnsi="黑体" w:eastAsia="黑体"/>
          <w:highlight w:val="none"/>
        </w:rPr>
      </w:pPr>
      <w:r>
        <w:rPr>
          <w:rFonts w:hint="eastAsia" w:ascii="黑体" w:eastAsia="黑体"/>
          <w:sz w:val="28"/>
          <w:szCs w:val="28"/>
          <w:highlight w:val="none"/>
        </w:rPr>
        <w:t>包</w:t>
      </w:r>
      <w:r>
        <w:rPr>
          <w:rFonts w:hint="eastAsia" w:ascii="黑体" w:eastAsia="黑体"/>
          <w:sz w:val="28"/>
          <w:szCs w:val="28"/>
          <w:highlight w:val="none"/>
          <w:lang w:val="en-US" w:eastAsia="zh-CN"/>
        </w:rPr>
        <w:t>2</w:t>
      </w:r>
      <w:r>
        <w:rPr>
          <w:rFonts w:hint="eastAsia" w:ascii="黑体" w:eastAsia="黑体"/>
          <w:sz w:val="28"/>
          <w:szCs w:val="28"/>
          <w:highlight w:val="none"/>
        </w:rPr>
        <w:t>评标因素及权值</w:t>
      </w:r>
    </w:p>
    <w:tbl>
      <w:tblPr>
        <w:tblStyle w:val="45"/>
        <w:tblW w:w="900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4547"/>
        <w:gridCol w:w="4453"/>
      </w:tblGrid>
      <w:tr w14:paraId="5F7615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9000" w:type="dxa"/>
            <w:gridSpan w:val="2"/>
            <w:tcBorders>
              <w:top w:val="single" w:color="auto" w:sz="12" w:space="0"/>
              <w:left w:val="single" w:color="auto" w:sz="12" w:space="0"/>
              <w:bottom w:val="single" w:color="auto" w:sz="4" w:space="0"/>
              <w:right w:val="single" w:color="auto" w:sz="12" w:space="0"/>
            </w:tcBorders>
            <w:noWrap/>
            <w:vAlign w:val="center"/>
          </w:tcPr>
          <w:p w14:paraId="4BE50076">
            <w:pPr>
              <w:jc w:val="center"/>
              <w:rPr>
                <w:rFonts w:ascii="宋体" w:hAnsi="宋体" w:cs="宋体"/>
                <w:szCs w:val="21"/>
                <w:highlight w:val="none"/>
              </w:rPr>
            </w:pPr>
            <w:r>
              <w:rPr>
                <w:rFonts w:hint="eastAsia" w:ascii="宋体" w:hAnsi="宋体" w:cs="宋体"/>
                <w:szCs w:val="21"/>
                <w:highlight w:val="none"/>
              </w:rPr>
              <w:t>评标因素及权值</w:t>
            </w:r>
          </w:p>
        </w:tc>
      </w:tr>
      <w:tr w14:paraId="05071D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97" w:hRule="atLeast"/>
          <w:jc w:val="center"/>
        </w:trPr>
        <w:tc>
          <w:tcPr>
            <w:tcW w:w="4547" w:type="dxa"/>
            <w:tcBorders>
              <w:top w:val="single" w:color="auto" w:sz="4" w:space="0"/>
              <w:left w:val="single" w:color="auto" w:sz="12" w:space="0"/>
              <w:bottom w:val="single" w:color="auto" w:sz="4" w:space="0"/>
              <w:right w:val="single" w:color="auto" w:sz="4" w:space="0"/>
            </w:tcBorders>
            <w:noWrap/>
            <w:vAlign w:val="center"/>
          </w:tcPr>
          <w:p w14:paraId="5CC808F7">
            <w:pPr>
              <w:jc w:val="center"/>
              <w:rPr>
                <w:rFonts w:ascii="宋体" w:hAnsi="宋体" w:cs="宋体"/>
                <w:szCs w:val="21"/>
                <w:highlight w:val="none"/>
              </w:rPr>
            </w:pPr>
            <w:r>
              <w:rPr>
                <w:rFonts w:hint="eastAsia" w:ascii="宋体" w:hAnsi="宋体" w:cs="宋体"/>
                <w:szCs w:val="21"/>
                <w:highlight w:val="none"/>
              </w:rPr>
              <w:t>评标因素</w:t>
            </w:r>
          </w:p>
        </w:tc>
        <w:tc>
          <w:tcPr>
            <w:tcW w:w="4453" w:type="dxa"/>
            <w:tcBorders>
              <w:top w:val="single" w:color="auto" w:sz="4" w:space="0"/>
              <w:left w:val="single" w:color="auto" w:sz="4" w:space="0"/>
              <w:bottom w:val="single" w:color="auto" w:sz="4" w:space="0"/>
              <w:right w:val="single" w:color="auto" w:sz="12" w:space="0"/>
            </w:tcBorders>
            <w:noWrap/>
            <w:vAlign w:val="center"/>
          </w:tcPr>
          <w:p w14:paraId="50FC47B3">
            <w:pPr>
              <w:jc w:val="center"/>
              <w:rPr>
                <w:rFonts w:ascii="宋体" w:hAnsi="宋体" w:cs="宋体"/>
                <w:szCs w:val="21"/>
                <w:highlight w:val="none"/>
              </w:rPr>
            </w:pPr>
            <w:r>
              <w:rPr>
                <w:rFonts w:hint="eastAsia" w:ascii="宋体" w:hAnsi="宋体" w:cs="宋体"/>
                <w:szCs w:val="21"/>
                <w:highlight w:val="none"/>
              </w:rPr>
              <w:t>权值范围</w:t>
            </w:r>
          </w:p>
        </w:tc>
      </w:tr>
      <w:tr w14:paraId="2DF616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8" w:hRule="atLeast"/>
          <w:jc w:val="center"/>
        </w:trPr>
        <w:tc>
          <w:tcPr>
            <w:tcW w:w="4547" w:type="dxa"/>
            <w:tcBorders>
              <w:top w:val="single" w:color="auto" w:sz="4" w:space="0"/>
              <w:left w:val="single" w:color="auto" w:sz="12" w:space="0"/>
              <w:bottom w:val="single" w:color="auto" w:sz="4" w:space="0"/>
              <w:right w:val="single" w:color="auto" w:sz="4" w:space="0"/>
            </w:tcBorders>
            <w:noWrap/>
            <w:vAlign w:val="center"/>
          </w:tcPr>
          <w:p w14:paraId="0A333B83">
            <w:pPr>
              <w:jc w:val="center"/>
              <w:rPr>
                <w:rFonts w:ascii="宋体" w:hAnsi="宋体" w:cs="宋体"/>
                <w:color w:val="auto"/>
                <w:szCs w:val="21"/>
                <w:highlight w:val="none"/>
              </w:rPr>
            </w:pPr>
            <w:r>
              <w:rPr>
                <w:rFonts w:hint="eastAsia" w:ascii="宋体" w:hAnsi="宋体" w:cs="宋体"/>
                <w:color w:val="auto"/>
                <w:szCs w:val="21"/>
                <w:highlight w:val="none"/>
              </w:rPr>
              <w:t>技术部分</w:t>
            </w:r>
          </w:p>
        </w:tc>
        <w:tc>
          <w:tcPr>
            <w:tcW w:w="4453" w:type="dxa"/>
            <w:tcBorders>
              <w:top w:val="single" w:color="auto" w:sz="4" w:space="0"/>
              <w:left w:val="single" w:color="auto" w:sz="4" w:space="0"/>
              <w:bottom w:val="single" w:color="auto" w:sz="4" w:space="0"/>
              <w:right w:val="single" w:color="auto" w:sz="12" w:space="0"/>
            </w:tcBorders>
            <w:noWrap/>
            <w:vAlign w:val="center"/>
          </w:tcPr>
          <w:p w14:paraId="010ADB0E">
            <w:pPr>
              <w:jc w:val="center"/>
              <w:rPr>
                <w:rFonts w:ascii="宋体" w:hAnsi="宋体" w:cs="宋体"/>
                <w:color w:val="auto"/>
                <w:szCs w:val="21"/>
                <w:highlight w:val="none"/>
              </w:rPr>
            </w:pPr>
            <w:r>
              <w:rPr>
                <w:rFonts w:hint="eastAsia" w:ascii="宋体" w:hAnsi="宋体" w:cs="宋体"/>
                <w:color w:val="auto"/>
                <w:szCs w:val="21"/>
                <w:highlight w:val="none"/>
                <w:lang w:val="en-US" w:eastAsia="zh-CN"/>
              </w:rPr>
              <w:t>50</w:t>
            </w:r>
            <w:r>
              <w:rPr>
                <w:rFonts w:hint="eastAsia" w:ascii="宋体" w:hAnsi="宋体" w:cs="宋体"/>
                <w:color w:val="auto"/>
                <w:szCs w:val="21"/>
                <w:highlight w:val="none"/>
              </w:rPr>
              <w:t>%</w:t>
            </w:r>
          </w:p>
        </w:tc>
      </w:tr>
      <w:tr w14:paraId="1165A0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90" w:hRule="atLeast"/>
          <w:jc w:val="center"/>
        </w:trPr>
        <w:tc>
          <w:tcPr>
            <w:tcW w:w="4547" w:type="dxa"/>
            <w:tcBorders>
              <w:top w:val="single" w:color="auto" w:sz="4" w:space="0"/>
              <w:left w:val="single" w:color="auto" w:sz="12" w:space="0"/>
              <w:bottom w:val="single" w:color="auto" w:sz="4" w:space="0"/>
              <w:right w:val="single" w:color="auto" w:sz="4" w:space="0"/>
            </w:tcBorders>
            <w:noWrap/>
            <w:vAlign w:val="center"/>
          </w:tcPr>
          <w:p w14:paraId="2DF357FD">
            <w:pPr>
              <w:jc w:val="center"/>
              <w:rPr>
                <w:rFonts w:ascii="宋体" w:hAnsi="宋体" w:cs="宋体"/>
                <w:color w:val="auto"/>
                <w:szCs w:val="21"/>
                <w:highlight w:val="none"/>
              </w:rPr>
            </w:pPr>
            <w:r>
              <w:rPr>
                <w:rFonts w:hint="eastAsia" w:ascii="宋体" w:hAnsi="宋体" w:cs="宋体"/>
                <w:color w:val="auto"/>
                <w:szCs w:val="21"/>
                <w:highlight w:val="none"/>
              </w:rPr>
              <w:t>商务部分</w:t>
            </w:r>
          </w:p>
        </w:tc>
        <w:tc>
          <w:tcPr>
            <w:tcW w:w="4453" w:type="dxa"/>
            <w:tcBorders>
              <w:top w:val="single" w:color="auto" w:sz="4" w:space="0"/>
              <w:left w:val="single" w:color="auto" w:sz="4" w:space="0"/>
              <w:bottom w:val="single" w:color="auto" w:sz="4" w:space="0"/>
              <w:right w:val="single" w:color="auto" w:sz="12" w:space="0"/>
            </w:tcBorders>
            <w:noWrap/>
            <w:vAlign w:val="center"/>
          </w:tcPr>
          <w:p w14:paraId="46DC0DB7">
            <w:pPr>
              <w:jc w:val="center"/>
              <w:rPr>
                <w:rFonts w:ascii="宋体" w:hAnsi="宋体" w:cs="宋体"/>
                <w:color w:val="auto"/>
                <w:szCs w:val="21"/>
                <w:highlight w:val="none"/>
              </w:rPr>
            </w:pP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w:t>
            </w:r>
          </w:p>
        </w:tc>
      </w:tr>
      <w:tr w14:paraId="6F745C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4547" w:type="dxa"/>
            <w:tcBorders>
              <w:top w:val="single" w:color="auto" w:sz="4" w:space="0"/>
              <w:left w:val="single" w:color="auto" w:sz="12" w:space="0"/>
              <w:bottom w:val="single" w:color="auto" w:sz="12" w:space="0"/>
              <w:right w:val="single" w:color="auto" w:sz="4" w:space="0"/>
            </w:tcBorders>
            <w:noWrap/>
            <w:vAlign w:val="center"/>
          </w:tcPr>
          <w:p w14:paraId="77CD9561">
            <w:pPr>
              <w:jc w:val="center"/>
              <w:rPr>
                <w:rFonts w:ascii="宋体" w:hAnsi="宋体" w:cs="宋体"/>
                <w:color w:val="auto"/>
                <w:szCs w:val="21"/>
                <w:highlight w:val="none"/>
              </w:rPr>
            </w:pPr>
            <w:r>
              <w:rPr>
                <w:rFonts w:hint="eastAsia" w:ascii="宋体" w:hAnsi="宋体" w:cs="宋体"/>
                <w:color w:val="auto"/>
                <w:szCs w:val="21"/>
                <w:highlight w:val="none"/>
              </w:rPr>
              <w:t>价格部分</w:t>
            </w:r>
          </w:p>
        </w:tc>
        <w:tc>
          <w:tcPr>
            <w:tcW w:w="4453" w:type="dxa"/>
            <w:tcBorders>
              <w:top w:val="single" w:color="auto" w:sz="4" w:space="0"/>
              <w:left w:val="single" w:color="auto" w:sz="4" w:space="0"/>
              <w:bottom w:val="single" w:color="auto" w:sz="12" w:space="0"/>
              <w:right w:val="single" w:color="auto" w:sz="12" w:space="0"/>
            </w:tcBorders>
            <w:noWrap/>
            <w:vAlign w:val="center"/>
          </w:tcPr>
          <w:p w14:paraId="16EEA05F">
            <w:pPr>
              <w:jc w:val="center"/>
              <w:rPr>
                <w:rFonts w:ascii="宋体" w:hAnsi="宋体" w:cs="宋体"/>
                <w:color w:val="auto"/>
                <w:szCs w:val="21"/>
                <w:highlight w:val="none"/>
              </w:rPr>
            </w:pP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w:t>
            </w:r>
          </w:p>
        </w:tc>
      </w:tr>
    </w:tbl>
    <w:p w14:paraId="77CDC9C7">
      <w:pPr>
        <w:adjustRightInd w:val="0"/>
        <w:snapToGrid w:val="0"/>
        <w:spacing w:beforeLines="50" w:line="360" w:lineRule="auto"/>
        <w:jc w:val="center"/>
        <w:rPr>
          <w:rFonts w:ascii="黑体" w:hAnsi="黑体" w:eastAsia="黑体"/>
          <w:b/>
          <w:sz w:val="28"/>
          <w:szCs w:val="28"/>
          <w:highlight w:val="none"/>
        </w:rPr>
      </w:pPr>
    </w:p>
    <w:p w14:paraId="4CEC6FAD">
      <w:pPr>
        <w:adjustRightInd w:val="0"/>
        <w:snapToGrid w:val="0"/>
        <w:spacing w:beforeLines="50" w:line="360" w:lineRule="auto"/>
        <w:jc w:val="center"/>
        <w:rPr>
          <w:rFonts w:hint="eastAsia" w:ascii="黑体" w:hAnsi="黑体" w:eastAsia="黑体"/>
          <w:b/>
          <w:sz w:val="28"/>
          <w:szCs w:val="28"/>
          <w:highlight w:val="none"/>
          <w:lang w:val="en-US" w:eastAsia="zh-CN"/>
        </w:rPr>
      </w:pPr>
    </w:p>
    <w:p w14:paraId="795BD186">
      <w:pPr>
        <w:adjustRightInd w:val="0"/>
        <w:snapToGrid w:val="0"/>
        <w:spacing w:beforeLines="50" w:line="360" w:lineRule="auto"/>
        <w:jc w:val="center"/>
        <w:rPr>
          <w:rFonts w:hint="eastAsia" w:ascii="黑体" w:hAnsi="黑体" w:eastAsia="黑体"/>
          <w:b/>
          <w:sz w:val="28"/>
          <w:szCs w:val="28"/>
          <w:highlight w:val="none"/>
        </w:rPr>
      </w:pPr>
      <w:r>
        <w:rPr>
          <w:rFonts w:hint="eastAsia" w:ascii="黑体" w:hAnsi="黑体" w:eastAsia="黑体"/>
          <w:b/>
          <w:sz w:val="28"/>
          <w:szCs w:val="28"/>
          <w:highlight w:val="none"/>
          <w:lang w:val="en-US" w:eastAsia="zh-CN"/>
        </w:rPr>
        <w:t>包2</w:t>
      </w:r>
      <w:r>
        <w:rPr>
          <w:rFonts w:hint="eastAsia" w:ascii="黑体" w:hAnsi="黑体" w:eastAsia="黑体"/>
          <w:b/>
          <w:sz w:val="28"/>
          <w:szCs w:val="28"/>
          <w:highlight w:val="none"/>
        </w:rPr>
        <w:t>评标方法及标准</w:t>
      </w:r>
    </w:p>
    <w:tbl>
      <w:tblPr>
        <w:tblStyle w:val="45"/>
        <w:tblW w:w="925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99"/>
        <w:gridCol w:w="1268"/>
        <w:gridCol w:w="1295"/>
        <w:gridCol w:w="6090"/>
      </w:tblGrid>
      <w:tr w14:paraId="02113A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00" w:hRule="atLeast"/>
          <w:jc w:val="center"/>
        </w:trPr>
        <w:tc>
          <w:tcPr>
            <w:tcW w:w="599" w:type="dxa"/>
            <w:tcBorders>
              <w:right w:val="single" w:color="auto" w:sz="4" w:space="0"/>
            </w:tcBorders>
            <w:vAlign w:val="center"/>
          </w:tcPr>
          <w:p w14:paraId="444E7725">
            <w:pPr>
              <w:adjustRightInd w:val="0"/>
              <w:snapToGrid w:val="0"/>
              <w:spacing w:beforeLines="50" w:line="360" w:lineRule="auto"/>
              <w:jc w:val="center"/>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序号</w:t>
            </w:r>
          </w:p>
        </w:tc>
        <w:tc>
          <w:tcPr>
            <w:tcW w:w="2563" w:type="dxa"/>
            <w:gridSpan w:val="2"/>
            <w:tcBorders>
              <w:left w:val="single" w:color="auto" w:sz="4" w:space="0"/>
              <w:right w:val="single" w:color="auto" w:sz="4" w:space="0"/>
            </w:tcBorders>
            <w:vAlign w:val="center"/>
          </w:tcPr>
          <w:p w14:paraId="2E6E52EC">
            <w:pPr>
              <w:adjustRightInd w:val="0"/>
              <w:snapToGrid w:val="0"/>
              <w:spacing w:beforeLines="50" w:line="360" w:lineRule="auto"/>
              <w:jc w:val="center"/>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评标因素（分值）</w:t>
            </w:r>
          </w:p>
        </w:tc>
        <w:tc>
          <w:tcPr>
            <w:tcW w:w="6090" w:type="dxa"/>
            <w:tcBorders>
              <w:left w:val="single" w:color="auto" w:sz="4" w:space="0"/>
            </w:tcBorders>
            <w:vAlign w:val="center"/>
          </w:tcPr>
          <w:p w14:paraId="166C06A7">
            <w:pPr>
              <w:adjustRightInd w:val="0"/>
              <w:snapToGrid w:val="0"/>
              <w:spacing w:beforeLines="50" w:line="360" w:lineRule="auto"/>
              <w:jc w:val="center"/>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评标标准</w:t>
            </w:r>
          </w:p>
        </w:tc>
      </w:tr>
      <w:tr w14:paraId="607740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99" w:type="dxa"/>
            <w:tcBorders>
              <w:right w:val="single" w:color="auto" w:sz="4" w:space="0"/>
            </w:tcBorders>
            <w:vAlign w:val="center"/>
          </w:tcPr>
          <w:p w14:paraId="2FEA5E46">
            <w:pPr>
              <w:adjustRightInd w:val="0"/>
              <w:snapToGrid w:val="0"/>
              <w:spacing w:beforeLines="50" w:line="360" w:lineRule="auto"/>
              <w:jc w:val="center"/>
              <w:rPr>
                <w:rFonts w:asciiTheme="minorEastAsia" w:hAnsiTheme="minorEastAsia" w:eastAsiaTheme="minorEastAsia"/>
                <w:b/>
                <w:szCs w:val="21"/>
                <w:highlight w:val="none"/>
              </w:rPr>
            </w:pPr>
            <w:r>
              <w:rPr>
                <w:rFonts w:hint="eastAsia" w:asciiTheme="minorEastAsia" w:hAnsiTheme="minorEastAsia" w:eastAsiaTheme="minorEastAsia"/>
                <w:b w:val="0"/>
                <w:bCs/>
                <w:szCs w:val="21"/>
                <w:highlight w:val="none"/>
              </w:rPr>
              <w:t>1</w:t>
            </w:r>
          </w:p>
        </w:tc>
        <w:tc>
          <w:tcPr>
            <w:tcW w:w="2563" w:type="dxa"/>
            <w:gridSpan w:val="2"/>
            <w:tcBorders>
              <w:left w:val="single" w:color="auto" w:sz="4" w:space="0"/>
              <w:right w:val="single" w:color="auto" w:sz="4" w:space="0"/>
            </w:tcBorders>
            <w:vAlign w:val="center"/>
          </w:tcPr>
          <w:p w14:paraId="45F45E9C">
            <w:pPr>
              <w:adjustRightInd w:val="0"/>
              <w:snapToGrid w:val="0"/>
              <w:spacing w:beforeLines="50" w:line="360" w:lineRule="auto"/>
              <w:jc w:val="center"/>
              <w:rPr>
                <w:rFonts w:hint="eastAsia"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价格评价项</w:t>
            </w:r>
          </w:p>
          <w:p w14:paraId="55D80F31">
            <w:pPr>
              <w:adjustRightInd w:val="0"/>
              <w:snapToGrid w:val="0"/>
              <w:spacing w:beforeLines="50" w:line="360" w:lineRule="auto"/>
              <w:jc w:val="center"/>
              <w:rPr>
                <w:rFonts w:hint="eastAsia" w:asciiTheme="minorEastAsia" w:hAnsiTheme="minorEastAsia" w:eastAsiaTheme="minorEastAsia"/>
                <w:b/>
                <w:szCs w:val="21"/>
                <w:highlight w:val="none"/>
                <w:lang w:eastAsia="zh-CN"/>
              </w:rPr>
            </w:pPr>
            <w:r>
              <w:rPr>
                <w:rFonts w:hint="eastAsia" w:asciiTheme="minorEastAsia" w:hAnsiTheme="minorEastAsia" w:eastAsiaTheme="minorEastAsia"/>
                <w:b w:val="0"/>
                <w:bCs/>
                <w:szCs w:val="21"/>
                <w:highlight w:val="none"/>
                <w:lang w:eastAsia="zh-CN"/>
              </w:rPr>
              <w:t>（</w:t>
            </w:r>
            <w:r>
              <w:rPr>
                <w:rFonts w:hint="eastAsia" w:asciiTheme="minorEastAsia" w:hAnsiTheme="minorEastAsia" w:eastAsiaTheme="minorEastAsia"/>
                <w:b w:val="0"/>
                <w:bCs/>
                <w:szCs w:val="21"/>
                <w:highlight w:val="none"/>
                <w:lang w:val="en-US" w:eastAsia="zh-CN"/>
              </w:rPr>
              <w:t>100分</w:t>
            </w:r>
            <w:r>
              <w:rPr>
                <w:rFonts w:hint="eastAsia" w:asciiTheme="minorEastAsia" w:hAnsiTheme="minorEastAsia" w:eastAsiaTheme="minorEastAsia"/>
                <w:b w:val="0"/>
                <w:bCs/>
                <w:szCs w:val="21"/>
                <w:highlight w:val="none"/>
                <w:lang w:eastAsia="zh-CN"/>
              </w:rPr>
              <w:t>）</w:t>
            </w:r>
          </w:p>
        </w:tc>
        <w:tc>
          <w:tcPr>
            <w:tcW w:w="6090" w:type="dxa"/>
            <w:tcBorders>
              <w:left w:val="single" w:color="auto" w:sz="4" w:space="0"/>
            </w:tcBorders>
            <w:vAlign w:val="center"/>
          </w:tcPr>
          <w:p w14:paraId="1A72053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lang w:val="en-US" w:eastAsia="zh-CN"/>
                <w14:textFill>
                  <w14:solidFill>
                    <w14:schemeClr w14:val="tx1"/>
                  </w14:solidFill>
                </w14:textFill>
              </w:rPr>
              <w:t>一、</w:t>
            </w:r>
            <w:r>
              <w:rPr>
                <w:rFonts w:hint="eastAsia" w:ascii="宋体" w:hAnsi="宋体"/>
                <w:color w:val="000000" w:themeColor="text1"/>
                <w:szCs w:val="21"/>
                <w:highlight w:val="none"/>
                <w14:textFill>
                  <w14:solidFill>
                    <w14:schemeClr w14:val="tx1"/>
                  </w14:solidFill>
                </w14:textFill>
              </w:rPr>
              <w:t>以经评委会一致认定满足招标文件要求且投标价格最低的投标报价为评标基准价，其价格得分计100分。其他投标人的价格得分统一按公式计算：报价得分</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评标基准价÷投标报价×价格权重</w:t>
            </w:r>
          </w:p>
          <w:p w14:paraId="0B304537">
            <w:pPr>
              <w:spacing w:line="360" w:lineRule="auto"/>
              <w:rPr>
                <w:rFonts w:hint="eastAsia" w:ascii="宋体" w:hAnsi="宋体" w:eastAsia="宋体" w:cs="Times New Roman"/>
                <w:color w:val="000000" w:themeColor="text1"/>
                <w:szCs w:val="21"/>
                <w:highlight w:val="none"/>
                <w:lang w:eastAsia="zh-CN"/>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二、</w:t>
            </w:r>
            <w:r>
              <w:rPr>
                <w:rFonts w:hint="eastAsia" w:ascii="宋体" w:hAnsi="宋体" w:eastAsia="宋体" w:cs="Times New Roman"/>
                <w:color w:val="000000" w:themeColor="text1"/>
                <w:szCs w:val="21"/>
                <w:highlight w:val="none"/>
                <w14:textFill>
                  <w14:solidFill>
                    <w14:schemeClr w14:val="tx1"/>
                  </w14:solidFill>
                </w14:textFill>
              </w:rPr>
              <w:t>参照</w:t>
            </w:r>
            <w:r>
              <w:rPr>
                <w:rFonts w:hint="eastAsia" w:ascii="宋体" w:hAnsi="宋体" w:eastAsia="宋体" w:cs="Times New Roman"/>
                <w:color w:val="000000" w:themeColor="text1"/>
                <w:szCs w:val="21"/>
                <w:highlight w:val="none"/>
                <w:lang w:eastAsia="zh-CN"/>
                <w14:textFill>
                  <w14:solidFill>
                    <w14:schemeClr w14:val="tx1"/>
                  </w14:solidFill>
                </w14:textFill>
              </w:rPr>
              <w:t>《关于推动解决政府采购异常低价问题的通知》（财库〔2026〕2号）</w:t>
            </w:r>
            <w:r>
              <w:rPr>
                <w:rFonts w:hint="eastAsia" w:ascii="宋体" w:hAnsi="宋体" w:eastAsia="宋体" w:cs="Times New Roman"/>
                <w:color w:val="000000" w:themeColor="text1"/>
                <w:szCs w:val="21"/>
                <w:highlight w:val="none"/>
                <w14:textFill>
                  <w14:solidFill>
                    <w14:schemeClr w14:val="tx1"/>
                  </w14:solidFill>
                </w14:textFill>
              </w:rPr>
              <w:t>第的规定</w:t>
            </w:r>
            <w:r>
              <w:rPr>
                <w:rFonts w:hint="eastAsia" w:ascii="宋体" w:hAnsi="宋体" w:eastAsia="宋体" w:cs="Times New Roman"/>
                <w:color w:val="000000" w:themeColor="text1"/>
                <w:szCs w:val="21"/>
                <w:highlight w:val="none"/>
                <w:lang w:eastAsia="zh-CN"/>
                <w14:textFill>
                  <w14:solidFill>
                    <w14:schemeClr w14:val="tx1"/>
                  </w14:solidFill>
                </w14:textFill>
              </w:rPr>
              <w:t>：</w:t>
            </w:r>
          </w:p>
          <w:p w14:paraId="5BAE29C4">
            <w:pPr>
              <w:spacing w:line="360" w:lineRule="auto"/>
              <w:rPr>
                <w:rFonts w:hint="eastAsia" w:ascii="宋体" w:hAnsi="宋体" w:eastAsia="宋体" w:cs="Times New Roman"/>
                <w:b/>
                <w:bCs/>
                <w:color w:val="000000" w:themeColor="text1"/>
                <w:szCs w:val="21"/>
                <w:highlight w:val="none"/>
                <w14:textFill>
                  <w14:solidFill>
                    <w14:schemeClr w14:val="tx1"/>
                  </w14:solidFill>
                </w14:textFill>
              </w:rPr>
            </w:pPr>
            <w:r>
              <w:rPr>
                <w:rFonts w:hint="eastAsia" w:ascii="宋体" w:hAnsi="宋体" w:eastAsia="宋体" w:cs="Times New Roman"/>
                <w:b/>
                <w:bCs/>
                <w:color w:val="000000" w:themeColor="text1"/>
                <w:szCs w:val="21"/>
                <w:highlight w:val="none"/>
                <w14:textFill>
                  <w14:solidFill>
                    <w14:schemeClr w14:val="tx1"/>
                  </w14:solidFill>
                </w14:textFill>
              </w:rPr>
              <w:t>政府采购评审中出现下列情形之一的，评审委员会应当启动异常低价投标（响应）审查程序：</w:t>
            </w:r>
          </w:p>
          <w:p w14:paraId="2A3B8682">
            <w:pPr>
              <w:spacing w:line="360" w:lineRule="auto"/>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1.投标（响应）报价低于全部通过符合性审查供应商投标（响应）报价平均值50%的，即投标（响应）报价&lt;全部通过符合性审查供应商投标（响应）报价平均值×50%；</w:t>
            </w:r>
          </w:p>
          <w:p w14:paraId="3BD65685">
            <w:pPr>
              <w:spacing w:line="360" w:lineRule="auto"/>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2.投标（响应）报价低于通过符合性审查的次低报价供应商投标（响应）报价50%的，即投标（响应）报价&lt;通过符合性审查的次低报价供应商投标（响应）报价×50%；</w:t>
            </w:r>
          </w:p>
          <w:p w14:paraId="2F1D88B3">
            <w:pPr>
              <w:spacing w:line="360" w:lineRule="auto"/>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3.投标（响应）报价低于采购项目最高限价45%的，即投标（响应）报价&lt;采购项目最高限价×45%；</w:t>
            </w:r>
          </w:p>
          <w:p w14:paraId="0AE19CD7">
            <w:pPr>
              <w:spacing w:line="360" w:lineRule="auto"/>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4.评审委员会基于专业判断，认为供应商报价过低，有可能影响产品质量或者不能诚信履约的其他情形。</w:t>
            </w:r>
          </w:p>
          <w:p w14:paraId="3DC7EF5E">
            <w:pPr>
              <w:spacing w:line="360" w:lineRule="auto"/>
              <w:rPr>
                <w:rFonts w:hint="eastAsia" w:ascii="宋体" w:hAnsi="宋体" w:eastAsia="宋体" w:cs="Times New Roman"/>
                <w:color w:val="000000" w:themeColor="text1"/>
                <w:szCs w:val="21"/>
                <w:highlight w:val="none"/>
                <w:lang w:val="en-US" w:eastAsia="zh-CN"/>
                <w14:textFill>
                  <w14:solidFill>
                    <w14:schemeClr w14:val="tx1"/>
                  </w14:solidFill>
                </w14:textFill>
              </w:rPr>
            </w:pPr>
            <w:r>
              <w:rPr>
                <w:rFonts w:hint="eastAsia" w:ascii="宋体" w:hAnsi="宋体" w:eastAsia="宋体" w:cs="Times New Roman"/>
                <w:color w:val="000000" w:themeColor="text1"/>
                <w:szCs w:val="21"/>
                <w:highlight w:val="none"/>
                <w:lang w:val="en-US" w:eastAsia="zh-CN"/>
                <w14:textFill>
                  <w14:solidFill>
                    <w14:schemeClr w14:val="tx1"/>
                  </w14:solidFill>
                </w14:textFill>
              </w:rPr>
              <w:t>三、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AA66F8B">
            <w:pPr>
              <w:spacing w:line="360" w:lineRule="auto"/>
              <w:ind w:firstLine="420" w:firstLineChars="200"/>
              <w:rPr>
                <w:rFonts w:hint="eastAsia"/>
              </w:rPr>
            </w:pPr>
            <w:r>
              <w:rPr>
                <w:rFonts w:hint="eastAsia" w:ascii="宋体" w:hAnsi="宋体" w:eastAsia="宋体" w:cs="Times New Roman"/>
                <w:color w:val="000000" w:themeColor="text1"/>
                <w:szCs w:val="21"/>
                <w:highlight w:val="none"/>
                <w:lang w:val="en-US" w:eastAsia="zh-CN"/>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5ECC30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70" w:hRule="atLeast"/>
          <w:jc w:val="center"/>
        </w:trPr>
        <w:tc>
          <w:tcPr>
            <w:tcW w:w="599" w:type="dxa"/>
            <w:vMerge w:val="restart"/>
            <w:tcBorders>
              <w:right w:val="single" w:color="auto" w:sz="4" w:space="0"/>
            </w:tcBorders>
            <w:vAlign w:val="center"/>
          </w:tcPr>
          <w:p w14:paraId="54028AC6">
            <w:pPr>
              <w:adjustRightInd w:val="0"/>
              <w:snapToGrid w:val="0"/>
              <w:spacing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w:t>
            </w:r>
          </w:p>
        </w:tc>
        <w:tc>
          <w:tcPr>
            <w:tcW w:w="1268" w:type="dxa"/>
            <w:vMerge w:val="restart"/>
            <w:tcBorders>
              <w:left w:val="single" w:color="auto" w:sz="4" w:space="0"/>
            </w:tcBorders>
            <w:vAlign w:val="center"/>
          </w:tcPr>
          <w:p w14:paraId="6550D937">
            <w:pPr>
              <w:adjustRightInd w:val="0"/>
              <w:snapToGrid w:val="0"/>
              <w:spacing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技术评价项（100</w:t>
            </w:r>
            <w:r>
              <w:rPr>
                <w:rFonts w:hint="eastAsia" w:asciiTheme="minorEastAsia" w:hAnsiTheme="minorEastAsia" w:eastAsiaTheme="minorEastAsia"/>
                <w:szCs w:val="21"/>
                <w:highlight w:val="none"/>
                <w:lang w:val="en-US" w:eastAsia="zh-CN"/>
              </w:rPr>
              <w:t>分</w:t>
            </w:r>
            <w:r>
              <w:rPr>
                <w:rFonts w:hint="eastAsia" w:asciiTheme="minorEastAsia" w:hAnsiTheme="minorEastAsia" w:eastAsiaTheme="minorEastAsia"/>
                <w:szCs w:val="21"/>
                <w:highlight w:val="none"/>
              </w:rPr>
              <w:t>）</w:t>
            </w:r>
          </w:p>
        </w:tc>
        <w:tc>
          <w:tcPr>
            <w:tcW w:w="1295" w:type="dxa"/>
            <w:tcBorders>
              <w:left w:val="single" w:color="auto" w:sz="4" w:space="0"/>
            </w:tcBorders>
            <w:shd w:val="clear" w:color="auto" w:fill="auto"/>
            <w:vAlign w:val="center"/>
          </w:tcPr>
          <w:p w14:paraId="37B63F71">
            <w:pPr>
              <w:spacing w:line="360" w:lineRule="auto"/>
              <w:jc w:val="center"/>
              <w:rPr>
                <w:rFonts w:hint="eastAsia" w:ascii="Times New Roman" w:hAnsi="Times New Roman" w:eastAsia="宋体" w:cs="Times New Roman"/>
                <w:b/>
                <w:bCs/>
                <w:highlight w:val="none"/>
                <w:lang w:val="en-US" w:eastAsia="zh-CN"/>
              </w:rPr>
            </w:pPr>
            <w:r>
              <w:rPr>
                <w:rFonts w:hint="eastAsia" w:ascii="Times New Roman" w:hAnsi="Times New Roman" w:eastAsia="宋体" w:cs="Times New Roman"/>
                <w:b/>
                <w:bCs/>
                <w:highlight w:val="none"/>
                <w:lang w:val="en-US" w:eastAsia="zh-CN"/>
              </w:rPr>
              <w:t>对采购需求的响应程度</w:t>
            </w:r>
          </w:p>
          <w:p w14:paraId="700D4458">
            <w:pPr>
              <w:widowControl w:val="0"/>
              <w:spacing w:after="120" w:line="480" w:lineRule="auto"/>
              <w:ind w:left="0" w:leftChars="0" w:firstLine="0" w:firstLineChars="0"/>
              <w:jc w:val="center"/>
              <w:rPr>
                <w:rFonts w:hint="eastAsia"/>
                <w:highlight w:val="none"/>
                <w:lang w:val="en-US" w:eastAsia="zh-CN"/>
              </w:rPr>
            </w:pPr>
            <w:r>
              <w:rPr>
                <w:rFonts w:hint="eastAsia" w:ascii="Times New Roman" w:hAnsi="Times New Roman" w:eastAsia="宋体" w:cs="Times New Roman"/>
                <w:b/>
                <w:bCs/>
                <w:kern w:val="2"/>
                <w:sz w:val="21"/>
                <w:szCs w:val="24"/>
                <w:highlight w:val="none"/>
                <w:lang w:val="en-US" w:eastAsia="zh-CN" w:bidi="ar-SA"/>
              </w:rPr>
              <w:t>（20分）</w:t>
            </w:r>
          </w:p>
        </w:tc>
        <w:tc>
          <w:tcPr>
            <w:tcW w:w="6090" w:type="dxa"/>
            <w:tcBorders>
              <w:bottom w:val="single" w:color="auto" w:sz="4" w:space="0"/>
            </w:tcBorders>
            <w:shd w:val="clear" w:color="auto" w:fill="auto"/>
            <w:vAlign w:val="center"/>
          </w:tcPr>
          <w:p w14:paraId="1B637CD2">
            <w:pPr>
              <w:numPr>
                <w:ilvl w:val="0"/>
                <w:numId w:val="0"/>
              </w:numPr>
              <w:spacing w:line="360" w:lineRule="auto"/>
              <w:jc w:val="left"/>
              <w:rPr>
                <w:rFonts w:hint="eastAsia" w:ascii="宋体" w:hAnsi="宋体" w:eastAsia="宋体" w:cs="宋体"/>
                <w:szCs w:val="21"/>
                <w:highlight w:val="none"/>
              </w:rPr>
            </w:pPr>
            <w:r>
              <w:rPr>
                <w:rFonts w:hint="eastAsia" w:ascii="宋体" w:hAnsi="宋体" w:eastAsia="宋体" w:cs="宋体"/>
                <w:kern w:val="2"/>
                <w:sz w:val="21"/>
                <w:szCs w:val="21"/>
                <w:lang w:val="en-US" w:eastAsia="zh-CN" w:bidi="ar-SA"/>
              </w:rPr>
              <w:t>（1）</w:t>
            </w:r>
            <w:r>
              <w:rPr>
                <w:rFonts w:hint="eastAsia" w:ascii="宋体" w:hAnsi="宋体" w:eastAsia="宋体" w:cs="宋体"/>
                <w:szCs w:val="21"/>
                <w:highlight w:val="none"/>
              </w:rPr>
              <w:t>投标人</w:t>
            </w:r>
            <w:r>
              <w:rPr>
                <w:rFonts w:ascii="宋体" w:hAnsi="宋体" w:eastAsia="宋体" w:cs="宋体"/>
                <w:b w:val="0"/>
                <w:sz w:val="21"/>
                <w:szCs w:val="24"/>
                <w:highlight w:val="none"/>
              </w:rPr>
              <w:t>完全满足招标文件“第五章 采购需求</w:t>
            </w:r>
            <w:r>
              <w:rPr>
                <w:rFonts w:hint="eastAsia" w:ascii="宋体" w:hAnsi="宋体" w:eastAsia="宋体" w:cs="宋体"/>
                <w:b w:val="0"/>
                <w:sz w:val="21"/>
                <w:szCs w:val="24"/>
                <w:highlight w:val="none"/>
                <w:lang w:eastAsia="zh-CN"/>
              </w:rPr>
              <w:t>”</w:t>
            </w:r>
            <w:r>
              <w:rPr>
                <w:rFonts w:ascii="宋体" w:hAnsi="宋体" w:eastAsia="宋体" w:cs="宋体"/>
                <w:b w:val="0"/>
                <w:sz w:val="21"/>
                <w:szCs w:val="24"/>
                <w:highlight w:val="none"/>
              </w:rPr>
              <w:t>的</w:t>
            </w:r>
            <w:r>
              <w:rPr>
                <w:rFonts w:hint="eastAsia" w:ascii="宋体" w:hAnsi="宋体" w:eastAsia="宋体" w:cs="宋体"/>
                <w:szCs w:val="21"/>
                <w:highlight w:val="none"/>
              </w:rPr>
              <w:t>计</w:t>
            </w:r>
            <w:r>
              <w:rPr>
                <w:rFonts w:hint="eastAsia" w:ascii="宋体" w:hAnsi="宋体" w:eastAsia="宋体" w:cs="宋体"/>
                <w:szCs w:val="21"/>
                <w:highlight w:val="none"/>
                <w:lang w:val="en-US" w:eastAsia="zh-CN"/>
              </w:rPr>
              <w:t>20</w:t>
            </w:r>
            <w:r>
              <w:rPr>
                <w:rFonts w:hint="eastAsia" w:ascii="宋体" w:hAnsi="宋体" w:eastAsia="宋体" w:cs="宋体"/>
                <w:szCs w:val="21"/>
                <w:highlight w:val="none"/>
              </w:rPr>
              <w:t>分。</w:t>
            </w:r>
          </w:p>
          <w:p w14:paraId="2841F629">
            <w:pPr>
              <w:spacing w:line="360" w:lineRule="auto"/>
              <w:jc w:val="left"/>
              <w:rPr>
                <w:rFonts w:ascii="宋体" w:hAnsi="宋体" w:eastAsia="宋体" w:cs="宋体"/>
                <w:szCs w:val="21"/>
                <w:highlight w:val="none"/>
              </w:rPr>
            </w:pPr>
            <w:r>
              <w:rPr>
                <w:rFonts w:hint="eastAsia" w:ascii="宋体" w:hAnsi="宋体" w:eastAsia="宋体" w:cs="宋体"/>
                <w:szCs w:val="21"/>
                <w:highlight w:val="none"/>
              </w:rPr>
              <w:t>（2）投标人</w:t>
            </w:r>
            <w:r>
              <w:rPr>
                <w:rFonts w:hint="eastAsia" w:ascii="宋体" w:hAnsi="宋体" w:eastAsia="宋体" w:cs="宋体"/>
                <w:szCs w:val="21"/>
                <w:highlight w:val="none"/>
                <w:lang w:val="en-US" w:eastAsia="zh-CN"/>
              </w:rPr>
              <w:t>不满足</w:t>
            </w:r>
            <w:r>
              <w:rPr>
                <w:rFonts w:ascii="宋体" w:hAnsi="宋体" w:eastAsia="宋体" w:cs="宋体"/>
                <w:b w:val="0"/>
                <w:sz w:val="21"/>
                <w:szCs w:val="24"/>
                <w:highlight w:val="none"/>
              </w:rPr>
              <w:t>招标文件“第五章 采购需求</w:t>
            </w:r>
            <w:r>
              <w:rPr>
                <w:rFonts w:hint="eastAsia" w:ascii="宋体" w:hAnsi="宋体" w:eastAsia="宋体" w:cs="宋体"/>
                <w:b w:val="0"/>
                <w:sz w:val="21"/>
                <w:szCs w:val="24"/>
                <w:highlight w:val="none"/>
                <w:lang w:eastAsia="zh-CN"/>
              </w:rPr>
              <w:t>”</w:t>
            </w:r>
            <w:r>
              <w:rPr>
                <w:rFonts w:hint="eastAsia" w:ascii="宋体" w:hAnsi="宋体" w:eastAsia="宋体" w:cs="宋体"/>
                <w:szCs w:val="21"/>
                <w:highlight w:val="none"/>
              </w:rPr>
              <w:t>带“★”</w:t>
            </w:r>
            <w:r>
              <w:rPr>
                <w:rFonts w:hint="eastAsia" w:ascii="宋体" w:hAnsi="宋体" w:eastAsia="宋体" w:cs="宋体"/>
                <w:szCs w:val="21"/>
                <w:highlight w:val="none"/>
                <w:lang w:val="en-US" w:eastAsia="zh-CN"/>
              </w:rPr>
              <w:t>条款</w:t>
            </w:r>
            <w:r>
              <w:rPr>
                <w:rFonts w:hint="eastAsia" w:ascii="Times New Roman" w:hAnsi="Times New Roman" w:eastAsia="宋体" w:cs="Times New Roman"/>
                <w:highlight w:val="none"/>
              </w:rPr>
              <w:t>经评标小组</w:t>
            </w:r>
            <w:r>
              <w:rPr>
                <w:rFonts w:hint="eastAsia" w:ascii="宋体" w:hAnsi="宋体" w:eastAsia="宋体" w:cs="宋体"/>
                <w:szCs w:val="21"/>
                <w:highlight w:val="none"/>
              </w:rPr>
              <w:t>审定对每一处负偏离</w:t>
            </w:r>
            <w:r>
              <w:rPr>
                <w:rFonts w:hint="eastAsia" w:ascii="宋体" w:hAnsi="宋体" w:eastAsia="宋体" w:cs="宋体"/>
                <w:szCs w:val="21"/>
                <w:highlight w:val="none"/>
                <w:lang w:val="en-US" w:eastAsia="zh-CN"/>
              </w:rPr>
              <w:t>视为无效投标</w:t>
            </w:r>
            <w:r>
              <w:rPr>
                <w:rFonts w:hint="eastAsia" w:ascii="宋体" w:hAnsi="宋体" w:eastAsia="宋体" w:cs="宋体"/>
                <w:szCs w:val="21"/>
                <w:highlight w:val="none"/>
              </w:rPr>
              <w:t>；</w:t>
            </w:r>
          </w:p>
          <w:p w14:paraId="2453E032">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（3）投标人其他</w:t>
            </w:r>
            <w:r>
              <w:rPr>
                <w:rFonts w:hint="eastAsia" w:ascii="宋体" w:hAnsi="宋体" w:eastAsia="宋体" w:cs="宋体"/>
                <w:szCs w:val="21"/>
                <w:highlight w:val="none"/>
                <w:lang w:val="en-US" w:eastAsia="zh-CN"/>
              </w:rPr>
              <w:t>条款</w:t>
            </w:r>
            <w:r>
              <w:rPr>
                <w:rFonts w:hint="eastAsia" w:ascii="宋体" w:hAnsi="宋体" w:eastAsia="宋体" w:cs="宋体"/>
                <w:szCs w:val="21"/>
                <w:highlight w:val="none"/>
              </w:rPr>
              <w:t>负偏离</w:t>
            </w:r>
            <w:r>
              <w:rPr>
                <w:rFonts w:hint="eastAsia" w:ascii="Times New Roman" w:hAnsi="Times New Roman" w:eastAsia="宋体" w:cs="Times New Roman"/>
                <w:highlight w:val="none"/>
              </w:rPr>
              <w:t>经评标小组</w:t>
            </w:r>
            <w:r>
              <w:rPr>
                <w:rFonts w:hint="eastAsia" w:ascii="宋体" w:hAnsi="宋体" w:eastAsia="宋体" w:cs="宋体"/>
                <w:szCs w:val="21"/>
                <w:highlight w:val="none"/>
              </w:rPr>
              <w:t>审定对每一处负偏离扣</w:t>
            </w:r>
            <w:r>
              <w:rPr>
                <w:rFonts w:hint="eastAsia" w:ascii="宋体" w:hAnsi="宋体" w:eastAsia="宋体" w:cs="宋体"/>
                <w:szCs w:val="21"/>
                <w:highlight w:val="none"/>
                <w:lang w:val="en-US" w:eastAsia="zh-CN"/>
              </w:rPr>
              <w:t>4</w:t>
            </w:r>
            <w:r>
              <w:rPr>
                <w:rFonts w:hint="eastAsia" w:ascii="宋体" w:hAnsi="宋体" w:eastAsia="宋体" w:cs="宋体"/>
                <w:szCs w:val="21"/>
                <w:highlight w:val="none"/>
              </w:rPr>
              <w:t>分，扣完为止。</w:t>
            </w:r>
          </w:p>
          <w:p w14:paraId="321D1460">
            <w:pPr>
              <w:spacing w:line="360" w:lineRule="auto"/>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szCs w:val="21"/>
                <w:highlight w:val="none"/>
              </w:rPr>
              <w:t>注：负偏离包括但不限于:缺项、漏项、</w:t>
            </w:r>
            <w:r>
              <w:rPr>
                <w:rFonts w:hint="eastAsia" w:ascii="宋体" w:hAnsi="宋体" w:eastAsia="宋体" w:cs="宋体"/>
                <w:b/>
                <w:bCs/>
                <w:szCs w:val="21"/>
                <w:highlight w:val="none"/>
                <w:lang w:val="en-US" w:eastAsia="zh-CN"/>
              </w:rPr>
              <w:t>服务</w:t>
            </w:r>
            <w:r>
              <w:rPr>
                <w:rFonts w:hint="eastAsia" w:ascii="宋体" w:hAnsi="宋体" w:eastAsia="宋体" w:cs="宋体"/>
                <w:b/>
                <w:bCs/>
                <w:szCs w:val="21"/>
                <w:highlight w:val="none"/>
              </w:rPr>
              <w:t>不明确等。</w:t>
            </w:r>
            <w:r>
              <w:rPr>
                <w:rFonts w:hint="eastAsia" w:ascii="宋体" w:hAnsi="宋体" w:eastAsia="宋体" w:cs="宋体"/>
                <w:b/>
                <w:bCs/>
                <w:szCs w:val="21"/>
                <w:highlight w:val="none"/>
                <w:lang w:val="en-US" w:eastAsia="zh-CN"/>
              </w:rPr>
              <w:t>相同内容的条款不重复计算。</w:t>
            </w:r>
          </w:p>
        </w:tc>
      </w:tr>
      <w:tr w14:paraId="1F6779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73" w:hRule="atLeast"/>
          <w:jc w:val="center"/>
        </w:trPr>
        <w:tc>
          <w:tcPr>
            <w:tcW w:w="599" w:type="dxa"/>
            <w:vMerge w:val="continue"/>
            <w:tcBorders>
              <w:right w:val="single" w:color="auto" w:sz="4" w:space="0"/>
            </w:tcBorders>
            <w:vAlign w:val="center"/>
          </w:tcPr>
          <w:p w14:paraId="49E9D746">
            <w:pPr>
              <w:adjustRightInd w:val="0"/>
              <w:snapToGrid w:val="0"/>
              <w:spacing w:beforeLines="50" w:line="360" w:lineRule="auto"/>
              <w:jc w:val="center"/>
              <w:rPr>
                <w:rFonts w:hint="eastAsia" w:asciiTheme="minorEastAsia" w:hAnsiTheme="minorEastAsia" w:eastAsiaTheme="minorEastAsia"/>
                <w:szCs w:val="21"/>
                <w:highlight w:val="none"/>
              </w:rPr>
            </w:pPr>
          </w:p>
        </w:tc>
        <w:tc>
          <w:tcPr>
            <w:tcW w:w="1268" w:type="dxa"/>
            <w:vMerge w:val="continue"/>
            <w:tcBorders>
              <w:left w:val="single" w:color="auto" w:sz="4" w:space="0"/>
            </w:tcBorders>
            <w:vAlign w:val="center"/>
          </w:tcPr>
          <w:p w14:paraId="5A7CE663">
            <w:pPr>
              <w:adjustRightInd w:val="0"/>
              <w:snapToGrid w:val="0"/>
              <w:spacing w:beforeLines="50" w:line="360" w:lineRule="auto"/>
              <w:jc w:val="center"/>
              <w:rPr>
                <w:rFonts w:hint="eastAsia" w:asciiTheme="minorEastAsia" w:hAnsiTheme="minorEastAsia" w:eastAsiaTheme="minorEastAsia"/>
                <w:szCs w:val="21"/>
                <w:highlight w:val="none"/>
              </w:rPr>
            </w:pPr>
          </w:p>
        </w:tc>
        <w:tc>
          <w:tcPr>
            <w:tcW w:w="1295" w:type="dxa"/>
            <w:tcBorders>
              <w:left w:val="single" w:color="auto" w:sz="4" w:space="0"/>
            </w:tcBorders>
            <w:shd w:val="clear" w:color="auto" w:fill="auto"/>
            <w:vAlign w:val="center"/>
          </w:tcPr>
          <w:p w14:paraId="583F7037">
            <w:pPr>
              <w:spacing w:line="360" w:lineRule="auto"/>
              <w:jc w:val="center"/>
              <w:rPr>
                <w:rFonts w:hint="eastAsia" w:ascii="Times New Roman" w:hAnsi="Times New Roman" w:eastAsia="宋体" w:cs="Times New Roman"/>
                <w:b/>
                <w:bCs/>
                <w:highlight w:val="none"/>
                <w:lang w:val="en-US" w:eastAsia="zh-CN"/>
              </w:rPr>
            </w:pPr>
            <w:r>
              <w:rPr>
                <w:rFonts w:hint="eastAsia" w:ascii="Times New Roman" w:hAnsi="Times New Roman" w:eastAsia="宋体" w:cs="Times New Roman"/>
                <w:b/>
                <w:bCs/>
                <w:highlight w:val="none"/>
                <w:lang w:val="en-US" w:eastAsia="zh-CN"/>
              </w:rPr>
              <w:t>维保托管服务方案</w:t>
            </w:r>
          </w:p>
          <w:p w14:paraId="71882A30">
            <w:pPr>
              <w:spacing w:line="360" w:lineRule="auto"/>
              <w:jc w:val="center"/>
              <w:rPr>
                <w:rFonts w:hint="default" w:ascii="Times New Roman" w:hAnsi="Times New Roman" w:eastAsia="宋体" w:cs="Times New Roman"/>
                <w:b/>
                <w:bCs/>
                <w:highlight w:val="none"/>
                <w:lang w:val="en-US" w:eastAsia="zh-CN"/>
              </w:rPr>
            </w:pPr>
            <w:r>
              <w:rPr>
                <w:rFonts w:hint="eastAsia" w:ascii="Times New Roman" w:hAnsi="Times New Roman" w:eastAsia="宋体" w:cs="Times New Roman"/>
                <w:b/>
                <w:bCs/>
                <w:highlight w:val="none"/>
                <w:lang w:val="en-US" w:eastAsia="zh-CN"/>
              </w:rPr>
              <w:t>（40分）</w:t>
            </w:r>
          </w:p>
        </w:tc>
        <w:tc>
          <w:tcPr>
            <w:tcW w:w="6090" w:type="dxa"/>
            <w:tcBorders>
              <w:bottom w:val="single" w:color="auto" w:sz="4" w:space="0"/>
            </w:tcBorders>
            <w:shd w:val="clear" w:color="auto" w:fill="auto"/>
            <w:vAlign w:val="center"/>
          </w:tcPr>
          <w:p w14:paraId="11D97F9A">
            <w:pPr>
              <w:spacing w:line="360" w:lineRule="auto"/>
              <w:rPr>
                <w:rFonts w:hint="eastAsia" w:ascii="宋体" w:hAnsi="宋体" w:eastAsia="宋体" w:cs="宋体"/>
                <w:b w:val="0"/>
                <w:sz w:val="21"/>
                <w:szCs w:val="24"/>
                <w:highlight w:val="none"/>
                <w:lang w:eastAsia="zh-CN"/>
              </w:rPr>
            </w:pPr>
            <w:r>
              <w:rPr>
                <w:rFonts w:hint="eastAsia" w:ascii="宋体" w:hAnsi="宋体" w:eastAsia="宋体" w:cs="宋体"/>
                <w:b w:val="0"/>
                <w:sz w:val="21"/>
                <w:szCs w:val="24"/>
                <w:highlight w:val="none"/>
              </w:rPr>
              <w:t>根据投标人针对本项目制定的</w:t>
            </w:r>
            <w:r>
              <w:rPr>
                <w:rFonts w:hint="eastAsia" w:ascii="宋体" w:hAnsi="宋体" w:eastAsia="宋体" w:cs="宋体"/>
                <w:b w:val="0"/>
                <w:sz w:val="21"/>
                <w:szCs w:val="24"/>
                <w:highlight w:val="none"/>
                <w:lang w:val="en-US" w:eastAsia="zh-CN"/>
              </w:rPr>
              <w:t>维保托管服务方案</w:t>
            </w:r>
            <w:r>
              <w:rPr>
                <w:rFonts w:hint="eastAsia" w:ascii="宋体" w:hAnsi="宋体" w:eastAsia="宋体" w:cs="宋体"/>
                <w:b w:val="0"/>
                <w:sz w:val="21"/>
                <w:szCs w:val="24"/>
                <w:highlight w:val="none"/>
              </w:rPr>
              <w:t>，包含但不限于下列内容：①</w:t>
            </w:r>
            <w:r>
              <w:rPr>
                <w:rFonts w:hint="eastAsia" w:ascii="宋体" w:hAnsi="宋体" w:eastAsia="宋体" w:cs="宋体"/>
                <w:b w:val="0"/>
                <w:sz w:val="21"/>
                <w:szCs w:val="24"/>
                <w:highlight w:val="none"/>
                <w:lang w:val="en-US" w:eastAsia="zh-CN"/>
              </w:rPr>
              <w:t>维保托管服务</w:t>
            </w:r>
            <w:r>
              <w:rPr>
                <w:rFonts w:hint="eastAsia" w:ascii="宋体" w:hAnsi="宋体" w:eastAsia="宋体" w:cs="宋体"/>
                <w:b w:val="0"/>
                <w:sz w:val="21"/>
                <w:szCs w:val="24"/>
                <w:highlight w:val="none"/>
              </w:rPr>
              <w:t>操作流程、②</w:t>
            </w:r>
            <w:r>
              <w:rPr>
                <w:rFonts w:hint="eastAsia" w:ascii="宋体" w:hAnsi="宋体" w:eastAsia="宋体" w:cs="宋体"/>
                <w:b w:val="0"/>
                <w:sz w:val="21"/>
                <w:szCs w:val="24"/>
                <w:highlight w:val="none"/>
                <w:lang w:val="en-US" w:eastAsia="zh-CN"/>
              </w:rPr>
              <w:t>维保托管服务</w:t>
            </w:r>
            <w:r>
              <w:rPr>
                <w:rFonts w:hint="eastAsia" w:ascii="宋体" w:hAnsi="宋体" w:eastAsia="宋体" w:cs="宋体"/>
                <w:b w:val="0"/>
                <w:sz w:val="21"/>
                <w:szCs w:val="24"/>
                <w:highlight w:val="none"/>
              </w:rPr>
              <w:t>保障措施、③</w:t>
            </w:r>
            <w:r>
              <w:rPr>
                <w:rFonts w:hint="eastAsia" w:ascii="宋体" w:hAnsi="宋体" w:eastAsia="宋体" w:cs="宋体"/>
                <w:b w:val="0"/>
                <w:sz w:val="21"/>
                <w:szCs w:val="24"/>
                <w:highlight w:val="none"/>
                <w:lang w:val="en-US" w:eastAsia="zh-CN"/>
              </w:rPr>
              <w:t>维保托管服务</w:t>
            </w:r>
            <w:r>
              <w:rPr>
                <w:rFonts w:hint="eastAsia" w:ascii="宋体" w:hAnsi="宋体" w:eastAsia="宋体" w:cs="宋体"/>
                <w:b w:val="0"/>
                <w:sz w:val="21"/>
                <w:szCs w:val="24"/>
                <w:highlight w:val="none"/>
              </w:rPr>
              <w:t>实施办法、④</w:t>
            </w:r>
            <w:r>
              <w:rPr>
                <w:rFonts w:hint="eastAsia" w:ascii="宋体" w:hAnsi="宋体" w:eastAsia="宋体" w:cs="宋体"/>
                <w:b w:val="0"/>
                <w:sz w:val="21"/>
                <w:szCs w:val="24"/>
                <w:highlight w:val="none"/>
                <w:lang w:val="en-US" w:eastAsia="zh-CN"/>
              </w:rPr>
              <w:t>维保托管服务</w:t>
            </w:r>
            <w:r>
              <w:rPr>
                <w:rFonts w:hint="eastAsia" w:ascii="宋体" w:hAnsi="宋体" w:eastAsia="宋体" w:cs="宋体"/>
                <w:b w:val="0"/>
                <w:sz w:val="21"/>
                <w:szCs w:val="24"/>
                <w:highlight w:val="none"/>
              </w:rPr>
              <w:t>时间</w:t>
            </w:r>
            <w:r>
              <w:rPr>
                <w:rFonts w:hint="eastAsia" w:ascii="宋体" w:hAnsi="宋体" w:eastAsia="宋体" w:cs="Times New Roman"/>
                <w:color w:val="000000"/>
                <w:szCs w:val="21"/>
                <w:highlight w:val="none"/>
              </w:rPr>
              <w:t>等</w:t>
            </w:r>
            <w:r>
              <w:rPr>
                <w:rFonts w:hint="eastAsia" w:ascii="宋体" w:hAnsi="宋体" w:eastAsia="宋体" w:cs="Times New Roman"/>
                <w:color w:val="000000"/>
                <w:szCs w:val="21"/>
                <w:highlight w:val="none"/>
                <w:lang w:eastAsia="zh-CN"/>
              </w:rPr>
              <w:t>。</w:t>
            </w:r>
          </w:p>
          <w:p w14:paraId="64DF3F18">
            <w:pPr>
              <w:spacing w:line="360" w:lineRule="auto"/>
              <w:rPr>
                <w:rStyle w:val="47"/>
                <w:rFonts w:hint="eastAsia" w:ascii="宋体" w:hAnsi="宋体" w:eastAsia="宋体" w:cs="宋体"/>
                <w:b w:val="0"/>
                <w:sz w:val="21"/>
                <w:szCs w:val="24"/>
                <w:highlight w:val="none"/>
              </w:rPr>
            </w:pPr>
            <w:r>
              <w:rPr>
                <w:rFonts w:hint="eastAsia" w:ascii="宋体" w:hAnsi="宋体" w:eastAsia="宋体" w:cs="Times New Roman"/>
                <w:color w:val="000000"/>
                <w:szCs w:val="21"/>
                <w:highlight w:val="none"/>
              </w:rPr>
              <w:t>上述方案每缺少一项内容，扣</w:t>
            </w:r>
            <w:r>
              <w:rPr>
                <w:rFonts w:hint="eastAsia" w:ascii="宋体" w:hAnsi="宋体" w:eastAsia="宋体" w:cs="Times New Roman"/>
                <w:color w:val="000000"/>
                <w:szCs w:val="21"/>
                <w:highlight w:val="none"/>
                <w:lang w:val="en-US" w:eastAsia="zh-CN"/>
              </w:rPr>
              <w:t>10</w:t>
            </w:r>
            <w:r>
              <w:rPr>
                <w:rFonts w:hint="eastAsia" w:ascii="宋体" w:hAnsi="宋体" w:eastAsia="宋体" w:cs="Times New Roman"/>
                <w:color w:val="000000"/>
                <w:szCs w:val="21"/>
                <w:highlight w:val="none"/>
              </w:rPr>
              <w:t>分；每有一处缺陷（缺陷是指非专门针对本项目或不适用项目特性的情形、内容不完整或缺少关键节点、套用其他项目方案、内容前后矛盾、涉及的规范及标准错误、不利于项目实施、不可能实现的情形等任意一种情形）的扣</w:t>
            </w:r>
            <w:r>
              <w:rPr>
                <w:rFonts w:hint="eastAsia" w:ascii="宋体" w:hAnsi="宋体" w:eastAsia="宋体" w:cs="Times New Roman"/>
                <w:color w:val="000000"/>
                <w:szCs w:val="21"/>
                <w:highlight w:val="none"/>
                <w:lang w:val="en-US" w:eastAsia="zh-CN"/>
              </w:rPr>
              <w:t>4</w:t>
            </w:r>
            <w:r>
              <w:rPr>
                <w:rFonts w:hint="eastAsia" w:ascii="宋体" w:hAnsi="宋体" w:eastAsia="宋体" w:cs="Times New Roman"/>
                <w:color w:val="000000"/>
                <w:szCs w:val="21"/>
                <w:highlight w:val="none"/>
              </w:rPr>
              <w:t>分，扣完为止。</w:t>
            </w:r>
          </w:p>
        </w:tc>
      </w:tr>
      <w:tr w14:paraId="54088E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79" w:hRule="atLeast"/>
          <w:jc w:val="center"/>
        </w:trPr>
        <w:tc>
          <w:tcPr>
            <w:tcW w:w="599" w:type="dxa"/>
            <w:vMerge w:val="continue"/>
            <w:tcBorders>
              <w:right w:val="single" w:color="auto" w:sz="4" w:space="0"/>
            </w:tcBorders>
            <w:vAlign w:val="center"/>
          </w:tcPr>
          <w:p w14:paraId="417649E4">
            <w:pPr>
              <w:adjustRightInd w:val="0"/>
              <w:snapToGrid w:val="0"/>
              <w:spacing w:beforeLines="50" w:line="360" w:lineRule="auto"/>
              <w:jc w:val="center"/>
              <w:rPr>
                <w:rFonts w:hint="eastAsia" w:asciiTheme="minorEastAsia" w:hAnsiTheme="minorEastAsia" w:eastAsiaTheme="minorEastAsia"/>
                <w:szCs w:val="21"/>
                <w:highlight w:val="none"/>
              </w:rPr>
            </w:pPr>
          </w:p>
        </w:tc>
        <w:tc>
          <w:tcPr>
            <w:tcW w:w="1268" w:type="dxa"/>
            <w:vMerge w:val="continue"/>
            <w:tcBorders>
              <w:left w:val="single" w:color="auto" w:sz="4" w:space="0"/>
            </w:tcBorders>
            <w:vAlign w:val="center"/>
          </w:tcPr>
          <w:p w14:paraId="3F63FDD8">
            <w:pPr>
              <w:adjustRightInd w:val="0"/>
              <w:snapToGrid w:val="0"/>
              <w:spacing w:beforeLines="50" w:line="360" w:lineRule="auto"/>
              <w:jc w:val="center"/>
              <w:rPr>
                <w:rFonts w:hint="eastAsia" w:asciiTheme="minorEastAsia" w:hAnsiTheme="minorEastAsia" w:eastAsiaTheme="minorEastAsia"/>
                <w:szCs w:val="21"/>
                <w:highlight w:val="none"/>
              </w:rPr>
            </w:pPr>
          </w:p>
        </w:tc>
        <w:tc>
          <w:tcPr>
            <w:tcW w:w="1295" w:type="dxa"/>
            <w:tcBorders>
              <w:left w:val="single" w:color="auto" w:sz="4" w:space="0"/>
            </w:tcBorders>
            <w:shd w:val="clear" w:color="auto" w:fill="auto"/>
            <w:vAlign w:val="center"/>
          </w:tcPr>
          <w:p w14:paraId="7567626E">
            <w:pPr>
              <w:spacing w:line="360" w:lineRule="auto"/>
              <w:jc w:val="center"/>
              <w:rPr>
                <w:rFonts w:hint="eastAsia" w:ascii="宋体" w:hAnsi="宋体" w:eastAsia="宋体" w:cs="宋体"/>
                <w:b/>
                <w:bCs/>
                <w:sz w:val="21"/>
                <w:szCs w:val="24"/>
                <w:highlight w:val="none"/>
                <w:lang w:eastAsia="zh-CN"/>
              </w:rPr>
            </w:pPr>
            <w:r>
              <w:rPr>
                <w:rFonts w:hint="eastAsia" w:ascii="宋体" w:hAnsi="宋体" w:eastAsia="宋体" w:cs="宋体"/>
                <w:b/>
                <w:bCs/>
                <w:sz w:val="21"/>
                <w:szCs w:val="24"/>
                <w:highlight w:val="none"/>
                <w:lang w:eastAsia="zh-CN"/>
              </w:rPr>
              <w:t>备品备件储备管理及配送方案</w:t>
            </w:r>
          </w:p>
          <w:p w14:paraId="17726B56">
            <w:pPr>
              <w:spacing w:line="360" w:lineRule="auto"/>
              <w:jc w:val="center"/>
              <w:rPr>
                <w:rStyle w:val="47"/>
                <w:rFonts w:hint="eastAsia" w:ascii="宋体" w:hAnsi="宋体" w:eastAsia="宋体" w:cs="宋体"/>
                <w:b/>
                <w:bCs/>
                <w:sz w:val="21"/>
                <w:szCs w:val="24"/>
                <w:highlight w:val="none"/>
                <w:lang w:eastAsia="zh-CN"/>
              </w:rPr>
            </w:pPr>
            <w:r>
              <w:rPr>
                <w:rFonts w:hint="eastAsia" w:ascii="宋体" w:hAnsi="宋体" w:eastAsia="宋体" w:cs="宋体"/>
                <w:b/>
                <w:bCs/>
                <w:sz w:val="21"/>
                <w:szCs w:val="24"/>
                <w:highlight w:val="none"/>
                <w:lang w:eastAsia="zh-CN"/>
              </w:rPr>
              <w:t>（</w:t>
            </w:r>
            <w:r>
              <w:rPr>
                <w:rFonts w:hint="eastAsia" w:ascii="宋体" w:hAnsi="宋体" w:eastAsia="宋体" w:cs="宋体"/>
                <w:b/>
                <w:bCs/>
                <w:sz w:val="21"/>
                <w:szCs w:val="24"/>
                <w:highlight w:val="none"/>
                <w:lang w:val="en-US" w:eastAsia="zh-CN"/>
              </w:rPr>
              <w:t>20</w:t>
            </w:r>
            <w:r>
              <w:rPr>
                <w:rFonts w:hint="eastAsia" w:ascii="宋体" w:hAnsi="宋体" w:eastAsia="宋体" w:cs="宋体"/>
                <w:b/>
                <w:bCs/>
                <w:sz w:val="21"/>
                <w:szCs w:val="24"/>
                <w:highlight w:val="none"/>
                <w:lang w:eastAsia="zh-CN"/>
              </w:rPr>
              <w:t>）</w:t>
            </w:r>
          </w:p>
        </w:tc>
        <w:tc>
          <w:tcPr>
            <w:tcW w:w="6090" w:type="dxa"/>
            <w:tcBorders>
              <w:bottom w:val="single" w:color="auto" w:sz="4" w:space="0"/>
            </w:tcBorders>
            <w:shd w:val="clear" w:color="auto" w:fill="auto"/>
            <w:vAlign w:val="center"/>
          </w:tcPr>
          <w:p w14:paraId="55894D6A">
            <w:pPr>
              <w:spacing w:line="360" w:lineRule="auto"/>
              <w:rPr>
                <w:rFonts w:hint="eastAsia" w:ascii="宋体" w:hAnsi="宋体" w:eastAsia="宋体" w:cs="宋体"/>
                <w:b w:val="0"/>
                <w:sz w:val="21"/>
                <w:szCs w:val="24"/>
                <w:highlight w:val="none"/>
                <w:lang w:eastAsia="zh-CN"/>
              </w:rPr>
            </w:pPr>
            <w:r>
              <w:rPr>
                <w:rFonts w:hint="eastAsia" w:ascii="宋体" w:hAnsi="宋体" w:eastAsia="宋体" w:cs="宋体"/>
                <w:b w:val="0"/>
                <w:sz w:val="21"/>
                <w:szCs w:val="24"/>
                <w:highlight w:val="none"/>
              </w:rPr>
              <w:t>根据投标人针对本项目制定的</w:t>
            </w:r>
            <w:r>
              <w:rPr>
                <w:rFonts w:hint="eastAsia" w:ascii="宋体" w:hAnsi="宋体" w:eastAsia="宋体" w:cs="宋体"/>
                <w:b w:val="0"/>
                <w:sz w:val="21"/>
                <w:szCs w:val="24"/>
                <w:highlight w:val="none"/>
                <w:lang w:eastAsia="zh-CN"/>
              </w:rPr>
              <w:t>备品备件储备管理及配送方案</w:t>
            </w:r>
            <w:r>
              <w:rPr>
                <w:rFonts w:hint="eastAsia" w:ascii="宋体" w:hAnsi="宋体" w:eastAsia="宋体" w:cs="宋体"/>
                <w:b w:val="0"/>
                <w:sz w:val="21"/>
                <w:szCs w:val="24"/>
                <w:highlight w:val="none"/>
              </w:rPr>
              <w:t>，包含但不限于下列内容：①</w:t>
            </w:r>
            <w:r>
              <w:rPr>
                <w:rFonts w:hint="eastAsia" w:ascii="宋体" w:hAnsi="宋体" w:eastAsia="宋体" w:cs="宋体"/>
                <w:b w:val="0"/>
                <w:sz w:val="21"/>
                <w:szCs w:val="24"/>
                <w:highlight w:val="none"/>
                <w:lang w:val="en-US" w:eastAsia="zh-CN"/>
              </w:rPr>
              <w:t>备品备件储备情况</w:t>
            </w:r>
            <w:r>
              <w:rPr>
                <w:rFonts w:hint="eastAsia" w:ascii="宋体" w:hAnsi="宋体" w:eastAsia="宋体" w:cs="宋体"/>
                <w:b w:val="0"/>
                <w:sz w:val="21"/>
                <w:szCs w:val="24"/>
                <w:highlight w:val="none"/>
              </w:rPr>
              <w:t>、②</w:t>
            </w:r>
            <w:r>
              <w:rPr>
                <w:rFonts w:hint="eastAsia" w:ascii="宋体" w:hAnsi="宋体" w:eastAsia="宋体" w:cs="宋体"/>
                <w:b w:val="0"/>
                <w:sz w:val="21"/>
                <w:szCs w:val="24"/>
                <w:highlight w:val="none"/>
                <w:lang w:val="en-US" w:eastAsia="zh-CN"/>
              </w:rPr>
              <w:t>备品备件储存管理措施</w:t>
            </w:r>
            <w:r>
              <w:rPr>
                <w:rFonts w:hint="eastAsia" w:ascii="宋体" w:hAnsi="宋体" w:eastAsia="宋体" w:cs="宋体"/>
                <w:b w:val="0"/>
                <w:sz w:val="21"/>
                <w:szCs w:val="24"/>
                <w:highlight w:val="none"/>
              </w:rPr>
              <w:t>、③</w:t>
            </w:r>
            <w:r>
              <w:rPr>
                <w:rFonts w:hint="eastAsia" w:ascii="宋体" w:hAnsi="宋体" w:eastAsia="宋体" w:cs="宋体"/>
                <w:b w:val="0"/>
                <w:sz w:val="21"/>
                <w:szCs w:val="24"/>
                <w:highlight w:val="none"/>
                <w:lang w:val="en-US" w:eastAsia="zh-CN"/>
              </w:rPr>
              <w:t>备品备件采购渠道管理</w:t>
            </w:r>
            <w:r>
              <w:rPr>
                <w:rFonts w:hint="eastAsia" w:ascii="宋体" w:hAnsi="宋体" w:eastAsia="宋体" w:cs="宋体"/>
                <w:b w:val="0"/>
                <w:sz w:val="21"/>
                <w:szCs w:val="24"/>
                <w:highlight w:val="none"/>
              </w:rPr>
              <w:t>、④</w:t>
            </w:r>
            <w:r>
              <w:rPr>
                <w:rFonts w:hint="eastAsia" w:ascii="宋体" w:hAnsi="宋体" w:eastAsia="宋体" w:cs="宋体"/>
                <w:b w:val="0"/>
                <w:sz w:val="21"/>
                <w:szCs w:val="24"/>
                <w:highlight w:val="none"/>
                <w:lang w:val="en-US" w:eastAsia="zh-CN"/>
              </w:rPr>
              <w:t>备品备件配送时间控制措施</w:t>
            </w:r>
            <w:r>
              <w:rPr>
                <w:rFonts w:hint="eastAsia" w:ascii="宋体" w:hAnsi="宋体" w:eastAsia="宋体" w:cs="Times New Roman"/>
                <w:color w:val="000000"/>
                <w:szCs w:val="21"/>
                <w:highlight w:val="none"/>
              </w:rPr>
              <w:t>等</w:t>
            </w:r>
            <w:r>
              <w:rPr>
                <w:rFonts w:hint="eastAsia" w:ascii="宋体" w:hAnsi="宋体" w:eastAsia="宋体" w:cs="Times New Roman"/>
                <w:color w:val="000000"/>
                <w:szCs w:val="21"/>
                <w:highlight w:val="none"/>
                <w:lang w:eastAsia="zh-CN"/>
              </w:rPr>
              <w:t>。</w:t>
            </w:r>
          </w:p>
          <w:p w14:paraId="0515BB46">
            <w:pPr>
              <w:spacing w:line="360" w:lineRule="auto"/>
              <w:rPr>
                <w:rStyle w:val="47"/>
                <w:rFonts w:hint="eastAsia" w:ascii="宋体" w:hAnsi="宋体" w:eastAsia="宋体" w:cs="宋体"/>
                <w:b w:val="0"/>
                <w:sz w:val="21"/>
                <w:szCs w:val="24"/>
                <w:highlight w:val="none"/>
              </w:rPr>
            </w:pPr>
            <w:r>
              <w:rPr>
                <w:rFonts w:hint="eastAsia" w:ascii="宋体" w:hAnsi="宋体" w:eastAsia="宋体" w:cs="Times New Roman"/>
                <w:color w:val="000000"/>
                <w:szCs w:val="21"/>
                <w:highlight w:val="none"/>
              </w:rPr>
              <w:t>上述方案每缺少一项内容，扣</w:t>
            </w:r>
            <w:r>
              <w:rPr>
                <w:rFonts w:hint="eastAsia" w:ascii="宋体" w:hAnsi="宋体" w:eastAsia="宋体" w:cs="Times New Roman"/>
                <w:color w:val="000000"/>
                <w:szCs w:val="21"/>
                <w:highlight w:val="none"/>
                <w:lang w:val="en-US" w:eastAsia="zh-CN"/>
              </w:rPr>
              <w:t>5</w:t>
            </w:r>
            <w:r>
              <w:rPr>
                <w:rFonts w:hint="eastAsia" w:ascii="宋体" w:hAnsi="宋体" w:eastAsia="宋体" w:cs="Times New Roman"/>
                <w:color w:val="000000"/>
                <w:szCs w:val="21"/>
                <w:highlight w:val="none"/>
              </w:rPr>
              <w:t>分；每有一处缺陷（缺陷是指非专门针对本项目或不适用项目特性的情形、内容不完整或缺少关键节点、套用其他项目方案、内容前后矛盾、涉及的规范及标准错误、不利于项目实施、不可能实现的情形等任意一种情形）的扣</w:t>
            </w:r>
            <w:r>
              <w:rPr>
                <w:rFonts w:hint="eastAsia"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rPr>
              <w:t>分，扣完为止。</w:t>
            </w:r>
          </w:p>
        </w:tc>
      </w:tr>
      <w:tr w14:paraId="3BEA7A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79" w:hRule="atLeast"/>
          <w:jc w:val="center"/>
        </w:trPr>
        <w:tc>
          <w:tcPr>
            <w:tcW w:w="599" w:type="dxa"/>
            <w:vMerge w:val="continue"/>
            <w:tcBorders>
              <w:right w:val="single" w:color="auto" w:sz="4" w:space="0"/>
            </w:tcBorders>
            <w:vAlign w:val="center"/>
          </w:tcPr>
          <w:p w14:paraId="15DEF64E">
            <w:pPr>
              <w:adjustRightInd w:val="0"/>
              <w:snapToGrid w:val="0"/>
              <w:spacing w:beforeLines="50" w:line="360" w:lineRule="auto"/>
              <w:jc w:val="center"/>
              <w:rPr>
                <w:rFonts w:hint="eastAsia" w:asciiTheme="minorEastAsia" w:hAnsiTheme="minorEastAsia" w:eastAsiaTheme="minorEastAsia"/>
                <w:szCs w:val="21"/>
                <w:highlight w:val="none"/>
              </w:rPr>
            </w:pPr>
          </w:p>
        </w:tc>
        <w:tc>
          <w:tcPr>
            <w:tcW w:w="1268" w:type="dxa"/>
            <w:vMerge w:val="continue"/>
            <w:tcBorders>
              <w:left w:val="single" w:color="auto" w:sz="4" w:space="0"/>
            </w:tcBorders>
            <w:vAlign w:val="center"/>
          </w:tcPr>
          <w:p w14:paraId="4179F031">
            <w:pPr>
              <w:adjustRightInd w:val="0"/>
              <w:snapToGrid w:val="0"/>
              <w:spacing w:beforeLines="50" w:line="360" w:lineRule="auto"/>
              <w:jc w:val="center"/>
              <w:rPr>
                <w:rFonts w:hint="eastAsia" w:asciiTheme="minorEastAsia" w:hAnsiTheme="minorEastAsia" w:eastAsiaTheme="minorEastAsia"/>
                <w:szCs w:val="21"/>
                <w:highlight w:val="none"/>
              </w:rPr>
            </w:pPr>
          </w:p>
        </w:tc>
        <w:tc>
          <w:tcPr>
            <w:tcW w:w="1295" w:type="dxa"/>
            <w:tcBorders>
              <w:left w:val="single" w:color="auto" w:sz="4" w:space="0"/>
            </w:tcBorders>
            <w:shd w:val="clear" w:color="auto" w:fill="auto"/>
            <w:vAlign w:val="center"/>
          </w:tcPr>
          <w:p w14:paraId="08C0FFE4">
            <w:pPr>
              <w:spacing w:line="360" w:lineRule="auto"/>
              <w:jc w:val="center"/>
              <w:rPr>
                <w:rFonts w:hint="eastAsia" w:ascii="宋体" w:hAnsi="宋体" w:eastAsia="宋体" w:cs="宋体"/>
                <w:b/>
                <w:bCs/>
                <w:sz w:val="21"/>
                <w:szCs w:val="24"/>
                <w:highlight w:val="none"/>
                <w:lang w:val="en-US" w:eastAsia="zh-CN"/>
              </w:rPr>
            </w:pPr>
            <w:r>
              <w:rPr>
                <w:rFonts w:ascii="宋体" w:hAnsi="宋体" w:eastAsia="宋体" w:cs="宋体"/>
                <w:b/>
                <w:bCs/>
                <w:sz w:val="21"/>
                <w:szCs w:val="24"/>
                <w:highlight w:val="none"/>
              </w:rPr>
              <w:t>应急</w:t>
            </w:r>
            <w:r>
              <w:rPr>
                <w:rFonts w:hint="eastAsia" w:ascii="宋体" w:hAnsi="宋体" w:eastAsia="宋体" w:cs="宋体"/>
                <w:b/>
                <w:bCs/>
                <w:sz w:val="21"/>
                <w:szCs w:val="24"/>
                <w:highlight w:val="none"/>
                <w:lang w:val="en-US" w:eastAsia="zh-CN"/>
              </w:rPr>
              <w:t>预案</w:t>
            </w:r>
          </w:p>
          <w:p w14:paraId="47FF5209">
            <w:pPr>
              <w:spacing w:line="360" w:lineRule="auto"/>
              <w:jc w:val="center"/>
              <w:rPr>
                <w:rStyle w:val="47"/>
                <w:rFonts w:hint="eastAsia" w:ascii="宋体" w:hAnsi="宋体" w:eastAsia="宋体" w:cs="宋体"/>
                <w:b/>
                <w:bCs/>
                <w:sz w:val="21"/>
                <w:szCs w:val="24"/>
                <w:highlight w:val="none"/>
                <w:lang w:eastAsia="zh-CN"/>
              </w:rPr>
            </w:pPr>
            <w:r>
              <w:rPr>
                <w:rFonts w:hint="eastAsia" w:ascii="宋体" w:hAnsi="宋体" w:eastAsia="宋体" w:cs="宋体"/>
                <w:b/>
                <w:bCs/>
                <w:sz w:val="21"/>
                <w:szCs w:val="24"/>
                <w:highlight w:val="none"/>
                <w:lang w:eastAsia="zh-CN"/>
              </w:rPr>
              <w:t>（</w:t>
            </w:r>
            <w:r>
              <w:rPr>
                <w:rFonts w:hint="eastAsia" w:ascii="宋体" w:hAnsi="宋体" w:eastAsia="宋体" w:cs="宋体"/>
                <w:b/>
                <w:bCs/>
                <w:sz w:val="21"/>
                <w:szCs w:val="24"/>
                <w:highlight w:val="none"/>
                <w:lang w:val="en-US" w:eastAsia="zh-CN"/>
              </w:rPr>
              <w:t>20分</w:t>
            </w:r>
            <w:r>
              <w:rPr>
                <w:rFonts w:hint="eastAsia" w:ascii="宋体" w:hAnsi="宋体" w:eastAsia="宋体" w:cs="宋体"/>
                <w:b/>
                <w:bCs/>
                <w:sz w:val="21"/>
                <w:szCs w:val="24"/>
                <w:highlight w:val="none"/>
                <w:lang w:eastAsia="zh-CN"/>
              </w:rPr>
              <w:t>）</w:t>
            </w:r>
          </w:p>
        </w:tc>
        <w:tc>
          <w:tcPr>
            <w:tcW w:w="6090" w:type="dxa"/>
            <w:tcBorders>
              <w:bottom w:val="single" w:color="auto" w:sz="4" w:space="0"/>
            </w:tcBorders>
            <w:shd w:val="clear" w:color="auto" w:fill="auto"/>
            <w:vAlign w:val="center"/>
          </w:tcPr>
          <w:p w14:paraId="751CFCE7">
            <w:pPr>
              <w:spacing w:line="360" w:lineRule="auto"/>
              <w:rPr>
                <w:rFonts w:hint="eastAsia" w:ascii="宋体" w:hAnsi="宋体" w:eastAsia="宋体" w:cs="宋体"/>
                <w:b w:val="0"/>
                <w:sz w:val="21"/>
                <w:szCs w:val="24"/>
                <w:highlight w:val="none"/>
                <w:lang w:val="en-US" w:eastAsia="zh-CN"/>
              </w:rPr>
            </w:pPr>
            <w:r>
              <w:rPr>
                <w:rFonts w:hint="eastAsia" w:ascii="宋体" w:hAnsi="宋体" w:eastAsia="宋体" w:cs="宋体"/>
                <w:b w:val="0"/>
                <w:sz w:val="21"/>
                <w:szCs w:val="24"/>
                <w:highlight w:val="none"/>
                <w:lang w:val="en-US" w:eastAsia="zh-CN"/>
              </w:rPr>
              <w:t>根据投标人针对本项目制定的应急预案，包含但不限于下列内容：①故障分类级别及处理流程；②应急指挥组及应急人员配置；③紧急响应时间承诺；④突发事件保障措施等。</w:t>
            </w:r>
          </w:p>
          <w:p w14:paraId="567C9A2A">
            <w:pPr>
              <w:spacing w:line="360" w:lineRule="auto"/>
              <w:rPr>
                <w:rStyle w:val="47"/>
                <w:rFonts w:hint="eastAsia" w:ascii="宋体" w:hAnsi="宋体" w:eastAsia="宋体" w:cs="宋体"/>
                <w:b w:val="0"/>
                <w:sz w:val="21"/>
                <w:szCs w:val="24"/>
                <w:highlight w:val="none"/>
              </w:rPr>
            </w:pPr>
            <w:r>
              <w:rPr>
                <w:rFonts w:hint="eastAsia" w:ascii="宋体" w:hAnsi="宋体" w:eastAsia="宋体" w:cs="宋体"/>
                <w:b w:val="0"/>
                <w:sz w:val="21"/>
                <w:szCs w:val="24"/>
                <w:highlight w:val="none"/>
              </w:rPr>
              <w:t>上述方案每缺少一项内容，扣</w:t>
            </w:r>
            <w:r>
              <w:rPr>
                <w:rFonts w:hint="eastAsia" w:ascii="宋体" w:hAnsi="宋体" w:eastAsia="宋体" w:cs="宋体"/>
                <w:b w:val="0"/>
                <w:sz w:val="21"/>
                <w:szCs w:val="24"/>
                <w:highlight w:val="none"/>
                <w:lang w:val="en-US" w:eastAsia="zh-CN"/>
              </w:rPr>
              <w:t>5</w:t>
            </w:r>
            <w:r>
              <w:rPr>
                <w:rFonts w:hint="eastAsia" w:ascii="宋体" w:hAnsi="宋体" w:eastAsia="宋体" w:cs="宋体"/>
                <w:b w:val="0"/>
                <w:sz w:val="21"/>
                <w:szCs w:val="24"/>
                <w:highlight w:val="none"/>
              </w:rPr>
              <w:t>分；每有一处缺陷（缺陷是指非专门针对本项目或不适用项目特性的情形、内容不完整或缺少关键节点、套用其他项目方案、内容前后矛盾、涉及的规范及标准错误、不利于项目实施、不可能实现的情形等任意一种情形）的扣</w:t>
            </w:r>
            <w:r>
              <w:rPr>
                <w:rFonts w:hint="eastAsia" w:ascii="宋体" w:hAnsi="宋体" w:eastAsia="宋体" w:cs="宋体"/>
                <w:b w:val="0"/>
                <w:sz w:val="21"/>
                <w:szCs w:val="24"/>
                <w:highlight w:val="none"/>
                <w:lang w:val="en-US" w:eastAsia="zh-CN"/>
              </w:rPr>
              <w:t>2</w:t>
            </w:r>
            <w:r>
              <w:rPr>
                <w:rFonts w:hint="eastAsia" w:ascii="宋体" w:hAnsi="宋体" w:eastAsia="宋体" w:cs="宋体"/>
                <w:b w:val="0"/>
                <w:sz w:val="21"/>
                <w:szCs w:val="24"/>
                <w:highlight w:val="none"/>
              </w:rPr>
              <w:t>分，扣完为止。</w:t>
            </w:r>
          </w:p>
        </w:tc>
      </w:tr>
      <w:tr w14:paraId="13C7FA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9" w:hRule="atLeast"/>
          <w:jc w:val="center"/>
        </w:trPr>
        <w:tc>
          <w:tcPr>
            <w:tcW w:w="599" w:type="dxa"/>
            <w:vMerge w:val="restart"/>
            <w:tcBorders>
              <w:right w:val="single" w:color="auto" w:sz="4" w:space="0"/>
            </w:tcBorders>
            <w:vAlign w:val="center"/>
          </w:tcPr>
          <w:p w14:paraId="006B3B65">
            <w:pPr>
              <w:adjustRightInd w:val="0"/>
              <w:snapToGrid w:val="0"/>
              <w:spacing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w:t>
            </w:r>
          </w:p>
        </w:tc>
        <w:tc>
          <w:tcPr>
            <w:tcW w:w="1268" w:type="dxa"/>
            <w:vMerge w:val="restart"/>
            <w:tcBorders>
              <w:left w:val="single" w:color="auto" w:sz="4" w:space="0"/>
            </w:tcBorders>
            <w:vAlign w:val="center"/>
          </w:tcPr>
          <w:p w14:paraId="11110390">
            <w:pPr>
              <w:adjustRightInd w:val="0"/>
              <w:snapToGrid w:val="0"/>
              <w:spacing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商务评价项（100</w:t>
            </w:r>
            <w:r>
              <w:rPr>
                <w:rFonts w:hint="eastAsia" w:asciiTheme="minorEastAsia" w:hAnsiTheme="minorEastAsia" w:eastAsiaTheme="minorEastAsia"/>
                <w:szCs w:val="21"/>
                <w:highlight w:val="none"/>
                <w:lang w:val="en-US" w:eastAsia="zh-CN"/>
              </w:rPr>
              <w:t>分</w:t>
            </w:r>
            <w:r>
              <w:rPr>
                <w:rFonts w:asciiTheme="minorEastAsia" w:hAnsiTheme="minorEastAsia" w:eastAsiaTheme="minorEastAsia"/>
                <w:szCs w:val="21"/>
                <w:highlight w:val="none"/>
              </w:rPr>
              <w:t>）</w:t>
            </w:r>
          </w:p>
        </w:tc>
        <w:tc>
          <w:tcPr>
            <w:tcW w:w="1295" w:type="dxa"/>
            <w:tcBorders>
              <w:left w:val="single" w:color="auto" w:sz="4" w:space="0"/>
            </w:tcBorders>
            <w:vAlign w:val="center"/>
          </w:tcPr>
          <w:p w14:paraId="771088C2">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类似业绩</w:t>
            </w:r>
          </w:p>
          <w:p w14:paraId="3C885C1D">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60</w:t>
            </w:r>
            <w:r>
              <w:rPr>
                <w:rFonts w:hint="eastAsia" w:ascii="宋体" w:hAnsi="宋体" w:eastAsia="宋体" w:cs="宋体"/>
                <w:b/>
                <w:bCs/>
                <w:color w:val="auto"/>
                <w:sz w:val="21"/>
                <w:szCs w:val="21"/>
                <w:highlight w:val="none"/>
              </w:rPr>
              <w:t>分）</w:t>
            </w:r>
          </w:p>
        </w:tc>
        <w:tc>
          <w:tcPr>
            <w:tcW w:w="6090" w:type="dxa"/>
            <w:vAlign w:val="center"/>
          </w:tcPr>
          <w:p w14:paraId="719387AF">
            <w:pPr>
              <w:widowControl/>
              <w:spacing w:line="360" w:lineRule="auto"/>
              <w:jc w:val="left"/>
              <w:rPr>
                <w:rFonts w:hint="eastAsia" w:ascii="宋体" w:hAnsi="宋体" w:eastAsia="宋体" w:cs="Times New Roman"/>
                <w:b w:val="0"/>
                <w:bCs w:val="0"/>
                <w:color w:val="auto"/>
                <w:sz w:val="21"/>
                <w:szCs w:val="21"/>
                <w:highlight w:val="none"/>
                <w:lang w:eastAsia="zh-CN"/>
              </w:rPr>
            </w:pPr>
            <w:r>
              <w:rPr>
                <w:rFonts w:hint="eastAsia" w:ascii="宋体" w:hAnsi="宋体" w:eastAsia="宋体" w:cs="Times New Roman"/>
                <w:b w:val="0"/>
                <w:bCs w:val="0"/>
                <w:color w:val="auto"/>
                <w:sz w:val="21"/>
                <w:szCs w:val="21"/>
                <w:highlight w:val="none"/>
              </w:rPr>
              <w:t>投标人自202</w:t>
            </w:r>
            <w:r>
              <w:rPr>
                <w:rFonts w:hint="eastAsia" w:ascii="宋体" w:hAnsi="宋体" w:eastAsia="宋体" w:cs="Times New Roman"/>
                <w:b w:val="0"/>
                <w:bCs w:val="0"/>
                <w:color w:val="auto"/>
                <w:sz w:val="21"/>
                <w:szCs w:val="21"/>
                <w:highlight w:val="none"/>
                <w:lang w:eastAsia="zh-CN"/>
              </w:rPr>
              <w:t>3年</w:t>
            </w:r>
            <w:r>
              <w:rPr>
                <w:rFonts w:hint="eastAsia" w:ascii="宋体" w:hAnsi="宋体" w:cs="Times New Roman"/>
                <w:b w:val="0"/>
                <w:bCs w:val="0"/>
                <w:color w:val="auto"/>
                <w:sz w:val="21"/>
                <w:szCs w:val="21"/>
                <w:highlight w:val="none"/>
                <w:lang w:val="en-US" w:eastAsia="zh-CN"/>
              </w:rPr>
              <w:t>1月1日</w:t>
            </w:r>
            <w:r>
              <w:rPr>
                <w:rFonts w:hint="eastAsia" w:ascii="宋体" w:hAnsi="宋体" w:eastAsia="宋体" w:cs="Times New Roman"/>
                <w:b w:val="0"/>
                <w:bCs w:val="0"/>
                <w:color w:val="auto"/>
                <w:sz w:val="21"/>
                <w:szCs w:val="21"/>
                <w:highlight w:val="none"/>
              </w:rPr>
              <w:t>以来</w:t>
            </w:r>
            <w:r>
              <w:rPr>
                <w:rFonts w:hint="eastAsia" w:ascii="宋体" w:hAnsi="宋体" w:eastAsia="宋体" w:cs="Times New Roman"/>
                <w:b w:val="0"/>
                <w:bCs w:val="0"/>
                <w:color w:val="auto"/>
                <w:sz w:val="21"/>
                <w:szCs w:val="21"/>
                <w:highlight w:val="none"/>
                <w:lang w:val="en-US" w:eastAsia="zh-CN"/>
              </w:rPr>
              <w:t>具有</w:t>
            </w:r>
            <w:r>
              <w:rPr>
                <w:rFonts w:hint="eastAsia" w:ascii="宋体" w:hAnsi="宋体" w:eastAsia="宋体" w:cs="宋体"/>
                <w:b w:val="0"/>
                <w:bCs w:val="0"/>
                <w:i w:val="0"/>
                <w:iCs w:val="0"/>
                <w:color w:val="auto"/>
                <w:kern w:val="0"/>
                <w:sz w:val="21"/>
                <w:szCs w:val="21"/>
                <w:highlight w:val="none"/>
                <w:u w:val="none"/>
                <w:lang w:val="en-US" w:eastAsia="zh-CN" w:bidi="ar"/>
              </w:rPr>
              <w:t>内窥镜设备维保</w:t>
            </w:r>
            <w:r>
              <w:rPr>
                <w:rFonts w:hint="eastAsia" w:ascii="宋体" w:hAnsi="宋体" w:cs="宋体"/>
                <w:b w:val="0"/>
                <w:bCs w:val="0"/>
                <w:i w:val="0"/>
                <w:iCs w:val="0"/>
                <w:color w:val="auto"/>
                <w:kern w:val="0"/>
                <w:sz w:val="21"/>
                <w:szCs w:val="21"/>
                <w:highlight w:val="none"/>
                <w:u w:val="none"/>
                <w:lang w:val="en-US" w:eastAsia="zh-CN" w:bidi="ar"/>
              </w:rPr>
              <w:t>业绩</w:t>
            </w:r>
            <w:r>
              <w:rPr>
                <w:rFonts w:hint="eastAsia" w:ascii="宋体" w:hAnsi="宋体" w:eastAsia="宋体" w:cs="Times New Roman"/>
                <w:b w:val="0"/>
                <w:bCs w:val="0"/>
                <w:color w:val="auto"/>
                <w:sz w:val="21"/>
                <w:szCs w:val="21"/>
                <w:highlight w:val="none"/>
              </w:rPr>
              <w:t>，每个</w:t>
            </w:r>
            <w:r>
              <w:rPr>
                <w:rFonts w:hint="eastAsia" w:ascii="宋体" w:hAnsi="宋体" w:eastAsia="宋体" w:cs="Times New Roman"/>
                <w:b w:val="0"/>
                <w:bCs w:val="0"/>
                <w:color w:val="auto"/>
                <w:sz w:val="21"/>
                <w:szCs w:val="21"/>
                <w:highlight w:val="none"/>
                <w:lang w:val="en-US" w:eastAsia="zh-CN"/>
              </w:rPr>
              <w:t>提供一个</w:t>
            </w:r>
            <w:r>
              <w:rPr>
                <w:rFonts w:hint="eastAsia" w:ascii="宋体" w:hAnsi="宋体" w:eastAsia="宋体" w:cs="Times New Roman"/>
                <w:b w:val="0"/>
                <w:bCs w:val="0"/>
                <w:color w:val="auto"/>
                <w:sz w:val="21"/>
                <w:szCs w:val="21"/>
                <w:highlight w:val="none"/>
              </w:rPr>
              <w:t>计</w:t>
            </w:r>
            <w:r>
              <w:rPr>
                <w:rFonts w:hint="eastAsia" w:ascii="宋体" w:hAnsi="宋体" w:eastAsia="宋体" w:cs="Times New Roman"/>
                <w:b w:val="0"/>
                <w:bCs w:val="0"/>
                <w:color w:val="auto"/>
                <w:sz w:val="21"/>
                <w:szCs w:val="21"/>
                <w:highlight w:val="none"/>
                <w:lang w:val="en-US" w:eastAsia="zh-CN"/>
              </w:rPr>
              <w:t>20</w:t>
            </w:r>
            <w:r>
              <w:rPr>
                <w:rFonts w:hint="eastAsia" w:ascii="宋体" w:hAnsi="宋体" w:eastAsia="宋体" w:cs="Times New Roman"/>
                <w:b w:val="0"/>
                <w:bCs w:val="0"/>
                <w:color w:val="auto"/>
                <w:sz w:val="21"/>
                <w:szCs w:val="21"/>
                <w:highlight w:val="none"/>
              </w:rPr>
              <w:t>分，最多计</w:t>
            </w:r>
            <w:r>
              <w:rPr>
                <w:rFonts w:hint="eastAsia" w:ascii="宋体" w:hAnsi="宋体" w:eastAsia="宋体" w:cs="Times New Roman"/>
                <w:b w:val="0"/>
                <w:bCs w:val="0"/>
                <w:color w:val="auto"/>
                <w:sz w:val="21"/>
                <w:szCs w:val="21"/>
                <w:highlight w:val="none"/>
                <w:lang w:val="en-US" w:eastAsia="zh-CN"/>
              </w:rPr>
              <w:t>60</w:t>
            </w:r>
            <w:r>
              <w:rPr>
                <w:rFonts w:hint="eastAsia" w:ascii="宋体" w:hAnsi="宋体" w:eastAsia="宋体" w:cs="Times New Roman"/>
                <w:b w:val="0"/>
                <w:bCs w:val="0"/>
                <w:color w:val="auto"/>
                <w:sz w:val="21"/>
                <w:szCs w:val="21"/>
                <w:highlight w:val="none"/>
              </w:rPr>
              <w:t>分。</w:t>
            </w:r>
          </w:p>
          <w:p w14:paraId="1FFD87C7">
            <w:pPr>
              <w:widowControl/>
              <w:spacing w:line="360" w:lineRule="auto"/>
              <w:jc w:val="left"/>
              <w:rPr>
                <w:rFonts w:ascii="宋体" w:hAnsi="宋体"/>
                <w:b w:val="0"/>
                <w:bCs w:val="0"/>
                <w:color w:val="auto"/>
                <w:sz w:val="21"/>
                <w:szCs w:val="21"/>
                <w:highlight w:val="none"/>
              </w:rPr>
            </w:pPr>
            <w:r>
              <w:rPr>
                <w:rFonts w:hint="eastAsia" w:ascii="宋体" w:hAnsi="宋体" w:eastAsia="宋体" w:cs="Times New Roman"/>
                <w:b w:val="0"/>
                <w:bCs w:val="0"/>
                <w:color w:val="auto"/>
                <w:sz w:val="21"/>
                <w:szCs w:val="21"/>
                <w:highlight w:val="none"/>
                <w:lang w:val="en-US" w:eastAsia="zh-CN"/>
              </w:rPr>
              <w:t>注：以上业绩不重复计分，</w:t>
            </w:r>
            <w:r>
              <w:rPr>
                <w:rFonts w:hint="eastAsia" w:ascii="宋体" w:hAnsi="宋体" w:eastAsia="宋体" w:cs="Times New Roman"/>
                <w:b w:val="0"/>
                <w:bCs w:val="0"/>
                <w:color w:val="auto"/>
                <w:sz w:val="21"/>
                <w:szCs w:val="21"/>
                <w:highlight w:val="none"/>
              </w:rPr>
              <w:t>提供合同扫描件，</w:t>
            </w:r>
            <w:r>
              <w:rPr>
                <w:rFonts w:hint="eastAsia" w:ascii="宋体" w:hAnsi="宋体" w:eastAsia="宋体" w:cs="Times New Roman"/>
                <w:b w:val="0"/>
                <w:bCs w:val="0"/>
                <w:color w:val="auto"/>
                <w:sz w:val="21"/>
                <w:szCs w:val="21"/>
                <w:highlight w:val="none"/>
                <w:lang w:val="en-US" w:eastAsia="zh-CN"/>
              </w:rPr>
              <w:t>时间以签订合同为准，</w:t>
            </w:r>
            <w:r>
              <w:rPr>
                <w:rFonts w:hint="eastAsia" w:ascii="宋体" w:hAnsi="宋体" w:eastAsia="宋体" w:cs="Times New Roman"/>
                <w:b w:val="0"/>
                <w:bCs w:val="0"/>
                <w:color w:val="auto"/>
                <w:sz w:val="21"/>
                <w:szCs w:val="21"/>
                <w:highlight w:val="none"/>
              </w:rPr>
              <w:t>否则不计分。</w:t>
            </w:r>
          </w:p>
        </w:tc>
      </w:tr>
      <w:tr w14:paraId="6E3069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5" w:hRule="atLeast"/>
          <w:jc w:val="center"/>
        </w:trPr>
        <w:tc>
          <w:tcPr>
            <w:tcW w:w="599" w:type="dxa"/>
            <w:vMerge w:val="continue"/>
            <w:tcBorders>
              <w:right w:val="single" w:color="auto" w:sz="4" w:space="0"/>
            </w:tcBorders>
            <w:vAlign w:val="center"/>
          </w:tcPr>
          <w:p w14:paraId="3A0796EF">
            <w:pPr>
              <w:adjustRightInd w:val="0"/>
              <w:snapToGrid w:val="0"/>
              <w:spacing w:beforeLines="50" w:line="360" w:lineRule="auto"/>
              <w:jc w:val="center"/>
              <w:rPr>
                <w:rFonts w:asciiTheme="minorEastAsia" w:hAnsiTheme="minorEastAsia" w:eastAsiaTheme="minorEastAsia"/>
                <w:szCs w:val="21"/>
                <w:highlight w:val="none"/>
              </w:rPr>
            </w:pPr>
          </w:p>
        </w:tc>
        <w:tc>
          <w:tcPr>
            <w:tcW w:w="1268" w:type="dxa"/>
            <w:vMerge w:val="continue"/>
            <w:tcBorders>
              <w:left w:val="single" w:color="auto" w:sz="4" w:space="0"/>
            </w:tcBorders>
            <w:vAlign w:val="center"/>
          </w:tcPr>
          <w:p w14:paraId="6A661491">
            <w:pPr>
              <w:adjustRightInd w:val="0"/>
              <w:snapToGrid w:val="0"/>
              <w:spacing w:beforeLines="50" w:line="360" w:lineRule="auto"/>
              <w:jc w:val="center"/>
              <w:rPr>
                <w:rFonts w:asciiTheme="minorEastAsia" w:hAnsiTheme="minorEastAsia" w:eastAsiaTheme="minorEastAsia"/>
                <w:szCs w:val="21"/>
                <w:highlight w:val="none"/>
              </w:rPr>
            </w:pPr>
          </w:p>
        </w:tc>
        <w:tc>
          <w:tcPr>
            <w:tcW w:w="1295" w:type="dxa"/>
            <w:tcBorders>
              <w:left w:val="single" w:color="auto" w:sz="4" w:space="0"/>
            </w:tcBorders>
            <w:shd w:val="clear" w:color="auto" w:fill="auto"/>
            <w:vAlign w:val="center"/>
          </w:tcPr>
          <w:p w14:paraId="15B80948">
            <w:pPr>
              <w:widowControl w:val="0"/>
              <w:spacing w:after="120" w:line="360" w:lineRule="auto"/>
              <w:ind w:firstLine="0" w:firstLineChars="0"/>
              <w:jc w:val="center"/>
              <w:rPr>
                <w:rFonts w:hint="eastAsia"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技术团队人员</w:t>
            </w:r>
            <w:r>
              <w:rPr>
                <w:rFonts w:hint="eastAsia" w:ascii="宋体" w:hAnsi="宋体" w:eastAsia="宋体" w:cs="宋体"/>
                <w:b/>
                <w:bCs/>
                <w:color w:val="000000"/>
                <w:kern w:val="2"/>
                <w:sz w:val="21"/>
                <w:szCs w:val="21"/>
                <w:highlight w:val="none"/>
                <w:lang w:val="en-US" w:eastAsia="zh-CN" w:bidi="ar-SA"/>
              </w:rPr>
              <w:t>（40分）</w:t>
            </w:r>
          </w:p>
        </w:tc>
        <w:tc>
          <w:tcPr>
            <w:tcW w:w="6090" w:type="dxa"/>
            <w:shd w:val="clear" w:color="auto" w:fill="auto"/>
            <w:vAlign w:val="top"/>
          </w:tcPr>
          <w:p w14:paraId="0B8144A5">
            <w:pPr>
              <w:widowControl w:val="0"/>
              <w:numPr>
                <w:ilvl w:val="0"/>
                <w:numId w:val="0"/>
              </w:numPr>
              <w:spacing w:after="120" w:line="360" w:lineRule="auto"/>
              <w:jc w:val="both"/>
              <w:rPr>
                <w:rFonts w:hint="default"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（1）拟任项目负责人：具有5年以上医疗设备检测、维修相关工作经验的计</w:t>
            </w:r>
            <w:r>
              <w:rPr>
                <w:rFonts w:hint="default" w:ascii="宋体" w:hAnsi="宋体" w:eastAsia="宋体" w:cs="宋体"/>
                <w:b w:val="0"/>
                <w:bCs w:val="0"/>
                <w:kern w:val="2"/>
                <w:sz w:val="21"/>
                <w:szCs w:val="21"/>
                <w:highlight w:val="none"/>
                <w:lang w:val="en-US" w:eastAsia="zh-CN" w:bidi="ar-SA"/>
              </w:rPr>
              <w:t>5</w:t>
            </w:r>
            <w:r>
              <w:rPr>
                <w:rFonts w:hint="eastAsia" w:ascii="宋体" w:hAnsi="宋体" w:eastAsia="宋体" w:cs="宋体"/>
                <w:b w:val="0"/>
                <w:bCs w:val="0"/>
                <w:kern w:val="2"/>
                <w:sz w:val="21"/>
                <w:szCs w:val="21"/>
                <w:highlight w:val="none"/>
                <w:lang w:val="en-US" w:eastAsia="zh-CN" w:bidi="ar-SA"/>
              </w:rPr>
              <w:t xml:space="preserve">分，具有本科及以上学历计5分，具有医疗设备维修工程师证书计5分，具有医疗设备维保管理能力培训证书计5分。本小项最多计20分。提供相关经验证明材料、学历证书、工程师证书、培训证书及劳动合同扫描件，否则不计分。 </w:t>
            </w:r>
          </w:p>
          <w:p w14:paraId="0A2723D9">
            <w:pPr>
              <w:widowControl w:val="0"/>
              <w:spacing w:after="120" w:line="360" w:lineRule="auto"/>
              <w:ind w:firstLine="0" w:firstLineChars="0"/>
              <w:jc w:val="both"/>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2）驻场工程师：每提供一名具有3年以上医疗设备检测、维修相关工作经验的计5分，具有医疗设备维修工程师证书计5分。本小项最多计2人，本小项最多计20分。提供相关经验证明材料、工程师证书及劳动合同扫描件，否则不计分。</w:t>
            </w:r>
          </w:p>
        </w:tc>
      </w:tr>
    </w:tbl>
    <w:p w14:paraId="27704B9C">
      <w:pPr>
        <w:rPr>
          <w:rFonts w:hint="eastAsia" w:ascii="黑体" w:hAnsi="黑体" w:eastAsia="黑体"/>
          <w:b/>
          <w:sz w:val="28"/>
          <w:szCs w:val="28"/>
          <w:highlight w:val="none"/>
        </w:rPr>
      </w:pPr>
    </w:p>
    <w:p w14:paraId="7E36E022">
      <w:pPr>
        <w:rPr>
          <w:rFonts w:ascii="黑体" w:hAnsi="华文中宋" w:eastAsia="黑体"/>
          <w:sz w:val="32"/>
          <w:szCs w:val="32"/>
          <w:highlight w:val="none"/>
        </w:rPr>
      </w:pPr>
      <w:bookmarkStart w:id="111" w:name="_Toc32431"/>
      <w:r>
        <w:rPr>
          <w:rFonts w:hint="eastAsia" w:ascii="黑体" w:hAnsi="华文中宋" w:eastAsia="黑体"/>
          <w:sz w:val="32"/>
          <w:szCs w:val="32"/>
          <w:highlight w:val="none"/>
        </w:rPr>
        <w:br w:type="page"/>
      </w:r>
    </w:p>
    <w:p w14:paraId="062271DD">
      <w:pPr>
        <w:pStyle w:val="23"/>
        <w:numPr>
          <w:ilvl w:val="0"/>
          <w:numId w:val="3"/>
        </w:numPr>
        <w:adjustRightInd w:val="0"/>
        <w:snapToGrid w:val="0"/>
        <w:spacing w:line="360" w:lineRule="auto"/>
        <w:jc w:val="center"/>
        <w:outlineLvl w:val="0"/>
        <w:rPr>
          <w:rFonts w:ascii="黑体" w:hAnsi="华文中宋" w:eastAsia="黑体"/>
          <w:sz w:val="32"/>
          <w:szCs w:val="32"/>
          <w:highlight w:val="none"/>
        </w:rPr>
      </w:pPr>
      <w:r>
        <w:rPr>
          <w:rFonts w:hint="eastAsia" w:ascii="黑体" w:hAnsi="华文中宋" w:eastAsia="黑体"/>
          <w:sz w:val="32"/>
          <w:szCs w:val="32"/>
          <w:highlight w:val="none"/>
        </w:rPr>
        <w:t>采购需求</w:t>
      </w:r>
      <w:bookmarkEnd w:id="111"/>
    </w:p>
    <w:p w14:paraId="257F6F16">
      <w:pPr>
        <w:keepNext w:val="0"/>
        <w:keepLines w:val="0"/>
        <w:pageBreakBefore w:val="0"/>
        <w:kinsoku/>
        <w:overflowPunct/>
        <w:topLinePunct w:val="0"/>
        <w:autoSpaceDE/>
        <w:autoSpaceDN/>
        <w:bidi w:val="0"/>
        <w:adjustRightInd/>
        <w:snapToGrid/>
        <w:spacing w:line="360" w:lineRule="exact"/>
        <w:ind w:left="0" w:leftChars="0" w:firstLine="422" w:firstLineChars="20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一、商务条款</w:t>
      </w:r>
    </w:p>
    <w:p w14:paraId="3D22F60A">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Cs/>
          <w:sz w:val="21"/>
          <w:szCs w:val="21"/>
          <w:highlight w:val="none"/>
          <w:lang w:bidi="ar"/>
        </w:rPr>
      </w:pPr>
      <w:r>
        <w:rPr>
          <w:rFonts w:hint="eastAsia" w:ascii="宋体" w:hAnsi="宋体" w:eastAsia="宋体" w:cs="宋体"/>
          <w:bCs/>
          <w:sz w:val="21"/>
          <w:szCs w:val="21"/>
          <w:highlight w:val="none"/>
          <w:lang w:bidi="ar"/>
        </w:rPr>
        <w:t>（一）服务时间和地点要求：3年，郴州市第二人民医院</w:t>
      </w:r>
    </w:p>
    <w:p w14:paraId="009E2FDC">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Cs/>
          <w:sz w:val="21"/>
          <w:szCs w:val="21"/>
          <w:highlight w:val="none"/>
          <w:lang w:bidi="ar"/>
        </w:rPr>
      </w:pPr>
      <w:r>
        <w:rPr>
          <w:rFonts w:hint="eastAsia" w:ascii="宋体" w:hAnsi="宋体" w:eastAsia="宋体" w:cs="宋体"/>
          <w:bCs/>
          <w:sz w:val="21"/>
          <w:szCs w:val="21"/>
          <w:highlight w:val="none"/>
          <w:lang w:bidi="ar"/>
        </w:rPr>
        <w:t>（二）项目预算与结算方式</w:t>
      </w:r>
    </w:p>
    <w:p w14:paraId="7DD768BA">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 w:val="0"/>
          <w:bCs w:val="0"/>
          <w:color w:val="FF0000"/>
          <w:sz w:val="21"/>
          <w:szCs w:val="21"/>
          <w:highlight w:val="none"/>
          <w:lang w:bidi="ar"/>
        </w:rPr>
      </w:pPr>
      <w:r>
        <w:rPr>
          <w:rFonts w:hint="eastAsia" w:ascii="宋体" w:hAnsi="宋体" w:eastAsia="宋体" w:cs="宋体"/>
          <w:bCs/>
          <w:sz w:val="21"/>
          <w:szCs w:val="21"/>
          <w:highlight w:val="none"/>
          <w:lang w:bidi="ar"/>
        </w:rPr>
        <w:t>项目</w:t>
      </w:r>
      <w:r>
        <w:rPr>
          <w:rFonts w:hint="eastAsia" w:ascii="宋体" w:hAnsi="宋体" w:eastAsia="宋体" w:cs="宋体"/>
          <w:bCs/>
          <w:sz w:val="21"/>
          <w:szCs w:val="21"/>
          <w:highlight w:val="none"/>
          <w:lang w:val="en-US" w:eastAsia="zh-CN" w:bidi="ar"/>
        </w:rPr>
        <w:t>总</w:t>
      </w:r>
      <w:r>
        <w:rPr>
          <w:rFonts w:hint="eastAsia" w:ascii="宋体" w:hAnsi="宋体" w:eastAsia="宋体" w:cs="宋体"/>
          <w:bCs/>
          <w:sz w:val="21"/>
          <w:szCs w:val="21"/>
          <w:highlight w:val="none"/>
          <w:lang w:bidi="ar"/>
        </w:rPr>
        <w:t>预算</w:t>
      </w:r>
      <w:r>
        <w:rPr>
          <w:rFonts w:hint="eastAsia" w:ascii="宋体" w:hAnsi="宋体" w:eastAsia="宋体" w:cs="宋体"/>
          <w:bCs/>
          <w:color w:val="auto"/>
          <w:sz w:val="21"/>
          <w:szCs w:val="21"/>
          <w:highlight w:val="none"/>
          <w:lang w:bidi="ar"/>
        </w:rPr>
        <w:t>：</w:t>
      </w:r>
      <w:r>
        <w:rPr>
          <w:rFonts w:hint="eastAsia" w:ascii="宋体" w:hAnsi="宋体" w:cs="宋体"/>
          <w:b w:val="0"/>
          <w:bCs w:val="0"/>
          <w:color w:val="auto"/>
          <w:kern w:val="0"/>
          <w:sz w:val="21"/>
          <w:szCs w:val="21"/>
          <w:highlight w:val="none"/>
          <w:lang w:val="en-US" w:eastAsia="zh-CN"/>
        </w:rPr>
        <w:t>495</w:t>
      </w:r>
      <w:r>
        <w:rPr>
          <w:rFonts w:hint="eastAsia" w:ascii="宋体" w:hAnsi="宋体" w:eastAsia="宋体" w:cs="宋体"/>
          <w:b w:val="0"/>
          <w:bCs w:val="0"/>
          <w:color w:val="auto"/>
          <w:sz w:val="21"/>
          <w:szCs w:val="21"/>
          <w:highlight w:val="none"/>
          <w:lang w:bidi="ar"/>
        </w:rPr>
        <w:t>万元</w:t>
      </w:r>
    </w:p>
    <w:p w14:paraId="6D7BE165">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包一</w:t>
      </w:r>
      <w:r>
        <w:rPr>
          <w:rFonts w:hint="eastAsia" w:ascii="宋体" w:hAnsi="宋体" w:eastAsia="宋体" w:cs="宋体"/>
          <w:kern w:val="0"/>
          <w:sz w:val="21"/>
          <w:szCs w:val="21"/>
          <w:highlight w:val="none"/>
          <w:lang w:eastAsia="zh-CN"/>
        </w:rPr>
        <w:t>：</w:t>
      </w:r>
      <w:r>
        <w:rPr>
          <w:rFonts w:hint="eastAsia" w:ascii="宋体" w:hAnsi="宋体" w:cs="宋体"/>
          <w:kern w:val="0"/>
          <w:sz w:val="21"/>
          <w:szCs w:val="21"/>
          <w:highlight w:val="none"/>
          <w:lang w:val="en-US" w:eastAsia="zh-CN"/>
        </w:rPr>
        <w:t>日立</w:t>
      </w:r>
      <w:r>
        <w:rPr>
          <w:rFonts w:hint="eastAsia" w:ascii="宋体" w:hAnsi="宋体" w:eastAsia="宋体" w:cs="宋体"/>
          <w:bCs/>
          <w:sz w:val="21"/>
          <w:szCs w:val="21"/>
          <w:highlight w:val="none"/>
          <w:lang w:val="en-US" w:eastAsia="zh-CN" w:bidi="ar"/>
        </w:rPr>
        <w:t>CT等医疗设备</w:t>
      </w:r>
      <w:r>
        <w:rPr>
          <w:rFonts w:hint="eastAsia" w:ascii="宋体" w:hAnsi="宋体" w:cs="宋体"/>
          <w:bCs/>
          <w:sz w:val="21"/>
          <w:szCs w:val="21"/>
          <w:highlight w:val="none"/>
          <w:lang w:val="en-US" w:eastAsia="zh-CN" w:bidi="ar"/>
        </w:rPr>
        <w:t>维保</w:t>
      </w:r>
      <w:r>
        <w:rPr>
          <w:rFonts w:hint="eastAsia" w:ascii="宋体" w:hAnsi="宋体" w:eastAsia="宋体" w:cs="宋体"/>
          <w:kern w:val="0"/>
          <w:sz w:val="21"/>
          <w:szCs w:val="21"/>
          <w:highlight w:val="none"/>
        </w:rPr>
        <w:t>托管</w:t>
      </w:r>
      <w:r>
        <w:rPr>
          <w:rFonts w:hint="eastAsia" w:ascii="宋体" w:hAnsi="宋体" w:cs="宋体"/>
          <w:kern w:val="0"/>
          <w:sz w:val="21"/>
          <w:szCs w:val="21"/>
          <w:highlight w:val="none"/>
          <w:lang w:val="en-US" w:eastAsia="zh-CN"/>
        </w:rPr>
        <w:t>服务项目</w:t>
      </w:r>
      <w:r>
        <w:rPr>
          <w:rFonts w:hint="eastAsia" w:ascii="宋体" w:hAnsi="宋体" w:eastAsia="宋体" w:cs="宋体"/>
          <w:kern w:val="0"/>
          <w:sz w:val="21"/>
          <w:szCs w:val="21"/>
          <w:highlight w:val="none"/>
          <w:lang w:val="en-US" w:eastAsia="zh-CN"/>
        </w:rPr>
        <w:t>预算36</w:t>
      </w:r>
      <w:r>
        <w:rPr>
          <w:rFonts w:hint="eastAsia" w:ascii="宋体" w:hAnsi="宋体" w:cs="宋体"/>
          <w:kern w:val="0"/>
          <w:sz w:val="21"/>
          <w:szCs w:val="21"/>
          <w:highlight w:val="none"/>
          <w:lang w:val="en-US" w:eastAsia="zh-CN"/>
        </w:rPr>
        <w:t>0</w:t>
      </w:r>
      <w:r>
        <w:rPr>
          <w:rFonts w:hint="eastAsia" w:ascii="宋体" w:hAnsi="宋体" w:eastAsia="宋体" w:cs="宋体"/>
          <w:kern w:val="0"/>
          <w:sz w:val="21"/>
          <w:szCs w:val="21"/>
          <w:highlight w:val="none"/>
          <w:lang w:val="en-US" w:eastAsia="zh-CN"/>
        </w:rPr>
        <w:t>万元</w:t>
      </w:r>
      <w:r>
        <w:rPr>
          <w:rFonts w:hint="eastAsia" w:ascii="宋体" w:hAnsi="宋体" w:cs="宋体"/>
          <w:kern w:val="0"/>
          <w:sz w:val="21"/>
          <w:szCs w:val="21"/>
          <w:highlight w:val="none"/>
          <w:lang w:val="en-US" w:eastAsia="zh-CN"/>
        </w:rPr>
        <w:t>；</w:t>
      </w:r>
    </w:p>
    <w:p w14:paraId="3C9D7876">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包二</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lang w:val="en-US" w:eastAsia="zh-CN"/>
        </w:rPr>
        <w:t>内镜维保</w:t>
      </w:r>
      <w:r>
        <w:rPr>
          <w:rFonts w:hint="eastAsia" w:ascii="宋体" w:hAnsi="宋体" w:cs="宋体"/>
          <w:kern w:val="0"/>
          <w:sz w:val="21"/>
          <w:szCs w:val="21"/>
          <w:highlight w:val="none"/>
          <w:lang w:val="en-US" w:eastAsia="zh-CN"/>
        </w:rPr>
        <w:t>托管服务</w:t>
      </w:r>
      <w:r>
        <w:rPr>
          <w:rFonts w:hint="eastAsia" w:ascii="宋体" w:hAnsi="宋体" w:eastAsia="宋体" w:cs="宋体"/>
          <w:kern w:val="0"/>
          <w:sz w:val="21"/>
          <w:szCs w:val="21"/>
          <w:highlight w:val="none"/>
          <w:lang w:val="en-US" w:eastAsia="zh-CN"/>
        </w:rPr>
        <w:t>项目预算135万元</w:t>
      </w:r>
      <w:r>
        <w:rPr>
          <w:rFonts w:hint="eastAsia" w:ascii="宋体" w:hAnsi="宋体" w:eastAsia="宋体" w:cs="宋体"/>
          <w:kern w:val="0"/>
          <w:sz w:val="21"/>
          <w:szCs w:val="21"/>
          <w:highlight w:val="none"/>
        </w:rPr>
        <w:t>。</w:t>
      </w:r>
    </w:p>
    <w:p w14:paraId="4BF1A60A">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
          <w:sz w:val="21"/>
          <w:szCs w:val="21"/>
        </w:rPr>
      </w:pPr>
      <w:r>
        <w:rPr>
          <w:rFonts w:hint="eastAsia" w:ascii="宋体" w:hAnsi="宋体" w:eastAsia="宋体" w:cs="宋体"/>
          <w:kern w:val="0"/>
          <w:sz w:val="21"/>
          <w:szCs w:val="21"/>
          <w:highlight w:val="none"/>
          <w:lang w:val="en-US" w:eastAsia="zh-CN"/>
        </w:rPr>
        <w:t>结算方式：</w:t>
      </w:r>
      <w:r>
        <w:rPr>
          <w:rFonts w:hint="eastAsia" w:ascii="宋体" w:hAnsi="宋体" w:eastAsia="宋体" w:cs="宋体"/>
          <w:kern w:val="0"/>
          <w:sz w:val="21"/>
          <w:szCs w:val="21"/>
          <w:highlight w:val="none"/>
        </w:rPr>
        <w:t>本次维保设备为变量，</w:t>
      </w:r>
      <w:r>
        <w:rPr>
          <w:rFonts w:hint="eastAsia" w:ascii="宋体" w:hAnsi="宋体" w:eastAsia="宋体" w:cs="宋体"/>
          <w:b/>
          <w:sz w:val="21"/>
          <w:szCs w:val="21"/>
          <w:highlight w:val="none"/>
          <w:lang w:bidi="ar"/>
        </w:rPr>
        <w:t>每年的结算金额按医院确认的医疗设备固定资产金额</w:t>
      </w:r>
      <w:r>
        <w:rPr>
          <w:rFonts w:hint="eastAsia" w:ascii="宋体" w:hAnsi="宋体" w:eastAsia="宋体" w:cs="宋体"/>
          <w:b/>
          <w:sz w:val="21"/>
          <w:szCs w:val="21"/>
        </w:rPr>
        <w:t>，乘以报价比例进行具实结算。</w:t>
      </w:r>
    </w:p>
    <w:p w14:paraId="184D274A">
      <w:pPr>
        <w:keepNext w:val="0"/>
        <w:keepLines w:val="0"/>
        <w:pageBreakBefore w:val="0"/>
        <w:kinsoku/>
        <w:overflowPunct/>
        <w:topLinePunct w:val="0"/>
        <w:autoSpaceDE/>
        <w:autoSpaceDN/>
        <w:bidi w:val="0"/>
        <w:adjustRightInd/>
        <w:snapToGrid/>
        <w:spacing w:line="360" w:lineRule="exact"/>
        <w:ind w:left="0" w:leftChars="0" w:firstLine="422" w:firstLineChars="200"/>
        <w:textAlignment w:val="auto"/>
        <w:rPr>
          <w:rFonts w:hint="eastAsia" w:ascii="宋体" w:hAnsi="宋体" w:eastAsia="宋体" w:cs="宋体"/>
          <w:b/>
          <w:kern w:val="0"/>
          <w:sz w:val="21"/>
          <w:szCs w:val="21"/>
          <w:lang w:val="en-US" w:eastAsia="zh-CN" w:bidi="ar-SA"/>
        </w:rPr>
      </w:pPr>
      <w:r>
        <w:rPr>
          <w:rFonts w:hint="eastAsia" w:ascii="宋体" w:hAnsi="宋体" w:eastAsia="宋体" w:cs="宋体"/>
          <w:b/>
          <w:color w:val="000000"/>
          <w:sz w:val="21"/>
          <w:szCs w:val="21"/>
        </w:rPr>
        <w:t>二、包一：</w:t>
      </w:r>
      <w:r>
        <w:rPr>
          <w:rFonts w:hint="eastAsia" w:ascii="宋体" w:hAnsi="宋体" w:cs="宋体"/>
          <w:b/>
          <w:color w:val="000000"/>
          <w:sz w:val="21"/>
          <w:szCs w:val="21"/>
          <w:lang w:val="en-US" w:eastAsia="zh-CN"/>
        </w:rPr>
        <w:t>日立</w:t>
      </w:r>
      <w:r>
        <w:rPr>
          <w:rFonts w:hint="eastAsia" w:ascii="宋体" w:hAnsi="宋体" w:eastAsia="宋体" w:cs="宋体"/>
          <w:b/>
          <w:kern w:val="0"/>
          <w:sz w:val="21"/>
          <w:szCs w:val="21"/>
          <w:lang w:val="en-US" w:eastAsia="zh-CN" w:bidi="ar-SA"/>
        </w:rPr>
        <w:t>CT等医疗设备维保托管服务项目</w:t>
      </w:r>
    </w:p>
    <w:p w14:paraId="3D323678">
      <w:pPr>
        <w:pStyle w:val="158"/>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
          <w:sz w:val="21"/>
          <w:szCs w:val="21"/>
        </w:rPr>
      </w:pPr>
      <w:r>
        <w:rPr>
          <w:rFonts w:hint="eastAsia" w:ascii="宋体" w:hAnsi="宋体" w:eastAsia="宋体" w:cs="宋体"/>
          <w:bCs/>
          <w:sz w:val="21"/>
          <w:szCs w:val="21"/>
          <w:lang w:bidi="ar"/>
        </w:rPr>
        <w:t>（一）</w:t>
      </w:r>
      <w:r>
        <w:rPr>
          <w:rFonts w:hint="eastAsia" w:ascii="宋体" w:hAnsi="宋体" w:eastAsia="宋体" w:cs="宋体"/>
          <w:b/>
          <w:sz w:val="21"/>
          <w:szCs w:val="21"/>
        </w:rPr>
        <w:t xml:space="preserve">服务内容及范围： </w:t>
      </w:r>
    </w:p>
    <w:p w14:paraId="75941D1E">
      <w:pPr>
        <w:pStyle w:val="158"/>
        <w:keepNext w:val="0"/>
        <w:keepLines w:val="0"/>
        <w:pageBreakBefore w:val="0"/>
        <w:kinsoku/>
        <w:overflowPunct/>
        <w:topLinePunct w:val="0"/>
        <w:autoSpaceDE/>
        <w:autoSpaceDN/>
        <w:bidi w:val="0"/>
        <w:adjustRightInd/>
        <w:snapToGrid/>
        <w:spacing w:line="360" w:lineRule="exact"/>
        <w:ind w:left="0" w:leftChars="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1</w:t>
      </w:r>
      <w:r>
        <w:rPr>
          <w:rFonts w:hint="eastAsia" w:ascii="宋体" w:hAnsi="宋体" w:eastAsia="宋体" w:cs="宋体"/>
          <w:b/>
          <w:sz w:val="21"/>
          <w:szCs w:val="21"/>
          <w:lang w:eastAsia="zh-CN"/>
        </w:rPr>
        <w:t>.</w:t>
      </w:r>
      <w:r>
        <w:rPr>
          <w:rFonts w:hint="eastAsia" w:ascii="宋体" w:hAnsi="宋体" w:eastAsia="宋体" w:cs="宋体"/>
          <w:b/>
          <w:sz w:val="21"/>
          <w:szCs w:val="21"/>
        </w:rPr>
        <w:t xml:space="preserve">服务内容： </w:t>
      </w:r>
    </w:p>
    <w:p w14:paraId="5657106A">
      <w:pPr>
        <w:keepNext w:val="0"/>
        <w:keepLines w:val="0"/>
        <w:pageBreakBefore w:val="0"/>
        <w:widowControl/>
        <w:kinsoku/>
        <w:overflowPunct/>
        <w:topLinePunct w:val="0"/>
        <w:autoSpaceDE/>
        <w:autoSpaceDN/>
        <w:bidi w:val="0"/>
        <w:adjustRightInd/>
        <w:snapToGrid/>
        <w:spacing w:line="360" w:lineRule="exact"/>
        <w:ind w:left="0" w:leftChars="0" w:firstLine="420" w:firstLineChars="200"/>
        <w:jc w:val="left"/>
        <w:textAlignment w:val="auto"/>
        <w:rPr>
          <w:rFonts w:hint="eastAsia" w:ascii="宋体" w:hAnsi="宋体" w:eastAsia="宋体" w:cs="宋体"/>
          <w:b/>
          <w:sz w:val="21"/>
          <w:szCs w:val="21"/>
        </w:rPr>
      </w:pPr>
      <w:r>
        <w:rPr>
          <w:rFonts w:hint="eastAsia" w:ascii="宋体" w:hAnsi="宋体" w:eastAsia="宋体" w:cs="宋体"/>
          <w:kern w:val="0"/>
          <w:sz w:val="21"/>
          <w:szCs w:val="21"/>
          <w:lang w:bidi="ar"/>
        </w:rPr>
        <w:t>为郴州市第二人民医院</w:t>
      </w:r>
      <w:r>
        <w:rPr>
          <w:rFonts w:hint="eastAsia" w:ascii="宋体" w:hAnsi="宋体" w:cs="宋体"/>
          <w:kern w:val="0"/>
          <w:sz w:val="21"/>
          <w:szCs w:val="21"/>
          <w:lang w:val="en-US" w:eastAsia="zh-CN" w:bidi="ar"/>
        </w:rPr>
        <w:t>日立</w:t>
      </w:r>
      <w:r>
        <w:rPr>
          <w:rFonts w:hint="eastAsia" w:ascii="宋体" w:hAnsi="宋体" w:eastAsia="宋体" w:cs="宋体"/>
          <w:kern w:val="0"/>
          <w:sz w:val="21"/>
          <w:szCs w:val="21"/>
          <w:lang w:val="en-US" w:eastAsia="zh-CN" w:bidi="ar"/>
        </w:rPr>
        <w:t>CT等医疗设备总</w:t>
      </w:r>
      <w:r>
        <w:rPr>
          <w:rFonts w:hint="eastAsia" w:ascii="宋体" w:hAnsi="宋体" w:eastAsia="宋体" w:cs="宋体"/>
          <w:kern w:val="0"/>
          <w:sz w:val="21"/>
          <w:szCs w:val="21"/>
          <w:lang w:bidi="ar"/>
        </w:rPr>
        <w:t>清单内的医疗设备提供全方位托管及维保服务</w:t>
      </w:r>
      <w:r>
        <w:rPr>
          <w:rFonts w:hint="eastAsia" w:ascii="宋体" w:hAnsi="宋体" w:eastAsia="宋体" w:cs="宋体"/>
          <w:kern w:val="0"/>
          <w:sz w:val="21"/>
          <w:szCs w:val="21"/>
          <w:lang w:val="en-US" w:eastAsia="zh-CN" w:bidi="ar"/>
        </w:rPr>
        <w:t>（以我院提供的</w:t>
      </w:r>
      <w:r>
        <w:rPr>
          <w:rFonts w:hint="eastAsia" w:ascii="宋体" w:hAnsi="宋体" w:cs="宋体"/>
          <w:kern w:val="0"/>
          <w:sz w:val="21"/>
          <w:szCs w:val="21"/>
          <w:lang w:val="en-US" w:eastAsia="zh-CN" w:bidi="ar"/>
        </w:rPr>
        <w:t>日立</w:t>
      </w:r>
      <w:r>
        <w:rPr>
          <w:rFonts w:hint="eastAsia" w:ascii="宋体" w:hAnsi="宋体" w:eastAsia="宋体" w:cs="宋体"/>
          <w:kern w:val="0"/>
          <w:sz w:val="21"/>
          <w:szCs w:val="21"/>
          <w:lang w:val="en-US" w:eastAsia="zh-CN" w:bidi="ar"/>
        </w:rPr>
        <w:t>CT等维保设备清单（详见附件）作为参考，最终以项目中标后实际盘点的清单为准。</w:t>
      </w:r>
      <w:r>
        <w:rPr>
          <w:rFonts w:hint="eastAsia" w:ascii="宋体" w:hAnsi="宋体" w:eastAsia="宋体" w:cs="宋体"/>
          <w:kern w:val="0"/>
          <w:sz w:val="21"/>
          <w:szCs w:val="21"/>
          <w:lang w:eastAsia="zh-CN" w:bidi="ar"/>
        </w:rPr>
        <w:t>）。</w:t>
      </w:r>
      <w:r>
        <w:rPr>
          <w:rFonts w:hint="eastAsia" w:ascii="宋体" w:hAnsi="宋体" w:eastAsia="宋体" w:cs="宋体"/>
          <w:b/>
          <w:sz w:val="21"/>
          <w:szCs w:val="21"/>
        </w:rPr>
        <w:t>新购设备质保期满后纳入本项目维保单位维保范围。包二内镜设备不纳入包一托管范围</w:t>
      </w:r>
      <w:r>
        <w:rPr>
          <w:rFonts w:hint="eastAsia" w:ascii="宋体" w:hAnsi="宋体" w:eastAsia="宋体" w:cs="宋体"/>
          <w:i w:val="0"/>
          <w:iCs w:val="0"/>
          <w:caps w:val="0"/>
          <w:color w:val="0F1115"/>
          <w:spacing w:val="0"/>
          <w:sz w:val="21"/>
          <w:szCs w:val="21"/>
          <w:shd w:val="clear" w:color="auto" w:fill="FFFFFF"/>
        </w:rPr>
        <w:t>，</w:t>
      </w:r>
      <w:r>
        <w:rPr>
          <w:rFonts w:hint="eastAsia" w:ascii="宋体" w:hAnsi="宋体" w:eastAsia="宋体" w:cs="宋体"/>
          <w:i w:val="0"/>
          <w:iCs w:val="0"/>
          <w:caps w:val="0"/>
          <w:color w:val="0F1115"/>
          <w:spacing w:val="0"/>
          <w:sz w:val="21"/>
          <w:szCs w:val="21"/>
          <w:shd w:val="clear" w:color="auto" w:fill="FFFFFF"/>
          <w:lang w:val="en-US" w:eastAsia="zh-CN"/>
        </w:rPr>
        <w:t>但</w:t>
      </w:r>
      <w:r>
        <w:rPr>
          <w:rFonts w:hint="eastAsia" w:ascii="宋体" w:hAnsi="宋体" w:eastAsia="宋体" w:cs="宋体"/>
          <w:b/>
          <w:bCs/>
          <w:color w:val="000000"/>
          <w:spacing w:val="-2"/>
          <w:kern w:val="0"/>
          <w:sz w:val="21"/>
          <w:szCs w:val="21"/>
          <w:lang w:val="en-US" w:eastAsia="zh-CN" w:bidi="ar"/>
        </w:rPr>
        <w:t>纳入包一系统统一管理，</w:t>
      </w:r>
      <w:r>
        <w:rPr>
          <w:rFonts w:hint="eastAsia" w:ascii="宋体" w:hAnsi="宋体" w:eastAsia="宋体" w:cs="宋体"/>
          <w:b/>
          <w:sz w:val="21"/>
          <w:szCs w:val="21"/>
        </w:rPr>
        <w:t>两包人员配置独立</w:t>
      </w:r>
      <w:r>
        <w:rPr>
          <w:rFonts w:hint="eastAsia" w:ascii="宋体" w:hAnsi="宋体" w:eastAsia="宋体" w:cs="宋体"/>
          <w:i w:val="0"/>
          <w:iCs w:val="0"/>
          <w:caps w:val="0"/>
          <w:color w:val="0F1115"/>
          <w:spacing w:val="0"/>
          <w:sz w:val="21"/>
          <w:szCs w:val="21"/>
          <w:shd w:val="clear" w:color="auto" w:fill="FFFFFF"/>
        </w:rPr>
        <w:t>。</w:t>
      </w:r>
      <w:r>
        <w:rPr>
          <w:rFonts w:hint="eastAsia" w:ascii="宋体" w:hAnsi="宋体" w:eastAsia="宋体" w:cs="宋体"/>
          <w:b/>
          <w:sz w:val="21"/>
          <w:szCs w:val="21"/>
        </w:rPr>
        <w:t>包括从技术服务</w:t>
      </w:r>
      <w:r>
        <w:rPr>
          <w:rFonts w:hint="eastAsia" w:ascii="宋体" w:hAnsi="宋体" w:eastAsia="宋体" w:cs="宋体"/>
          <w:kern w:val="0"/>
          <w:sz w:val="21"/>
          <w:szCs w:val="21"/>
          <w:lang w:bidi="ar"/>
        </w:rPr>
        <w:t>（含维保单位服务期内派驻服务人员的全部人工支出、福利、保险、差旅等所有费用）</w:t>
      </w:r>
      <w:r>
        <w:rPr>
          <w:rFonts w:hint="eastAsia" w:ascii="宋体" w:hAnsi="宋体" w:eastAsia="宋体" w:cs="宋体"/>
          <w:b/>
          <w:sz w:val="21"/>
          <w:szCs w:val="21"/>
        </w:rPr>
        <w:t>到设备管理,解决设备所有状况,包括设备质量性能参数检测、日常保养、预防性维护、巡检、维修、配件更换、淘汰、置换、质量监控(不限于急救类、生命支持系统类设备的质控检测)、使用评价</w:t>
      </w:r>
      <w:r>
        <w:rPr>
          <w:rFonts w:hint="eastAsia" w:ascii="宋体" w:hAnsi="宋体" w:eastAsia="宋体" w:cs="宋体"/>
          <w:b/>
          <w:color w:val="auto"/>
          <w:sz w:val="21"/>
          <w:szCs w:val="21"/>
          <w:lang w:eastAsia="zh-CN"/>
        </w:rPr>
        <w:t>、</w:t>
      </w:r>
      <w:r>
        <w:rPr>
          <w:rFonts w:hint="eastAsia" w:ascii="宋体" w:hAnsi="宋体" w:eastAsia="宋体" w:cs="宋体"/>
          <w:b/>
          <w:color w:val="auto"/>
          <w:sz w:val="21"/>
          <w:szCs w:val="21"/>
        </w:rPr>
        <w:t>迎评迎检</w:t>
      </w:r>
      <w:r>
        <w:rPr>
          <w:rFonts w:hint="eastAsia" w:ascii="宋体" w:hAnsi="宋体" w:eastAsia="宋体" w:cs="宋体"/>
          <w:b/>
          <w:color w:val="auto"/>
          <w:sz w:val="21"/>
          <w:szCs w:val="21"/>
          <w:lang w:eastAsia="zh-CN"/>
        </w:rPr>
        <w:t>、</w:t>
      </w:r>
      <w:r>
        <w:rPr>
          <w:rFonts w:hint="eastAsia" w:ascii="宋体" w:hAnsi="宋体" w:eastAsia="宋体" w:cs="宋体"/>
          <w:b/>
          <w:color w:val="auto"/>
          <w:sz w:val="21"/>
          <w:szCs w:val="21"/>
          <w:lang w:val="en-US" w:eastAsia="zh-CN"/>
        </w:rPr>
        <w:t>根据医院临床需要组织相关人员进行培训</w:t>
      </w:r>
      <w:r>
        <w:rPr>
          <w:rFonts w:hint="eastAsia" w:ascii="宋体" w:hAnsi="宋体" w:eastAsia="宋体" w:cs="宋体"/>
          <w:b/>
          <w:color w:val="auto"/>
          <w:sz w:val="21"/>
          <w:szCs w:val="21"/>
        </w:rPr>
        <w:t>等。有整套医</w:t>
      </w:r>
      <w:r>
        <w:rPr>
          <w:rFonts w:hint="eastAsia" w:ascii="宋体" w:hAnsi="宋体" w:cs="宋体"/>
          <w:b/>
          <w:color w:val="auto"/>
          <w:sz w:val="21"/>
          <w:szCs w:val="21"/>
          <w:lang w:val="en-US" w:eastAsia="zh-CN"/>
        </w:rPr>
        <w:t>疗</w:t>
      </w:r>
      <w:r>
        <w:rPr>
          <w:rFonts w:hint="eastAsia" w:ascii="宋体" w:hAnsi="宋体" w:eastAsia="宋体" w:cs="宋体"/>
          <w:b/>
          <w:color w:val="auto"/>
          <w:sz w:val="21"/>
          <w:szCs w:val="21"/>
        </w:rPr>
        <w:t>设备管理医院三级</w:t>
      </w:r>
      <w:r>
        <w:rPr>
          <w:rFonts w:hint="eastAsia" w:ascii="宋体" w:hAnsi="宋体" w:eastAsia="宋体" w:cs="宋体"/>
          <w:b/>
          <w:color w:val="auto"/>
          <w:sz w:val="21"/>
          <w:szCs w:val="21"/>
          <w:lang w:val="en-US" w:eastAsia="zh-CN"/>
        </w:rPr>
        <w:t>等级评审</w:t>
      </w:r>
      <w:r>
        <w:rPr>
          <w:rFonts w:hint="eastAsia" w:ascii="宋体" w:hAnsi="宋体" w:eastAsia="宋体" w:cs="宋体"/>
          <w:b/>
          <w:color w:val="auto"/>
          <w:sz w:val="21"/>
          <w:szCs w:val="21"/>
        </w:rPr>
        <w:t>支持能</w:t>
      </w:r>
      <w:r>
        <w:rPr>
          <w:rFonts w:hint="eastAsia" w:ascii="宋体" w:hAnsi="宋体" w:eastAsia="宋体" w:cs="宋体"/>
          <w:b/>
          <w:sz w:val="21"/>
          <w:szCs w:val="21"/>
        </w:rPr>
        <w:t>力和经验</w:t>
      </w:r>
      <w:r>
        <w:rPr>
          <w:rFonts w:hint="eastAsia" w:ascii="宋体" w:hAnsi="宋体" w:eastAsia="宋体" w:cs="宋体"/>
          <w:b/>
          <w:sz w:val="21"/>
          <w:szCs w:val="21"/>
          <w:lang w:eastAsia="zh-CN"/>
        </w:rPr>
        <w:t>，</w:t>
      </w:r>
      <w:r>
        <w:rPr>
          <w:rFonts w:hint="eastAsia" w:ascii="宋体" w:hAnsi="宋体" w:cs="宋体"/>
          <w:b/>
          <w:sz w:val="21"/>
          <w:szCs w:val="21"/>
          <w:lang w:val="en-US" w:eastAsia="zh-CN"/>
        </w:rPr>
        <w:t>协助</w:t>
      </w:r>
      <w:r>
        <w:rPr>
          <w:rFonts w:hint="eastAsia" w:ascii="宋体" w:hAnsi="宋体" w:eastAsia="宋体" w:cs="宋体"/>
          <w:b/>
          <w:sz w:val="21"/>
          <w:szCs w:val="21"/>
          <w:lang w:eastAsia="zh-CN"/>
        </w:rPr>
        <w:t>医院三级</w:t>
      </w:r>
      <w:r>
        <w:rPr>
          <w:rFonts w:hint="eastAsia" w:ascii="宋体" w:hAnsi="宋体" w:eastAsia="宋体" w:cs="宋体"/>
          <w:b/>
          <w:sz w:val="21"/>
          <w:szCs w:val="21"/>
          <w:lang w:val="en-US" w:eastAsia="zh-CN"/>
        </w:rPr>
        <w:t>等级评审</w:t>
      </w:r>
      <w:r>
        <w:rPr>
          <w:rFonts w:hint="eastAsia" w:ascii="宋体" w:hAnsi="宋体" w:eastAsia="宋体" w:cs="宋体"/>
          <w:b/>
          <w:sz w:val="21"/>
          <w:szCs w:val="21"/>
          <w:lang w:eastAsia="zh-CN"/>
        </w:rPr>
        <w:t>合格</w:t>
      </w:r>
      <w:r>
        <w:rPr>
          <w:rFonts w:hint="eastAsia" w:ascii="宋体" w:hAnsi="宋体" w:eastAsia="宋体" w:cs="宋体"/>
          <w:b/>
          <w:sz w:val="21"/>
          <w:szCs w:val="21"/>
        </w:rPr>
        <w:t>。</w:t>
      </w:r>
    </w:p>
    <w:p w14:paraId="1E263BBF">
      <w:pPr>
        <w:keepNext w:val="0"/>
        <w:keepLines w:val="0"/>
        <w:pageBreakBefore w:val="0"/>
        <w:kinsoku/>
        <w:overflowPunct/>
        <w:topLinePunct w:val="0"/>
        <w:autoSpaceDE/>
        <w:autoSpaceDN/>
        <w:bidi w:val="0"/>
        <w:adjustRightInd/>
        <w:snapToGrid/>
        <w:spacing w:line="360" w:lineRule="exact"/>
        <w:ind w:left="0" w:leftChars="0" w:firstLine="422" w:firstLineChars="200"/>
        <w:textAlignment w:val="auto"/>
        <w:rPr>
          <w:rFonts w:hint="default" w:ascii="宋体" w:hAnsi="宋体" w:eastAsia="宋体" w:cs="宋体"/>
          <w:b/>
          <w:color w:val="FF0000"/>
          <w:sz w:val="21"/>
          <w:szCs w:val="21"/>
          <w:highlight w:val="none"/>
          <w:lang w:val="en-US" w:eastAsia="zh-CN"/>
        </w:rPr>
      </w:pPr>
      <w:r>
        <w:rPr>
          <w:rFonts w:hint="eastAsia" w:ascii="宋体" w:hAnsi="宋体" w:eastAsia="宋体" w:cs="宋体"/>
          <w:b/>
          <w:sz w:val="21"/>
          <w:szCs w:val="21"/>
        </w:rPr>
        <w:t>2</w:t>
      </w:r>
      <w:r>
        <w:rPr>
          <w:rFonts w:hint="eastAsia" w:ascii="宋体" w:hAnsi="宋体" w:eastAsia="宋体" w:cs="宋体"/>
          <w:b/>
          <w:sz w:val="21"/>
          <w:szCs w:val="21"/>
          <w:lang w:eastAsia="zh-CN"/>
        </w:rPr>
        <w:t>.</w:t>
      </w:r>
      <w:r>
        <w:rPr>
          <w:rFonts w:hint="eastAsia" w:ascii="宋体" w:hAnsi="宋体" w:eastAsia="宋体" w:cs="宋体"/>
          <w:b/>
          <w:sz w:val="21"/>
          <w:szCs w:val="21"/>
        </w:rPr>
        <w:t>服务范围：本次维保的设备详细清单见附件《郴州市第二人民医院</w:t>
      </w:r>
      <w:r>
        <w:rPr>
          <w:rFonts w:hint="eastAsia" w:ascii="宋体" w:hAnsi="宋体" w:cs="宋体"/>
          <w:b/>
          <w:sz w:val="21"/>
          <w:szCs w:val="21"/>
          <w:lang w:val="en-US" w:eastAsia="zh-CN"/>
        </w:rPr>
        <w:t>日立</w:t>
      </w:r>
      <w:r>
        <w:rPr>
          <w:rFonts w:hint="eastAsia" w:ascii="宋体" w:hAnsi="宋体" w:eastAsia="宋体" w:cs="宋体"/>
          <w:b/>
          <w:sz w:val="21"/>
          <w:szCs w:val="21"/>
          <w:lang w:val="en-US" w:eastAsia="zh-CN"/>
        </w:rPr>
        <w:t>CT等</w:t>
      </w:r>
      <w:r>
        <w:rPr>
          <w:rFonts w:hint="eastAsia" w:ascii="宋体" w:hAnsi="宋体" w:eastAsia="宋体" w:cs="宋体"/>
          <w:b/>
          <w:sz w:val="21"/>
          <w:szCs w:val="21"/>
        </w:rPr>
        <w:t>维保设备清单</w:t>
      </w:r>
      <w:r>
        <w:rPr>
          <w:rFonts w:hint="eastAsia" w:ascii="宋体" w:hAnsi="宋体" w:eastAsia="宋体" w:cs="宋体"/>
          <w:b/>
          <w:sz w:val="21"/>
          <w:szCs w:val="21"/>
          <w:highlight w:val="none"/>
        </w:rPr>
        <w:t>》</w:t>
      </w:r>
      <w:r>
        <w:rPr>
          <w:rFonts w:hint="eastAsia" w:ascii="宋体" w:hAnsi="宋体" w:cs="宋体"/>
          <w:b/>
          <w:sz w:val="21"/>
          <w:szCs w:val="21"/>
          <w:highlight w:val="none"/>
          <w:lang w:eastAsia="zh-CN"/>
        </w:rPr>
        <w:t>，</w:t>
      </w:r>
      <w:r>
        <w:rPr>
          <w:rFonts w:hint="eastAsia" w:ascii="宋体" w:hAnsi="宋体" w:cs="宋体"/>
          <w:b/>
          <w:sz w:val="21"/>
          <w:szCs w:val="21"/>
          <w:highlight w:val="none"/>
          <w:lang w:val="en-US" w:eastAsia="zh-CN"/>
        </w:rPr>
        <w:t>且含球管。</w:t>
      </w:r>
    </w:p>
    <w:p w14:paraId="390C4417">
      <w:pPr>
        <w:keepNext w:val="0"/>
        <w:keepLines w:val="0"/>
        <w:pageBreakBefore w:val="0"/>
        <w:kinsoku/>
        <w:overflowPunct/>
        <w:topLinePunct w:val="0"/>
        <w:autoSpaceDE/>
        <w:autoSpaceDN/>
        <w:bidi w:val="0"/>
        <w:adjustRightInd/>
        <w:snapToGrid/>
        <w:spacing w:line="360" w:lineRule="exact"/>
        <w:ind w:left="0" w:leftChars="0" w:firstLine="422" w:firstLineChars="200"/>
        <w:textAlignment w:val="auto"/>
        <w:rPr>
          <w:rFonts w:hint="eastAsia" w:ascii="宋体" w:hAnsi="宋体" w:eastAsia="宋体" w:cs="宋体"/>
          <w:b/>
          <w:bCs w:val="0"/>
          <w:sz w:val="21"/>
          <w:szCs w:val="21"/>
          <w:highlight w:val="none"/>
        </w:rPr>
      </w:pPr>
      <w:r>
        <w:rPr>
          <w:rFonts w:hint="eastAsia" w:ascii="宋体" w:hAnsi="宋体" w:eastAsia="宋体" w:cs="宋体"/>
          <w:b/>
          <w:bCs w:val="0"/>
          <w:sz w:val="21"/>
          <w:szCs w:val="21"/>
          <w:highlight w:val="none"/>
          <w:lang w:bidi="ar"/>
        </w:rPr>
        <w:t>（</w:t>
      </w:r>
      <w:r>
        <w:rPr>
          <w:rFonts w:hint="eastAsia" w:ascii="宋体" w:hAnsi="宋体" w:cs="宋体"/>
          <w:b/>
          <w:bCs w:val="0"/>
          <w:sz w:val="21"/>
          <w:szCs w:val="21"/>
          <w:highlight w:val="none"/>
          <w:lang w:val="en-US" w:eastAsia="zh-CN" w:bidi="ar"/>
        </w:rPr>
        <w:t>二</w:t>
      </w:r>
      <w:r>
        <w:rPr>
          <w:rFonts w:hint="eastAsia" w:ascii="宋体" w:hAnsi="宋体" w:eastAsia="宋体" w:cs="宋体"/>
          <w:b/>
          <w:bCs w:val="0"/>
          <w:sz w:val="21"/>
          <w:szCs w:val="21"/>
          <w:highlight w:val="none"/>
          <w:lang w:bidi="ar"/>
        </w:rPr>
        <w:t>）</w:t>
      </w:r>
      <w:r>
        <w:rPr>
          <w:rFonts w:hint="eastAsia" w:ascii="宋体" w:hAnsi="宋体" w:eastAsia="宋体" w:cs="宋体"/>
          <w:b/>
          <w:bCs w:val="0"/>
          <w:sz w:val="21"/>
          <w:szCs w:val="21"/>
          <w:highlight w:val="none"/>
        </w:rPr>
        <w:t xml:space="preserve">巡检保养和设备维保要求 </w:t>
      </w:r>
    </w:p>
    <w:p w14:paraId="5D4F59F6">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Cs/>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bCs/>
          <w:sz w:val="21"/>
          <w:szCs w:val="21"/>
          <w:highlight w:val="none"/>
          <w:lang w:bidi="ar"/>
        </w:rPr>
        <w:t>1</w:t>
      </w:r>
      <w:r>
        <w:rPr>
          <w:rFonts w:hint="eastAsia" w:ascii="宋体" w:hAnsi="宋体" w:eastAsia="宋体" w:cs="宋体"/>
          <w:bCs/>
          <w:sz w:val="21"/>
          <w:szCs w:val="21"/>
          <w:highlight w:val="none"/>
          <w:lang w:val="en-US" w:eastAsia="zh-CN" w:bidi="ar"/>
        </w:rPr>
        <w:t>.</w:t>
      </w:r>
      <w:r>
        <w:rPr>
          <w:rFonts w:hint="eastAsia" w:ascii="宋体" w:hAnsi="宋体" w:eastAsia="宋体" w:cs="宋体"/>
          <w:bCs/>
          <w:sz w:val="21"/>
          <w:szCs w:val="21"/>
          <w:highlight w:val="none"/>
          <w:lang w:bidi="ar"/>
        </w:rPr>
        <w:t>巡检保养：对维保范围</w:t>
      </w:r>
      <w:r>
        <w:rPr>
          <w:rFonts w:hint="eastAsia" w:ascii="宋体" w:hAnsi="宋体" w:cs="宋体"/>
          <w:bCs/>
          <w:sz w:val="21"/>
          <w:szCs w:val="21"/>
          <w:highlight w:val="none"/>
          <w:lang w:val="en-US" w:eastAsia="zh-CN" w:bidi="ar"/>
        </w:rPr>
        <w:t>内</w:t>
      </w:r>
      <w:r>
        <w:rPr>
          <w:rFonts w:hint="eastAsia" w:ascii="宋体" w:hAnsi="宋体" w:eastAsia="宋体" w:cs="宋体"/>
          <w:bCs/>
          <w:sz w:val="21"/>
          <w:szCs w:val="21"/>
          <w:highlight w:val="none"/>
          <w:lang w:bidi="ar"/>
        </w:rPr>
        <w:t>的设备，生命支持类的设备按要求每个月完成100%覆盖巡检一次；其他设备每6个月完成100%覆盖率巡检保养一次，对不符合设备正常运行或有可能造成医疗安全隐患的设备，出具书面的解决方案，并提交给医院设备管理</w:t>
      </w:r>
      <w:r>
        <w:rPr>
          <w:rFonts w:hint="eastAsia" w:ascii="宋体" w:hAnsi="宋体" w:cs="宋体"/>
          <w:bCs/>
          <w:sz w:val="21"/>
          <w:szCs w:val="21"/>
          <w:highlight w:val="none"/>
          <w:lang w:val="en-US" w:eastAsia="zh-CN" w:bidi="ar"/>
        </w:rPr>
        <w:t>科</w:t>
      </w:r>
      <w:r>
        <w:rPr>
          <w:rFonts w:hint="eastAsia" w:ascii="宋体" w:hAnsi="宋体" w:eastAsia="宋体" w:cs="宋体"/>
          <w:bCs/>
          <w:sz w:val="21"/>
          <w:szCs w:val="21"/>
          <w:highlight w:val="none"/>
          <w:lang w:bidi="ar"/>
        </w:rPr>
        <w:t>备案，所有数据需采集至设备管理系统；</w:t>
      </w:r>
    </w:p>
    <w:p w14:paraId="028EE85A">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Cs/>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bCs/>
          <w:sz w:val="21"/>
          <w:szCs w:val="21"/>
          <w:highlight w:val="none"/>
          <w:lang w:bidi="ar"/>
        </w:rPr>
        <w:t>2</w:t>
      </w:r>
      <w:r>
        <w:rPr>
          <w:rFonts w:hint="eastAsia" w:ascii="宋体" w:hAnsi="宋体" w:eastAsia="宋体" w:cs="宋体"/>
          <w:bCs/>
          <w:sz w:val="21"/>
          <w:szCs w:val="21"/>
          <w:highlight w:val="none"/>
          <w:lang w:val="en-US" w:eastAsia="zh-CN" w:bidi="ar"/>
        </w:rPr>
        <w:t>.</w:t>
      </w:r>
      <w:r>
        <w:rPr>
          <w:rFonts w:hint="eastAsia" w:ascii="宋体" w:hAnsi="宋体" w:eastAsia="宋体" w:cs="宋体"/>
          <w:bCs/>
          <w:sz w:val="21"/>
          <w:szCs w:val="21"/>
          <w:highlight w:val="none"/>
          <w:lang w:bidi="ar"/>
        </w:rPr>
        <w:t>预防性维护：对维保范围内的设备，要求每3个月完成100%覆盖率的预防性维护一次。</w:t>
      </w:r>
    </w:p>
    <w:p w14:paraId="7A74BA72">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Cs/>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bCs/>
          <w:sz w:val="21"/>
          <w:szCs w:val="21"/>
          <w:highlight w:val="none"/>
          <w:lang w:bidi="ar"/>
        </w:rPr>
        <w:t>3</w:t>
      </w:r>
      <w:r>
        <w:rPr>
          <w:rFonts w:hint="eastAsia" w:ascii="宋体" w:hAnsi="宋体" w:eastAsia="宋体" w:cs="宋体"/>
          <w:bCs/>
          <w:sz w:val="21"/>
          <w:szCs w:val="21"/>
          <w:highlight w:val="none"/>
          <w:lang w:val="en-US" w:eastAsia="zh-CN" w:bidi="ar"/>
        </w:rPr>
        <w:t>.</w:t>
      </w:r>
      <w:r>
        <w:rPr>
          <w:rFonts w:hint="eastAsia" w:ascii="宋体" w:hAnsi="宋体" w:eastAsia="宋体" w:cs="宋体"/>
          <w:bCs/>
          <w:sz w:val="21"/>
          <w:szCs w:val="21"/>
          <w:highlight w:val="none"/>
          <w:lang w:bidi="ar"/>
        </w:rPr>
        <w:t>在进行维保范围内医疗设备巡检和预防性维护过程中，要求投标单位全天候 24 小时内根据科室设备使用情况，在不影响医学诊疗工作的前提下，提供不限次数的维保服务和备件服务，并及时处理可能产生的故障，确保医疗设备的正常使用，使性能指标与该机器生产厂家提供的性能指标相符。</w:t>
      </w:r>
    </w:p>
    <w:p w14:paraId="1F7B56E9">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default" w:ascii="宋体" w:hAnsi="宋体" w:eastAsia="宋体" w:cs="宋体"/>
          <w:bCs/>
          <w:sz w:val="21"/>
          <w:szCs w:val="21"/>
          <w:highlight w:val="none"/>
          <w:lang w:val="en-US" w:eastAsia="zh-CN" w:bidi="ar"/>
        </w:rPr>
      </w:pPr>
      <w:r>
        <w:rPr>
          <w:rFonts w:hint="eastAsia" w:ascii="宋体" w:hAnsi="宋体" w:eastAsia="宋体" w:cs="宋体"/>
          <w:bCs/>
          <w:sz w:val="21"/>
          <w:szCs w:val="21"/>
          <w:highlight w:val="none"/>
          <w:lang w:bidi="ar"/>
        </w:rPr>
        <w:t>4</w:t>
      </w:r>
      <w:r>
        <w:rPr>
          <w:rFonts w:hint="eastAsia" w:ascii="宋体" w:hAnsi="宋体" w:eastAsia="宋体" w:cs="宋体"/>
          <w:bCs/>
          <w:sz w:val="21"/>
          <w:szCs w:val="21"/>
          <w:highlight w:val="none"/>
          <w:lang w:val="en-US" w:eastAsia="zh-CN" w:bidi="ar"/>
        </w:rPr>
        <w:t>.</w:t>
      </w:r>
      <w:r>
        <w:rPr>
          <w:rFonts w:hint="eastAsia" w:ascii="宋体" w:hAnsi="宋体" w:eastAsia="宋体" w:cs="宋体"/>
          <w:bCs/>
          <w:sz w:val="21"/>
          <w:szCs w:val="21"/>
          <w:highlight w:val="none"/>
          <w:lang w:bidi="ar"/>
        </w:rPr>
        <w:t>大型医疗设备与重点设备（CT 类、X 光类等影像设备等）提供的定期维护、保养、校正服务，应提供详细定期保养报告，计划性定期的维护保养服务检测包括设备清洁、性能测试及校准、必要的机械或电气的检查，以及非紧急性质的预防性维修，并定期对设备的数据进行备份，以及确保系统能按照制造商的产品规格运行的其它维护，保养报告上交设备</w:t>
      </w:r>
      <w:r>
        <w:rPr>
          <w:rFonts w:hint="eastAsia" w:ascii="宋体" w:hAnsi="宋体" w:cs="宋体"/>
          <w:bCs/>
          <w:sz w:val="21"/>
          <w:szCs w:val="21"/>
          <w:highlight w:val="none"/>
          <w:lang w:val="en-US" w:eastAsia="zh-CN" w:bidi="ar"/>
        </w:rPr>
        <w:t>管理</w:t>
      </w:r>
      <w:r>
        <w:rPr>
          <w:rFonts w:hint="eastAsia" w:ascii="宋体" w:hAnsi="宋体" w:eastAsia="宋体" w:cs="宋体"/>
          <w:bCs/>
          <w:sz w:val="21"/>
          <w:szCs w:val="21"/>
          <w:highlight w:val="none"/>
          <w:lang w:bidi="ar"/>
        </w:rPr>
        <w:t>科，并做好记录。</w:t>
      </w:r>
      <w:r>
        <w:rPr>
          <w:rFonts w:hint="eastAsia" w:ascii="宋体" w:hAnsi="宋体" w:cs="宋体"/>
          <w:bCs/>
          <w:sz w:val="21"/>
          <w:szCs w:val="21"/>
          <w:highlight w:val="none"/>
          <w:lang w:val="en-US" w:eastAsia="zh-CN" w:bidi="ar"/>
        </w:rPr>
        <w:t>影像科大型设备特殊故障7天内排除，血透设备24小时内修好，保证运行。</w:t>
      </w:r>
    </w:p>
    <w:p w14:paraId="6ECAA38F">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根据维修保养情况记录表的内容，分析设备故障，追踪设备的故障和维修情况，动态掌握和分析设备故障的原因</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了解配件的更换情况。</w:t>
      </w:r>
    </w:p>
    <w:p w14:paraId="3CE6F568">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针对每一次设备维修情况，对故障进行记录并进行分析，详细记录故障属于日常使用故障、设备老化磨损故障、电路故障、设备软件故障、还是机械故障，在及时排除故障的同时针对每种故障类型做出相对应的应急措施，及时告知招标人设备管理人员或使用人员避免该类故障的正确做法。</w:t>
      </w:r>
    </w:p>
    <w:p w14:paraId="75B4A619">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7</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服从医院管理，接受临床、医技科室监督。</w:t>
      </w:r>
    </w:p>
    <w:p w14:paraId="5A75C7CE">
      <w:pPr>
        <w:keepNext w:val="0"/>
        <w:keepLines w:val="0"/>
        <w:pageBreakBefore w:val="0"/>
        <w:kinsoku/>
        <w:overflowPunct/>
        <w:topLinePunct w:val="0"/>
        <w:autoSpaceDE/>
        <w:autoSpaceDN/>
        <w:bidi w:val="0"/>
        <w:adjustRightInd/>
        <w:snapToGrid/>
        <w:spacing w:line="360" w:lineRule="exact"/>
        <w:ind w:left="0" w:leftChars="0" w:firstLine="422" w:firstLineChars="200"/>
        <w:textAlignment w:val="auto"/>
        <w:rPr>
          <w:rFonts w:hint="eastAsia" w:ascii="宋体" w:hAnsi="宋体" w:eastAsia="宋体" w:cs="宋体"/>
          <w:b/>
          <w:bCs w:val="0"/>
          <w:sz w:val="21"/>
          <w:szCs w:val="21"/>
          <w:highlight w:val="none"/>
          <w:lang w:bidi="ar"/>
        </w:rPr>
      </w:pPr>
      <w:r>
        <w:rPr>
          <w:rFonts w:hint="eastAsia" w:ascii="宋体" w:hAnsi="宋体" w:eastAsia="宋体" w:cs="宋体"/>
          <w:b/>
          <w:bCs w:val="0"/>
          <w:sz w:val="21"/>
          <w:szCs w:val="21"/>
          <w:highlight w:val="none"/>
          <w:lang w:bidi="ar"/>
        </w:rPr>
        <w:t>（</w:t>
      </w:r>
      <w:r>
        <w:rPr>
          <w:rFonts w:hint="eastAsia" w:ascii="宋体" w:hAnsi="宋体" w:cs="宋体"/>
          <w:b/>
          <w:bCs w:val="0"/>
          <w:sz w:val="21"/>
          <w:szCs w:val="21"/>
          <w:highlight w:val="none"/>
          <w:lang w:val="en-US" w:eastAsia="zh-CN" w:bidi="ar"/>
        </w:rPr>
        <w:t>三</w:t>
      </w:r>
      <w:r>
        <w:rPr>
          <w:rFonts w:hint="eastAsia" w:ascii="宋体" w:hAnsi="宋体" w:eastAsia="宋体" w:cs="宋体"/>
          <w:b/>
          <w:bCs w:val="0"/>
          <w:sz w:val="21"/>
          <w:szCs w:val="21"/>
          <w:highlight w:val="none"/>
          <w:lang w:bidi="ar"/>
        </w:rPr>
        <w:t>）投标单位服务能力</w:t>
      </w:r>
    </w:p>
    <w:p w14:paraId="4085DADC">
      <w:pPr>
        <w:keepNext w:val="0"/>
        <w:keepLines w:val="0"/>
        <w:pageBreakBefore w:val="0"/>
        <w:kinsoku/>
        <w:overflowPunct/>
        <w:topLinePunct w:val="0"/>
        <w:autoSpaceDE/>
        <w:autoSpaceDN/>
        <w:bidi w:val="0"/>
        <w:adjustRightInd/>
        <w:snapToGrid/>
        <w:spacing w:line="360" w:lineRule="exact"/>
        <w:ind w:left="0" w:leftChars="0" w:firstLine="422" w:firstLineChars="200"/>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1.管理方案和服务承诺：</w:t>
      </w:r>
    </w:p>
    <w:p w14:paraId="2D089CFB">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全保范围内的设备备件（除一次性专人使用耗材外，构成整机设备所有组成的配件、附件部分均属备件）费用均由中标人负责。对于不在维修合同范围内的医疗设备，有义务协助医院、厂家技术人员，尽快解决故障。</w:t>
      </w:r>
    </w:p>
    <w:p w14:paraId="4CEA7965">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bCs/>
          <w:sz w:val="21"/>
          <w:szCs w:val="21"/>
          <w:highlight w:val="none"/>
        </w:rPr>
        <w:t>维修更换的配件必须为原厂配件（原厂配件若不再生产，需使用非原厂配件替代，需征得院方书面同意后方可使用），保证性能达标，渠道可溯源。</w:t>
      </w:r>
    </w:p>
    <w:p w14:paraId="56C230FC">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3）中标人需为我院的医疗设备正常运行提供有效的技术支持，对不符合设备正常运行或有可能造成医疗事故隐患的，应给予书面的解决改进方案。</w:t>
      </w:r>
    </w:p>
    <w:p w14:paraId="2568188F">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rPr>
        <w:t>）报故障的医用仪器设备中，若必须发往厂家维修调校的，应尽快办理相关手续，尽量向原厂申请要求提供备用设备，及时送厂家检测检修。</w:t>
      </w:r>
    </w:p>
    <w:p w14:paraId="0AD66627">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rPr>
        <w:t>）设备在维修过程中需要更换的备件，要尽快采购做好安装进度跟踪并恢复系统正常运行</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并定期</w:t>
      </w:r>
      <w:r>
        <w:rPr>
          <w:rFonts w:hint="eastAsia" w:ascii="宋体" w:hAnsi="宋体" w:eastAsia="宋体" w:cs="宋体"/>
          <w:sz w:val="21"/>
          <w:szCs w:val="21"/>
          <w:highlight w:val="none"/>
        </w:rPr>
        <w:t>向</w:t>
      </w:r>
      <w:r>
        <w:rPr>
          <w:rFonts w:hint="eastAsia" w:ascii="宋体" w:hAnsi="宋体" w:cs="宋体"/>
          <w:sz w:val="21"/>
          <w:szCs w:val="21"/>
          <w:highlight w:val="none"/>
          <w:lang w:val="en-US" w:eastAsia="zh-CN"/>
        </w:rPr>
        <w:t>采购人</w:t>
      </w:r>
      <w:r>
        <w:rPr>
          <w:rFonts w:hint="eastAsia" w:ascii="宋体" w:hAnsi="宋体" w:eastAsia="宋体" w:cs="宋体"/>
          <w:sz w:val="21"/>
          <w:szCs w:val="21"/>
          <w:highlight w:val="none"/>
        </w:rPr>
        <w:t>递交设备维护</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维修</w:t>
      </w:r>
      <w:r>
        <w:rPr>
          <w:rFonts w:hint="eastAsia" w:ascii="宋体" w:hAnsi="宋体" w:cs="宋体"/>
          <w:sz w:val="21"/>
          <w:szCs w:val="21"/>
          <w:highlight w:val="none"/>
          <w:lang w:val="en-US" w:eastAsia="zh-CN"/>
        </w:rPr>
        <w:t>台账</w:t>
      </w:r>
      <w:r>
        <w:rPr>
          <w:rFonts w:hint="eastAsia" w:ascii="宋体" w:hAnsi="宋体" w:eastAsia="宋体" w:cs="宋体"/>
          <w:sz w:val="21"/>
          <w:szCs w:val="21"/>
          <w:highlight w:val="none"/>
        </w:rPr>
        <w:t>。</w:t>
      </w:r>
    </w:p>
    <w:p w14:paraId="13467896">
      <w:pPr>
        <w:keepNext w:val="0"/>
        <w:keepLines w:val="0"/>
        <w:pageBreakBefore w:val="0"/>
        <w:kinsoku/>
        <w:overflowPunct/>
        <w:topLinePunct w:val="0"/>
        <w:autoSpaceDE/>
        <w:autoSpaceDN/>
        <w:bidi w:val="0"/>
        <w:adjustRightInd/>
        <w:snapToGrid/>
        <w:spacing w:line="360" w:lineRule="exact"/>
        <w:ind w:left="0" w:leftChars="0" w:firstLine="422" w:firstLineChars="200"/>
        <w:textAlignment w:val="auto"/>
        <w:rPr>
          <w:rFonts w:hint="eastAsia" w:ascii="宋体" w:hAnsi="宋体" w:eastAsia="宋体" w:cs="宋体"/>
          <w:b/>
          <w:color w:val="000000"/>
          <w:sz w:val="21"/>
          <w:szCs w:val="21"/>
          <w:highlight w:val="none"/>
          <w:lang w:eastAsia="zh-CN"/>
        </w:rPr>
      </w:pPr>
      <w:r>
        <w:rPr>
          <w:rFonts w:hint="eastAsia" w:ascii="宋体" w:hAnsi="宋体" w:eastAsia="宋体" w:cs="宋体"/>
          <w:b/>
          <w:color w:val="000000"/>
          <w:sz w:val="21"/>
          <w:szCs w:val="21"/>
          <w:highlight w:val="none"/>
        </w:rPr>
        <w:t>2.数据服务能力：</w:t>
      </w:r>
    </w:p>
    <w:p w14:paraId="3085D627">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1）</w:t>
      </w:r>
      <w:r>
        <w:rPr>
          <w:rFonts w:hint="eastAsia" w:ascii="宋体" w:hAnsi="宋体" w:eastAsia="宋体" w:cs="宋体"/>
          <w:b/>
          <w:color w:val="000000"/>
          <w:sz w:val="21"/>
          <w:szCs w:val="21"/>
          <w:highlight w:val="none"/>
        </w:rPr>
        <w:t>系统提供要求</w:t>
      </w:r>
      <w:r>
        <w:rPr>
          <w:rFonts w:hint="eastAsia" w:ascii="宋体" w:hAnsi="宋体" w:cs="宋体"/>
          <w:b/>
          <w:color w:val="000000"/>
          <w:sz w:val="21"/>
          <w:szCs w:val="21"/>
          <w:highlight w:val="none"/>
          <w:lang w:eastAsia="zh-CN"/>
        </w:rPr>
        <w:t>：</w:t>
      </w:r>
      <w:r>
        <w:rPr>
          <w:rFonts w:hint="eastAsia" w:ascii="宋体" w:hAnsi="宋体" w:eastAsia="宋体" w:cs="宋体"/>
          <w:sz w:val="21"/>
          <w:szCs w:val="21"/>
          <w:highlight w:val="none"/>
        </w:rPr>
        <w:t>投标人须提供医疗设备管理软件系统，并在服务期内持续维护更新</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功能调整</w:t>
      </w:r>
      <w:r>
        <w:rPr>
          <w:rFonts w:hint="eastAsia" w:ascii="宋体" w:hAnsi="宋体" w:eastAsia="宋体" w:cs="宋体"/>
          <w:sz w:val="21"/>
          <w:szCs w:val="21"/>
          <w:highlight w:val="none"/>
        </w:rPr>
        <w:t>。系统管理范围应覆盖医院所有医疗设备，包括在保设备、非在保设备、质保期内设备及新购设备，实现全院设备全生命周期统一管理。</w:t>
      </w:r>
    </w:p>
    <w:p w14:paraId="12B22D9F">
      <w:pPr>
        <w:keepNext w:val="0"/>
        <w:keepLines w:val="0"/>
        <w:pageBreakBefore w:val="0"/>
        <w:numPr>
          <w:ilvl w:val="0"/>
          <w:numId w:val="0"/>
        </w:numPr>
        <w:kinsoku/>
        <w:overflowPunct/>
        <w:topLinePunct w:val="0"/>
        <w:autoSpaceDE/>
        <w:autoSpaceDN/>
        <w:bidi w:val="0"/>
        <w:adjustRightInd/>
        <w:snapToGrid/>
        <w:spacing w:line="360" w:lineRule="exact"/>
        <w:ind w:leftChars="200"/>
        <w:textAlignment w:val="auto"/>
        <w:rPr>
          <w:rFonts w:hint="eastAsia" w:ascii="宋体" w:hAnsi="宋体" w:eastAsia="宋体" w:cs="宋体"/>
          <w:color w:val="000000"/>
          <w:sz w:val="21"/>
          <w:szCs w:val="21"/>
          <w:highlight w:val="none"/>
        </w:rPr>
      </w:pPr>
      <w:bookmarkStart w:id="112" w:name="OLE_LINK1"/>
      <w:r>
        <w:rPr>
          <w:rFonts w:hint="eastAsia" w:ascii="宋体" w:hAnsi="宋体" w:cs="宋体"/>
          <w:color w:val="000000"/>
          <w:sz w:val="21"/>
          <w:szCs w:val="21"/>
          <w:highlight w:val="none"/>
          <w:lang w:val="en-US" w:eastAsia="zh-CN"/>
        </w:rPr>
        <w:t>2）</w:t>
      </w:r>
      <w:r>
        <w:rPr>
          <w:rFonts w:hint="eastAsia" w:ascii="宋体" w:hAnsi="宋体" w:eastAsia="宋体" w:cs="宋体"/>
          <w:color w:val="000000"/>
          <w:sz w:val="21"/>
          <w:szCs w:val="21"/>
          <w:highlight w:val="none"/>
        </w:rPr>
        <w:t>系统使用要求</w:t>
      </w:r>
      <w:r>
        <w:rPr>
          <w:rFonts w:hint="eastAsia" w:ascii="宋体" w:hAnsi="宋体" w:eastAsia="宋体" w:cs="宋体"/>
          <w:b/>
          <w:bCs/>
          <w:i w:val="0"/>
          <w:iCs w:val="0"/>
          <w:caps w:val="0"/>
          <w:color w:val="0F1115"/>
          <w:spacing w:val="0"/>
          <w:sz w:val="21"/>
          <w:szCs w:val="21"/>
          <w:highlight w:val="none"/>
          <w:shd w:val="clear" w:color="auto" w:fill="FFFFFF"/>
          <w:lang w:eastAsia="zh-CN"/>
        </w:rPr>
        <w:t>：</w:t>
      </w:r>
      <w:r>
        <w:rPr>
          <w:rFonts w:hint="eastAsia" w:ascii="宋体" w:hAnsi="宋体" w:eastAsia="宋体" w:cs="宋体"/>
          <w:color w:val="000000"/>
          <w:sz w:val="21"/>
          <w:szCs w:val="21"/>
          <w:highlight w:val="none"/>
        </w:rPr>
        <w:t>系统可以多终端使用，可支持电脑、手机（APP和微信）等</w:t>
      </w:r>
      <w:bookmarkEnd w:id="112"/>
      <w:r>
        <w:rPr>
          <w:rFonts w:hint="eastAsia" w:ascii="宋体" w:hAnsi="宋体" w:eastAsia="宋体" w:cs="宋体"/>
          <w:color w:val="000000"/>
          <w:sz w:val="21"/>
          <w:szCs w:val="21"/>
          <w:highlight w:val="none"/>
        </w:rPr>
        <w:t>方式登录使用</w:t>
      </w:r>
      <w:r>
        <w:rPr>
          <w:rFonts w:hint="eastAsia" w:ascii="宋体" w:hAnsi="宋体" w:eastAsia="宋体" w:cs="宋体"/>
          <w:color w:val="000000"/>
          <w:sz w:val="21"/>
          <w:szCs w:val="21"/>
          <w:highlight w:val="none"/>
          <w:lang w:eastAsia="zh-CN"/>
        </w:rPr>
        <w:t>；</w:t>
      </w:r>
      <w:r>
        <w:rPr>
          <w:rFonts w:hint="eastAsia" w:ascii="宋体" w:hAnsi="宋体" w:cs="宋体"/>
          <w:color w:val="000000"/>
          <w:sz w:val="21"/>
          <w:szCs w:val="21"/>
          <w:highlight w:val="none"/>
          <w:lang w:val="en-US" w:eastAsia="zh-CN"/>
        </w:rPr>
        <w:t>提供</w:t>
      </w:r>
      <w:r>
        <w:rPr>
          <w:rFonts w:hint="eastAsia" w:ascii="宋体" w:hAnsi="宋体" w:eastAsia="宋体" w:cs="宋体"/>
          <w:color w:val="000000"/>
          <w:sz w:val="21"/>
          <w:szCs w:val="21"/>
          <w:highlight w:val="none"/>
        </w:rPr>
        <w:t>设备效益分析能力，支持与HIS、LIS、财务系统对接</w:t>
      </w:r>
      <w:r>
        <w:rPr>
          <w:rFonts w:hint="eastAsia" w:ascii="宋体" w:hAnsi="宋体" w:eastAsia="宋体" w:cs="宋体"/>
          <w:color w:val="000000"/>
          <w:sz w:val="21"/>
          <w:szCs w:val="21"/>
          <w:highlight w:val="none"/>
          <w:lang w:eastAsia="zh-CN"/>
        </w:rPr>
        <w:t>；</w:t>
      </w:r>
    </w:p>
    <w:p w14:paraId="440BA72F">
      <w:pPr>
        <w:keepNext w:val="0"/>
        <w:keepLines w:val="0"/>
        <w:pageBreakBefore w:val="0"/>
        <w:numPr>
          <w:ilvl w:val="0"/>
          <w:numId w:val="0"/>
        </w:numPr>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eastAsia="宋体" w:cs="宋体"/>
          <w:color w:val="000000"/>
          <w:sz w:val="21"/>
          <w:szCs w:val="21"/>
          <w:highlight w:val="none"/>
          <w:lang w:val="en-US" w:eastAsia="zh-CN"/>
        </w:rPr>
        <w:t>）</w:t>
      </w:r>
      <w:r>
        <w:rPr>
          <w:rFonts w:hint="eastAsia" w:ascii="宋体" w:hAnsi="宋体" w:eastAsia="宋体" w:cs="宋体"/>
          <w:color w:val="000000"/>
          <w:sz w:val="21"/>
          <w:szCs w:val="21"/>
          <w:highlight w:val="none"/>
        </w:rPr>
        <w:t>数据归属与退出机制</w:t>
      </w:r>
      <w:r>
        <w:rPr>
          <w:rFonts w:hint="eastAsia" w:ascii="宋体" w:hAnsi="宋体" w:cs="宋体"/>
          <w:color w:val="000000"/>
          <w:sz w:val="21"/>
          <w:szCs w:val="21"/>
          <w:highlight w:val="none"/>
          <w:lang w:eastAsia="zh-CN"/>
        </w:rPr>
        <w:t>：</w:t>
      </w:r>
      <w:r>
        <w:rPr>
          <w:rFonts w:hint="eastAsia" w:ascii="宋体" w:hAnsi="宋体" w:eastAsia="宋体" w:cs="宋体"/>
          <w:color w:val="000000"/>
          <w:sz w:val="21"/>
          <w:szCs w:val="21"/>
          <w:highlight w:val="none"/>
        </w:rPr>
        <w:t>服务期满或合同终止后，中标人应在30日内向医院提供完整的设备维保历史数据导出文件，并协助医院将数据迁移至医院指定的新系统。数据导出和迁移费用由中标人承担。中标人应在服务期满后删除所有本地存储的医院数据，并出具数据销毁承诺函。</w:t>
      </w:r>
    </w:p>
    <w:p w14:paraId="1D6FBE57">
      <w:pPr>
        <w:keepNext w:val="0"/>
        <w:keepLines w:val="0"/>
        <w:pageBreakBefore w:val="0"/>
        <w:widowControl w:val="0"/>
        <w:numPr>
          <w:ilvl w:val="0"/>
          <w:numId w:val="0"/>
        </w:numPr>
        <w:kinsoku/>
        <w:overflowPunct/>
        <w:topLinePunct w:val="0"/>
        <w:autoSpaceDE/>
        <w:autoSpaceDN/>
        <w:bidi w:val="0"/>
        <w:adjustRightInd/>
        <w:snapToGrid/>
        <w:spacing w:after="0" w:line="360" w:lineRule="exact"/>
        <w:ind w:left="0" w:leftChars="0" w:firstLine="420" w:firstLineChars="200"/>
        <w:jc w:val="both"/>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4）功能扩展要求</w:t>
      </w:r>
    </w:p>
    <w:p w14:paraId="3C7D10F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360" w:lineRule="exact"/>
        <w:ind w:left="0" w:leftChars="0" w:right="0" w:firstLine="420" w:firstLineChars="200"/>
        <w:jc w:val="left"/>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①设备定位系统：系统</w:t>
      </w:r>
      <w:r>
        <w:rPr>
          <w:rFonts w:hint="eastAsia" w:ascii="宋体" w:hAnsi="宋体" w:eastAsia="宋体" w:cs="宋体"/>
          <w:color w:val="auto"/>
          <w:kern w:val="2"/>
          <w:sz w:val="21"/>
          <w:szCs w:val="21"/>
          <w:highlight w:val="none"/>
          <w:lang w:val="en-US" w:eastAsia="zh-CN" w:bidi="ar-SA"/>
        </w:rPr>
        <w:t>应提供</w:t>
      </w:r>
      <w:r>
        <w:rPr>
          <w:rFonts w:hint="eastAsia" w:ascii="宋体" w:hAnsi="宋体" w:eastAsia="宋体" w:cs="宋体"/>
          <w:color w:val="000000"/>
          <w:kern w:val="2"/>
          <w:sz w:val="21"/>
          <w:szCs w:val="21"/>
          <w:highlight w:val="none"/>
          <w:lang w:val="en-US" w:eastAsia="zh-CN" w:bidi="ar-SA"/>
        </w:rPr>
        <w:t>设备定位管理模块，入驻后半年内对全院医疗设备进行实时位置追踪。</w:t>
      </w:r>
    </w:p>
    <w:p w14:paraId="1E4400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360" w:lineRule="exact"/>
        <w:ind w:left="0" w:leftChars="0" w:right="0" w:firstLine="420" w:firstLineChars="200"/>
        <w:jc w:val="left"/>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实施要求：投标人应在投标文件中提供详细的设备定位技术方案，包括硬件选型、部署方案、实施周期（建议合同签订后6个月内完成）、运维保障等内容。</w:t>
      </w:r>
    </w:p>
    <w:p w14:paraId="65781E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360" w:lineRule="exact"/>
        <w:ind w:left="0" w:leftChars="0" w:right="0" w:firstLine="420" w:firstLineChars="200"/>
        <w:jc w:val="left"/>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费用承担：设备定位功能所需硬件、软件、安装、调试费用全部包含在本次投标报价中，不另收费。</w:t>
      </w:r>
    </w:p>
    <w:p w14:paraId="3EC4D8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360" w:lineRule="exact"/>
        <w:ind w:left="0" w:leftChars="0" w:right="0" w:firstLine="420" w:firstLineChars="200"/>
        <w:jc w:val="left"/>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验收标准：设备定位功能需通过医院组织的专项验收，功能不达标视为违约，医院有权根据合同约定扣除相应服务费。</w:t>
      </w:r>
    </w:p>
    <w:p w14:paraId="567D79B7">
      <w:pPr>
        <w:pStyle w:val="12"/>
        <w:keepNext w:val="0"/>
        <w:keepLines w:val="0"/>
        <w:pageBreakBefore w:val="0"/>
        <w:numPr>
          <w:ilvl w:val="0"/>
          <w:numId w:val="0"/>
        </w:numPr>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color w:val="000000"/>
          <w:kern w:val="2"/>
          <w:sz w:val="21"/>
          <w:szCs w:val="21"/>
          <w:highlight w:val="none"/>
          <w:lang w:val="en-US" w:eastAsia="zh-CN" w:bidi="ar-SA"/>
        </w:rPr>
        <w:t>②</w:t>
      </w:r>
      <w:r>
        <w:rPr>
          <w:rFonts w:hint="eastAsia" w:ascii="宋体" w:hAnsi="宋体" w:eastAsia="宋体" w:cs="宋体"/>
          <w:b/>
          <w:bCs/>
          <w:i w:val="0"/>
          <w:iCs w:val="0"/>
          <w:caps w:val="0"/>
          <w:color w:val="0F1115"/>
          <w:spacing w:val="0"/>
          <w:sz w:val="21"/>
          <w:szCs w:val="21"/>
          <w:highlight w:val="none"/>
          <w:shd w:val="clear" w:color="auto" w:fill="FFFFFF"/>
        </w:rPr>
        <w:t>非在保设备管理</w:t>
      </w:r>
      <w:r>
        <w:rPr>
          <w:rFonts w:hint="eastAsia" w:ascii="宋体" w:hAnsi="宋体" w:eastAsia="宋体" w:cs="宋体"/>
          <w:i w:val="0"/>
          <w:iCs w:val="0"/>
          <w:caps w:val="0"/>
          <w:color w:val="0F1115"/>
          <w:spacing w:val="0"/>
          <w:sz w:val="21"/>
          <w:szCs w:val="21"/>
          <w:highlight w:val="none"/>
          <w:shd w:val="clear" w:color="auto" w:fill="FFFFFF"/>
          <w:lang w:eastAsia="zh-CN"/>
        </w:rPr>
        <w:t>：</w:t>
      </w:r>
      <w:r>
        <w:rPr>
          <w:rFonts w:hint="eastAsia" w:ascii="宋体" w:hAnsi="宋体" w:eastAsia="宋体" w:cs="宋体"/>
          <w:i w:val="0"/>
          <w:iCs w:val="0"/>
          <w:caps w:val="0"/>
          <w:color w:val="0F1115"/>
          <w:spacing w:val="0"/>
          <w:sz w:val="21"/>
          <w:szCs w:val="21"/>
          <w:highlight w:val="none"/>
          <w:shd w:val="clear" w:color="auto" w:fill="FFFFFF"/>
        </w:rPr>
        <w:t>非在保设备的巡检、保养、维修工单</w:t>
      </w:r>
      <w:r>
        <w:rPr>
          <w:rFonts w:hint="eastAsia" w:ascii="宋体" w:hAnsi="宋体" w:eastAsia="宋体" w:cs="宋体"/>
          <w:i w:val="0"/>
          <w:iCs w:val="0"/>
          <w:caps w:val="0"/>
          <w:color w:val="0F1115"/>
          <w:spacing w:val="0"/>
          <w:sz w:val="21"/>
          <w:szCs w:val="21"/>
          <w:highlight w:val="none"/>
          <w:shd w:val="clear" w:color="auto" w:fill="FFFFFF"/>
          <w:lang w:val="en-US" w:eastAsia="zh-CN"/>
        </w:rPr>
        <w:t>及其它信息</w:t>
      </w:r>
      <w:r>
        <w:rPr>
          <w:rFonts w:hint="eastAsia" w:ascii="宋体" w:hAnsi="宋体" w:eastAsia="宋体" w:cs="宋体"/>
          <w:i w:val="0"/>
          <w:iCs w:val="0"/>
          <w:caps w:val="0"/>
          <w:color w:val="0F1115"/>
          <w:spacing w:val="0"/>
          <w:sz w:val="21"/>
          <w:szCs w:val="21"/>
          <w:highlight w:val="none"/>
          <w:shd w:val="clear" w:color="auto" w:fill="FFFFFF"/>
        </w:rPr>
        <w:t>纳入系统统一管理</w:t>
      </w:r>
      <w:r>
        <w:rPr>
          <w:rFonts w:hint="eastAsia" w:ascii="宋体" w:hAnsi="宋体" w:eastAsia="宋体" w:cs="宋体"/>
          <w:i w:val="0"/>
          <w:iCs w:val="0"/>
          <w:caps w:val="0"/>
          <w:color w:val="0F1115"/>
          <w:spacing w:val="0"/>
          <w:sz w:val="21"/>
          <w:szCs w:val="21"/>
          <w:highlight w:val="none"/>
          <w:shd w:val="clear" w:color="auto" w:fill="FFFFFF"/>
          <w:lang w:eastAsia="zh-CN"/>
        </w:rPr>
        <w:t>。</w:t>
      </w:r>
    </w:p>
    <w:p w14:paraId="5D80D877">
      <w:pPr>
        <w:keepNext w:val="0"/>
        <w:keepLines w:val="0"/>
        <w:pageBreakBefore w:val="0"/>
        <w:kinsoku/>
        <w:overflowPunct/>
        <w:topLinePunct w:val="0"/>
        <w:autoSpaceDE/>
        <w:autoSpaceDN/>
        <w:bidi w:val="0"/>
        <w:adjustRightInd/>
        <w:snapToGrid/>
        <w:spacing w:line="360" w:lineRule="exact"/>
        <w:ind w:left="0" w:leftChars="0" w:firstLine="422" w:firstLineChars="20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3.维保巡检</w:t>
      </w:r>
    </w:p>
    <w:p w14:paraId="784DE107">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000000"/>
          <w:sz w:val="21"/>
          <w:szCs w:val="21"/>
          <w:highlight w:val="none"/>
        </w:rPr>
        <w:t>1)投标单位保障医院所有医疗设备年平均开机率不</w:t>
      </w:r>
      <w:r>
        <w:rPr>
          <w:rFonts w:hint="eastAsia" w:ascii="宋体" w:hAnsi="宋体" w:eastAsia="宋体" w:cs="宋体"/>
          <w:color w:val="auto"/>
          <w:sz w:val="21"/>
          <w:szCs w:val="21"/>
          <w:highlight w:val="none"/>
        </w:rPr>
        <w:t>低于</w:t>
      </w:r>
      <w:r>
        <w:rPr>
          <w:rFonts w:hint="eastAsia" w:ascii="宋体" w:hAnsi="宋体" w:eastAsia="宋体" w:cs="宋体"/>
          <w:color w:val="auto"/>
          <w:sz w:val="21"/>
          <w:szCs w:val="21"/>
          <w:highlight w:val="none"/>
          <w:lang w:val="en-US" w:eastAsia="zh-CN"/>
        </w:rPr>
        <w:t>9</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%。（若提供备用机，则不计入整体开机率统计中）</w:t>
      </w:r>
    </w:p>
    <w:p w14:paraId="212D59A8">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rPr>
        <w:t>)</w:t>
      </w:r>
      <w:r>
        <w:rPr>
          <w:rFonts w:hint="eastAsia" w:ascii="宋体" w:hAnsi="宋体" w:eastAsia="宋体" w:cs="宋体"/>
          <w:color w:val="000000"/>
          <w:sz w:val="21"/>
          <w:szCs w:val="21"/>
          <w:highlight w:val="none"/>
        </w:rPr>
        <w:t>投标单位需要针对医院设备制定完善的预防性维护工作计划，包括巡检和保养，并按照计划进行实施；</w:t>
      </w:r>
    </w:p>
    <w:p w14:paraId="5F234CE3">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eastAsia="宋体" w:cs="宋体"/>
          <w:color w:val="000000"/>
          <w:sz w:val="21"/>
          <w:szCs w:val="21"/>
          <w:highlight w:val="none"/>
        </w:rPr>
        <w:t>)投标单位设备维修响应在15分钟以内，30分钟</w:t>
      </w:r>
      <w:r>
        <w:rPr>
          <w:rFonts w:hint="eastAsia" w:ascii="宋体" w:hAnsi="宋体" w:cs="宋体"/>
          <w:color w:val="000000"/>
          <w:sz w:val="21"/>
          <w:szCs w:val="21"/>
          <w:highlight w:val="none"/>
          <w:lang w:val="en-US" w:eastAsia="zh-CN"/>
        </w:rPr>
        <w:t>内</w:t>
      </w:r>
      <w:r>
        <w:rPr>
          <w:rFonts w:hint="eastAsia" w:ascii="宋体" w:hAnsi="宋体" w:eastAsia="宋体" w:cs="宋体"/>
          <w:color w:val="000000"/>
          <w:sz w:val="21"/>
          <w:szCs w:val="21"/>
          <w:highlight w:val="none"/>
        </w:rPr>
        <w:t>赶到现场；提供 365 天×24 小时不间断服务。</w:t>
      </w:r>
    </w:p>
    <w:p w14:paraId="38A48E68">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cs="宋体"/>
          <w:color w:val="000000"/>
          <w:sz w:val="21"/>
          <w:szCs w:val="21"/>
          <w:highlight w:val="none"/>
          <w:lang w:val="en-US" w:eastAsia="zh-CN"/>
        </w:rPr>
        <w:t>4</w:t>
      </w:r>
      <w:r>
        <w:rPr>
          <w:rFonts w:hint="eastAsia" w:ascii="宋体" w:hAnsi="宋体" w:eastAsia="宋体" w:cs="宋体"/>
          <w:color w:val="000000"/>
          <w:sz w:val="21"/>
          <w:szCs w:val="21"/>
          <w:highlight w:val="none"/>
        </w:rPr>
        <w:t>)所有的巡检、保养和维修工单有记录并实现电子化系统化管理。</w:t>
      </w:r>
    </w:p>
    <w:p w14:paraId="6BC40E80">
      <w:pPr>
        <w:keepNext w:val="0"/>
        <w:keepLines w:val="0"/>
        <w:pageBreakBefore w:val="0"/>
        <w:numPr>
          <w:ilvl w:val="0"/>
          <w:numId w:val="0"/>
        </w:numPr>
        <w:kinsoku/>
        <w:overflowPunct/>
        <w:topLinePunct w:val="0"/>
        <w:autoSpaceDE/>
        <w:autoSpaceDN/>
        <w:bidi w:val="0"/>
        <w:adjustRightInd/>
        <w:snapToGrid/>
        <w:spacing w:line="360" w:lineRule="exact"/>
        <w:ind w:left="0" w:leftChars="0" w:firstLine="211" w:firstLineChars="100"/>
        <w:textAlignment w:val="auto"/>
        <w:rPr>
          <w:rFonts w:hint="eastAsia" w:ascii="宋体" w:hAnsi="宋体" w:eastAsia="宋体" w:cs="宋体"/>
          <w:b/>
          <w:bCs/>
          <w:sz w:val="21"/>
          <w:szCs w:val="21"/>
          <w:highlight w:val="none"/>
        </w:rPr>
      </w:pPr>
      <w:r>
        <w:rPr>
          <w:rFonts w:hint="eastAsia" w:ascii="宋体" w:hAnsi="宋体" w:cs="宋体"/>
          <w:b/>
          <w:bCs/>
          <w:sz w:val="21"/>
          <w:szCs w:val="21"/>
          <w:highlight w:val="none"/>
          <w:lang w:eastAsia="zh-CN"/>
        </w:rPr>
        <w:t>（</w:t>
      </w:r>
      <w:r>
        <w:rPr>
          <w:rFonts w:hint="eastAsia" w:ascii="宋体" w:hAnsi="宋体" w:cs="宋体"/>
          <w:b/>
          <w:bCs/>
          <w:sz w:val="21"/>
          <w:szCs w:val="21"/>
          <w:highlight w:val="none"/>
          <w:lang w:val="en-US" w:eastAsia="zh-CN"/>
        </w:rPr>
        <w:t>四</w:t>
      </w:r>
      <w:r>
        <w:rPr>
          <w:rFonts w:hint="eastAsia" w:ascii="宋体" w:hAnsi="宋体" w:cs="宋体"/>
          <w:b/>
          <w:bCs/>
          <w:sz w:val="21"/>
          <w:szCs w:val="21"/>
          <w:highlight w:val="none"/>
          <w:lang w:eastAsia="zh-CN"/>
        </w:rPr>
        <w:t>）</w:t>
      </w:r>
      <w:r>
        <w:rPr>
          <w:rFonts w:hint="eastAsia" w:ascii="宋体" w:hAnsi="宋体" w:eastAsia="宋体" w:cs="宋体"/>
          <w:b/>
          <w:bCs/>
          <w:sz w:val="21"/>
          <w:szCs w:val="21"/>
          <w:highlight w:val="none"/>
        </w:rPr>
        <w:t>本项目服务质量考核要求</w:t>
      </w:r>
    </w:p>
    <w:p w14:paraId="2715C7DD">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采购人定期对</w:t>
      </w:r>
      <w:r>
        <w:rPr>
          <w:rFonts w:hint="eastAsia" w:ascii="宋体" w:hAnsi="宋体" w:cs="宋体"/>
          <w:sz w:val="21"/>
          <w:szCs w:val="21"/>
          <w:highlight w:val="none"/>
          <w:lang w:val="en-US" w:eastAsia="zh-CN"/>
        </w:rPr>
        <w:t>中</w:t>
      </w:r>
      <w:r>
        <w:rPr>
          <w:rFonts w:hint="eastAsia" w:ascii="宋体" w:hAnsi="宋体" w:eastAsia="宋体" w:cs="宋体"/>
          <w:sz w:val="21"/>
          <w:szCs w:val="21"/>
          <w:highlight w:val="none"/>
        </w:rPr>
        <w:t>标人的服务质量进行考核，具体考核标准如下表《服务质量考核表》（本表仅作参考，具体签订合同和合同履行过程中采购人有权进行细化调整），考核结果将作为付款及扣罚款项的依据。扣罚款项在下一期付款金额中扣除。</w:t>
      </w:r>
    </w:p>
    <w:p w14:paraId="2F9B1DF4">
      <w:pPr>
        <w:keepNext w:val="0"/>
        <w:keepLines w:val="0"/>
        <w:pageBreakBefore w:val="0"/>
        <w:kinsoku/>
        <w:overflowPunct/>
        <w:topLinePunct w:val="0"/>
        <w:autoSpaceDE/>
        <w:autoSpaceDN/>
        <w:bidi w:val="0"/>
        <w:spacing w:line="360" w:lineRule="exact"/>
        <w:ind w:left="0" w:leftChars="0" w:firstLine="4200" w:firstLineChars="2000"/>
        <w:rPr>
          <w:rFonts w:hint="eastAsia" w:ascii="宋体" w:hAnsi="宋体" w:eastAsia="宋体" w:cs="宋体"/>
          <w:sz w:val="21"/>
          <w:szCs w:val="21"/>
          <w:highlight w:val="none"/>
        </w:rPr>
      </w:pPr>
    </w:p>
    <w:p w14:paraId="3163D448">
      <w:pPr>
        <w:keepNext w:val="0"/>
        <w:keepLines w:val="0"/>
        <w:pageBreakBefore w:val="0"/>
        <w:kinsoku/>
        <w:overflowPunct/>
        <w:topLinePunct w:val="0"/>
        <w:autoSpaceDE/>
        <w:autoSpaceDN/>
        <w:bidi w:val="0"/>
        <w:spacing w:line="360" w:lineRule="exact"/>
        <w:ind w:left="0" w:leftChars="0" w:firstLine="4200" w:firstLineChars="2000"/>
        <w:rPr>
          <w:rFonts w:hint="default" w:ascii="宋体" w:hAnsi="宋体" w:cs="宋体"/>
          <w:szCs w:val="21"/>
          <w:highlight w:val="none"/>
          <w:lang w:val="en-US" w:eastAsia="zh-CN"/>
        </w:rPr>
      </w:pPr>
      <w:r>
        <w:rPr>
          <w:rFonts w:hint="default" w:ascii="宋体" w:hAnsi="宋体" w:cs="宋体"/>
          <w:szCs w:val="21"/>
          <w:highlight w:val="none"/>
        </w:rPr>
        <w:t>服务</w:t>
      </w:r>
      <w:r>
        <w:rPr>
          <w:rFonts w:hint="eastAsia" w:ascii="宋体" w:hAnsi="宋体" w:cs="宋体"/>
          <w:szCs w:val="21"/>
          <w:highlight w:val="none"/>
          <w:lang w:val="en-US" w:eastAsia="zh-CN"/>
        </w:rPr>
        <w:t>质量考核表</w:t>
      </w:r>
    </w:p>
    <w:tbl>
      <w:tblPr>
        <w:tblStyle w:val="45"/>
        <w:tblW w:w="873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878"/>
        <w:gridCol w:w="4346"/>
        <w:gridCol w:w="2070"/>
        <w:gridCol w:w="1440"/>
      </w:tblGrid>
      <w:tr w14:paraId="154E9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trPr>
        <w:tc>
          <w:tcPr>
            <w:tcW w:w="878" w:type="dxa"/>
            <w:tcBorders>
              <w:top w:val="nil"/>
            </w:tcBorders>
            <w:noWrap w:val="0"/>
            <w:tcMar>
              <w:top w:w="150" w:type="dxa"/>
              <w:left w:w="0" w:type="dxa"/>
              <w:bottom w:w="150" w:type="dxa"/>
              <w:right w:w="240" w:type="dxa"/>
            </w:tcMar>
            <w:vAlign w:val="center"/>
          </w:tcPr>
          <w:p w14:paraId="3E28A6A7">
            <w:pPr>
              <w:keepNext w:val="0"/>
              <w:keepLines w:val="0"/>
              <w:pageBreakBefore w:val="0"/>
              <w:kinsoku/>
              <w:overflowPunct/>
              <w:topLinePunct w:val="0"/>
              <w:autoSpaceDE/>
              <w:autoSpaceDN/>
              <w:bidi w:val="0"/>
              <w:spacing w:line="360" w:lineRule="exact"/>
              <w:jc w:val="center"/>
              <w:rPr>
                <w:rFonts w:hint="eastAsia" w:ascii="宋体" w:hAnsi="宋体" w:cs="宋体"/>
                <w:szCs w:val="21"/>
                <w:highlight w:val="none"/>
              </w:rPr>
            </w:pPr>
            <w:r>
              <w:rPr>
                <w:rFonts w:hint="eastAsia" w:ascii="宋体" w:hAnsi="宋体" w:eastAsia="宋体" w:cs="宋体"/>
                <w:szCs w:val="21"/>
                <w:highlight w:val="none"/>
                <w:lang w:val="en-US" w:eastAsia="zh-CN"/>
              </w:rPr>
              <w:t xml:space="preserve">  序号</w:t>
            </w:r>
          </w:p>
        </w:tc>
        <w:tc>
          <w:tcPr>
            <w:tcW w:w="4346" w:type="dxa"/>
            <w:tcBorders>
              <w:top w:val="nil"/>
            </w:tcBorders>
            <w:noWrap w:val="0"/>
            <w:tcMar>
              <w:top w:w="150" w:type="dxa"/>
              <w:left w:w="240" w:type="dxa"/>
              <w:bottom w:w="150" w:type="dxa"/>
              <w:right w:w="240" w:type="dxa"/>
            </w:tcMar>
            <w:vAlign w:val="center"/>
          </w:tcPr>
          <w:p w14:paraId="514E276C">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维保服务要求</w:t>
            </w:r>
          </w:p>
        </w:tc>
        <w:tc>
          <w:tcPr>
            <w:tcW w:w="2070" w:type="dxa"/>
            <w:tcBorders>
              <w:top w:val="nil"/>
            </w:tcBorders>
            <w:noWrap w:val="0"/>
            <w:tcMar>
              <w:top w:w="150" w:type="dxa"/>
              <w:left w:w="240" w:type="dxa"/>
              <w:bottom w:w="150" w:type="dxa"/>
              <w:right w:w="240" w:type="dxa"/>
            </w:tcMar>
            <w:vAlign w:val="center"/>
          </w:tcPr>
          <w:p w14:paraId="770C3D7E">
            <w:pPr>
              <w:keepNext w:val="0"/>
              <w:keepLines w:val="0"/>
              <w:pageBreakBefore w:val="0"/>
              <w:kinsoku/>
              <w:overflowPunct/>
              <w:topLinePunct w:val="0"/>
              <w:autoSpaceDE/>
              <w:autoSpaceDN/>
              <w:bidi w:val="0"/>
              <w:spacing w:line="360" w:lineRule="exact"/>
              <w:jc w:val="center"/>
              <w:rPr>
                <w:rFonts w:hint="eastAsia" w:ascii="宋体" w:hAnsi="宋体" w:cs="宋体"/>
                <w:szCs w:val="21"/>
                <w:highlight w:val="none"/>
              </w:rPr>
            </w:pPr>
            <w:r>
              <w:rPr>
                <w:rFonts w:hint="eastAsia" w:ascii="宋体" w:hAnsi="宋体" w:cs="宋体"/>
                <w:szCs w:val="21"/>
                <w:highlight w:val="none"/>
                <w:lang w:val="en-US" w:eastAsia="zh-CN"/>
              </w:rPr>
              <w:t>考核标准</w:t>
            </w:r>
          </w:p>
        </w:tc>
        <w:tc>
          <w:tcPr>
            <w:tcW w:w="1440" w:type="dxa"/>
            <w:tcBorders>
              <w:top w:val="nil"/>
            </w:tcBorders>
            <w:noWrap w:val="0"/>
            <w:tcMar>
              <w:top w:w="150" w:type="dxa"/>
              <w:left w:w="240" w:type="dxa"/>
              <w:bottom w:w="150" w:type="dxa"/>
              <w:right w:w="240" w:type="dxa"/>
            </w:tcMar>
            <w:vAlign w:val="center"/>
          </w:tcPr>
          <w:p w14:paraId="1F122A9A">
            <w:pPr>
              <w:keepNext w:val="0"/>
              <w:keepLines w:val="0"/>
              <w:pageBreakBefore w:val="0"/>
              <w:kinsoku/>
              <w:overflowPunct/>
              <w:topLinePunct w:val="0"/>
              <w:autoSpaceDE/>
              <w:autoSpaceDN/>
              <w:bidi w:val="0"/>
              <w:spacing w:line="360" w:lineRule="exact"/>
              <w:jc w:val="center"/>
              <w:rPr>
                <w:rFonts w:hint="eastAsia" w:ascii="宋体" w:hAnsi="宋体" w:cs="宋体"/>
                <w:szCs w:val="21"/>
                <w:highlight w:val="none"/>
              </w:rPr>
            </w:pPr>
            <w:r>
              <w:rPr>
                <w:rFonts w:hint="eastAsia" w:ascii="宋体" w:hAnsi="宋体" w:cs="宋体"/>
                <w:szCs w:val="21"/>
                <w:highlight w:val="none"/>
                <w:lang w:val="en-US" w:eastAsia="zh-CN"/>
              </w:rPr>
              <w:t>考核办法</w:t>
            </w:r>
          </w:p>
        </w:tc>
      </w:tr>
      <w:tr w14:paraId="1BEFD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5F3FA14F">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1</w:t>
            </w:r>
          </w:p>
        </w:tc>
        <w:tc>
          <w:tcPr>
            <w:tcW w:w="4346" w:type="dxa"/>
            <w:noWrap w:val="0"/>
            <w:tcMar>
              <w:top w:w="150" w:type="dxa"/>
              <w:left w:w="240" w:type="dxa"/>
              <w:bottom w:w="150" w:type="dxa"/>
              <w:right w:w="240" w:type="dxa"/>
            </w:tcMar>
            <w:vAlign w:val="center"/>
          </w:tcPr>
          <w:p w14:paraId="2FA30DB9">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按照医院相关规章制度进行工作</w:t>
            </w:r>
          </w:p>
        </w:tc>
        <w:tc>
          <w:tcPr>
            <w:tcW w:w="2070" w:type="dxa"/>
            <w:noWrap w:val="0"/>
            <w:tcMar>
              <w:top w:w="150" w:type="dxa"/>
              <w:left w:w="240" w:type="dxa"/>
              <w:bottom w:w="150" w:type="dxa"/>
              <w:right w:w="240" w:type="dxa"/>
            </w:tcMar>
            <w:vAlign w:val="center"/>
          </w:tcPr>
          <w:p w14:paraId="37785AC7">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未能按要求执行</w:t>
            </w:r>
          </w:p>
        </w:tc>
        <w:tc>
          <w:tcPr>
            <w:tcW w:w="1440" w:type="dxa"/>
            <w:noWrap w:val="0"/>
            <w:tcMar>
              <w:top w:w="150" w:type="dxa"/>
              <w:left w:w="240" w:type="dxa"/>
              <w:bottom w:w="150" w:type="dxa"/>
              <w:right w:w="0" w:type="dxa"/>
            </w:tcMar>
            <w:vAlign w:val="center"/>
          </w:tcPr>
          <w:p w14:paraId="475CFB69">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56B5C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69CBE38A">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2</w:t>
            </w:r>
          </w:p>
        </w:tc>
        <w:tc>
          <w:tcPr>
            <w:tcW w:w="4346" w:type="dxa"/>
            <w:noWrap w:val="0"/>
            <w:tcMar>
              <w:top w:w="150" w:type="dxa"/>
              <w:left w:w="240" w:type="dxa"/>
              <w:bottom w:w="150" w:type="dxa"/>
              <w:right w:w="240" w:type="dxa"/>
            </w:tcMar>
            <w:vAlign w:val="center"/>
          </w:tcPr>
          <w:p w14:paraId="7694B778">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驻场工程师每次服务必须与使用部门负责人或医学装备科维修人员充分沟通，在尽量不影响科室诊断、检查并征得同意才可以进行</w:t>
            </w:r>
          </w:p>
        </w:tc>
        <w:tc>
          <w:tcPr>
            <w:tcW w:w="2070" w:type="dxa"/>
            <w:noWrap w:val="0"/>
            <w:tcMar>
              <w:top w:w="150" w:type="dxa"/>
              <w:left w:w="240" w:type="dxa"/>
              <w:bottom w:w="150" w:type="dxa"/>
              <w:right w:w="240" w:type="dxa"/>
            </w:tcMar>
            <w:vAlign w:val="center"/>
          </w:tcPr>
          <w:p w14:paraId="60139E3C">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经核实为有效投诉</w:t>
            </w:r>
          </w:p>
        </w:tc>
        <w:tc>
          <w:tcPr>
            <w:tcW w:w="1440" w:type="dxa"/>
            <w:noWrap w:val="0"/>
            <w:tcMar>
              <w:top w:w="150" w:type="dxa"/>
              <w:left w:w="240" w:type="dxa"/>
              <w:bottom w:w="150" w:type="dxa"/>
              <w:right w:w="0" w:type="dxa"/>
            </w:tcMar>
            <w:vAlign w:val="center"/>
          </w:tcPr>
          <w:p w14:paraId="1D6BC605">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51F5A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4D00DBA2">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3</w:t>
            </w:r>
          </w:p>
        </w:tc>
        <w:tc>
          <w:tcPr>
            <w:tcW w:w="4346" w:type="dxa"/>
            <w:noWrap w:val="0"/>
            <w:tcMar>
              <w:top w:w="150" w:type="dxa"/>
              <w:left w:w="240" w:type="dxa"/>
              <w:bottom w:w="150" w:type="dxa"/>
              <w:right w:w="240" w:type="dxa"/>
            </w:tcMar>
            <w:vAlign w:val="center"/>
          </w:tcPr>
          <w:p w14:paraId="3D03D8A6">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驻场工程师要遵守采购人规章制度，听从采购人指派人员的指导。驻场工程师需爱护采购人的一切财物，在维护保养过程中损坏财物</w:t>
            </w:r>
          </w:p>
        </w:tc>
        <w:tc>
          <w:tcPr>
            <w:tcW w:w="2070" w:type="dxa"/>
            <w:noWrap w:val="0"/>
            <w:tcMar>
              <w:top w:w="150" w:type="dxa"/>
              <w:left w:w="240" w:type="dxa"/>
              <w:bottom w:w="150" w:type="dxa"/>
              <w:right w:w="240" w:type="dxa"/>
            </w:tcMar>
            <w:vAlign w:val="center"/>
          </w:tcPr>
          <w:p w14:paraId="344F0D7E">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不服从指派或维护保养过程中损坏财物</w:t>
            </w:r>
          </w:p>
        </w:tc>
        <w:tc>
          <w:tcPr>
            <w:tcW w:w="1440" w:type="dxa"/>
            <w:noWrap w:val="0"/>
            <w:tcMar>
              <w:top w:w="150" w:type="dxa"/>
              <w:left w:w="240" w:type="dxa"/>
              <w:bottom w:w="150" w:type="dxa"/>
              <w:right w:w="0" w:type="dxa"/>
            </w:tcMar>
            <w:vAlign w:val="center"/>
          </w:tcPr>
          <w:p w14:paraId="30919124">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等价赔偿并记处罚一次</w:t>
            </w:r>
          </w:p>
        </w:tc>
      </w:tr>
      <w:tr w14:paraId="06EF0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08141C85">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4</w:t>
            </w:r>
          </w:p>
        </w:tc>
        <w:tc>
          <w:tcPr>
            <w:tcW w:w="4346" w:type="dxa"/>
            <w:noWrap w:val="0"/>
            <w:tcMar>
              <w:top w:w="150" w:type="dxa"/>
              <w:left w:w="240" w:type="dxa"/>
              <w:bottom w:w="150" w:type="dxa"/>
              <w:right w:w="240" w:type="dxa"/>
            </w:tcMar>
            <w:vAlign w:val="center"/>
          </w:tcPr>
          <w:p w14:paraId="4E63B6BE">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应按照国家相关规定建立规范化的医疗设备管理档案（含电子档案与纸质档案）</w:t>
            </w:r>
          </w:p>
        </w:tc>
        <w:tc>
          <w:tcPr>
            <w:tcW w:w="2070" w:type="dxa"/>
            <w:noWrap w:val="0"/>
            <w:tcMar>
              <w:top w:w="150" w:type="dxa"/>
              <w:left w:w="240" w:type="dxa"/>
              <w:bottom w:w="150" w:type="dxa"/>
              <w:right w:w="240" w:type="dxa"/>
            </w:tcMar>
            <w:vAlign w:val="center"/>
          </w:tcPr>
          <w:p w14:paraId="32E5F28F">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未建立档案或档案不规范</w:t>
            </w:r>
          </w:p>
        </w:tc>
        <w:tc>
          <w:tcPr>
            <w:tcW w:w="1440" w:type="dxa"/>
            <w:noWrap w:val="0"/>
            <w:tcMar>
              <w:top w:w="150" w:type="dxa"/>
              <w:left w:w="240" w:type="dxa"/>
              <w:bottom w:w="150" w:type="dxa"/>
              <w:right w:w="0" w:type="dxa"/>
            </w:tcMar>
            <w:vAlign w:val="center"/>
          </w:tcPr>
          <w:p w14:paraId="56DDFA0E">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463AB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151FD21C">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5</w:t>
            </w:r>
          </w:p>
        </w:tc>
        <w:tc>
          <w:tcPr>
            <w:tcW w:w="4346" w:type="dxa"/>
            <w:noWrap w:val="0"/>
            <w:tcMar>
              <w:top w:w="150" w:type="dxa"/>
              <w:left w:w="240" w:type="dxa"/>
              <w:bottom w:w="150" w:type="dxa"/>
              <w:right w:w="240" w:type="dxa"/>
            </w:tcMar>
            <w:vAlign w:val="center"/>
          </w:tcPr>
          <w:p w14:paraId="71FE7447">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每次维修保养必须有维修保养工作单，工作单需详细列明本次维护、保养、维修的内容，更换的耗材及零备件，并需现场工作人员及医学装备科技术人员验证签名确认，资料交采购人保存</w:t>
            </w:r>
          </w:p>
        </w:tc>
        <w:tc>
          <w:tcPr>
            <w:tcW w:w="2070" w:type="dxa"/>
            <w:noWrap w:val="0"/>
            <w:tcMar>
              <w:top w:w="150" w:type="dxa"/>
              <w:left w:w="240" w:type="dxa"/>
              <w:bottom w:w="150" w:type="dxa"/>
              <w:right w:w="240" w:type="dxa"/>
            </w:tcMar>
            <w:vAlign w:val="center"/>
          </w:tcPr>
          <w:p w14:paraId="66BACC35">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未按要求填制保养工作单</w:t>
            </w:r>
          </w:p>
        </w:tc>
        <w:tc>
          <w:tcPr>
            <w:tcW w:w="1440" w:type="dxa"/>
            <w:noWrap w:val="0"/>
            <w:tcMar>
              <w:top w:w="150" w:type="dxa"/>
              <w:left w:w="240" w:type="dxa"/>
              <w:bottom w:w="150" w:type="dxa"/>
              <w:right w:w="0" w:type="dxa"/>
            </w:tcMar>
            <w:vAlign w:val="center"/>
          </w:tcPr>
          <w:p w14:paraId="734FD02B">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3B451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70F7E10B">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6</w:t>
            </w:r>
          </w:p>
        </w:tc>
        <w:tc>
          <w:tcPr>
            <w:tcW w:w="4346" w:type="dxa"/>
            <w:noWrap w:val="0"/>
            <w:tcMar>
              <w:top w:w="150" w:type="dxa"/>
              <w:left w:w="240" w:type="dxa"/>
              <w:bottom w:w="150" w:type="dxa"/>
              <w:right w:w="240" w:type="dxa"/>
            </w:tcMar>
            <w:vAlign w:val="center"/>
          </w:tcPr>
          <w:p w14:paraId="341D3D27">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不能维修的设备或更换配件，需要得到院方的确认才能进行</w:t>
            </w:r>
          </w:p>
        </w:tc>
        <w:tc>
          <w:tcPr>
            <w:tcW w:w="2070" w:type="dxa"/>
            <w:noWrap w:val="0"/>
            <w:tcMar>
              <w:top w:w="150" w:type="dxa"/>
              <w:left w:w="240" w:type="dxa"/>
              <w:bottom w:w="150" w:type="dxa"/>
              <w:right w:w="240" w:type="dxa"/>
            </w:tcMar>
            <w:vAlign w:val="center"/>
          </w:tcPr>
          <w:p w14:paraId="3A85B484">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未能按要求提交维修确认单</w:t>
            </w:r>
          </w:p>
        </w:tc>
        <w:tc>
          <w:tcPr>
            <w:tcW w:w="1440" w:type="dxa"/>
            <w:noWrap w:val="0"/>
            <w:tcMar>
              <w:top w:w="150" w:type="dxa"/>
              <w:left w:w="240" w:type="dxa"/>
              <w:bottom w:w="150" w:type="dxa"/>
              <w:right w:w="0" w:type="dxa"/>
            </w:tcMar>
            <w:vAlign w:val="center"/>
          </w:tcPr>
          <w:p w14:paraId="3EC40025">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1B46B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341AC351">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7</w:t>
            </w:r>
          </w:p>
        </w:tc>
        <w:tc>
          <w:tcPr>
            <w:tcW w:w="4346" w:type="dxa"/>
            <w:noWrap w:val="0"/>
            <w:tcMar>
              <w:top w:w="150" w:type="dxa"/>
              <w:left w:w="240" w:type="dxa"/>
              <w:bottom w:w="150" w:type="dxa"/>
              <w:right w:w="240" w:type="dxa"/>
            </w:tcMar>
            <w:vAlign w:val="center"/>
          </w:tcPr>
          <w:p w14:paraId="5A41FF29">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每月向设备管理科提交一次维修保养总结及设备运行报告，定期提交半年、一年的年度维修保养总结报告</w:t>
            </w:r>
          </w:p>
        </w:tc>
        <w:tc>
          <w:tcPr>
            <w:tcW w:w="2070" w:type="dxa"/>
            <w:noWrap w:val="0"/>
            <w:tcMar>
              <w:top w:w="150" w:type="dxa"/>
              <w:left w:w="240" w:type="dxa"/>
              <w:bottom w:w="150" w:type="dxa"/>
              <w:right w:w="240" w:type="dxa"/>
            </w:tcMar>
            <w:vAlign w:val="center"/>
          </w:tcPr>
          <w:p w14:paraId="53FFC55A">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未能按要求提交维修保养总结及设备运行报告或年度维修保养总结报告</w:t>
            </w:r>
          </w:p>
        </w:tc>
        <w:tc>
          <w:tcPr>
            <w:tcW w:w="1440" w:type="dxa"/>
            <w:noWrap w:val="0"/>
            <w:tcMar>
              <w:top w:w="150" w:type="dxa"/>
              <w:left w:w="240" w:type="dxa"/>
              <w:bottom w:w="150" w:type="dxa"/>
              <w:right w:w="0" w:type="dxa"/>
            </w:tcMar>
            <w:vAlign w:val="center"/>
          </w:tcPr>
          <w:p w14:paraId="3F82005C">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0B835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3F72F174">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8</w:t>
            </w:r>
          </w:p>
        </w:tc>
        <w:tc>
          <w:tcPr>
            <w:tcW w:w="4346" w:type="dxa"/>
            <w:noWrap w:val="0"/>
            <w:tcMar>
              <w:top w:w="150" w:type="dxa"/>
              <w:left w:w="240" w:type="dxa"/>
              <w:bottom w:w="150" w:type="dxa"/>
              <w:right w:w="240" w:type="dxa"/>
            </w:tcMar>
            <w:vAlign w:val="center"/>
          </w:tcPr>
          <w:p w14:paraId="55456A0F">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按要求提供工具、备件</w:t>
            </w:r>
          </w:p>
        </w:tc>
        <w:tc>
          <w:tcPr>
            <w:tcW w:w="2070" w:type="dxa"/>
            <w:noWrap w:val="0"/>
            <w:tcMar>
              <w:top w:w="150" w:type="dxa"/>
              <w:left w:w="240" w:type="dxa"/>
              <w:bottom w:w="150" w:type="dxa"/>
              <w:right w:w="240" w:type="dxa"/>
            </w:tcMar>
            <w:vAlign w:val="center"/>
          </w:tcPr>
          <w:p w14:paraId="143450EE">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未按要求提供</w:t>
            </w:r>
          </w:p>
        </w:tc>
        <w:tc>
          <w:tcPr>
            <w:tcW w:w="1440" w:type="dxa"/>
            <w:noWrap w:val="0"/>
            <w:tcMar>
              <w:top w:w="150" w:type="dxa"/>
              <w:left w:w="240" w:type="dxa"/>
              <w:bottom w:w="150" w:type="dxa"/>
              <w:right w:w="0" w:type="dxa"/>
            </w:tcMar>
            <w:vAlign w:val="center"/>
          </w:tcPr>
          <w:p w14:paraId="28766086">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67F7E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48F3F5F9">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9</w:t>
            </w:r>
          </w:p>
        </w:tc>
        <w:tc>
          <w:tcPr>
            <w:tcW w:w="4346" w:type="dxa"/>
            <w:noWrap w:val="0"/>
            <w:tcMar>
              <w:top w:w="150" w:type="dxa"/>
              <w:left w:w="240" w:type="dxa"/>
              <w:bottom w:w="150" w:type="dxa"/>
              <w:right w:w="240" w:type="dxa"/>
            </w:tcMar>
            <w:vAlign w:val="center"/>
          </w:tcPr>
          <w:p w14:paraId="790E6D57">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维修备件：包括用于保养及维修中需更换的硬件、软件，必须是未曾使用过的全新配件</w:t>
            </w:r>
          </w:p>
        </w:tc>
        <w:tc>
          <w:tcPr>
            <w:tcW w:w="2070" w:type="dxa"/>
            <w:noWrap w:val="0"/>
            <w:tcMar>
              <w:top w:w="150" w:type="dxa"/>
              <w:left w:w="240" w:type="dxa"/>
              <w:bottom w:w="150" w:type="dxa"/>
              <w:right w:w="240" w:type="dxa"/>
            </w:tcMar>
            <w:vAlign w:val="center"/>
          </w:tcPr>
          <w:p w14:paraId="038E96C1">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使用非原厂或不符合设备使用的配件，造成设备损坏或人身伤害</w:t>
            </w:r>
          </w:p>
        </w:tc>
        <w:tc>
          <w:tcPr>
            <w:tcW w:w="1440" w:type="dxa"/>
            <w:noWrap w:val="0"/>
            <w:tcMar>
              <w:top w:w="150" w:type="dxa"/>
              <w:left w:w="240" w:type="dxa"/>
              <w:bottom w:w="150" w:type="dxa"/>
              <w:right w:w="0" w:type="dxa"/>
            </w:tcMar>
            <w:vAlign w:val="center"/>
          </w:tcPr>
          <w:p w14:paraId="587753A2">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扣除维保金额1%，还须承担更换为全新配件的费用，如造成设备损坏则按设备金额等价赔偿及承担人员事故责任</w:t>
            </w:r>
          </w:p>
        </w:tc>
      </w:tr>
      <w:tr w14:paraId="2237A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243006B4">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10</w:t>
            </w:r>
          </w:p>
        </w:tc>
        <w:tc>
          <w:tcPr>
            <w:tcW w:w="4346" w:type="dxa"/>
            <w:noWrap w:val="0"/>
            <w:tcMar>
              <w:top w:w="150" w:type="dxa"/>
              <w:left w:w="240" w:type="dxa"/>
              <w:bottom w:w="150" w:type="dxa"/>
              <w:right w:w="240" w:type="dxa"/>
            </w:tcMar>
            <w:vAlign w:val="center"/>
          </w:tcPr>
          <w:p w14:paraId="60D63D93">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为本项目提供的核心零配件要求为全新配件，重要部件如球管等备件，提供备件来源及相关资质证明</w:t>
            </w:r>
          </w:p>
        </w:tc>
        <w:tc>
          <w:tcPr>
            <w:tcW w:w="2070" w:type="dxa"/>
            <w:noWrap w:val="0"/>
            <w:tcMar>
              <w:top w:w="150" w:type="dxa"/>
              <w:left w:w="240" w:type="dxa"/>
              <w:bottom w:w="150" w:type="dxa"/>
              <w:right w:w="240" w:type="dxa"/>
            </w:tcMar>
            <w:vAlign w:val="center"/>
          </w:tcPr>
          <w:p w14:paraId="1DB7246C">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不能提供备件来源及相关资质证明</w:t>
            </w:r>
          </w:p>
        </w:tc>
        <w:tc>
          <w:tcPr>
            <w:tcW w:w="1440" w:type="dxa"/>
            <w:noWrap w:val="0"/>
            <w:tcMar>
              <w:top w:w="150" w:type="dxa"/>
              <w:left w:w="240" w:type="dxa"/>
              <w:bottom w:w="150" w:type="dxa"/>
              <w:right w:w="0" w:type="dxa"/>
            </w:tcMar>
            <w:vAlign w:val="center"/>
          </w:tcPr>
          <w:p w14:paraId="0AF95D80">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扣除当月维保金额0.2%，还须负责更换为具有来源或资质证明的全新配件</w:t>
            </w:r>
          </w:p>
        </w:tc>
      </w:tr>
      <w:tr w14:paraId="4E630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7F8BAEE4">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11</w:t>
            </w:r>
          </w:p>
        </w:tc>
        <w:tc>
          <w:tcPr>
            <w:tcW w:w="4346" w:type="dxa"/>
            <w:noWrap w:val="0"/>
            <w:tcMar>
              <w:top w:w="150" w:type="dxa"/>
              <w:left w:w="240" w:type="dxa"/>
              <w:bottom w:w="150" w:type="dxa"/>
              <w:right w:w="240" w:type="dxa"/>
            </w:tcMar>
            <w:vAlign w:val="center"/>
          </w:tcPr>
          <w:p w14:paraId="38CACEB4">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签订合同后进行第一轮全院医疗设备的首期保养工作，首期保养应提交工作计划交采购人确认后实施，全部保养工作在规定的时间内完成</w:t>
            </w:r>
          </w:p>
        </w:tc>
        <w:tc>
          <w:tcPr>
            <w:tcW w:w="2070" w:type="dxa"/>
            <w:noWrap w:val="0"/>
            <w:tcMar>
              <w:top w:w="150" w:type="dxa"/>
              <w:left w:w="240" w:type="dxa"/>
              <w:bottom w:w="150" w:type="dxa"/>
              <w:right w:w="240" w:type="dxa"/>
            </w:tcMar>
            <w:vAlign w:val="center"/>
          </w:tcPr>
          <w:p w14:paraId="1790D8D8">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未按要求提交工作计划经甲方确认后实施</w:t>
            </w:r>
          </w:p>
        </w:tc>
        <w:tc>
          <w:tcPr>
            <w:tcW w:w="1440" w:type="dxa"/>
            <w:noWrap w:val="0"/>
            <w:tcMar>
              <w:top w:w="150" w:type="dxa"/>
              <w:left w:w="240" w:type="dxa"/>
              <w:bottom w:w="150" w:type="dxa"/>
              <w:right w:w="0" w:type="dxa"/>
            </w:tcMar>
            <w:vAlign w:val="center"/>
          </w:tcPr>
          <w:p w14:paraId="321AFF24">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扣除当月维保金额0.2%</w:t>
            </w:r>
          </w:p>
        </w:tc>
      </w:tr>
      <w:tr w14:paraId="2ED2C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180D09CC">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12</w:t>
            </w:r>
          </w:p>
        </w:tc>
        <w:tc>
          <w:tcPr>
            <w:tcW w:w="4346" w:type="dxa"/>
            <w:noWrap w:val="0"/>
            <w:tcMar>
              <w:top w:w="150" w:type="dxa"/>
              <w:left w:w="240" w:type="dxa"/>
              <w:bottom w:w="150" w:type="dxa"/>
              <w:right w:w="240" w:type="dxa"/>
            </w:tcMar>
            <w:vAlign w:val="center"/>
          </w:tcPr>
          <w:p w14:paraId="5348B26B">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急救与生命支持类高风险设备按要求每个月完成100%覆盖预防性维护/巡检一次；大型设备每年完成4次100%覆盖率巡检保养；其他设备每6个月完成100%覆盖率巡检保养一次</w:t>
            </w:r>
          </w:p>
        </w:tc>
        <w:tc>
          <w:tcPr>
            <w:tcW w:w="2070" w:type="dxa"/>
            <w:noWrap w:val="0"/>
            <w:tcMar>
              <w:top w:w="150" w:type="dxa"/>
              <w:left w:w="240" w:type="dxa"/>
              <w:bottom w:w="150" w:type="dxa"/>
              <w:right w:w="240" w:type="dxa"/>
            </w:tcMar>
            <w:vAlign w:val="center"/>
          </w:tcPr>
          <w:p w14:paraId="4D003FA2">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未达到该标准</w:t>
            </w:r>
          </w:p>
        </w:tc>
        <w:tc>
          <w:tcPr>
            <w:tcW w:w="1440" w:type="dxa"/>
            <w:noWrap w:val="0"/>
            <w:tcMar>
              <w:top w:w="150" w:type="dxa"/>
              <w:left w:w="240" w:type="dxa"/>
              <w:bottom w:w="150" w:type="dxa"/>
              <w:right w:w="0" w:type="dxa"/>
            </w:tcMar>
            <w:vAlign w:val="center"/>
          </w:tcPr>
          <w:p w14:paraId="5E7ABAB5">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扣除当月维保金额0.2%</w:t>
            </w:r>
          </w:p>
        </w:tc>
      </w:tr>
      <w:tr w14:paraId="26B1C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05571D74">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13</w:t>
            </w:r>
          </w:p>
        </w:tc>
        <w:tc>
          <w:tcPr>
            <w:tcW w:w="4346" w:type="dxa"/>
            <w:noWrap w:val="0"/>
            <w:tcMar>
              <w:top w:w="150" w:type="dxa"/>
              <w:left w:w="240" w:type="dxa"/>
              <w:bottom w:w="150" w:type="dxa"/>
              <w:right w:w="240" w:type="dxa"/>
            </w:tcMar>
            <w:vAlign w:val="center"/>
          </w:tcPr>
          <w:p w14:paraId="38482C89">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需安排专职人员对医疗设备进行预防性维护及清理工作，根据医疗设备使用情况及相关要求，制定详细的保养计划，大型医疗设备保养规程需符合生产厂家相关文件，并按照国内医学装备质量控制中心要求，提供保养后设备核心数据。保养书面记录需由使用科室签字确认</w:t>
            </w:r>
          </w:p>
        </w:tc>
        <w:tc>
          <w:tcPr>
            <w:tcW w:w="2070" w:type="dxa"/>
            <w:noWrap w:val="0"/>
            <w:tcMar>
              <w:top w:w="150" w:type="dxa"/>
              <w:left w:w="240" w:type="dxa"/>
              <w:bottom w:w="150" w:type="dxa"/>
              <w:right w:w="240" w:type="dxa"/>
            </w:tcMar>
            <w:vAlign w:val="center"/>
          </w:tcPr>
          <w:p w14:paraId="3E512B06">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未按要求实施</w:t>
            </w:r>
          </w:p>
        </w:tc>
        <w:tc>
          <w:tcPr>
            <w:tcW w:w="1440" w:type="dxa"/>
            <w:noWrap w:val="0"/>
            <w:tcMar>
              <w:top w:w="150" w:type="dxa"/>
              <w:left w:w="240" w:type="dxa"/>
              <w:bottom w:w="150" w:type="dxa"/>
              <w:right w:w="0" w:type="dxa"/>
            </w:tcMar>
            <w:vAlign w:val="center"/>
          </w:tcPr>
          <w:p w14:paraId="02C77CA4">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扣除当月维保金额0.2%</w:t>
            </w:r>
          </w:p>
        </w:tc>
      </w:tr>
      <w:tr w14:paraId="17956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28C1522B">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14</w:t>
            </w:r>
          </w:p>
        </w:tc>
        <w:tc>
          <w:tcPr>
            <w:tcW w:w="4346" w:type="dxa"/>
            <w:noWrap w:val="0"/>
            <w:tcMar>
              <w:top w:w="150" w:type="dxa"/>
              <w:left w:w="240" w:type="dxa"/>
              <w:bottom w:w="150" w:type="dxa"/>
              <w:right w:w="240" w:type="dxa"/>
            </w:tcMar>
            <w:vAlign w:val="center"/>
          </w:tcPr>
          <w:p w14:paraId="38F16D90">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大型医疗设备与重点设备提供的定期维护、保养、校正服务，应提供详细定期保养报告，计划性定期的维护保养服务检测包括设备清洁、性能测试及校准、必要的机械或电气的检查，以及非紧急性质的预防性维修，并定期对设备的数据进行备份，以及确保系统能按照制造商的产品规格运行的其它维护，保养报告上交设备管理科，并做好记录</w:t>
            </w:r>
          </w:p>
        </w:tc>
        <w:tc>
          <w:tcPr>
            <w:tcW w:w="2070" w:type="dxa"/>
            <w:noWrap w:val="0"/>
            <w:tcMar>
              <w:top w:w="150" w:type="dxa"/>
              <w:left w:w="240" w:type="dxa"/>
              <w:bottom w:w="150" w:type="dxa"/>
              <w:right w:w="240" w:type="dxa"/>
            </w:tcMar>
            <w:vAlign w:val="center"/>
          </w:tcPr>
          <w:p w14:paraId="73E28AD2">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未按要求实施</w:t>
            </w:r>
          </w:p>
        </w:tc>
        <w:tc>
          <w:tcPr>
            <w:tcW w:w="1440" w:type="dxa"/>
            <w:noWrap w:val="0"/>
            <w:tcMar>
              <w:top w:w="150" w:type="dxa"/>
              <w:left w:w="240" w:type="dxa"/>
              <w:bottom w:w="150" w:type="dxa"/>
              <w:right w:w="0" w:type="dxa"/>
            </w:tcMar>
            <w:vAlign w:val="center"/>
          </w:tcPr>
          <w:p w14:paraId="54D3094E">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扣除当月维保金额0.2%</w:t>
            </w:r>
          </w:p>
        </w:tc>
      </w:tr>
      <w:tr w14:paraId="46655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5EBD6D34">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15</w:t>
            </w:r>
          </w:p>
        </w:tc>
        <w:tc>
          <w:tcPr>
            <w:tcW w:w="4346" w:type="dxa"/>
            <w:noWrap w:val="0"/>
            <w:tcMar>
              <w:top w:w="150" w:type="dxa"/>
              <w:left w:w="240" w:type="dxa"/>
              <w:bottom w:w="150" w:type="dxa"/>
              <w:right w:w="240" w:type="dxa"/>
            </w:tcMar>
            <w:vAlign w:val="center"/>
          </w:tcPr>
          <w:p w14:paraId="610E3A53">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eastAsia="宋体" w:cs="宋体"/>
                <w:color w:val="000000"/>
                <w:sz w:val="21"/>
                <w:szCs w:val="21"/>
                <w:highlight w:val="none"/>
              </w:rPr>
              <w:t>设备维修响应在15分钟以内，30分钟</w:t>
            </w:r>
            <w:r>
              <w:rPr>
                <w:rFonts w:hint="eastAsia" w:ascii="宋体" w:hAnsi="宋体" w:cs="宋体"/>
                <w:color w:val="000000"/>
                <w:sz w:val="21"/>
                <w:szCs w:val="21"/>
                <w:highlight w:val="none"/>
                <w:lang w:val="en-US" w:eastAsia="zh-CN"/>
              </w:rPr>
              <w:t>内</w:t>
            </w:r>
            <w:r>
              <w:rPr>
                <w:rFonts w:hint="eastAsia" w:ascii="宋体" w:hAnsi="宋体" w:eastAsia="宋体" w:cs="宋体"/>
                <w:color w:val="000000"/>
                <w:sz w:val="21"/>
                <w:szCs w:val="21"/>
                <w:highlight w:val="none"/>
              </w:rPr>
              <w:t>赶到现场；提供 365 天×24 小时不间断服务</w:t>
            </w:r>
          </w:p>
        </w:tc>
        <w:tc>
          <w:tcPr>
            <w:tcW w:w="2070" w:type="dxa"/>
            <w:noWrap w:val="0"/>
            <w:tcMar>
              <w:top w:w="150" w:type="dxa"/>
              <w:left w:w="240" w:type="dxa"/>
              <w:bottom w:w="150" w:type="dxa"/>
              <w:right w:w="240" w:type="dxa"/>
            </w:tcMar>
            <w:vAlign w:val="center"/>
          </w:tcPr>
          <w:p w14:paraId="3A34BF0D">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未达到该标准</w:t>
            </w:r>
          </w:p>
        </w:tc>
        <w:tc>
          <w:tcPr>
            <w:tcW w:w="1440" w:type="dxa"/>
            <w:noWrap w:val="0"/>
            <w:tcMar>
              <w:top w:w="150" w:type="dxa"/>
              <w:left w:w="240" w:type="dxa"/>
              <w:bottom w:w="150" w:type="dxa"/>
              <w:right w:w="0" w:type="dxa"/>
            </w:tcMar>
            <w:vAlign w:val="center"/>
          </w:tcPr>
          <w:p w14:paraId="2573C5DD">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每次记处罚一次</w:t>
            </w:r>
          </w:p>
        </w:tc>
      </w:tr>
      <w:tr w14:paraId="37639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644113B8">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16</w:t>
            </w:r>
          </w:p>
        </w:tc>
        <w:tc>
          <w:tcPr>
            <w:tcW w:w="4346" w:type="dxa"/>
            <w:noWrap w:val="0"/>
            <w:tcMar>
              <w:top w:w="150" w:type="dxa"/>
              <w:left w:w="240" w:type="dxa"/>
              <w:bottom w:w="150" w:type="dxa"/>
              <w:right w:w="240" w:type="dxa"/>
            </w:tcMar>
            <w:vAlign w:val="center"/>
          </w:tcPr>
          <w:p w14:paraId="40A1E9CE">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总体开机率：全年平均须达到97%以上（以365天计算）</w:t>
            </w:r>
          </w:p>
        </w:tc>
        <w:tc>
          <w:tcPr>
            <w:tcW w:w="2070" w:type="dxa"/>
            <w:noWrap w:val="0"/>
            <w:tcMar>
              <w:top w:w="150" w:type="dxa"/>
              <w:left w:w="240" w:type="dxa"/>
              <w:bottom w:w="150" w:type="dxa"/>
              <w:right w:w="240" w:type="dxa"/>
            </w:tcMar>
            <w:vAlign w:val="center"/>
          </w:tcPr>
          <w:p w14:paraId="37603AA2">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未达到该标准</w:t>
            </w:r>
          </w:p>
        </w:tc>
        <w:tc>
          <w:tcPr>
            <w:tcW w:w="1440" w:type="dxa"/>
            <w:noWrap w:val="0"/>
            <w:tcMar>
              <w:top w:w="150" w:type="dxa"/>
              <w:left w:w="240" w:type="dxa"/>
              <w:bottom w:w="150" w:type="dxa"/>
              <w:right w:w="0" w:type="dxa"/>
            </w:tcMar>
            <w:vAlign w:val="center"/>
          </w:tcPr>
          <w:p w14:paraId="34094125">
            <w:pPr>
              <w:keepNext w:val="0"/>
              <w:keepLines w:val="0"/>
              <w:pageBreakBefore w:val="0"/>
              <w:kinsoku/>
              <w:overflowPunct/>
              <w:topLinePunct w:val="0"/>
              <w:autoSpaceDE/>
              <w:autoSpaceDN/>
              <w:bidi w:val="0"/>
              <w:spacing w:line="360" w:lineRule="exact"/>
              <w:ind w:left="0" w:leftChars="0"/>
              <w:jc w:val="center"/>
              <w:rPr>
                <w:rFonts w:hint="default" w:ascii="宋体" w:hAnsi="宋体" w:cs="宋体"/>
                <w:szCs w:val="21"/>
                <w:highlight w:val="none"/>
                <w:lang w:val="en-US"/>
              </w:rPr>
            </w:pPr>
            <w:r>
              <w:rPr>
                <w:rFonts w:hint="eastAsia" w:ascii="宋体" w:hAnsi="宋体" w:cs="宋体"/>
                <w:szCs w:val="21"/>
                <w:highlight w:val="none"/>
                <w:lang w:val="en-US" w:eastAsia="zh-CN"/>
              </w:rPr>
              <w:t>延长维保服务期限30天</w:t>
            </w:r>
          </w:p>
        </w:tc>
      </w:tr>
      <w:tr w14:paraId="476EC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41E48AB5">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17</w:t>
            </w:r>
          </w:p>
        </w:tc>
        <w:tc>
          <w:tcPr>
            <w:tcW w:w="4346" w:type="dxa"/>
            <w:noWrap w:val="0"/>
            <w:tcMar>
              <w:top w:w="150" w:type="dxa"/>
              <w:left w:w="240" w:type="dxa"/>
              <w:bottom w:w="150" w:type="dxa"/>
              <w:right w:w="240" w:type="dxa"/>
            </w:tcMar>
            <w:vAlign w:val="center"/>
          </w:tcPr>
          <w:p w14:paraId="239831F3">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完成大型设备做使用评价</w:t>
            </w:r>
          </w:p>
        </w:tc>
        <w:tc>
          <w:tcPr>
            <w:tcW w:w="2070" w:type="dxa"/>
            <w:noWrap w:val="0"/>
            <w:tcMar>
              <w:top w:w="150" w:type="dxa"/>
              <w:left w:w="240" w:type="dxa"/>
              <w:bottom w:w="150" w:type="dxa"/>
              <w:right w:w="240" w:type="dxa"/>
            </w:tcMar>
            <w:vAlign w:val="center"/>
          </w:tcPr>
          <w:p w14:paraId="2B1A7E5C">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未按要求提供服务</w:t>
            </w:r>
          </w:p>
        </w:tc>
        <w:tc>
          <w:tcPr>
            <w:tcW w:w="1440" w:type="dxa"/>
            <w:noWrap w:val="0"/>
            <w:tcMar>
              <w:top w:w="150" w:type="dxa"/>
              <w:left w:w="240" w:type="dxa"/>
              <w:bottom w:w="150" w:type="dxa"/>
              <w:right w:w="0" w:type="dxa"/>
            </w:tcMar>
            <w:vAlign w:val="center"/>
          </w:tcPr>
          <w:p w14:paraId="68790251">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每次记处罚一次</w:t>
            </w:r>
          </w:p>
        </w:tc>
      </w:tr>
      <w:tr w14:paraId="1F038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73286EB3">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18</w:t>
            </w:r>
          </w:p>
        </w:tc>
        <w:tc>
          <w:tcPr>
            <w:tcW w:w="4346" w:type="dxa"/>
            <w:noWrap w:val="0"/>
            <w:tcMar>
              <w:top w:w="150" w:type="dxa"/>
              <w:left w:w="240" w:type="dxa"/>
              <w:bottom w:w="150" w:type="dxa"/>
              <w:right w:w="240" w:type="dxa"/>
            </w:tcMar>
            <w:vAlign w:val="center"/>
          </w:tcPr>
          <w:p w14:paraId="510B69C6">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设立驻场服务点，签订合同后配备驻场工程师不少于2名，另设立项目负责人1名。</w:t>
            </w:r>
          </w:p>
        </w:tc>
        <w:tc>
          <w:tcPr>
            <w:tcW w:w="2070" w:type="dxa"/>
            <w:noWrap w:val="0"/>
            <w:tcMar>
              <w:top w:w="150" w:type="dxa"/>
              <w:left w:w="240" w:type="dxa"/>
              <w:bottom w:w="150" w:type="dxa"/>
              <w:right w:w="240" w:type="dxa"/>
            </w:tcMar>
            <w:vAlign w:val="center"/>
          </w:tcPr>
          <w:p w14:paraId="082ABFF4">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不能按要求配备驻场工程师</w:t>
            </w:r>
          </w:p>
        </w:tc>
        <w:tc>
          <w:tcPr>
            <w:tcW w:w="1440" w:type="dxa"/>
            <w:noWrap w:val="0"/>
            <w:tcMar>
              <w:top w:w="150" w:type="dxa"/>
              <w:left w:w="240" w:type="dxa"/>
              <w:bottom w:w="150" w:type="dxa"/>
              <w:right w:w="0" w:type="dxa"/>
            </w:tcMar>
            <w:vAlign w:val="center"/>
          </w:tcPr>
          <w:p w14:paraId="535ED587">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从维保金额以每人每月5000元标准扣除</w:t>
            </w:r>
          </w:p>
        </w:tc>
      </w:tr>
      <w:tr w14:paraId="785A8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4EC93D42">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19</w:t>
            </w:r>
          </w:p>
        </w:tc>
        <w:tc>
          <w:tcPr>
            <w:tcW w:w="4346" w:type="dxa"/>
            <w:noWrap w:val="0"/>
            <w:tcMar>
              <w:top w:w="150" w:type="dxa"/>
              <w:left w:w="240" w:type="dxa"/>
              <w:bottom w:w="150" w:type="dxa"/>
              <w:right w:w="240" w:type="dxa"/>
            </w:tcMar>
            <w:vAlign w:val="center"/>
          </w:tcPr>
          <w:p w14:paraId="6F76CA30">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配合采购人现有作息制度，建立驻场工程师夜间、双休日、节假日值班制。驻场工程师上班时间、下班时间与采购人医院保持同步</w:t>
            </w:r>
          </w:p>
        </w:tc>
        <w:tc>
          <w:tcPr>
            <w:tcW w:w="2070" w:type="dxa"/>
            <w:noWrap w:val="0"/>
            <w:tcMar>
              <w:top w:w="150" w:type="dxa"/>
              <w:left w:w="240" w:type="dxa"/>
              <w:bottom w:w="150" w:type="dxa"/>
              <w:right w:w="240" w:type="dxa"/>
            </w:tcMar>
            <w:vAlign w:val="center"/>
          </w:tcPr>
          <w:p w14:paraId="612B5FF0">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不符合规定要求</w:t>
            </w:r>
          </w:p>
        </w:tc>
        <w:tc>
          <w:tcPr>
            <w:tcW w:w="1440" w:type="dxa"/>
            <w:noWrap w:val="0"/>
            <w:tcMar>
              <w:top w:w="150" w:type="dxa"/>
              <w:left w:w="240" w:type="dxa"/>
              <w:bottom w:w="150" w:type="dxa"/>
              <w:right w:w="0" w:type="dxa"/>
            </w:tcMar>
            <w:vAlign w:val="center"/>
          </w:tcPr>
          <w:p w14:paraId="3D370D84">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7FDBC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175AF669">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20</w:t>
            </w:r>
          </w:p>
        </w:tc>
        <w:tc>
          <w:tcPr>
            <w:tcW w:w="4346" w:type="dxa"/>
            <w:noWrap w:val="0"/>
            <w:tcMar>
              <w:top w:w="150" w:type="dxa"/>
              <w:left w:w="240" w:type="dxa"/>
              <w:bottom w:w="150" w:type="dxa"/>
              <w:right w:w="240" w:type="dxa"/>
            </w:tcMar>
            <w:vAlign w:val="center"/>
          </w:tcPr>
          <w:p w14:paraId="6C2826F6">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压力容器专项维护人员应符合特种设备操作维护人员的资质要求。特种设备操作人员需要持证上岗。</w:t>
            </w:r>
          </w:p>
        </w:tc>
        <w:tc>
          <w:tcPr>
            <w:tcW w:w="2070" w:type="dxa"/>
            <w:noWrap w:val="0"/>
            <w:tcMar>
              <w:top w:w="150" w:type="dxa"/>
              <w:left w:w="240" w:type="dxa"/>
              <w:bottom w:w="150" w:type="dxa"/>
              <w:right w:w="240" w:type="dxa"/>
            </w:tcMar>
            <w:vAlign w:val="center"/>
          </w:tcPr>
          <w:p w14:paraId="357711D6">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未按要求配备持证人员</w:t>
            </w:r>
          </w:p>
        </w:tc>
        <w:tc>
          <w:tcPr>
            <w:tcW w:w="1440" w:type="dxa"/>
            <w:noWrap w:val="0"/>
            <w:tcMar>
              <w:top w:w="150" w:type="dxa"/>
              <w:left w:w="240" w:type="dxa"/>
              <w:bottom w:w="150" w:type="dxa"/>
              <w:right w:w="0" w:type="dxa"/>
            </w:tcMar>
            <w:vAlign w:val="center"/>
          </w:tcPr>
          <w:p w14:paraId="6CC6A344">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2672F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604400CF">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21</w:t>
            </w:r>
          </w:p>
        </w:tc>
        <w:tc>
          <w:tcPr>
            <w:tcW w:w="4346" w:type="dxa"/>
            <w:noWrap w:val="0"/>
            <w:tcMar>
              <w:top w:w="150" w:type="dxa"/>
              <w:left w:w="240" w:type="dxa"/>
              <w:bottom w:w="150" w:type="dxa"/>
              <w:right w:w="240" w:type="dxa"/>
            </w:tcMar>
            <w:vAlign w:val="center"/>
          </w:tcPr>
          <w:p w14:paraId="7D2840B8">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为医院提供维修后的质控服务，提供的质控设备数量不低于7台</w:t>
            </w:r>
          </w:p>
        </w:tc>
        <w:tc>
          <w:tcPr>
            <w:tcW w:w="2070" w:type="dxa"/>
            <w:noWrap w:val="0"/>
            <w:tcMar>
              <w:top w:w="150" w:type="dxa"/>
              <w:left w:w="240" w:type="dxa"/>
              <w:bottom w:w="150" w:type="dxa"/>
              <w:right w:w="240" w:type="dxa"/>
            </w:tcMar>
            <w:vAlign w:val="center"/>
          </w:tcPr>
          <w:p w14:paraId="5870C1B1">
            <w:pPr>
              <w:keepNext w:val="0"/>
              <w:keepLines w:val="0"/>
              <w:pageBreakBefore w:val="0"/>
              <w:kinsoku/>
              <w:overflowPunct/>
              <w:topLinePunct w:val="0"/>
              <w:autoSpaceDE/>
              <w:autoSpaceDN/>
              <w:bidi w:val="0"/>
              <w:spacing w:line="360" w:lineRule="exact"/>
              <w:ind w:left="0" w:leftChars="0"/>
              <w:jc w:val="center"/>
              <w:rPr>
                <w:rFonts w:hint="default" w:ascii="宋体" w:hAnsi="宋体" w:cs="宋体"/>
                <w:szCs w:val="21"/>
                <w:highlight w:val="none"/>
                <w:lang w:val="en-US"/>
              </w:rPr>
            </w:pPr>
            <w:r>
              <w:rPr>
                <w:rFonts w:hint="eastAsia" w:ascii="宋体" w:hAnsi="宋体" w:cs="宋体"/>
                <w:szCs w:val="21"/>
                <w:highlight w:val="none"/>
                <w:lang w:val="en-US" w:eastAsia="zh-CN"/>
              </w:rPr>
              <w:t>未按要求提供</w:t>
            </w:r>
          </w:p>
        </w:tc>
        <w:tc>
          <w:tcPr>
            <w:tcW w:w="1440" w:type="dxa"/>
            <w:noWrap w:val="0"/>
            <w:tcMar>
              <w:top w:w="150" w:type="dxa"/>
              <w:left w:w="240" w:type="dxa"/>
              <w:bottom w:w="150" w:type="dxa"/>
              <w:right w:w="0" w:type="dxa"/>
            </w:tcMar>
            <w:vAlign w:val="center"/>
          </w:tcPr>
          <w:p w14:paraId="71C7F713">
            <w:pPr>
              <w:keepNext w:val="0"/>
              <w:keepLines w:val="0"/>
              <w:pageBreakBefore w:val="0"/>
              <w:kinsoku/>
              <w:overflowPunct/>
              <w:topLinePunct w:val="0"/>
              <w:autoSpaceDE/>
              <w:autoSpaceDN/>
              <w:bidi w:val="0"/>
              <w:spacing w:line="360" w:lineRule="exact"/>
              <w:ind w:left="0" w:leftChars="0"/>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记处罚一次</w:t>
            </w:r>
          </w:p>
        </w:tc>
      </w:tr>
      <w:tr w14:paraId="0A6FD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13C7393F">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22</w:t>
            </w:r>
          </w:p>
        </w:tc>
        <w:tc>
          <w:tcPr>
            <w:tcW w:w="4346" w:type="dxa"/>
            <w:noWrap w:val="0"/>
            <w:tcMar>
              <w:top w:w="150" w:type="dxa"/>
              <w:left w:w="240" w:type="dxa"/>
              <w:bottom w:w="150" w:type="dxa"/>
              <w:right w:w="240" w:type="dxa"/>
            </w:tcMar>
            <w:vAlign w:val="center"/>
          </w:tcPr>
          <w:p w14:paraId="7A442D1C">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须协助向国家检测部门办理相关强检计量和质量检测的手续。在检测前须对设备进行全面调校，保证各项技术指标符合标准；对有关部门工作人员提出的技术问题进行解答。若因设备软、硬件原因导致检测的相关技术指标不能达标，应及时调试、修复</w:t>
            </w:r>
          </w:p>
        </w:tc>
        <w:tc>
          <w:tcPr>
            <w:tcW w:w="2070" w:type="dxa"/>
            <w:noWrap w:val="0"/>
            <w:tcMar>
              <w:top w:w="150" w:type="dxa"/>
              <w:left w:w="240" w:type="dxa"/>
              <w:bottom w:w="150" w:type="dxa"/>
              <w:right w:w="240" w:type="dxa"/>
            </w:tcMar>
            <w:vAlign w:val="center"/>
          </w:tcPr>
          <w:p w14:paraId="0B25B905">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强检计量及质量检测未合格的设备，则须按照相应标准对医疗设备进行维护调试直至达到国家要求的标准并检测合格</w:t>
            </w:r>
          </w:p>
        </w:tc>
        <w:tc>
          <w:tcPr>
            <w:tcW w:w="1440" w:type="dxa"/>
            <w:noWrap w:val="0"/>
            <w:tcMar>
              <w:top w:w="150" w:type="dxa"/>
              <w:left w:w="240" w:type="dxa"/>
              <w:bottom w:w="150" w:type="dxa"/>
              <w:right w:w="0" w:type="dxa"/>
            </w:tcMar>
            <w:vAlign w:val="center"/>
          </w:tcPr>
          <w:p w14:paraId="1FD09C01">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未办理强检计量和质量检测的相关手续或设备未能通过检测，扣除当月维保金额0.2%，并且须进行维护调试直至检测合格止</w:t>
            </w:r>
          </w:p>
        </w:tc>
      </w:tr>
      <w:tr w14:paraId="1EECB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4F6F0B30">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23</w:t>
            </w:r>
          </w:p>
        </w:tc>
        <w:tc>
          <w:tcPr>
            <w:tcW w:w="4346" w:type="dxa"/>
            <w:noWrap w:val="0"/>
            <w:tcMar>
              <w:top w:w="150" w:type="dxa"/>
              <w:left w:w="240" w:type="dxa"/>
              <w:bottom w:w="150" w:type="dxa"/>
              <w:right w:w="240" w:type="dxa"/>
            </w:tcMar>
            <w:vAlign w:val="center"/>
          </w:tcPr>
          <w:p w14:paraId="0D652080">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设备修复后，需对维修中必须拆机的急救类、生命支持类设备进行电气安全、性能等全面检测，以记录数据，符合技术指标要求才能投入使用</w:t>
            </w:r>
          </w:p>
        </w:tc>
        <w:tc>
          <w:tcPr>
            <w:tcW w:w="2070" w:type="dxa"/>
            <w:noWrap w:val="0"/>
            <w:tcMar>
              <w:top w:w="150" w:type="dxa"/>
              <w:left w:w="240" w:type="dxa"/>
              <w:bottom w:w="150" w:type="dxa"/>
              <w:right w:w="240" w:type="dxa"/>
            </w:tcMar>
            <w:vAlign w:val="center"/>
          </w:tcPr>
          <w:p w14:paraId="4016A8C3">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未按要求实施</w:t>
            </w:r>
          </w:p>
        </w:tc>
        <w:tc>
          <w:tcPr>
            <w:tcW w:w="1440" w:type="dxa"/>
            <w:noWrap w:val="0"/>
            <w:tcMar>
              <w:top w:w="150" w:type="dxa"/>
              <w:left w:w="240" w:type="dxa"/>
              <w:bottom w:w="150" w:type="dxa"/>
              <w:right w:w="0" w:type="dxa"/>
            </w:tcMar>
            <w:vAlign w:val="center"/>
          </w:tcPr>
          <w:p w14:paraId="6E6D6202">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4A21C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053E5DC3">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24</w:t>
            </w:r>
          </w:p>
        </w:tc>
        <w:tc>
          <w:tcPr>
            <w:tcW w:w="4346" w:type="dxa"/>
            <w:noWrap w:val="0"/>
            <w:tcMar>
              <w:top w:w="150" w:type="dxa"/>
              <w:left w:w="240" w:type="dxa"/>
              <w:bottom w:w="150" w:type="dxa"/>
              <w:right w:w="240" w:type="dxa"/>
            </w:tcMar>
            <w:vAlign w:val="center"/>
          </w:tcPr>
          <w:p w14:paraId="479E603D">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根据新增、检测、报废等情况，及时更新计量设备台账</w:t>
            </w:r>
          </w:p>
        </w:tc>
        <w:tc>
          <w:tcPr>
            <w:tcW w:w="2070" w:type="dxa"/>
            <w:noWrap w:val="0"/>
            <w:tcMar>
              <w:top w:w="150" w:type="dxa"/>
              <w:left w:w="240" w:type="dxa"/>
              <w:bottom w:w="150" w:type="dxa"/>
              <w:right w:w="240" w:type="dxa"/>
            </w:tcMar>
            <w:vAlign w:val="center"/>
          </w:tcPr>
          <w:p w14:paraId="0A5E9920">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未按要求实施</w:t>
            </w:r>
          </w:p>
        </w:tc>
        <w:tc>
          <w:tcPr>
            <w:tcW w:w="1440" w:type="dxa"/>
            <w:noWrap w:val="0"/>
            <w:tcMar>
              <w:top w:w="150" w:type="dxa"/>
              <w:left w:w="240" w:type="dxa"/>
              <w:bottom w:w="150" w:type="dxa"/>
              <w:right w:w="0" w:type="dxa"/>
            </w:tcMar>
            <w:vAlign w:val="center"/>
          </w:tcPr>
          <w:p w14:paraId="513F866F">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44640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09B4B2A4">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25</w:t>
            </w:r>
          </w:p>
        </w:tc>
        <w:tc>
          <w:tcPr>
            <w:tcW w:w="4346" w:type="dxa"/>
            <w:noWrap w:val="0"/>
            <w:tcMar>
              <w:top w:w="150" w:type="dxa"/>
              <w:left w:w="240" w:type="dxa"/>
              <w:bottom w:w="150" w:type="dxa"/>
              <w:right w:w="240" w:type="dxa"/>
            </w:tcMar>
            <w:vAlign w:val="center"/>
          </w:tcPr>
          <w:p w14:paraId="636DF0F9">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需对急救类、生命支持类设备每年周期进行不少于两次的电气安全、性能等全面的检测，其中除颤仪不少于四次；每次检测，需要记录数据</w:t>
            </w:r>
          </w:p>
        </w:tc>
        <w:tc>
          <w:tcPr>
            <w:tcW w:w="2070" w:type="dxa"/>
            <w:noWrap w:val="0"/>
            <w:tcMar>
              <w:top w:w="150" w:type="dxa"/>
              <w:left w:w="240" w:type="dxa"/>
              <w:bottom w:w="150" w:type="dxa"/>
              <w:right w:w="240" w:type="dxa"/>
            </w:tcMar>
            <w:vAlign w:val="center"/>
          </w:tcPr>
          <w:p w14:paraId="7413669F">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未按要求实施</w:t>
            </w:r>
          </w:p>
        </w:tc>
        <w:tc>
          <w:tcPr>
            <w:tcW w:w="1440" w:type="dxa"/>
            <w:noWrap w:val="0"/>
            <w:tcMar>
              <w:top w:w="150" w:type="dxa"/>
              <w:left w:w="240" w:type="dxa"/>
              <w:bottom w:w="150" w:type="dxa"/>
              <w:right w:w="0" w:type="dxa"/>
            </w:tcMar>
            <w:vAlign w:val="center"/>
          </w:tcPr>
          <w:p w14:paraId="095CBFAD">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76D09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01BB6CE9">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26</w:t>
            </w:r>
          </w:p>
        </w:tc>
        <w:tc>
          <w:tcPr>
            <w:tcW w:w="4346" w:type="dxa"/>
            <w:noWrap w:val="0"/>
            <w:tcMar>
              <w:top w:w="150" w:type="dxa"/>
              <w:left w:w="240" w:type="dxa"/>
              <w:bottom w:w="150" w:type="dxa"/>
              <w:right w:w="240" w:type="dxa"/>
            </w:tcMar>
            <w:vAlign w:val="center"/>
          </w:tcPr>
          <w:p w14:paraId="56AEA9DB">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对于新购设备按照要求协助安装及验收</w:t>
            </w:r>
          </w:p>
        </w:tc>
        <w:tc>
          <w:tcPr>
            <w:tcW w:w="2070" w:type="dxa"/>
            <w:noWrap w:val="0"/>
            <w:tcMar>
              <w:top w:w="150" w:type="dxa"/>
              <w:left w:w="240" w:type="dxa"/>
              <w:bottom w:w="150" w:type="dxa"/>
              <w:right w:w="240" w:type="dxa"/>
            </w:tcMar>
            <w:vAlign w:val="center"/>
          </w:tcPr>
          <w:p w14:paraId="5175DAC2">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未按要求实施</w:t>
            </w:r>
          </w:p>
        </w:tc>
        <w:tc>
          <w:tcPr>
            <w:tcW w:w="1440" w:type="dxa"/>
            <w:noWrap w:val="0"/>
            <w:tcMar>
              <w:top w:w="150" w:type="dxa"/>
              <w:left w:w="240" w:type="dxa"/>
              <w:bottom w:w="150" w:type="dxa"/>
              <w:right w:w="0" w:type="dxa"/>
            </w:tcMar>
            <w:vAlign w:val="center"/>
          </w:tcPr>
          <w:p w14:paraId="1C270D43">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记处罚一次（按设备台数计算）</w:t>
            </w:r>
          </w:p>
        </w:tc>
      </w:tr>
      <w:tr w14:paraId="0474C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0633931D">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27</w:t>
            </w:r>
          </w:p>
        </w:tc>
        <w:tc>
          <w:tcPr>
            <w:tcW w:w="4346" w:type="dxa"/>
            <w:noWrap w:val="0"/>
            <w:tcMar>
              <w:top w:w="150" w:type="dxa"/>
              <w:left w:w="240" w:type="dxa"/>
              <w:bottom w:w="150" w:type="dxa"/>
              <w:right w:w="240" w:type="dxa"/>
            </w:tcMar>
            <w:vAlign w:val="center"/>
          </w:tcPr>
          <w:p w14:paraId="6C9E334C">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跟进新购特种设备（承压类）的安装、验收工作，整理相关档案，协助甲方办理《使用登记证》，在检测周期前送检压力表、安全阀至相应检测单位，如遇检测不合格则按原规格或新要求下的规格紧急购置</w:t>
            </w:r>
          </w:p>
        </w:tc>
        <w:tc>
          <w:tcPr>
            <w:tcW w:w="2070" w:type="dxa"/>
            <w:noWrap w:val="0"/>
            <w:tcMar>
              <w:top w:w="150" w:type="dxa"/>
              <w:left w:w="240" w:type="dxa"/>
              <w:bottom w:w="150" w:type="dxa"/>
              <w:right w:w="240" w:type="dxa"/>
            </w:tcMar>
            <w:vAlign w:val="center"/>
          </w:tcPr>
          <w:p w14:paraId="1C15B488">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未按要求实施</w:t>
            </w:r>
          </w:p>
        </w:tc>
        <w:tc>
          <w:tcPr>
            <w:tcW w:w="1440" w:type="dxa"/>
            <w:noWrap w:val="0"/>
            <w:tcMar>
              <w:top w:w="150" w:type="dxa"/>
              <w:left w:w="240" w:type="dxa"/>
              <w:bottom w:w="150" w:type="dxa"/>
              <w:right w:w="0" w:type="dxa"/>
            </w:tcMar>
            <w:vAlign w:val="center"/>
          </w:tcPr>
          <w:p w14:paraId="0E0F1299">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2343A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2FC1FA3A">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28</w:t>
            </w:r>
          </w:p>
        </w:tc>
        <w:tc>
          <w:tcPr>
            <w:tcW w:w="4346" w:type="dxa"/>
            <w:noWrap w:val="0"/>
            <w:tcMar>
              <w:top w:w="150" w:type="dxa"/>
              <w:left w:w="240" w:type="dxa"/>
              <w:bottom w:w="150" w:type="dxa"/>
              <w:right w:w="240" w:type="dxa"/>
            </w:tcMar>
            <w:vAlign w:val="center"/>
          </w:tcPr>
          <w:p w14:paraId="4C08535E">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按要求跟进环保方面的环评、环评验收；卫生方面的预评价、控评所涉及的设备安装或迁移、机房施工等现场工作</w:t>
            </w:r>
          </w:p>
        </w:tc>
        <w:tc>
          <w:tcPr>
            <w:tcW w:w="2070" w:type="dxa"/>
            <w:noWrap w:val="0"/>
            <w:tcMar>
              <w:top w:w="150" w:type="dxa"/>
              <w:left w:w="240" w:type="dxa"/>
              <w:bottom w:w="150" w:type="dxa"/>
              <w:right w:w="240" w:type="dxa"/>
            </w:tcMar>
            <w:vAlign w:val="center"/>
          </w:tcPr>
          <w:p w14:paraId="01F7BEBA">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未按要求实施</w:t>
            </w:r>
          </w:p>
        </w:tc>
        <w:tc>
          <w:tcPr>
            <w:tcW w:w="1440" w:type="dxa"/>
            <w:noWrap w:val="0"/>
            <w:tcMar>
              <w:top w:w="150" w:type="dxa"/>
              <w:left w:w="240" w:type="dxa"/>
              <w:bottom w:w="150" w:type="dxa"/>
              <w:right w:w="0" w:type="dxa"/>
            </w:tcMar>
            <w:vAlign w:val="center"/>
          </w:tcPr>
          <w:p w14:paraId="70FDE77B">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59B83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37B8E35E">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29</w:t>
            </w:r>
          </w:p>
        </w:tc>
        <w:tc>
          <w:tcPr>
            <w:tcW w:w="4346" w:type="dxa"/>
            <w:noWrap w:val="0"/>
            <w:tcMar>
              <w:top w:w="150" w:type="dxa"/>
              <w:left w:w="240" w:type="dxa"/>
              <w:bottom w:w="150" w:type="dxa"/>
              <w:right w:w="240" w:type="dxa"/>
            </w:tcMar>
            <w:vAlign w:val="center"/>
          </w:tcPr>
          <w:p w14:paraId="16FBBF6B">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设备或配件丢失</w:t>
            </w:r>
          </w:p>
        </w:tc>
        <w:tc>
          <w:tcPr>
            <w:tcW w:w="2070" w:type="dxa"/>
            <w:noWrap w:val="0"/>
            <w:tcMar>
              <w:top w:w="150" w:type="dxa"/>
              <w:left w:w="240" w:type="dxa"/>
              <w:bottom w:w="150" w:type="dxa"/>
              <w:right w:w="240" w:type="dxa"/>
            </w:tcMar>
            <w:vAlign w:val="center"/>
          </w:tcPr>
          <w:p w14:paraId="720A7D59">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造成设备或配件丢失</w:t>
            </w:r>
          </w:p>
        </w:tc>
        <w:tc>
          <w:tcPr>
            <w:tcW w:w="1440" w:type="dxa"/>
            <w:noWrap w:val="0"/>
            <w:tcMar>
              <w:top w:w="150" w:type="dxa"/>
              <w:left w:w="240" w:type="dxa"/>
              <w:bottom w:w="150" w:type="dxa"/>
              <w:right w:w="0" w:type="dxa"/>
            </w:tcMar>
            <w:vAlign w:val="center"/>
          </w:tcPr>
          <w:p w14:paraId="522DC1A2">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等价赔偿并记处罚一次</w:t>
            </w:r>
          </w:p>
        </w:tc>
      </w:tr>
      <w:tr w14:paraId="7438A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6CC8E6BA">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30</w:t>
            </w:r>
          </w:p>
        </w:tc>
        <w:tc>
          <w:tcPr>
            <w:tcW w:w="4346" w:type="dxa"/>
            <w:noWrap w:val="0"/>
            <w:tcMar>
              <w:top w:w="150" w:type="dxa"/>
              <w:left w:w="240" w:type="dxa"/>
              <w:bottom w:w="150" w:type="dxa"/>
              <w:right w:w="240" w:type="dxa"/>
            </w:tcMar>
            <w:vAlign w:val="center"/>
          </w:tcPr>
          <w:p w14:paraId="4513B726">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设备需要经设备管理科同意后才能离院送修</w:t>
            </w:r>
          </w:p>
        </w:tc>
        <w:tc>
          <w:tcPr>
            <w:tcW w:w="2070" w:type="dxa"/>
            <w:noWrap w:val="0"/>
            <w:tcMar>
              <w:top w:w="150" w:type="dxa"/>
              <w:left w:w="240" w:type="dxa"/>
              <w:bottom w:w="150" w:type="dxa"/>
              <w:right w:w="240" w:type="dxa"/>
            </w:tcMar>
            <w:vAlign w:val="center"/>
          </w:tcPr>
          <w:p w14:paraId="709A8822">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未经同意离院送修</w:t>
            </w:r>
          </w:p>
        </w:tc>
        <w:tc>
          <w:tcPr>
            <w:tcW w:w="1440" w:type="dxa"/>
            <w:noWrap w:val="0"/>
            <w:tcMar>
              <w:top w:w="150" w:type="dxa"/>
              <w:left w:w="240" w:type="dxa"/>
              <w:bottom w:w="150" w:type="dxa"/>
              <w:right w:w="0" w:type="dxa"/>
            </w:tcMar>
            <w:vAlign w:val="center"/>
          </w:tcPr>
          <w:p w14:paraId="0FFEA6D3">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49C92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491B4AC3">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31</w:t>
            </w:r>
          </w:p>
        </w:tc>
        <w:tc>
          <w:tcPr>
            <w:tcW w:w="4346" w:type="dxa"/>
            <w:noWrap w:val="0"/>
            <w:tcMar>
              <w:top w:w="150" w:type="dxa"/>
              <w:left w:w="240" w:type="dxa"/>
              <w:bottom w:w="150" w:type="dxa"/>
              <w:right w:w="240" w:type="dxa"/>
            </w:tcMar>
            <w:vAlign w:val="center"/>
          </w:tcPr>
          <w:p w14:paraId="7F9FB36B">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需定期为操作人员和维修人员提供专业的设备应用维护培训，实施操作人员上岗考核制度，经过考核且达标的人员才能操作</w:t>
            </w:r>
          </w:p>
        </w:tc>
        <w:tc>
          <w:tcPr>
            <w:tcW w:w="2070" w:type="dxa"/>
            <w:noWrap w:val="0"/>
            <w:tcMar>
              <w:top w:w="150" w:type="dxa"/>
              <w:left w:w="240" w:type="dxa"/>
              <w:bottom w:w="150" w:type="dxa"/>
              <w:right w:w="240" w:type="dxa"/>
            </w:tcMar>
            <w:vAlign w:val="center"/>
          </w:tcPr>
          <w:p w14:paraId="77CB6BD5">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未定期培训，未实施操作人员上岗考核制度</w:t>
            </w:r>
          </w:p>
        </w:tc>
        <w:tc>
          <w:tcPr>
            <w:tcW w:w="1440" w:type="dxa"/>
            <w:noWrap w:val="0"/>
            <w:tcMar>
              <w:top w:w="150" w:type="dxa"/>
              <w:left w:w="240" w:type="dxa"/>
              <w:bottom w:w="150" w:type="dxa"/>
              <w:right w:w="0" w:type="dxa"/>
            </w:tcMar>
            <w:vAlign w:val="center"/>
          </w:tcPr>
          <w:p w14:paraId="5B982899">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0B036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7AEF8A64">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32</w:t>
            </w:r>
          </w:p>
        </w:tc>
        <w:tc>
          <w:tcPr>
            <w:tcW w:w="4346" w:type="dxa"/>
            <w:noWrap w:val="0"/>
            <w:tcMar>
              <w:top w:w="150" w:type="dxa"/>
              <w:left w:w="240" w:type="dxa"/>
              <w:bottom w:w="150" w:type="dxa"/>
              <w:right w:w="240" w:type="dxa"/>
            </w:tcMar>
            <w:vAlign w:val="center"/>
          </w:tcPr>
          <w:p w14:paraId="53956B54">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定期针对设备操作人员进行培训，制订培训计划或日程表，同医院沟通后执行</w:t>
            </w:r>
          </w:p>
        </w:tc>
        <w:tc>
          <w:tcPr>
            <w:tcW w:w="2070" w:type="dxa"/>
            <w:noWrap w:val="0"/>
            <w:tcMar>
              <w:top w:w="150" w:type="dxa"/>
              <w:left w:w="240" w:type="dxa"/>
              <w:bottom w:w="150" w:type="dxa"/>
              <w:right w:w="240" w:type="dxa"/>
            </w:tcMar>
            <w:vAlign w:val="center"/>
          </w:tcPr>
          <w:p w14:paraId="20BC2E9F">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未按要求实施</w:t>
            </w:r>
          </w:p>
        </w:tc>
        <w:tc>
          <w:tcPr>
            <w:tcW w:w="1440" w:type="dxa"/>
            <w:noWrap w:val="0"/>
            <w:tcMar>
              <w:top w:w="150" w:type="dxa"/>
              <w:left w:w="240" w:type="dxa"/>
              <w:bottom w:w="150" w:type="dxa"/>
              <w:right w:w="0" w:type="dxa"/>
            </w:tcMar>
            <w:vAlign w:val="center"/>
          </w:tcPr>
          <w:p w14:paraId="3C4CCEB6">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798C7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5F5F1021">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33</w:t>
            </w:r>
          </w:p>
        </w:tc>
        <w:tc>
          <w:tcPr>
            <w:tcW w:w="4346" w:type="dxa"/>
            <w:noWrap w:val="0"/>
            <w:tcMar>
              <w:top w:w="150" w:type="dxa"/>
              <w:left w:w="240" w:type="dxa"/>
              <w:bottom w:w="150" w:type="dxa"/>
              <w:right w:w="240" w:type="dxa"/>
            </w:tcMar>
            <w:vAlign w:val="center"/>
          </w:tcPr>
          <w:p w14:paraId="198971E1">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服务期内每年邀请院外专家到采购人单位进行培训</w:t>
            </w:r>
          </w:p>
        </w:tc>
        <w:tc>
          <w:tcPr>
            <w:tcW w:w="2070" w:type="dxa"/>
            <w:noWrap w:val="0"/>
            <w:tcMar>
              <w:top w:w="150" w:type="dxa"/>
              <w:left w:w="240" w:type="dxa"/>
              <w:bottom w:w="150" w:type="dxa"/>
              <w:right w:w="240" w:type="dxa"/>
            </w:tcMar>
            <w:vAlign w:val="center"/>
          </w:tcPr>
          <w:p w14:paraId="770B2276">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按要求实施</w:t>
            </w:r>
          </w:p>
        </w:tc>
        <w:tc>
          <w:tcPr>
            <w:tcW w:w="1440" w:type="dxa"/>
            <w:noWrap w:val="0"/>
            <w:tcMar>
              <w:top w:w="150" w:type="dxa"/>
              <w:left w:w="240" w:type="dxa"/>
              <w:bottom w:w="150" w:type="dxa"/>
              <w:right w:w="0" w:type="dxa"/>
            </w:tcMar>
            <w:vAlign w:val="center"/>
          </w:tcPr>
          <w:p w14:paraId="02F15FA7">
            <w:pPr>
              <w:keepNext w:val="0"/>
              <w:keepLines w:val="0"/>
              <w:pageBreakBefore w:val="0"/>
              <w:kinsoku/>
              <w:overflowPunct/>
              <w:topLinePunct w:val="0"/>
              <w:autoSpaceDE/>
              <w:autoSpaceDN/>
              <w:bidi w:val="0"/>
              <w:spacing w:line="360" w:lineRule="exact"/>
              <w:ind w:left="0" w:leftChars="0"/>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记处罚一次</w:t>
            </w:r>
          </w:p>
        </w:tc>
      </w:tr>
      <w:tr w14:paraId="0D6E3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5A622F92">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34</w:t>
            </w:r>
          </w:p>
        </w:tc>
        <w:tc>
          <w:tcPr>
            <w:tcW w:w="4346" w:type="dxa"/>
            <w:noWrap w:val="0"/>
            <w:tcMar>
              <w:top w:w="150" w:type="dxa"/>
              <w:left w:w="240" w:type="dxa"/>
              <w:bottom w:w="150" w:type="dxa"/>
              <w:right w:w="240" w:type="dxa"/>
            </w:tcMar>
            <w:vAlign w:val="center"/>
          </w:tcPr>
          <w:p w14:paraId="0C21809A">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设备安装、验收、使用培训</w:t>
            </w:r>
          </w:p>
        </w:tc>
        <w:tc>
          <w:tcPr>
            <w:tcW w:w="2070" w:type="dxa"/>
            <w:noWrap w:val="0"/>
            <w:tcMar>
              <w:top w:w="150" w:type="dxa"/>
              <w:left w:w="240" w:type="dxa"/>
              <w:bottom w:w="150" w:type="dxa"/>
              <w:right w:w="240" w:type="dxa"/>
            </w:tcMar>
            <w:vAlign w:val="center"/>
          </w:tcPr>
          <w:p w14:paraId="79761135">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未能按要求进行设备安装、验收、使用培训</w:t>
            </w:r>
          </w:p>
        </w:tc>
        <w:tc>
          <w:tcPr>
            <w:tcW w:w="1440" w:type="dxa"/>
            <w:noWrap w:val="0"/>
            <w:tcMar>
              <w:top w:w="150" w:type="dxa"/>
              <w:left w:w="240" w:type="dxa"/>
              <w:bottom w:w="150" w:type="dxa"/>
              <w:right w:w="0" w:type="dxa"/>
            </w:tcMar>
            <w:vAlign w:val="center"/>
          </w:tcPr>
          <w:p w14:paraId="01FA8DAD">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记处罚一次（按设备台数计算）</w:t>
            </w:r>
          </w:p>
        </w:tc>
      </w:tr>
      <w:tr w14:paraId="44983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024EDF75">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35</w:t>
            </w:r>
          </w:p>
        </w:tc>
        <w:tc>
          <w:tcPr>
            <w:tcW w:w="4346" w:type="dxa"/>
            <w:noWrap w:val="0"/>
            <w:tcMar>
              <w:top w:w="150" w:type="dxa"/>
              <w:left w:w="240" w:type="dxa"/>
              <w:bottom w:w="150" w:type="dxa"/>
              <w:right w:w="240" w:type="dxa"/>
            </w:tcMar>
            <w:vAlign w:val="center"/>
          </w:tcPr>
          <w:p w14:paraId="35B8AC87">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设备维修间需保持整洁干净</w:t>
            </w:r>
          </w:p>
        </w:tc>
        <w:tc>
          <w:tcPr>
            <w:tcW w:w="2070" w:type="dxa"/>
            <w:noWrap w:val="0"/>
            <w:tcMar>
              <w:top w:w="150" w:type="dxa"/>
              <w:left w:w="240" w:type="dxa"/>
              <w:bottom w:w="150" w:type="dxa"/>
              <w:right w:w="240" w:type="dxa"/>
            </w:tcMar>
            <w:vAlign w:val="center"/>
          </w:tcPr>
          <w:p w14:paraId="45AB5A2B">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设备维修间脏乱</w:t>
            </w:r>
          </w:p>
        </w:tc>
        <w:tc>
          <w:tcPr>
            <w:tcW w:w="1440" w:type="dxa"/>
            <w:noWrap w:val="0"/>
            <w:tcMar>
              <w:top w:w="150" w:type="dxa"/>
              <w:left w:w="240" w:type="dxa"/>
              <w:bottom w:w="150" w:type="dxa"/>
              <w:right w:w="0" w:type="dxa"/>
            </w:tcMar>
            <w:vAlign w:val="center"/>
          </w:tcPr>
          <w:p w14:paraId="029C380A">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78878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44F0BB72">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36</w:t>
            </w:r>
          </w:p>
        </w:tc>
        <w:tc>
          <w:tcPr>
            <w:tcW w:w="4346" w:type="dxa"/>
            <w:noWrap w:val="0"/>
            <w:tcMar>
              <w:top w:w="150" w:type="dxa"/>
              <w:left w:w="240" w:type="dxa"/>
              <w:bottom w:w="150" w:type="dxa"/>
              <w:right w:w="240" w:type="dxa"/>
            </w:tcMar>
            <w:vAlign w:val="center"/>
          </w:tcPr>
          <w:p w14:paraId="23B56A62">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提供医疗设备标准操作流程，维修保养流程、标准操作流程卡和使用状态卡</w:t>
            </w:r>
          </w:p>
        </w:tc>
        <w:tc>
          <w:tcPr>
            <w:tcW w:w="2070" w:type="dxa"/>
            <w:noWrap w:val="0"/>
            <w:tcMar>
              <w:top w:w="150" w:type="dxa"/>
              <w:left w:w="240" w:type="dxa"/>
              <w:bottom w:w="150" w:type="dxa"/>
              <w:right w:w="240" w:type="dxa"/>
            </w:tcMar>
            <w:vAlign w:val="center"/>
          </w:tcPr>
          <w:p w14:paraId="752B9D4D">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未按要求提供</w:t>
            </w:r>
          </w:p>
        </w:tc>
        <w:tc>
          <w:tcPr>
            <w:tcW w:w="1440" w:type="dxa"/>
            <w:noWrap w:val="0"/>
            <w:tcMar>
              <w:top w:w="150" w:type="dxa"/>
              <w:left w:w="240" w:type="dxa"/>
              <w:bottom w:w="150" w:type="dxa"/>
              <w:right w:w="0" w:type="dxa"/>
            </w:tcMar>
            <w:vAlign w:val="center"/>
          </w:tcPr>
          <w:p w14:paraId="08FE8A71">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2EE16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12446FCD">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37</w:t>
            </w:r>
          </w:p>
        </w:tc>
        <w:tc>
          <w:tcPr>
            <w:tcW w:w="4346" w:type="dxa"/>
            <w:noWrap w:val="0"/>
            <w:tcMar>
              <w:top w:w="150" w:type="dxa"/>
              <w:left w:w="240" w:type="dxa"/>
              <w:bottom w:w="150" w:type="dxa"/>
              <w:right w:w="240" w:type="dxa"/>
            </w:tcMar>
            <w:vAlign w:val="center"/>
          </w:tcPr>
          <w:p w14:paraId="7D8DF093">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大型设备维修需及时反馈进度及维修情况</w:t>
            </w:r>
          </w:p>
        </w:tc>
        <w:tc>
          <w:tcPr>
            <w:tcW w:w="2070" w:type="dxa"/>
            <w:noWrap w:val="0"/>
            <w:tcMar>
              <w:top w:w="150" w:type="dxa"/>
              <w:left w:w="240" w:type="dxa"/>
              <w:bottom w:w="150" w:type="dxa"/>
              <w:right w:w="240" w:type="dxa"/>
            </w:tcMar>
            <w:vAlign w:val="center"/>
          </w:tcPr>
          <w:p w14:paraId="43C1DF38">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大型设备故障没有及时反馈</w:t>
            </w:r>
          </w:p>
        </w:tc>
        <w:tc>
          <w:tcPr>
            <w:tcW w:w="1440" w:type="dxa"/>
            <w:noWrap w:val="0"/>
            <w:tcMar>
              <w:top w:w="150" w:type="dxa"/>
              <w:left w:w="240" w:type="dxa"/>
              <w:bottom w:w="150" w:type="dxa"/>
              <w:right w:w="0" w:type="dxa"/>
            </w:tcMar>
            <w:vAlign w:val="center"/>
          </w:tcPr>
          <w:p w14:paraId="1FCB7ED5">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记处处罚一次</w:t>
            </w:r>
          </w:p>
        </w:tc>
      </w:tr>
      <w:tr w14:paraId="0E077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79D2C5EE">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38</w:t>
            </w:r>
          </w:p>
        </w:tc>
        <w:tc>
          <w:tcPr>
            <w:tcW w:w="4346" w:type="dxa"/>
            <w:noWrap w:val="0"/>
            <w:tcMar>
              <w:top w:w="150" w:type="dxa"/>
              <w:left w:w="240" w:type="dxa"/>
              <w:bottom w:w="150" w:type="dxa"/>
              <w:right w:w="240" w:type="dxa"/>
            </w:tcMar>
            <w:vAlign w:val="center"/>
          </w:tcPr>
          <w:p w14:paraId="42CD490E">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协助医院完成各类检查、评审资料</w:t>
            </w:r>
          </w:p>
        </w:tc>
        <w:tc>
          <w:tcPr>
            <w:tcW w:w="2070" w:type="dxa"/>
            <w:noWrap w:val="0"/>
            <w:tcMar>
              <w:top w:w="150" w:type="dxa"/>
              <w:left w:w="240" w:type="dxa"/>
              <w:bottom w:w="150" w:type="dxa"/>
              <w:right w:w="240" w:type="dxa"/>
            </w:tcMar>
            <w:vAlign w:val="center"/>
          </w:tcPr>
          <w:p w14:paraId="2146D993">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未按要求提供</w:t>
            </w:r>
          </w:p>
        </w:tc>
        <w:tc>
          <w:tcPr>
            <w:tcW w:w="1440" w:type="dxa"/>
            <w:noWrap w:val="0"/>
            <w:tcMar>
              <w:top w:w="150" w:type="dxa"/>
              <w:left w:w="240" w:type="dxa"/>
              <w:bottom w:w="150" w:type="dxa"/>
              <w:right w:w="0" w:type="dxa"/>
            </w:tcMar>
            <w:vAlign w:val="center"/>
          </w:tcPr>
          <w:p w14:paraId="0484C145">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1755A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53A34589">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39</w:t>
            </w:r>
          </w:p>
        </w:tc>
        <w:tc>
          <w:tcPr>
            <w:tcW w:w="4346" w:type="dxa"/>
            <w:noWrap w:val="0"/>
            <w:tcMar>
              <w:top w:w="150" w:type="dxa"/>
              <w:left w:w="240" w:type="dxa"/>
              <w:bottom w:w="150" w:type="dxa"/>
              <w:right w:w="240" w:type="dxa"/>
            </w:tcMar>
            <w:vAlign w:val="center"/>
          </w:tcPr>
          <w:p w14:paraId="0FBAE9FA">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驻场工程师变动</w:t>
            </w:r>
          </w:p>
        </w:tc>
        <w:tc>
          <w:tcPr>
            <w:tcW w:w="2070" w:type="dxa"/>
            <w:noWrap w:val="0"/>
            <w:tcMar>
              <w:top w:w="150" w:type="dxa"/>
              <w:left w:w="240" w:type="dxa"/>
              <w:bottom w:w="150" w:type="dxa"/>
              <w:right w:w="240" w:type="dxa"/>
            </w:tcMar>
            <w:vAlign w:val="center"/>
          </w:tcPr>
          <w:p w14:paraId="1F00866C">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未按要求报备</w:t>
            </w:r>
          </w:p>
        </w:tc>
        <w:tc>
          <w:tcPr>
            <w:tcW w:w="1440" w:type="dxa"/>
            <w:noWrap w:val="0"/>
            <w:tcMar>
              <w:top w:w="150" w:type="dxa"/>
              <w:left w:w="240" w:type="dxa"/>
              <w:bottom w:w="150" w:type="dxa"/>
              <w:right w:w="0" w:type="dxa"/>
            </w:tcMar>
            <w:vAlign w:val="center"/>
          </w:tcPr>
          <w:p w14:paraId="3566D3FA">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4999B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167DC5F4">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40</w:t>
            </w:r>
          </w:p>
        </w:tc>
        <w:tc>
          <w:tcPr>
            <w:tcW w:w="4346" w:type="dxa"/>
            <w:noWrap w:val="0"/>
            <w:tcMar>
              <w:top w:w="150" w:type="dxa"/>
              <w:left w:w="240" w:type="dxa"/>
              <w:bottom w:w="150" w:type="dxa"/>
              <w:right w:w="240" w:type="dxa"/>
            </w:tcMar>
            <w:vAlign w:val="center"/>
          </w:tcPr>
          <w:p w14:paraId="140445D9">
            <w:pPr>
              <w:keepNext w:val="0"/>
              <w:keepLines w:val="0"/>
              <w:pageBreakBefore w:val="0"/>
              <w:kinsoku/>
              <w:overflowPunct/>
              <w:topLinePunct w:val="0"/>
              <w:autoSpaceDE/>
              <w:autoSpaceDN/>
              <w:bidi w:val="0"/>
              <w:spacing w:line="360" w:lineRule="exact"/>
              <w:ind w:left="0" w:leftChars="0"/>
              <w:jc w:val="center"/>
              <w:rPr>
                <w:rFonts w:hint="eastAsia" w:ascii="宋体" w:hAnsi="宋体" w:eastAsia="宋体" w:cs="宋体"/>
                <w:szCs w:val="21"/>
                <w:highlight w:val="none"/>
                <w:lang w:val="en-US" w:eastAsia="zh-CN"/>
              </w:rPr>
            </w:pPr>
            <w:r>
              <w:rPr>
                <w:rFonts w:hint="eastAsia" w:ascii="宋体" w:hAnsi="宋体" w:cs="宋体"/>
                <w:szCs w:val="21"/>
                <w:highlight w:val="none"/>
              </w:rPr>
              <w:t>月度处</w:t>
            </w:r>
            <w:r>
              <w:rPr>
                <w:rFonts w:hint="eastAsia" w:ascii="宋体" w:hAnsi="宋体" w:cs="宋体"/>
                <w:szCs w:val="21"/>
                <w:highlight w:val="none"/>
                <w:lang w:val="en-US" w:eastAsia="zh-CN"/>
              </w:rPr>
              <w:t>罚</w:t>
            </w:r>
            <w:r>
              <w:rPr>
                <w:rFonts w:hint="eastAsia" w:ascii="宋体" w:hAnsi="宋体" w:cs="宋体"/>
                <w:szCs w:val="21"/>
                <w:highlight w:val="none"/>
              </w:rPr>
              <w:t>达到</w:t>
            </w:r>
            <w:r>
              <w:rPr>
                <w:rFonts w:hint="eastAsia" w:ascii="仿宋" w:hAnsi="仿宋" w:eastAsia="仿宋" w:cs="仿宋"/>
                <w:szCs w:val="21"/>
                <w:highlight w:val="none"/>
              </w:rPr>
              <w:t>&gt;</w:t>
            </w:r>
            <w:r>
              <w:rPr>
                <w:rFonts w:hint="eastAsia" w:ascii="宋体" w:hAnsi="宋体" w:eastAsia="仿宋" w:cs="宋体"/>
                <w:szCs w:val="21"/>
                <w:highlight w:val="none"/>
                <w:lang w:val="en-US" w:eastAsia="zh-CN"/>
              </w:rPr>
              <w:t>1</w:t>
            </w:r>
            <w:r>
              <w:rPr>
                <w:rFonts w:hint="eastAsia" w:ascii="宋体" w:hAnsi="宋体" w:cs="宋体"/>
                <w:szCs w:val="21"/>
                <w:highlight w:val="none"/>
              </w:rPr>
              <w:t>次</w:t>
            </w:r>
            <w:r>
              <w:rPr>
                <w:rFonts w:hint="eastAsia" w:ascii="宋体" w:hAnsi="宋体" w:cs="宋体"/>
                <w:szCs w:val="21"/>
                <w:highlight w:val="none"/>
                <w:lang w:val="en-US" w:eastAsia="zh-CN"/>
              </w:rPr>
              <w:t>以上</w:t>
            </w:r>
          </w:p>
        </w:tc>
        <w:tc>
          <w:tcPr>
            <w:tcW w:w="2070" w:type="dxa"/>
            <w:noWrap w:val="0"/>
            <w:tcMar>
              <w:top w:w="150" w:type="dxa"/>
              <w:left w:w="240" w:type="dxa"/>
              <w:bottom w:w="150" w:type="dxa"/>
              <w:right w:w="240" w:type="dxa"/>
            </w:tcMar>
            <w:vAlign w:val="center"/>
          </w:tcPr>
          <w:p w14:paraId="57F16A34">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lang w:val="en-US" w:eastAsia="zh-CN"/>
              </w:rPr>
            </w:pPr>
          </w:p>
        </w:tc>
        <w:tc>
          <w:tcPr>
            <w:tcW w:w="1440" w:type="dxa"/>
            <w:noWrap w:val="0"/>
            <w:tcMar>
              <w:top w:w="150" w:type="dxa"/>
              <w:left w:w="240" w:type="dxa"/>
              <w:bottom w:w="150" w:type="dxa"/>
              <w:right w:w="0" w:type="dxa"/>
            </w:tcMar>
            <w:vAlign w:val="center"/>
          </w:tcPr>
          <w:p w14:paraId="07C1A7EC">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lang w:val="en-US" w:eastAsia="zh-CN"/>
              </w:rPr>
            </w:pPr>
            <w:r>
              <w:rPr>
                <w:rFonts w:hint="eastAsia" w:ascii="宋体" w:hAnsi="宋体" w:cs="宋体"/>
                <w:szCs w:val="21"/>
                <w:highlight w:val="none"/>
              </w:rPr>
              <w:t>扣当月维保金额1%</w:t>
            </w:r>
          </w:p>
        </w:tc>
      </w:tr>
      <w:tr w14:paraId="35976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245D4640">
            <w:pPr>
              <w:keepNext w:val="0"/>
              <w:keepLines w:val="0"/>
              <w:pageBreakBefore w:val="0"/>
              <w:kinsoku/>
              <w:overflowPunct/>
              <w:topLinePunct w:val="0"/>
              <w:autoSpaceDE/>
              <w:autoSpaceDN/>
              <w:bidi w:val="0"/>
              <w:spacing w:line="360" w:lineRule="exact"/>
              <w:ind w:left="0" w:leftChars="0" w:firstLine="420" w:firstLineChars="200"/>
              <w:jc w:val="center"/>
              <w:rPr>
                <w:rFonts w:hint="default" w:ascii="宋体" w:hAnsi="宋体" w:cs="宋体"/>
                <w:szCs w:val="21"/>
                <w:highlight w:val="none"/>
                <w:lang w:val="en-US" w:eastAsia="zh-CN"/>
              </w:rPr>
            </w:pPr>
            <w:r>
              <w:rPr>
                <w:rFonts w:hint="eastAsia" w:ascii="宋体" w:hAnsi="宋体" w:cs="宋体"/>
                <w:szCs w:val="21"/>
                <w:highlight w:val="none"/>
                <w:lang w:val="en-US" w:eastAsia="zh-CN"/>
              </w:rPr>
              <w:t>41</w:t>
            </w:r>
          </w:p>
        </w:tc>
        <w:tc>
          <w:tcPr>
            <w:tcW w:w="4346" w:type="dxa"/>
            <w:noWrap w:val="0"/>
            <w:tcMar>
              <w:top w:w="150" w:type="dxa"/>
              <w:left w:w="240" w:type="dxa"/>
              <w:bottom w:w="150" w:type="dxa"/>
              <w:right w:w="240" w:type="dxa"/>
            </w:tcMar>
            <w:vAlign w:val="center"/>
          </w:tcPr>
          <w:p w14:paraId="6BA37AB1">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ascii="Segoe UI" w:hAnsi="Segoe UI" w:eastAsia="Segoe UI" w:cs="Segoe UI"/>
                <w:i w:val="0"/>
                <w:iCs w:val="0"/>
                <w:caps w:val="0"/>
                <w:color w:val="0F1115"/>
                <w:spacing w:val="0"/>
                <w:sz w:val="22"/>
                <w:szCs w:val="22"/>
                <w:highlight w:val="none"/>
                <w:shd w:val="clear" w:color="auto" w:fill="FFFFFF"/>
              </w:rPr>
              <w:t>连续3个月</w:t>
            </w:r>
            <w:r>
              <w:rPr>
                <w:rFonts w:hint="eastAsia" w:ascii="Segoe UI" w:hAnsi="Segoe UI" w:cs="Segoe UI"/>
                <w:i w:val="0"/>
                <w:iCs w:val="0"/>
                <w:caps w:val="0"/>
                <w:color w:val="0F1115"/>
                <w:spacing w:val="0"/>
                <w:sz w:val="22"/>
                <w:szCs w:val="22"/>
                <w:highlight w:val="none"/>
                <w:shd w:val="clear" w:color="auto" w:fill="FFFFFF"/>
                <w:lang w:val="en-US" w:eastAsia="zh-CN"/>
              </w:rPr>
              <w:t>累计</w:t>
            </w:r>
            <w:r>
              <w:rPr>
                <w:rFonts w:ascii="Segoe UI" w:hAnsi="Segoe UI" w:eastAsia="Segoe UI" w:cs="Segoe UI"/>
                <w:i w:val="0"/>
                <w:iCs w:val="0"/>
                <w:caps w:val="0"/>
                <w:color w:val="0F1115"/>
                <w:spacing w:val="0"/>
                <w:sz w:val="22"/>
                <w:szCs w:val="22"/>
                <w:highlight w:val="none"/>
                <w:shd w:val="clear" w:color="auto" w:fill="FFFFFF"/>
              </w:rPr>
              <w:t>处</w:t>
            </w:r>
            <w:r>
              <w:rPr>
                <w:rFonts w:hint="eastAsia" w:ascii="Segoe UI" w:hAnsi="Segoe UI" w:cs="Segoe UI"/>
                <w:i w:val="0"/>
                <w:iCs w:val="0"/>
                <w:caps w:val="0"/>
                <w:color w:val="0F1115"/>
                <w:spacing w:val="0"/>
                <w:sz w:val="22"/>
                <w:szCs w:val="22"/>
                <w:highlight w:val="none"/>
                <w:shd w:val="clear" w:color="auto" w:fill="FFFFFF"/>
                <w:lang w:val="en-US" w:eastAsia="zh-CN"/>
              </w:rPr>
              <w:t>罚次数</w:t>
            </w:r>
            <w:r>
              <w:rPr>
                <w:rFonts w:ascii="Segoe UI" w:hAnsi="Segoe UI" w:eastAsia="Segoe UI" w:cs="Segoe UI"/>
                <w:i w:val="0"/>
                <w:iCs w:val="0"/>
                <w:caps w:val="0"/>
                <w:color w:val="0F1115"/>
                <w:spacing w:val="0"/>
                <w:sz w:val="22"/>
                <w:szCs w:val="22"/>
                <w:highlight w:val="none"/>
                <w:shd w:val="clear" w:color="auto" w:fill="FFFFFF"/>
              </w:rPr>
              <w:t>≥5次</w:t>
            </w:r>
          </w:p>
        </w:tc>
        <w:tc>
          <w:tcPr>
            <w:tcW w:w="2070" w:type="dxa"/>
            <w:noWrap w:val="0"/>
            <w:tcMar>
              <w:top w:w="150" w:type="dxa"/>
              <w:left w:w="240" w:type="dxa"/>
              <w:bottom w:w="150" w:type="dxa"/>
              <w:right w:w="240" w:type="dxa"/>
            </w:tcMar>
            <w:vAlign w:val="center"/>
          </w:tcPr>
          <w:p w14:paraId="608B39F3">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p>
        </w:tc>
        <w:tc>
          <w:tcPr>
            <w:tcW w:w="1440" w:type="dxa"/>
            <w:noWrap w:val="0"/>
            <w:tcMar>
              <w:top w:w="150" w:type="dxa"/>
              <w:left w:w="240" w:type="dxa"/>
              <w:bottom w:w="150" w:type="dxa"/>
              <w:right w:w="0" w:type="dxa"/>
            </w:tcMar>
            <w:vAlign w:val="center"/>
          </w:tcPr>
          <w:p w14:paraId="7E2E3EE2">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ascii="Segoe UI" w:hAnsi="Segoe UI" w:eastAsia="Segoe UI" w:cs="Segoe UI"/>
                <w:i w:val="0"/>
                <w:iCs w:val="0"/>
                <w:caps w:val="0"/>
                <w:color w:val="0F1115"/>
                <w:spacing w:val="0"/>
                <w:sz w:val="22"/>
                <w:szCs w:val="22"/>
                <w:highlight w:val="none"/>
                <w:shd w:val="clear" w:color="auto" w:fill="FFFFFF"/>
              </w:rPr>
              <w:t>医院有权单方面终止合同</w:t>
            </w:r>
          </w:p>
        </w:tc>
      </w:tr>
    </w:tbl>
    <w:p w14:paraId="3F2A2B3C">
      <w:pPr>
        <w:keepNext w:val="0"/>
        <w:keepLines w:val="0"/>
        <w:pageBreakBefore w:val="0"/>
        <w:kinsoku/>
        <w:wordWrap/>
        <w:overflowPunct/>
        <w:topLinePunct w:val="0"/>
        <w:autoSpaceDE/>
        <w:autoSpaceDN/>
        <w:bidi w:val="0"/>
        <w:spacing w:beforeAutospacing="0" w:afterAutospacing="0" w:line="360" w:lineRule="exact"/>
        <w:ind w:left="0" w:leftChars="0" w:firstLine="420" w:firstLineChars="200"/>
        <w:jc w:val="both"/>
        <w:textAlignment w:val="auto"/>
        <w:rPr>
          <w:rFonts w:hint="eastAsia" w:ascii="宋体" w:hAnsi="宋体" w:cs="宋体"/>
          <w:szCs w:val="21"/>
          <w:highlight w:val="none"/>
        </w:rPr>
      </w:pPr>
      <w:r>
        <w:rPr>
          <w:rFonts w:hint="eastAsia" w:ascii="宋体" w:hAnsi="宋体" w:cs="宋体"/>
          <w:szCs w:val="21"/>
          <w:highlight w:val="none"/>
        </w:rPr>
        <w:t>备注：</w:t>
      </w:r>
    </w:p>
    <w:p w14:paraId="56FB7602">
      <w:pPr>
        <w:keepNext w:val="0"/>
        <w:keepLines w:val="0"/>
        <w:pageBreakBefore w:val="0"/>
        <w:kinsoku/>
        <w:wordWrap/>
        <w:overflowPunct/>
        <w:topLinePunct w:val="0"/>
        <w:autoSpaceDE/>
        <w:autoSpaceDN/>
        <w:bidi w:val="0"/>
        <w:spacing w:beforeAutospacing="0" w:afterAutospacing="0" w:line="360" w:lineRule="exact"/>
        <w:ind w:left="0" w:leftChars="0" w:firstLine="420" w:firstLineChars="200"/>
        <w:textAlignment w:val="auto"/>
        <w:rPr>
          <w:rFonts w:hint="eastAsia" w:ascii="宋体" w:hAnsi="宋体" w:cs="宋体"/>
          <w:szCs w:val="21"/>
          <w:highlight w:val="none"/>
        </w:rPr>
      </w:pPr>
      <w:r>
        <w:rPr>
          <w:rFonts w:hint="eastAsia" w:ascii="宋体" w:hAnsi="宋体" w:cs="宋体"/>
          <w:szCs w:val="21"/>
          <w:highlight w:val="none"/>
        </w:rPr>
        <w:t>采购人成立考核小组，按照《服务质量考核表》进行评价考核。</w:t>
      </w:r>
    </w:p>
    <w:p w14:paraId="41DD0393">
      <w:pPr>
        <w:keepNext w:val="0"/>
        <w:keepLines w:val="0"/>
        <w:pageBreakBefore w:val="0"/>
        <w:kinsoku/>
        <w:wordWrap/>
        <w:overflowPunct/>
        <w:topLinePunct w:val="0"/>
        <w:autoSpaceDE/>
        <w:autoSpaceDN/>
        <w:bidi w:val="0"/>
        <w:spacing w:beforeAutospacing="0" w:afterAutospacing="0" w:line="360" w:lineRule="exact"/>
        <w:ind w:left="0" w:leftChars="0" w:firstLine="422" w:firstLineChars="200"/>
        <w:textAlignment w:val="auto"/>
        <w:rPr>
          <w:rFonts w:hint="eastAsia" w:ascii="宋体" w:hAnsi="宋体" w:cs="宋体"/>
          <w:b/>
          <w:szCs w:val="21"/>
          <w:highlight w:val="none"/>
          <w:lang w:eastAsia="zh-CN"/>
        </w:rPr>
      </w:pPr>
      <w:r>
        <w:rPr>
          <w:rFonts w:hint="eastAsia" w:ascii="宋体" w:hAnsi="宋体" w:cs="宋体"/>
          <w:b/>
          <w:szCs w:val="21"/>
          <w:highlight w:val="none"/>
          <w:lang w:eastAsia="zh-CN"/>
        </w:rPr>
        <w:t>（</w:t>
      </w:r>
      <w:r>
        <w:rPr>
          <w:rFonts w:hint="eastAsia" w:ascii="宋体" w:hAnsi="宋体" w:cs="宋体"/>
          <w:b/>
          <w:szCs w:val="21"/>
          <w:highlight w:val="none"/>
          <w:lang w:val="en-US" w:eastAsia="zh-CN"/>
        </w:rPr>
        <w:t>七</w:t>
      </w:r>
      <w:r>
        <w:rPr>
          <w:rFonts w:hint="eastAsia" w:ascii="宋体" w:hAnsi="宋体" w:cs="宋体"/>
          <w:b/>
          <w:szCs w:val="21"/>
          <w:highlight w:val="none"/>
          <w:lang w:eastAsia="zh-CN"/>
        </w:rPr>
        <w:t>）安全责任要求 （提供承诺函）</w:t>
      </w:r>
    </w:p>
    <w:p w14:paraId="58334E61">
      <w:pPr>
        <w:keepNext w:val="0"/>
        <w:keepLines w:val="0"/>
        <w:pageBreakBefore w:val="0"/>
        <w:tabs>
          <w:tab w:val="left" w:pos="0"/>
        </w:tabs>
        <w:kinsoku/>
        <w:wordWrap/>
        <w:overflowPunct/>
        <w:topLinePunct w:val="0"/>
        <w:autoSpaceDE/>
        <w:autoSpaceDN/>
        <w:bidi w:val="0"/>
        <w:adjustRightInd w:val="0"/>
        <w:snapToGrid w:val="0"/>
        <w:spacing w:beforeAutospacing="0" w:afterAutospacing="0" w:line="360" w:lineRule="exact"/>
        <w:ind w:left="0" w:leftChars="0" w:firstLine="420" w:firstLineChars="200"/>
        <w:textAlignment w:val="auto"/>
        <w:rPr>
          <w:rFonts w:hint="eastAsia"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w:t>
      </w:r>
      <w:r>
        <w:rPr>
          <w:rFonts w:hint="eastAsia" w:ascii="宋体" w:hAnsi="宋体"/>
          <w:szCs w:val="21"/>
          <w:highlight w:val="none"/>
        </w:rPr>
        <w:t>投标人提供维保服务期间，根据国家相关法律法规及采购人的安全生产要求，落实安全生产工作，杜绝安全事故的发生。</w:t>
      </w:r>
    </w:p>
    <w:p w14:paraId="2E6D72E9">
      <w:pPr>
        <w:keepNext w:val="0"/>
        <w:keepLines w:val="0"/>
        <w:pageBreakBefore w:val="0"/>
        <w:tabs>
          <w:tab w:val="left" w:pos="0"/>
        </w:tabs>
        <w:kinsoku/>
        <w:wordWrap/>
        <w:overflowPunct/>
        <w:topLinePunct w:val="0"/>
        <w:autoSpaceDE/>
        <w:autoSpaceDN/>
        <w:bidi w:val="0"/>
        <w:adjustRightInd w:val="0"/>
        <w:snapToGrid w:val="0"/>
        <w:spacing w:beforeAutospacing="0" w:afterAutospacing="0" w:line="360" w:lineRule="exact"/>
        <w:ind w:left="0" w:leftChars="0" w:firstLine="420" w:firstLineChars="200"/>
        <w:textAlignment w:val="auto"/>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w:t>
      </w:r>
      <w:r>
        <w:rPr>
          <w:rFonts w:hint="eastAsia" w:ascii="宋体" w:hAnsi="宋体"/>
          <w:szCs w:val="21"/>
          <w:highlight w:val="none"/>
        </w:rPr>
        <w:t>投标人提供维保服务期间，负责所有驻场人员的人身财产安全，并承担所有的法律及赔偿责任。</w:t>
      </w:r>
    </w:p>
    <w:p w14:paraId="5C05EB2B">
      <w:pPr>
        <w:keepNext w:val="0"/>
        <w:keepLines w:val="0"/>
        <w:pageBreakBefore w:val="0"/>
        <w:tabs>
          <w:tab w:val="left" w:pos="0"/>
        </w:tabs>
        <w:kinsoku/>
        <w:wordWrap/>
        <w:overflowPunct/>
        <w:topLinePunct w:val="0"/>
        <w:autoSpaceDE/>
        <w:autoSpaceDN/>
        <w:bidi w:val="0"/>
        <w:adjustRightInd w:val="0"/>
        <w:snapToGrid w:val="0"/>
        <w:spacing w:beforeAutospacing="0" w:afterAutospacing="0" w:line="360" w:lineRule="exact"/>
        <w:ind w:left="0" w:leftChars="0" w:firstLine="420" w:firstLineChars="200"/>
        <w:textAlignment w:val="auto"/>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w:t>
      </w:r>
      <w:r>
        <w:rPr>
          <w:rFonts w:hint="eastAsia" w:ascii="宋体" w:hAnsi="宋体"/>
          <w:szCs w:val="21"/>
          <w:highlight w:val="none"/>
        </w:rPr>
        <w:t>投标人如违反国家相关法规，与聘用人员发生纠纷，均由投标人负责调解与处理；如因此影响采购人正常工作，由投标人承担相应的法律及赔偿责任。</w:t>
      </w:r>
    </w:p>
    <w:p w14:paraId="243A4241">
      <w:pPr>
        <w:keepNext w:val="0"/>
        <w:keepLines w:val="0"/>
        <w:pageBreakBefore w:val="0"/>
        <w:tabs>
          <w:tab w:val="left" w:pos="0"/>
        </w:tabs>
        <w:kinsoku/>
        <w:wordWrap/>
        <w:overflowPunct/>
        <w:topLinePunct w:val="0"/>
        <w:autoSpaceDE/>
        <w:autoSpaceDN/>
        <w:bidi w:val="0"/>
        <w:adjustRightInd w:val="0"/>
        <w:snapToGrid w:val="0"/>
        <w:spacing w:beforeAutospacing="0" w:afterAutospacing="0" w:line="360" w:lineRule="exact"/>
        <w:ind w:left="0" w:leftChars="0" w:firstLine="420" w:firstLineChars="200"/>
        <w:textAlignment w:val="auto"/>
        <w:rPr>
          <w:rFonts w:hint="eastAsia" w:ascii="宋体" w:hAnsi="宋体"/>
          <w:szCs w:val="21"/>
          <w:highlight w:val="none"/>
        </w:rPr>
      </w:pPr>
      <w:r>
        <w:rPr>
          <w:rFonts w:hint="eastAsia" w:ascii="宋体" w:hAnsi="宋体"/>
          <w:szCs w:val="21"/>
          <w:highlight w:val="none"/>
        </w:rPr>
        <w:t>4</w:t>
      </w:r>
      <w:r>
        <w:rPr>
          <w:rFonts w:hint="eastAsia" w:ascii="宋体" w:hAnsi="宋体"/>
          <w:szCs w:val="21"/>
          <w:highlight w:val="none"/>
          <w:lang w:val="en-US" w:eastAsia="zh-CN"/>
        </w:rPr>
        <w:t>.</w:t>
      </w:r>
      <w:r>
        <w:rPr>
          <w:rFonts w:hint="eastAsia" w:ascii="宋体" w:hAnsi="宋体"/>
          <w:szCs w:val="21"/>
          <w:highlight w:val="none"/>
        </w:rPr>
        <w:t>因投标人对设备安全巡查不到位、维护不到位、维修、提供的配件有质量问题等导致采购人损失(包括但不限于物品损坏、人员伤亡、引起的误诊) ，由投标人承担相关责任。</w:t>
      </w:r>
    </w:p>
    <w:p w14:paraId="7430D6A8">
      <w:pPr>
        <w:keepNext w:val="0"/>
        <w:keepLines w:val="0"/>
        <w:pageBreakBefore w:val="0"/>
        <w:kinsoku/>
        <w:wordWrap/>
        <w:overflowPunct/>
        <w:topLinePunct w:val="0"/>
        <w:autoSpaceDE/>
        <w:autoSpaceDN/>
        <w:bidi w:val="0"/>
        <w:spacing w:beforeAutospacing="0" w:afterAutospacing="0" w:line="360" w:lineRule="exact"/>
        <w:ind w:left="0" w:leftChars="0" w:firstLine="422" w:firstLineChars="200"/>
        <w:textAlignment w:val="auto"/>
        <w:rPr>
          <w:rFonts w:hint="eastAsia" w:ascii="宋体" w:hAnsi="宋体" w:cs="宋体"/>
          <w:b/>
          <w:szCs w:val="21"/>
          <w:highlight w:val="none"/>
          <w:lang w:val="en-US" w:eastAsia="zh-CN"/>
        </w:rPr>
      </w:pPr>
      <w:r>
        <w:rPr>
          <w:rFonts w:hint="eastAsia" w:ascii="宋体" w:hAnsi="宋体" w:cs="宋体"/>
          <w:b/>
          <w:szCs w:val="21"/>
          <w:highlight w:val="none"/>
          <w:lang w:val="en-US" w:eastAsia="zh-CN"/>
        </w:rPr>
        <w:t>（八）终止合同条款 （提供承诺函）</w:t>
      </w:r>
    </w:p>
    <w:p w14:paraId="2EB8A9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firstLine="420" w:firstLineChars="200"/>
        <w:jc w:val="left"/>
        <w:textAlignment w:val="auto"/>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若出现以下情况，采购人可立即终止合同，必要时追究法律责任，所造成全部损失，由投标人负责。</w:t>
      </w:r>
    </w:p>
    <w:p w14:paraId="062D809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firstLine="420" w:firstLineChars="200"/>
        <w:jc w:val="left"/>
        <w:textAlignment w:val="auto"/>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1.对采购人提出的问题，拒不整改，影响极其恶劣者；</w:t>
      </w:r>
    </w:p>
    <w:p w14:paraId="30B04E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firstLine="420" w:firstLineChars="200"/>
        <w:jc w:val="left"/>
        <w:textAlignment w:val="auto"/>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2.由于维修不及时、维修保养不当、配件质量和合规性出问题，造成医疗纠纷、重大经济损失及严重不良影响的；</w:t>
      </w:r>
    </w:p>
    <w:p w14:paraId="3E9280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firstLine="420" w:firstLineChars="200"/>
        <w:jc w:val="left"/>
        <w:textAlignment w:val="auto"/>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3.医疗设备使用科室整体满意度评价&lt;85%；</w:t>
      </w:r>
    </w:p>
    <w:p w14:paraId="25D6FB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firstLine="420" w:firstLineChars="200"/>
        <w:jc w:val="left"/>
        <w:textAlignment w:val="auto"/>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4.维保服务完成情况与要求相差巨大；</w:t>
      </w:r>
    </w:p>
    <w:p w14:paraId="40A803E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firstLine="420" w:firstLineChars="200"/>
        <w:jc w:val="left"/>
        <w:textAlignment w:val="auto"/>
        <w:rPr>
          <w:rFonts w:hint="eastAsia" w:ascii="宋体" w:hAnsi="宋体" w:eastAsia="宋体" w:cs="宋体"/>
          <w:b/>
          <w:kern w:val="0"/>
          <w:sz w:val="24"/>
          <w:szCs w:val="21"/>
          <w:highlight w:val="none"/>
          <w:lang w:val="en-US" w:eastAsia="zh-CN" w:bidi="ar"/>
        </w:rPr>
      </w:pPr>
      <w:r>
        <w:rPr>
          <w:rFonts w:hint="eastAsia" w:ascii="宋体" w:hAnsi="宋体" w:eastAsia="宋体" w:cs="Times New Roman"/>
          <w:kern w:val="2"/>
          <w:sz w:val="21"/>
          <w:szCs w:val="21"/>
          <w:highlight w:val="none"/>
          <w:lang w:val="en-US" w:eastAsia="zh-CN" w:bidi="ar-SA"/>
        </w:rPr>
        <w:t>5.拒不服从法律法规和医院规章制度。</w:t>
      </w:r>
    </w:p>
    <w:p w14:paraId="094F1606">
      <w:pPr>
        <w:spacing w:line="360" w:lineRule="exact"/>
        <w:rPr>
          <w:highlight w:val="none"/>
        </w:rPr>
      </w:pPr>
      <w:r>
        <w:rPr>
          <w:rFonts w:hint="eastAsia" w:ascii="宋体" w:hAnsi="宋体" w:cs="宋体"/>
          <w:b/>
          <w:bCs/>
          <w:color w:val="000000"/>
          <w:kern w:val="0"/>
          <w:szCs w:val="21"/>
          <w:highlight w:val="none"/>
          <w:lang w:bidi="ar"/>
        </w:rPr>
        <w:br w:type="page"/>
      </w:r>
      <w:r>
        <w:rPr>
          <w:rFonts w:hint="eastAsia" w:ascii="宋体" w:hAnsi="宋体" w:cs="宋体"/>
          <w:b/>
          <w:szCs w:val="21"/>
          <w:highlight w:val="none"/>
        </w:rPr>
        <w:t>附件《郴州市第二人民医院</w:t>
      </w:r>
      <w:r>
        <w:rPr>
          <w:rFonts w:hint="eastAsia" w:ascii="宋体" w:hAnsi="宋体" w:cs="宋体"/>
          <w:b/>
          <w:szCs w:val="21"/>
          <w:highlight w:val="none"/>
          <w:lang w:val="en-US" w:eastAsia="zh-CN"/>
        </w:rPr>
        <w:t>日立CT等</w:t>
      </w:r>
      <w:r>
        <w:rPr>
          <w:rFonts w:hint="eastAsia" w:ascii="宋体" w:hAnsi="宋体" w:cs="宋体"/>
          <w:b/>
          <w:szCs w:val="21"/>
          <w:highlight w:val="none"/>
        </w:rPr>
        <w:t>维保设备清单》设备分类资产约</w:t>
      </w:r>
      <w:r>
        <w:rPr>
          <w:rFonts w:hint="eastAsia" w:ascii="宋体" w:hAnsi="宋体" w:cs="宋体"/>
          <w:b/>
          <w:szCs w:val="21"/>
          <w:highlight w:val="none"/>
          <w:lang w:val="en-US" w:eastAsia="zh-CN"/>
        </w:rPr>
        <w:t>4793.6458万</w:t>
      </w:r>
      <w:r>
        <w:rPr>
          <w:rFonts w:hint="eastAsia" w:ascii="宋体" w:hAnsi="宋体" w:cs="宋体"/>
          <w:b/>
          <w:szCs w:val="21"/>
          <w:highlight w:val="none"/>
        </w:rPr>
        <w:t>元（本清单根据</w:t>
      </w:r>
      <w:r>
        <w:rPr>
          <w:rFonts w:ascii="宋体" w:hAnsi="宋体" w:cs="宋体"/>
          <w:b/>
          <w:szCs w:val="21"/>
          <w:highlight w:val="none"/>
        </w:rPr>
        <w:t>医院</w:t>
      </w:r>
      <w:r>
        <w:rPr>
          <w:rFonts w:hint="eastAsia" w:ascii="宋体" w:hAnsi="宋体" w:cs="宋体"/>
          <w:b/>
          <w:szCs w:val="21"/>
          <w:highlight w:val="none"/>
        </w:rPr>
        <w:t>每年设备固定资产</w:t>
      </w:r>
      <w:r>
        <w:rPr>
          <w:rFonts w:ascii="宋体" w:hAnsi="宋体" w:cs="宋体"/>
          <w:b/>
          <w:szCs w:val="21"/>
          <w:highlight w:val="none"/>
        </w:rPr>
        <w:t>变化调整</w:t>
      </w:r>
      <w:r>
        <w:rPr>
          <w:rFonts w:hint="eastAsia" w:ascii="宋体" w:hAnsi="宋体" w:cs="宋体"/>
          <w:b/>
          <w:szCs w:val="21"/>
          <w:highlight w:val="none"/>
        </w:rPr>
        <w:t>）</w:t>
      </w:r>
    </w:p>
    <w:tbl>
      <w:tblPr>
        <w:tblStyle w:val="45"/>
        <w:tblW w:w="996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90"/>
        <w:gridCol w:w="2550"/>
        <w:gridCol w:w="2106"/>
        <w:gridCol w:w="3495"/>
        <w:gridCol w:w="1221"/>
      </w:tblGrid>
      <w:tr w14:paraId="432C4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3495" w:type="dxa"/>
            <w:gridSpan w:val="5"/>
            <w:tcBorders>
              <w:top w:val="nil"/>
              <w:left w:val="nil"/>
              <w:bottom w:val="single" w:color="000000" w:sz="4" w:space="0"/>
              <w:right w:val="nil"/>
            </w:tcBorders>
            <w:noWrap/>
            <w:vAlign w:val="center"/>
          </w:tcPr>
          <w:p w14:paraId="4B6636E4">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36"/>
                <w:szCs w:val="36"/>
                <w:highlight w:val="none"/>
                <w:u w:val="none"/>
                <w:lang w:val="en-US"/>
              </w:rPr>
            </w:pPr>
            <w:r>
              <w:rPr>
                <w:rFonts w:hint="eastAsia" w:ascii="宋体" w:hAnsi="宋体" w:eastAsia="宋体" w:cs="宋体"/>
                <w:i w:val="0"/>
                <w:iCs w:val="0"/>
                <w:color w:val="000000"/>
                <w:kern w:val="0"/>
                <w:sz w:val="36"/>
                <w:szCs w:val="36"/>
                <w:highlight w:val="none"/>
                <w:u w:val="none"/>
                <w:lang w:val="en-US" w:eastAsia="zh-CN" w:bidi="ar"/>
              </w:rPr>
              <w:t>郴州市第二人民医院</w:t>
            </w:r>
            <w:r>
              <w:rPr>
                <w:rFonts w:hint="eastAsia" w:ascii="宋体" w:hAnsi="宋体" w:cs="宋体"/>
                <w:i w:val="0"/>
                <w:iCs w:val="0"/>
                <w:color w:val="000000"/>
                <w:kern w:val="0"/>
                <w:sz w:val="36"/>
                <w:szCs w:val="36"/>
                <w:highlight w:val="none"/>
                <w:u w:val="none"/>
                <w:lang w:val="en-US" w:eastAsia="zh-CN" w:bidi="ar"/>
              </w:rPr>
              <w:t>日立</w:t>
            </w:r>
            <w:r>
              <w:rPr>
                <w:rFonts w:hint="eastAsia" w:ascii="宋体" w:hAnsi="宋体" w:eastAsia="宋体" w:cs="宋体"/>
                <w:i w:val="0"/>
                <w:iCs w:val="0"/>
                <w:color w:val="000000"/>
                <w:kern w:val="0"/>
                <w:sz w:val="36"/>
                <w:szCs w:val="36"/>
                <w:highlight w:val="none"/>
                <w:u w:val="none"/>
                <w:lang w:val="en-US" w:eastAsia="zh-CN" w:bidi="ar"/>
              </w:rPr>
              <w:t>CT等</w:t>
            </w:r>
            <w:r>
              <w:rPr>
                <w:rFonts w:hint="eastAsia" w:ascii="宋体" w:hAnsi="宋体" w:cs="宋体"/>
                <w:i w:val="0"/>
                <w:iCs w:val="0"/>
                <w:color w:val="000000"/>
                <w:kern w:val="0"/>
                <w:sz w:val="36"/>
                <w:szCs w:val="36"/>
                <w:highlight w:val="none"/>
                <w:u w:val="none"/>
                <w:lang w:val="en-US" w:eastAsia="zh-CN" w:bidi="ar"/>
              </w:rPr>
              <w:t>维保</w:t>
            </w:r>
            <w:r>
              <w:rPr>
                <w:rFonts w:hint="eastAsia" w:ascii="宋体" w:hAnsi="宋体" w:eastAsia="宋体" w:cs="宋体"/>
                <w:i w:val="0"/>
                <w:iCs w:val="0"/>
                <w:color w:val="000000"/>
                <w:kern w:val="0"/>
                <w:sz w:val="36"/>
                <w:szCs w:val="36"/>
                <w:highlight w:val="none"/>
                <w:u w:val="none"/>
                <w:lang w:val="en-US" w:eastAsia="zh-CN" w:bidi="ar"/>
              </w:rPr>
              <w:t>设备</w:t>
            </w:r>
            <w:r>
              <w:rPr>
                <w:rFonts w:hint="eastAsia" w:ascii="宋体" w:hAnsi="宋体" w:cs="宋体"/>
                <w:i w:val="0"/>
                <w:iCs w:val="0"/>
                <w:color w:val="000000"/>
                <w:kern w:val="0"/>
                <w:sz w:val="36"/>
                <w:szCs w:val="36"/>
                <w:highlight w:val="none"/>
                <w:u w:val="none"/>
                <w:lang w:val="en-US" w:eastAsia="zh-CN" w:bidi="ar"/>
              </w:rPr>
              <w:t>清单</w:t>
            </w:r>
          </w:p>
        </w:tc>
      </w:tr>
      <w:tr w14:paraId="2BE10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E19E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196D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设备名称</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BB988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型号规格</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F01AA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生产厂家</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BE340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购买日期</w:t>
            </w:r>
          </w:p>
        </w:tc>
      </w:tr>
      <w:tr w14:paraId="0BF79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BE41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1469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X射线计算机断层摄影设备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2699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Supria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9737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株式会社日立医疗器械</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E585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2020/2/7</w:t>
            </w:r>
          </w:p>
        </w:tc>
      </w:tr>
      <w:tr w14:paraId="13582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EAB7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0FC1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6分钟步行实验系统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0DEF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NWT6-1</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0C98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深圳市中瑞奇电子科技有限公司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58DC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2020/4/7</w:t>
            </w:r>
          </w:p>
        </w:tc>
      </w:tr>
      <w:tr w14:paraId="77BE4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EA3E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1CB4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Huana220系列多频振动治疗仪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168D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Huana220LDX</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7D89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无锡华纳医疗科技有限公司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7EC0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2016/11/18</w:t>
            </w:r>
          </w:p>
        </w:tc>
      </w:tr>
      <w:tr w14:paraId="14B1E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EBDE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220F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ICG清除率检查仪(肝功能储备分析仪)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979EA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8A61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新生电子株式会社</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7352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09BEC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E81B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974E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ME4-系列血液透析用制水设备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8EBA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ME4-1500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40A7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武汉启诚生物技术有限公司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1CF8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2020/6/28</w:t>
            </w:r>
          </w:p>
        </w:tc>
      </w:tr>
      <w:tr w14:paraId="7C869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9E93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C647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QXG-左右心功能同步检测分析仪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0655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VIB</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839F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杭州高联医疗设备厂</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BCF72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2019/8/8</w:t>
            </w:r>
          </w:p>
        </w:tc>
      </w:tr>
      <w:tr w14:paraId="67726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0D282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6C0B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便携式肺功能检测仪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EAF6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KH2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797D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江苏苏云医疗器材有限公司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F715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2020/4/7</w:t>
            </w:r>
          </w:p>
        </w:tc>
      </w:tr>
      <w:tr w14:paraId="7557C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8EAC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E408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便携式肺功能检测仪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B65E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x1</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980D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赛客(厦门)医疗器械有限公司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2D03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2020/10/16</w:t>
            </w:r>
          </w:p>
        </w:tc>
      </w:tr>
      <w:tr w14:paraId="0C68E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B651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A85C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34D5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2246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AF2B9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1690C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8687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22A2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C7B5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F2A4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ADFC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601FD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79C4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B748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B4DF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03F80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CAA9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5B722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2FC4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23E6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7AEA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1CCA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E4D66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376AF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CB55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2C8A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9F8A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8CC0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E953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66F04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6C00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D94D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0AC4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C4EE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E434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2662C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6E83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68D3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D4ED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EBD2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46C8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3A6CA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DF01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2EEE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E62B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F613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C604E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5B9CA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DB57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212B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0CAC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2E59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0CE8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1821B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0CAD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ED98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3494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84B4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80D6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62DE9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E652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8CB33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1A3A9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FCE01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5421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331E6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F98B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E6E7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8500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4474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B77C8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1A35B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0BA5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946D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29E36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1B51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EB9A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5CC49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5FC5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1615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91B2F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6E77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1E587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0DB74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9E7B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366D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D369E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138D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3E00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2E400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0777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5D11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A267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FEC2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8CC6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2016/10/14</w:t>
            </w:r>
          </w:p>
        </w:tc>
      </w:tr>
      <w:tr w14:paraId="3167C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5E12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9B3E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B11A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BB93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E369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2016/10/14</w:t>
            </w:r>
          </w:p>
        </w:tc>
      </w:tr>
      <w:tr w14:paraId="5F88E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3772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EA41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D8DD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59BE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FB079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2016/10/14</w:t>
            </w:r>
          </w:p>
        </w:tc>
      </w:tr>
      <w:tr w14:paraId="463A5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EC6F3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3C03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6AA5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EEC9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93EBA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2017/3/30</w:t>
            </w:r>
          </w:p>
        </w:tc>
      </w:tr>
      <w:tr w14:paraId="5506B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4DB7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A941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D7A0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99F0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3732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2017/4/2</w:t>
            </w:r>
          </w:p>
        </w:tc>
      </w:tr>
      <w:tr w14:paraId="60E56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0351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E2379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7EE87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FA16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CBDD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2017/5/10</w:t>
            </w:r>
          </w:p>
        </w:tc>
      </w:tr>
      <w:tr w14:paraId="37890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F07A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2BE0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7B99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5C5F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24E8B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2017/8/2</w:t>
            </w:r>
          </w:p>
        </w:tc>
      </w:tr>
      <w:tr w14:paraId="60E66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F784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9DBA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18E8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9C459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F87C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2018/1/5</w:t>
            </w:r>
          </w:p>
        </w:tc>
      </w:tr>
      <w:tr w14:paraId="6BC57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BE55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1D1E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875A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7B19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487B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2018/6/2</w:t>
            </w:r>
          </w:p>
        </w:tc>
      </w:tr>
      <w:tr w14:paraId="56832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FC26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C2A2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0A02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9FFE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86C2A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2018/7/2</w:t>
            </w:r>
          </w:p>
        </w:tc>
      </w:tr>
      <w:tr w14:paraId="20385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6B9E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9CD7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E98E4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7F28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9AC5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2019/1/2</w:t>
            </w:r>
          </w:p>
        </w:tc>
      </w:tr>
      <w:tr w14:paraId="5B052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5A47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FBE9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8FFF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0FC9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281C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2019/4/2</w:t>
            </w:r>
          </w:p>
        </w:tc>
      </w:tr>
      <w:tr w14:paraId="106AA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919E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B575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C6CB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DCE5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E2DE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2019/4/2</w:t>
            </w:r>
          </w:p>
        </w:tc>
      </w:tr>
      <w:tr w14:paraId="09838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4F00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2B14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BFFDD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4B475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26CC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7AA44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EC17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558E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803C2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3A8F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3FE5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6A7D2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D503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50B5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00D2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4CB6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B620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269EB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AD36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0A17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D215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5D52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4124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72BE3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A99C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A98B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8FEFD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F87E7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6494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2016/10/14</w:t>
            </w:r>
          </w:p>
        </w:tc>
      </w:tr>
      <w:tr w14:paraId="2CDD8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7756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5008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9822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9BC9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38F9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7FB9B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45D6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281B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8068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2916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D8D5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5401D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2FBE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D408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8D490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1414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2972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3A5B4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37BF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D2BE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7ED5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F925D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6596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37A82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1E76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E0D5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E31D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F480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99F6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274F0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D30D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003A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50FD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7A6E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A126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2021/11/11</w:t>
            </w:r>
          </w:p>
        </w:tc>
      </w:tr>
      <w:tr w14:paraId="47499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837A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CDD3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0B90D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15AD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9722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181F4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38E4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0722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B74D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B702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535B1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2021/11/11</w:t>
            </w:r>
          </w:p>
        </w:tc>
      </w:tr>
      <w:tr w14:paraId="649D8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3B39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0565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7517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CB8B8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FC8E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14C03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7939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E6B9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7373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C70C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DF71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2021/11/11</w:t>
            </w:r>
          </w:p>
        </w:tc>
      </w:tr>
      <w:tr w14:paraId="6B587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A83D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F436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AA90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8CA0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95A6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2021/11/11</w:t>
            </w:r>
          </w:p>
        </w:tc>
      </w:tr>
      <w:tr w14:paraId="2438D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6EBF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39DE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2531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71C4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3EC85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2021/11/11</w:t>
            </w:r>
          </w:p>
        </w:tc>
      </w:tr>
      <w:tr w14:paraId="2B07A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AE0B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2A2A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9A16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89AD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83134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379B1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1F44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BF81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D67B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687A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41BC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2021/11/11</w:t>
            </w:r>
          </w:p>
        </w:tc>
      </w:tr>
      <w:tr w14:paraId="4EA86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773F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212D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FFB1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C575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BE335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2021/11/11</w:t>
            </w:r>
          </w:p>
        </w:tc>
      </w:tr>
      <w:tr w14:paraId="63C57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2DA2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6EB0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彩色超声诊断系统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439A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Affiniti 30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15252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飞利浦超声股份有限公司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E0B8B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2021/12/29</w:t>
            </w:r>
          </w:p>
        </w:tc>
      </w:tr>
      <w:tr w14:paraId="383BE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E089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6552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彩色超声诊断系统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78E1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EPIQ 7</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73F45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PHILIPS飞利浦</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5A9D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2020/8/26</w:t>
            </w:r>
          </w:p>
        </w:tc>
      </w:tr>
      <w:tr w14:paraId="7BCED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5FAB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120C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彩色多普勒超声系统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850C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DC-90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58AB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D529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2020/12/18</w:t>
            </w:r>
          </w:p>
        </w:tc>
      </w:tr>
      <w:tr w14:paraId="2B801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FEC4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0BD7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肠内营养泵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0D4D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SK-700I</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296D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BEFE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2019/1/22</w:t>
            </w:r>
          </w:p>
        </w:tc>
      </w:tr>
      <w:tr w14:paraId="6E0B2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EF2E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E99F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肠内营养泵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D044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SK-700I</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53B7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6298C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2019/1/22</w:t>
            </w:r>
          </w:p>
        </w:tc>
      </w:tr>
      <w:tr w14:paraId="72654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AEEF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A42B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超短波电疗机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09F1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DL-C-M(脉冲)</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D0FF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汕头市医用设备厂有限公司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0CB3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2021/4/15</w:t>
            </w:r>
          </w:p>
        </w:tc>
      </w:tr>
      <w:tr w14:paraId="3B0E3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8EEE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F96A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超声软组织切割止血手术设备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05F3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KJ-CSXT 300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0F2F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杭州康基医疗器械有限公司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584F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2022/1/24</w:t>
            </w:r>
          </w:p>
        </w:tc>
      </w:tr>
      <w:tr w14:paraId="6508B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C74F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19E7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持续血液净化系统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280B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SWS-3000A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33BB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重庆山外山科技有限公司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4D748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2018/10/2</w:t>
            </w:r>
          </w:p>
        </w:tc>
      </w:tr>
      <w:tr w14:paraId="04491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E924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C1D4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除颤监护仪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EA6A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BeneHeart D3</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21B9E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BF38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2019/1/22</w:t>
            </w:r>
          </w:p>
        </w:tc>
      </w:tr>
      <w:tr w14:paraId="7880C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5998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A365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除颤监护仪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118A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BeneHeart D3</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66597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8EF2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2019/1/22</w:t>
            </w:r>
          </w:p>
        </w:tc>
      </w:tr>
      <w:tr w14:paraId="39D9E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F802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E69F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除颤监护仪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3D51B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BeneHeart D3</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6382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80F95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2019/7/31</w:t>
            </w:r>
          </w:p>
        </w:tc>
      </w:tr>
      <w:tr w14:paraId="0B12E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B2DC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2E9F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除颤监护仪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E2B4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BeneHeart D3</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2D42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2282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2020/2/10</w:t>
            </w:r>
          </w:p>
        </w:tc>
      </w:tr>
      <w:tr w14:paraId="5B40F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4845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F24E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除颤监护仪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ED88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BeneHeart D3</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32DB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02C72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2020/2/10</w:t>
            </w:r>
          </w:p>
        </w:tc>
      </w:tr>
      <w:tr w14:paraId="598E5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DC67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A0997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除颤监护仪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ECF1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BeneHeart D3</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46EDB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77D2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2021/3/25</w:t>
            </w:r>
          </w:p>
        </w:tc>
      </w:tr>
      <w:tr w14:paraId="09410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6042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C97F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除颤监护仪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BCCAA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BeneHeart D3</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2CE8D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9C91A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2021/4/2</w:t>
            </w:r>
          </w:p>
        </w:tc>
      </w:tr>
      <w:tr w14:paraId="72AD3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BFB3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D6F9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大容量冷冻离心机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9C6C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DL-5M</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355A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长沙湘智离心机仪器有限公司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9F0A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2022/8/8</w:t>
            </w:r>
          </w:p>
        </w:tc>
      </w:tr>
      <w:tr w14:paraId="2AB37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B4E4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DF87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低速多管架自动平衡离心机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AD7A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TDZ5-WS</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8356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长沙湘智离心机仪器有限公司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1FBF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2020/2/21</w:t>
            </w:r>
          </w:p>
        </w:tc>
      </w:tr>
      <w:tr w14:paraId="0FA61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E3FD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10D1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低速离心机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55390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DD5M</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E9EA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长沙湘智离心机仪器有限公司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216D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2021/5/19</w:t>
            </w:r>
          </w:p>
        </w:tc>
      </w:tr>
      <w:tr w14:paraId="4D0C7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BEE0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56CE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低速台式离心机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0672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TDZ5-WS</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F5D1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湖南湘仪实验室仪器开发有限公司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65C1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2020/2/21</w:t>
            </w:r>
          </w:p>
        </w:tc>
      </w:tr>
      <w:tr w14:paraId="7A739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46C9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2E8E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电动液压手术床</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2A9E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UniBase 30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72AF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南京迈瑞生物医疗电子有限公司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B5A3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2020/10/19</w:t>
            </w:r>
          </w:p>
        </w:tc>
      </w:tr>
      <w:tr w14:paraId="79159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BAAD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7817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多道心电图机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3931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SE-301</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3DD9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深圳市理邦精密仪器股份有限公司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B4E6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2021/2/2</w:t>
            </w:r>
          </w:p>
        </w:tc>
      </w:tr>
      <w:tr w14:paraId="0DAC5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E3F8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11CB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多频振动治疗仪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44CF7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Huana220 LD2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5092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无锡华纳医疗科技有限公司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3105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2017/3/16</w:t>
            </w:r>
          </w:p>
        </w:tc>
      </w:tr>
      <w:tr w14:paraId="0696C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873C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69BB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肺功能测试系统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2B40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MasterScreen</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6B43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Vyaire Medical Gmbh伟亚安医疗器械公司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C3B0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2019/9/20</w:t>
            </w:r>
          </w:p>
        </w:tc>
      </w:tr>
      <w:tr w14:paraId="22728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BA36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0E3E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干式恒温器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FA65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K30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41A3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杭州奥盛仪器有限公司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BA6B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2020/2/21</w:t>
            </w:r>
          </w:p>
        </w:tc>
      </w:tr>
      <w:tr w14:paraId="0B616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80E0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AA7B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高频电外科设备（高频电外科系统）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8476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VIO 200 S</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A57F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Erbe Elektromedizin GmbH</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9F45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2018/0</w:t>
            </w:r>
          </w:p>
        </w:tc>
      </w:tr>
      <w:tr w14:paraId="547EB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9144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BF31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高频电灼治疗仪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9C7D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CHX</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2B30A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武汉高科恒大光电股份有限公司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D5F1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2021/6/7</w:t>
            </w:r>
          </w:p>
        </w:tc>
      </w:tr>
      <w:tr w14:paraId="1C0D0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2006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E044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高频移动式手术X射线机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2EF2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PLX112B</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4F42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南京普爱射线影像设备有限公司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2D69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2015/8/30</w:t>
            </w:r>
          </w:p>
        </w:tc>
      </w:tr>
      <w:tr w14:paraId="4096F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19C8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B852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高频振动排痰系统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E761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Huana220LDX</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4FAA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2A55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2016/11/18</w:t>
            </w:r>
          </w:p>
        </w:tc>
      </w:tr>
      <w:tr w14:paraId="78CAC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EE64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5EDB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高频振动排痰系统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27E8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PV-100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257C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659B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2022/7/6</w:t>
            </w:r>
          </w:p>
        </w:tc>
      </w:tr>
      <w:tr w14:paraId="7DCAD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F89A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219B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高频振动排痰系统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74BC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PV-100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7F7B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706F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77487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C797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1469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高频振动排痰系统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5FC2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PV-100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DB06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9136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09236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A9FC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6C52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高频振动排痰系统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B13A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PV-100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1EB8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66F6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048BF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556E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C07E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高压注射器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44F2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ZTI-1200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0046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杭州正源电子有限公司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3941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2020/11/2</w:t>
            </w:r>
          </w:p>
        </w:tc>
      </w:tr>
      <w:tr w14:paraId="4C174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B041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42C7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过氧化氢低温等离子灭菌器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4019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PS-100X</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711F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山东新华医疗器械股份有限公司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B0E58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2018/9/5</w:t>
            </w:r>
          </w:p>
        </w:tc>
      </w:tr>
      <w:tr w14:paraId="7360E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C5D8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AA11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氦氖激光治疗仪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D1AE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JH35</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262D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上海珏华医疗器械有限公司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E33BD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2021/6/7</w:t>
            </w:r>
          </w:p>
        </w:tc>
      </w:tr>
      <w:tr w14:paraId="3EDA7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D3A8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3B60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毫米波治疗仪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DE428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IZL-2003II</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4DBB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珠海和佳医疗设备股份有限公司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73594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2018/3/29</w:t>
            </w:r>
          </w:p>
        </w:tc>
      </w:tr>
      <w:tr w14:paraId="519CB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8DC7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CFFC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呼吸机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5794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BiPAP A30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6409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飞利浦医疗</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E0E6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2017/4/27</w:t>
            </w:r>
          </w:p>
        </w:tc>
      </w:tr>
      <w:tr w14:paraId="40CD8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97AE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DF9D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呼吸机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63E0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4D2C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D2E1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17A93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B3CC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D7C7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呼吸机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5116B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40DE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8AF2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57C91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A710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C849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呼吸机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A3BC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9CEF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64469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100BA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EC72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473F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呼吸机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56EE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4249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B1CD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19A3E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1E28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C2D0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呼吸机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196C8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FC5A8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16A2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2019/8/7</w:t>
            </w:r>
          </w:p>
        </w:tc>
      </w:tr>
      <w:tr w14:paraId="75AE3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E189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D826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经颅磁脑病生理治疗仪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FB12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HXY-B1</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4421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安阳市翔宇医疗设备有限公司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A0AA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2021/4/15</w:t>
            </w:r>
          </w:p>
        </w:tc>
      </w:tr>
      <w:tr w14:paraId="09406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4D21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0392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经颅多普勒血流分析仪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EF7E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TDD-IIA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3AB6C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深圳市理邦精密仪器股份有限公司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D2AD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2019/1/22</w:t>
            </w:r>
          </w:p>
        </w:tc>
      </w:tr>
      <w:tr w14:paraId="6B961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7105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7184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经皮神经电刺激仪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1883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XY-K-SJD-C</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8AC2A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安阳市翔宇医疗设备有限责任公司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E869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2021/4/15</w:t>
            </w:r>
          </w:p>
        </w:tc>
      </w:tr>
      <w:tr w14:paraId="350C8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BCB5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44B1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卡式灭菌器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7FC9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Dmax-N</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248C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山东新华医疗器械股份有限公司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B1B2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2021/1/29</w:t>
            </w:r>
          </w:p>
        </w:tc>
      </w:tr>
      <w:tr w14:paraId="4BA0E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D0CD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D6E8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空气波压力治疗仪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8164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AP1000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A74C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珠海黑马医学仪器有限公司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338A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2020/8/30</w:t>
            </w:r>
          </w:p>
        </w:tc>
      </w:tr>
      <w:tr w14:paraId="507A3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0266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B70D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空气波压力治疗仪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5967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AP1000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32180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珠海黑马医学仪器有限公司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A2DA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2020/8/30</w:t>
            </w:r>
          </w:p>
        </w:tc>
      </w:tr>
      <w:tr w14:paraId="38823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72C2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103B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空气压力治疗仪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0F2E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DSM-4S</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B6B2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DAESUNG MAREF CO.，LTD</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306F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2019/1/24</w:t>
            </w:r>
          </w:p>
        </w:tc>
      </w:tr>
      <w:tr w14:paraId="62CA2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F2C1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711C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空气压力治疗仪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2EA1D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DSM-4S</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6294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DAESUNG MAREF CO.，LTD</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2438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2019/1/24</w:t>
            </w:r>
          </w:p>
        </w:tc>
      </w:tr>
      <w:tr w14:paraId="45A56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AD33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559F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空气压力治疗仪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CF40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DSM-4S</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C329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DAESUNG MAREF CO.，LTD</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097C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2019/6/14</w:t>
            </w:r>
          </w:p>
        </w:tc>
      </w:tr>
      <w:tr w14:paraId="0C19D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E2CC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4EE82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冷冻手术治疗机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3448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K320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AA2B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北京库蓝医疗设备有限公司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D5C8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2019/8/2</w:t>
            </w:r>
          </w:p>
        </w:tc>
      </w:tr>
      <w:tr w14:paraId="7BD7B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70B2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9DED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自动离心涂片机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7BEC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TQ-12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BA99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湖南省天骑医学新技术股份有限公司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0CD07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2020/1/23</w:t>
            </w:r>
          </w:p>
        </w:tc>
      </w:tr>
      <w:tr w14:paraId="24F97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4BE8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E017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立式灭菌器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331F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LMQ.C-80E</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0F23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山东新华医疗器械股份有限公司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F56F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2020/4/15</w:t>
            </w:r>
          </w:p>
        </w:tc>
      </w:tr>
      <w:tr w14:paraId="6FB6A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E0B0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0258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流式细胞仪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D931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BriCyte E6</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D874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5E6B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2022/4/12</w:t>
            </w:r>
          </w:p>
        </w:tc>
      </w:tr>
      <w:tr w14:paraId="060B4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17FD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E3F1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麻醉机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07E9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WATO EX-65</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E94D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7248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2020/12/1</w:t>
            </w:r>
          </w:p>
        </w:tc>
      </w:tr>
      <w:tr w14:paraId="1D7FE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2AB9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80DA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麻醉机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F634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X50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F545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北京思瑞德医疗器械有限公司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DDC1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2017/12/25</w:t>
            </w:r>
          </w:p>
        </w:tc>
      </w:tr>
      <w:tr w14:paraId="0415D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6252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C1FD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麻醉机呼吸机内部回路消毒机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469F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SN-803-B1</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4100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天津市圣宁生物科技有限公司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AEEA7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2021/8/29</w:t>
            </w:r>
          </w:p>
        </w:tc>
      </w:tr>
      <w:tr w14:paraId="57640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64E0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636F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脉冲磁治疗仪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A318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MAGTRON-11</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2030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F7C0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2021/4/15</w:t>
            </w:r>
          </w:p>
        </w:tc>
      </w:tr>
      <w:tr w14:paraId="27A63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2E44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8ED2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脉冲磁治疗仪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AE62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MAGTRON-11</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7D62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A6C8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2021/4/15</w:t>
            </w:r>
          </w:p>
        </w:tc>
      </w:tr>
      <w:tr w14:paraId="3C084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C2BB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8FDD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内镜清洗消毒机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CAF7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SL-V1-AL-PA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B6F5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法国索洛普公司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4B85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2020/2/28</w:t>
            </w:r>
          </w:p>
        </w:tc>
      </w:tr>
      <w:tr w14:paraId="1544C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09D3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F048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内镜用二氧化碳送气装置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5ED66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UCR</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9186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日本奥林巴斯株式会社</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BA87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2017/3/27</w:t>
            </w:r>
          </w:p>
        </w:tc>
      </w:tr>
      <w:tr w14:paraId="5D93B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3001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E0ED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内窥镜摄像系统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21BE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5525105</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4904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狼牌内窥镜(R.WOLF)公司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7104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2018/8/8</w:t>
            </w:r>
          </w:p>
        </w:tc>
      </w:tr>
      <w:tr w14:paraId="62188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B1B1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82FD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气囊式体外反搏系统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7C8B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OM-A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F306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广州奥迈医疗科技有限公司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B6C5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2020/4/7</w:t>
            </w:r>
          </w:p>
        </w:tc>
      </w:tr>
      <w:tr w14:paraId="11238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0CEB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639C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气压冲击式碎石机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B66DA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JML-6</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F4668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深圳市聚兴隆医疗设备有限公司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DDB7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2018/9/5</w:t>
            </w:r>
          </w:p>
        </w:tc>
      </w:tr>
      <w:tr w14:paraId="55124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62B4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E703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全温控监测智能化血浆解冻仪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FBF5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BSJD-Ⅰ-22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F155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武汉贝索医疗器械有限公司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B4811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2022/8/8</w:t>
            </w:r>
          </w:p>
        </w:tc>
      </w:tr>
      <w:tr w14:paraId="76A93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E757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CBBE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全胸腔体外振荡排痰系统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72EE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Huana550 W</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67FF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无锡华纳医疗科技有限公司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7E71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2017/3/16</w:t>
            </w:r>
          </w:p>
        </w:tc>
      </w:tr>
      <w:tr w14:paraId="2C7D9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171D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7333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全胸腔体外振荡排痰系统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5735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Huana550 W</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F8DA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无锡华纳医疗科技有限公司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5D26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2017/3/16</w:t>
            </w:r>
          </w:p>
        </w:tc>
      </w:tr>
      <w:tr w14:paraId="69D45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22A0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437D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全自动动态血沉分析仪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7A9E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XC-A30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665F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深圳市凯特生物医疗电子科技有限公司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C9F0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2019/10/26</w:t>
            </w:r>
          </w:p>
        </w:tc>
      </w:tr>
      <w:tr w14:paraId="6D11D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E475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F156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全自动动态血沉分析仪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B02D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XC-A30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2E73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深圳市凯特生物医疗电子科技有限公司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B350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2019/10/26</w:t>
            </w:r>
          </w:p>
        </w:tc>
      </w:tr>
      <w:tr w14:paraId="151E4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C301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B911B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全自动分枝杆菌培养监测仪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89B0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BD BACTECTM MGITTM 960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D49F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Becton,Dickinson and Company</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1372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2019/9/10</w:t>
            </w:r>
          </w:p>
        </w:tc>
      </w:tr>
      <w:tr w14:paraId="0DE69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589A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EC33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全自动核酸提取仪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116E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NP968-C</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6A1D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西安天隆科技有限公司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4CC18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2020/3/30</w:t>
            </w:r>
          </w:p>
        </w:tc>
      </w:tr>
      <w:tr w14:paraId="3F1BF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A7A9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41E5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全自动化学发光测定仪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EA16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AutoLumo A2000 plus</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2F5C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安图实验仪器(郑州)有限公司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D1D71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2022/3/7</w:t>
            </w:r>
          </w:p>
        </w:tc>
      </w:tr>
      <w:tr w14:paraId="08DBD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1461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3022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全自动免疫分析仪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F33C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Alinity i</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3414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雅培(Abbott)</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8FE9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2022/2/18</w:t>
            </w:r>
          </w:p>
        </w:tc>
      </w:tr>
      <w:tr w14:paraId="0F421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0767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BE32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全自动血气分析仪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E814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GEM Premier 3500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CD76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Instrumentation Laboratory Co.</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AEBC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2021/1/4</w:t>
            </w:r>
          </w:p>
        </w:tc>
      </w:tr>
      <w:tr w14:paraId="4FC08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1AFE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A84D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全自动血型分析仪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3CD9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Blozer 120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61F92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烟台艾德康生物科技有限公司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1804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2022/8/8</w:t>
            </w:r>
          </w:p>
        </w:tc>
      </w:tr>
      <w:tr w14:paraId="21CBC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CD07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88A5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全自动医用PCR分析系统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ACB3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SLAN-96P</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B387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上海宏石医疗科技有限公司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EFC3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2019/10/26</w:t>
            </w:r>
          </w:p>
        </w:tc>
      </w:tr>
      <w:tr w14:paraId="5C733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E055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8453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全自动医用PCR分析系统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E5DD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SLAN-96S</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4EF9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上海宏石医疗科技有限公司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19167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7F98C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17E6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3C64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全自动真空采血管脱盖机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EE12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KG-12L</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C877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珠海丰炎科技有限公司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3A47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2020/2/21</w:t>
            </w:r>
          </w:p>
        </w:tc>
      </w:tr>
      <w:tr w14:paraId="73888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6C8F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047A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人体成分分析仪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C49B5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DBA-550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02CF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吉林东华原医疗设备有限责任公司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162A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2020/6/19</w:t>
            </w:r>
          </w:p>
        </w:tc>
      </w:tr>
      <w:tr w14:paraId="1B542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E4EB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E4632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生物安全柜</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D196D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HR30-IIA2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4EE8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青岛海尔生物医疗股份有限公司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23AB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2020/2/16</w:t>
            </w:r>
          </w:p>
        </w:tc>
      </w:tr>
      <w:tr w14:paraId="58AA9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4680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4284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生物安全柜</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D5E3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HR30-IIA2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DCD8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青岛海尔生物医疗股份有限公司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1B98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2020/9/2</w:t>
            </w:r>
          </w:p>
        </w:tc>
      </w:tr>
      <w:tr w14:paraId="5D0AE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FA1D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E6A4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生物安全柜</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A707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HR30-IIA2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2600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青岛海尔生物医疗股份有限公司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75C6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2020/9/2</w:t>
            </w:r>
          </w:p>
        </w:tc>
      </w:tr>
      <w:tr w14:paraId="48530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634A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C415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生物安全柜</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D2D3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HR30-IIA2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7047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青岛海尔生物医疗股份有限公司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957C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2019/10/26</w:t>
            </w:r>
          </w:p>
        </w:tc>
      </w:tr>
      <w:tr w14:paraId="72B08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B351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45F3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生物安全柜</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07504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HR40-IIA2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845F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青岛海尔特种电器有限公司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E532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2020/2/16</w:t>
            </w:r>
          </w:p>
        </w:tc>
      </w:tr>
      <w:tr w14:paraId="0DAB3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244A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50A4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实时荧光定量PCR仪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9F66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AGS8830-16</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C45B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杭州安誉科技有限公司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45F3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2021/8/13</w:t>
            </w:r>
          </w:p>
        </w:tc>
      </w:tr>
      <w:tr w14:paraId="55F0B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AA07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00D7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实时荧光定量PCR仪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4606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AGS8830-16</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0828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杭州安誉科技有限公司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75A1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2020/11/17</w:t>
            </w:r>
          </w:p>
        </w:tc>
      </w:tr>
      <w:tr w14:paraId="67237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BDD5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A956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实时荧光定量PCR仪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ED748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QuantStudio 5</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DB31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美国应用生物系统公司Applied Biosystems(ABI)</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FF27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2020/2/24</w:t>
            </w:r>
          </w:p>
        </w:tc>
      </w:tr>
      <w:tr w14:paraId="60684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86CC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503D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手腕式脉搏血氧饱和度测试仪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EDE2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BM2000A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9FB9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上海贝瑞电子科技有限公司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6B65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2020/4/7</w:t>
            </w:r>
          </w:p>
        </w:tc>
      </w:tr>
      <w:tr w14:paraId="0F346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781C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2D80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F5A0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64A3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603D6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2016/5/17</w:t>
            </w:r>
          </w:p>
        </w:tc>
      </w:tr>
      <w:tr w14:paraId="3ACCE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2ABC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CE2F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1643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F9ED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61B85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2016/5/17</w:t>
            </w:r>
          </w:p>
        </w:tc>
      </w:tr>
      <w:tr w14:paraId="31B87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3CA0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D290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948B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2AC1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59E54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2016/5/17</w:t>
            </w:r>
          </w:p>
        </w:tc>
      </w:tr>
      <w:tr w14:paraId="50A22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45A0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485B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361C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E760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2A1F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2016/5/17</w:t>
            </w:r>
          </w:p>
        </w:tc>
      </w:tr>
      <w:tr w14:paraId="0B8B2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32ED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8C6D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9214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EE05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9F4D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2017/10/31</w:t>
            </w:r>
          </w:p>
        </w:tc>
      </w:tr>
      <w:tr w14:paraId="21569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FF56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3C20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F134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A807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D1FF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2017/10/31</w:t>
            </w:r>
          </w:p>
        </w:tc>
      </w:tr>
      <w:tr w14:paraId="2FAED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991E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12A8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FF5D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9C6E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83D1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2017/10/31</w:t>
            </w:r>
          </w:p>
        </w:tc>
      </w:tr>
      <w:tr w14:paraId="44D1C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F254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C945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0408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E251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749F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2017/10/31</w:t>
            </w:r>
          </w:p>
        </w:tc>
      </w:tr>
      <w:tr w14:paraId="794B4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EE54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E51E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D0D9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6AED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7A73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2018/1/20</w:t>
            </w:r>
          </w:p>
        </w:tc>
      </w:tr>
      <w:tr w14:paraId="39180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8660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8393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B607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A272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69A5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2018/3/9</w:t>
            </w:r>
          </w:p>
        </w:tc>
      </w:tr>
      <w:tr w14:paraId="732B8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B79A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2F1B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0A7B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DB92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C6F2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2018/1/20</w:t>
            </w:r>
          </w:p>
        </w:tc>
      </w:tr>
      <w:tr w14:paraId="35D6D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42D6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42E2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23E2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E5AA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40BE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2017/10/31</w:t>
            </w:r>
          </w:p>
        </w:tc>
      </w:tr>
      <w:tr w14:paraId="340DB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1C7D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2F7C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E29A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0D45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7D55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2018/1/20</w:t>
            </w:r>
          </w:p>
        </w:tc>
      </w:tr>
      <w:tr w14:paraId="1A080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5CC5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EB41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312A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9A9B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79A1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2018/9/5</w:t>
            </w:r>
          </w:p>
        </w:tc>
      </w:tr>
      <w:tr w14:paraId="75890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4E98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D5F3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A7B52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5C142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1B4F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2018/9/5</w:t>
            </w:r>
          </w:p>
        </w:tc>
      </w:tr>
      <w:tr w14:paraId="3FE21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4D31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6FD2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2F38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41A8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0F025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2018/9/5</w:t>
            </w:r>
          </w:p>
        </w:tc>
      </w:tr>
      <w:tr w14:paraId="1BE39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3BA5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111C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DC6C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E74B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A598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2018/9/5</w:t>
            </w:r>
          </w:p>
        </w:tc>
      </w:tr>
      <w:tr w14:paraId="24513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9351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8F99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2A4AF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73C3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4F2D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2018/9/5</w:t>
            </w:r>
          </w:p>
        </w:tc>
      </w:tr>
      <w:tr w14:paraId="4FD1F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BF45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F19A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2D56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6A4A9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4E60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2018/4/29</w:t>
            </w:r>
          </w:p>
        </w:tc>
      </w:tr>
      <w:tr w14:paraId="68C84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5A0E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A1D4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E5A2A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2FBFF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B4E2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2018/10/26</w:t>
            </w:r>
          </w:p>
        </w:tc>
      </w:tr>
      <w:tr w14:paraId="2A81B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B6D4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301F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4DE5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DA57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9EB47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2018/10/26</w:t>
            </w:r>
          </w:p>
        </w:tc>
      </w:tr>
      <w:tr w14:paraId="3A14F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01F5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2704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1188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770A0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D4A7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2018/10/26</w:t>
            </w:r>
          </w:p>
        </w:tc>
      </w:tr>
      <w:tr w14:paraId="2A39F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E4B5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D5F3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B585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ABBC2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29216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2018/12/12</w:t>
            </w:r>
          </w:p>
        </w:tc>
      </w:tr>
      <w:tr w14:paraId="72174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CAFE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8366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3282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8967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9E36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2018/12/12</w:t>
            </w:r>
          </w:p>
        </w:tc>
      </w:tr>
      <w:tr w14:paraId="3BB62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FFD03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6B74B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81E2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B119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4E71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2018/12/12</w:t>
            </w:r>
          </w:p>
        </w:tc>
      </w:tr>
      <w:tr w14:paraId="78C66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C41A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75F6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0608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AAC2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9521F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2018/12/12</w:t>
            </w:r>
          </w:p>
        </w:tc>
      </w:tr>
      <w:tr w14:paraId="54660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C298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2B7A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045C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E010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C6F9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2019/1/29</w:t>
            </w:r>
          </w:p>
        </w:tc>
      </w:tr>
      <w:tr w14:paraId="36C65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BF96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034E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11BD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93DD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1CB9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2018/12/2</w:t>
            </w:r>
          </w:p>
        </w:tc>
      </w:tr>
      <w:tr w14:paraId="0D313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D0E7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CD6E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E1259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4B80C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EDBA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2018/1/20</w:t>
            </w:r>
          </w:p>
        </w:tc>
      </w:tr>
      <w:tr w14:paraId="3FDEF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E0B7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60A4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02F2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01E2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97F97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2018/12/2</w:t>
            </w:r>
          </w:p>
        </w:tc>
      </w:tr>
      <w:tr w14:paraId="2882F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5B54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FCA4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03CA6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56D5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9BF4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2019/1/3</w:t>
            </w:r>
          </w:p>
        </w:tc>
      </w:tr>
      <w:tr w14:paraId="74371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E8173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DD50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539FB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F7FED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151B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2019/1/3</w:t>
            </w:r>
          </w:p>
        </w:tc>
      </w:tr>
      <w:tr w14:paraId="3DF09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BB29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6B24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D91D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825E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32D9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2018/12/30</w:t>
            </w:r>
          </w:p>
        </w:tc>
      </w:tr>
      <w:tr w14:paraId="15256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D7B9C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DB97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9FAE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7E87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3A4E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2017/10/31</w:t>
            </w:r>
          </w:p>
        </w:tc>
      </w:tr>
      <w:tr w14:paraId="2B19F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4373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AD9E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AB78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6D93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F4E2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2019/8/8</w:t>
            </w:r>
          </w:p>
        </w:tc>
      </w:tr>
      <w:tr w14:paraId="2C60C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CA8B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1277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963E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9F15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6ECE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2019/8/8</w:t>
            </w:r>
          </w:p>
        </w:tc>
      </w:tr>
      <w:tr w14:paraId="543F0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A440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C61D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29342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65C6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66CA2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2019/1/3</w:t>
            </w:r>
          </w:p>
        </w:tc>
      </w:tr>
      <w:tr w14:paraId="1C00A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8FBE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ED78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CFFD1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4A7B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C405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2019/1/3</w:t>
            </w:r>
          </w:p>
        </w:tc>
      </w:tr>
      <w:tr w14:paraId="53C32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C5A8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F934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ECB9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2266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D73D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2019/1/3</w:t>
            </w:r>
          </w:p>
        </w:tc>
      </w:tr>
      <w:tr w14:paraId="5A368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8EE9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42CD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3304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6BBE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32ED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2019/1/3</w:t>
            </w:r>
          </w:p>
        </w:tc>
      </w:tr>
      <w:tr w14:paraId="70D93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1CCF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DBCA2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E8A3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7735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5E2B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2019/1/3</w:t>
            </w:r>
          </w:p>
        </w:tc>
      </w:tr>
      <w:tr w14:paraId="3982D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C851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54F0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4284B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FD66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7D22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2019/1/3</w:t>
            </w:r>
          </w:p>
        </w:tc>
      </w:tr>
      <w:tr w14:paraId="67121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4F1B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23ED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AF5C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75AA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E01F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2020/7/10</w:t>
            </w:r>
          </w:p>
        </w:tc>
      </w:tr>
      <w:tr w14:paraId="03159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99B6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12DB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19A2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A13E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CBBE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2020/7/10</w:t>
            </w:r>
          </w:p>
        </w:tc>
      </w:tr>
      <w:tr w14:paraId="5B730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312A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6F5C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7952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C4B4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7939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2020/7/10</w:t>
            </w:r>
          </w:p>
        </w:tc>
      </w:tr>
      <w:tr w14:paraId="3A843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381F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1F3F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35B55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05BA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0871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2020/7/10</w:t>
            </w:r>
          </w:p>
        </w:tc>
      </w:tr>
      <w:tr w14:paraId="72A1C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BA64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DD9F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2E6C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5B49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145D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2020/7/10</w:t>
            </w:r>
          </w:p>
        </w:tc>
      </w:tr>
      <w:tr w14:paraId="7C8EF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CE23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8F8B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AB9F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3F70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1D510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2020/7/10</w:t>
            </w:r>
          </w:p>
        </w:tc>
      </w:tr>
      <w:tr w14:paraId="5FBA2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00A4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353F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0803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D7C1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5DD53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2020/7/10</w:t>
            </w:r>
          </w:p>
        </w:tc>
      </w:tr>
      <w:tr w14:paraId="7FC04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1F18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72EC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FE19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F6B2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9072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2020/7/10</w:t>
            </w:r>
          </w:p>
        </w:tc>
      </w:tr>
      <w:tr w14:paraId="03B9D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A175E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CD71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EC73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DBFE7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A2A97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2020/7/10</w:t>
            </w:r>
          </w:p>
        </w:tc>
      </w:tr>
      <w:tr w14:paraId="65514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6767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975C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2E4E5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94C5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AA92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2020/7/10</w:t>
            </w:r>
          </w:p>
        </w:tc>
      </w:tr>
      <w:tr w14:paraId="73908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DD77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53FC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E92A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5EA9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1936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50788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DB05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9A2A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73E3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8EA4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CDAA4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4157B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B6F3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15BD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EA672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7E78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F97ED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18B68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3F46D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E3E4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EE2D4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C259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7187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021C2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D5AE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A06E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0BBD1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9C47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E376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1E30B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9163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BCE8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90AC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76E6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19A3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01A78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1D8F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D54A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972D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4C14A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CDC2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3D19E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252B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D12D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1630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EC461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7083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454DE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27A4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5705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1936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359C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9860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7E5C7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CE1F8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4A35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725C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0E92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7E8D1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702DF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9021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D7D5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2648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E2B1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BE73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1CE96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5678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0B25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75A1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62AE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0078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09F8F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BBF9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5361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168F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FB9E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A1414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2020/12/27</w:t>
            </w:r>
          </w:p>
        </w:tc>
      </w:tr>
      <w:tr w14:paraId="1EBD1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2E742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3827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F44A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69024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E512A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2020/12/27</w:t>
            </w:r>
          </w:p>
        </w:tc>
      </w:tr>
      <w:tr w14:paraId="25DE5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CFDC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8783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3625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DF17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010F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2020/12/27</w:t>
            </w:r>
          </w:p>
        </w:tc>
      </w:tr>
      <w:tr w14:paraId="75018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46B9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6343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C11F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6103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73A9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2020/12/27</w:t>
            </w:r>
          </w:p>
        </w:tc>
      </w:tr>
      <w:tr w14:paraId="1DBD2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1BFA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BED3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496B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0E2F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7750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2020/12/27</w:t>
            </w:r>
          </w:p>
        </w:tc>
      </w:tr>
      <w:tr w14:paraId="24244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8BD2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AB7A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F5C8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AD84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CA8D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2020/12/27</w:t>
            </w:r>
          </w:p>
        </w:tc>
      </w:tr>
      <w:tr w14:paraId="21EF5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24BFA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1D12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数控气压止血带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6C52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YF-ATS-A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26AB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杭州亿凡医疗器械有限公司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7FDA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2018/9/17</w:t>
            </w:r>
          </w:p>
        </w:tc>
      </w:tr>
      <w:tr w14:paraId="7CA8F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A1CD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957B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数字X射线摄影系统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D434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RAD SPEED PRO 50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9197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北京岛津医疗器械有限公司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6432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2017/1/20</w:t>
            </w:r>
          </w:p>
        </w:tc>
      </w:tr>
      <w:tr w14:paraId="7E0B6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3F86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89D5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双水平无创呼吸机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F8C4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ST-30H</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1E41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湖南明康中锦医疗科技发展有限公司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A51F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2020/2/28</w:t>
            </w:r>
          </w:p>
        </w:tc>
      </w:tr>
      <w:tr w14:paraId="645E1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0CBA9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EA8F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台式低速离心机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93F2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TDZ5-WS</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8AB2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湖南湘立科学仪器有限公司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CD61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2020/2/21</w:t>
            </w:r>
          </w:p>
        </w:tc>
      </w:tr>
      <w:tr w14:paraId="3A2DA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36CB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5D4C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体外膈肌起搏器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7C57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HLO-GJ13A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F5F4A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广州雪利昂生物科技有限公司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DE01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2021/4/15</w:t>
            </w:r>
          </w:p>
        </w:tc>
      </w:tr>
      <w:tr w14:paraId="04B58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8F66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188F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体外膈肌起搏器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B4FB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HLO-GJ13A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C0AA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广州雪利昂生物科技有限公司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FF0FF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2020/4/7</w:t>
            </w:r>
          </w:p>
        </w:tc>
      </w:tr>
      <w:tr w14:paraId="528C6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A49E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C9D1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02A3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GA ST40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64C5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苏州凯迪泰医学科技有限公司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3FFE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2020/11/30</w:t>
            </w:r>
          </w:p>
        </w:tc>
      </w:tr>
      <w:tr w14:paraId="609FD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2D5F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4B974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D6FF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GA ST40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DC1E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苏州凯迪泰医学科技有限公司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7DEF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2020/11/30</w:t>
            </w:r>
          </w:p>
        </w:tc>
      </w:tr>
      <w:tr w14:paraId="3E86A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D9EA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0F01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血液净化设备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69B2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SWS-5000B</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7A2F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重庆山外山血液净化技术股份有限公司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D35A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2022/12/9</w:t>
            </w:r>
          </w:p>
        </w:tc>
      </w:tr>
      <w:tr w14:paraId="23ED7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3803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0F2B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血液净化设备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DDA1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SWS-5000B</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501C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重庆山外山血液净化技术股份有限公司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5379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2022/12/9</w:t>
            </w:r>
          </w:p>
        </w:tc>
      </w:tr>
      <w:tr w14:paraId="7D3A3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8945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A515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血液净化装置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AAD5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Plasauto Σ</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67167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日本旭化成医疗株式会社</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29FB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2019/1/18</w:t>
            </w:r>
          </w:p>
        </w:tc>
      </w:tr>
      <w:tr w14:paraId="35AF1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13AD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67BB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血液透析机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0E53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SWS-4000A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D8AE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重庆山外山科技有限公司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9181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2019/1/31</w:t>
            </w:r>
          </w:p>
        </w:tc>
      </w:tr>
      <w:tr w14:paraId="57664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B97A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372B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血液透析机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7079D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SWS-4000A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3872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重庆山外山科技有限公司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2628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2019/1/31</w:t>
            </w:r>
          </w:p>
        </w:tc>
      </w:tr>
      <w:tr w14:paraId="58568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47F1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D284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血液透析滤过装置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C32C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4008 B</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F553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费森尤斯医药用品(上海)有限公司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D763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2015/7/1</w:t>
            </w:r>
          </w:p>
        </w:tc>
      </w:tr>
      <w:tr w14:paraId="1971D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2F56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F05B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血液透析滤过装置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152E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4008 B</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89537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费森尤斯医药用品(上海)有限公司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D95E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2015/7/1</w:t>
            </w:r>
          </w:p>
        </w:tc>
      </w:tr>
      <w:tr w14:paraId="47E4B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420A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7D89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血液透析设备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DB86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4008 S</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32EA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德国费森尤斯</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3097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2016/3/1</w:t>
            </w:r>
          </w:p>
        </w:tc>
      </w:tr>
      <w:tr w14:paraId="763F1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3596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45C4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血液透析设备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B845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DBB-27C</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D75F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威高日机装(威海)透析机器有限公司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FFC0D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2015/5/19</w:t>
            </w:r>
          </w:p>
        </w:tc>
      </w:tr>
      <w:tr w14:paraId="60981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B3FD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4796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氩气高频电刀</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ED62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JSDD-Q2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875D0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重庆金山科技(集团)有限公司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1363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2021/1/25</w:t>
            </w:r>
          </w:p>
        </w:tc>
      </w:tr>
      <w:tr w14:paraId="09225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CC1D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B780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烟雾净化器(吸烟机)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E2548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JLT-JH-02型(JYLB-200A)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EC3B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武汉金莱特光电子有限公司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AE2D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2021/7/6</w:t>
            </w:r>
          </w:p>
        </w:tc>
      </w:tr>
      <w:tr w14:paraId="5214C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D413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F552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一氧化氮检测仪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5D95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N1</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CF8D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广州瑞普医疗科技有限公司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D3CA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2020/10/18</w:t>
            </w:r>
          </w:p>
        </w:tc>
      </w:tr>
      <w:tr w14:paraId="1FAB9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833E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C51C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医用钬激光治疗机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F450A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HANS-H75</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A357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合肥大族科瑞达激光设备有限公司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644B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2018/9/5</w:t>
            </w:r>
          </w:p>
        </w:tc>
      </w:tr>
      <w:tr w14:paraId="0ED6E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136E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0C00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医用控温仪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F7A6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ZLJ-2000I</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2E09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安泰ANTAI</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21D6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2021/7/1</w:t>
            </w:r>
          </w:p>
        </w:tc>
      </w:tr>
      <w:tr w14:paraId="66580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CD33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37C6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医用离心机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0620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H1750R</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440F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长沙湘仪离心机仪器有限公司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2612C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2019/10/26</w:t>
            </w:r>
          </w:p>
        </w:tc>
      </w:tr>
      <w:tr w14:paraId="3408F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10DE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A9B3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医用离心机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D6A97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H1750R</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22DB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长沙湘仪离心机仪器有限公司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E90D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2020/3/20</w:t>
            </w:r>
          </w:p>
        </w:tc>
      </w:tr>
      <w:tr w14:paraId="1501D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61BC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135F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移动式高频医用诊断X射线机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ACAF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HM-200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84E1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北京万东鼎立医疗设备有限公司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C35C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2021/3/31</w:t>
            </w:r>
          </w:p>
        </w:tc>
      </w:tr>
      <w:tr w14:paraId="51EAB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1C20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957A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移动式数字摄影X线系统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C1D1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MUX-200D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6B3A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岛根岛津株式会社</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A30D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2020/2/20</w:t>
            </w:r>
          </w:p>
        </w:tc>
      </w:tr>
      <w:tr w14:paraId="68651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64AC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CB53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幽门螺杆菌(Hp)测试仪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EBBE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HUBT-20P</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646C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深圳市中核海得威生物科技有限公司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B343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2015/12/29</w:t>
            </w:r>
          </w:p>
        </w:tc>
      </w:tr>
      <w:tr w14:paraId="58796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4C5C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6969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智能蜡饼制作恒温系统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F95C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XYL-IV</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83D4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河南翔宇医疗设备股份有限公司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A078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2021/4/15</w:t>
            </w:r>
          </w:p>
        </w:tc>
      </w:tr>
      <w:tr w14:paraId="76923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4185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C03F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中医定向透药治疗仪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F638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WND-ZZ-2TD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B96AB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桂林市威诺敦医疗器械有限公司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1A30E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2019/10/26</w:t>
            </w:r>
          </w:p>
        </w:tc>
      </w:tr>
      <w:tr w14:paraId="7113F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E8A5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10B4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中医定向透药治疗仪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D79E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WND-ZZ-2TD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94E6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桂林市威诺敦医疗器械有限公司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E2DF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2019/3/12</w:t>
            </w:r>
          </w:p>
        </w:tc>
      </w:tr>
      <w:tr w14:paraId="5FB02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AA95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8B95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中医定向透药治疗仪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9AC1C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WND-ZZ-2TD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4D50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桂林市威诺敦医疗器械有限公司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1A80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2022/6/22</w:t>
            </w:r>
          </w:p>
        </w:tc>
      </w:tr>
      <w:tr w14:paraId="65574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21DF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B4FD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中医定向透药治疗仪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0A9F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WND-ZZ-2TD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0289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桂林市威诺敦医疗器械有限公司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1BB7B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2018/1/9</w:t>
            </w:r>
          </w:p>
        </w:tc>
      </w:tr>
      <w:tr w14:paraId="3BF26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2406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3768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9784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A7C0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9BA5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238EC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C0A8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EF4A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F4C7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FDE8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D826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54254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ABFB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8322E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B3A1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99A2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983B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12730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CA2D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B298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790C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5230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DFB0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1BBBE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BB9C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766E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4B84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59CC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EA4F0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0489C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94FC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92CE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D5B5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4E16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D3CB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0869B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2C09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EE62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6D7D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SP3D（双泵）</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8210C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2A9C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2020/8/18</w:t>
            </w:r>
          </w:p>
        </w:tc>
      </w:tr>
      <w:tr w14:paraId="12397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62E2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8BB0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B5A4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1D01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FB79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6EC39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CC9B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271F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6E08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F11D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0E74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1171F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E367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2178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4C2D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C0F8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7256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2E09C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AB8F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198E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8A00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68E5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C65B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2020/9/15</w:t>
            </w:r>
          </w:p>
        </w:tc>
      </w:tr>
      <w:tr w14:paraId="11E87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47E7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6BB6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428D4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48F0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81915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3F823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E72B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CF0E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F82B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1492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C94E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79945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41C1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4408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C3D95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E48B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477D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7B0DF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6D062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A52C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9E81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770A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12A4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43C2D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C39A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3556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2F94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5734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6520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7C3FF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0C20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9AE8D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977FB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 Ex</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648F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DCEA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2020/8/12</w:t>
            </w:r>
          </w:p>
        </w:tc>
      </w:tr>
      <w:tr w14:paraId="2A847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76B3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B4A0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3FDC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 Ex</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118E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16269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2020/8/12</w:t>
            </w:r>
          </w:p>
        </w:tc>
      </w:tr>
      <w:tr w14:paraId="4B617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3AF1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584E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673FA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 Ex</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84A8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9B29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2020/8/18</w:t>
            </w:r>
          </w:p>
        </w:tc>
      </w:tr>
      <w:tr w14:paraId="6447B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7A58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B38C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346D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 Ex</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87B34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9908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2022/7/6</w:t>
            </w:r>
          </w:p>
        </w:tc>
      </w:tr>
      <w:tr w14:paraId="60B4F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5FDF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6F3B2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医用内窥镜图像处理器</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C1401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EOS-B-01</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54D51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上海安清医疗器械有限公司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4F89A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2022/1/10</w:t>
            </w:r>
          </w:p>
        </w:tc>
      </w:tr>
      <w:tr w14:paraId="326C0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73C7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821D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内镜清洗消毒机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41626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SL-V1-AL-PA</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DF265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法国索洛普公司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0C90B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2023/9/11</w:t>
            </w:r>
          </w:p>
        </w:tc>
      </w:tr>
      <w:tr w14:paraId="557DF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9131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96E52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4B654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1E336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34CDE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2016/5/17</w:t>
            </w:r>
          </w:p>
        </w:tc>
      </w:tr>
      <w:tr w14:paraId="7D0FC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8358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278EA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1AE9E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1305B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B282BA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2021/7/19</w:t>
            </w:r>
          </w:p>
        </w:tc>
      </w:tr>
      <w:tr w14:paraId="3CDC8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C4DF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67D1A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全自PCR医用分析系统</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70EB21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GX-XVI R2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29A23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美国赛沛公司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482A2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2021/3/18</w:t>
            </w:r>
          </w:p>
        </w:tc>
      </w:tr>
      <w:tr w14:paraId="6C807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8D64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6D46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5DB6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42C7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B8C0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2019/1/3</w:t>
            </w:r>
          </w:p>
        </w:tc>
      </w:tr>
      <w:tr w14:paraId="3D7A3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A145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671B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7B03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E08A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DF08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2020/12/27</w:t>
            </w:r>
          </w:p>
        </w:tc>
      </w:tr>
      <w:tr w14:paraId="11635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8FE2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6D52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934C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27F3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C4DA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2020/12/27</w:t>
            </w:r>
          </w:p>
        </w:tc>
      </w:tr>
      <w:tr w14:paraId="31174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9C4E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584B1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95BEC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5B6D6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EE6A2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51AFB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FBD1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9F225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D4F0D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78388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E968F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09865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5CA2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7359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74D45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556E0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EF512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14AE3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5CA6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52CC4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C705E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1EAE6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505E7F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624BB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E119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B13E7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82A97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337C54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F403C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3B317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3AE3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BA7AF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9A6CD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184D1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059F9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0B609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391A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B3A64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2DBCD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8A39F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9759E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215FF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3C8D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3B0B7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7D088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5B09EC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18A0C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091EA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B7C3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6424C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FEF22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B7321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9D751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6FEF2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C00C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CCAE8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5BC67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4E0417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EA281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7FBE2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87A2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E0731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7EA70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57C01D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24D83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2021/7/19</w:t>
            </w:r>
          </w:p>
        </w:tc>
      </w:tr>
      <w:tr w14:paraId="5709E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CE26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0DDEF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F179F4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0B580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5F36F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2021/7/19</w:t>
            </w:r>
          </w:p>
        </w:tc>
      </w:tr>
      <w:tr w14:paraId="2ABC1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542F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C428B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1CEAF8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537DE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231CD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2021/7/19</w:t>
            </w:r>
          </w:p>
        </w:tc>
      </w:tr>
      <w:tr w14:paraId="58CB2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9A83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3D8D5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4FF0A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DFD85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950B0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2018/3/9</w:t>
            </w:r>
          </w:p>
        </w:tc>
      </w:tr>
      <w:tr w14:paraId="09308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B146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F1078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2B120B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D6859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3AD8C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2021/11/10</w:t>
            </w:r>
          </w:p>
        </w:tc>
      </w:tr>
      <w:tr w14:paraId="56AAB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577D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1B7979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2415E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27725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7A090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2021/11/10</w:t>
            </w:r>
          </w:p>
        </w:tc>
      </w:tr>
      <w:tr w14:paraId="30C22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3396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0CF7A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E7311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55F0F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D8095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2021/11/10</w:t>
            </w:r>
          </w:p>
        </w:tc>
      </w:tr>
      <w:tr w14:paraId="705E2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ABDD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3A636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B4EDC8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B9BF1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0E8003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2021/11/10</w:t>
            </w:r>
          </w:p>
        </w:tc>
      </w:tr>
      <w:tr w14:paraId="45474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60D0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DEC01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DE000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2498F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C2F947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2021/11/10</w:t>
            </w:r>
          </w:p>
        </w:tc>
      </w:tr>
      <w:tr w14:paraId="41A79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ECF5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24B32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0FFD0F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A2245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4AB9E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2021/11/10</w:t>
            </w:r>
          </w:p>
        </w:tc>
      </w:tr>
      <w:tr w14:paraId="0F253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50BE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CEBDF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AE2BB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5769A4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78DF8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2021/11/10</w:t>
            </w:r>
          </w:p>
        </w:tc>
      </w:tr>
      <w:tr w14:paraId="328B0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A1F0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1F510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11911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1D026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CBC45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2021/11/10</w:t>
            </w:r>
          </w:p>
        </w:tc>
      </w:tr>
      <w:tr w14:paraId="78A83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D405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1AADA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C2504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ST-30H</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05BA916">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湖南明康中锦医疗科技发展有限</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6226C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2020/11/25</w:t>
            </w:r>
          </w:p>
        </w:tc>
      </w:tr>
      <w:tr w14:paraId="38425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83E7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B4CFC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004E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ST-30H</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06ABC8F">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湖南明康中锦医疗科技发展有限</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C785B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2020/11/25</w:t>
            </w:r>
          </w:p>
        </w:tc>
      </w:tr>
      <w:tr w14:paraId="46A83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B88A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A766D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0B7845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ST-30H</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A5385E6">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湖南明康中锦医疗科技发展有限</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61D277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2020/11/25</w:t>
            </w:r>
          </w:p>
        </w:tc>
      </w:tr>
      <w:tr w14:paraId="6BA3F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D873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9B6BC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D4247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ST-30H</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835090D">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湖南明康中锦医疗科技发展有限</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7073E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2020/11/25</w:t>
            </w:r>
          </w:p>
        </w:tc>
      </w:tr>
      <w:tr w14:paraId="103EE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B9B2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9E40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5029E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ST-30H</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A278F86">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湖南明康中锦医疗科技发展有限</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786E8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2020/11/25</w:t>
            </w:r>
          </w:p>
        </w:tc>
      </w:tr>
      <w:tr w14:paraId="51F3D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0F9F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8D63F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肾脏内窥镜</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F377E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8701-534</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574E3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长沙一诺为医疗科技有限公司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54B4CD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2022/1/10</w:t>
            </w:r>
          </w:p>
        </w:tc>
      </w:tr>
      <w:tr w14:paraId="41F41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5809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86F97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纤维输尿管肾镜</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4EAC9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8703.534</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0448B0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理查德沃尔夫有限责任公司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50B9B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2022/1/10</w:t>
            </w:r>
          </w:p>
        </w:tc>
      </w:tr>
      <w:tr w14:paraId="24A5B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578B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FEE9C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血液透析机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30884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SWS-4000A</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16B93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重庆山外山血液净化技术股份有限公司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DEA3C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33B69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E9C2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DBB0E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血液透析机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CEF9C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SWS-4000A</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F333A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重庆山外山血液净化技术股份有限公司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098DE4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13B32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633C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5EBE2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血液透析机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5BEB8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SWS-4000A</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7854E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重庆山外山血液净化技术股份有限公司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B28D2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2AC9A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F127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E2B97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血液透析机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605CB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SWS-4000A</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1C6C8A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重庆山外山血液净化技术股份有限公司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3BCCC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7BED9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29C7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3AFE5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血液透析机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06C76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SWS-4000A</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00AB1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重庆山外山血液净化技术股份有限公司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340E3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4E900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1A61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17E6A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多功能牵引床</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91F6D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RH-QYC-A</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6F4160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河南瑞河医疗设器械备股份有限公司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4474E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2021/4/15</w:t>
            </w:r>
          </w:p>
        </w:tc>
      </w:tr>
      <w:tr w14:paraId="5C648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3495D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8604B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多关节主被动训练仪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7FE9E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XY-ZBD-IID</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CB358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河南翔宇医疗设备股份有限公司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07D02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2021/4/15</w:t>
            </w:r>
          </w:p>
        </w:tc>
      </w:tr>
      <w:tr w14:paraId="6AEB1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D38B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85ABD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胰岛素泵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3C537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P-02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69486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普林斯顿医疗科技有限公司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A7332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607DD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1CFB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8DE07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胰岛素泵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A1412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P-02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D4220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普林斯顿医疗科技</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D8D972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6602D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AB61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05D52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胰岛素泵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88285F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P-02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87346A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普林斯顿医疗科技（珠海）有限公司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904FE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080FC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28CB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5F6A0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胰岛素泵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713D5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P-02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99D1E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普林斯顿医疗科技有限公司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E57D60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4715F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B4BB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757CE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胰岛素泵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4F8734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P-02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DA749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普林斯顿医疗科技</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37844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3616F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9CC2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13097C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胰岛素泵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87E51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P-02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6E6AA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普林斯顿医疗科技有限公司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B97FE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2FC13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04CA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3B4F9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胰岛素泵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4A88A8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P-02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34BCA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普林斯顿医疗科技有限公司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40E02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762D1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3597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F6C3C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胰岛素泵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C8044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P-02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4716D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普林斯顿医疗科技有限公司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E362B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04341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20DE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6A116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胰岛素泵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4AAC7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P-02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7B74A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普林斯顿医疗科技有限公司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3EC57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6BD3B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E573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04BEF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胰岛素泵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C9A008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P-02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254A7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普林斯顿医疗科技有限公司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784C2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5C0D3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C0C4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8B8B9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E8687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Epm 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87173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893530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2023/8/14</w:t>
            </w:r>
          </w:p>
        </w:tc>
      </w:tr>
      <w:tr w14:paraId="1B6EE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BF6D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F942D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电脑中频治疗仪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32BFA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HY-D01</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4313E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北京华医新技术研究所</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85701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2021/4/15</w:t>
            </w:r>
          </w:p>
        </w:tc>
      </w:tr>
      <w:tr w14:paraId="2CD15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A070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AC8B2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输液监控系统</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53FC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NGC-3372-15</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EB69C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杭州绿仰科技有限公司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113EC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2020/12/24</w:t>
            </w:r>
          </w:p>
        </w:tc>
      </w:tr>
      <w:tr w14:paraId="1AF5B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EC47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0D143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D12FD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Boaray 5000D</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BC3EF7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深圳市普博医疗科技股份有限公司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A9FF9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2022/12/22</w:t>
            </w:r>
          </w:p>
        </w:tc>
      </w:tr>
      <w:tr w14:paraId="5C72E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55C4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6B71DB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5395B8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Boaray 5000D</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4D206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深圳市普博医疗科技股份有限公司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9ABDA4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2022/12/22</w:t>
            </w:r>
          </w:p>
        </w:tc>
      </w:tr>
      <w:tr w14:paraId="31266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32FA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AC0F9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超声波清洗器</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796E6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LK-CSJ-30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A09E0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老肯医疗科技股份有限公司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E4B49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2023/8/14</w:t>
            </w:r>
          </w:p>
        </w:tc>
      </w:tr>
      <w:tr w14:paraId="2C9A2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C456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622203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内镜清洗工作站</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887AFF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LK-CSJ-30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020B7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老肯医疗科技股份有限公司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2FFC5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2023/8/14</w:t>
            </w:r>
          </w:p>
        </w:tc>
      </w:tr>
      <w:tr w14:paraId="4AD2C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1649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66EA7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内镜清洗工作站</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BC702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LK-CSJ-30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491B8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老肯医疗科技股份有限公司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B7A21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2023/8/14</w:t>
            </w:r>
          </w:p>
        </w:tc>
      </w:tr>
      <w:tr w14:paraId="477B8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7D5E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653E9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内镜清洗工作站</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5ABF7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LK-NQX-R</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9445E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老肯医疗科技股份有限公司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9E13D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2023/8/14</w:t>
            </w:r>
          </w:p>
        </w:tc>
      </w:tr>
      <w:tr w14:paraId="6921F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D096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B5A43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6F72A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E72D4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EE068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717DA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C72E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4F449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4AB19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2320E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7CAE5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53A11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25B8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840ED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886D6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9D1E5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5B04C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1DB45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7A26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3553A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AD464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D0476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9F456C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01143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E937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BF0C7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0E4B1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A99E5A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A68FB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5533C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7EE51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C9766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26C0D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3AE15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FC8EE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6F1F6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4958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7EF33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A162B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FFB1C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4C56C0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543C2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0270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C2405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248DE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41CEE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67AC7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33AD4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9843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B721F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D513AC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HFT-300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EAB23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069B3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2058B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B735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B227C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FD3EFA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HFT-300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C4D0A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B5C2D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20B30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6BF4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05549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0AC61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HFT-300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F0EAE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DFA85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71E18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ABD3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DB213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6F5D9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HFT-300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120ED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313D8C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48200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517F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24C08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C6A002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HFT-300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4AC64A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703470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41B77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48A4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54BFC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61CFFC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HFT-300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030F8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7B7E8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21F1E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6F59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CAA2E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8211D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C64CE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29EC4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39345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1719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F7C96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52231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Epm 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3ED8F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63FFC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2023/8/14</w:t>
            </w:r>
          </w:p>
        </w:tc>
      </w:tr>
      <w:tr w14:paraId="21249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7CF4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3EE87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238506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Epm 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EB9D4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187F9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2023/8/14</w:t>
            </w:r>
          </w:p>
        </w:tc>
      </w:tr>
      <w:tr w14:paraId="341CC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252B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5A72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全自动糖化血红蛋白分析仪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BBC5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AH-600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6066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湖南医疗器械有限公司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7BAAE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2023/4/14</w:t>
            </w:r>
          </w:p>
        </w:tc>
      </w:tr>
      <w:tr w14:paraId="3AA32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3C50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8593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生物安全柜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0E31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HR40-IIA2</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FD28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青岛海尔生物医疗股份有限公司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BFE4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2020/9/2</w:t>
            </w:r>
          </w:p>
        </w:tc>
      </w:tr>
      <w:tr w14:paraId="64ACA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36E9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5120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生物安全柜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E920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HR1500-llA2</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1DA3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青岛海尔生物医疗股份有限公司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402F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2021/10/18</w:t>
            </w:r>
          </w:p>
        </w:tc>
      </w:tr>
      <w:tr w14:paraId="40193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8CE3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1B4D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全自动核酸提取仪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FF76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BG-Fiex-48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1947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上海伯杰医疗科技股份有限公司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4D6C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2022/6/15</w:t>
            </w:r>
          </w:p>
        </w:tc>
      </w:tr>
      <w:tr w14:paraId="34825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E819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CD1E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固定式电池供电骨组织手术设备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2402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BYZ-II 1102</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B2A2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上海博进医疗器械有限公司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3862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2021/6/25</w:t>
            </w:r>
          </w:p>
        </w:tc>
      </w:tr>
      <w:tr w14:paraId="1DA28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D425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9C40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荧光定量聚合酶链反应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630F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FQD-96A</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E3B6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杭州博日科技股份有限公司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A7C3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2022/6/15</w:t>
            </w:r>
          </w:p>
        </w:tc>
      </w:tr>
      <w:tr w14:paraId="69F4C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DB31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B38C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心肺复苏仪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A45F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E1</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3834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深圳市安保科技有限公司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FB8E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2021/8/16</w:t>
            </w:r>
          </w:p>
        </w:tc>
      </w:tr>
      <w:tr w14:paraId="388C0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9AEA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9A0C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CFAC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4530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深圳生物医疗电子有限公司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1E90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2021/7/19</w:t>
            </w:r>
          </w:p>
        </w:tc>
      </w:tr>
      <w:tr w14:paraId="0F9BD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A112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95B9F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62133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SV350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737A0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F29680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2021/1/22</w:t>
            </w:r>
          </w:p>
        </w:tc>
      </w:tr>
      <w:tr w14:paraId="4EEDC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1C4B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F38C0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FCBC2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SV350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958CD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E7E6B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2021/1/22</w:t>
            </w:r>
          </w:p>
        </w:tc>
      </w:tr>
      <w:tr w14:paraId="1DB80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182D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8B94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C431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SV350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32CE5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CDF9A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2021/1/22</w:t>
            </w:r>
          </w:p>
        </w:tc>
      </w:tr>
      <w:tr w14:paraId="65B73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5DBD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F9020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6B142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SV350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A0F0E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F4EB6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2021/1/22</w:t>
            </w:r>
          </w:p>
        </w:tc>
      </w:tr>
      <w:tr w14:paraId="22763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1FBF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B291D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797A2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SV350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880FD4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DB41C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2021/1/22</w:t>
            </w:r>
          </w:p>
        </w:tc>
      </w:tr>
      <w:tr w14:paraId="79F50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37C8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5F12CD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63E9C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SV350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94B88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431A5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2021/1/22</w:t>
            </w:r>
          </w:p>
        </w:tc>
      </w:tr>
      <w:tr w14:paraId="6247A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E76E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506A4B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0DB52F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SV350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B4E11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2E940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2021/1/22</w:t>
            </w:r>
          </w:p>
        </w:tc>
      </w:tr>
      <w:tr w14:paraId="5F7CE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0DC9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9965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E5F8B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SV350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3CC0D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C652F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2021/1/22</w:t>
            </w:r>
          </w:p>
        </w:tc>
      </w:tr>
      <w:tr w14:paraId="737B2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60F0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96539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F00A71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RV-100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FCA65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深圳融昕医疗科技有限公司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1E3BE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3D128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0981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57E03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41137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RV-100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A8F1E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深圳融昕医疗科技有限公司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24E70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64A8D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AC66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86F44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15425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RV-100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98CA25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深圳融昕医疗科技有限公司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C8A65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7AE3F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F56A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5E05E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18B66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RV-100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03262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深圳融昕医疗科技有限公司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F3EF42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3E7A6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31F6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DD459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AA9AD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RS200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32F97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深圳融昕医疗科技有限公司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1AD61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2022/12/20</w:t>
            </w:r>
          </w:p>
        </w:tc>
      </w:tr>
      <w:tr w14:paraId="443A7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8406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0F834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86615F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RS200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EBC15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深圳融昕医疗科技有限公司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B7406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2022/12/20</w:t>
            </w:r>
          </w:p>
        </w:tc>
      </w:tr>
      <w:tr w14:paraId="2EDD4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F411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35848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7ED37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RS200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A2E1F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深圳融昕医疗科技有限公司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2A788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2022/12/20</w:t>
            </w:r>
          </w:p>
        </w:tc>
      </w:tr>
      <w:tr w14:paraId="7616A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74E2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BD47A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DA8D1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RS200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A2A52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深圳融昕医疗科技有限公司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259B9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2022/12/20</w:t>
            </w:r>
          </w:p>
        </w:tc>
      </w:tr>
      <w:tr w14:paraId="43E19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1090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E1592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DA4E4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RS200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0DE79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深圳融昕医疗科技有限公司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90A51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2022/12/20</w:t>
            </w:r>
          </w:p>
        </w:tc>
      </w:tr>
      <w:tr w14:paraId="65971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7763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F70AC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3BB9F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RS200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6FE4DB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深圳融昕医疗科技有限公司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1B516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2022/12/20</w:t>
            </w:r>
          </w:p>
        </w:tc>
      </w:tr>
      <w:tr w14:paraId="6AD97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BB6D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E2AE1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CE139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1C01D7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AD9B7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44187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6B56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CC87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1FA57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98E8A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581F1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34A6F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C5EC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71922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D1130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297F6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6845B8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71B08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4135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0832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E691B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F02AE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FD4DA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6E8CB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81DF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13837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0374AF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1CF01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764CD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0ABEA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D64E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08018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3D605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8DFE5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E3F10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4964D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7185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47D0D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C88F0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BA729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0C0F5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12039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5BBB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C0ECC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ECCDF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DCB8A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9ED07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53642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EF39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4F456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C360A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16FFF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16960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2608D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E7BA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7D2AD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461CE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393DF9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C2838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19FF8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07CAD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CC22F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9DA73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5E6B4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255510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3ED4E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6BD5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F7F60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FBEC7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EABC9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B05F2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652AE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B85E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006F2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681B6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3458AB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AB879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3B5CF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5F8B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9DC70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19E38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71667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155D3F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0B097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D855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9D777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A9AB0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D4306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C9000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200A5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DFF7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DDF38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9D16B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681D2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64D3D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1E365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B9A7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57423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0EBB42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CC84D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F8FA79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51613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1310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F085A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3710E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CDFAD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4507B6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553F4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C86C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894A6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57EB1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28368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770E2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0D9AA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D1048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0B1CE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B0D87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3DF05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CF489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4B5EC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9D03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50049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21E70E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43CB9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31771F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76E67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B5AB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3E020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A312B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11026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738B3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5FC88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7400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A10B1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6F6FA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37A57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867BA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7B681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C7B3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AA73DD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空气波压力治疗仪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7522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AirPro-6000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C66149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8BE31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2021/4/15</w:t>
            </w:r>
          </w:p>
        </w:tc>
      </w:tr>
      <w:tr w14:paraId="18741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45CC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BA0E4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高频振动排系统</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D18B8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PV-100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7EFDB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168047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60FE2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C7CD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02E1F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高频振动排系统</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78C46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PV-100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2B912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B0C43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33AC7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7D54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300C5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高频振动排系统</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258FFB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PV-100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0815F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F4DCD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0FEB8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6CC6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CEF83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胰岛素泵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94E8FD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PH-300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28519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郑州瑞宇科技有限公司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34312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2021/7/1</w:t>
            </w:r>
          </w:p>
        </w:tc>
      </w:tr>
      <w:tr w14:paraId="0D7B3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5401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6BF42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54B3A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1EC6DC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345E46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2022/7/8</w:t>
            </w:r>
          </w:p>
        </w:tc>
      </w:tr>
      <w:tr w14:paraId="4916E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65FF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92BA0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87F00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8A458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034D3B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2022/7/8</w:t>
            </w:r>
          </w:p>
        </w:tc>
      </w:tr>
      <w:tr w14:paraId="424DC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869E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1F17B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DAEFC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54752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17CFD7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2022/7/8</w:t>
            </w:r>
          </w:p>
        </w:tc>
      </w:tr>
      <w:tr w14:paraId="17F06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6231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A056A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18AE7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F491C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31C51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2022/7/8</w:t>
            </w:r>
          </w:p>
        </w:tc>
      </w:tr>
      <w:tr w14:paraId="207D6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F351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318CA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477E7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295DC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F51AC6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2022/7/8</w:t>
            </w:r>
          </w:p>
        </w:tc>
      </w:tr>
      <w:tr w14:paraId="51B26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73F5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AFCDC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FB89E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FFD766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3932C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2022/7/8</w:t>
            </w:r>
          </w:p>
        </w:tc>
      </w:tr>
      <w:tr w14:paraId="1B57A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5E6F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AC9AD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EB93D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48F91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23DE0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218AA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52DA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65339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3BCB5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27E2F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388B57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49A3B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72A3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207B9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07705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8F60D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8BB6B4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0AC37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13AF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81964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B1F7C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D3B03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5C72D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7D7BC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AFAF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D321C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CC9F7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02B18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C24A6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360BB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FD00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35318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78E9C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4AD428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2B6A7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79AF1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E6E7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284E5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401A4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44DC0A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698CB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3DE66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276D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F125A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0E816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FD94A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B71B7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09117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C85B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785C0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797F9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48A91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764FA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3F299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E394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022A8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285ED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2CB34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8935E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605E0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0B20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41AAF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14A3F6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0BBD2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DD765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72EDC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F01F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8CD1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2A716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AB1D30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0C274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32E65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E483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85602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48A898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D4B92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F4D3E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711E3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0282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858C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765DD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3FC9DF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0DAF52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42172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DC127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69680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1ACF0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42F835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19889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3B809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76A3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B529D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5F0AF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C6457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A242B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1B059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60F1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FBF92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1C97D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05485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D246E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6EA6B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552B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61A4E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全自动尿液分析仪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86D565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URIT-1600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E5B0C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桂林优利特医疗电子有限公司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A924C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2024/7/31</w:t>
            </w:r>
          </w:p>
        </w:tc>
      </w:tr>
      <w:tr w14:paraId="02C16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1C76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F6AFF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7E5CC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F60D4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EC2A5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5C3BA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4B33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B2DBA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314F4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F762F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4022E4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3A592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FFBD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FAADA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D6A42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8EB95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7882A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55505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8B05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D3DC4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便携式肺功能测试仪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03059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BH-AX-MAPC</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32290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广州红象医疗科技有限公</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FA46F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2024/3/20</w:t>
            </w:r>
          </w:p>
        </w:tc>
      </w:tr>
      <w:tr w14:paraId="013D2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2578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D4F34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半自动体外除颤仪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82AB5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i5</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D76BA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深圳市安保医疗科技股份有限公司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EC0F1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2024/3/28</w:t>
            </w:r>
          </w:p>
        </w:tc>
      </w:tr>
      <w:tr w14:paraId="09EA3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97FE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98DF8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麻醉视频喉镜</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3EB9E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AVL-1</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DEE21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深圳市安保医疗科技股份有限公司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FD6FE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2024/3/28</w:t>
            </w:r>
          </w:p>
        </w:tc>
      </w:tr>
      <w:tr w14:paraId="52365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E51F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990E5C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麻醉视频喉镜</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1BA7FE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AVL-1</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479A6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深圳市安保医疗科技股份有限公司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615FE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2024/6/20</w:t>
            </w:r>
          </w:p>
        </w:tc>
      </w:tr>
      <w:tr w14:paraId="0F75A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DF9E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BCDC9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定向药透仪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8E2B7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WND-ZZ-2TD</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16264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桂林市威诺敦医疗器械有限公司有限公司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F53D7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2024/11/27</w:t>
            </w:r>
          </w:p>
        </w:tc>
      </w:tr>
      <w:tr w14:paraId="0B7B9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E9B8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D100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双水平无创呼吸机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A928F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ST-30H</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891F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湖南明康中锦医疗科技发展有限公司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0CD9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2020/2/28</w:t>
            </w:r>
          </w:p>
        </w:tc>
      </w:tr>
      <w:tr w14:paraId="6D864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0F10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68085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数字化彩色超声波诊断装置</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116F79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ARIGTTA 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68DC60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日立医疗（广州）有限公司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F986B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2020/2/7</w:t>
            </w:r>
          </w:p>
        </w:tc>
      </w:tr>
      <w:tr w14:paraId="42EB2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FB28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C5486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D3327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2470B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AA6D8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2016/3/9</w:t>
            </w:r>
          </w:p>
        </w:tc>
      </w:tr>
      <w:tr w14:paraId="7601D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AF6A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8D27B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5D769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0AB29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9F996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2019/3/9</w:t>
            </w:r>
          </w:p>
        </w:tc>
      </w:tr>
      <w:tr w14:paraId="382B2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F905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43485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4056F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0DB90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D8FED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20193/9</w:t>
            </w:r>
          </w:p>
        </w:tc>
      </w:tr>
      <w:tr w14:paraId="571FB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11DF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38AA6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B997C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B1D9A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6C6F4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2018/3/9</w:t>
            </w:r>
          </w:p>
        </w:tc>
      </w:tr>
      <w:tr w14:paraId="1D12D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759D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940FF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医用X射线诊断机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F853B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DRF-5A</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37DFF4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北京万东医疗科技股份有限公司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8B52FB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2021/10/18</w:t>
            </w:r>
          </w:p>
        </w:tc>
      </w:tr>
      <w:tr w14:paraId="6D365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5BD3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441</w:t>
            </w:r>
          </w:p>
        </w:tc>
        <w:tc>
          <w:tcPr>
            <w:tcW w:w="0" w:type="auto"/>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5F4FD2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血透机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1A141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4008B</w:t>
            </w:r>
          </w:p>
        </w:tc>
        <w:tc>
          <w:tcPr>
            <w:tcW w:w="3495" w:type="dxa"/>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58E084B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德国费森尤斯</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3B9BC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2015/3/28</w:t>
            </w:r>
          </w:p>
        </w:tc>
      </w:tr>
      <w:tr w14:paraId="379AE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89B0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442</w:t>
            </w:r>
          </w:p>
        </w:tc>
        <w:tc>
          <w:tcPr>
            <w:tcW w:w="0" w:type="auto"/>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58FF0E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血透机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52AF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4008B</w:t>
            </w:r>
          </w:p>
        </w:tc>
        <w:tc>
          <w:tcPr>
            <w:tcW w:w="3495" w:type="dxa"/>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4532CA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德国费森尤斯</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08E14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2015/3/28</w:t>
            </w:r>
          </w:p>
        </w:tc>
      </w:tr>
      <w:tr w14:paraId="1A99C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D8F0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443</w:t>
            </w:r>
          </w:p>
        </w:tc>
        <w:tc>
          <w:tcPr>
            <w:tcW w:w="0" w:type="auto"/>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2AAA82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血透机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753B8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4008B</w:t>
            </w:r>
          </w:p>
        </w:tc>
        <w:tc>
          <w:tcPr>
            <w:tcW w:w="3495" w:type="dxa"/>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5B35BD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德国费森尤斯</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4B904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2015/3/28</w:t>
            </w:r>
          </w:p>
        </w:tc>
      </w:tr>
      <w:tr w14:paraId="5118B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F014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444</w:t>
            </w:r>
          </w:p>
        </w:tc>
        <w:tc>
          <w:tcPr>
            <w:tcW w:w="0" w:type="auto"/>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22637F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血透机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5AE67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4008B</w:t>
            </w:r>
          </w:p>
        </w:tc>
        <w:tc>
          <w:tcPr>
            <w:tcW w:w="3495" w:type="dxa"/>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03B69D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德国费森尤斯</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DC634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2015/3/28</w:t>
            </w:r>
          </w:p>
        </w:tc>
      </w:tr>
      <w:tr w14:paraId="25808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9D4B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445</w:t>
            </w:r>
          </w:p>
        </w:tc>
        <w:tc>
          <w:tcPr>
            <w:tcW w:w="0" w:type="auto"/>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7402DC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血透机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ED25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4008B</w:t>
            </w:r>
          </w:p>
        </w:tc>
        <w:tc>
          <w:tcPr>
            <w:tcW w:w="3495" w:type="dxa"/>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61C2A6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德国费森尤斯</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B2A6A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2015/3/28</w:t>
            </w:r>
          </w:p>
        </w:tc>
      </w:tr>
      <w:tr w14:paraId="762A9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7656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446</w:t>
            </w:r>
          </w:p>
        </w:tc>
        <w:tc>
          <w:tcPr>
            <w:tcW w:w="0" w:type="auto"/>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22BF1E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血透机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30EF8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4008B</w:t>
            </w:r>
          </w:p>
        </w:tc>
        <w:tc>
          <w:tcPr>
            <w:tcW w:w="3495" w:type="dxa"/>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203F13B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德国费森尤斯</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4FC47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2015/3/28</w:t>
            </w:r>
          </w:p>
        </w:tc>
      </w:tr>
      <w:tr w14:paraId="12442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6A34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447</w:t>
            </w:r>
          </w:p>
        </w:tc>
        <w:tc>
          <w:tcPr>
            <w:tcW w:w="0" w:type="auto"/>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7A6D74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血透机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9EDF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4008B</w:t>
            </w:r>
          </w:p>
        </w:tc>
        <w:tc>
          <w:tcPr>
            <w:tcW w:w="3495" w:type="dxa"/>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310004A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德国费森尤斯</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B85C8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2015/3/28</w:t>
            </w:r>
          </w:p>
        </w:tc>
      </w:tr>
      <w:tr w14:paraId="0F95E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15FA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448</w:t>
            </w:r>
          </w:p>
        </w:tc>
        <w:tc>
          <w:tcPr>
            <w:tcW w:w="0" w:type="auto"/>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0D484B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血透机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83BDE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SWS-4000A</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EA734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重庆山外山科技有限公司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2FDE4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2018/3/28</w:t>
            </w:r>
          </w:p>
        </w:tc>
      </w:tr>
      <w:tr w14:paraId="30761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7F69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E987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空气波压力治疗仪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A265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AP1000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E269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珠海黑马医学仪器有限公司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1A866A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2020/11/19</w:t>
            </w:r>
          </w:p>
        </w:tc>
      </w:tr>
      <w:tr w14:paraId="44537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55C6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F7AC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空气波压力治疗仪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9EEA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AP1000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406A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珠海黑马医学仪器有限公司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75A25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2020/11/19</w:t>
            </w:r>
          </w:p>
        </w:tc>
      </w:tr>
      <w:tr w14:paraId="01221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2D61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18C6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空气波压力治疗仪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2F6F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AP1000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6375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珠海黑马医学仪器有限公司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89D95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2020/11/19</w:t>
            </w:r>
          </w:p>
        </w:tc>
      </w:tr>
      <w:tr w14:paraId="41281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7285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626A6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麻醉呼吸回路消毒机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96C71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YE-360C</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9591B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江苏医尔健康管理有限公司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60058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2023/12/20</w:t>
            </w:r>
          </w:p>
        </w:tc>
      </w:tr>
      <w:tr w14:paraId="3A40F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04B9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68C0F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生物安全柜</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18D57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HR30-IIA2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583AB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海尔</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169829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2019/10/26</w:t>
            </w:r>
          </w:p>
        </w:tc>
      </w:tr>
      <w:tr w14:paraId="1910E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78FD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2102D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27A99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AA836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4553C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2017/10/31</w:t>
            </w:r>
          </w:p>
        </w:tc>
      </w:tr>
      <w:tr w14:paraId="4F962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51A6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1BA61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38471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547ED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B82196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2019/8/8</w:t>
            </w:r>
          </w:p>
        </w:tc>
      </w:tr>
      <w:tr w14:paraId="563A3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AB44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E00E4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D03EF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2370E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D5D64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2019/8/8</w:t>
            </w:r>
          </w:p>
        </w:tc>
      </w:tr>
      <w:tr w14:paraId="6BF6D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EBEC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5BFDA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高频振动排痰系统</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945C0D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PV-100(背心式)</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7BA78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E15B17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1079F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8C92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62CFF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C423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DPfusion SPD2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1FD030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长沙迪普美医疗科技有限公司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D33BE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027A0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DB9C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2695B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74E57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DPfusion SPD2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B2D39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长沙迪普美医疗科技有限公司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ABD3F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45AD3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603B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32588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27C08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DPfusion SPD2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35BAA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长沙迪普美医疗科技有限公司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E9D1D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59865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E36A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AFBDF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2DB5D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DPfusion SPD2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F9D22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长沙迪普美医疗科技有限公司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4146D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381D5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CEB7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205B8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EE25CB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DPfusion SPD2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1E051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长沙迪普美医疗科技有限公司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C830B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40E40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BD9C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92512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69A57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DPfusion SPD2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50EA3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长沙迪普美医疗科技有限公司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87743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335A1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D679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1C2D9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E9776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DPfusion SPD2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50E07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长沙迪普美医疗科技有限公司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1368B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1CB86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17AA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F7E31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3F2A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DPfusion SPD2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5F937A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长沙迪普美医疗科技有限公司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7FBC1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18B16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B57F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79EEDE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21E0B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DPfusion SPD2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B1F57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长沙迪普美医疗科技有限公司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014F9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51483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F1EF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79B87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A3C838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DPfusion SPD2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89E65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长沙迪普美医疗科技有限公司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618FD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1B368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1DE8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468</w:t>
            </w:r>
          </w:p>
        </w:tc>
        <w:tc>
          <w:tcPr>
            <w:tcW w:w="2550" w:type="dxa"/>
            <w:tcBorders>
              <w:top w:val="single" w:color="000000" w:sz="4" w:space="0"/>
              <w:left w:val="single" w:color="000000" w:sz="4" w:space="0"/>
              <w:bottom w:val="single" w:color="000000" w:sz="4" w:space="0"/>
              <w:right w:val="single" w:color="000000" w:sz="4" w:space="0"/>
            </w:tcBorders>
            <w:noWrap w:val="0"/>
            <w:vAlign w:val="center"/>
          </w:tcPr>
          <w:p w14:paraId="212A60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半自动体外除颤仪</w:t>
            </w:r>
          </w:p>
        </w:tc>
        <w:tc>
          <w:tcPr>
            <w:tcW w:w="2106" w:type="dxa"/>
            <w:tcBorders>
              <w:top w:val="single" w:color="000000" w:sz="4" w:space="0"/>
              <w:left w:val="single" w:color="000000" w:sz="4" w:space="0"/>
              <w:bottom w:val="single" w:color="000000" w:sz="4" w:space="0"/>
              <w:right w:val="single" w:color="000000" w:sz="4" w:space="0"/>
            </w:tcBorders>
            <w:noWrap w:val="0"/>
            <w:vAlign w:val="center"/>
          </w:tcPr>
          <w:p w14:paraId="7B1F5F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AED-3100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1270B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上海光电医用电子仪器有限公司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233FB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2021/7/20</w:t>
            </w:r>
          </w:p>
        </w:tc>
      </w:tr>
    </w:tbl>
    <w:p w14:paraId="50BA1706">
      <w:pPr>
        <w:pStyle w:val="12"/>
        <w:rPr>
          <w:highlight w:val="none"/>
        </w:rPr>
      </w:pPr>
    </w:p>
    <w:p w14:paraId="100C5C3C">
      <w:pPr>
        <w:pStyle w:val="12"/>
        <w:rPr>
          <w:highlight w:val="none"/>
        </w:rPr>
      </w:pPr>
    </w:p>
    <w:p w14:paraId="5AE6C343">
      <w:pPr>
        <w:pStyle w:val="12"/>
        <w:rPr>
          <w:highlight w:val="none"/>
        </w:rPr>
      </w:pPr>
    </w:p>
    <w:p w14:paraId="71FB1A97">
      <w:pPr>
        <w:pStyle w:val="12"/>
        <w:rPr>
          <w:highlight w:val="none"/>
        </w:rPr>
      </w:pPr>
    </w:p>
    <w:p w14:paraId="1F67D389">
      <w:pPr>
        <w:pStyle w:val="12"/>
        <w:rPr>
          <w:highlight w:val="none"/>
        </w:rPr>
      </w:pPr>
    </w:p>
    <w:p w14:paraId="5AA0475F">
      <w:pPr>
        <w:pStyle w:val="12"/>
        <w:rPr>
          <w:highlight w:val="none"/>
        </w:rPr>
      </w:pPr>
    </w:p>
    <w:p w14:paraId="321E5B73">
      <w:pPr>
        <w:pStyle w:val="12"/>
        <w:rPr>
          <w:highlight w:val="none"/>
        </w:rPr>
      </w:pPr>
    </w:p>
    <w:p w14:paraId="582705C5">
      <w:pPr>
        <w:pStyle w:val="12"/>
        <w:rPr>
          <w:highlight w:val="none"/>
        </w:rPr>
      </w:pPr>
    </w:p>
    <w:p w14:paraId="3C85EEBA">
      <w:pPr>
        <w:pStyle w:val="12"/>
        <w:rPr>
          <w:highlight w:val="none"/>
        </w:rPr>
      </w:pPr>
    </w:p>
    <w:p w14:paraId="379FA6F3">
      <w:pPr>
        <w:pStyle w:val="12"/>
        <w:rPr>
          <w:highlight w:val="none"/>
        </w:rPr>
      </w:pPr>
    </w:p>
    <w:p w14:paraId="0F732B94">
      <w:pPr>
        <w:pStyle w:val="12"/>
        <w:rPr>
          <w:highlight w:val="none"/>
        </w:rPr>
      </w:pPr>
    </w:p>
    <w:p w14:paraId="1E63A251">
      <w:pPr>
        <w:keepNext w:val="0"/>
        <w:keepLines w:val="0"/>
        <w:pageBreakBefore w:val="0"/>
        <w:numPr>
          <w:ilvl w:val="0"/>
          <w:numId w:val="0"/>
        </w:numPr>
        <w:kinsoku/>
        <w:overflowPunct/>
        <w:topLinePunct w:val="0"/>
        <w:autoSpaceDE/>
        <w:autoSpaceDN/>
        <w:bidi w:val="0"/>
        <w:adjustRightInd/>
        <w:snapToGrid/>
        <w:spacing w:line="360" w:lineRule="exact"/>
        <w:textAlignment w:val="auto"/>
        <w:rPr>
          <w:b/>
          <w:bCs/>
          <w:highlight w:val="none"/>
        </w:rPr>
      </w:pPr>
      <w:r>
        <w:rPr>
          <w:rFonts w:hint="default" w:ascii="宋体" w:hAnsi="宋体" w:cs="宋体"/>
          <w:b/>
          <w:color w:val="000000"/>
          <w:szCs w:val="21"/>
          <w:highlight w:val="none"/>
        </w:rPr>
        <w:t>包二：</w:t>
      </w:r>
      <w:r>
        <w:rPr>
          <w:rFonts w:hint="eastAsia" w:ascii="宋体" w:hAnsi="宋体"/>
          <w:b/>
          <w:bCs/>
          <w:kern w:val="0"/>
          <w:szCs w:val="21"/>
          <w:highlight w:val="none"/>
          <w:lang w:val="en-US" w:eastAsia="zh-CN"/>
        </w:rPr>
        <w:t>内镜维保托管服务项目</w:t>
      </w:r>
    </w:p>
    <w:p w14:paraId="7E3ACE1D">
      <w:pPr>
        <w:keepNext w:val="0"/>
        <w:keepLines w:val="0"/>
        <w:pageBreakBefore w:val="0"/>
        <w:numPr>
          <w:ilvl w:val="0"/>
          <w:numId w:val="0"/>
        </w:numPr>
        <w:kinsoku/>
        <w:overflowPunct/>
        <w:topLinePunct w:val="0"/>
        <w:autoSpaceDE/>
        <w:autoSpaceDN/>
        <w:bidi w:val="0"/>
        <w:adjustRightInd/>
        <w:snapToGrid/>
        <w:spacing w:line="360" w:lineRule="exact"/>
        <w:ind w:firstLine="438" w:firstLineChars="200"/>
        <w:textAlignment w:val="auto"/>
        <w:rPr>
          <w:b/>
          <w:bCs/>
          <w:spacing w:val="-1"/>
          <w:sz w:val="22"/>
          <w:szCs w:val="22"/>
          <w:highlight w:val="none"/>
        </w:rPr>
      </w:pPr>
      <w:r>
        <w:rPr>
          <w:rFonts w:hint="default"/>
          <w:b/>
          <w:bCs/>
          <w:spacing w:val="-1"/>
          <w:sz w:val="22"/>
          <w:szCs w:val="22"/>
          <w:highlight w:val="none"/>
        </w:rPr>
        <w:t>（一）服务内容与范围</w:t>
      </w:r>
    </w:p>
    <w:p w14:paraId="65BF96A7">
      <w:pPr>
        <w:keepNext w:val="0"/>
        <w:keepLines w:val="0"/>
        <w:pageBreakBefore w:val="0"/>
        <w:numPr>
          <w:ilvl w:val="0"/>
          <w:numId w:val="0"/>
        </w:numPr>
        <w:kinsoku/>
        <w:overflowPunct/>
        <w:topLinePunct w:val="0"/>
        <w:autoSpaceDE/>
        <w:autoSpaceDN/>
        <w:bidi w:val="0"/>
        <w:adjustRightInd/>
        <w:snapToGrid/>
        <w:spacing w:line="360" w:lineRule="exact"/>
        <w:ind w:firstLine="436" w:firstLineChars="200"/>
        <w:textAlignment w:val="auto"/>
        <w:rPr>
          <w:rFonts w:hint="eastAsia" w:eastAsia="宋体"/>
          <w:spacing w:val="-1"/>
          <w:sz w:val="22"/>
          <w:szCs w:val="22"/>
          <w:highlight w:val="none"/>
          <w:lang w:eastAsia="zh-CN"/>
        </w:rPr>
      </w:pPr>
      <w:r>
        <w:rPr>
          <w:rFonts w:hint="eastAsia" w:ascii="Times New Roman" w:eastAsia="宋体"/>
          <w:spacing w:val="-1"/>
          <w:sz w:val="22"/>
          <w:szCs w:val="22"/>
          <w:highlight w:val="none"/>
          <w:lang w:val="en-US" w:eastAsia="zh-CN"/>
        </w:rPr>
        <w:t>1.</w:t>
      </w:r>
      <w:r>
        <w:rPr>
          <w:rFonts w:hint="default"/>
          <w:spacing w:val="-1"/>
          <w:sz w:val="22"/>
          <w:szCs w:val="22"/>
          <w:highlight w:val="none"/>
        </w:rPr>
        <w:t>设备类型：</w:t>
      </w:r>
      <w:r>
        <w:rPr>
          <w:rFonts w:hint="eastAsia" w:ascii="Times New Roman" w:eastAsia="宋体"/>
          <w:spacing w:val="-1"/>
          <w:sz w:val="22"/>
          <w:szCs w:val="22"/>
          <w:highlight w:val="none"/>
          <w:lang w:val="en-US" w:eastAsia="zh-CN"/>
        </w:rPr>
        <w:t>详见</w:t>
      </w:r>
      <w:r>
        <w:rPr>
          <w:rFonts w:hint="default"/>
          <w:spacing w:val="-1"/>
          <w:sz w:val="22"/>
          <w:szCs w:val="22"/>
          <w:highlight w:val="none"/>
        </w:rPr>
        <w:t>内镜维保</w:t>
      </w:r>
      <w:r>
        <w:rPr>
          <w:rFonts w:hint="eastAsia" w:ascii="Times New Roman" w:eastAsia="宋体"/>
          <w:spacing w:val="-1"/>
          <w:sz w:val="22"/>
          <w:szCs w:val="22"/>
          <w:highlight w:val="none"/>
          <w:lang w:val="en-US" w:eastAsia="zh-CN"/>
        </w:rPr>
        <w:t>服务</w:t>
      </w:r>
      <w:r>
        <w:rPr>
          <w:rFonts w:hint="default"/>
          <w:spacing w:val="-1"/>
          <w:sz w:val="22"/>
          <w:szCs w:val="22"/>
          <w:highlight w:val="none"/>
        </w:rPr>
        <w:t>项目设备清单</w:t>
      </w:r>
      <w:r>
        <w:rPr>
          <w:rFonts w:hint="eastAsia" w:eastAsia="宋体"/>
          <w:spacing w:val="-1"/>
          <w:sz w:val="22"/>
          <w:szCs w:val="22"/>
          <w:highlight w:val="none"/>
          <w:lang w:eastAsia="zh-CN"/>
        </w:rPr>
        <w:t>。</w:t>
      </w:r>
    </w:p>
    <w:p w14:paraId="22ADB729">
      <w:pPr>
        <w:keepNext w:val="0"/>
        <w:keepLines w:val="0"/>
        <w:pageBreakBefore w:val="0"/>
        <w:numPr>
          <w:ilvl w:val="0"/>
          <w:numId w:val="0"/>
        </w:numPr>
        <w:kinsoku/>
        <w:overflowPunct/>
        <w:topLinePunct w:val="0"/>
        <w:autoSpaceDE/>
        <w:autoSpaceDN/>
        <w:bidi w:val="0"/>
        <w:adjustRightInd/>
        <w:snapToGrid/>
        <w:spacing w:line="360" w:lineRule="exact"/>
        <w:ind w:firstLine="436" w:firstLineChars="200"/>
        <w:textAlignment w:val="auto"/>
        <w:rPr>
          <w:rFonts w:hint="eastAsia" w:eastAsia="宋体"/>
          <w:spacing w:val="-1"/>
          <w:sz w:val="22"/>
          <w:szCs w:val="22"/>
          <w:highlight w:val="none"/>
          <w:lang w:eastAsia="zh-CN"/>
        </w:rPr>
      </w:pPr>
      <w:r>
        <w:rPr>
          <w:rFonts w:hint="eastAsia" w:ascii="Times New Roman" w:eastAsia="宋体"/>
          <w:spacing w:val="-1"/>
          <w:sz w:val="22"/>
          <w:szCs w:val="22"/>
          <w:highlight w:val="none"/>
          <w:lang w:val="en-US" w:eastAsia="zh-CN"/>
        </w:rPr>
        <w:t>2.</w:t>
      </w:r>
      <w:r>
        <w:rPr>
          <w:rFonts w:hint="default"/>
          <w:spacing w:val="-1"/>
          <w:sz w:val="22"/>
          <w:szCs w:val="22"/>
          <w:highlight w:val="none"/>
        </w:rPr>
        <w:t>新购</w:t>
      </w:r>
      <w:r>
        <w:rPr>
          <w:rFonts w:hint="eastAsia" w:ascii="Times New Roman" w:eastAsia="宋体"/>
          <w:spacing w:val="-1"/>
          <w:sz w:val="22"/>
          <w:szCs w:val="22"/>
          <w:highlight w:val="none"/>
          <w:lang w:val="en-US" w:eastAsia="zh-CN"/>
        </w:rPr>
        <w:t>设备纳入：新购</w:t>
      </w:r>
      <w:r>
        <w:rPr>
          <w:rFonts w:hint="default"/>
          <w:spacing w:val="-1"/>
          <w:sz w:val="22"/>
          <w:szCs w:val="22"/>
          <w:highlight w:val="none"/>
        </w:rPr>
        <w:t>内镜设备质保期满后纳入本项目维保范围</w:t>
      </w:r>
      <w:r>
        <w:rPr>
          <w:rFonts w:hint="eastAsia" w:eastAsia="宋体"/>
          <w:spacing w:val="-1"/>
          <w:sz w:val="22"/>
          <w:szCs w:val="22"/>
          <w:highlight w:val="none"/>
          <w:lang w:eastAsia="zh-CN"/>
        </w:rPr>
        <w:t>。</w:t>
      </w:r>
    </w:p>
    <w:p w14:paraId="748F94A5">
      <w:pPr>
        <w:keepNext w:val="0"/>
        <w:keepLines w:val="0"/>
        <w:pageBreakBefore w:val="0"/>
        <w:numPr>
          <w:ilvl w:val="0"/>
          <w:numId w:val="0"/>
        </w:numPr>
        <w:kinsoku/>
        <w:overflowPunct/>
        <w:topLinePunct w:val="0"/>
        <w:autoSpaceDE/>
        <w:autoSpaceDN/>
        <w:bidi w:val="0"/>
        <w:adjustRightInd/>
        <w:snapToGrid/>
        <w:spacing w:line="360" w:lineRule="exact"/>
        <w:ind w:firstLine="436" w:firstLineChars="200"/>
        <w:textAlignment w:val="auto"/>
        <w:rPr>
          <w:rFonts w:hint="eastAsia" w:eastAsia="宋体"/>
          <w:spacing w:val="-1"/>
          <w:sz w:val="22"/>
          <w:szCs w:val="22"/>
          <w:highlight w:val="none"/>
          <w:lang w:eastAsia="zh-CN"/>
        </w:rPr>
      </w:pPr>
      <w:r>
        <w:rPr>
          <w:rFonts w:hint="eastAsia" w:ascii="Times New Roman" w:eastAsia="宋体"/>
          <w:spacing w:val="-1"/>
          <w:sz w:val="22"/>
          <w:szCs w:val="22"/>
          <w:highlight w:val="none"/>
          <w:lang w:val="en-US" w:eastAsia="zh-CN"/>
        </w:rPr>
        <w:t>3.</w:t>
      </w:r>
      <w:r>
        <w:rPr>
          <w:rFonts w:hint="default"/>
          <w:spacing w:val="-1"/>
          <w:sz w:val="22"/>
          <w:szCs w:val="22"/>
          <w:highlight w:val="none"/>
        </w:rPr>
        <w:t>保修类型：设备清单内设备全保（易耗品如灯泡、按钮、清洗刷除外）</w:t>
      </w:r>
      <w:r>
        <w:rPr>
          <w:rFonts w:hint="eastAsia" w:eastAsia="宋体"/>
          <w:spacing w:val="-1"/>
          <w:sz w:val="22"/>
          <w:szCs w:val="22"/>
          <w:highlight w:val="none"/>
          <w:lang w:eastAsia="zh-CN"/>
        </w:rPr>
        <w:t>。</w:t>
      </w:r>
    </w:p>
    <w:p w14:paraId="50667C5D">
      <w:pPr>
        <w:keepNext w:val="0"/>
        <w:keepLines w:val="0"/>
        <w:pageBreakBefore w:val="0"/>
        <w:numPr>
          <w:ilvl w:val="0"/>
          <w:numId w:val="0"/>
        </w:numPr>
        <w:kinsoku/>
        <w:overflowPunct/>
        <w:topLinePunct w:val="0"/>
        <w:autoSpaceDE/>
        <w:autoSpaceDN/>
        <w:bidi w:val="0"/>
        <w:adjustRightInd/>
        <w:snapToGrid/>
        <w:spacing w:line="360" w:lineRule="exact"/>
        <w:ind w:firstLine="436" w:firstLineChars="200"/>
        <w:textAlignment w:val="auto"/>
        <w:rPr>
          <w:rFonts w:hint="default"/>
          <w:spacing w:val="-1"/>
          <w:sz w:val="22"/>
          <w:szCs w:val="22"/>
          <w:highlight w:val="none"/>
        </w:rPr>
      </w:pPr>
      <w:r>
        <w:rPr>
          <w:rFonts w:hint="eastAsia" w:ascii="Times New Roman" w:eastAsia="宋体"/>
          <w:spacing w:val="-1"/>
          <w:sz w:val="22"/>
          <w:szCs w:val="22"/>
          <w:highlight w:val="none"/>
          <w:lang w:val="en-US" w:eastAsia="zh-CN"/>
        </w:rPr>
        <w:t>4</w:t>
      </w:r>
      <w:r>
        <w:rPr>
          <w:rFonts w:hint="default"/>
          <w:spacing w:val="-1"/>
          <w:sz w:val="22"/>
          <w:szCs w:val="22"/>
          <w:highlight w:val="none"/>
        </w:rPr>
        <w:t>服务内容：提供驻场维修服务</w:t>
      </w:r>
      <w:r>
        <w:rPr>
          <w:rFonts w:hint="eastAsia" w:eastAsia="宋体"/>
          <w:spacing w:val="-1"/>
          <w:sz w:val="22"/>
          <w:szCs w:val="22"/>
          <w:highlight w:val="none"/>
          <w:lang w:eastAsia="zh-CN"/>
        </w:rPr>
        <w:t>；</w:t>
      </w:r>
      <w:r>
        <w:rPr>
          <w:spacing w:val="-1"/>
          <w:sz w:val="22"/>
          <w:szCs w:val="22"/>
          <w:highlight w:val="none"/>
        </w:rPr>
        <w:t>提供每月一次的定期维护与保养，定期的维护保养服务项目包括：设备的机械安全检查、电气安全检查、设备除尘保养、运行状态检查等，保养中需要更换的损耗品由投标人免费提供。维修或保养完成后，投标人需提供维修报告、保养报告等。</w:t>
      </w:r>
    </w:p>
    <w:p w14:paraId="7AAC86A0">
      <w:pPr>
        <w:keepNext w:val="0"/>
        <w:keepLines w:val="0"/>
        <w:pageBreakBefore w:val="0"/>
        <w:numPr>
          <w:ilvl w:val="0"/>
          <w:numId w:val="4"/>
        </w:numPr>
        <w:kinsoku/>
        <w:overflowPunct/>
        <w:topLinePunct w:val="0"/>
        <w:autoSpaceDE/>
        <w:autoSpaceDN/>
        <w:bidi w:val="0"/>
        <w:adjustRightInd/>
        <w:snapToGrid/>
        <w:spacing w:line="360" w:lineRule="exact"/>
        <w:ind w:firstLine="420" w:firstLineChars="200"/>
        <w:textAlignment w:val="auto"/>
        <w:rPr>
          <w:rFonts w:hint="default" w:ascii="Segoe UI" w:hAnsi="Segoe UI" w:eastAsia="Segoe UI" w:cs="Segoe UI"/>
          <w:b/>
          <w:bCs/>
          <w:i w:val="0"/>
          <w:iCs w:val="0"/>
          <w:caps w:val="0"/>
          <w:color w:val="0F1115"/>
          <w:spacing w:val="0"/>
          <w:highlight w:val="none"/>
          <w:shd w:val="clear" w:color="auto" w:fill="FFFFFF"/>
        </w:rPr>
      </w:pPr>
      <w:r>
        <w:rPr>
          <w:rFonts w:hint="default" w:ascii="Segoe UI" w:hAnsi="Segoe UI" w:eastAsia="Segoe UI" w:cs="Segoe UI"/>
          <w:b/>
          <w:bCs/>
          <w:i w:val="0"/>
          <w:iCs w:val="0"/>
          <w:caps w:val="0"/>
          <w:color w:val="0F1115"/>
          <w:spacing w:val="0"/>
          <w:highlight w:val="none"/>
          <w:shd w:val="clear" w:color="auto" w:fill="FFFFFF"/>
        </w:rPr>
        <w:t>服务要求</w:t>
      </w:r>
    </w:p>
    <w:p w14:paraId="36DE0DCC">
      <w:pPr>
        <w:keepNext w:val="0"/>
        <w:keepLines w:val="0"/>
        <w:pageBreakBefore w:val="0"/>
        <w:numPr>
          <w:ilvl w:val="0"/>
          <w:numId w:val="0"/>
        </w:numPr>
        <w:kinsoku/>
        <w:overflowPunct/>
        <w:topLinePunct w:val="0"/>
        <w:autoSpaceDE/>
        <w:autoSpaceDN/>
        <w:bidi w:val="0"/>
        <w:adjustRightInd/>
        <w:snapToGrid/>
        <w:spacing w:line="360" w:lineRule="exact"/>
        <w:ind w:firstLine="428" w:firstLineChars="200"/>
        <w:textAlignment w:val="auto"/>
        <w:rPr>
          <w:spacing w:val="-2"/>
          <w:sz w:val="22"/>
          <w:szCs w:val="22"/>
          <w:highlight w:val="none"/>
        </w:rPr>
      </w:pPr>
      <w:r>
        <w:rPr>
          <w:rFonts w:hint="eastAsia" w:ascii="Times New Roman" w:eastAsia="宋体"/>
          <w:spacing w:val="-3"/>
          <w:sz w:val="22"/>
          <w:szCs w:val="22"/>
          <w:highlight w:val="none"/>
          <w:lang w:val="en-US" w:eastAsia="zh-CN"/>
        </w:rPr>
        <w:t>1.</w:t>
      </w:r>
      <w:r>
        <w:rPr>
          <w:spacing w:val="-3"/>
          <w:sz w:val="22"/>
          <w:szCs w:val="22"/>
          <w:highlight w:val="none"/>
        </w:rPr>
        <w:t>开机率</w:t>
      </w:r>
      <w:r>
        <w:rPr>
          <w:rFonts w:hint="eastAsia" w:eastAsia="宋体"/>
          <w:spacing w:val="-3"/>
          <w:sz w:val="22"/>
          <w:szCs w:val="22"/>
          <w:highlight w:val="none"/>
          <w:lang w:eastAsia="zh-CN"/>
        </w:rPr>
        <w:t>：</w:t>
      </w:r>
      <w:r>
        <w:rPr>
          <w:rFonts w:hint="default"/>
          <w:spacing w:val="-1"/>
          <w:sz w:val="22"/>
          <w:szCs w:val="22"/>
          <w:highlight w:val="none"/>
        </w:rPr>
        <w:t>须确保开机率≥9</w:t>
      </w:r>
      <w:r>
        <w:rPr>
          <w:rFonts w:hint="eastAsia" w:ascii="Times New Roman" w:eastAsia="宋体"/>
          <w:spacing w:val="-1"/>
          <w:sz w:val="22"/>
          <w:szCs w:val="22"/>
          <w:highlight w:val="none"/>
          <w:lang w:val="en-US" w:eastAsia="zh-CN"/>
        </w:rPr>
        <w:t>7</w:t>
      </w:r>
      <w:r>
        <w:rPr>
          <w:rFonts w:hint="default"/>
          <w:spacing w:val="-1"/>
          <w:sz w:val="22"/>
          <w:szCs w:val="22"/>
          <w:highlight w:val="none"/>
        </w:rPr>
        <w:t>%，按一年365天每天24小时计算，每年统计一次。对于开机率低于9</w:t>
      </w:r>
      <w:r>
        <w:rPr>
          <w:rFonts w:hint="eastAsia" w:ascii="Times New Roman" w:eastAsia="宋体"/>
          <w:spacing w:val="-1"/>
          <w:sz w:val="22"/>
          <w:szCs w:val="22"/>
          <w:highlight w:val="none"/>
          <w:lang w:val="en-US" w:eastAsia="zh-CN"/>
        </w:rPr>
        <w:t>7</w:t>
      </w:r>
      <w:r>
        <w:rPr>
          <w:rFonts w:hint="default"/>
          <w:spacing w:val="-1"/>
          <w:sz w:val="22"/>
          <w:szCs w:val="22"/>
          <w:highlight w:val="none"/>
        </w:rPr>
        <w:t>%的每一个百分点（不足一个百分点按一个百分点计算），服务合同期限将相应延长7个日历日。</w:t>
      </w:r>
    </w:p>
    <w:p w14:paraId="32B344EF">
      <w:pPr>
        <w:keepNext w:val="0"/>
        <w:keepLines w:val="0"/>
        <w:pageBreakBefore w:val="0"/>
        <w:numPr>
          <w:ilvl w:val="0"/>
          <w:numId w:val="0"/>
        </w:numPr>
        <w:kinsoku/>
        <w:overflowPunct/>
        <w:topLinePunct w:val="0"/>
        <w:autoSpaceDE/>
        <w:autoSpaceDN/>
        <w:bidi w:val="0"/>
        <w:adjustRightInd/>
        <w:snapToGrid/>
        <w:spacing w:line="360" w:lineRule="exact"/>
        <w:ind w:firstLine="436" w:firstLineChars="200"/>
        <w:textAlignment w:val="auto"/>
        <w:rPr>
          <w:spacing w:val="-2"/>
          <w:sz w:val="22"/>
          <w:szCs w:val="22"/>
          <w:highlight w:val="none"/>
        </w:rPr>
      </w:pPr>
      <w:r>
        <w:rPr>
          <w:rFonts w:hint="eastAsia" w:ascii="Times New Roman" w:eastAsia="宋体"/>
          <w:spacing w:val="-1"/>
          <w:sz w:val="22"/>
          <w:szCs w:val="22"/>
          <w:highlight w:val="none"/>
          <w:lang w:val="en-US" w:eastAsia="zh-CN"/>
        </w:rPr>
        <w:t>2.备用机：</w:t>
      </w:r>
      <w:r>
        <w:rPr>
          <w:spacing w:val="-1"/>
          <w:sz w:val="22"/>
          <w:szCs w:val="22"/>
          <w:highlight w:val="none"/>
        </w:rPr>
        <w:t>设备故</w:t>
      </w:r>
      <w:r>
        <w:rPr>
          <w:spacing w:val="-2"/>
          <w:sz w:val="22"/>
          <w:szCs w:val="22"/>
          <w:highlight w:val="none"/>
        </w:rPr>
        <w:t>障</w:t>
      </w:r>
      <w:r>
        <w:rPr>
          <w:rFonts w:hint="eastAsia" w:ascii="Times New Roman" w:eastAsia="宋体"/>
          <w:spacing w:val="-2"/>
          <w:sz w:val="22"/>
          <w:szCs w:val="22"/>
          <w:highlight w:val="none"/>
          <w:lang w:val="en-US" w:eastAsia="zh-CN"/>
        </w:rPr>
        <w:t>排除超过</w:t>
      </w:r>
      <w:r>
        <w:rPr>
          <w:rFonts w:hint="eastAsia" w:ascii="Times New Roman" w:eastAsia="宋体"/>
          <w:spacing w:val="-44"/>
          <w:sz w:val="22"/>
          <w:szCs w:val="22"/>
          <w:highlight w:val="none"/>
          <w:lang w:val="en-US" w:eastAsia="zh-CN"/>
        </w:rPr>
        <w:t>48</w:t>
      </w:r>
      <w:r>
        <w:rPr>
          <w:spacing w:val="-2"/>
          <w:sz w:val="22"/>
          <w:szCs w:val="22"/>
          <w:highlight w:val="none"/>
        </w:rPr>
        <w:t>小时</w:t>
      </w:r>
      <w:r>
        <w:rPr>
          <w:rFonts w:hint="eastAsia" w:eastAsia="宋体"/>
          <w:spacing w:val="-2"/>
          <w:sz w:val="22"/>
          <w:szCs w:val="22"/>
          <w:highlight w:val="none"/>
          <w:lang w:eastAsia="zh-CN"/>
        </w:rPr>
        <w:t>，</w:t>
      </w:r>
      <w:r>
        <w:rPr>
          <w:spacing w:val="-2"/>
          <w:sz w:val="22"/>
          <w:szCs w:val="22"/>
          <w:highlight w:val="none"/>
        </w:rPr>
        <w:t>提供备用机或备用镜。</w:t>
      </w:r>
    </w:p>
    <w:p w14:paraId="2561A48A">
      <w:pPr>
        <w:keepNext w:val="0"/>
        <w:keepLines w:val="0"/>
        <w:pageBreakBefore w:val="0"/>
        <w:numPr>
          <w:ilvl w:val="0"/>
          <w:numId w:val="0"/>
        </w:numPr>
        <w:kinsoku/>
        <w:overflowPunct/>
        <w:topLinePunct w:val="0"/>
        <w:autoSpaceDE/>
        <w:autoSpaceDN/>
        <w:bidi w:val="0"/>
        <w:adjustRightInd/>
        <w:snapToGrid/>
        <w:spacing w:line="360" w:lineRule="exact"/>
        <w:ind w:firstLine="428" w:firstLineChars="200"/>
        <w:textAlignment w:val="auto"/>
        <w:rPr>
          <w:rFonts w:hint="eastAsia"/>
          <w:spacing w:val="-3"/>
          <w:sz w:val="22"/>
          <w:szCs w:val="22"/>
          <w:highlight w:val="none"/>
          <w:lang w:val="en-US" w:eastAsia="zh-CN"/>
        </w:rPr>
      </w:pPr>
      <w:r>
        <w:rPr>
          <w:rFonts w:hint="eastAsia" w:ascii="Times New Roman" w:eastAsia="宋体"/>
          <w:spacing w:val="-3"/>
          <w:sz w:val="22"/>
          <w:szCs w:val="22"/>
          <w:highlight w:val="none"/>
          <w:lang w:val="en-US" w:eastAsia="zh-CN"/>
        </w:rPr>
        <w:t>3.服务时间：</w:t>
      </w:r>
      <w:r>
        <w:rPr>
          <w:spacing w:val="-3"/>
          <w:sz w:val="22"/>
          <w:szCs w:val="22"/>
          <w:highlight w:val="none"/>
        </w:rPr>
        <w:t>周一至周日；初次电话响应时间：</w:t>
      </w:r>
      <w:r>
        <w:rPr>
          <w:rFonts w:hint="eastAsia" w:ascii="Times New Roman" w:eastAsia="宋体"/>
          <w:spacing w:val="-3"/>
          <w:sz w:val="22"/>
          <w:szCs w:val="22"/>
          <w:highlight w:val="none"/>
          <w:lang w:val="en-US" w:eastAsia="zh-CN"/>
        </w:rPr>
        <w:t>15分钟</w:t>
      </w:r>
      <w:r>
        <w:rPr>
          <w:spacing w:val="-3"/>
          <w:sz w:val="22"/>
          <w:szCs w:val="22"/>
          <w:highlight w:val="none"/>
        </w:rPr>
        <w:t>内；工程师 2小时内现场响应，一般性故障 48小时内故障排除。</w:t>
      </w:r>
    </w:p>
    <w:p w14:paraId="30ACD0DB">
      <w:pPr>
        <w:keepNext w:val="0"/>
        <w:keepLines w:val="0"/>
        <w:pageBreakBefore w:val="0"/>
        <w:numPr>
          <w:ilvl w:val="0"/>
          <w:numId w:val="0"/>
        </w:numPr>
        <w:kinsoku/>
        <w:overflowPunct/>
        <w:topLinePunct w:val="0"/>
        <w:autoSpaceDE/>
        <w:autoSpaceDN/>
        <w:bidi w:val="0"/>
        <w:adjustRightInd/>
        <w:snapToGrid/>
        <w:spacing w:line="360" w:lineRule="exact"/>
        <w:ind w:firstLine="432" w:firstLineChars="200"/>
        <w:textAlignment w:val="auto"/>
        <w:rPr>
          <w:rFonts w:hint="eastAsia"/>
          <w:spacing w:val="-2"/>
          <w:sz w:val="22"/>
          <w:szCs w:val="22"/>
          <w:highlight w:val="none"/>
          <w:lang w:val="en-US" w:eastAsia="zh-CN"/>
        </w:rPr>
      </w:pPr>
      <w:r>
        <w:rPr>
          <w:rFonts w:hint="eastAsia" w:ascii="Times New Roman" w:eastAsia="宋体"/>
          <w:spacing w:val="-2"/>
          <w:sz w:val="22"/>
          <w:szCs w:val="22"/>
          <w:highlight w:val="none"/>
          <w:lang w:val="en-US" w:eastAsia="zh-CN"/>
        </w:rPr>
        <w:t>4.</w:t>
      </w:r>
      <w:r>
        <w:rPr>
          <w:spacing w:val="-2"/>
          <w:sz w:val="22"/>
          <w:szCs w:val="22"/>
          <w:highlight w:val="none"/>
        </w:rPr>
        <w:t>设备档案管理</w:t>
      </w:r>
      <w:r>
        <w:rPr>
          <w:rFonts w:hint="eastAsia" w:eastAsia="宋体"/>
          <w:spacing w:val="-2"/>
          <w:sz w:val="22"/>
          <w:szCs w:val="22"/>
          <w:highlight w:val="none"/>
          <w:lang w:eastAsia="zh-CN"/>
        </w:rPr>
        <w:t>：</w:t>
      </w:r>
      <w:r>
        <w:rPr>
          <w:spacing w:val="-2"/>
          <w:sz w:val="22"/>
          <w:szCs w:val="22"/>
          <w:highlight w:val="none"/>
        </w:rPr>
        <w:t>按</w:t>
      </w:r>
      <w:r>
        <w:rPr>
          <w:rFonts w:hint="eastAsia" w:ascii="Times New Roman" w:eastAsia="宋体"/>
          <w:spacing w:val="-2"/>
          <w:sz w:val="22"/>
          <w:szCs w:val="22"/>
          <w:highlight w:val="none"/>
          <w:lang w:val="en-US" w:eastAsia="zh-CN"/>
        </w:rPr>
        <w:t>采购人</w:t>
      </w:r>
      <w:r>
        <w:rPr>
          <w:spacing w:val="-2"/>
          <w:sz w:val="22"/>
          <w:szCs w:val="22"/>
          <w:highlight w:val="none"/>
        </w:rPr>
        <w:t>统一要求建立设备技术档案交由使用科室专门存档：</w:t>
      </w:r>
      <w:r>
        <w:rPr>
          <w:rFonts w:hint="eastAsia" w:ascii="Times New Roman" w:eastAsia="宋体"/>
          <w:spacing w:val="-2"/>
          <w:sz w:val="22"/>
          <w:szCs w:val="22"/>
          <w:highlight w:val="none"/>
          <w:lang w:val="en-US" w:eastAsia="zh-CN"/>
        </w:rPr>
        <w:t>如</w:t>
      </w:r>
      <w:r>
        <w:rPr>
          <w:spacing w:val="-2"/>
          <w:sz w:val="22"/>
          <w:szCs w:val="22"/>
          <w:highlight w:val="none"/>
        </w:rPr>
        <w:t>每次维修后，维修记录归档保存；每月巡检，提供巡检报告；每年提供</w:t>
      </w:r>
      <w:r>
        <w:rPr>
          <w:spacing w:val="-29"/>
          <w:sz w:val="22"/>
          <w:szCs w:val="22"/>
          <w:highlight w:val="none"/>
        </w:rPr>
        <w:t xml:space="preserve"> </w:t>
      </w:r>
      <w:r>
        <w:rPr>
          <w:spacing w:val="-2"/>
          <w:sz w:val="22"/>
          <w:szCs w:val="22"/>
          <w:highlight w:val="none"/>
        </w:rPr>
        <w:t>4</w:t>
      </w:r>
      <w:r>
        <w:rPr>
          <w:spacing w:val="-43"/>
          <w:sz w:val="22"/>
          <w:szCs w:val="22"/>
          <w:highlight w:val="none"/>
        </w:rPr>
        <w:t xml:space="preserve"> </w:t>
      </w:r>
      <w:r>
        <w:rPr>
          <w:spacing w:val="-2"/>
          <w:sz w:val="22"/>
          <w:szCs w:val="22"/>
          <w:highlight w:val="none"/>
        </w:rPr>
        <w:t>次</w:t>
      </w:r>
      <w:r>
        <w:rPr>
          <w:spacing w:val="-1"/>
          <w:sz w:val="22"/>
          <w:szCs w:val="22"/>
          <w:highlight w:val="none"/>
        </w:rPr>
        <w:t>保养，每次保养后，做好设备保养台</w:t>
      </w:r>
      <w:r>
        <w:rPr>
          <w:spacing w:val="-2"/>
          <w:sz w:val="22"/>
          <w:szCs w:val="22"/>
          <w:highlight w:val="none"/>
        </w:rPr>
        <w:t>账、提供年度维保报告。</w:t>
      </w:r>
    </w:p>
    <w:p w14:paraId="747A7E27">
      <w:pPr>
        <w:keepNext w:val="0"/>
        <w:keepLines w:val="0"/>
        <w:pageBreakBefore w:val="0"/>
        <w:numPr>
          <w:ilvl w:val="0"/>
          <w:numId w:val="0"/>
        </w:numPr>
        <w:kinsoku/>
        <w:overflowPunct/>
        <w:topLinePunct w:val="0"/>
        <w:autoSpaceDE/>
        <w:autoSpaceDN/>
        <w:bidi w:val="0"/>
        <w:adjustRightInd/>
        <w:snapToGrid/>
        <w:spacing w:line="360" w:lineRule="exact"/>
        <w:ind w:firstLine="432" w:firstLineChars="200"/>
        <w:textAlignment w:val="auto"/>
        <w:rPr>
          <w:rFonts w:hint="eastAsia" w:eastAsia="宋体"/>
          <w:spacing w:val="-2"/>
          <w:sz w:val="22"/>
          <w:szCs w:val="22"/>
          <w:highlight w:val="none"/>
          <w:lang w:val="en-US" w:eastAsia="zh-CN"/>
        </w:rPr>
      </w:pPr>
      <w:r>
        <w:rPr>
          <w:rFonts w:hint="eastAsia" w:ascii="Times New Roman" w:eastAsia="宋体"/>
          <w:spacing w:val="-2"/>
          <w:sz w:val="22"/>
          <w:szCs w:val="22"/>
          <w:highlight w:val="none"/>
          <w:lang w:val="en-US" w:eastAsia="zh-CN"/>
        </w:rPr>
        <w:t>5.</w:t>
      </w:r>
      <w:r>
        <w:rPr>
          <w:spacing w:val="-2"/>
          <w:sz w:val="22"/>
          <w:szCs w:val="22"/>
          <w:highlight w:val="none"/>
        </w:rPr>
        <w:t>其他</w:t>
      </w:r>
      <w:r>
        <w:rPr>
          <w:rFonts w:hint="eastAsia" w:eastAsia="宋体"/>
          <w:spacing w:val="-2"/>
          <w:sz w:val="22"/>
          <w:szCs w:val="22"/>
          <w:highlight w:val="none"/>
          <w:lang w:eastAsia="zh-CN"/>
        </w:rPr>
        <w:t>：</w:t>
      </w:r>
      <w:r>
        <w:rPr>
          <w:spacing w:val="-2"/>
          <w:sz w:val="22"/>
          <w:szCs w:val="22"/>
          <w:highlight w:val="none"/>
        </w:rPr>
        <w:t>负责解决以上所有设备脱保期间发生的所有故障</w:t>
      </w:r>
      <w:r>
        <w:rPr>
          <w:rFonts w:hint="eastAsia" w:eastAsia="宋体"/>
          <w:spacing w:val="-2"/>
          <w:sz w:val="22"/>
          <w:szCs w:val="22"/>
          <w:highlight w:val="none"/>
          <w:lang w:eastAsia="zh-CN"/>
        </w:rPr>
        <w:t>。</w:t>
      </w:r>
    </w:p>
    <w:p w14:paraId="3267074A">
      <w:pPr>
        <w:keepNext w:val="0"/>
        <w:keepLines w:val="0"/>
        <w:pageBreakBefore w:val="0"/>
        <w:numPr>
          <w:ilvl w:val="0"/>
          <w:numId w:val="0"/>
        </w:numPr>
        <w:kinsoku/>
        <w:overflowPunct/>
        <w:topLinePunct w:val="0"/>
        <w:autoSpaceDE/>
        <w:autoSpaceDN/>
        <w:bidi w:val="0"/>
        <w:adjustRightInd/>
        <w:snapToGrid/>
        <w:spacing w:line="360" w:lineRule="exact"/>
        <w:ind w:firstLine="432" w:firstLineChars="200"/>
        <w:textAlignment w:val="auto"/>
        <w:rPr>
          <w:rFonts w:hint="eastAsia" w:ascii="宋体" w:hAnsi="宋体" w:eastAsia="宋体" w:cs="宋体"/>
          <w:color w:val="000000"/>
          <w:spacing w:val="-2"/>
          <w:kern w:val="0"/>
          <w:sz w:val="22"/>
          <w:szCs w:val="22"/>
          <w:highlight w:val="none"/>
          <w:lang w:val="en-US" w:eastAsia="zh-CN" w:bidi="ar"/>
        </w:rPr>
      </w:pPr>
      <w:r>
        <w:rPr>
          <w:rFonts w:hint="eastAsia" w:ascii="Times New Roman" w:eastAsia="宋体"/>
          <w:spacing w:val="-2"/>
          <w:sz w:val="22"/>
          <w:szCs w:val="22"/>
          <w:highlight w:val="none"/>
          <w:lang w:val="en-US" w:eastAsia="zh-CN"/>
        </w:rPr>
        <w:t>6.</w:t>
      </w:r>
      <w:r>
        <w:rPr>
          <w:spacing w:val="-2"/>
          <w:sz w:val="22"/>
          <w:szCs w:val="22"/>
          <w:highlight w:val="none"/>
        </w:rPr>
        <w:t>备件</w:t>
      </w:r>
      <w:r>
        <w:rPr>
          <w:rFonts w:hint="eastAsia" w:eastAsia="宋体"/>
          <w:spacing w:val="-2"/>
          <w:sz w:val="22"/>
          <w:szCs w:val="22"/>
          <w:highlight w:val="none"/>
          <w:lang w:eastAsia="zh-CN"/>
        </w:rPr>
        <w:t>：</w:t>
      </w:r>
      <w:r>
        <w:rPr>
          <w:spacing w:val="-2"/>
          <w:sz w:val="22"/>
          <w:szCs w:val="22"/>
          <w:highlight w:val="none"/>
        </w:rPr>
        <w:t>提供保修范围内维修所需的备件，所更换备件必须是</w:t>
      </w:r>
      <w:r>
        <w:rPr>
          <w:rFonts w:hint="eastAsia" w:ascii="Times New Roman" w:eastAsia="宋体"/>
          <w:spacing w:val="-2"/>
          <w:sz w:val="22"/>
          <w:szCs w:val="22"/>
          <w:highlight w:val="none"/>
          <w:lang w:val="en-US" w:eastAsia="zh-CN"/>
        </w:rPr>
        <w:t>合规正品</w:t>
      </w:r>
      <w:r>
        <w:rPr>
          <w:spacing w:val="-2"/>
          <w:sz w:val="22"/>
          <w:szCs w:val="22"/>
          <w:highlight w:val="none"/>
        </w:rPr>
        <w:t>的</w:t>
      </w:r>
      <w:r>
        <w:rPr>
          <w:rFonts w:hint="eastAsia" w:ascii="Times New Roman" w:eastAsia="宋体"/>
          <w:spacing w:val="-2"/>
          <w:sz w:val="22"/>
          <w:szCs w:val="22"/>
          <w:highlight w:val="none"/>
          <w:lang w:val="en-US" w:eastAsia="zh-CN"/>
        </w:rPr>
        <w:t>备件</w:t>
      </w:r>
      <w:r>
        <w:rPr>
          <w:spacing w:val="-2"/>
          <w:sz w:val="22"/>
          <w:szCs w:val="22"/>
          <w:highlight w:val="none"/>
        </w:rPr>
        <w:t>，并提供证明材料，如原厂配件由于停产等原因，需书面征得院方同意后方</w:t>
      </w:r>
      <w:bookmarkStart w:id="223" w:name="_GoBack"/>
      <w:bookmarkEnd w:id="223"/>
      <w:r>
        <w:rPr>
          <w:spacing w:val="-2"/>
          <w:sz w:val="22"/>
          <w:szCs w:val="22"/>
          <w:highlight w:val="none"/>
        </w:rPr>
        <w:t>可使用第三方配件</w:t>
      </w:r>
      <w:r>
        <w:rPr>
          <w:rFonts w:hint="eastAsia" w:eastAsia="宋体"/>
          <w:spacing w:val="-2"/>
          <w:sz w:val="22"/>
          <w:szCs w:val="22"/>
          <w:highlight w:val="none"/>
          <w:lang w:eastAsia="zh-CN"/>
        </w:rPr>
        <w:t>。</w:t>
      </w:r>
    </w:p>
    <w:p w14:paraId="01606C3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360" w:lineRule="exact"/>
        <w:ind w:left="0" w:right="0" w:firstLine="432" w:firstLineChars="200"/>
        <w:jc w:val="left"/>
        <w:textAlignment w:val="auto"/>
        <w:rPr>
          <w:rFonts w:hint="eastAsia" w:ascii="Times New Roman" w:hAnsi="Times New Roman" w:eastAsia="宋体" w:cs="Times New Roman"/>
          <w:spacing w:val="-2"/>
          <w:kern w:val="2"/>
          <w:sz w:val="22"/>
          <w:szCs w:val="22"/>
          <w:highlight w:val="none"/>
          <w:lang w:val="en-US" w:eastAsia="zh-CN" w:bidi="ar-SA"/>
        </w:rPr>
      </w:pPr>
      <w:r>
        <w:rPr>
          <w:rFonts w:hint="eastAsia" w:ascii="宋体" w:hAnsi="宋体" w:eastAsia="宋体" w:cs="宋体"/>
          <w:color w:val="000000"/>
          <w:spacing w:val="-2"/>
          <w:kern w:val="0"/>
          <w:sz w:val="22"/>
          <w:szCs w:val="22"/>
          <w:highlight w:val="none"/>
          <w:lang w:val="en-US" w:eastAsia="zh-CN" w:bidi="ar"/>
        </w:rPr>
        <w:t>7.</w:t>
      </w:r>
      <w:r>
        <w:rPr>
          <w:rFonts w:hint="eastAsia" w:ascii="Times New Roman" w:hAnsi="Times New Roman" w:eastAsia="宋体" w:cs="Times New Roman"/>
          <w:spacing w:val="-2"/>
          <w:kern w:val="2"/>
          <w:sz w:val="22"/>
          <w:szCs w:val="22"/>
          <w:highlight w:val="none"/>
          <w:lang w:val="en-US" w:eastAsia="zh-CN" w:bidi="ar-SA"/>
        </w:rPr>
        <w:t>信息化管理 ：</w:t>
      </w:r>
      <w:r>
        <w:rPr>
          <w:rFonts w:hint="default" w:ascii="Times New Roman" w:hAnsi="Times New Roman" w:eastAsia="宋体" w:cs="Times New Roman"/>
          <w:spacing w:val="-2"/>
          <w:kern w:val="2"/>
          <w:sz w:val="22"/>
          <w:szCs w:val="22"/>
          <w:highlight w:val="none"/>
          <w:lang w:val="en-US" w:eastAsia="zh-CN" w:bidi="ar-SA"/>
        </w:rPr>
        <w:t>包二使用包一提供的医疗设备管理系统，内镜设备纳入系统统一管理。包二中标人无需支付系统使用费用，但应配合包一中标人完成设备信息录入、工单填报、数据更新等工作。</w:t>
      </w:r>
    </w:p>
    <w:p w14:paraId="7284B220">
      <w:pPr>
        <w:keepNext w:val="0"/>
        <w:keepLines w:val="0"/>
        <w:pageBreakBefore w:val="0"/>
        <w:numPr>
          <w:ilvl w:val="0"/>
          <w:numId w:val="0"/>
        </w:numPr>
        <w:kinsoku/>
        <w:overflowPunct/>
        <w:topLinePunct w:val="0"/>
        <w:autoSpaceDE/>
        <w:autoSpaceDN/>
        <w:bidi w:val="0"/>
        <w:adjustRightInd/>
        <w:snapToGrid/>
        <w:spacing w:line="360" w:lineRule="exact"/>
        <w:ind w:firstLine="432" w:firstLineChars="200"/>
        <w:textAlignment w:val="auto"/>
        <w:rPr>
          <w:rFonts w:hint="eastAsia" w:eastAsia="宋体"/>
          <w:color w:val="000000"/>
          <w:spacing w:val="-2"/>
          <w:sz w:val="22"/>
          <w:szCs w:val="22"/>
          <w:highlight w:val="none"/>
          <w:lang w:eastAsia="zh-CN"/>
        </w:rPr>
      </w:pPr>
    </w:p>
    <w:p w14:paraId="71DCC80D">
      <w:pPr>
        <w:keepNext w:val="0"/>
        <w:keepLines w:val="0"/>
        <w:pageBreakBefore w:val="0"/>
        <w:numPr>
          <w:ilvl w:val="0"/>
          <w:numId w:val="0"/>
        </w:numPr>
        <w:kinsoku/>
        <w:overflowPunct/>
        <w:topLinePunct w:val="0"/>
        <w:autoSpaceDE/>
        <w:autoSpaceDN/>
        <w:bidi w:val="0"/>
        <w:adjustRightInd/>
        <w:snapToGrid/>
        <w:spacing w:line="360" w:lineRule="exact"/>
        <w:ind w:firstLine="422" w:firstLineChars="200"/>
        <w:textAlignment w:val="auto"/>
        <w:rPr>
          <w:rFonts w:hint="default" w:ascii="Segoe UI" w:hAnsi="Segoe UI" w:eastAsia="Segoe UI" w:cs="Segoe UI"/>
          <w:b/>
          <w:bCs/>
          <w:i w:val="0"/>
          <w:iCs w:val="0"/>
          <w:caps w:val="0"/>
          <w:color w:val="0F1115"/>
          <w:spacing w:val="0"/>
          <w:highlight w:val="none"/>
          <w:shd w:val="clear" w:color="auto" w:fill="FFFFFF"/>
        </w:rPr>
      </w:pPr>
      <w:r>
        <w:rPr>
          <w:rFonts w:hint="eastAsia" w:ascii="Segoe UI" w:hAnsi="Segoe UI" w:cs="Segoe UI"/>
          <w:b/>
          <w:bCs/>
          <w:i w:val="0"/>
          <w:iCs w:val="0"/>
          <w:caps w:val="0"/>
          <w:color w:val="0F1115"/>
          <w:spacing w:val="0"/>
          <w:highlight w:val="none"/>
          <w:shd w:val="clear" w:color="auto" w:fill="FFFFFF"/>
          <w:lang w:eastAsia="zh-CN"/>
        </w:rPr>
        <w:t>（</w:t>
      </w:r>
      <w:r>
        <w:rPr>
          <w:rFonts w:hint="eastAsia" w:ascii="Segoe UI" w:hAnsi="Segoe UI" w:cs="Segoe UI"/>
          <w:b/>
          <w:bCs/>
          <w:i w:val="0"/>
          <w:iCs w:val="0"/>
          <w:caps w:val="0"/>
          <w:color w:val="0F1115"/>
          <w:spacing w:val="0"/>
          <w:highlight w:val="none"/>
          <w:shd w:val="clear" w:color="auto" w:fill="FFFFFF"/>
          <w:lang w:val="en-US" w:eastAsia="zh-CN"/>
        </w:rPr>
        <w:t>三</w:t>
      </w:r>
      <w:r>
        <w:rPr>
          <w:rFonts w:hint="eastAsia" w:ascii="Segoe UI" w:hAnsi="Segoe UI" w:cs="Segoe UI"/>
          <w:b/>
          <w:bCs/>
          <w:i w:val="0"/>
          <w:iCs w:val="0"/>
          <w:caps w:val="0"/>
          <w:color w:val="0F1115"/>
          <w:spacing w:val="0"/>
          <w:highlight w:val="none"/>
          <w:shd w:val="clear" w:color="auto" w:fill="FFFFFF"/>
          <w:lang w:eastAsia="zh-CN"/>
        </w:rPr>
        <w:t>）</w:t>
      </w:r>
      <w:r>
        <w:rPr>
          <w:rFonts w:hint="default" w:ascii="Segoe UI" w:hAnsi="Segoe UI" w:eastAsia="Segoe UI" w:cs="Segoe UI"/>
          <w:b/>
          <w:bCs/>
          <w:i w:val="0"/>
          <w:iCs w:val="0"/>
          <w:caps w:val="0"/>
          <w:color w:val="0F1115"/>
          <w:spacing w:val="0"/>
          <w:highlight w:val="none"/>
          <w:shd w:val="clear" w:color="auto" w:fill="FFFFFF"/>
        </w:rPr>
        <w:t>主要元器件要求</w:t>
      </w:r>
    </w:p>
    <w:tbl>
      <w:tblPr>
        <w:tblStyle w:val="159"/>
        <w:tblpPr w:leftFromText="180" w:rightFromText="180" w:vertAnchor="text" w:horzAnchor="page" w:tblpX="1222" w:tblpY="127"/>
        <w:tblOverlap w:val="never"/>
        <w:tblW w:w="940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290"/>
        <w:gridCol w:w="6114"/>
      </w:tblGrid>
      <w:tr w14:paraId="0E411D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9404" w:type="dxa"/>
            <w:gridSpan w:val="2"/>
            <w:tcBorders>
              <w:bottom w:val="single" w:color="000000" w:sz="6" w:space="0"/>
            </w:tcBorders>
            <w:noWrap w:val="0"/>
            <w:vAlign w:val="top"/>
          </w:tcPr>
          <w:p w14:paraId="01117FFD">
            <w:pPr>
              <w:keepNext w:val="0"/>
              <w:keepLines w:val="0"/>
              <w:pageBreakBefore w:val="0"/>
              <w:kinsoku/>
              <w:overflowPunct/>
              <w:topLinePunct w:val="0"/>
              <w:autoSpaceDE/>
              <w:autoSpaceDN/>
              <w:bidi w:val="0"/>
              <w:adjustRightInd/>
              <w:spacing w:line="360" w:lineRule="exact"/>
              <w:ind w:left="4064"/>
              <w:textAlignment w:val="auto"/>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主要元器件</w:t>
            </w:r>
          </w:p>
        </w:tc>
      </w:tr>
      <w:tr w14:paraId="527A55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3290" w:type="dxa"/>
            <w:tcBorders>
              <w:top w:val="single" w:color="000000" w:sz="6" w:space="0"/>
            </w:tcBorders>
            <w:noWrap w:val="0"/>
            <w:vAlign w:val="top"/>
          </w:tcPr>
          <w:p w14:paraId="57BC3B63">
            <w:pPr>
              <w:pStyle w:val="160"/>
              <w:keepNext w:val="0"/>
              <w:keepLines w:val="0"/>
              <w:pageBreakBefore w:val="0"/>
              <w:kinsoku/>
              <w:overflowPunct/>
              <w:topLinePunct w:val="0"/>
              <w:autoSpaceDE/>
              <w:autoSpaceDN/>
              <w:bidi w:val="0"/>
              <w:adjustRightInd/>
              <w:spacing w:line="360" w:lineRule="exact"/>
              <w:ind w:left="1484"/>
              <w:textAlignment w:val="auto"/>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CCD</w:t>
            </w:r>
          </w:p>
        </w:tc>
        <w:tc>
          <w:tcPr>
            <w:tcW w:w="6114" w:type="dxa"/>
            <w:tcBorders>
              <w:top w:val="single" w:color="000000" w:sz="6" w:space="0"/>
            </w:tcBorders>
            <w:noWrap w:val="0"/>
            <w:vAlign w:val="center"/>
          </w:tcPr>
          <w:p w14:paraId="71EBA4A6">
            <w:pPr>
              <w:keepNext w:val="0"/>
              <w:keepLines w:val="0"/>
              <w:pageBreakBefore w:val="0"/>
              <w:widowControl w:val="0"/>
              <w:kinsoku/>
              <w:overflowPunct/>
              <w:topLinePunct w:val="0"/>
              <w:autoSpaceDE/>
              <w:autoSpaceDN/>
              <w:bidi w:val="0"/>
              <w:adjustRightInd/>
              <w:spacing w:line="360" w:lineRule="exact"/>
              <w:ind w:left="116" w:leftChars="0" w:right="29" w:rightChars="0"/>
              <w:jc w:val="both"/>
              <w:textAlignment w:val="auto"/>
              <w:rPr>
                <w:rFonts w:hint="eastAsia" w:ascii="宋体" w:hAnsi="宋体" w:eastAsia="宋体" w:cs="宋体"/>
                <w:sz w:val="21"/>
                <w:szCs w:val="21"/>
                <w:highlight w:val="none"/>
                <w:lang w:eastAsia="zh-CN"/>
              </w:rPr>
            </w:pPr>
            <w:r>
              <w:rPr>
                <w:rFonts w:hint="eastAsia" w:ascii="宋体" w:hAnsi="宋体" w:eastAsia="宋体" w:cs="宋体"/>
                <w:spacing w:val="-5"/>
                <w:kern w:val="2"/>
                <w:sz w:val="21"/>
                <w:szCs w:val="21"/>
                <w:highlight w:val="none"/>
                <w:lang w:val="en-US" w:eastAsia="en-US" w:bidi="ar-SA"/>
              </w:rPr>
              <w:t>更换CCD，投标人需提供</w:t>
            </w:r>
            <w:r>
              <w:rPr>
                <w:rFonts w:hint="eastAsia" w:ascii="宋体" w:hAnsi="宋体" w:eastAsia="宋体" w:cs="宋体"/>
                <w:spacing w:val="-5"/>
                <w:kern w:val="2"/>
                <w:sz w:val="21"/>
                <w:szCs w:val="21"/>
                <w:highlight w:val="none"/>
                <w:lang w:val="en-US" w:eastAsia="zh-CN" w:bidi="ar-SA"/>
              </w:rPr>
              <w:t>合规原厂</w:t>
            </w:r>
            <w:r>
              <w:rPr>
                <w:rFonts w:hint="eastAsia" w:ascii="宋体" w:hAnsi="宋体" w:eastAsia="宋体" w:cs="宋体"/>
                <w:spacing w:val="-5"/>
                <w:kern w:val="2"/>
                <w:sz w:val="21"/>
                <w:szCs w:val="21"/>
                <w:highlight w:val="none"/>
                <w:lang w:val="en-US" w:eastAsia="en-US" w:bidi="ar-SA"/>
              </w:rPr>
              <w:t>全新CCD，</w:t>
            </w:r>
            <w:r>
              <w:rPr>
                <w:rFonts w:hint="eastAsia" w:ascii="宋体" w:hAnsi="宋体" w:eastAsia="宋体" w:cs="宋体"/>
                <w:spacing w:val="-5"/>
                <w:kern w:val="2"/>
                <w:sz w:val="21"/>
                <w:szCs w:val="21"/>
                <w:highlight w:val="yellow"/>
                <w:lang w:val="en-US" w:eastAsia="zh-CN" w:bidi="ar-SA"/>
              </w:rPr>
              <w:t>投标人承诺中标后提供原厂全新法定合规证明材料。否则视为无效投标。</w:t>
            </w:r>
          </w:p>
        </w:tc>
      </w:tr>
      <w:tr w14:paraId="1869A2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3290" w:type="dxa"/>
            <w:noWrap w:val="0"/>
            <w:vAlign w:val="top"/>
          </w:tcPr>
          <w:p w14:paraId="68282A45">
            <w:pPr>
              <w:keepNext w:val="0"/>
              <w:keepLines w:val="0"/>
              <w:pageBreakBefore w:val="0"/>
              <w:kinsoku/>
              <w:overflowPunct/>
              <w:topLinePunct w:val="0"/>
              <w:autoSpaceDE/>
              <w:autoSpaceDN/>
              <w:bidi w:val="0"/>
              <w:adjustRightInd/>
              <w:spacing w:line="360" w:lineRule="exact"/>
              <w:textAlignment w:val="auto"/>
              <w:rPr>
                <w:rFonts w:hint="eastAsia" w:ascii="宋体" w:hAnsi="宋体" w:eastAsia="宋体" w:cs="宋体"/>
                <w:sz w:val="21"/>
                <w:szCs w:val="21"/>
                <w:highlight w:val="none"/>
              </w:rPr>
            </w:pPr>
          </w:p>
          <w:p w14:paraId="089B194B">
            <w:pPr>
              <w:pStyle w:val="160"/>
              <w:keepNext w:val="0"/>
              <w:keepLines w:val="0"/>
              <w:pageBreakBefore w:val="0"/>
              <w:kinsoku/>
              <w:overflowPunct/>
              <w:topLinePunct w:val="0"/>
              <w:autoSpaceDE/>
              <w:autoSpaceDN/>
              <w:bidi w:val="0"/>
              <w:adjustRightInd/>
              <w:spacing w:line="360" w:lineRule="exact"/>
              <w:ind w:left="1216"/>
              <w:textAlignment w:val="auto"/>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先端组件</w:t>
            </w:r>
          </w:p>
        </w:tc>
        <w:tc>
          <w:tcPr>
            <w:tcW w:w="6114" w:type="dxa"/>
            <w:noWrap w:val="0"/>
            <w:vAlign w:val="center"/>
          </w:tcPr>
          <w:p w14:paraId="4BEEF822">
            <w:pPr>
              <w:keepNext w:val="0"/>
              <w:keepLines w:val="0"/>
              <w:pageBreakBefore w:val="0"/>
              <w:widowControl w:val="0"/>
              <w:kinsoku/>
              <w:overflowPunct/>
              <w:topLinePunct w:val="0"/>
              <w:autoSpaceDE/>
              <w:autoSpaceDN/>
              <w:bidi w:val="0"/>
              <w:adjustRightInd/>
              <w:spacing w:line="360" w:lineRule="exact"/>
              <w:ind w:left="111" w:leftChars="0" w:right="107" w:rightChars="0" w:firstLine="4" w:firstLineChars="0"/>
              <w:jc w:val="both"/>
              <w:textAlignment w:val="auto"/>
              <w:rPr>
                <w:rFonts w:hint="eastAsia" w:ascii="宋体" w:hAnsi="宋体" w:eastAsia="宋体" w:cs="宋体"/>
                <w:sz w:val="21"/>
                <w:szCs w:val="21"/>
                <w:highlight w:val="none"/>
                <w:lang w:eastAsia="zh-CN"/>
              </w:rPr>
            </w:pPr>
            <w:r>
              <w:rPr>
                <w:rFonts w:hint="eastAsia" w:ascii="宋体" w:hAnsi="宋体" w:eastAsia="宋体" w:cs="宋体"/>
                <w:spacing w:val="-1"/>
                <w:kern w:val="2"/>
                <w:sz w:val="21"/>
                <w:szCs w:val="21"/>
                <w:highlight w:val="none"/>
                <w:lang w:val="en-US" w:eastAsia="en-US" w:bidi="ar-SA"/>
              </w:rPr>
              <w:t>更换先端组件，投标人需提供</w:t>
            </w:r>
            <w:r>
              <w:rPr>
                <w:rFonts w:hint="eastAsia" w:ascii="宋体" w:hAnsi="宋体" w:eastAsia="宋体" w:cs="宋体"/>
                <w:spacing w:val="-5"/>
                <w:kern w:val="2"/>
                <w:sz w:val="21"/>
                <w:szCs w:val="21"/>
                <w:highlight w:val="none"/>
                <w:lang w:val="en-US" w:eastAsia="zh-CN" w:bidi="ar-SA"/>
              </w:rPr>
              <w:t>合规原厂</w:t>
            </w:r>
            <w:r>
              <w:rPr>
                <w:rFonts w:hint="eastAsia" w:ascii="宋体" w:hAnsi="宋体" w:eastAsia="宋体" w:cs="宋体"/>
                <w:spacing w:val="-1"/>
                <w:kern w:val="2"/>
                <w:sz w:val="21"/>
                <w:szCs w:val="21"/>
                <w:highlight w:val="none"/>
                <w:lang w:val="en-US" w:eastAsia="en-US" w:bidi="ar-SA"/>
              </w:rPr>
              <w:t>全新先端组件，</w:t>
            </w:r>
            <w:r>
              <w:rPr>
                <w:rFonts w:hint="eastAsia" w:ascii="宋体" w:hAnsi="宋体" w:eastAsia="宋体" w:cs="宋体"/>
                <w:spacing w:val="-5"/>
                <w:kern w:val="2"/>
                <w:sz w:val="21"/>
                <w:szCs w:val="21"/>
                <w:highlight w:val="yellow"/>
                <w:lang w:val="en-US" w:eastAsia="zh-CN" w:bidi="ar-SA"/>
              </w:rPr>
              <w:t>投标人承诺中标后提供原厂全新法定合规证明材料。否则视为无效投标。</w:t>
            </w:r>
          </w:p>
        </w:tc>
      </w:tr>
      <w:tr w14:paraId="3AC1D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3290" w:type="dxa"/>
            <w:noWrap w:val="0"/>
            <w:vAlign w:val="top"/>
          </w:tcPr>
          <w:p w14:paraId="108BCAA7">
            <w:pPr>
              <w:keepNext w:val="0"/>
              <w:keepLines w:val="0"/>
              <w:pageBreakBefore w:val="0"/>
              <w:kinsoku/>
              <w:overflowPunct/>
              <w:topLinePunct w:val="0"/>
              <w:autoSpaceDE/>
              <w:autoSpaceDN/>
              <w:bidi w:val="0"/>
              <w:adjustRightInd/>
              <w:spacing w:line="360" w:lineRule="exact"/>
              <w:textAlignment w:val="auto"/>
              <w:rPr>
                <w:rFonts w:hint="eastAsia" w:ascii="宋体" w:hAnsi="宋体" w:eastAsia="宋体" w:cs="宋体"/>
                <w:sz w:val="21"/>
                <w:szCs w:val="21"/>
                <w:highlight w:val="none"/>
              </w:rPr>
            </w:pPr>
          </w:p>
          <w:p w14:paraId="14529E3B">
            <w:pPr>
              <w:pStyle w:val="160"/>
              <w:keepNext w:val="0"/>
              <w:keepLines w:val="0"/>
              <w:pageBreakBefore w:val="0"/>
              <w:kinsoku/>
              <w:overflowPunct/>
              <w:topLinePunct w:val="0"/>
              <w:autoSpaceDE/>
              <w:autoSpaceDN/>
              <w:bidi w:val="0"/>
              <w:adjustRightInd/>
              <w:spacing w:line="360" w:lineRule="exact"/>
              <w:ind w:left="1107"/>
              <w:textAlignment w:val="auto"/>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弯曲插入管</w:t>
            </w:r>
          </w:p>
        </w:tc>
        <w:tc>
          <w:tcPr>
            <w:tcW w:w="6114" w:type="dxa"/>
            <w:noWrap w:val="0"/>
            <w:vAlign w:val="center"/>
          </w:tcPr>
          <w:p w14:paraId="269D0BFB">
            <w:pPr>
              <w:keepNext w:val="0"/>
              <w:keepLines w:val="0"/>
              <w:pageBreakBefore w:val="0"/>
              <w:widowControl w:val="0"/>
              <w:kinsoku/>
              <w:overflowPunct/>
              <w:topLinePunct w:val="0"/>
              <w:autoSpaceDE/>
              <w:autoSpaceDN/>
              <w:bidi w:val="0"/>
              <w:adjustRightInd/>
              <w:spacing w:line="360" w:lineRule="exact"/>
              <w:ind w:left="113" w:leftChars="0" w:right="104" w:rightChars="0" w:firstLine="5" w:firstLineChars="0"/>
              <w:jc w:val="both"/>
              <w:textAlignment w:val="auto"/>
              <w:rPr>
                <w:rFonts w:hint="eastAsia" w:ascii="宋体" w:hAnsi="宋体" w:eastAsia="宋体" w:cs="宋体"/>
                <w:sz w:val="21"/>
                <w:szCs w:val="21"/>
                <w:highlight w:val="none"/>
                <w:lang w:eastAsia="zh-CN"/>
              </w:rPr>
            </w:pPr>
            <w:r>
              <w:rPr>
                <w:rFonts w:hint="eastAsia" w:ascii="宋体" w:hAnsi="宋体" w:eastAsia="宋体" w:cs="宋体"/>
                <w:spacing w:val="-2"/>
                <w:kern w:val="2"/>
                <w:sz w:val="21"/>
                <w:szCs w:val="21"/>
                <w:highlight w:val="none"/>
                <w:lang w:val="en-US" w:eastAsia="en-US" w:bidi="ar-SA"/>
              </w:rPr>
              <w:t>弯曲插入管组件，投标人需提供</w:t>
            </w:r>
            <w:r>
              <w:rPr>
                <w:rFonts w:hint="eastAsia" w:ascii="宋体" w:hAnsi="宋体" w:eastAsia="宋体" w:cs="宋体"/>
                <w:spacing w:val="-5"/>
                <w:kern w:val="2"/>
                <w:sz w:val="21"/>
                <w:szCs w:val="21"/>
                <w:highlight w:val="none"/>
                <w:lang w:val="en-US" w:eastAsia="zh-CN" w:bidi="ar-SA"/>
              </w:rPr>
              <w:t>合规原厂</w:t>
            </w:r>
            <w:r>
              <w:rPr>
                <w:rFonts w:hint="eastAsia" w:ascii="宋体" w:hAnsi="宋体" w:eastAsia="宋体" w:cs="宋体"/>
                <w:spacing w:val="-2"/>
                <w:kern w:val="2"/>
                <w:sz w:val="21"/>
                <w:szCs w:val="21"/>
                <w:highlight w:val="none"/>
                <w:lang w:val="en-US" w:eastAsia="en-US" w:bidi="ar-SA"/>
              </w:rPr>
              <w:t>全新弯曲插入管</w:t>
            </w:r>
            <w:r>
              <w:rPr>
                <w:rFonts w:hint="eastAsia" w:ascii="宋体" w:hAnsi="宋体" w:eastAsia="宋体" w:cs="宋体"/>
                <w:spacing w:val="-3"/>
                <w:kern w:val="2"/>
                <w:sz w:val="21"/>
                <w:szCs w:val="21"/>
                <w:highlight w:val="none"/>
                <w:lang w:val="en-US" w:eastAsia="en-US" w:bidi="ar-SA"/>
              </w:rPr>
              <w:t>，</w:t>
            </w:r>
            <w:r>
              <w:rPr>
                <w:rFonts w:hint="eastAsia" w:ascii="宋体" w:hAnsi="宋体" w:eastAsia="宋体" w:cs="宋体"/>
                <w:spacing w:val="-5"/>
                <w:kern w:val="2"/>
                <w:sz w:val="21"/>
                <w:szCs w:val="21"/>
                <w:highlight w:val="yellow"/>
                <w:lang w:val="en-US" w:eastAsia="zh-CN" w:bidi="ar-SA"/>
              </w:rPr>
              <w:t>投标人承诺中标后提供原厂全新法定合规证明材料。否则视为无效投标。</w:t>
            </w:r>
          </w:p>
        </w:tc>
      </w:tr>
      <w:tr w14:paraId="1450F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3290" w:type="dxa"/>
            <w:noWrap w:val="0"/>
            <w:vAlign w:val="top"/>
          </w:tcPr>
          <w:p w14:paraId="2C44E964">
            <w:pPr>
              <w:keepNext w:val="0"/>
              <w:keepLines w:val="0"/>
              <w:pageBreakBefore w:val="0"/>
              <w:kinsoku/>
              <w:overflowPunct/>
              <w:topLinePunct w:val="0"/>
              <w:autoSpaceDE/>
              <w:autoSpaceDN/>
              <w:bidi w:val="0"/>
              <w:adjustRightInd/>
              <w:spacing w:line="360" w:lineRule="exact"/>
              <w:textAlignment w:val="auto"/>
              <w:rPr>
                <w:rFonts w:hint="eastAsia" w:ascii="宋体" w:hAnsi="宋体" w:eastAsia="宋体" w:cs="宋体"/>
                <w:sz w:val="21"/>
                <w:szCs w:val="21"/>
                <w:highlight w:val="none"/>
              </w:rPr>
            </w:pPr>
          </w:p>
          <w:p w14:paraId="0D0097DA">
            <w:pPr>
              <w:pStyle w:val="160"/>
              <w:keepNext w:val="0"/>
              <w:keepLines w:val="0"/>
              <w:pageBreakBefore w:val="0"/>
              <w:kinsoku/>
              <w:overflowPunct/>
              <w:topLinePunct w:val="0"/>
              <w:autoSpaceDE/>
              <w:autoSpaceDN/>
              <w:bidi w:val="0"/>
              <w:adjustRightInd/>
              <w:spacing w:line="360" w:lineRule="exact"/>
              <w:ind w:left="1100"/>
              <w:textAlignment w:val="auto"/>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操作部组件</w:t>
            </w:r>
          </w:p>
        </w:tc>
        <w:tc>
          <w:tcPr>
            <w:tcW w:w="6114" w:type="dxa"/>
            <w:noWrap w:val="0"/>
            <w:vAlign w:val="center"/>
          </w:tcPr>
          <w:p w14:paraId="3135C217">
            <w:pPr>
              <w:keepNext w:val="0"/>
              <w:keepLines w:val="0"/>
              <w:pageBreakBefore w:val="0"/>
              <w:widowControl w:val="0"/>
              <w:kinsoku/>
              <w:overflowPunct/>
              <w:topLinePunct w:val="0"/>
              <w:autoSpaceDE/>
              <w:autoSpaceDN/>
              <w:bidi w:val="0"/>
              <w:adjustRightInd/>
              <w:spacing w:line="360" w:lineRule="exact"/>
              <w:ind w:left="113" w:leftChars="0" w:right="104" w:rightChars="0" w:firstLine="2" w:firstLineChars="0"/>
              <w:jc w:val="both"/>
              <w:textAlignment w:val="auto"/>
              <w:rPr>
                <w:rFonts w:hint="eastAsia" w:ascii="宋体" w:hAnsi="宋体" w:eastAsia="宋体" w:cs="宋体"/>
                <w:sz w:val="21"/>
                <w:szCs w:val="21"/>
                <w:highlight w:val="none"/>
                <w:lang w:eastAsia="zh-CN"/>
              </w:rPr>
            </w:pPr>
            <w:r>
              <w:rPr>
                <w:rFonts w:hint="eastAsia" w:ascii="宋体" w:hAnsi="宋体" w:eastAsia="宋体" w:cs="宋体"/>
                <w:spacing w:val="-2"/>
                <w:kern w:val="2"/>
                <w:sz w:val="21"/>
                <w:szCs w:val="21"/>
                <w:highlight w:val="none"/>
                <w:lang w:val="en-US" w:eastAsia="en-US" w:bidi="ar-SA"/>
              </w:rPr>
              <w:t>更换操作部组件，投标人需提供</w:t>
            </w:r>
            <w:r>
              <w:rPr>
                <w:rFonts w:hint="eastAsia" w:ascii="宋体" w:hAnsi="宋体" w:eastAsia="宋体" w:cs="宋体"/>
                <w:spacing w:val="-5"/>
                <w:kern w:val="2"/>
                <w:sz w:val="21"/>
                <w:szCs w:val="21"/>
                <w:highlight w:val="none"/>
                <w:lang w:val="en-US" w:eastAsia="zh-CN" w:bidi="ar-SA"/>
              </w:rPr>
              <w:t>合规原厂</w:t>
            </w:r>
            <w:r>
              <w:rPr>
                <w:rFonts w:hint="eastAsia" w:ascii="宋体" w:hAnsi="宋体" w:eastAsia="宋体" w:cs="宋体"/>
                <w:spacing w:val="-2"/>
                <w:kern w:val="2"/>
                <w:sz w:val="21"/>
                <w:szCs w:val="21"/>
                <w:highlight w:val="none"/>
                <w:lang w:val="en-US" w:eastAsia="en-US" w:bidi="ar-SA"/>
              </w:rPr>
              <w:t>全新操作部组件，</w:t>
            </w:r>
            <w:r>
              <w:rPr>
                <w:rFonts w:hint="eastAsia" w:ascii="宋体" w:hAnsi="宋体" w:eastAsia="宋体" w:cs="宋体"/>
                <w:spacing w:val="-5"/>
                <w:kern w:val="2"/>
                <w:sz w:val="21"/>
                <w:szCs w:val="21"/>
                <w:highlight w:val="yellow"/>
                <w:lang w:val="en-US" w:eastAsia="zh-CN" w:bidi="ar-SA"/>
              </w:rPr>
              <w:t>投标人承诺中标后提供原厂全新法定合规证明材料。否则视为无效投标。</w:t>
            </w:r>
          </w:p>
        </w:tc>
      </w:tr>
      <w:tr w14:paraId="19A0F7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9404" w:type="dxa"/>
            <w:gridSpan w:val="2"/>
            <w:tcBorders>
              <w:bottom w:val="single" w:color="000000" w:sz="6" w:space="0"/>
            </w:tcBorders>
            <w:noWrap w:val="0"/>
            <w:vAlign w:val="top"/>
          </w:tcPr>
          <w:p w14:paraId="5C892414">
            <w:pPr>
              <w:keepNext w:val="0"/>
              <w:keepLines w:val="0"/>
              <w:pageBreakBefore w:val="0"/>
              <w:kinsoku/>
              <w:overflowPunct/>
              <w:topLinePunct w:val="0"/>
              <w:autoSpaceDE/>
              <w:autoSpaceDN/>
              <w:bidi w:val="0"/>
              <w:adjustRightInd/>
              <w:spacing w:line="360" w:lineRule="exact"/>
              <w:ind w:left="4452"/>
              <w:textAlignment w:val="auto"/>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其它</w:t>
            </w:r>
          </w:p>
        </w:tc>
      </w:tr>
      <w:tr w14:paraId="7E1A18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8" w:hRule="atLeast"/>
        </w:trPr>
        <w:tc>
          <w:tcPr>
            <w:tcW w:w="3290" w:type="dxa"/>
            <w:tcBorders>
              <w:top w:val="single" w:color="000000" w:sz="6" w:space="0"/>
            </w:tcBorders>
            <w:noWrap w:val="0"/>
            <w:vAlign w:val="top"/>
          </w:tcPr>
          <w:p w14:paraId="1AE9CE53">
            <w:pPr>
              <w:keepNext w:val="0"/>
              <w:keepLines w:val="0"/>
              <w:pageBreakBefore w:val="0"/>
              <w:kinsoku/>
              <w:overflowPunct/>
              <w:topLinePunct w:val="0"/>
              <w:autoSpaceDE/>
              <w:autoSpaceDN/>
              <w:bidi w:val="0"/>
              <w:adjustRightInd/>
              <w:spacing w:line="360" w:lineRule="exact"/>
              <w:textAlignment w:val="auto"/>
              <w:rPr>
                <w:rFonts w:hint="eastAsia" w:ascii="宋体" w:hAnsi="宋体" w:eastAsia="宋体" w:cs="宋体"/>
                <w:sz w:val="21"/>
                <w:szCs w:val="21"/>
                <w:highlight w:val="none"/>
              </w:rPr>
            </w:pPr>
          </w:p>
          <w:p w14:paraId="233AD6B3">
            <w:pPr>
              <w:pStyle w:val="160"/>
              <w:keepNext w:val="0"/>
              <w:keepLines w:val="0"/>
              <w:pageBreakBefore w:val="0"/>
              <w:kinsoku/>
              <w:overflowPunct/>
              <w:topLinePunct w:val="0"/>
              <w:autoSpaceDE/>
              <w:autoSpaceDN/>
              <w:bidi w:val="0"/>
              <w:adjustRightInd/>
              <w:spacing w:line="360" w:lineRule="exact"/>
              <w:ind w:left="1432"/>
              <w:textAlignment w:val="auto"/>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升级</w:t>
            </w:r>
          </w:p>
        </w:tc>
        <w:tc>
          <w:tcPr>
            <w:tcW w:w="6114" w:type="dxa"/>
            <w:tcBorders>
              <w:top w:val="single" w:color="000000" w:sz="6" w:space="0"/>
              <w:bottom w:val="single" w:color="000000" w:sz="6" w:space="0"/>
            </w:tcBorders>
            <w:noWrap w:val="0"/>
            <w:vAlign w:val="top"/>
          </w:tcPr>
          <w:p w14:paraId="4B450708">
            <w:pPr>
              <w:pStyle w:val="160"/>
              <w:keepNext w:val="0"/>
              <w:keepLines w:val="0"/>
              <w:pageBreakBefore w:val="0"/>
              <w:kinsoku/>
              <w:overflowPunct/>
              <w:topLinePunct w:val="0"/>
              <w:autoSpaceDE/>
              <w:autoSpaceDN/>
              <w:bidi w:val="0"/>
              <w:adjustRightInd/>
              <w:spacing w:line="360" w:lineRule="exact"/>
              <w:ind w:left="114" w:right="104" w:hanging="2"/>
              <w:jc w:val="both"/>
              <w:textAlignment w:val="auto"/>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在保修合同执行期间，如厂家有新的安全性软硬件升级，中标人免费为医院升级，提高性能、增强系统稳定性，具备专用工具用以检测本设备的工具和能力，保证本设备</w:t>
            </w:r>
            <w:r>
              <w:rPr>
                <w:rFonts w:hint="eastAsia" w:ascii="宋体" w:hAnsi="宋体" w:eastAsia="宋体" w:cs="宋体"/>
                <w:spacing w:val="-2"/>
                <w:sz w:val="21"/>
                <w:szCs w:val="21"/>
                <w:highlight w:val="none"/>
                <w:lang w:val="en-US" w:eastAsia="zh-CN"/>
              </w:rPr>
              <w:t>达到</w:t>
            </w:r>
            <w:r>
              <w:rPr>
                <w:rFonts w:hint="eastAsia" w:ascii="宋体" w:hAnsi="宋体" w:eastAsia="宋体" w:cs="宋体"/>
                <w:spacing w:val="-2"/>
                <w:sz w:val="21"/>
                <w:szCs w:val="21"/>
                <w:highlight w:val="none"/>
              </w:rPr>
              <w:t>正常使用</w:t>
            </w:r>
            <w:r>
              <w:rPr>
                <w:rFonts w:hint="eastAsia" w:ascii="宋体" w:hAnsi="宋体" w:eastAsia="宋体" w:cs="宋体"/>
                <w:spacing w:val="-2"/>
                <w:sz w:val="21"/>
                <w:szCs w:val="21"/>
                <w:highlight w:val="none"/>
                <w:lang w:val="en-US" w:eastAsia="zh-CN"/>
              </w:rPr>
              <w:t>年限</w:t>
            </w:r>
            <w:r>
              <w:rPr>
                <w:rFonts w:hint="eastAsia" w:ascii="宋体" w:hAnsi="宋体" w:eastAsia="宋体" w:cs="宋体"/>
                <w:spacing w:val="-3"/>
                <w:sz w:val="21"/>
                <w:szCs w:val="21"/>
                <w:highlight w:val="none"/>
              </w:rPr>
              <w:t>。</w:t>
            </w:r>
          </w:p>
        </w:tc>
      </w:tr>
    </w:tbl>
    <w:p w14:paraId="2E25C31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right="0" w:firstLine="422" w:firstLineChars="200"/>
        <w:textAlignment w:val="auto"/>
        <w:rPr>
          <w:b/>
          <w:bCs/>
          <w:highlight w:val="none"/>
        </w:rPr>
      </w:pPr>
      <w:r>
        <w:rPr>
          <w:rFonts w:hint="default" w:ascii="Segoe UI" w:hAnsi="Segoe UI" w:cs="Segoe UI"/>
          <w:b/>
          <w:bCs/>
          <w:i w:val="0"/>
          <w:iCs w:val="0"/>
          <w:caps w:val="0"/>
          <w:color w:val="0F1115"/>
          <w:spacing w:val="0"/>
          <w:highlight w:val="none"/>
          <w:shd w:val="clear" w:color="auto" w:fill="FFFFFF"/>
          <w:lang w:eastAsia="zh-CN"/>
        </w:rPr>
        <w:t>（四）技术响应要求</w:t>
      </w:r>
    </w:p>
    <w:p w14:paraId="650E7D20">
      <w:pPr>
        <w:pStyle w:val="160"/>
        <w:keepNext w:val="0"/>
        <w:keepLines w:val="0"/>
        <w:pageBreakBefore w:val="0"/>
        <w:widowControl w:val="0"/>
        <w:kinsoku/>
        <w:wordWrap/>
        <w:overflowPunct/>
        <w:topLinePunct w:val="0"/>
        <w:autoSpaceDE/>
        <w:autoSpaceDN/>
        <w:bidi w:val="0"/>
        <w:adjustRightInd/>
        <w:snapToGrid/>
        <w:spacing w:line="360" w:lineRule="exact"/>
        <w:ind w:left="0" w:right="0" w:firstLine="428" w:firstLineChars="200"/>
        <w:textAlignment w:val="auto"/>
        <w:rPr>
          <w:sz w:val="22"/>
          <w:szCs w:val="22"/>
          <w:highlight w:val="none"/>
        </w:rPr>
      </w:pPr>
      <w:r>
        <w:rPr>
          <w:spacing w:val="-3"/>
          <w:sz w:val="22"/>
          <w:szCs w:val="22"/>
          <w:highlight w:val="none"/>
        </w:rPr>
        <w:t>1.附件中包括的产品提供保修服务；在</w:t>
      </w:r>
      <w:r>
        <w:rPr>
          <w:rFonts w:hint="eastAsia" w:cs="宋体"/>
          <w:spacing w:val="-5"/>
          <w:sz w:val="21"/>
          <w:szCs w:val="21"/>
          <w:highlight w:val="none"/>
          <w:lang w:val="en-US" w:eastAsia="zh-CN"/>
        </w:rPr>
        <w:t>合规正品</w:t>
      </w:r>
      <w:r>
        <w:rPr>
          <w:spacing w:val="-3"/>
          <w:sz w:val="22"/>
          <w:szCs w:val="22"/>
          <w:highlight w:val="none"/>
        </w:rPr>
        <w:t>供应配件的情况</w:t>
      </w:r>
      <w:r>
        <w:rPr>
          <w:spacing w:val="-2"/>
          <w:sz w:val="22"/>
          <w:szCs w:val="22"/>
          <w:highlight w:val="none"/>
        </w:rPr>
        <w:t>下，必须</w:t>
      </w:r>
      <w:r>
        <w:rPr>
          <w:rFonts w:hint="eastAsia"/>
          <w:spacing w:val="-2"/>
          <w:sz w:val="22"/>
          <w:szCs w:val="22"/>
          <w:highlight w:val="none"/>
          <w:lang w:val="en-US" w:eastAsia="zh-CN"/>
        </w:rPr>
        <w:t>采用</w:t>
      </w:r>
      <w:r>
        <w:rPr>
          <w:rFonts w:hint="eastAsia" w:cs="宋体"/>
          <w:spacing w:val="-5"/>
          <w:sz w:val="21"/>
          <w:szCs w:val="21"/>
          <w:highlight w:val="none"/>
          <w:lang w:val="en-US" w:eastAsia="zh-CN"/>
        </w:rPr>
        <w:t>合规正品</w:t>
      </w:r>
      <w:r>
        <w:rPr>
          <w:spacing w:val="-2"/>
          <w:sz w:val="22"/>
          <w:szCs w:val="22"/>
          <w:highlight w:val="none"/>
        </w:rPr>
        <w:t>进行维修，若原厂配件因为停产</w:t>
      </w:r>
      <w:r>
        <w:rPr>
          <w:spacing w:val="-3"/>
          <w:sz w:val="22"/>
          <w:szCs w:val="22"/>
          <w:highlight w:val="none"/>
        </w:rPr>
        <w:t>造成的无原厂配件，投标人</w:t>
      </w:r>
      <w:r>
        <w:rPr>
          <w:rFonts w:hint="eastAsia"/>
          <w:sz w:val="22"/>
          <w:szCs w:val="22"/>
          <w:highlight w:val="none"/>
          <w:lang w:val="en-US" w:eastAsia="zh-CN"/>
        </w:rPr>
        <w:t>负责</w:t>
      </w:r>
      <w:r>
        <w:rPr>
          <w:spacing w:val="-1"/>
          <w:sz w:val="22"/>
          <w:szCs w:val="22"/>
          <w:highlight w:val="none"/>
        </w:rPr>
        <w:t>由第三方公司无条件修复。</w:t>
      </w:r>
    </w:p>
    <w:p w14:paraId="113733DD">
      <w:pPr>
        <w:pStyle w:val="160"/>
        <w:keepNext w:val="0"/>
        <w:keepLines w:val="0"/>
        <w:pageBreakBefore w:val="0"/>
        <w:widowControl w:val="0"/>
        <w:kinsoku/>
        <w:wordWrap/>
        <w:overflowPunct/>
        <w:topLinePunct w:val="0"/>
        <w:autoSpaceDE/>
        <w:autoSpaceDN/>
        <w:bidi w:val="0"/>
        <w:adjustRightInd/>
        <w:snapToGrid/>
        <w:spacing w:line="360" w:lineRule="exact"/>
        <w:ind w:left="0" w:right="0" w:firstLine="432" w:firstLineChars="200"/>
        <w:textAlignment w:val="auto"/>
        <w:rPr>
          <w:rFonts w:hint="eastAsia" w:eastAsia="宋体"/>
          <w:sz w:val="22"/>
          <w:szCs w:val="22"/>
          <w:highlight w:val="none"/>
          <w:lang w:eastAsia="zh-CN"/>
        </w:rPr>
      </w:pPr>
      <w:r>
        <w:rPr>
          <w:spacing w:val="-2"/>
          <w:sz w:val="22"/>
          <w:szCs w:val="22"/>
          <w:highlight w:val="none"/>
        </w:rPr>
        <w:t>2.投标人保证</w:t>
      </w:r>
      <w:r>
        <w:rPr>
          <w:spacing w:val="-41"/>
          <w:sz w:val="22"/>
          <w:szCs w:val="22"/>
          <w:highlight w:val="none"/>
        </w:rPr>
        <w:t xml:space="preserve"> </w:t>
      </w:r>
      <w:r>
        <w:rPr>
          <w:rFonts w:hint="eastAsia"/>
          <w:spacing w:val="-41"/>
          <w:sz w:val="22"/>
          <w:szCs w:val="22"/>
          <w:highlight w:val="none"/>
          <w:lang w:val="en-US" w:eastAsia="zh-CN"/>
        </w:rPr>
        <w:t>24</w:t>
      </w:r>
      <w:r>
        <w:rPr>
          <w:spacing w:val="-2"/>
          <w:sz w:val="22"/>
          <w:szCs w:val="22"/>
          <w:highlight w:val="none"/>
        </w:rPr>
        <w:t>小时之内完成小维修；</w:t>
      </w:r>
      <w:r>
        <w:rPr>
          <w:spacing w:val="-39"/>
          <w:sz w:val="22"/>
          <w:szCs w:val="22"/>
          <w:highlight w:val="none"/>
        </w:rPr>
        <w:t xml:space="preserve"> </w:t>
      </w:r>
      <w:r>
        <w:rPr>
          <w:rFonts w:hint="eastAsia"/>
          <w:spacing w:val="-39"/>
          <w:sz w:val="22"/>
          <w:szCs w:val="22"/>
          <w:highlight w:val="none"/>
          <w:lang w:val="en-US" w:eastAsia="zh-CN"/>
        </w:rPr>
        <w:t>20</w:t>
      </w:r>
      <w:r>
        <w:rPr>
          <w:spacing w:val="-2"/>
          <w:sz w:val="22"/>
          <w:szCs w:val="22"/>
          <w:highlight w:val="none"/>
        </w:rPr>
        <w:t>日</w:t>
      </w:r>
      <w:r>
        <w:rPr>
          <w:rFonts w:hint="eastAsia"/>
          <w:spacing w:val="-2"/>
          <w:sz w:val="22"/>
          <w:szCs w:val="22"/>
          <w:highlight w:val="none"/>
          <w:lang w:val="en-US" w:eastAsia="zh-CN"/>
        </w:rPr>
        <w:t>内</w:t>
      </w:r>
      <w:r>
        <w:rPr>
          <w:spacing w:val="-2"/>
          <w:sz w:val="22"/>
          <w:szCs w:val="22"/>
          <w:highlight w:val="none"/>
        </w:rPr>
        <w:t>完成大维修</w:t>
      </w:r>
      <w:r>
        <w:rPr>
          <w:rFonts w:hint="eastAsia"/>
          <w:spacing w:val="-2"/>
          <w:sz w:val="22"/>
          <w:szCs w:val="22"/>
          <w:highlight w:val="none"/>
          <w:lang w:eastAsia="zh-CN"/>
        </w:rPr>
        <w:t>。</w:t>
      </w:r>
    </w:p>
    <w:p w14:paraId="2BC80BFF">
      <w:pPr>
        <w:pStyle w:val="160"/>
        <w:keepNext w:val="0"/>
        <w:keepLines w:val="0"/>
        <w:pageBreakBefore w:val="0"/>
        <w:widowControl w:val="0"/>
        <w:kinsoku/>
        <w:wordWrap/>
        <w:overflowPunct/>
        <w:topLinePunct w:val="0"/>
        <w:autoSpaceDE/>
        <w:autoSpaceDN/>
        <w:bidi w:val="0"/>
        <w:adjustRightInd/>
        <w:snapToGrid/>
        <w:spacing w:line="360" w:lineRule="exact"/>
        <w:ind w:left="0" w:right="0" w:firstLine="436" w:firstLineChars="200"/>
        <w:textAlignment w:val="auto"/>
        <w:rPr>
          <w:rFonts w:hint="eastAsia" w:eastAsia="宋体"/>
          <w:sz w:val="22"/>
          <w:szCs w:val="22"/>
          <w:highlight w:val="none"/>
          <w:lang w:eastAsia="zh-CN"/>
        </w:rPr>
      </w:pPr>
      <w:r>
        <w:rPr>
          <w:rFonts w:hint="eastAsia"/>
          <w:spacing w:val="-1"/>
          <w:sz w:val="22"/>
          <w:szCs w:val="22"/>
          <w:highlight w:val="none"/>
          <w:lang w:val="en-US" w:eastAsia="zh-CN"/>
        </w:rPr>
        <w:t>3</w:t>
      </w:r>
      <w:r>
        <w:rPr>
          <w:spacing w:val="-1"/>
          <w:sz w:val="22"/>
          <w:szCs w:val="22"/>
          <w:highlight w:val="none"/>
        </w:rPr>
        <w:t>.在维保期间，投标人无条件提供备用镜（</w:t>
      </w:r>
      <w:r>
        <w:rPr>
          <w:rFonts w:hint="eastAsia"/>
          <w:spacing w:val="-1"/>
          <w:sz w:val="22"/>
          <w:szCs w:val="22"/>
          <w:highlight w:val="none"/>
          <w:lang w:val="en-US" w:eastAsia="zh-CN"/>
        </w:rPr>
        <w:t>故障排除超过48小时</w:t>
      </w:r>
      <w:r>
        <w:rPr>
          <w:spacing w:val="-5"/>
          <w:sz w:val="22"/>
          <w:szCs w:val="22"/>
          <w:highlight w:val="none"/>
        </w:rPr>
        <w:t>）</w:t>
      </w:r>
      <w:r>
        <w:rPr>
          <w:spacing w:val="-62"/>
          <w:sz w:val="22"/>
          <w:szCs w:val="22"/>
          <w:highlight w:val="none"/>
        </w:rPr>
        <w:t xml:space="preserve"> </w:t>
      </w:r>
      <w:r>
        <w:rPr>
          <w:rFonts w:hint="eastAsia"/>
          <w:spacing w:val="-62"/>
          <w:sz w:val="22"/>
          <w:szCs w:val="22"/>
          <w:highlight w:val="none"/>
          <w:lang w:eastAsia="zh-CN"/>
        </w:rPr>
        <w:t>。</w:t>
      </w:r>
    </w:p>
    <w:p w14:paraId="286AFEB3">
      <w:pPr>
        <w:pStyle w:val="160"/>
        <w:keepNext w:val="0"/>
        <w:keepLines w:val="0"/>
        <w:pageBreakBefore w:val="0"/>
        <w:widowControl w:val="0"/>
        <w:kinsoku/>
        <w:wordWrap/>
        <w:overflowPunct/>
        <w:topLinePunct w:val="0"/>
        <w:autoSpaceDE/>
        <w:autoSpaceDN/>
        <w:bidi w:val="0"/>
        <w:adjustRightInd/>
        <w:snapToGrid/>
        <w:spacing w:line="360" w:lineRule="exact"/>
        <w:ind w:left="0" w:right="0" w:firstLine="432" w:firstLineChars="200"/>
        <w:textAlignment w:val="auto"/>
        <w:rPr>
          <w:sz w:val="22"/>
          <w:szCs w:val="22"/>
          <w:highlight w:val="none"/>
        </w:rPr>
      </w:pPr>
      <w:r>
        <w:rPr>
          <w:rFonts w:hint="eastAsia"/>
          <w:spacing w:val="-2"/>
          <w:sz w:val="22"/>
          <w:szCs w:val="22"/>
          <w:highlight w:val="none"/>
          <w:lang w:val="en-US" w:eastAsia="zh-CN"/>
        </w:rPr>
        <w:t>4</w:t>
      </w:r>
      <w:r>
        <w:rPr>
          <w:spacing w:val="-2"/>
          <w:sz w:val="22"/>
          <w:szCs w:val="22"/>
          <w:highlight w:val="none"/>
        </w:rPr>
        <w:t>.投标人</w:t>
      </w:r>
      <w:r>
        <w:rPr>
          <w:rFonts w:hint="eastAsia"/>
          <w:spacing w:val="-2"/>
          <w:sz w:val="22"/>
          <w:szCs w:val="22"/>
          <w:highlight w:val="none"/>
          <w:lang w:val="en-US" w:eastAsia="zh-CN"/>
        </w:rPr>
        <w:t>派遣一名专职</w:t>
      </w:r>
      <w:r>
        <w:rPr>
          <w:spacing w:val="-2"/>
          <w:sz w:val="22"/>
          <w:szCs w:val="22"/>
          <w:highlight w:val="none"/>
        </w:rPr>
        <w:t>工程师</w:t>
      </w:r>
      <w:r>
        <w:rPr>
          <w:rFonts w:hint="eastAsia"/>
          <w:spacing w:val="-2"/>
          <w:sz w:val="22"/>
          <w:szCs w:val="22"/>
          <w:highlight w:val="none"/>
          <w:lang w:val="en-US" w:eastAsia="zh-CN"/>
        </w:rPr>
        <w:t>驻点</w:t>
      </w:r>
      <w:r>
        <w:rPr>
          <w:spacing w:val="-2"/>
          <w:sz w:val="22"/>
          <w:szCs w:val="22"/>
          <w:highlight w:val="none"/>
        </w:rPr>
        <w:t>负责甲方内镜维修和清洗保养</w:t>
      </w:r>
      <w:r>
        <w:rPr>
          <w:rFonts w:hint="eastAsia"/>
          <w:spacing w:val="-2"/>
          <w:sz w:val="22"/>
          <w:szCs w:val="22"/>
          <w:highlight w:val="none"/>
          <w:lang w:eastAsia="zh-CN"/>
        </w:rPr>
        <w:t>、</w:t>
      </w:r>
      <w:r>
        <w:rPr>
          <w:spacing w:val="-2"/>
          <w:sz w:val="22"/>
          <w:szCs w:val="22"/>
          <w:highlight w:val="none"/>
        </w:rPr>
        <w:t>培训</w:t>
      </w:r>
      <w:r>
        <w:rPr>
          <w:rFonts w:hint="eastAsia"/>
          <w:spacing w:val="-2"/>
          <w:sz w:val="22"/>
          <w:szCs w:val="22"/>
          <w:highlight w:val="none"/>
          <w:lang w:val="en-US" w:eastAsia="zh-CN"/>
        </w:rPr>
        <w:t>等</w:t>
      </w:r>
      <w:r>
        <w:rPr>
          <w:spacing w:val="-2"/>
          <w:sz w:val="22"/>
          <w:szCs w:val="22"/>
          <w:highlight w:val="none"/>
        </w:rPr>
        <w:t>工作。一旦甲方的本合同附件中所列的内</w:t>
      </w:r>
      <w:r>
        <w:rPr>
          <w:spacing w:val="-3"/>
          <w:sz w:val="22"/>
          <w:szCs w:val="22"/>
          <w:highlight w:val="none"/>
        </w:rPr>
        <w:t>镜出现问题，工程师保证在</w:t>
      </w:r>
      <w:r>
        <w:rPr>
          <w:spacing w:val="-37"/>
          <w:sz w:val="22"/>
          <w:szCs w:val="22"/>
          <w:highlight w:val="none"/>
        </w:rPr>
        <w:t xml:space="preserve"> </w:t>
      </w:r>
      <w:r>
        <w:rPr>
          <w:rFonts w:hint="eastAsia"/>
          <w:spacing w:val="-37"/>
          <w:sz w:val="22"/>
          <w:szCs w:val="22"/>
          <w:highlight w:val="none"/>
          <w:lang w:val="en-US" w:eastAsia="zh-CN"/>
        </w:rPr>
        <w:t>2</w:t>
      </w:r>
      <w:r>
        <w:rPr>
          <w:spacing w:val="-3"/>
          <w:sz w:val="22"/>
          <w:szCs w:val="22"/>
          <w:highlight w:val="none"/>
        </w:rPr>
        <w:t>小时内提供现场技术支持，并</w:t>
      </w:r>
      <w:r>
        <w:rPr>
          <w:spacing w:val="-2"/>
          <w:sz w:val="22"/>
          <w:szCs w:val="22"/>
          <w:highlight w:val="none"/>
        </w:rPr>
        <w:t>提供每周</w:t>
      </w:r>
      <w:r>
        <w:rPr>
          <w:spacing w:val="-36"/>
          <w:sz w:val="22"/>
          <w:szCs w:val="22"/>
          <w:highlight w:val="none"/>
        </w:rPr>
        <w:t xml:space="preserve"> </w:t>
      </w:r>
      <w:r>
        <w:rPr>
          <w:spacing w:val="-2"/>
          <w:sz w:val="22"/>
          <w:szCs w:val="22"/>
          <w:highlight w:val="none"/>
        </w:rPr>
        <w:t>24</w:t>
      </w:r>
      <w:r>
        <w:rPr>
          <w:spacing w:val="-42"/>
          <w:sz w:val="22"/>
          <w:szCs w:val="22"/>
          <w:highlight w:val="none"/>
        </w:rPr>
        <w:t xml:space="preserve"> </w:t>
      </w:r>
      <w:r>
        <w:rPr>
          <w:spacing w:val="-2"/>
          <w:sz w:val="22"/>
          <w:szCs w:val="22"/>
          <w:highlight w:val="none"/>
        </w:rPr>
        <w:t>小时*7</w:t>
      </w:r>
      <w:r>
        <w:rPr>
          <w:spacing w:val="-42"/>
          <w:sz w:val="22"/>
          <w:szCs w:val="22"/>
          <w:highlight w:val="none"/>
        </w:rPr>
        <w:t xml:space="preserve"> </w:t>
      </w:r>
      <w:r>
        <w:rPr>
          <w:spacing w:val="-2"/>
          <w:sz w:val="22"/>
          <w:szCs w:val="22"/>
          <w:highlight w:val="none"/>
        </w:rPr>
        <w:t>天的电话支持服务</w:t>
      </w:r>
      <w:r>
        <w:rPr>
          <w:spacing w:val="-1"/>
          <w:sz w:val="22"/>
          <w:szCs w:val="22"/>
          <w:highlight w:val="none"/>
        </w:rPr>
        <w:t>。</w:t>
      </w:r>
    </w:p>
    <w:p w14:paraId="4BADBC6E">
      <w:pPr>
        <w:pStyle w:val="160"/>
        <w:keepNext w:val="0"/>
        <w:keepLines w:val="0"/>
        <w:pageBreakBefore w:val="0"/>
        <w:widowControl w:val="0"/>
        <w:kinsoku/>
        <w:wordWrap/>
        <w:overflowPunct/>
        <w:topLinePunct w:val="0"/>
        <w:autoSpaceDE/>
        <w:autoSpaceDN/>
        <w:bidi w:val="0"/>
        <w:adjustRightInd/>
        <w:snapToGrid/>
        <w:spacing w:line="360" w:lineRule="exact"/>
        <w:ind w:left="0" w:right="0" w:firstLine="424" w:firstLineChars="200"/>
        <w:textAlignment w:val="auto"/>
        <w:rPr>
          <w:spacing w:val="-2"/>
          <w:sz w:val="22"/>
          <w:szCs w:val="22"/>
          <w:highlight w:val="none"/>
        </w:rPr>
      </w:pPr>
      <w:r>
        <w:rPr>
          <w:rFonts w:hint="eastAsia"/>
          <w:spacing w:val="-4"/>
          <w:sz w:val="22"/>
          <w:szCs w:val="22"/>
          <w:highlight w:val="none"/>
          <w:lang w:val="en-US" w:eastAsia="zh-CN"/>
        </w:rPr>
        <w:t>5</w:t>
      </w:r>
      <w:r>
        <w:rPr>
          <w:spacing w:val="-4"/>
          <w:sz w:val="22"/>
          <w:szCs w:val="22"/>
          <w:highlight w:val="none"/>
        </w:rPr>
        <w:t>.投标人指定工程师为甲方提供定期</w:t>
      </w:r>
      <w:r>
        <w:rPr>
          <w:spacing w:val="-17"/>
          <w:sz w:val="22"/>
          <w:szCs w:val="22"/>
          <w:highlight w:val="none"/>
        </w:rPr>
        <w:t xml:space="preserve"> </w:t>
      </w:r>
      <w:r>
        <w:rPr>
          <w:spacing w:val="-4"/>
          <w:sz w:val="22"/>
          <w:szCs w:val="22"/>
          <w:highlight w:val="none"/>
        </w:rPr>
        <w:t>1</w:t>
      </w:r>
      <w:r>
        <w:rPr>
          <w:spacing w:val="-41"/>
          <w:sz w:val="22"/>
          <w:szCs w:val="22"/>
          <w:highlight w:val="none"/>
        </w:rPr>
        <w:t xml:space="preserve"> </w:t>
      </w:r>
      <w:r>
        <w:rPr>
          <w:spacing w:val="-4"/>
          <w:sz w:val="22"/>
          <w:szCs w:val="22"/>
          <w:highlight w:val="none"/>
        </w:rPr>
        <w:t>月一次巡检，对医院</w:t>
      </w:r>
      <w:r>
        <w:rPr>
          <w:spacing w:val="-2"/>
          <w:sz w:val="22"/>
          <w:szCs w:val="22"/>
          <w:highlight w:val="none"/>
        </w:rPr>
        <w:t>设备进行维护保养，3</w:t>
      </w:r>
      <w:r>
        <w:rPr>
          <w:spacing w:val="-28"/>
          <w:sz w:val="22"/>
          <w:szCs w:val="22"/>
          <w:highlight w:val="none"/>
        </w:rPr>
        <w:t xml:space="preserve"> </w:t>
      </w:r>
      <w:r>
        <w:rPr>
          <w:spacing w:val="-2"/>
          <w:sz w:val="22"/>
          <w:szCs w:val="22"/>
          <w:highlight w:val="none"/>
        </w:rPr>
        <w:t>月一次点检。</w:t>
      </w:r>
    </w:p>
    <w:p w14:paraId="56D95428">
      <w:pPr>
        <w:pStyle w:val="160"/>
        <w:keepNext w:val="0"/>
        <w:keepLines w:val="0"/>
        <w:pageBreakBefore w:val="0"/>
        <w:widowControl w:val="0"/>
        <w:kinsoku/>
        <w:wordWrap/>
        <w:overflowPunct/>
        <w:topLinePunct w:val="0"/>
        <w:autoSpaceDE/>
        <w:autoSpaceDN/>
        <w:bidi w:val="0"/>
        <w:adjustRightInd/>
        <w:snapToGrid/>
        <w:spacing w:line="360" w:lineRule="exact"/>
        <w:ind w:left="0" w:right="0" w:firstLine="432" w:firstLineChars="200"/>
        <w:textAlignment w:val="auto"/>
        <w:rPr>
          <w:rFonts w:hint="eastAsia"/>
          <w:spacing w:val="-1"/>
          <w:sz w:val="22"/>
          <w:szCs w:val="22"/>
          <w:highlight w:val="none"/>
          <w:lang w:eastAsia="zh-CN"/>
        </w:rPr>
      </w:pPr>
      <w:r>
        <w:rPr>
          <w:rFonts w:hint="eastAsia"/>
          <w:spacing w:val="-2"/>
          <w:sz w:val="22"/>
          <w:szCs w:val="22"/>
          <w:highlight w:val="none"/>
          <w:lang w:val="en-US" w:eastAsia="zh-CN"/>
        </w:rPr>
        <w:t>6.</w:t>
      </w:r>
      <w:r>
        <w:rPr>
          <w:spacing w:val="-2"/>
          <w:sz w:val="22"/>
          <w:szCs w:val="22"/>
          <w:highlight w:val="none"/>
        </w:rPr>
        <w:t>在本合同期内，乙方可根据甲方的需求，对附件内</w:t>
      </w:r>
      <w:r>
        <w:rPr>
          <w:spacing w:val="-3"/>
          <w:sz w:val="22"/>
          <w:szCs w:val="22"/>
          <w:highlight w:val="none"/>
        </w:rPr>
        <w:t>所列设</w:t>
      </w:r>
      <w:r>
        <w:rPr>
          <w:spacing w:val="-1"/>
          <w:sz w:val="22"/>
          <w:szCs w:val="22"/>
          <w:highlight w:val="none"/>
        </w:rPr>
        <w:t>备的使用清洗和保养方法为甲方提供院内培训</w:t>
      </w:r>
      <w:r>
        <w:rPr>
          <w:rFonts w:hint="eastAsia"/>
          <w:spacing w:val="-1"/>
          <w:sz w:val="22"/>
          <w:szCs w:val="22"/>
          <w:highlight w:val="none"/>
          <w:lang w:eastAsia="zh-CN"/>
        </w:rPr>
        <w:t>。</w:t>
      </w:r>
    </w:p>
    <w:p w14:paraId="1D22C71D">
      <w:pPr>
        <w:spacing w:before="101" w:line="223" w:lineRule="auto"/>
        <w:rPr>
          <w:highlight w:val="none"/>
        </w:rPr>
      </w:pPr>
      <w:r>
        <w:rPr>
          <w:rFonts w:hint="eastAsia" w:ascii="宋体" w:hAnsi="宋体" w:cs="宋体"/>
          <w:b/>
          <w:szCs w:val="21"/>
          <w:highlight w:val="none"/>
        </w:rPr>
        <w:br w:type="page"/>
      </w:r>
      <w:r>
        <w:rPr>
          <w:rFonts w:hint="eastAsia" w:ascii="宋体" w:hAnsi="宋体" w:cs="宋体"/>
          <w:b/>
          <w:szCs w:val="21"/>
          <w:highlight w:val="none"/>
        </w:rPr>
        <w:t>附件《郴州市二人民医院内镜维保</w:t>
      </w:r>
      <w:r>
        <w:rPr>
          <w:rFonts w:hint="eastAsia" w:ascii="宋体" w:hAnsi="宋体" w:cs="宋体"/>
          <w:b/>
          <w:szCs w:val="21"/>
          <w:highlight w:val="none"/>
          <w:lang w:val="en-US" w:eastAsia="zh-CN"/>
        </w:rPr>
        <w:t>服务</w:t>
      </w:r>
      <w:r>
        <w:rPr>
          <w:rFonts w:hint="eastAsia" w:ascii="宋体" w:hAnsi="宋体" w:cs="宋体"/>
          <w:b/>
          <w:szCs w:val="21"/>
          <w:highlight w:val="none"/>
        </w:rPr>
        <w:t>项目设备清单》设备资产约</w:t>
      </w:r>
      <w:r>
        <w:rPr>
          <w:rFonts w:hint="eastAsia" w:ascii="宋体" w:hAnsi="宋体" w:cs="宋体"/>
          <w:b/>
          <w:szCs w:val="21"/>
          <w:highlight w:val="none"/>
          <w:lang w:val="en-US" w:eastAsia="zh-CN"/>
        </w:rPr>
        <w:t>973.43万</w:t>
      </w:r>
      <w:r>
        <w:rPr>
          <w:rFonts w:hint="eastAsia" w:ascii="宋体" w:hAnsi="宋体" w:cs="宋体"/>
          <w:b/>
          <w:szCs w:val="21"/>
          <w:highlight w:val="none"/>
        </w:rPr>
        <w:t>元（本清单根据</w:t>
      </w:r>
      <w:r>
        <w:rPr>
          <w:rFonts w:ascii="宋体" w:hAnsi="宋体" w:cs="宋体"/>
          <w:b/>
          <w:szCs w:val="21"/>
          <w:highlight w:val="none"/>
        </w:rPr>
        <w:t>医院</w:t>
      </w:r>
      <w:r>
        <w:rPr>
          <w:rFonts w:hint="eastAsia" w:ascii="宋体" w:hAnsi="宋体" w:cs="宋体"/>
          <w:b/>
          <w:szCs w:val="21"/>
          <w:highlight w:val="none"/>
        </w:rPr>
        <w:t>每年设备固定资产</w:t>
      </w:r>
      <w:r>
        <w:rPr>
          <w:rFonts w:ascii="宋体" w:hAnsi="宋体" w:cs="宋体"/>
          <w:b/>
          <w:szCs w:val="21"/>
          <w:highlight w:val="none"/>
        </w:rPr>
        <w:t>变化调整</w:t>
      </w:r>
      <w:r>
        <w:rPr>
          <w:rFonts w:hint="eastAsia" w:ascii="宋体" w:hAnsi="宋体" w:cs="宋体"/>
          <w:b/>
          <w:szCs w:val="21"/>
          <w:highlight w:val="none"/>
        </w:rPr>
        <w:t>）</w:t>
      </w:r>
      <w:r>
        <w:rPr>
          <w:highlight w:val="none"/>
        </w:rPr>
        <mc:AlternateContent>
          <mc:Choice Requires="wps">
            <w:drawing>
              <wp:anchor distT="0" distB="0" distL="114300" distR="114300" simplePos="0" relativeHeight="251659264" behindDoc="0" locked="0" layoutInCell="0" allowOverlap="1">
                <wp:simplePos x="0" y="0"/>
                <wp:positionH relativeFrom="page">
                  <wp:posOffset>-8027670</wp:posOffset>
                </wp:positionH>
                <wp:positionV relativeFrom="page">
                  <wp:posOffset>640715</wp:posOffset>
                </wp:positionV>
                <wp:extent cx="5616575" cy="9525"/>
                <wp:effectExtent l="0" t="0" r="0" b="0"/>
                <wp:wrapNone/>
                <wp:docPr id="5" name="任意多边形 2"/>
                <wp:cNvGraphicFramePr/>
                <a:graphic xmlns:a="http://schemas.openxmlformats.org/drawingml/2006/main">
                  <a:graphicData uri="http://schemas.microsoft.com/office/word/2010/wordprocessingShape">
                    <wps:wsp>
                      <wps:cNvSpPr/>
                      <wps:spPr>
                        <a:xfrm>
                          <a:off x="0" y="0"/>
                          <a:ext cx="5616575" cy="9525"/>
                        </a:xfrm>
                        <a:custGeom>
                          <a:avLst/>
                          <a:gdLst/>
                          <a:ahLst/>
                          <a:cxnLst/>
                          <a:pathLst>
                            <a:path w="8845" h="15">
                              <a:moveTo>
                                <a:pt x="0" y="0"/>
                              </a:moveTo>
                              <a:lnTo>
                                <a:pt x="8844" y="0"/>
                              </a:lnTo>
                              <a:lnTo>
                                <a:pt x="8844" y="14"/>
                              </a:lnTo>
                              <a:lnTo>
                                <a:pt x="0" y="14"/>
                              </a:lnTo>
                              <a:lnTo>
                                <a:pt x="0" y="0"/>
                              </a:lnTo>
                              <a:close/>
                            </a:path>
                          </a:pathLst>
                        </a:custGeom>
                        <a:solidFill>
                          <a:srgbClr val="000000"/>
                        </a:solidFill>
                        <a:ln>
                          <a:noFill/>
                        </a:ln>
                        <a:effectLst/>
                      </wps:spPr>
                      <wps:bodyPr upright="1"/>
                    </wps:wsp>
                  </a:graphicData>
                </a:graphic>
              </wp:anchor>
            </w:drawing>
          </mc:Choice>
          <mc:Fallback>
            <w:pict>
              <v:shape id="任意多边形 2" o:spid="_x0000_s1026" o:spt="100" style="position:absolute;left:0pt;margin-left:-632.1pt;margin-top:50.45pt;height:0.75pt;width:442.25pt;mso-position-horizontal-relative:page;mso-position-vertical-relative:page;z-index:251659264;mso-width-relative:page;mso-height-relative:page;" fillcolor="#000000" filled="t" stroked="f" coordsize="8845,15" o:allowincell="f" o:gfxdata="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4pr+jcAAAA&#10;DgEAAA8AAAAAAAAAAQAgAAAAIgAAAGRycy9kb3ducmV2LnhtbFBLAQIUABQAAAAIAIdO4kCgNxsu&#10;GQIAAIkEAAAOAAAAAAAAAAEAIAAAACsBAABkcnMvZTJvRG9jLnhtbFBLBQYAAAAABgAGAFkBAAC2&#10;BQAAAAA=&#10;" path="m0,0l8844,0,8844,14,0,14,0,0xe">
                <v:fill on="t" focussize="0,0"/>
                <v:stroke on="f"/>
                <v:imagedata o:title=""/>
                <o:lock v:ext="edit" aspectratio="f"/>
              </v:shape>
            </w:pict>
          </mc:Fallback>
        </mc:AlternateContent>
      </w:r>
      <w:r>
        <w:rPr>
          <w:highlight w:val="none"/>
        </w:rPr>
        <mc:AlternateContent>
          <mc:Choice Requires="wps">
            <w:drawing>
              <wp:anchor distT="0" distB="0" distL="114300" distR="114300" simplePos="0" relativeHeight="251660288" behindDoc="0" locked="0" layoutInCell="0" allowOverlap="1">
                <wp:simplePos x="0" y="0"/>
                <wp:positionH relativeFrom="page">
                  <wp:posOffset>-10215245</wp:posOffset>
                </wp:positionH>
                <wp:positionV relativeFrom="page">
                  <wp:posOffset>417830</wp:posOffset>
                </wp:positionV>
                <wp:extent cx="5616575" cy="9525"/>
                <wp:effectExtent l="0" t="0" r="0" b="0"/>
                <wp:wrapNone/>
                <wp:docPr id="6" name="任意多边形 1"/>
                <wp:cNvGraphicFramePr/>
                <a:graphic xmlns:a="http://schemas.openxmlformats.org/drawingml/2006/main">
                  <a:graphicData uri="http://schemas.microsoft.com/office/word/2010/wordprocessingShape">
                    <wps:wsp>
                      <wps:cNvSpPr/>
                      <wps:spPr>
                        <a:xfrm>
                          <a:off x="0" y="0"/>
                          <a:ext cx="5616575" cy="9525"/>
                        </a:xfrm>
                        <a:custGeom>
                          <a:avLst/>
                          <a:gdLst/>
                          <a:ahLst/>
                          <a:cxnLst/>
                          <a:pathLst>
                            <a:path w="8845" h="15">
                              <a:moveTo>
                                <a:pt x="0" y="0"/>
                              </a:moveTo>
                              <a:lnTo>
                                <a:pt x="8844" y="0"/>
                              </a:lnTo>
                              <a:lnTo>
                                <a:pt x="8844" y="14"/>
                              </a:lnTo>
                              <a:lnTo>
                                <a:pt x="0" y="14"/>
                              </a:lnTo>
                              <a:lnTo>
                                <a:pt x="0" y="0"/>
                              </a:lnTo>
                              <a:close/>
                            </a:path>
                          </a:pathLst>
                        </a:custGeom>
                        <a:solidFill>
                          <a:srgbClr val="000000"/>
                        </a:solidFill>
                        <a:ln>
                          <a:noFill/>
                        </a:ln>
                        <a:effectLst/>
                      </wps:spPr>
                      <wps:bodyPr upright="1"/>
                    </wps:wsp>
                  </a:graphicData>
                </a:graphic>
              </wp:anchor>
            </w:drawing>
          </mc:Choice>
          <mc:Fallback>
            <w:pict>
              <v:shape id="任意多边形 1" o:spid="_x0000_s1026" o:spt="100" style="position:absolute;left:0pt;margin-left:-804.35pt;margin-top:32.9pt;height:0.75pt;width:442.25pt;mso-position-horizontal-relative:page;mso-position-vertical-relative:page;z-index:251660288;mso-width-relative:page;mso-height-relative:page;" fillcolor="#000000" filled="t" stroked="f" coordsize="8845,15" o:allowincell="f" o:gfxdata="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3m3cqdsAAAAM&#10;AQAADwAAAAAAAAABACAAAAAiAAAAZHJzL2Rvd25yZXYueG1sUEsBAhQAFAAAAAgAh07iQOx4qMoZ&#10;AgAAiQQAAA4AAAAAAAAAAQAgAAAAKgEAAGRycy9lMm9Eb2MueG1sUEsFBgAAAAAGAAYAWQEAALUF&#10;AAAAAA==&#10;" path="m0,0l8844,0,8844,14,0,14,0,0xe">
                <v:fill on="t" focussize="0,0"/>
                <v:stroke on="f"/>
                <v:imagedata o:title=""/>
                <o:lock v:ext="edit" aspectratio="f"/>
              </v:shape>
            </w:pict>
          </mc:Fallback>
        </mc:AlternateContent>
      </w:r>
    </w:p>
    <w:p w14:paraId="67446EF5">
      <w:pPr>
        <w:keepNext w:val="0"/>
        <w:keepLines w:val="0"/>
        <w:pageBreakBefore w:val="0"/>
        <w:kinsoku/>
        <w:wordWrap/>
        <w:overflowPunct/>
        <w:topLinePunct w:val="0"/>
        <w:autoSpaceDE/>
        <w:autoSpaceDN/>
        <w:bidi w:val="0"/>
        <w:adjustRightInd/>
        <w:snapToGrid/>
        <w:spacing w:before="101" w:line="360" w:lineRule="exact"/>
        <w:ind w:firstLine="2296" w:firstLineChars="700"/>
        <w:rPr>
          <w:rFonts w:ascii="宋体" w:hAnsi="宋体" w:eastAsia="宋体" w:cs="宋体"/>
          <w:sz w:val="31"/>
          <w:szCs w:val="31"/>
          <w:highlight w:val="none"/>
        </w:rPr>
      </w:pPr>
      <w:r>
        <w:rPr>
          <w:rFonts w:ascii="宋体" w:hAnsi="宋体" w:eastAsia="宋体" w:cs="宋体"/>
          <w:spacing w:val="9"/>
          <w:sz w:val="31"/>
          <w:szCs w:val="31"/>
          <w:highlight w:val="none"/>
        </w:rPr>
        <w:t>内镜维保</w:t>
      </w:r>
      <w:r>
        <w:rPr>
          <w:rFonts w:hint="eastAsia" w:ascii="宋体" w:hAnsi="宋体" w:eastAsia="宋体" w:cs="宋体"/>
          <w:spacing w:val="9"/>
          <w:sz w:val="31"/>
          <w:szCs w:val="31"/>
          <w:highlight w:val="none"/>
          <w:lang w:val="en-US" w:eastAsia="zh-CN"/>
        </w:rPr>
        <w:t>服务</w:t>
      </w:r>
      <w:r>
        <w:rPr>
          <w:rFonts w:ascii="宋体" w:hAnsi="宋体" w:eastAsia="宋体" w:cs="宋体"/>
          <w:spacing w:val="9"/>
          <w:sz w:val="31"/>
          <w:szCs w:val="31"/>
          <w:highlight w:val="none"/>
        </w:rPr>
        <w:t>项目设备清单</w:t>
      </w:r>
    </w:p>
    <w:p w14:paraId="232D08C8">
      <w:pPr>
        <w:keepNext w:val="0"/>
        <w:keepLines w:val="0"/>
        <w:pageBreakBefore w:val="0"/>
        <w:kinsoku/>
        <w:wordWrap/>
        <w:overflowPunct/>
        <w:topLinePunct w:val="0"/>
        <w:autoSpaceDE/>
        <w:autoSpaceDN/>
        <w:bidi w:val="0"/>
        <w:adjustRightInd/>
        <w:snapToGrid/>
        <w:spacing w:line="360" w:lineRule="exact"/>
        <w:rPr>
          <w:highlight w:val="none"/>
        </w:rPr>
      </w:pPr>
    </w:p>
    <w:tbl>
      <w:tblPr>
        <w:tblStyle w:val="46"/>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1352"/>
        <w:gridCol w:w="2712"/>
        <w:gridCol w:w="1623"/>
        <w:gridCol w:w="1216"/>
        <w:gridCol w:w="808"/>
      </w:tblGrid>
      <w:tr w14:paraId="7E37C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noWrap w:val="0"/>
            <w:vAlign w:val="center"/>
          </w:tcPr>
          <w:p w14:paraId="3A8E774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b/>
                <w:sz w:val="22"/>
                <w:szCs w:val="22"/>
                <w:highlight w:val="none"/>
                <w:vertAlign w:val="baseline"/>
                <w:lang w:val="en-US" w:eastAsia="zh-CN"/>
              </w:rPr>
            </w:pPr>
            <w:r>
              <w:rPr>
                <w:rFonts w:hint="eastAsia" w:ascii="宋体" w:hAnsi="宋体" w:eastAsia="宋体" w:cs="宋体"/>
                <w:b/>
                <w:sz w:val="22"/>
                <w:szCs w:val="22"/>
                <w:highlight w:val="none"/>
                <w:vertAlign w:val="baseline"/>
                <w:lang w:val="en-US" w:eastAsia="zh-CN"/>
              </w:rPr>
              <w:t>序号</w:t>
            </w:r>
          </w:p>
        </w:tc>
        <w:tc>
          <w:tcPr>
            <w:tcW w:w="0" w:type="auto"/>
            <w:noWrap w:val="0"/>
            <w:vAlign w:val="center"/>
          </w:tcPr>
          <w:p w14:paraId="00A3DD2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b/>
                <w:sz w:val="22"/>
                <w:szCs w:val="22"/>
                <w:highlight w:val="none"/>
                <w:vertAlign w:val="baseline"/>
                <w:lang w:val="en-US" w:eastAsia="zh-CN"/>
              </w:rPr>
            </w:pPr>
            <w:r>
              <w:rPr>
                <w:rFonts w:hint="eastAsia" w:ascii="宋体" w:hAnsi="宋体" w:eastAsia="宋体" w:cs="宋体"/>
                <w:b/>
                <w:sz w:val="22"/>
                <w:szCs w:val="22"/>
                <w:highlight w:val="none"/>
                <w:vertAlign w:val="baseline"/>
                <w:lang w:val="en-US" w:eastAsia="zh-CN"/>
              </w:rPr>
              <w:t>品牌</w:t>
            </w:r>
          </w:p>
        </w:tc>
        <w:tc>
          <w:tcPr>
            <w:tcW w:w="0" w:type="auto"/>
            <w:noWrap w:val="0"/>
            <w:vAlign w:val="center"/>
          </w:tcPr>
          <w:p w14:paraId="359B55F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b/>
                <w:sz w:val="22"/>
                <w:szCs w:val="22"/>
                <w:highlight w:val="none"/>
                <w:vertAlign w:val="baseline"/>
                <w:lang w:val="en-US" w:eastAsia="zh-CN"/>
              </w:rPr>
            </w:pPr>
            <w:r>
              <w:rPr>
                <w:rFonts w:hint="eastAsia" w:ascii="宋体" w:hAnsi="宋体" w:eastAsia="宋体" w:cs="宋体"/>
                <w:b/>
                <w:sz w:val="22"/>
                <w:szCs w:val="22"/>
                <w:highlight w:val="none"/>
                <w:vertAlign w:val="baseline"/>
                <w:lang w:val="en-US" w:eastAsia="zh-CN"/>
              </w:rPr>
              <w:t>设备名称</w:t>
            </w:r>
          </w:p>
        </w:tc>
        <w:tc>
          <w:tcPr>
            <w:tcW w:w="0" w:type="auto"/>
            <w:noWrap w:val="0"/>
            <w:vAlign w:val="center"/>
          </w:tcPr>
          <w:p w14:paraId="3125BC3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b/>
                <w:sz w:val="22"/>
                <w:szCs w:val="22"/>
                <w:highlight w:val="none"/>
                <w:vertAlign w:val="baseline"/>
              </w:rPr>
            </w:pPr>
            <w:r>
              <w:rPr>
                <w:rFonts w:hint="eastAsia" w:ascii="宋体" w:hAnsi="宋体" w:eastAsia="宋体" w:cs="宋体"/>
                <w:b/>
                <w:sz w:val="22"/>
                <w:szCs w:val="22"/>
                <w:highlight w:val="none"/>
                <w:vertAlign w:val="baseline"/>
                <w:lang w:val="en-US" w:eastAsia="zh-CN"/>
              </w:rPr>
              <w:t>型号</w:t>
            </w:r>
          </w:p>
        </w:tc>
        <w:tc>
          <w:tcPr>
            <w:tcW w:w="0" w:type="auto"/>
            <w:noWrap w:val="0"/>
            <w:vAlign w:val="center"/>
          </w:tcPr>
          <w:p w14:paraId="534B0F8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b/>
                <w:sz w:val="22"/>
                <w:szCs w:val="22"/>
                <w:highlight w:val="none"/>
                <w:vertAlign w:val="baseline"/>
                <w:lang w:val="en-US" w:eastAsia="zh-CN"/>
              </w:rPr>
            </w:pPr>
            <w:r>
              <w:rPr>
                <w:rFonts w:hint="eastAsia" w:ascii="宋体" w:hAnsi="宋体" w:eastAsia="宋体" w:cs="宋体"/>
                <w:b/>
                <w:sz w:val="22"/>
                <w:szCs w:val="22"/>
                <w:highlight w:val="none"/>
                <w:vertAlign w:val="baseline"/>
                <w:lang w:val="en-US" w:eastAsia="zh-CN"/>
              </w:rPr>
              <w:t>序列号</w:t>
            </w:r>
          </w:p>
        </w:tc>
        <w:tc>
          <w:tcPr>
            <w:tcW w:w="808" w:type="dxa"/>
            <w:noWrap w:val="0"/>
            <w:vAlign w:val="center"/>
          </w:tcPr>
          <w:p w14:paraId="79594FC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b/>
                <w:sz w:val="22"/>
                <w:szCs w:val="22"/>
                <w:highlight w:val="none"/>
                <w:vertAlign w:val="baseline"/>
                <w:lang w:val="en-US" w:eastAsia="zh-CN"/>
              </w:rPr>
            </w:pPr>
            <w:r>
              <w:rPr>
                <w:rFonts w:hint="eastAsia" w:ascii="宋体" w:hAnsi="宋体" w:eastAsia="宋体" w:cs="宋体"/>
                <w:b/>
                <w:sz w:val="22"/>
                <w:szCs w:val="22"/>
                <w:highlight w:val="none"/>
                <w:vertAlign w:val="baseline"/>
                <w:lang w:val="en-US" w:eastAsia="zh-CN"/>
              </w:rPr>
              <w:t>数量</w:t>
            </w:r>
          </w:p>
        </w:tc>
      </w:tr>
      <w:tr w14:paraId="58320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1A484AA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1</w:t>
            </w:r>
          </w:p>
        </w:tc>
        <w:tc>
          <w:tcPr>
            <w:tcW w:w="0" w:type="auto"/>
            <w:noWrap w:val="0"/>
            <w:vAlign w:val="center"/>
          </w:tcPr>
          <w:p w14:paraId="00A0F3E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lang w:val="en-US" w:eastAsia="zh-CN"/>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7E7E99C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图像处理装置</w:t>
            </w:r>
          </w:p>
        </w:tc>
        <w:tc>
          <w:tcPr>
            <w:tcW w:w="0" w:type="auto"/>
            <w:noWrap w:val="0"/>
            <w:vAlign w:val="center"/>
          </w:tcPr>
          <w:p w14:paraId="26AAE83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CV-290</w:t>
            </w:r>
          </w:p>
        </w:tc>
        <w:tc>
          <w:tcPr>
            <w:tcW w:w="0" w:type="auto"/>
            <w:noWrap w:val="0"/>
            <w:vAlign w:val="center"/>
          </w:tcPr>
          <w:p w14:paraId="2D1C1E7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7035795</w:t>
            </w:r>
          </w:p>
        </w:tc>
        <w:tc>
          <w:tcPr>
            <w:tcW w:w="808" w:type="dxa"/>
            <w:noWrap w:val="0"/>
            <w:vAlign w:val="center"/>
          </w:tcPr>
          <w:p w14:paraId="249EBDC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lang w:val="en-US" w:eastAsia="zh-CN"/>
              </w:rPr>
            </w:pPr>
            <w:r>
              <w:rPr>
                <w:rFonts w:hint="eastAsia" w:ascii="宋体" w:hAnsi="宋体" w:eastAsia="宋体" w:cs="宋体"/>
                <w:sz w:val="22"/>
                <w:szCs w:val="22"/>
                <w:highlight w:val="none"/>
                <w:vertAlign w:val="baseline"/>
                <w:lang w:val="en-US" w:eastAsia="zh-CN"/>
              </w:rPr>
              <w:t>1</w:t>
            </w:r>
          </w:p>
        </w:tc>
      </w:tr>
      <w:tr w14:paraId="45105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5D03E47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2</w:t>
            </w:r>
          </w:p>
        </w:tc>
        <w:tc>
          <w:tcPr>
            <w:tcW w:w="0" w:type="auto"/>
            <w:noWrap w:val="0"/>
            <w:vAlign w:val="center"/>
          </w:tcPr>
          <w:p w14:paraId="45E76E8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7B1B438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图像处理装置</w:t>
            </w:r>
          </w:p>
        </w:tc>
        <w:tc>
          <w:tcPr>
            <w:tcW w:w="0" w:type="auto"/>
            <w:noWrap w:val="0"/>
            <w:vAlign w:val="center"/>
          </w:tcPr>
          <w:p w14:paraId="151CFCC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CV-290</w:t>
            </w:r>
          </w:p>
        </w:tc>
        <w:tc>
          <w:tcPr>
            <w:tcW w:w="0" w:type="auto"/>
            <w:noWrap w:val="0"/>
            <w:vAlign w:val="center"/>
          </w:tcPr>
          <w:p w14:paraId="6EB1238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7623779</w:t>
            </w:r>
          </w:p>
        </w:tc>
        <w:tc>
          <w:tcPr>
            <w:tcW w:w="808" w:type="dxa"/>
            <w:noWrap w:val="0"/>
            <w:vAlign w:val="center"/>
          </w:tcPr>
          <w:p w14:paraId="1BCAEB3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07B5E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6362519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3</w:t>
            </w:r>
          </w:p>
        </w:tc>
        <w:tc>
          <w:tcPr>
            <w:tcW w:w="0" w:type="auto"/>
            <w:noWrap w:val="0"/>
            <w:vAlign w:val="center"/>
          </w:tcPr>
          <w:p w14:paraId="0CF698A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7F1816A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图像处理装置</w:t>
            </w:r>
          </w:p>
        </w:tc>
        <w:tc>
          <w:tcPr>
            <w:tcW w:w="0" w:type="auto"/>
            <w:noWrap w:val="0"/>
            <w:vAlign w:val="center"/>
          </w:tcPr>
          <w:p w14:paraId="4DA9CC7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CV-290</w:t>
            </w:r>
          </w:p>
        </w:tc>
        <w:tc>
          <w:tcPr>
            <w:tcW w:w="0" w:type="auto"/>
            <w:noWrap w:val="0"/>
            <w:vAlign w:val="center"/>
          </w:tcPr>
          <w:p w14:paraId="3FFFD17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7623777</w:t>
            </w:r>
          </w:p>
        </w:tc>
        <w:tc>
          <w:tcPr>
            <w:tcW w:w="808" w:type="dxa"/>
            <w:noWrap w:val="0"/>
            <w:vAlign w:val="center"/>
          </w:tcPr>
          <w:p w14:paraId="2F06E50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3AB11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50DF37D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4</w:t>
            </w:r>
          </w:p>
        </w:tc>
        <w:tc>
          <w:tcPr>
            <w:tcW w:w="0" w:type="auto"/>
            <w:noWrap w:val="0"/>
            <w:vAlign w:val="center"/>
          </w:tcPr>
          <w:p w14:paraId="45201F2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58C9934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内窥镜冷光源</w:t>
            </w:r>
          </w:p>
        </w:tc>
        <w:tc>
          <w:tcPr>
            <w:tcW w:w="0" w:type="auto"/>
            <w:noWrap w:val="0"/>
            <w:vAlign w:val="center"/>
          </w:tcPr>
          <w:p w14:paraId="7D88468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CV-290SL</w:t>
            </w:r>
          </w:p>
        </w:tc>
        <w:tc>
          <w:tcPr>
            <w:tcW w:w="0" w:type="auto"/>
            <w:noWrap w:val="0"/>
            <w:vAlign w:val="center"/>
          </w:tcPr>
          <w:p w14:paraId="395AF4D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7026212</w:t>
            </w:r>
          </w:p>
        </w:tc>
        <w:tc>
          <w:tcPr>
            <w:tcW w:w="808" w:type="dxa"/>
            <w:noWrap w:val="0"/>
            <w:vAlign w:val="center"/>
          </w:tcPr>
          <w:p w14:paraId="7CBB0C2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3C7D1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46CE42E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5</w:t>
            </w:r>
          </w:p>
        </w:tc>
        <w:tc>
          <w:tcPr>
            <w:tcW w:w="0" w:type="auto"/>
            <w:noWrap w:val="0"/>
            <w:vAlign w:val="center"/>
          </w:tcPr>
          <w:p w14:paraId="2B47155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47842EC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内窥镜冷光源</w:t>
            </w:r>
          </w:p>
        </w:tc>
        <w:tc>
          <w:tcPr>
            <w:tcW w:w="0" w:type="auto"/>
            <w:noWrap w:val="0"/>
            <w:vAlign w:val="center"/>
          </w:tcPr>
          <w:p w14:paraId="77944B4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CV-290SL</w:t>
            </w:r>
          </w:p>
        </w:tc>
        <w:tc>
          <w:tcPr>
            <w:tcW w:w="0" w:type="auto"/>
            <w:noWrap w:val="0"/>
            <w:vAlign w:val="center"/>
          </w:tcPr>
          <w:p w14:paraId="63390FE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7627802</w:t>
            </w:r>
          </w:p>
        </w:tc>
        <w:tc>
          <w:tcPr>
            <w:tcW w:w="808" w:type="dxa"/>
            <w:noWrap w:val="0"/>
            <w:vAlign w:val="center"/>
          </w:tcPr>
          <w:p w14:paraId="3B2C91A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1474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33A394E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6</w:t>
            </w:r>
          </w:p>
        </w:tc>
        <w:tc>
          <w:tcPr>
            <w:tcW w:w="0" w:type="auto"/>
            <w:noWrap w:val="0"/>
            <w:vAlign w:val="center"/>
          </w:tcPr>
          <w:p w14:paraId="57A4DDB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74DDB7E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内窥镜冷光源</w:t>
            </w:r>
          </w:p>
        </w:tc>
        <w:tc>
          <w:tcPr>
            <w:tcW w:w="0" w:type="auto"/>
            <w:noWrap w:val="0"/>
            <w:vAlign w:val="center"/>
          </w:tcPr>
          <w:p w14:paraId="33EE7C4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CV-290SL</w:t>
            </w:r>
          </w:p>
        </w:tc>
        <w:tc>
          <w:tcPr>
            <w:tcW w:w="0" w:type="auto"/>
            <w:noWrap w:val="0"/>
            <w:vAlign w:val="center"/>
          </w:tcPr>
          <w:p w14:paraId="4CF9EF2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7627767</w:t>
            </w:r>
          </w:p>
        </w:tc>
        <w:tc>
          <w:tcPr>
            <w:tcW w:w="808" w:type="dxa"/>
            <w:noWrap w:val="0"/>
            <w:vAlign w:val="center"/>
          </w:tcPr>
          <w:p w14:paraId="355C4A7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637E6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58FF2D7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7</w:t>
            </w:r>
          </w:p>
        </w:tc>
        <w:tc>
          <w:tcPr>
            <w:tcW w:w="0" w:type="auto"/>
            <w:noWrap w:val="0"/>
            <w:vAlign w:val="center"/>
          </w:tcPr>
          <w:p w14:paraId="68D02CC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08C5DF5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超声图像处理装置</w:t>
            </w:r>
          </w:p>
        </w:tc>
        <w:tc>
          <w:tcPr>
            <w:tcW w:w="0" w:type="auto"/>
            <w:noWrap w:val="0"/>
            <w:vAlign w:val="center"/>
          </w:tcPr>
          <w:p w14:paraId="50F4709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EU-ME2</w:t>
            </w:r>
          </w:p>
        </w:tc>
        <w:tc>
          <w:tcPr>
            <w:tcW w:w="0" w:type="auto"/>
            <w:noWrap w:val="0"/>
            <w:vAlign w:val="center"/>
          </w:tcPr>
          <w:p w14:paraId="6FF12FB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7126805</w:t>
            </w:r>
          </w:p>
        </w:tc>
        <w:tc>
          <w:tcPr>
            <w:tcW w:w="808" w:type="dxa"/>
            <w:noWrap w:val="0"/>
            <w:vAlign w:val="center"/>
          </w:tcPr>
          <w:p w14:paraId="2653508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3A895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5AF4B59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8</w:t>
            </w:r>
          </w:p>
        </w:tc>
        <w:tc>
          <w:tcPr>
            <w:tcW w:w="0" w:type="auto"/>
            <w:noWrap w:val="0"/>
            <w:vAlign w:val="center"/>
          </w:tcPr>
          <w:p w14:paraId="4B8DD6E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0AC6D6B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电子支气管内窥镜</w:t>
            </w:r>
          </w:p>
        </w:tc>
        <w:tc>
          <w:tcPr>
            <w:tcW w:w="0" w:type="auto"/>
            <w:noWrap w:val="0"/>
            <w:vAlign w:val="center"/>
          </w:tcPr>
          <w:p w14:paraId="6BFA2FE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BF-Q290</w:t>
            </w:r>
          </w:p>
        </w:tc>
        <w:tc>
          <w:tcPr>
            <w:tcW w:w="0" w:type="auto"/>
            <w:noWrap w:val="0"/>
            <w:vAlign w:val="center"/>
          </w:tcPr>
          <w:p w14:paraId="5ABA43B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2021657</w:t>
            </w:r>
          </w:p>
        </w:tc>
        <w:tc>
          <w:tcPr>
            <w:tcW w:w="808" w:type="dxa"/>
            <w:noWrap w:val="0"/>
            <w:vAlign w:val="center"/>
          </w:tcPr>
          <w:p w14:paraId="0FF05BA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38A39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2438F26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9</w:t>
            </w:r>
          </w:p>
        </w:tc>
        <w:tc>
          <w:tcPr>
            <w:tcW w:w="0" w:type="auto"/>
            <w:noWrap w:val="0"/>
            <w:vAlign w:val="center"/>
          </w:tcPr>
          <w:p w14:paraId="5DEC96D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50A69A3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电子支气管内窥镜</w:t>
            </w:r>
          </w:p>
        </w:tc>
        <w:tc>
          <w:tcPr>
            <w:tcW w:w="0" w:type="auto"/>
            <w:noWrap w:val="0"/>
            <w:vAlign w:val="center"/>
          </w:tcPr>
          <w:p w14:paraId="211EF8E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BF-1TQ290</w:t>
            </w:r>
          </w:p>
        </w:tc>
        <w:tc>
          <w:tcPr>
            <w:tcW w:w="0" w:type="auto"/>
            <w:noWrap w:val="0"/>
            <w:vAlign w:val="center"/>
          </w:tcPr>
          <w:p w14:paraId="7AAE82F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2021741</w:t>
            </w:r>
          </w:p>
        </w:tc>
        <w:tc>
          <w:tcPr>
            <w:tcW w:w="808" w:type="dxa"/>
            <w:noWrap w:val="0"/>
            <w:vAlign w:val="center"/>
          </w:tcPr>
          <w:p w14:paraId="487F5CB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63860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11B4FCF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10</w:t>
            </w:r>
          </w:p>
        </w:tc>
        <w:tc>
          <w:tcPr>
            <w:tcW w:w="0" w:type="auto"/>
            <w:noWrap w:val="0"/>
            <w:vAlign w:val="center"/>
          </w:tcPr>
          <w:p w14:paraId="4CFB0A9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04C4A70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电子支气管内窥镜</w:t>
            </w:r>
          </w:p>
        </w:tc>
        <w:tc>
          <w:tcPr>
            <w:tcW w:w="0" w:type="auto"/>
            <w:noWrap w:val="0"/>
            <w:vAlign w:val="center"/>
          </w:tcPr>
          <w:p w14:paraId="5BD0652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BF-P290</w:t>
            </w:r>
          </w:p>
        </w:tc>
        <w:tc>
          <w:tcPr>
            <w:tcW w:w="0" w:type="auto"/>
            <w:noWrap w:val="0"/>
            <w:vAlign w:val="center"/>
          </w:tcPr>
          <w:p w14:paraId="19BC42E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2710552</w:t>
            </w:r>
          </w:p>
        </w:tc>
        <w:tc>
          <w:tcPr>
            <w:tcW w:w="808" w:type="dxa"/>
            <w:noWrap w:val="0"/>
            <w:vAlign w:val="center"/>
          </w:tcPr>
          <w:p w14:paraId="1D88F85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2528F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01DEBA5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11</w:t>
            </w:r>
          </w:p>
        </w:tc>
        <w:tc>
          <w:tcPr>
            <w:tcW w:w="0" w:type="auto"/>
            <w:noWrap w:val="0"/>
            <w:vAlign w:val="center"/>
          </w:tcPr>
          <w:p w14:paraId="1FEE57A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621FACF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电子支气管内窥镜</w:t>
            </w:r>
          </w:p>
        </w:tc>
        <w:tc>
          <w:tcPr>
            <w:tcW w:w="0" w:type="auto"/>
            <w:noWrap w:val="0"/>
            <w:vAlign w:val="center"/>
          </w:tcPr>
          <w:p w14:paraId="195C591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BF-1TQ290</w:t>
            </w:r>
          </w:p>
        </w:tc>
        <w:tc>
          <w:tcPr>
            <w:tcW w:w="0" w:type="auto"/>
            <w:noWrap w:val="0"/>
            <w:vAlign w:val="center"/>
          </w:tcPr>
          <w:p w14:paraId="5464852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2610720</w:t>
            </w:r>
          </w:p>
        </w:tc>
        <w:tc>
          <w:tcPr>
            <w:tcW w:w="808" w:type="dxa"/>
            <w:noWrap w:val="0"/>
            <w:vAlign w:val="center"/>
          </w:tcPr>
          <w:p w14:paraId="7D7E69A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16A1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637D1C0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12</w:t>
            </w:r>
          </w:p>
        </w:tc>
        <w:tc>
          <w:tcPr>
            <w:tcW w:w="0" w:type="auto"/>
            <w:noWrap w:val="0"/>
            <w:vAlign w:val="center"/>
          </w:tcPr>
          <w:p w14:paraId="69711F5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30671C5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超声支气管内窥镜</w:t>
            </w:r>
          </w:p>
        </w:tc>
        <w:tc>
          <w:tcPr>
            <w:tcW w:w="0" w:type="auto"/>
            <w:noWrap w:val="0"/>
            <w:vAlign w:val="center"/>
          </w:tcPr>
          <w:p w14:paraId="24BF5D4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BF-UC260FW</w:t>
            </w:r>
          </w:p>
        </w:tc>
        <w:tc>
          <w:tcPr>
            <w:tcW w:w="0" w:type="auto"/>
            <w:noWrap w:val="0"/>
            <w:vAlign w:val="center"/>
          </w:tcPr>
          <w:p w14:paraId="7A44C75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7121204</w:t>
            </w:r>
          </w:p>
        </w:tc>
        <w:tc>
          <w:tcPr>
            <w:tcW w:w="808" w:type="dxa"/>
            <w:noWrap w:val="0"/>
            <w:vAlign w:val="center"/>
          </w:tcPr>
          <w:p w14:paraId="537BD44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05E74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0CC729A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13</w:t>
            </w:r>
          </w:p>
        </w:tc>
        <w:tc>
          <w:tcPr>
            <w:tcW w:w="0" w:type="auto"/>
            <w:noWrap w:val="0"/>
            <w:vAlign w:val="center"/>
          </w:tcPr>
          <w:p w14:paraId="64732BB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32EAC44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内科胸腔内窥镜</w:t>
            </w:r>
          </w:p>
        </w:tc>
        <w:tc>
          <w:tcPr>
            <w:tcW w:w="0" w:type="auto"/>
            <w:noWrap w:val="0"/>
            <w:vAlign w:val="center"/>
          </w:tcPr>
          <w:p w14:paraId="6CDC1D2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LTF-240</w:t>
            </w:r>
          </w:p>
        </w:tc>
        <w:tc>
          <w:tcPr>
            <w:tcW w:w="0" w:type="auto"/>
            <w:noWrap w:val="0"/>
            <w:vAlign w:val="center"/>
          </w:tcPr>
          <w:p w14:paraId="706F869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2710937</w:t>
            </w:r>
          </w:p>
        </w:tc>
        <w:tc>
          <w:tcPr>
            <w:tcW w:w="808" w:type="dxa"/>
            <w:noWrap w:val="0"/>
            <w:vAlign w:val="center"/>
          </w:tcPr>
          <w:p w14:paraId="5E75D8B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5A8DA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6525C27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14</w:t>
            </w:r>
          </w:p>
        </w:tc>
        <w:tc>
          <w:tcPr>
            <w:tcW w:w="0" w:type="auto"/>
            <w:noWrap w:val="0"/>
            <w:vAlign w:val="center"/>
          </w:tcPr>
          <w:p w14:paraId="275EA80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07F392C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电子上消化道内窥镜</w:t>
            </w:r>
          </w:p>
        </w:tc>
        <w:tc>
          <w:tcPr>
            <w:tcW w:w="0" w:type="auto"/>
            <w:noWrap w:val="0"/>
            <w:vAlign w:val="center"/>
          </w:tcPr>
          <w:p w14:paraId="0D3EAD1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GIF-Q260J</w:t>
            </w:r>
          </w:p>
        </w:tc>
        <w:tc>
          <w:tcPr>
            <w:tcW w:w="0" w:type="auto"/>
            <w:noWrap w:val="0"/>
            <w:vAlign w:val="center"/>
          </w:tcPr>
          <w:p w14:paraId="1D1332E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2128894</w:t>
            </w:r>
          </w:p>
        </w:tc>
        <w:tc>
          <w:tcPr>
            <w:tcW w:w="808" w:type="dxa"/>
            <w:noWrap w:val="0"/>
            <w:vAlign w:val="center"/>
          </w:tcPr>
          <w:p w14:paraId="5E446A5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3FD33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02B1251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15</w:t>
            </w:r>
          </w:p>
        </w:tc>
        <w:tc>
          <w:tcPr>
            <w:tcW w:w="0" w:type="auto"/>
            <w:noWrap w:val="0"/>
            <w:vAlign w:val="center"/>
          </w:tcPr>
          <w:p w14:paraId="142885D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0437EB7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电子上消化道内窥镜</w:t>
            </w:r>
          </w:p>
        </w:tc>
        <w:tc>
          <w:tcPr>
            <w:tcW w:w="0" w:type="auto"/>
            <w:noWrap w:val="0"/>
            <w:vAlign w:val="center"/>
          </w:tcPr>
          <w:p w14:paraId="68CD5E4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GIF-HQ290</w:t>
            </w:r>
          </w:p>
        </w:tc>
        <w:tc>
          <w:tcPr>
            <w:tcW w:w="0" w:type="auto"/>
            <w:noWrap w:val="0"/>
            <w:vAlign w:val="center"/>
          </w:tcPr>
          <w:p w14:paraId="654E0AB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2745751</w:t>
            </w:r>
          </w:p>
        </w:tc>
        <w:tc>
          <w:tcPr>
            <w:tcW w:w="808" w:type="dxa"/>
            <w:noWrap w:val="0"/>
            <w:vAlign w:val="center"/>
          </w:tcPr>
          <w:p w14:paraId="5CB6934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361D2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6" w:type="dxa"/>
            <w:noWrap w:val="0"/>
            <w:vAlign w:val="center"/>
          </w:tcPr>
          <w:p w14:paraId="406F921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16</w:t>
            </w:r>
          </w:p>
        </w:tc>
        <w:tc>
          <w:tcPr>
            <w:tcW w:w="1352" w:type="dxa"/>
            <w:noWrap w:val="0"/>
            <w:vAlign w:val="center"/>
          </w:tcPr>
          <w:p w14:paraId="3EA7D58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2712" w:type="dxa"/>
            <w:noWrap w:val="0"/>
            <w:vAlign w:val="center"/>
          </w:tcPr>
          <w:p w14:paraId="759D4EF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电子结肠内窥镜</w:t>
            </w:r>
          </w:p>
        </w:tc>
        <w:tc>
          <w:tcPr>
            <w:tcW w:w="1623" w:type="dxa"/>
            <w:noWrap w:val="0"/>
            <w:vAlign w:val="center"/>
          </w:tcPr>
          <w:p w14:paraId="7C57A47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CF-H290I</w:t>
            </w:r>
          </w:p>
        </w:tc>
        <w:tc>
          <w:tcPr>
            <w:tcW w:w="1216" w:type="dxa"/>
            <w:noWrap w:val="0"/>
            <w:vAlign w:val="center"/>
          </w:tcPr>
          <w:p w14:paraId="6B48A20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2622011</w:t>
            </w:r>
          </w:p>
        </w:tc>
        <w:tc>
          <w:tcPr>
            <w:tcW w:w="808" w:type="dxa"/>
            <w:noWrap w:val="0"/>
            <w:vAlign w:val="center"/>
          </w:tcPr>
          <w:p w14:paraId="7B8DC91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bl>
    <w:p w14:paraId="2E49210E">
      <w:pPr>
        <w:keepNext w:val="0"/>
        <w:keepLines w:val="0"/>
        <w:pageBreakBefore w:val="0"/>
        <w:kinsoku/>
        <w:wordWrap/>
        <w:overflowPunct/>
        <w:topLinePunct w:val="0"/>
        <w:autoSpaceDE/>
        <w:autoSpaceDN/>
        <w:bidi w:val="0"/>
        <w:adjustRightInd/>
        <w:snapToGrid/>
        <w:spacing w:line="520" w:lineRule="exact"/>
        <w:textAlignment w:val="auto"/>
        <w:rPr>
          <w:rFonts w:hint="default" w:ascii="宋体" w:hAnsi="宋体" w:eastAsia="宋体" w:cs="宋体"/>
          <w:sz w:val="21"/>
          <w:szCs w:val="21"/>
          <w:highlight w:val="none"/>
          <w:lang w:val="en-US" w:eastAsia="zh-CN"/>
        </w:rPr>
      </w:pPr>
    </w:p>
    <w:p w14:paraId="62137DED">
      <w:pPr>
        <w:pStyle w:val="12"/>
        <w:ind w:left="0" w:leftChars="0" w:firstLine="0" w:firstLineChars="0"/>
        <w:rPr>
          <w:rFonts w:hint="default"/>
          <w:b/>
          <w:bCs/>
          <w:highlight w:val="none"/>
          <w:lang w:val="en-US" w:eastAsia="zh-CN"/>
        </w:rPr>
      </w:pPr>
    </w:p>
    <w:p w14:paraId="4914CE41">
      <w:pPr>
        <w:widowControl/>
        <w:jc w:val="left"/>
        <w:rPr>
          <w:rFonts w:ascii="宋体" w:hAnsi="宋体" w:cs="宋体"/>
          <w:kern w:val="0"/>
          <w:szCs w:val="21"/>
          <w:highlight w:val="none"/>
        </w:rPr>
      </w:pPr>
      <w:r>
        <w:rPr>
          <w:rFonts w:ascii="宋体" w:hAnsi="宋体" w:cs="宋体"/>
          <w:kern w:val="0"/>
          <w:szCs w:val="21"/>
          <w:highlight w:val="none"/>
        </w:rPr>
        <w:br w:type="page"/>
      </w:r>
    </w:p>
    <w:p w14:paraId="1F5B994A">
      <w:pPr>
        <w:pStyle w:val="2"/>
        <w:rPr>
          <w:rFonts w:ascii="黑体" w:hAnsi="黑体" w:eastAsia="黑体"/>
          <w:sz w:val="32"/>
          <w:szCs w:val="32"/>
          <w:highlight w:val="none"/>
        </w:rPr>
      </w:pPr>
      <w:bookmarkStart w:id="113" w:name="_Toc19073"/>
      <w:r>
        <w:rPr>
          <w:rFonts w:hint="eastAsia" w:ascii="黑体" w:hAnsi="黑体" w:eastAsia="黑体"/>
          <w:sz w:val="32"/>
          <w:szCs w:val="32"/>
          <w:highlight w:val="none"/>
        </w:rPr>
        <w:t>第六章 政府采购合同</w:t>
      </w:r>
      <w:bookmarkEnd w:id="113"/>
    </w:p>
    <w:p w14:paraId="63B5F14B">
      <w:pPr>
        <w:keepNext/>
        <w:widowControl w:val="0"/>
        <w:jc w:val="center"/>
        <w:outlineLvl w:val="0"/>
        <w:rPr>
          <w:rFonts w:ascii="黑体" w:hAnsi="黑体" w:eastAsia="黑体" w:cs="Times New Roman"/>
          <w:b/>
          <w:bCs/>
          <w:kern w:val="2"/>
          <w:sz w:val="28"/>
          <w:szCs w:val="28"/>
          <w:highlight w:val="none"/>
          <w:lang w:val="en-US" w:eastAsia="zh-CN" w:bidi="ar-SA"/>
        </w:rPr>
      </w:pPr>
      <w:bookmarkStart w:id="114" w:name="_Toc17533"/>
      <w:bookmarkStart w:id="115" w:name="_Toc29146"/>
      <w:r>
        <w:rPr>
          <w:rFonts w:hint="eastAsia" w:ascii="黑体" w:hAnsi="黑体" w:eastAsia="黑体" w:cs="Times New Roman"/>
          <w:b/>
          <w:bCs/>
          <w:kern w:val="2"/>
          <w:sz w:val="28"/>
          <w:szCs w:val="28"/>
          <w:highlight w:val="none"/>
          <w:lang w:val="en-US" w:eastAsia="zh-CN" w:bidi="ar-SA"/>
        </w:rPr>
        <w:fldChar w:fldCharType="begin"/>
      </w:r>
      <w:r>
        <w:rPr>
          <w:rFonts w:hint="eastAsia" w:ascii="黑体" w:hAnsi="黑体" w:eastAsia="黑体" w:cs="Times New Roman"/>
          <w:b/>
          <w:bCs/>
          <w:kern w:val="2"/>
          <w:sz w:val="28"/>
          <w:szCs w:val="28"/>
          <w:highlight w:val="none"/>
          <w:lang w:val="en-US" w:eastAsia="zh-CN" w:bidi="ar-SA"/>
        </w:rPr>
        <w:instrText xml:space="preserve"> HYPERLINK \l "_Toc8983755"</w:instrText>
      </w:r>
      <w:r>
        <w:rPr>
          <w:rFonts w:hint="eastAsia" w:ascii="黑体" w:hAnsi="黑体" w:eastAsia="黑体" w:cs="Times New Roman"/>
          <w:b/>
          <w:bCs/>
          <w:kern w:val="2"/>
          <w:sz w:val="28"/>
          <w:szCs w:val="28"/>
          <w:highlight w:val="none"/>
          <w:lang w:val="en-US" w:eastAsia="zh-CN" w:bidi="ar-SA"/>
        </w:rPr>
        <w:fldChar w:fldCharType="separate"/>
      </w:r>
      <w:r>
        <w:rPr>
          <w:rFonts w:hint="eastAsia" w:ascii="黑体" w:hAnsi="黑体" w:eastAsia="黑体" w:cs="Times New Roman"/>
          <w:b/>
          <w:bCs/>
          <w:kern w:val="2"/>
          <w:sz w:val="28"/>
          <w:szCs w:val="28"/>
          <w:highlight w:val="none"/>
          <w:lang w:val="en-US" w:eastAsia="zh-CN" w:bidi="ar-SA"/>
        </w:rPr>
        <w:t>第一节政府采购合同协议书</w:t>
      </w:r>
      <w:r>
        <w:rPr>
          <w:rFonts w:hint="eastAsia" w:ascii="黑体" w:hAnsi="黑体" w:eastAsia="黑体" w:cs="Times New Roman"/>
          <w:b/>
          <w:bCs/>
          <w:kern w:val="2"/>
          <w:sz w:val="28"/>
          <w:szCs w:val="28"/>
          <w:highlight w:val="none"/>
          <w:lang w:val="en-US" w:eastAsia="zh-CN" w:bidi="ar-SA"/>
        </w:rPr>
        <w:fldChar w:fldCharType="end"/>
      </w:r>
      <w:bookmarkEnd w:id="114"/>
      <w:bookmarkEnd w:id="115"/>
    </w:p>
    <w:p w14:paraId="29D3B7DB">
      <w:pPr>
        <w:adjustRightInd w:val="0"/>
        <w:snapToGrid w:val="0"/>
        <w:spacing w:line="360" w:lineRule="auto"/>
        <w:ind w:firstLine="420" w:firstLineChars="200"/>
        <w:rPr>
          <w:rFonts w:ascii="宋体" w:hAnsi="宋体" w:cs="Times New Roman"/>
          <w:b/>
          <w:szCs w:val="21"/>
          <w:highlight w:val="none"/>
        </w:rPr>
      </w:pPr>
      <w:r>
        <w:rPr>
          <w:rFonts w:hint="eastAsia" w:ascii="宋体" w:hAnsi="宋体" w:cs="Times New Roman"/>
          <w:szCs w:val="21"/>
          <w:highlight w:val="none"/>
        </w:rPr>
        <w:t>采购合同编号：</w:t>
      </w:r>
    </w:p>
    <w:p w14:paraId="300B3606">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采购人（全称）：（甲方）</w:t>
      </w:r>
    </w:p>
    <w:p w14:paraId="1A09F1AA">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供应商（全称）：（乙方）</w:t>
      </w:r>
    </w:p>
    <w:p w14:paraId="3E6EBF7B">
      <w:pPr>
        <w:widowControl w:val="0"/>
        <w:adjustRightInd w:val="0"/>
        <w:snapToGrid w:val="0"/>
        <w:spacing w:after="0" w:line="360" w:lineRule="auto"/>
        <w:ind w:left="0" w:leftChars="0" w:firstLine="420" w:firstLineChars="200"/>
        <w:jc w:val="both"/>
        <w:rPr>
          <w:rFonts w:ascii="宋体" w:hAnsi="宋体" w:eastAsia="宋体" w:cs="Times New Roman"/>
          <w:kern w:val="2"/>
          <w:sz w:val="21"/>
          <w:szCs w:val="21"/>
          <w:highlight w:val="none"/>
          <w:lang w:val="en-US" w:eastAsia="zh-CN" w:bidi="ar-SA"/>
        </w:rPr>
      </w:pPr>
    </w:p>
    <w:p w14:paraId="41937E8A">
      <w:pPr>
        <w:widowControl w:val="0"/>
        <w:adjustRightInd w:val="0"/>
        <w:snapToGrid w:val="0"/>
        <w:spacing w:after="0" w:line="360" w:lineRule="auto"/>
        <w:ind w:left="0" w:leftChars="0" w:firstLine="420" w:firstLineChars="200"/>
        <w:jc w:val="both"/>
        <w:rPr>
          <w:rFonts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为了保护甲、乙双方合法权益，根据《中华人民共和国民法典》、《中华人民共和国政府采购法》及其他有关法律、法规、规章，双方签订本合同协议书。</w:t>
      </w:r>
    </w:p>
    <w:p w14:paraId="35EC87E3">
      <w:pPr>
        <w:adjustRightInd w:val="0"/>
        <w:snapToGrid w:val="0"/>
        <w:spacing w:line="360" w:lineRule="auto"/>
        <w:ind w:firstLine="422" w:firstLineChars="200"/>
        <w:rPr>
          <w:rFonts w:ascii="宋体" w:hAnsi="宋体" w:cs="Times New Roman"/>
          <w:b/>
          <w:szCs w:val="21"/>
          <w:highlight w:val="none"/>
        </w:rPr>
      </w:pPr>
      <w:r>
        <w:rPr>
          <w:rFonts w:hint="eastAsia" w:ascii="宋体" w:hAnsi="宋体" w:cs="Times New Roman"/>
          <w:b/>
          <w:szCs w:val="21"/>
          <w:highlight w:val="none"/>
        </w:rPr>
        <w:t>1.项目信息</w:t>
      </w:r>
    </w:p>
    <w:p w14:paraId="47F407F5">
      <w:pPr>
        <w:widowControl w:val="0"/>
        <w:adjustRightInd w:val="0"/>
        <w:snapToGrid w:val="0"/>
        <w:spacing w:after="0" w:line="360" w:lineRule="auto"/>
        <w:ind w:left="0" w:leftChars="0" w:firstLine="420" w:firstLineChars="200"/>
        <w:jc w:val="both"/>
        <w:rPr>
          <w:rFonts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（1）采购项目名称：</w:t>
      </w:r>
    </w:p>
    <w:p w14:paraId="4F1E4DF0">
      <w:pPr>
        <w:widowControl w:val="0"/>
        <w:adjustRightInd w:val="0"/>
        <w:snapToGrid w:val="0"/>
        <w:spacing w:after="0" w:line="360" w:lineRule="auto"/>
        <w:ind w:left="0" w:leftChars="0" w:firstLine="420" w:firstLineChars="200"/>
        <w:jc w:val="both"/>
        <w:rPr>
          <w:rFonts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（2）政府采购编号：</w:t>
      </w:r>
    </w:p>
    <w:p w14:paraId="0A54C00D">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（3）项目内容：</w:t>
      </w:r>
    </w:p>
    <w:p w14:paraId="32EAA629">
      <w:pPr>
        <w:adjustRightInd w:val="0"/>
        <w:snapToGrid w:val="0"/>
        <w:spacing w:line="360" w:lineRule="auto"/>
        <w:ind w:firstLine="422" w:firstLineChars="200"/>
        <w:rPr>
          <w:rFonts w:ascii="宋体" w:hAnsi="宋体" w:cs="Times New Roman"/>
          <w:b/>
          <w:szCs w:val="21"/>
          <w:highlight w:val="none"/>
        </w:rPr>
      </w:pPr>
      <w:r>
        <w:rPr>
          <w:rFonts w:hint="eastAsia" w:ascii="宋体" w:hAnsi="宋体" w:cs="Times New Roman"/>
          <w:b/>
          <w:szCs w:val="21"/>
          <w:highlight w:val="none"/>
        </w:rPr>
        <w:t>2.合同金额</w:t>
      </w:r>
    </w:p>
    <w:p w14:paraId="00AD8CD6">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（1）合同金额小写：</w:t>
      </w:r>
    </w:p>
    <w:p w14:paraId="0E6282F5">
      <w:pPr>
        <w:adjustRightInd w:val="0"/>
        <w:snapToGrid w:val="0"/>
        <w:spacing w:line="360" w:lineRule="auto"/>
        <w:ind w:firstLine="1785" w:firstLineChars="850"/>
        <w:rPr>
          <w:rFonts w:ascii="宋体" w:hAnsi="宋体" w:cs="Times New Roman"/>
          <w:b/>
          <w:szCs w:val="21"/>
          <w:highlight w:val="none"/>
        </w:rPr>
      </w:pPr>
      <w:r>
        <w:rPr>
          <w:rFonts w:hint="eastAsia" w:ascii="宋体" w:hAnsi="宋体" w:cs="Times New Roman"/>
          <w:szCs w:val="21"/>
          <w:highlight w:val="none"/>
        </w:rPr>
        <w:t>大写：</w:t>
      </w:r>
    </w:p>
    <w:p w14:paraId="01564A81">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（2）具体标的见附件。</w:t>
      </w:r>
    </w:p>
    <w:p w14:paraId="72D212EF">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（3）合同价格形式：</w:t>
      </w:r>
    </w:p>
    <w:p w14:paraId="18DC8907">
      <w:pPr>
        <w:adjustRightInd w:val="0"/>
        <w:snapToGrid w:val="0"/>
        <w:spacing w:line="360" w:lineRule="auto"/>
        <w:ind w:firstLine="422" w:firstLineChars="200"/>
        <w:rPr>
          <w:rFonts w:ascii="宋体" w:hAnsi="宋体" w:cs="Times New Roman"/>
          <w:szCs w:val="21"/>
          <w:highlight w:val="none"/>
          <w:u w:val="single"/>
        </w:rPr>
      </w:pPr>
      <w:r>
        <w:rPr>
          <w:rFonts w:hint="eastAsia" w:ascii="宋体" w:hAnsi="宋体" w:cs="Times New Roman"/>
          <w:b/>
          <w:szCs w:val="21"/>
          <w:highlight w:val="none"/>
        </w:rPr>
        <w:t>3.履行合同的时间、地点及方式</w:t>
      </w:r>
    </w:p>
    <w:p w14:paraId="3ED58B5A">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起始日期：年月日，完成日期：年月日；总日历天数：天。</w:t>
      </w:r>
    </w:p>
    <w:p w14:paraId="14793317">
      <w:pPr>
        <w:adjustRightInd w:val="0"/>
        <w:snapToGrid w:val="0"/>
        <w:spacing w:line="360" w:lineRule="auto"/>
        <w:ind w:firstLine="420" w:firstLineChars="200"/>
        <w:rPr>
          <w:rFonts w:ascii="宋体" w:hAnsi="宋体" w:cs="Times New Roman"/>
          <w:szCs w:val="21"/>
          <w:highlight w:val="none"/>
          <w:u w:val="single"/>
        </w:rPr>
      </w:pPr>
      <w:r>
        <w:rPr>
          <w:rFonts w:hint="eastAsia" w:ascii="宋体" w:hAnsi="宋体" w:cs="Times New Roman"/>
          <w:szCs w:val="21"/>
          <w:highlight w:val="none"/>
        </w:rPr>
        <w:t>地点</w:t>
      </w:r>
      <w:r>
        <w:rPr>
          <w:rFonts w:hint="eastAsia" w:ascii="宋体" w:hAnsi="宋体" w:cs="Times New Roman"/>
          <w:b/>
          <w:szCs w:val="21"/>
          <w:highlight w:val="none"/>
        </w:rPr>
        <w:t>：</w:t>
      </w:r>
    </w:p>
    <w:p w14:paraId="5E08F798">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方式：</w:t>
      </w:r>
    </w:p>
    <w:p w14:paraId="3676355D">
      <w:pPr>
        <w:adjustRightInd w:val="0"/>
        <w:snapToGrid w:val="0"/>
        <w:spacing w:line="360" w:lineRule="auto"/>
        <w:ind w:firstLine="422" w:firstLineChars="200"/>
        <w:rPr>
          <w:rFonts w:ascii="宋体" w:hAnsi="宋体" w:cs="Times New Roman"/>
          <w:b/>
          <w:szCs w:val="21"/>
          <w:highlight w:val="none"/>
        </w:rPr>
      </w:pPr>
      <w:r>
        <w:rPr>
          <w:rFonts w:hint="eastAsia" w:ascii="宋体" w:hAnsi="宋体" w:cs="Times New Roman"/>
          <w:b/>
          <w:szCs w:val="21"/>
          <w:highlight w:val="none"/>
        </w:rPr>
        <w:t>4.付款：</w:t>
      </w:r>
    </w:p>
    <w:p w14:paraId="4A67EAA9">
      <w:pPr>
        <w:adjustRightInd w:val="0"/>
        <w:snapToGrid w:val="0"/>
        <w:spacing w:line="360" w:lineRule="auto"/>
        <w:ind w:firstLine="420" w:firstLineChars="200"/>
        <w:rPr>
          <w:rFonts w:ascii="宋体" w:hAnsi="宋体" w:cs="Times New Roman"/>
          <w:bCs/>
          <w:szCs w:val="21"/>
          <w:highlight w:val="none"/>
        </w:rPr>
      </w:pPr>
      <w:r>
        <w:rPr>
          <w:rFonts w:hint="eastAsia" w:ascii="宋体" w:hAnsi="宋体" w:cs="Times New Roman"/>
          <w:szCs w:val="21"/>
          <w:highlight w:val="none"/>
        </w:rPr>
        <w:t>1、</w:t>
      </w:r>
      <w:r>
        <w:rPr>
          <w:rFonts w:hint="eastAsia" w:ascii="宋体" w:hAnsi="宋体" w:cs="Times New Roman"/>
          <w:szCs w:val="21"/>
          <w:highlight w:val="none"/>
          <w:u w:val="single"/>
        </w:rPr>
        <w:t xml:space="preserve"> </w:t>
      </w:r>
      <w:r>
        <w:rPr>
          <w:rFonts w:hint="eastAsia" w:ascii="宋体" w:hAnsi="宋体" w:cs="Times New Roman"/>
          <w:szCs w:val="21"/>
          <w:highlight w:val="none"/>
          <w:u w:val="single"/>
          <w:lang w:val="en-US" w:eastAsia="zh-CN"/>
        </w:rPr>
        <w:t>每个季度开具一次发票，本季度度支付上一季度款项，以银行转账方式</w:t>
      </w:r>
      <w:r>
        <w:rPr>
          <w:rFonts w:hint="eastAsia" w:ascii="宋体" w:hAnsi="宋体" w:cs="Times New Roman"/>
          <w:szCs w:val="21"/>
          <w:highlight w:val="none"/>
        </w:rPr>
        <w:t xml:space="preserve">。  </w:t>
      </w:r>
    </w:p>
    <w:p w14:paraId="2443E9A0">
      <w:pPr>
        <w:adjustRightInd w:val="0"/>
        <w:snapToGrid w:val="0"/>
        <w:spacing w:line="360" w:lineRule="auto"/>
        <w:ind w:firstLine="422" w:firstLineChars="200"/>
        <w:rPr>
          <w:rFonts w:ascii="宋体" w:hAnsi="宋体" w:cs="Times New Roman"/>
          <w:b/>
          <w:szCs w:val="21"/>
          <w:highlight w:val="none"/>
        </w:rPr>
      </w:pPr>
      <w:r>
        <w:rPr>
          <w:rFonts w:hint="eastAsia" w:ascii="宋体" w:hAnsi="宋体" w:cs="Times New Roman"/>
          <w:b/>
          <w:szCs w:val="21"/>
          <w:highlight w:val="none"/>
        </w:rPr>
        <w:t>5.解决合同纠纷方式</w:t>
      </w:r>
    </w:p>
    <w:p w14:paraId="44B14BDA">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首先通过双方协商解决，协商解决不成，则通过以下途径之一解决纠纷：</w:t>
      </w:r>
    </w:p>
    <w:p w14:paraId="63E5EEB3">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 xml:space="preserve">□ 提请仲裁；       </w:t>
      </w:r>
      <w:r>
        <w:rPr>
          <w:rFonts w:hint="eastAsia" w:ascii="宋体" w:hAnsi="宋体" w:cs="Times New Roman"/>
          <w:szCs w:val="21"/>
          <w:highlight w:val="none"/>
        </w:rPr>
        <w:sym w:font="Wingdings 2" w:char="0052"/>
      </w:r>
      <w:r>
        <w:rPr>
          <w:rFonts w:hint="eastAsia" w:ascii="宋体" w:hAnsi="宋体" w:cs="Times New Roman"/>
          <w:szCs w:val="21"/>
          <w:highlight w:val="none"/>
        </w:rPr>
        <w:t xml:space="preserve"> 向人民法院提起诉讼。</w:t>
      </w:r>
    </w:p>
    <w:p w14:paraId="2B9110CD">
      <w:pPr>
        <w:adjustRightInd w:val="0"/>
        <w:snapToGrid w:val="0"/>
        <w:spacing w:line="360" w:lineRule="auto"/>
        <w:ind w:firstLine="422" w:firstLineChars="200"/>
        <w:rPr>
          <w:rFonts w:ascii="宋体" w:hAnsi="宋体" w:cs="Times New Roman"/>
          <w:b/>
          <w:szCs w:val="21"/>
          <w:highlight w:val="none"/>
        </w:rPr>
      </w:pPr>
      <w:r>
        <w:rPr>
          <w:rFonts w:hint="eastAsia" w:ascii="宋体" w:hAnsi="宋体" w:cs="Times New Roman"/>
          <w:b/>
          <w:szCs w:val="21"/>
          <w:highlight w:val="none"/>
        </w:rPr>
        <w:t>6.组成合同的文件</w:t>
      </w:r>
    </w:p>
    <w:p w14:paraId="4DB6D076">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本协议书与下列文件一起构成合同文件，如下述文件之间有任何抵触、矛盾或歧义，应按以下顺序解释：</w:t>
      </w:r>
    </w:p>
    <w:p w14:paraId="567B6D52">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（1）在招标或合同履行过程中乙方作出的承诺以及双方协商达成的变更或补充协议；</w:t>
      </w:r>
    </w:p>
    <w:p w14:paraId="4E04C1F6">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（2）中标通知书；</w:t>
      </w:r>
    </w:p>
    <w:p w14:paraId="1E8F89DC">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（3）投标文件；</w:t>
      </w:r>
    </w:p>
    <w:p w14:paraId="227EAB30">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（4）政府采购合同格式条款及其附件；</w:t>
      </w:r>
    </w:p>
    <w:p w14:paraId="373BADF8">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（5）专用合同条款；</w:t>
      </w:r>
    </w:p>
    <w:p w14:paraId="465D0528">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（6）通用合同条款（如果有）；</w:t>
      </w:r>
    </w:p>
    <w:p w14:paraId="3919DF46">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（7）标准、规范及有关技术文件，图纸；</w:t>
      </w:r>
    </w:p>
    <w:p w14:paraId="54E1A0A0">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（8）其他合同文件。</w:t>
      </w:r>
    </w:p>
    <w:p w14:paraId="6EABBFDF">
      <w:pPr>
        <w:adjustRightInd w:val="0"/>
        <w:snapToGrid w:val="0"/>
        <w:spacing w:line="360" w:lineRule="auto"/>
        <w:ind w:firstLine="422" w:firstLineChars="200"/>
        <w:rPr>
          <w:rFonts w:ascii="宋体" w:hAnsi="宋体" w:cs="Times New Roman"/>
          <w:b/>
          <w:szCs w:val="21"/>
          <w:highlight w:val="none"/>
        </w:rPr>
      </w:pPr>
      <w:r>
        <w:rPr>
          <w:rFonts w:hint="eastAsia" w:ascii="宋体" w:hAnsi="宋体" w:cs="Times New Roman"/>
          <w:b/>
          <w:szCs w:val="21"/>
          <w:highlight w:val="none"/>
        </w:rPr>
        <w:t>7.合同生效</w:t>
      </w:r>
    </w:p>
    <w:p w14:paraId="62EEACEE">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本合同自生效。</w:t>
      </w:r>
    </w:p>
    <w:p w14:paraId="5FF553AA">
      <w:pPr>
        <w:adjustRightInd w:val="0"/>
        <w:snapToGrid w:val="0"/>
        <w:spacing w:line="360" w:lineRule="auto"/>
        <w:ind w:firstLine="422" w:firstLineChars="200"/>
        <w:rPr>
          <w:rFonts w:ascii="宋体" w:hAnsi="宋体" w:cs="Times New Roman"/>
          <w:b/>
          <w:szCs w:val="21"/>
          <w:highlight w:val="none"/>
        </w:rPr>
      </w:pPr>
      <w:r>
        <w:rPr>
          <w:rFonts w:hint="eastAsia" w:ascii="宋体" w:hAnsi="宋体" w:cs="Times New Roman"/>
          <w:b/>
          <w:szCs w:val="21"/>
          <w:highlight w:val="none"/>
        </w:rPr>
        <w:t>8.合同份数</w:t>
      </w:r>
    </w:p>
    <w:p w14:paraId="4DE0E2B5">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本合同一式份，采购人执份，供应商执份，监督管理部门执份，代理机构执份，均具有同等法律效力。</w:t>
      </w:r>
    </w:p>
    <w:p w14:paraId="408C91A7">
      <w:pPr>
        <w:adjustRightInd w:val="0"/>
        <w:snapToGrid w:val="0"/>
        <w:spacing w:line="360" w:lineRule="auto"/>
        <w:ind w:firstLine="420" w:firstLineChars="200"/>
        <w:rPr>
          <w:rFonts w:ascii="宋体" w:hAnsi="宋体" w:cs="Times New Roman"/>
          <w:szCs w:val="21"/>
          <w:highlight w:val="none"/>
        </w:rPr>
      </w:pPr>
    </w:p>
    <w:p w14:paraId="022AB9CE">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合同订立时间：年月日</w:t>
      </w:r>
    </w:p>
    <w:p w14:paraId="0B558122">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合同订立地点：</w:t>
      </w:r>
    </w:p>
    <w:p w14:paraId="1E8816EE">
      <w:pPr>
        <w:adjustRightInd w:val="0"/>
        <w:snapToGrid w:val="0"/>
        <w:spacing w:line="360" w:lineRule="auto"/>
        <w:ind w:firstLine="420" w:firstLineChars="200"/>
        <w:rPr>
          <w:rFonts w:ascii="宋体" w:hAnsi="宋体" w:cs="Times New Roman"/>
          <w:szCs w:val="21"/>
          <w:highlight w:val="none"/>
        </w:rPr>
      </w:pPr>
    </w:p>
    <w:p w14:paraId="3B128BDD">
      <w:pPr>
        <w:adjustRightInd w:val="0"/>
        <w:snapToGrid w:val="0"/>
        <w:spacing w:line="360" w:lineRule="auto"/>
        <w:ind w:firstLine="420" w:firstLineChars="200"/>
        <w:rPr>
          <w:rFonts w:ascii="宋体" w:hAnsi="宋体" w:cs="Times New Roman"/>
          <w:szCs w:val="21"/>
          <w:highlight w:val="none"/>
        </w:rPr>
      </w:pPr>
    </w:p>
    <w:p w14:paraId="043292BA">
      <w:pPr>
        <w:adjustRightInd w:val="0"/>
        <w:snapToGrid w:val="0"/>
        <w:spacing w:line="360" w:lineRule="auto"/>
        <w:ind w:firstLine="420" w:firstLineChars="200"/>
        <w:rPr>
          <w:rFonts w:ascii="宋体" w:hAnsi="宋体" w:cs="Times New Roman"/>
          <w:szCs w:val="21"/>
          <w:highlight w:val="none"/>
        </w:rPr>
      </w:pPr>
    </w:p>
    <w:p w14:paraId="6ADE379C">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甲      方：（公章）                    乙      方：（公章）</w:t>
      </w:r>
    </w:p>
    <w:p w14:paraId="1E70038B">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法定代表人：         法定代表人：</w:t>
      </w:r>
    </w:p>
    <w:p w14:paraId="254F57BB">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委托代理人：         委托代理人：</w:t>
      </w:r>
    </w:p>
    <w:p w14:paraId="76A6032F">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电      话：         电      话：</w:t>
      </w:r>
    </w:p>
    <w:p w14:paraId="1CE6AF87">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传      真：         传      真：</w:t>
      </w:r>
    </w:p>
    <w:p w14:paraId="2BF29FAF">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 xml:space="preserve">                                        开 户 银 行：</w:t>
      </w:r>
    </w:p>
    <w:p w14:paraId="4E26239F">
      <w:pPr>
        <w:adjustRightInd w:val="0"/>
        <w:snapToGrid w:val="0"/>
        <w:spacing w:line="360" w:lineRule="auto"/>
        <w:ind w:firstLine="420" w:firstLineChars="200"/>
        <w:jc w:val="center"/>
        <w:rPr>
          <w:rFonts w:ascii="宋体" w:hAnsi="宋体" w:cs="Times New Roman"/>
          <w:b/>
          <w:szCs w:val="21"/>
          <w:highlight w:val="none"/>
        </w:rPr>
      </w:pPr>
      <w:r>
        <w:rPr>
          <w:rFonts w:hint="eastAsia" w:ascii="宋体" w:hAnsi="宋体" w:cs="Times New Roman"/>
          <w:szCs w:val="21"/>
          <w:highlight w:val="none"/>
        </w:rPr>
        <w:t xml:space="preserve">             账       号：</w:t>
      </w:r>
    </w:p>
    <w:p w14:paraId="297C0C7D">
      <w:pPr>
        <w:widowControl/>
        <w:spacing w:line="360" w:lineRule="auto"/>
        <w:rPr>
          <w:rFonts w:ascii="宋体" w:hAnsi="宋体" w:cs="宋体"/>
          <w:kern w:val="0"/>
          <w:szCs w:val="21"/>
          <w:highlight w:val="none"/>
        </w:rPr>
      </w:pPr>
    </w:p>
    <w:p w14:paraId="641DF5FD">
      <w:pPr>
        <w:widowControl/>
        <w:spacing w:line="360" w:lineRule="auto"/>
        <w:rPr>
          <w:rFonts w:ascii="宋体" w:hAnsi="宋体" w:cs="宋体"/>
          <w:kern w:val="0"/>
          <w:szCs w:val="21"/>
          <w:highlight w:val="none"/>
        </w:rPr>
      </w:pPr>
    </w:p>
    <w:p w14:paraId="7C0EEE93">
      <w:pPr>
        <w:widowControl/>
        <w:jc w:val="left"/>
        <w:rPr>
          <w:rFonts w:ascii="宋体" w:hAnsi="宋体" w:cs="宋体"/>
          <w:kern w:val="0"/>
          <w:szCs w:val="21"/>
          <w:highlight w:val="none"/>
        </w:rPr>
      </w:pPr>
    </w:p>
    <w:p w14:paraId="2022304C">
      <w:pPr>
        <w:widowControl/>
        <w:jc w:val="left"/>
        <w:rPr>
          <w:rFonts w:ascii="宋体" w:hAnsi="宋体" w:cs="宋体"/>
          <w:kern w:val="0"/>
          <w:szCs w:val="21"/>
          <w:highlight w:val="none"/>
        </w:rPr>
      </w:pPr>
    </w:p>
    <w:p w14:paraId="5A6BF54B">
      <w:pPr>
        <w:widowControl/>
        <w:jc w:val="left"/>
        <w:rPr>
          <w:rFonts w:ascii="宋体" w:hAnsi="宋体" w:cs="宋体"/>
          <w:kern w:val="0"/>
          <w:szCs w:val="21"/>
          <w:highlight w:val="none"/>
        </w:rPr>
      </w:pPr>
    </w:p>
    <w:p w14:paraId="00203121">
      <w:pPr>
        <w:widowControl/>
        <w:jc w:val="left"/>
        <w:rPr>
          <w:rFonts w:ascii="宋体" w:hAnsi="宋体" w:cs="宋体"/>
          <w:kern w:val="0"/>
          <w:szCs w:val="21"/>
          <w:highlight w:val="none"/>
        </w:rPr>
      </w:pPr>
    </w:p>
    <w:p w14:paraId="02EC0201">
      <w:pPr>
        <w:widowControl/>
        <w:jc w:val="left"/>
        <w:rPr>
          <w:rFonts w:ascii="宋体" w:hAnsi="宋体" w:cs="宋体"/>
          <w:kern w:val="0"/>
          <w:szCs w:val="21"/>
          <w:highlight w:val="none"/>
        </w:rPr>
      </w:pPr>
      <w:r>
        <w:rPr>
          <w:rFonts w:ascii="宋体" w:hAnsi="宋体" w:cs="宋体"/>
          <w:kern w:val="0"/>
          <w:szCs w:val="21"/>
          <w:highlight w:val="none"/>
        </w:rPr>
        <w:br w:type="page"/>
      </w:r>
    </w:p>
    <w:p w14:paraId="4A0116AB">
      <w:pPr>
        <w:pStyle w:val="3"/>
        <w:spacing w:before="156"/>
        <w:jc w:val="center"/>
        <w:rPr>
          <w:rFonts w:ascii="黑体" w:hAnsi="黑体" w:eastAsia="黑体"/>
          <w:sz w:val="28"/>
          <w:szCs w:val="28"/>
          <w:highlight w:val="none"/>
        </w:rPr>
      </w:pPr>
      <w:bookmarkStart w:id="116" w:name="_Toc11667"/>
      <w:r>
        <w:rPr>
          <w:rFonts w:hint="eastAsia" w:ascii="黑体" w:hAnsi="黑体" w:eastAsia="黑体"/>
          <w:sz w:val="28"/>
          <w:szCs w:val="28"/>
          <w:highlight w:val="none"/>
        </w:rPr>
        <w:t>第二节 政府采购合同通用条款</w:t>
      </w:r>
      <w:bookmarkEnd w:id="116"/>
    </w:p>
    <w:p w14:paraId="2F34F53F">
      <w:pPr>
        <w:tabs>
          <w:tab w:val="left" w:pos="8820"/>
          <w:tab w:val="left" w:pos="9345"/>
          <w:tab w:val="left" w:pos="9765"/>
        </w:tabs>
        <w:adjustRightInd w:val="0"/>
        <w:snapToGrid w:val="0"/>
        <w:spacing w:before="50" w:line="360"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sz w:val="24"/>
          <w:highlight w:val="none"/>
        </w:rPr>
        <w:t>1.</w:t>
      </w:r>
      <w:r>
        <w:rPr>
          <w:rFonts w:hint="eastAsia" w:asciiTheme="minorEastAsia" w:hAnsiTheme="minorEastAsia" w:eastAsiaTheme="minorEastAsia"/>
          <w:b/>
          <w:bCs/>
          <w:sz w:val="24"/>
          <w:highlight w:val="none"/>
        </w:rPr>
        <w:t>定义</w:t>
      </w:r>
    </w:p>
    <w:p w14:paraId="7E47AA10">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1.1合同当事人</w:t>
      </w:r>
    </w:p>
    <w:p w14:paraId="1ACF5BD3">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（1）采购人（以下称甲方）是指使用财政性资金，通过政府采购程序向供应商购买货物、服务的国家机关、事业单位、团体组织。本次采购的甲方名称、地址见</w:t>
      </w:r>
      <w:r>
        <w:rPr>
          <w:rFonts w:hint="eastAsia" w:asciiTheme="minorEastAsia" w:hAnsiTheme="minorEastAsia" w:eastAsiaTheme="minorEastAsia"/>
          <w:b/>
          <w:szCs w:val="21"/>
          <w:highlight w:val="none"/>
        </w:rPr>
        <w:t>【政府采购合同专用条款】。</w:t>
      </w:r>
    </w:p>
    <w:p w14:paraId="57187F4B">
      <w:pPr>
        <w:autoSpaceDE w:val="0"/>
        <w:autoSpaceDN w:val="0"/>
        <w:adjustRightInd w:val="0"/>
        <w:snapToGrid w:val="0"/>
        <w:spacing w:before="50" w:line="360" w:lineRule="auto"/>
        <w:ind w:firstLine="420" w:firstLineChars="200"/>
        <w:jc w:val="left"/>
        <w:rPr>
          <w:rFonts w:asciiTheme="minorEastAsia" w:hAnsiTheme="minorEastAsia" w:eastAsiaTheme="minorEastAsia"/>
          <w:b/>
          <w:szCs w:val="21"/>
          <w:highlight w:val="none"/>
        </w:rPr>
      </w:pPr>
      <w:r>
        <w:rPr>
          <w:rFonts w:hint="eastAsia" w:asciiTheme="minorEastAsia" w:hAnsiTheme="minorEastAsia" w:eastAsiaTheme="minorEastAsia"/>
          <w:szCs w:val="21"/>
          <w:highlight w:val="none"/>
        </w:rPr>
        <w:t>（2）供应商（以下称乙方）是指参加政府采购活动而取得中标结果，并向采购人提供货物、服务的法人、其他组织或者自然人。</w:t>
      </w:r>
    </w:p>
    <w:p w14:paraId="46B95CB7">
      <w:pPr>
        <w:tabs>
          <w:tab w:val="left" w:pos="570"/>
          <w:tab w:val="left" w:pos="9240"/>
          <w:tab w:val="left" w:pos="9555"/>
        </w:tabs>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1.2本合同下列术语应解释为：</w:t>
      </w:r>
    </w:p>
    <w:p w14:paraId="2650E978">
      <w:pPr>
        <w:tabs>
          <w:tab w:val="left" w:pos="570"/>
          <w:tab w:val="left" w:pos="9240"/>
          <w:tab w:val="left" w:pos="9555"/>
        </w:tabs>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（1）“合同”系指甲乙双方签署的、政府采购合同协议书中载明的甲乙双方所达成的协议，包括所有的附件、附录和上述文件所提到的构成合同的所有文件。</w:t>
      </w:r>
    </w:p>
    <w:p w14:paraId="6C5848BD">
      <w:pPr>
        <w:tabs>
          <w:tab w:val="left" w:pos="570"/>
          <w:tab w:val="left" w:pos="9240"/>
          <w:tab w:val="left" w:pos="9555"/>
        </w:tabs>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（2）“合同价”系指根据本合同规定乙方在正确地完全履行合同义务后甲方应支付给乙方的价款。</w:t>
      </w:r>
    </w:p>
    <w:p w14:paraId="6475C79C">
      <w:pPr>
        <w:tabs>
          <w:tab w:val="left" w:pos="570"/>
          <w:tab w:val="left" w:pos="9240"/>
          <w:tab w:val="left" w:pos="9555"/>
        </w:tabs>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（3）“货物”系指乙方根据本合同规定须向甲方提供的各种形态和种类的物品，包括原材料、设备、产品（包括软件）及相关的其备品备件、工具、手册及其它技术资料和材料。</w:t>
      </w:r>
    </w:p>
    <w:p w14:paraId="7FAA2C1D">
      <w:pPr>
        <w:tabs>
          <w:tab w:val="left" w:pos="570"/>
          <w:tab w:val="left" w:pos="8880"/>
          <w:tab w:val="left" w:pos="9555"/>
        </w:tabs>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（4）“伴随服务”系指根据本合同规定乙方承担与供货有关的辅助服务，如运输、保</w:t>
      </w:r>
      <w:r>
        <w:rPr>
          <w:rFonts w:hint="eastAsia" w:asciiTheme="minorEastAsia" w:hAnsiTheme="minorEastAsia" w:eastAsiaTheme="minorEastAsia"/>
          <w:spacing w:val="2"/>
          <w:szCs w:val="21"/>
          <w:highlight w:val="none"/>
        </w:rPr>
        <w:t>险以及其它的伴随服务，例如安装、调试、提供技术</w:t>
      </w:r>
      <w:r>
        <w:rPr>
          <w:rFonts w:hint="eastAsia" w:asciiTheme="minorEastAsia" w:hAnsiTheme="minorEastAsia" w:eastAsiaTheme="minorEastAsia"/>
          <w:szCs w:val="21"/>
          <w:highlight w:val="none"/>
        </w:rPr>
        <w:t>协</w:t>
      </w:r>
      <w:r>
        <w:rPr>
          <w:rFonts w:hint="eastAsia" w:asciiTheme="minorEastAsia" w:hAnsiTheme="minorEastAsia" w:eastAsiaTheme="minorEastAsia"/>
          <w:spacing w:val="2"/>
          <w:szCs w:val="21"/>
          <w:highlight w:val="none"/>
        </w:rPr>
        <w:t>助、培训和合同中规定</w:t>
      </w:r>
      <w:r>
        <w:rPr>
          <w:rFonts w:hint="eastAsia" w:asciiTheme="minorEastAsia" w:hAnsiTheme="minorEastAsia" w:eastAsiaTheme="minorEastAsia"/>
          <w:szCs w:val="21"/>
          <w:highlight w:val="none"/>
        </w:rPr>
        <w:t>乙方应承担的其它义务。</w:t>
      </w:r>
    </w:p>
    <w:p w14:paraId="47B95EC5">
      <w:pPr>
        <w:tabs>
          <w:tab w:val="left" w:pos="570"/>
          <w:tab w:val="left" w:pos="9240"/>
          <w:tab w:val="left" w:pos="9555"/>
        </w:tabs>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（5）“合同条款”系指本合同条款。</w:t>
      </w:r>
    </w:p>
    <w:p w14:paraId="1934AC2E">
      <w:pPr>
        <w:tabs>
          <w:tab w:val="left" w:pos="570"/>
          <w:tab w:val="left" w:pos="9240"/>
          <w:tab w:val="left" w:pos="9555"/>
        </w:tabs>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（6）“项目现场”系指本合同项下货物安装、运行的现场，其名称见</w:t>
      </w:r>
      <w:r>
        <w:rPr>
          <w:rFonts w:hint="eastAsia" w:asciiTheme="minorEastAsia" w:hAnsiTheme="minorEastAsia" w:eastAsiaTheme="minorEastAsia"/>
          <w:b/>
          <w:szCs w:val="21"/>
          <w:highlight w:val="none"/>
        </w:rPr>
        <w:t>【政府采购合同专用条款】</w:t>
      </w:r>
      <w:r>
        <w:rPr>
          <w:rFonts w:hint="eastAsia" w:asciiTheme="minorEastAsia" w:hAnsiTheme="minorEastAsia" w:eastAsiaTheme="minorEastAsia"/>
          <w:szCs w:val="21"/>
          <w:highlight w:val="none"/>
        </w:rPr>
        <w:t>。</w:t>
      </w:r>
    </w:p>
    <w:p w14:paraId="19E024A8">
      <w:pPr>
        <w:autoSpaceDE w:val="0"/>
        <w:autoSpaceDN w:val="0"/>
        <w:adjustRightInd w:val="0"/>
        <w:snapToGrid w:val="0"/>
        <w:spacing w:before="50" w:line="360" w:lineRule="auto"/>
        <w:jc w:val="left"/>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2.合同的适用范围</w:t>
      </w:r>
    </w:p>
    <w:p w14:paraId="5EF329C4">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2.1 本合同条款适用于没有被本合同其他部分的条款所取代的范围。</w:t>
      </w:r>
    </w:p>
    <w:p w14:paraId="75E9D78F">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2.2 合同内容根据招标文件、投标文件而确定。</w:t>
      </w:r>
    </w:p>
    <w:p w14:paraId="2729FD5D">
      <w:pPr>
        <w:autoSpaceDE w:val="0"/>
        <w:autoSpaceDN w:val="0"/>
        <w:adjustRightInd w:val="0"/>
        <w:snapToGrid w:val="0"/>
        <w:spacing w:before="50" w:line="360"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3.</w:t>
      </w:r>
      <w:r>
        <w:rPr>
          <w:rFonts w:hint="eastAsia" w:asciiTheme="minorEastAsia" w:hAnsiTheme="minorEastAsia" w:eastAsiaTheme="minorEastAsia"/>
          <w:b/>
          <w:sz w:val="24"/>
          <w:highlight w:val="none"/>
        </w:rPr>
        <w:t>合同标的及金额</w:t>
      </w:r>
    </w:p>
    <w:p w14:paraId="2F161B01">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3.1 合同标的及金额应与中标结果一致。</w:t>
      </w:r>
    </w:p>
    <w:p w14:paraId="604F3B5F">
      <w:pPr>
        <w:autoSpaceDE w:val="0"/>
        <w:autoSpaceDN w:val="0"/>
        <w:adjustRightInd w:val="0"/>
        <w:snapToGrid w:val="0"/>
        <w:spacing w:before="50" w:line="360"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4.</w:t>
      </w:r>
      <w:r>
        <w:rPr>
          <w:rFonts w:hint="eastAsia" w:asciiTheme="minorEastAsia" w:hAnsiTheme="minorEastAsia" w:eastAsiaTheme="minorEastAsia"/>
          <w:b/>
          <w:sz w:val="24"/>
          <w:highlight w:val="none"/>
        </w:rPr>
        <w:t>合同价款</w:t>
      </w:r>
    </w:p>
    <w:p w14:paraId="4C5C1C14">
      <w:pPr>
        <w:adjustRightInd w:val="0"/>
        <w:snapToGrid w:val="0"/>
        <w:spacing w:before="50" w:line="360" w:lineRule="auto"/>
        <w:ind w:firstLine="420" w:firstLineChars="200"/>
        <w:jc w:val="left"/>
        <w:rPr>
          <w:rFonts w:asciiTheme="minorEastAsia" w:hAnsiTheme="minorEastAsia" w:eastAsiaTheme="minorEastAsia"/>
          <w:b/>
          <w:bCs/>
          <w:i/>
          <w:iCs/>
          <w:szCs w:val="21"/>
          <w:highlight w:val="none"/>
        </w:rPr>
      </w:pPr>
      <w:r>
        <w:rPr>
          <w:rFonts w:hint="eastAsia" w:asciiTheme="minorEastAsia" w:hAnsiTheme="minorEastAsia" w:eastAsiaTheme="minorEastAsia"/>
          <w:szCs w:val="21"/>
          <w:highlight w:val="none"/>
        </w:rPr>
        <w:t>4.1具体合同价款见本合同第3.1条。乙方为履行本合同而发生的所有费用均应包含在合同价款中，甲方不再另行支付其它任何费用。</w:t>
      </w:r>
    </w:p>
    <w:p w14:paraId="3140E02D">
      <w:pPr>
        <w:adjustRightInd w:val="0"/>
        <w:snapToGrid w:val="0"/>
        <w:spacing w:before="50" w:line="360" w:lineRule="auto"/>
        <w:jc w:val="left"/>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5.履行合同的时间、地点和方式</w:t>
      </w:r>
    </w:p>
    <w:p w14:paraId="52B3597E">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5.1 乙方应当在甲方确定的时间、指定的地点履行合同，具体的交货时间、地点和方式见</w:t>
      </w:r>
      <w:r>
        <w:rPr>
          <w:rFonts w:hint="eastAsia" w:asciiTheme="minorEastAsia" w:hAnsiTheme="minorEastAsia" w:eastAsiaTheme="minorEastAsia"/>
          <w:b/>
          <w:szCs w:val="21"/>
          <w:highlight w:val="none"/>
        </w:rPr>
        <w:t>【政府采购合同专用条款】</w:t>
      </w:r>
      <w:r>
        <w:rPr>
          <w:rFonts w:hint="eastAsia" w:asciiTheme="minorEastAsia" w:hAnsiTheme="minorEastAsia" w:eastAsiaTheme="minorEastAsia"/>
          <w:szCs w:val="21"/>
          <w:highlight w:val="none"/>
        </w:rPr>
        <w:t>。</w:t>
      </w:r>
    </w:p>
    <w:p w14:paraId="42ED9B3E">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5.2 乙方提供服务的应当在甲方指定的地点完成服务项目。</w:t>
      </w:r>
    </w:p>
    <w:p w14:paraId="1F78D264">
      <w:pPr>
        <w:adjustRightInd w:val="0"/>
        <w:snapToGrid w:val="0"/>
        <w:spacing w:before="50" w:line="360"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6.</w:t>
      </w:r>
      <w:r>
        <w:rPr>
          <w:rFonts w:hint="eastAsia" w:asciiTheme="minorEastAsia" w:hAnsiTheme="minorEastAsia" w:eastAsiaTheme="minorEastAsia"/>
          <w:b/>
          <w:sz w:val="24"/>
          <w:highlight w:val="none"/>
        </w:rPr>
        <w:t>货物的验收</w:t>
      </w:r>
    </w:p>
    <w:p w14:paraId="3FC990D9">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6.1 甲方在收到乙方交付的货物后应当及时组织验收。</w:t>
      </w:r>
    </w:p>
    <w:p w14:paraId="38492209">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6.2 货物的表面瑕疵，甲方应在验收时当面提出；对质量问题有异议的应在安装调试后十个工作日内提出。</w:t>
      </w:r>
    </w:p>
    <w:p w14:paraId="27D4B41C">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6.3 在验收过程中发现数量不足或有质量、技术等问题，乙方应负责按照甲方的要求采取补足、更换或退货等处理措施，并承担由此发生的一切费用和损失。</w:t>
      </w:r>
    </w:p>
    <w:p w14:paraId="383EE7AA">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6.4 甲方在乙方按合同规定交货或安装、调试后，无正当理由而拖延接收、验收或拒绝接收、验收的，应承担因此给乙方造成的直接损失。</w:t>
      </w:r>
    </w:p>
    <w:p w14:paraId="07424EA5">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6.5 甲方对货物进行检查验收合格后，应当收取发票并在《交货验收单》上签署验收意见及加盖单位印章。</w:t>
      </w:r>
    </w:p>
    <w:p w14:paraId="6C36E4E7">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6.6 大型或者复杂的货物采购项目，甲方可以邀请国家认可的质量检测机构参加验收工作，并由其出具验收报告单。</w:t>
      </w:r>
    </w:p>
    <w:p w14:paraId="423FC587">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6.7 乙方提供的进口产品，乙方应出示中华人民共和国进出口商品检验部门出具的检验证书（招标文件第五章采购需求另有约定的除外）。</w:t>
      </w:r>
    </w:p>
    <w:p w14:paraId="3B7530BB">
      <w:pPr>
        <w:adjustRightInd w:val="0"/>
        <w:snapToGrid w:val="0"/>
        <w:spacing w:before="50" w:line="360"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7.货物包装要求</w:t>
      </w:r>
    </w:p>
    <w:p w14:paraId="6E767F39">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2BBBB362">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7.2 每一个包装箱内应附一份详细装箱单、质量证书和保修保养证书。</w:t>
      </w:r>
    </w:p>
    <w:p w14:paraId="4A5EB632">
      <w:pPr>
        <w:adjustRightInd w:val="0"/>
        <w:snapToGrid w:val="0"/>
        <w:spacing w:before="50" w:line="360" w:lineRule="auto"/>
        <w:jc w:val="left"/>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8.运输和保险</w:t>
      </w:r>
    </w:p>
    <w:p w14:paraId="0C242D2F">
      <w:pPr>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8.1乙方负责办理将货物运抵本合同第5.1条规定的交货地点的一切运输事项，相关费用应包括在合同总价中。</w:t>
      </w:r>
    </w:p>
    <w:p w14:paraId="60925A4E">
      <w:pPr>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8.2乙方应向保险公司投保以甲方为受益人的发运合同货物发票金额的110％运输一切险。</w:t>
      </w:r>
    </w:p>
    <w:p w14:paraId="4DFD4B81">
      <w:pPr>
        <w:adjustRightInd w:val="0"/>
        <w:snapToGrid w:val="0"/>
        <w:spacing w:before="50" w:line="360" w:lineRule="auto"/>
        <w:jc w:val="left"/>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9.质量标准和保证</w:t>
      </w:r>
    </w:p>
    <w:p w14:paraId="6D0A0DE5">
      <w:pPr>
        <w:pStyle w:val="23"/>
        <w:adjustRightInd w:val="0"/>
        <w:snapToGrid w:val="0"/>
        <w:spacing w:before="50" w:line="360" w:lineRule="auto"/>
        <w:ind w:firstLine="420" w:firstLineChars="200"/>
        <w:jc w:val="left"/>
        <w:rPr>
          <w:rFonts w:asciiTheme="minorEastAsia" w:hAnsiTheme="minorEastAsia" w:eastAsiaTheme="minorEastAsia"/>
          <w:b/>
          <w:highlight w:val="none"/>
        </w:rPr>
      </w:pPr>
      <w:r>
        <w:rPr>
          <w:rFonts w:hint="eastAsia" w:asciiTheme="minorEastAsia" w:hAnsiTheme="minorEastAsia" w:eastAsiaTheme="minorEastAsia"/>
          <w:highlight w:val="none"/>
        </w:rPr>
        <w:t>9.1 质量标准</w:t>
      </w:r>
    </w:p>
    <w:p w14:paraId="17E7AD73">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（1）本合同下交付的货物应符合招标文件第四章“技术规格、参数与要求”所述的标准。如果没有提及适用标准，则应符合中华人民共和国有关机构发布的最新版本的标准。</w:t>
      </w:r>
    </w:p>
    <w:p w14:paraId="43C8F50E">
      <w:pPr>
        <w:pStyle w:val="23"/>
        <w:adjustRightInd w:val="0"/>
        <w:snapToGrid w:val="0"/>
        <w:spacing w:before="50" w:line="360"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（2）采用中华人民共和国法定计量单位。</w:t>
      </w:r>
    </w:p>
    <w:p w14:paraId="6649F911">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（3）乙方所出售的货物还应符合国家有关安全、环保、卫生之规定。</w:t>
      </w:r>
    </w:p>
    <w:p w14:paraId="28B53581">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9.2 保证</w:t>
      </w:r>
    </w:p>
    <w:p w14:paraId="57DE7616">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Theme="minorEastAsia" w:hAnsiTheme="minorEastAsia" w:eastAsiaTheme="minorEastAsia"/>
          <w:b/>
          <w:szCs w:val="21"/>
          <w:highlight w:val="none"/>
        </w:rPr>
        <w:t>【政府采购合同专用条款】</w:t>
      </w:r>
      <w:r>
        <w:rPr>
          <w:rFonts w:hint="eastAsia" w:asciiTheme="minorEastAsia" w:hAnsiTheme="minorEastAsia" w:eastAsiaTheme="minorEastAsia"/>
          <w:szCs w:val="21"/>
          <w:highlight w:val="none"/>
        </w:rPr>
        <w:t>规定或乙方承诺（两者以较长的为准）的质量保证期内，本保证保持有效。</w:t>
      </w:r>
    </w:p>
    <w:p w14:paraId="45B2E527">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（2）在质量保证期内所发现的缺陷，甲方应尽快以书面形式通知乙方。</w:t>
      </w:r>
    </w:p>
    <w:p w14:paraId="0D666A50">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（3）乙方收到通知后应在</w:t>
      </w:r>
      <w:r>
        <w:rPr>
          <w:rFonts w:hint="eastAsia" w:asciiTheme="minorEastAsia" w:hAnsiTheme="minorEastAsia" w:eastAsiaTheme="minorEastAsia"/>
          <w:b/>
          <w:szCs w:val="21"/>
          <w:highlight w:val="none"/>
        </w:rPr>
        <w:t>【政府采购合同专用条款】</w:t>
      </w:r>
      <w:r>
        <w:rPr>
          <w:rFonts w:hint="eastAsia" w:asciiTheme="minorEastAsia" w:hAnsiTheme="minorEastAsia" w:eastAsiaTheme="minorEastAsia"/>
          <w:szCs w:val="21"/>
          <w:highlight w:val="none"/>
        </w:rPr>
        <w:t>规定的响应时间内以合理的速度免费维修或更换有缺陷的货物或部件。</w:t>
      </w:r>
    </w:p>
    <w:p w14:paraId="271A72C6">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（4）在质量保证期内，如果货物的质量或规格与合同不符，或证实货物是有缺陷的，包括潜在的缺陷或使用不符合要求的材料等，甲方可以根据本合同第15.1条规定以书面形式向乙方提出补救措施或索赔。</w:t>
      </w:r>
    </w:p>
    <w:p w14:paraId="5D321720">
      <w:pPr>
        <w:adjustRightInd w:val="0"/>
        <w:snapToGrid w:val="0"/>
        <w:spacing w:before="50" w:line="360" w:lineRule="auto"/>
        <w:ind w:firstLine="420" w:firstLineChars="200"/>
        <w:jc w:val="left"/>
        <w:rPr>
          <w:rFonts w:asciiTheme="minorEastAsia" w:hAnsiTheme="minorEastAsia" w:eastAsiaTheme="minorEastAsia"/>
          <w:b/>
          <w:szCs w:val="21"/>
          <w:highlight w:val="none"/>
        </w:rPr>
      </w:pPr>
      <w:r>
        <w:rPr>
          <w:rFonts w:hint="eastAsia" w:asciiTheme="minorEastAsia" w:hAnsiTheme="minorEastAsia" w:eastAsiaTheme="minorEastAsia"/>
          <w:szCs w:val="21"/>
          <w:highlight w:val="none"/>
        </w:rPr>
        <w:t>（5）乙方在约定的时间内未能弥补缺陷，甲方可采取必要的补救措施，但其风险和费用将由乙方承担，甲方根据合同规定对乙方行使的其他权利不受影响。</w:t>
      </w:r>
    </w:p>
    <w:p w14:paraId="70B20B8C">
      <w:pPr>
        <w:adjustRightInd w:val="0"/>
        <w:snapToGrid w:val="0"/>
        <w:spacing w:before="50" w:line="360"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10.权利瑕疵担保</w:t>
      </w:r>
    </w:p>
    <w:p w14:paraId="62E6DAD8">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10.1 乙方保证对其出售的货物享有合法的权利。</w:t>
      </w:r>
    </w:p>
    <w:p w14:paraId="79756A50">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10.2 乙方保证在其出售的货物上不存在任何未曾向甲方透露的担保物权，如抵押权、质押权、留置权等。</w:t>
      </w:r>
    </w:p>
    <w:p w14:paraId="56967DCF">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10.3 如甲方使用该货物构成上述侵权的，则由乙方承担全部责任。</w:t>
      </w:r>
    </w:p>
    <w:p w14:paraId="66AF30FD">
      <w:pPr>
        <w:autoSpaceDE w:val="0"/>
        <w:autoSpaceDN w:val="0"/>
        <w:adjustRightInd w:val="0"/>
        <w:snapToGrid w:val="0"/>
        <w:spacing w:before="50" w:line="360"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11.知识产权保护</w:t>
      </w:r>
    </w:p>
    <w:p w14:paraId="7363F852">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11.1 乙方对其所销售的货物应当享有知识产权或经权利人合法授权，保证没有侵犯任何第三人的知识产权和商业秘密等权利。</w:t>
      </w:r>
    </w:p>
    <w:p w14:paraId="58C1B3AE">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11.2 甲方使用乙方提供的货物对第三人构成侵权的，应当由乙方承担全部法律责任，给甲方造成损害的，乙方应当承担赔偿责任。</w:t>
      </w:r>
    </w:p>
    <w:p w14:paraId="14E5F148">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11.3 甲方委托乙方开发的产品，甲方享有知识产权，未经甲方许可不得转让任何第三人。</w:t>
      </w:r>
    </w:p>
    <w:p w14:paraId="7EE109D0">
      <w:pPr>
        <w:autoSpaceDE w:val="0"/>
        <w:autoSpaceDN w:val="0"/>
        <w:adjustRightInd w:val="0"/>
        <w:snapToGrid w:val="0"/>
        <w:spacing w:before="50" w:line="360"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12.保密义务</w:t>
      </w:r>
    </w:p>
    <w:p w14:paraId="4CEC1667">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12.1 甲、乙双方在采购和履行合同过程中所获悉的对方属于保密的内容，双方均有保密义务。</w:t>
      </w:r>
    </w:p>
    <w:p w14:paraId="622F39BC">
      <w:pPr>
        <w:autoSpaceDE w:val="0"/>
        <w:autoSpaceDN w:val="0"/>
        <w:adjustRightInd w:val="0"/>
        <w:snapToGrid w:val="0"/>
        <w:spacing w:before="50" w:line="360"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13.合同价款支付</w:t>
      </w:r>
    </w:p>
    <w:p w14:paraId="08A64670">
      <w:pPr>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13.1验收合格后，乙方出具正规发票给甲方，凭甲方开具的《政府采购合同验收报告单》办理合同价</w:t>
      </w:r>
      <w:r>
        <w:rPr>
          <w:rFonts w:hint="eastAsia" w:asciiTheme="minorEastAsia" w:hAnsiTheme="minorEastAsia" w:eastAsiaTheme="minorEastAsia"/>
          <w:bCs/>
          <w:szCs w:val="21"/>
          <w:highlight w:val="none"/>
        </w:rPr>
        <w:t>款</w:t>
      </w:r>
      <w:r>
        <w:rPr>
          <w:rFonts w:hint="eastAsia" w:asciiTheme="minorEastAsia" w:hAnsiTheme="minorEastAsia" w:eastAsiaTheme="minorEastAsia"/>
          <w:szCs w:val="21"/>
          <w:highlight w:val="none"/>
        </w:rPr>
        <w:t>结算手续。</w:t>
      </w:r>
    </w:p>
    <w:p w14:paraId="548A17CE">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13.2 合同价款构成中应当由财政支付的部分，甲方应当在货物验收合格后的十五个工作日内向国库管理部门申请支付，经国库管理部门审核后直接支付给乙方。</w:t>
      </w:r>
    </w:p>
    <w:p w14:paraId="547C3A24">
      <w:pPr>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13.3 合同价款构成中应当由甲方自行支付的部分，甲方应当在货物验收合格后十五个工作内支付。</w:t>
      </w:r>
    </w:p>
    <w:p w14:paraId="3BB145F7">
      <w:pPr>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13.4支付合同价</w:t>
      </w:r>
      <w:r>
        <w:rPr>
          <w:rFonts w:hint="eastAsia" w:asciiTheme="minorEastAsia" w:hAnsiTheme="minorEastAsia" w:eastAsiaTheme="minorEastAsia"/>
          <w:bCs/>
          <w:szCs w:val="21"/>
          <w:highlight w:val="none"/>
        </w:rPr>
        <w:t>款</w:t>
      </w:r>
      <w:r>
        <w:rPr>
          <w:rFonts w:hint="eastAsia" w:asciiTheme="minorEastAsia" w:hAnsiTheme="minorEastAsia" w:eastAsiaTheme="minorEastAsia"/>
          <w:szCs w:val="21"/>
          <w:highlight w:val="none"/>
        </w:rPr>
        <w:t>时，一律不向乙方以外的任何第三方办理付款手续。开户行和账号以签订的政府采购合同为准，如果乙方要求变更，则乙方必须提供加盖了财务专用章、法定代表人签字的证明文件，报经甲方审查同意。</w:t>
      </w:r>
    </w:p>
    <w:p w14:paraId="19C8CCAF">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13.5 合同价款支付方式</w:t>
      </w:r>
      <w:r>
        <w:rPr>
          <w:rFonts w:hint="eastAsia" w:asciiTheme="minorEastAsia" w:hAnsiTheme="minorEastAsia" w:eastAsiaTheme="minorEastAsia"/>
          <w:bCs/>
          <w:szCs w:val="21"/>
          <w:highlight w:val="none"/>
        </w:rPr>
        <w:t>和条件在</w:t>
      </w:r>
      <w:r>
        <w:rPr>
          <w:rFonts w:hint="eastAsia" w:asciiTheme="minorEastAsia" w:hAnsiTheme="minorEastAsia" w:eastAsiaTheme="minorEastAsia"/>
          <w:b/>
          <w:szCs w:val="21"/>
          <w:highlight w:val="none"/>
        </w:rPr>
        <w:t>【政府采购合同专用条款】</w:t>
      </w:r>
      <w:r>
        <w:rPr>
          <w:rFonts w:hint="eastAsia" w:asciiTheme="minorEastAsia" w:hAnsiTheme="minorEastAsia" w:eastAsiaTheme="minorEastAsia"/>
          <w:szCs w:val="21"/>
          <w:highlight w:val="none"/>
        </w:rPr>
        <w:t>中另有规定。</w:t>
      </w:r>
    </w:p>
    <w:p w14:paraId="01E94474">
      <w:pPr>
        <w:autoSpaceDE w:val="0"/>
        <w:autoSpaceDN w:val="0"/>
        <w:adjustRightInd w:val="0"/>
        <w:snapToGrid w:val="0"/>
        <w:spacing w:before="50" w:line="360" w:lineRule="auto"/>
        <w:jc w:val="left"/>
        <w:rPr>
          <w:rFonts w:asciiTheme="minorEastAsia" w:hAnsiTheme="minorEastAsia" w:eastAsiaTheme="minorEastAsia"/>
          <w:b/>
          <w:sz w:val="24"/>
          <w:highlight w:val="none"/>
        </w:rPr>
      </w:pPr>
      <w:r>
        <w:rPr>
          <w:rFonts w:hint="eastAsia" w:asciiTheme="minorEastAsia" w:hAnsiTheme="minorEastAsia" w:eastAsiaTheme="minorEastAsia"/>
          <w:b/>
          <w:bCs/>
          <w:sz w:val="24"/>
          <w:highlight w:val="none"/>
        </w:rPr>
        <w:t>14.</w:t>
      </w:r>
      <w:r>
        <w:rPr>
          <w:rFonts w:hint="eastAsia" w:asciiTheme="minorEastAsia" w:hAnsiTheme="minorEastAsia" w:eastAsiaTheme="minorEastAsia"/>
          <w:b/>
          <w:sz w:val="24"/>
          <w:highlight w:val="none"/>
        </w:rPr>
        <w:t>伴随服务</w:t>
      </w:r>
    </w:p>
    <w:p w14:paraId="4CBF0099">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14.1 乙方应向甲方提交所提供货物的技术文件，包括相应的中文技术文件，如：产品目录、图纸、操作手册、使用说明、维护手册或服务指南。这些文件应包装好随同货物一起发运。</w:t>
      </w:r>
    </w:p>
    <w:p w14:paraId="3A48B871">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14.2 乙方还应提供下列服务：</w:t>
      </w:r>
    </w:p>
    <w:p w14:paraId="7BC5A1B1">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（1）货物的现场移动、安装、调试、启动监督及技术支持；</w:t>
      </w:r>
    </w:p>
    <w:p w14:paraId="61E0FCD4">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（2）提供货物组装和维修所需的专用工具和辅助材料；</w:t>
      </w:r>
    </w:p>
    <w:p w14:paraId="6D4E91B0">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（3）在合同各方商定的一定期限内对所有的货物实施运行监督、维修，但前提条件是该服务并不能免除乙方在质量保证期内所承担的义务；</w:t>
      </w:r>
    </w:p>
    <w:p w14:paraId="019DFA1A">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（4）在制造商或项目现场就货物的安装、启动、运营、维护对甲方操作人员进行培训；</w:t>
      </w:r>
    </w:p>
    <w:p w14:paraId="414C3664">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（5）</w:t>
      </w:r>
      <w:r>
        <w:rPr>
          <w:rFonts w:hint="eastAsia" w:asciiTheme="minorEastAsia" w:hAnsiTheme="minorEastAsia" w:eastAsiaTheme="minorEastAsia"/>
          <w:b/>
          <w:szCs w:val="21"/>
          <w:highlight w:val="none"/>
        </w:rPr>
        <w:t>【政府采购合同专用条款】</w:t>
      </w:r>
      <w:r>
        <w:rPr>
          <w:rFonts w:hint="eastAsia" w:asciiTheme="minorEastAsia" w:hAnsiTheme="minorEastAsia" w:eastAsiaTheme="minorEastAsia"/>
          <w:szCs w:val="21"/>
          <w:highlight w:val="none"/>
        </w:rPr>
        <w:t>与招标文件第五章采购需求规定的其他伴随服务。</w:t>
      </w:r>
    </w:p>
    <w:p w14:paraId="22CA3829">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14.3 乙方提供的伴随服务的费用应包含在合同价款中，甲方不再另行支付。</w:t>
      </w:r>
    </w:p>
    <w:p w14:paraId="4FAD40AA">
      <w:pPr>
        <w:adjustRightInd w:val="0"/>
        <w:snapToGrid w:val="0"/>
        <w:spacing w:before="50" w:line="360"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15.违约责任</w:t>
      </w:r>
    </w:p>
    <w:p w14:paraId="62C3F514">
      <w:pPr>
        <w:adjustRightInd w:val="0"/>
        <w:snapToGrid w:val="0"/>
        <w:spacing w:before="50" w:line="360" w:lineRule="auto"/>
        <w:ind w:firstLine="420" w:firstLineChars="200"/>
        <w:jc w:val="left"/>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15.1质量瑕疵的补救措施和索赔</w:t>
      </w:r>
    </w:p>
    <w:p w14:paraId="5DE7F687">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48CE3B83">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①乙方同意退货并将货款退还给甲方，由此发生的一切费用和损失由乙方承担。</w:t>
      </w:r>
    </w:p>
    <w:p w14:paraId="1748B39A">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②根据货物的质量状况以及甲方所遭受的损失，经过甲乙双方商定降低货物的价格。</w:t>
      </w:r>
    </w:p>
    <w:p w14:paraId="3F559B69">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149813D6">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1384B8CD">
      <w:pPr>
        <w:autoSpaceDE w:val="0"/>
        <w:autoSpaceDN w:val="0"/>
        <w:adjustRightInd w:val="0"/>
        <w:snapToGrid w:val="0"/>
        <w:spacing w:before="50" w:line="360" w:lineRule="auto"/>
        <w:ind w:firstLine="420" w:firstLineChars="200"/>
        <w:jc w:val="left"/>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15.2 迟延交货的违约责任</w:t>
      </w:r>
    </w:p>
    <w:p w14:paraId="4A8211E3">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3F37DC65">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（2）除本合同</w:t>
      </w:r>
      <w:r>
        <w:rPr>
          <w:rFonts w:hint="eastAsia" w:asciiTheme="minorEastAsia" w:hAnsiTheme="minorEastAsia" w:eastAsiaTheme="minorEastAsia"/>
          <w:bCs/>
          <w:szCs w:val="21"/>
          <w:highlight w:val="none"/>
        </w:rPr>
        <w:t>第20条</w:t>
      </w:r>
      <w:r>
        <w:rPr>
          <w:rFonts w:hint="eastAsia" w:asciiTheme="minorEastAsia" w:hAnsiTheme="minorEastAsia" w:eastAsiaTheme="minorEastAsia"/>
          <w:szCs w:val="21"/>
          <w:highlight w:val="none"/>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32D76128">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637B68BD">
      <w:pPr>
        <w:autoSpaceDE w:val="0"/>
        <w:autoSpaceDN w:val="0"/>
        <w:adjustRightInd w:val="0"/>
        <w:snapToGrid w:val="0"/>
        <w:spacing w:before="50" w:line="360" w:lineRule="auto"/>
        <w:jc w:val="left"/>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16.合同的变更</w:t>
      </w:r>
    </w:p>
    <w:p w14:paraId="6EFBD678">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16.1 在合同履行过程中，甲、乙双方可就合同履行的时间、地点和方式等协商进行变更。协商一致后，双方应签订书面的补充协议。</w:t>
      </w:r>
    </w:p>
    <w:p w14:paraId="08B7D87A">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16.2 在不改变合同其他条款的前提下，甲方有权在合同价款百分之十的范围内追加与合同标的相同的货物或服务，并就此与乙方签订补充合同，乙方不得拒绝。</w:t>
      </w:r>
    </w:p>
    <w:p w14:paraId="452EED7F">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16.3 除双方签署书面协议，并成为合同不可分割的一部分外，本合同条件不得有任何变更。</w:t>
      </w:r>
    </w:p>
    <w:p w14:paraId="7909F27D">
      <w:pPr>
        <w:autoSpaceDE w:val="0"/>
        <w:autoSpaceDN w:val="0"/>
        <w:adjustRightInd w:val="0"/>
        <w:snapToGrid w:val="0"/>
        <w:spacing w:before="50" w:line="360" w:lineRule="auto"/>
        <w:jc w:val="left"/>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17.合同中止与终止</w:t>
      </w:r>
    </w:p>
    <w:p w14:paraId="054D696C">
      <w:pPr>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17.1合同的中止</w:t>
      </w:r>
    </w:p>
    <w:p w14:paraId="5530C7E2">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（1）合同在履行过程中，因采购计划调整，甲方可以要求中止履行，待计划确定后继续履行；</w:t>
      </w:r>
    </w:p>
    <w:p w14:paraId="1D6B467A">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（2）合同履行过程中因供应商就采购过程或结果提起投诉的，甲方认为有必要或财政部门责令中止的，应当中止合同的履行。</w:t>
      </w:r>
    </w:p>
    <w:p w14:paraId="04ED632B">
      <w:pPr>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17.2合同的终止</w:t>
      </w:r>
    </w:p>
    <w:p w14:paraId="61EE6050">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（1）合同因有效期限届满而终止；</w:t>
      </w:r>
    </w:p>
    <w:p w14:paraId="17152513">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（2）乙方未能依照本合同约定条件履行合同，已构成根本性违约的，甲方有权终止本合同，并追究乙方的违约责任。</w:t>
      </w:r>
    </w:p>
    <w:p w14:paraId="1829193D">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（3）如果乙方丧失履约能力或被宣告破产，甲方可在任何时候以书面形式通知乙方终止合同而不给乙方补偿。</w:t>
      </w:r>
    </w:p>
    <w:p w14:paraId="298A5628">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（4）如果乙方在履行合同过程中有不正当竞争行为，甲方有权解除合同，并按《中华人民共和国反不正当竞争法》规定由有关部门追究其法律责任。</w:t>
      </w:r>
    </w:p>
    <w:p w14:paraId="7085CA4C">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（5）如果合同的履行将损害国家利益或社会公共利益，甲方有权终止合同的履行，给乙方造成损失的予以相应补偿。</w:t>
      </w:r>
    </w:p>
    <w:p w14:paraId="0F86E940">
      <w:pPr>
        <w:autoSpaceDE w:val="0"/>
        <w:autoSpaceDN w:val="0"/>
        <w:adjustRightInd w:val="0"/>
        <w:snapToGrid w:val="0"/>
        <w:spacing w:before="50" w:line="360"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18.合同转让和分包</w:t>
      </w:r>
    </w:p>
    <w:p w14:paraId="69BC8E9E">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18.1 乙方不得以任何形式将合同转包。</w:t>
      </w:r>
    </w:p>
    <w:p w14:paraId="02477B8E">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18.2 乙方未在投标文件中说明，不得将</w:t>
      </w:r>
      <w:r>
        <w:rPr>
          <w:rFonts w:hint="eastAsia" w:asciiTheme="minorEastAsia" w:hAnsiTheme="minorEastAsia" w:eastAsiaTheme="minorEastAsia"/>
          <w:bCs/>
          <w:szCs w:val="21"/>
          <w:highlight w:val="none"/>
        </w:rPr>
        <w:t>合同</w:t>
      </w:r>
      <w:r>
        <w:rPr>
          <w:rFonts w:hint="eastAsia" w:asciiTheme="minorEastAsia" w:hAnsiTheme="minorEastAsia" w:eastAsiaTheme="minorEastAsia"/>
          <w:szCs w:val="21"/>
          <w:highlight w:val="none"/>
        </w:rPr>
        <w:t>的非主体、非关键性工作分包给他人。</w:t>
      </w:r>
    </w:p>
    <w:p w14:paraId="2F2AEB0F">
      <w:pPr>
        <w:autoSpaceDE w:val="0"/>
        <w:autoSpaceDN w:val="0"/>
        <w:adjustRightInd w:val="0"/>
        <w:snapToGrid w:val="0"/>
        <w:spacing w:before="50" w:line="360"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19.不可抗力</w:t>
      </w:r>
    </w:p>
    <w:p w14:paraId="18304DB3">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19.1 不可抗力是指合同双方不可预见、不可避免、不可克服的自然灾害和社会事件。</w:t>
      </w:r>
    </w:p>
    <w:p w14:paraId="63D47999">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19.2 任何一方对由于不可抗力造成的部分或全部不能履行合同不承担违约责任。但迟延履行后发生不可抗力的，不能免除责任。</w:t>
      </w:r>
    </w:p>
    <w:p w14:paraId="2DF3E5A4">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19.3 遇有不可抗力的一方，应在三日内将事件的情况以书面形式通知另一方，并在事件发生后十日内，向另一方提交合同不能履行或部分不能履行或需要延期履行理由的报告。</w:t>
      </w:r>
    </w:p>
    <w:p w14:paraId="20AC35F4">
      <w:pPr>
        <w:autoSpaceDE w:val="0"/>
        <w:autoSpaceDN w:val="0"/>
        <w:adjustRightInd w:val="0"/>
        <w:snapToGrid w:val="0"/>
        <w:spacing w:before="50" w:line="360"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20.解决争议的方法</w:t>
      </w:r>
    </w:p>
    <w:p w14:paraId="50CF2E29">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20.1 合同各方应通过友好协商，解决在执行合同过程中所发生的或与合同有关的一切争端。如从协商开始后十日内仍不能解决，可以向财政部门提请调解。</w:t>
      </w:r>
    </w:p>
    <w:p w14:paraId="66AF7D8B">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20.2 调解不成可以按</w:t>
      </w:r>
      <w:r>
        <w:rPr>
          <w:rFonts w:hint="eastAsia" w:asciiTheme="minorEastAsia" w:hAnsiTheme="minorEastAsia" w:eastAsiaTheme="minorEastAsia"/>
          <w:b/>
          <w:szCs w:val="21"/>
          <w:highlight w:val="none"/>
        </w:rPr>
        <w:t>【政府采购合同专用条款】</w:t>
      </w:r>
      <w:r>
        <w:rPr>
          <w:rFonts w:hint="eastAsia" w:asciiTheme="minorEastAsia" w:hAnsiTheme="minorEastAsia" w:eastAsiaTheme="minorEastAsia"/>
          <w:szCs w:val="21"/>
          <w:highlight w:val="none"/>
        </w:rPr>
        <w:t>中约定中规定下列方式之一提起仲裁或诉讼：</w:t>
      </w:r>
    </w:p>
    <w:p w14:paraId="63273446">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（1）向甲方所在地仲裁机构提起仲裁；</w:t>
      </w:r>
    </w:p>
    <w:p w14:paraId="47FCEFF2">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（2）向甲方所在地人民法院提起诉讼。</w:t>
      </w:r>
    </w:p>
    <w:p w14:paraId="08832AD6">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20.3 如仲裁或诉讼事项不影响合同其它部分的履行，则在仲裁或诉讼期间，除正在进行仲裁或诉讼的部分外，合同的其它部分应继续执行。</w:t>
      </w:r>
    </w:p>
    <w:p w14:paraId="7EB38753">
      <w:pPr>
        <w:autoSpaceDE w:val="0"/>
        <w:autoSpaceDN w:val="0"/>
        <w:adjustRightInd w:val="0"/>
        <w:snapToGrid w:val="0"/>
        <w:spacing w:before="50" w:line="360" w:lineRule="auto"/>
        <w:jc w:val="left"/>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21.法律适用</w:t>
      </w:r>
    </w:p>
    <w:p w14:paraId="2C484574">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21.1 本合同适用中华人民共和国现行法律、行政法规和规章，如合同条款与法律、行政法规和规章不一致的，按照法律、行政法规和规章修改本合同。</w:t>
      </w:r>
    </w:p>
    <w:p w14:paraId="1D8891A7">
      <w:pPr>
        <w:autoSpaceDE w:val="0"/>
        <w:autoSpaceDN w:val="0"/>
        <w:adjustRightInd w:val="0"/>
        <w:snapToGrid w:val="0"/>
        <w:spacing w:before="50" w:line="360" w:lineRule="auto"/>
        <w:jc w:val="left"/>
        <w:rPr>
          <w:rFonts w:asciiTheme="minorEastAsia" w:hAnsiTheme="minorEastAsia" w:eastAsiaTheme="minorEastAsia"/>
          <w:b/>
          <w:sz w:val="24"/>
          <w:highlight w:val="none"/>
        </w:rPr>
      </w:pPr>
      <w:r>
        <w:rPr>
          <w:rFonts w:hint="eastAsia" w:asciiTheme="minorEastAsia" w:hAnsiTheme="minorEastAsia" w:eastAsiaTheme="minorEastAsia"/>
          <w:b/>
          <w:bCs/>
          <w:sz w:val="24"/>
          <w:highlight w:val="none"/>
        </w:rPr>
        <w:t>22.</w:t>
      </w:r>
      <w:r>
        <w:rPr>
          <w:rFonts w:hint="eastAsia" w:asciiTheme="minorEastAsia" w:hAnsiTheme="minorEastAsia" w:eastAsiaTheme="minorEastAsia"/>
          <w:b/>
          <w:sz w:val="24"/>
          <w:highlight w:val="none"/>
        </w:rPr>
        <w:t>通知</w:t>
      </w:r>
    </w:p>
    <w:p w14:paraId="4FF906DA">
      <w:pPr>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22.1本合同一方给另一方的通知均应采用书面形式，传真或快递送到本合同中规定的对方的地址和办理签收手续，</w:t>
      </w:r>
    </w:p>
    <w:p w14:paraId="6E6C2E30">
      <w:pPr>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22.2通知以送到之日或通知书中规定的生效之日起生效，两者中以较迟之日为准。</w:t>
      </w:r>
    </w:p>
    <w:p w14:paraId="6833688F">
      <w:pPr>
        <w:adjustRightInd w:val="0"/>
        <w:snapToGrid w:val="0"/>
        <w:spacing w:before="50" w:line="360"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23. 合同未尽事项</w:t>
      </w:r>
    </w:p>
    <w:p w14:paraId="48A5CED8">
      <w:pPr>
        <w:adjustRightInd w:val="0"/>
        <w:snapToGrid w:val="0"/>
        <w:spacing w:before="50" w:line="360" w:lineRule="auto"/>
        <w:ind w:firstLine="420" w:firstLineChars="200"/>
        <w:jc w:val="left"/>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23.1合同未尽事项见</w:t>
      </w:r>
      <w:r>
        <w:rPr>
          <w:rFonts w:hint="eastAsia" w:asciiTheme="minorEastAsia" w:hAnsiTheme="minorEastAsia" w:eastAsiaTheme="minorEastAsia"/>
          <w:b/>
          <w:szCs w:val="21"/>
          <w:highlight w:val="none"/>
        </w:rPr>
        <w:t>【政府采购合同专用条款】。</w:t>
      </w:r>
    </w:p>
    <w:p w14:paraId="6D6695F7">
      <w:pPr>
        <w:adjustRightInd w:val="0"/>
        <w:snapToGrid w:val="0"/>
        <w:spacing w:before="50" w:line="360"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24.合同生效</w:t>
      </w:r>
    </w:p>
    <w:p w14:paraId="5DBF9B78">
      <w:pPr>
        <w:autoSpaceDE w:val="0"/>
        <w:autoSpaceDN w:val="0"/>
        <w:adjustRightInd w:val="0"/>
        <w:snapToGrid w:val="0"/>
        <w:spacing w:before="50" w:line="360" w:lineRule="auto"/>
        <w:ind w:firstLine="420" w:firstLineChars="200"/>
        <w:jc w:val="left"/>
        <w:rPr>
          <w:rFonts w:ascii="黑体" w:hAnsi="黑体" w:eastAsia="黑体"/>
          <w:b/>
          <w:bCs/>
          <w:sz w:val="32"/>
          <w:highlight w:val="none"/>
        </w:rPr>
      </w:pPr>
      <w:r>
        <w:rPr>
          <w:rFonts w:hint="eastAsia" w:asciiTheme="minorEastAsia" w:hAnsiTheme="minorEastAsia" w:eastAsiaTheme="minorEastAsia"/>
          <w:szCs w:val="21"/>
          <w:highlight w:val="none"/>
        </w:rPr>
        <w:t>24.1 本合同在合同双方签字盖章后生效。</w:t>
      </w:r>
      <w:r>
        <w:rPr>
          <w:rFonts w:ascii="黑体" w:hAnsi="黑体" w:eastAsia="黑体"/>
          <w:b/>
          <w:bCs/>
          <w:sz w:val="32"/>
          <w:highlight w:val="none"/>
        </w:rPr>
        <w:br w:type="page"/>
      </w:r>
    </w:p>
    <w:p w14:paraId="445460DD">
      <w:pPr>
        <w:pStyle w:val="3"/>
        <w:jc w:val="center"/>
        <w:rPr>
          <w:rFonts w:ascii="宋体" w:hAnsi="宋体"/>
          <w:highlight w:val="none"/>
        </w:rPr>
      </w:pPr>
      <w:bookmarkStart w:id="117" w:name="_Toc11918"/>
      <w:r>
        <w:rPr>
          <w:rFonts w:hint="eastAsia" w:ascii="黑体" w:hAnsi="华文中宋" w:eastAsia="黑体"/>
          <w:sz w:val="28"/>
          <w:szCs w:val="28"/>
          <w:highlight w:val="none"/>
        </w:rPr>
        <w:t>第三节 政府采购合同专用条款</w:t>
      </w:r>
      <w:bookmarkEnd w:id="117"/>
    </w:p>
    <w:tbl>
      <w:tblPr>
        <w:tblStyle w:val="45"/>
        <w:tblW w:w="900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1843"/>
        <w:gridCol w:w="5464"/>
      </w:tblGrid>
      <w:tr w14:paraId="1313AB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1465475B">
            <w:pPr>
              <w:adjustRightInd w:val="0"/>
              <w:snapToGrid w:val="0"/>
              <w:spacing w:line="360" w:lineRule="auto"/>
              <w:jc w:val="center"/>
              <w:rPr>
                <w:rFonts w:ascii="宋体" w:hAnsi="宋体"/>
                <w:szCs w:val="21"/>
                <w:highlight w:val="none"/>
              </w:rPr>
            </w:pPr>
            <w:r>
              <w:rPr>
                <w:rFonts w:hint="eastAsia" w:ascii="宋体" w:hAnsi="宋体"/>
                <w:szCs w:val="21"/>
                <w:highlight w:val="none"/>
              </w:rPr>
              <w:t>第六章第二节</w:t>
            </w:r>
          </w:p>
          <w:p w14:paraId="75879E63">
            <w:pPr>
              <w:adjustRightInd w:val="0"/>
              <w:snapToGrid w:val="0"/>
              <w:spacing w:line="360" w:lineRule="auto"/>
              <w:jc w:val="center"/>
              <w:rPr>
                <w:rFonts w:ascii="宋体" w:hAnsi="宋体"/>
                <w:szCs w:val="21"/>
                <w:highlight w:val="none"/>
              </w:rPr>
            </w:pPr>
            <w:r>
              <w:rPr>
                <w:rFonts w:hint="eastAsia" w:ascii="宋体" w:hAnsi="宋体"/>
                <w:szCs w:val="21"/>
                <w:highlight w:val="none"/>
              </w:rPr>
              <w:t>第1.1款</w:t>
            </w:r>
          </w:p>
        </w:tc>
        <w:tc>
          <w:tcPr>
            <w:tcW w:w="1843" w:type="dxa"/>
            <w:vAlign w:val="center"/>
          </w:tcPr>
          <w:p w14:paraId="3747F917">
            <w:pPr>
              <w:adjustRightInd w:val="0"/>
              <w:snapToGrid w:val="0"/>
              <w:spacing w:line="360" w:lineRule="auto"/>
              <w:jc w:val="left"/>
              <w:rPr>
                <w:rFonts w:ascii="宋体" w:hAnsi="宋体"/>
                <w:szCs w:val="21"/>
                <w:highlight w:val="none"/>
              </w:rPr>
            </w:pPr>
            <w:r>
              <w:rPr>
                <w:rFonts w:hint="eastAsia" w:ascii="宋体" w:hAnsi="宋体"/>
                <w:szCs w:val="21"/>
                <w:highlight w:val="none"/>
              </w:rPr>
              <w:t xml:space="preserve">甲方名称、地址 </w:t>
            </w:r>
          </w:p>
        </w:tc>
        <w:tc>
          <w:tcPr>
            <w:tcW w:w="5464" w:type="dxa"/>
            <w:vAlign w:val="center"/>
          </w:tcPr>
          <w:p w14:paraId="597EE130">
            <w:pPr>
              <w:adjustRightInd w:val="0"/>
              <w:snapToGrid w:val="0"/>
              <w:spacing w:line="360" w:lineRule="auto"/>
              <w:jc w:val="left"/>
              <w:rPr>
                <w:rFonts w:hint="eastAsia" w:ascii="宋体" w:hAnsi="宋体" w:eastAsia="宋体"/>
                <w:szCs w:val="21"/>
                <w:highlight w:val="none"/>
                <w:lang w:eastAsia="zh-CN"/>
              </w:rPr>
            </w:pPr>
            <w:r>
              <w:rPr>
                <w:rFonts w:hint="eastAsia" w:ascii="宋体" w:hAnsi="宋体"/>
                <w:szCs w:val="21"/>
                <w:highlight w:val="none"/>
              </w:rPr>
              <w:t>甲方名称：</w:t>
            </w:r>
            <w:r>
              <w:rPr>
                <w:rFonts w:hint="eastAsia" w:ascii="宋体" w:hAnsi="宋体"/>
                <w:szCs w:val="21"/>
                <w:highlight w:val="none"/>
                <w:lang w:eastAsia="zh-CN"/>
              </w:rPr>
              <w:t>郴州市第二人民医院</w:t>
            </w:r>
          </w:p>
          <w:p w14:paraId="059D1A11">
            <w:pPr>
              <w:adjustRightInd w:val="0"/>
              <w:snapToGrid w:val="0"/>
              <w:spacing w:line="360" w:lineRule="auto"/>
              <w:jc w:val="left"/>
              <w:rPr>
                <w:rFonts w:hint="eastAsia" w:ascii="宋体" w:hAnsi="宋体" w:eastAsia="宋体"/>
                <w:szCs w:val="21"/>
                <w:highlight w:val="none"/>
                <w:lang w:eastAsia="zh-CN"/>
              </w:rPr>
            </w:pPr>
            <w:r>
              <w:rPr>
                <w:rFonts w:hint="eastAsia" w:ascii="宋体" w:hAnsi="宋体"/>
                <w:szCs w:val="21"/>
                <w:highlight w:val="none"/>
              </w:rPr>
              <w:t>地址：</w:t>
            </w:r>
            <w:r>
              <w:rPr>
                <w:rFonts w:hint="eastAsia" w:ascii="宋体" w:hAnsi="宋体"/>
                <w:szCs w:val="21"/>
                <w:highlight w:val="none"/>
                <w:lang w:eastAsia="zh-CN"/>
              </w:rPr>
              <w:t>郴州市苏仙区东塔路10号</w:t>
            </w:r>
          </w:p>
        </w:tc>
      </w:tr>
      <w:tr w14:paraId="63F76D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7" w:hRule="atLeast"/>
        </w:trPr>
        <w:tc>
          <w:tcPr>
            <w:tcW w:w="1701" w:type="dxa"/>
            <w:vAlign w:val="center"/>
          </w:tcPr>
          <w:p w14:paraId="43EB3C42">
            <w:pPr>
              <w:adjustRightInd w:val="0"/>
              <w:snapToGrid w:val="0"/>
              <w:spacing w:line="360" w:lineRule="auto"/>
              <w:jc w:val="center"/>
              <w:rPr>
                <w:rFonts w:ascii="宋体" w:hAnsi="宋体"/>
                <w:szCs w:val="21"/>
                <w:highlight w:val="none"/>
              </w:rPr>
            </w:pPr>
            <w:r>
              <w:rPr>
                <w:rFonts w:hint="eastAsia" w:ascii="宋体" w:hAnsi="宋体"/>
                <w:szCs w:val="21"/>
                <w:highlight w:val="none"/>
              </w:rPr>
              <w:t>第六章第二节</w:t>
            </w:r>
          </w:p>
          <w:p w14:paraId="07B1CA97">
            <w:pPr>
              <w:adjustRightInd w:val="0"/>
              <w:snapToGrid w:val="0"/>
              <w:spacing w:line="360" w:lineRule="auto"/>
              <w:jc w:val="center"/>
              <w:rPr>
                <w:rFonts w:ascii="宋体" w:hAnsi="宋体"/>
                <w:szCs w:val="21"/>
                <w:highlight w:val="none"/>
              </w:rPr>
            </w:pPr>
            <w:r>
              <w:rPr>
                <w:rFonts w:hint="eastAsia" w:ascii="宋体" w:hAnsi="宋体"/>
                <w:szCs w:val="21"/>
                <w:highlight w:val="none"/>
              </w:rPr>
              <w:t>第1.2（6）项</w:t>
            </w:r>
          </w:p>
        </w:tc>
        <w:tc>
          <w:tcPr>
            <w:tcW w:w="1843" w:type="dxa"/>
            <w:vAlign w:val="center"/>
          </w:tcPr>
          <w:p w14:paraId="26002CE6">
            <w:pPr>
              <w:adjustRightInd w:val="0"/>
              <w:snapToGrid w:val="0"/>
              <w:spacing w:line="360" w:lineRule="auto"/>
              <w:jc w:val="left"/>
              <w:rPr>
                <w:rFonts w:ascii="宋体" w:hAnsi="宋体"/>
                <w:szCs w:val="21"/>
                <w:highlight w:val="none"/>
              </w:rPr>
            </w:pPr>
            <w:r>
              <w:rPr>
                <w:rFonts w:hint="eastAsia" w:ascii="宋体" w:hAnsi="宋体"/>
                <w:szCs w:val="21"/>
                <w:highlight w:val="none"/>
              </w:rPr>
              <w:t>项目现场</w:t>
            </w:r>
          </w:p>
        </w:tc>
        <w:tc>
          <w:tcPr>
            <w:tcW w:w="5464" w:type="dxa"/>
            <w:vAlign w:val="center"/>
          </w:tcPr>
          <w:p w14:paraId="1EE3CC09">
            <w:pPr>
              <w:adjustRightInd w:val="0"/>
              <w:snapToGrid w:val="0"/>
              <w:spacing w:line="360" w:lineRule="auto"/>
              <w:jc w:val="left"/>
              <w:rPr>
                <w:rFonts w:ascii="宋体" w:hAnsi="宋体"/>
                <w:szCs w:val="21"/>
                <w:highlight w:val="none"/>
              </w:rPr>
            </w:pPr>
            <w:r>
              <w:rPr>
                <w:rFonts w:hint="eastAsia" w:ascii="宋体" w:hAnsi="宋体"/>
                <w:szCs w:val="21"/>
                <w:highlight w:val="none"/>
                <w:lang w:eastAsia="zh-CN"/>
              </w:rPr>
              <w:t>郴州市第二人民医院</w:t>
            </w:r>
            <w:r>
              <w:rPr>
                <w:rFonts w:hint="eastAsia" w:ascii="宋体" w:hAnsi="宋体"/>
                <w:szCs w:val="21"/>
                <w:highlight w:val="none"/>
              </w:rPr>
              <w:t>指定地点。</w:t>
            </w:r>
          </w:p>
        </w:tc>
      </w:tr>
      <w:tr w14:paraId="5BD926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701" w:type="dxa"/>
            <w:vAlign w:val="center"/>
          </w:tcPr>
          <w:p w14:paraId="730848F4">
            <w:pPr>
              <w:adjustRightInd w:val="0"/>
              <w:snapToGrid w:val="0"/>
              <w:spacing w:line="360" w:lineRule="auto"/>
              <w:jc w:val="center"/>
              <w:rPr>
                <w:rFonts w:ascii="宋体" w:hAnsi="宋体"/>
                <w:szCs w:val="21"/>
                <w:highlight w:val="none"/>
              </w:rPr>
            </w:pPr>
            <w:r>
              <w:rPr>
                <w:rFonts w:hint="eastAsia" w:ascii="宋体" w:hAnsi="宋体"/>
                <w:szCs w:val="21"/>
                <w:highlight w:val="none"/>
              </w:rPr>
              <w:t>第六章第二节</w:t>
            </w:r>
          </w:p>
          <w:p w14:paraId="191D3E06">
            <w:pPr>
              <w:adjustRightInd w:val="0"/>
              <w:snapToGrid w:val="0"/>
              <w:spacing w:line="360" w:lineRule="auto"/>
              <w:jc w:val="center"/>
              <w:rPr>
                <w:rFonts w:ascii="宋体" w:hAnsi="宋体"/>
                <w:szCs w:val="21"/>
                <w:highlight w:val="none"/>
              </w:rPr>
            </w:pPr>
            <w:r>
              <w:rPr>
                <w:rFonts w:hint="eastAsia" w:ascii="宋体" w:hAnsi="宋体"/>
                <w:szCs w:val="21"/>
                <w:highlight w:val="none"/>
              </w:rPr>
              <w:t>第5.1款</w:t>
            </w:r>
          </w:p>
        </w:tc>
        <w:tc>
          <w:tcPr>
            <w:tcW w:w="1843" w:type="dxa"/>
            <w:vAlign w:val="center"/>
          </w:tcPr>
          <w:p w14:paraId="6AE7CF6D">
            <w:pPr>
              <w:adjustRightInd w:val="0"/>
              <w:snapToGrid w:val="0"/>
              <w:spacing w:line="360" w:lineRule="auto"/>
              <w:jc w:val="left"/>
              <w:rPr>
                <w:rFonts w:ascii="宋体" w:hAnsi="宋体"/>
                <w:szCs w:val="21"/>
                <w:highlight w:val="none"/>
              </w:rPr>
            </w:pPr>
            <w:r>
              <w:rPr>
                <w:rFonts w:hint="eastAsia" w:ascii="宋体" w:hAnsi="宋体"/>
                <w:szCs w:val="21"/>
                <w:highlight w:val="none"/>
              </w:rPr>
              <w:t>履行合同的地点及方式</w:t>
            </w:r>
          </w:p>
        </w:tc>
        <w:tc>
          <w:tcPr>
            <w:tcW w:w="5464" w:type="dxa"/>
            <w:vAlign w:val="center"/>
          </w:tcPr>
          <w:p w14:paraId="4A34B51C">
            <w:pPr>
              <w:adjustRightInd w:val="0"/>
              <w:snapToGrid w:val="0"/>
              <w:spacing w:line="360" w:lineRule="auto"/>
              <w:jc w:val="left"/>
              <w:rPr>
                <w:rFonts w:ascii="宋体" w:hAnsi="宋体"/>
                <w:szCs w:val="21"/>
                <w:highlight w:val="none"/>
              </w:rPr>
            </w:pPr>
            <w:r>
              <w:rPr>
                <w:rFonts w:hint="eastAsia" w:ascii="宋体" w:hAnsi="宋体"/>
                <w:szCs w:val="21"/>
                <w:highlight w:val="none"/>
                <w:lang w:eastAsia="zh-CN"/>
              </w:rPr>
              <w:t>郴州市第二人民医院</w:t>
            </w:r>
            <w:r>
              <w:rPr>
                <w:rFonts w:hint="eastAsia" w:ascii="宋体" w:hAnsi="宋体"/>
                <w:szCs w:val="21"/>
                <w:highlight w:val="none"/>
              </w:rPr>
              <w:t>指定地点。</w:t>
            </w:r>
          </w:p>
        </w:tc>
      </w:tr>
      <w:tr w14:paraId="6DD1A9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434AF8BB">
            <w:pPr>
              <w:adjustRightInd w:val="0"/>
              <w:snapToGrid w:val="0"/>
              <w:spacing w:line="360" w:lineRule="auto"/>
              <w:jc w:val="center"/>
              <w:rPr>
                <w:rFonts w:ascii="宋体" w:hAnsi="宋体"/>
                <w:szCs w:val="21"/>
                <w:highlight w:val="none"/>
              </w:rPr>
            </w:pPr>
            <w:r>
              <w:rPr>
                <w:rFonts w:hint="eastAsia" w:ascii="宋体" w:hAnsi="宋体"/>
                <w:szCs w:val="21"/>
                <w:highlight w:val="none"/>
              </w:rPr>
              <w:t>第六章第二节</w:t>
            </w:r>
          </w:p>
          <w:p w14:paraId="2F8DBD0B">
            <w:pPr>
              <w:adjustRightInd w:val="0"/>
              <w:snapToGrid w:val="0"/>
              <w:spacing w:line="360" w:lineRule="auto"/>
              <w:jc w:val="center"/>
              <w:rPr>
                <w:rFonts w:ascii="宋体" w:hAnsi="宋体"/>
                <w:szCs w:val="21"/>
                <w:highlight w:val="none"/>
              </w:rPr>
            </w:pPr>
            <w:r>
              <w:rPr>
                <w:rFonts w:hint="eastAsia" w:ascii="宋体" w:hAnsi="宋体"/>
                <w:szCs w:val="21"/>
                <w:highlight w:val="none"/>
              </w:rPr>
              <w:t>第9.2（1）项</w:t>
            </w:r>
          </w:p>
        </w:tc>
        <w:tc>
          <w:tcPr>
            <w:tcW w:w="1843" w:type="dxa"/>
            <w:vAlign w:val="center"/>
          </w:tcPr>
          <w:p w14:paraId="57449BA5">
            <w:pPr>
              <w:adjustRightInd w:val="0"/>
              <w:snapToGrid w:val="0"/>
              <w:spacing w:line="360" w:lineRule="auto"/>
              <w:jc w:val="left"/>
              <w:rPr>
                <w:rFonts w:ascii="宋体" w:hAnsi="宋体"/>
                <w:szCs w:val="21"/>
                <w:highlight w:val="none"/>
              </w:rPr>
            </w:pPr>
            <w:r>
              <w:rPr>
                <w:rFonts w:hint="eastAsia" w:ascii="宋体" w:hAnsi="宋体"/>
                <w:szCs w:val="21"/>
                <w:highlight w:val="none"/>
              </w:rPr>
              <w:t>服务期限</w:t>
            </w:r>
          </w:p>
        </w:tc>
        <w:tc>
          <w:tcPr>
            <w:tcW w:w="5464" w:type="dxa"/>
            <w:vAlign w:val="center"/>
          </w:tcPr>
          <w:p w14:paraId="0EE594E9">
            <w:pPr>
              <w:widowControl/>
              <w:jc w:val="left"/>
              <w:rPr>
                <w:rFonts w:ascii="宋体" w:hAnsi="宋体"/>
                <w:szCs w:val="21"/>
                <w:highlight w:val="none"/>
              </w:rPr>
            </w:pPr>
            <w:r>
              <w:rPr>
                <w:rFonts w:hint="eastAsia" w:ascii="宋体" w:hAnsi="宋体"/>
                <w:szCs w:val="21"/>
                <w:highlight w:val="none"/>
                <w:lang w:val="en-US" w:eastAsia="zh-CN"/>
              </w:rPr>
              <w:t>3年</w:t>
            </w:r>
            <w:r>
              <w:rPr>
                <w:rFonts w:hint="eastAsia" w:ascii="宋体" w:hAnsi="宋体"/>
                <w:szCs w:val="21"/>
                <w:highlight w:val="none"/>
              </w:rPr>
              <w:t>。</w:t>
            </w:r>
          </w:p>
        </w:tc>
      </w:tr>
      <w:tr w14:paraId="1D2669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701" w:type="dxa"/>
            <w:vAlign w:val="center"/>
          </w:tcPr>
          <w:p w14:paraId="23150B03">
            <w:pPr>
              <w:adjustRightInd w:val="0"/>
              <w:snapToGrid w:val="0"/>
              <w:spacing w:line="360" w:lineRule="auto"/>
              <w:jc w:val="center"/>
              <w:rPr>
                <w:rFonts w:ascii="宋体" w:hAnsi="宋体"/>
                <w:szCs w:val="21"/>
                <w:highlight w:val="none"/>
              </w:rPr>
            </w:pPr>
            <w:r>
              <w:rPr>
                <w:rFonts w:hint="eastAsia" w:ascii="宋体" w:hAnsi="宋体"/>
                <w:szCs w:val="21"/>
                <w:highlight w:val="none"/>
              </w:rPr>
              <w:t>第六章第二节</w:t>
            </w:r>
          </w:p>
          <w:p w14:paraId="478CF4C3">
            <w:pPr>
              <w:adjustRightInd w:val="0"/>
              <w:snapToGrid w:val="0"/>
              <w:spacing w:line="360" w:lineRule="auto"/>
              <w:jc w:val="center"/>
              <w:rPr>
                <w:rFonts w:ascii="宋体" w:hAnsi="宋体"/>
                <w:szCs w:val="21"/>
                <w:highlight w:val="none"/>
              </w:rPr>
            </w:pPr>
            <w:r>
              <w:rPr>
                <w:rFonts w:hint="eastAsia" w:ascii="宋体" w:hAnsi="宋体"/>
                <w:szCs w:val="21"/>
                <w:highlight w:val="none"/>
              </w:rPr>
              <w:t>第13.5款</w:t>
            </w:r>
          </w:p>
        </w:tc>
        <w:tc>
          <w:tcPr>
            <w:tcW w:w="1843" w:type="dxa"/>
            <w:vAlign w:val="center"/>
          </w:tcPr>
          <w:p w14:paraId="77F66F69">
            <w:pPr>
              <w:adjustRightInd w:val="0"/>
              <w:snapToGrid w:val="0"/>
              <w:spacing w:line="360" w:lineRule="auto"/>
              <w:jc w:val="left"/>
              <w:rPr>
                <w:rFonts w:ascii="宋体" w:hAnsi="宋体"/>
                <w:szCs w:val="21"/>
                <w:highlight w:val="none"/>
              </w:rPr>
            </w:pPr>
            <w:r>
              <w:rPr>
                <w:rFonts w:hint="eastAsia" w:ascii="宋体" w:hAnsi="宋体"/>
                <w:szCs w:val="21"/>
                <w:highlight w:val="none"/>
              </w:rPr>
              <w:t>合同价款支付方式</w:t>
            </w:r>
            <w:r>
              <w:rPr>
                <w:rFonts w:hint="eastAsia" w:ascii="宋体" w:hAnsi="宋体"/>
                <w:bCs/>
                <w:szCs w:val="21"/>
                <w:highlight w:val="none"/>
              </w:rPr>
              <w:t>和条件</w:t>
            </w:r>
          </w:p>
        </w:tc>
        <w:tc>
          <w:tcPr>
            <w:tcW w:w="5464" w:type="dxa"/>
            <w:vAlign w:val="center"/>
          </w:tcPr>
          <w:p w14:paraId="5C2196B2">
            <w:pPr>
              <w:widowControl/>
              <w:jc w:val="left"/>
              <w:rPr>
                <w:rFonts w:hint="default" w:ascii="宋体" w:hAnsi="宋体" w:eastAsia="宋体"/>
                <w:szCs w:val="21"/>
                <w:highlight w:val="none"/>
                <w:lang w:val="en-US" w:eastAsia="zh-CN"/>
              </w:rPr>
            </w:pPr>
            <w:r>
              <w:rPr>
                <w:rFonts w:hint="eastAsia" w:ascii="宋体" w:hAnsi="宋体"/>
                <w:szCs w:val="21"/>
                <w:highlight w:val="none"/>
                <w:lang w:val="en-US" w:eastAsia="zh-CN"/>
              </w:rPr>
              <w:t>签订合同时约定。</w:t>
            </w:r>
          </w:p>
        </w:tc>
      </w:tr>
      <w:tr w14:paraId="10F57D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288FA994">
            <w:pPr>
              <w:adjustRightInd w:val="0"/>
              <w:snapToGrid w:val="0"/>
              <w:spacing w:line="360" w:lineRule="auto"/>
              <w:jc w:val="center"/>
              <w:rPr>
                <w:rFonts w:ascii="宋体" w:hAnsi="宋体"/>
                <w:szCs w:val="21"/>
                <w:highlight w:val="none"/>
              </w:rPr>
            </w:pPr>
            <w:r>
              <w:rPr>
                <w:rFonts w:hint="eastAsia" w:ascii="宋体" w:hAnsi="宋体"/>
                <w:szCs w:val="21"/>
                <w:highlight w:val="none"/>
              </w:rPr>
              <w:t>第六章第二节</w:t>
            </w:r>
          </w:p>
          <w:p w14:paraId="2BBE3986">
            <w:pPr>
              <w:adjustRightInd w:val="0"/>
              <w:snapToGrid w:val="0"/>
              <w:spacing w:line="360" w:lineRule="auto"/>
              <w:jc w:val="center"/>
              <w:rPr>
                <w:rFonts w:ascii="宋体" w:hAnsi="宋体"/>
                <w:szCs w:val="21"/>
                <w:highlight w:val="none"/>
              </w:rPr>
            </w:pPr>
            <w:r>
              <w:rPr>
                <w:rFonts w:hint="eastAsia" w:ascii="宋体" w:hAnsi="宋体"/>
                <w:szCs w:val="21"/>
                <w:highlight w:val="none"/>
              </w:rPr>
              <w:t>第14.2（5）项</w:t>
            </w:r>
          </w:p>
        </w:tc>
        <w:tc>
          <w:tcPr>
            <w:tcW w:w="1843" w:type="dxa"/>
            <w:vAlign w:val="center"/>
          </w:tcPr>
          <w:p w14:paraId="2069C8E2">
            <w:pPr>
              <w:adjustRightInd w:val="0"/>
              <w:snapToGrid w:val="0"/>
              <w:spacing w:line="360" w:lineRule="auto"/>
              <w:jc w:val="left"/>
              <w:rPr>
                <w:rFonts w:ascii="宋体" w:hAnsi="宋体"/>
                <w:szCs w:val="21"/>
                <w:highlight w:val="none"/>
              </w:rPr>
            </w:pPr>
            <w:r>
              <w:rPr>
                <w:rFonts w:hint="eastAsia" w:ascii="宋体" w:hAnsi="宋体"/>
                <w:szCs w:val="21"/>
                <w:highlight w:val="none"/>
              </w:rPr>
              <w:t>伴随服务</w:t>
            </w:r>
          </w:p>
        </w:tc>
        <w:tc>
          <w:tcPr>
            <w:tcW w:w="5464" w:type="dxa"/>
            <w:vAlign w:val="center"/>
          </w:tcPr>
          <w:p w14:paraId="5BBCDA27">
            <w:pPr>
              <w:adjustRightInd w:val="0"/>
              <w:snapToGrid w:val="0"/>
              <w:spacing w:line="360" w:lineRule="auto"/>
              <w:jc w:val="left"/>
              <w:rPr>
                <w:rFonts w:ascii="宋体" w:hAnsi="宋体"/>
                <w:szCs w:val="21"/>
                <w:highlight w:val="none"/>
              </w:rPr>
            </w:pPr>
            <w:r>
              <w:rPr>
                <w:rFonts w:hint="eastAsia" w:ascii="宋体" w:hAnsi="宋体"/>
                <w:szCs w:val="21"/>
                <w:highlight w:val="none"/>
              </w:rPr>
              <w:t>第五章采购需求</w:t>
            </w:r>
          </w:p>
        </w:tc>
      </w:tr>
      <w:tr w14:paraId="7D9B86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2EA85776">
            <w:pPr>
              <w:adjustRightInd w:val="0"/>
              <w:snapToGrid w:val="0"/>
              <w:spacing w:line="360" w:lineRule="auto"/>
              <w:jc w:val="center"/>
              <w:rPr>
                <w:rFonts w:ascii="宋体" w:hAnsi="宋体"/>
                <w:szCs w:val="21"/>
                <w:highlight w:val="none"/>
              </w:rPr>
            </w:pPr>
            <w:r>
              <w:rPr>
                <w:rFonts w:hint="eastAsia" w:ascii="宋体" w:hAnsi="宋体"/>
                <w:szCs w:val="21"/>
                <w:highlight w:val="none"/>
              </w:rPr>
              <w:t>第六章第二节</w:t>
            </w:r>
          </w:p>
          <w:p w14:paraId="7E186ED0">
            <w:pPr>
              <w:adjustRightInd w:val="0"/>
              <w:snapToGrid w:val="0"/>
              <w:spacing w:line="360" w:lineRule="auto"/>
              <w:jc w:val="center"/>
              <w:rPr>
                <w:rFonts w:ascii="宋体" w:hAnsi="宋体"/>
                <w:bCs/>
                <w:szCs w:val="21"/>
                <w:highlight w:val="none"/>
              </w:rPr>
            </w:pPr>
            <w:r>
              <w:rPr>
                <w:rFonts w:hint="eastAsia" w:ascii="宋体" w:hAnsi="宋体"/>
                <w:szCs w:val="21"/>
                <w:highlight w:val="none"/>
              </w:rPr>
              <w:t>第20.2款</w:t>
            </w:r>
          </w:p>
        </w:tc>
        <w:tc>
          <w:tcPr>
            <w:tcW w:w="1843" w:type="dxa"/>
            <w:vAlign w:val="center"/>
          </w:tcPr>
          <w:p w14:paraId="0A9544DA">
            <w:pPr>
              <w:adjustRightInd w:val="0"/>
              <w:snapToGrid w:val="0"/>
              <w:spacing w:line="360" w:lineRule="auto"/>
              <w:jc w:val="left"/>
              <w:rPr>
                <w:rFonts w:ascii="宋体" w:hAnsi="宋体"/>
                <w:bCs/>
                <w:szCs w:val="21"/>
                <w:highlight w:val="none"/>
              </w:rPr>
            </w:pPr>
            <w:r>
              <w:rPr>
                <w:rFonts w:hint="eastAsia" w:ascii="宋体" w:hAnsi="宋体"/>
                <w:szCs w:val="21"/>
                <w:highlight w:val="none"/>
              </w:rPr>
              <w:t>解决争议的方式</w:t>
            </w:r>
          </w:p>
        </w:tc>
        <w:tc>
          <w:tcPr>
            <w:tcW w:w="5464" w:type="dxa"/>
            <w:vAlign w:val="center"/>
          </w:tcPr>
          <w:p w14:paraId="0336BC55">
            <w:pPr>
              <w:adjustRightInd w:val="0"/>
              <w:snapToGrid w:val="0"/>
              <w:spacing w:line="360" w:lineRule="auto"/>
              <w:jc w:val="left"/>
              <w:rPr>
                <w:rFonts w:ascii="宋体" w:hAnsi="宋体"/>
                <w:szCs w:val="21"/>
                <w:highlight w:val="none"/>
              </w:rPr>
            </w:pPr>
            <w:r>
              <w:rPr>
                <w:rFonts w:hint="eastAsia" w:ascii="宋体" w:hAnsi="宋体"/>
                <w:szCs w:val="21"/>
                <w:highlight w:val="none"/>
              </w:rPr>
              <w:sym w:font="Wingdings 2" w:char="0052"/>
            </w:r>
            <w:r>
              <w:rPr>
                <w:rFonts w:hint="eastAsia" w:ascii="宋体" w:hAnsi="宋体"/>
                <w:szCs w:val="21"/>
                <w:highlight w:val="none"/>
              </w:rPr>
              <w:t xml:space="preserve"> 诉讼</w:t>
            </w:r>
          </w:p>
          <w:p w14:paraId="52A1EC82">
            <w:pPr>
              <w:adjustRightInd w:val="0"/>
              <w:snapToGrid w:val="0"/>
              <w:spacing w:line="360" w:lineRule="auto"/>
              <w:jc w:val="left"/>
              <w:rPr>
                <w:rFonts w:ascii="宋体" w:hAnsi="宋体"/>
                <w:szCs w:val="21"/>
                <w:highlight w:val="none"/>
              </w:rPr>
            </w:pPr>
            <w:r>
              <w:rPr>
                <w:rFonts w:hint="eastAsia" w:ascii="宋体" w:hAnsi="宋体"/>
                <w:szCs w:val="21"/>
                <w:highlight w:val="none"/>
              </w:rPr>
              <w:sym w:font="Wingdings 2" w:char="00A3"/>
            </w:r>
            <w:r>
              <w:rPr>
                <w:rFonts w:hint="eastAsia" w:ascii="宋体" w:hAnsi="宋体"/>
                <w:szCs w:val="21"/>
                <w:highlight w:val="none"/>
              </w:rPr>
              <w:t xml:space="preserve"> 仲裁</w:t>
            </w:r>
          </w:p>
        </w:tc>
      </w:tr>
      <w:tr w14:paraId="613F84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32109823">
            <w:pPr>
              <w:adjustRightInd w:val="0"/>
              <w:snapToGrid w:val="0"/>
              <w:spacing w:line="360" w:lineRule="auto"/>
              <w:jc w:val="center"/>
              <w:rPr>
                <w:rFonts w:ascii="宋体" w:hAnsi="宋体"/>
                <w:szCs w:val="21"/>
                <w:highlight w:val="none"/>
              </w:rPr>
            </w:pPr>
            <w:r>
              <w:rPr>
                <w:rFonts w:hint="eastAsia" w:ascii="宋体" w:hAnsi="宋体"/>
                <w:szCs w:val="21"/>
                <w:highlight w:val="none"/>
              </w:rPr>
              <w:t>第六章第二节</w:t>
            </w:r>
          </w:p>
          <w:p w14:paraId="0628D902">
            <w:pPr>
              <w:adjustRightInd w:val="0"/>
              <w:snapToGrid w:val="0"/>
              <w:spacing w:line="360" w:lineRule="auto"/>
              <w:jc w:val="center"/>
              <w:rPr>
                <w:rFonts w:ascii="宋体" w:hAnsi="宋体"/>
                <w:szCs w:val="21"/>
                <w:highlight w:val="none"/>
              </w:rPr>
            </w:pPr>
            <w:r>
              <w:rPr>
                <w:rFonts w:hint="eastAsia" w:ascii="宋体" w:hAnsi="宋体"/>
                <w:szCs w:val="21"/>
                <w:highlight w:val="none"/>
              </w:rPr>
              <w:t>第23.1款</w:t>
            </w:r>
          </w:p>
        </w:tc>
        <w:tc>
          <w:tcPr>
            <w:tcW w:w="1843" w:type="dxa"/>
            <w:vAlign w:val="center"/>
          </w:tcPr>
          <w:p w14:paraId="70B1ACA6">
            <w:pPr>
              <w:adjustRightInd w:val="0"/>
              <w:snapToGrid w:val="0"/>
              <w:spacing w:line="360" w:lineRule="auto"/>
              <w:jc w:val="left"/>
              <w:rPr>
                <w:rFonts w:ascii="宋体" w:hAnsi="宋体"/>
                <w:szCs w:val="21"/>
                <w:highlight w:val="none"/>
              </w:rPr>
            </w:pPr>
            <w:r>
              <w:rPr>
                <w:rFonts w:hint="eastAsia" w:ascii="宋体" w:hAnsi="宋体"/>
                <w:bCs/>
                <w:szCs w:val="21"/>
                <w:highlight w:val="none"/>
              </w:rPr>
              <w:t>合同未尽事项</w:t>
            </w:r>
          </w:p>
        </w:tc>
        <w:tc>
          <w:tcPr>
            <w:tcW w:w="5464" w:type="dxa"/>
            <w:vAlign w:val="center"/>
          </w:tcPr>
          <w:p w14:paraId="188C5A32">
            <w:pPr>
              <w:adjustRightInd w:val="0"/>
              <w:snapToGrid w:val="0"/>
              <w:spacing w:line="360" w:lineRule="auto"/>
              <w:jc w:val="left"/>
              <w:rPr>
                <w:rFonts w:ascii="宋体" w:hAnsi="宋体"/>
                <w:szCs w:val="21"/>
                <w:highlight w:val="none"/>
              </w:rPr>
            </w:pPr>
            <w:r>
              <w:rPr>
                <w:rFonts w:hint="eastAsia" w:ascii="宋体" w:hAnsi="宋体"/>
                <w:szCs w:val="21"/>
                <w:highlight w:val="none"/>
              </w:rPr>
              <w:t>协商</w:t>
            </w:r>
            <w:r>
              <w:rPr>
                <w:rFonts w:ascii="宋体" w:hAnsi="宋体"/>
                <w:szCs w:val="21"/>
                <w:highlight w:val="none"/>
              </w:rPr>
              <w:t>解决</w:t>
            </w:r>
          </w:p>
        </w:tc>
      </w:tr>
    </w:tbl>
    <w:p w14:paraId="676FB7FC">
      <w:pPr>
        <w:pStyle w:val="23"/>
        <w:adjustRightInd w:val="0"/>
        <w:snapToGrid w:val="0"/>
        <w:spacing w:line="360" w:lineRule="auto"/>
        <w:jc w:val="center"/>
        <w:outlineLvl w:val="0"/>
        <w:rPr>
          <w:rFonts w:hAnsi="宋体"/>
          <w:b/>
          <w:bCs/>
          <w:sz w:val="52"/>
          <w:szCs w:val="30"/>
          <w:highlight w:val="none"/>
        </w:rPr>
      </w:pPr>
      <w:r>
        <w:rPr>
          <w:rFonts w:hAnsi="宋体"/>
          <w:b/>
          <w:bCs/>
          <w:sz w:val="52"/>
          <w:szCs w:val="30"/>
          <w:highlight w:val="none"/>
        </w:rPr>
        <w:br w:type="page"/>
      </w:r>
      <w:bookmarkStart w:id="118" w:name="_Toc29404"/>
      <w:bookmarkStart w:id="119" w:name="_Toc8983758"/>
    </w:p>
    <w:p w14:paraId="4FF9872D">
      <w:pPr>
        <w:pStyle w:val="23"/>
        <w:adjustRightInd w:val="0"/>
        <w:snapToGrid w:val="0"/>
        <w:spacing w:line="360" w:lineRule="auto"/>
        <w:jc w:val="center"/>
        <w:outlineLvl w:val="0"/>
        <w:rPr>
          <w:rFonts w:hAnsi="宋体"/>
          <w:b/>
          <w:bCs/>
          <w:sz w:val="44"/>
          <w:szCs w:val="24"/>
          <w:highlight w:val="none"/>
        </w:rPr>
      </w:pPr>
      <w:r>
        <w:rPr>
          <w:rFonts w:hint="eastAsia" w:hAnsi="宋体"/>
          <w:b/>
          <w:bCs/>
          <w:sz w:val="44"/>
          <w:szCs w:val="24"/>
          <w:highlight w:val="none"/>
        </w:rPr>
        <w:t>中小企业划分标准</w:t>
      </w:r>
    </w:p>
    <w:p w14:paraId="6900899B">
      <w:pPr>
        <w:pStyle w:val="23"/>
        <w:adjustRightInd w:val="0"/>
        <w:snapToGrid w:val="0"/>
        <w:spacing w:line="360" w:lineRule="auto"/>
        <w:jc w:val="center"/>
        <w:outlineLvl w:val="0"/>
        <w:rPr>
          <w:rFonts w:hint="eastAsia" w:hAnsi="宋体" w:eastAsia="宋体"/>
          <w:b/>
          <w:bCs/>
          <w:sz w:val="52"/>
          <w:szCs w:val="30"/>
          <w:highlight w:val="none"/>
          <w:lang w:eastAsia="zh-CN"/>
        </w:rPr>
      </w:pPr>
      <w:r>
        <w:rPr>
          <w:rFonts w:hint="eastAsia" w:hAnsi="宋体" w:eastAsia="宋体"/>
          <w:b/>
          <w:bCs/>
          <w:sz w:val="52"/>
          <w:szCs w:val="30"/>
          <w:highlight w:val="none"/>
          <w:lang w:eastAsia="zh-CN"/>
        </w:rPr>
        <w:drawing>
          <wp:inline distT="0" distB="0" distL="114300" distR="114300">
            <wp:extent cx="5534025" cy="7828280"/>
            <wp:effectExtent l="0" t="0" r="9525" b="1270"/>
            <wp:docPr id="4" name="图片 4" descr="中小企业划分标准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中小企业划分标准_01"/>
                    <pic:cNvPicPr>
                      <a:picLocks noChangeAspect="1"/>
                    </pic:cNvPicPr>
                  </pic:nvPicPr>
                  <pic:blipFill>
                    <a:blip r:embed="rId8"/>
                    <a:stretch>
                      <a:fillRect/>
                    </a:stretch>
                  </pic:blipFill>
                  <pic:spPr>
                    <a:xfrm>
                      <a:off x="0" y="0"/>
                      <a:ext cx="5534025" cy="7828280"/>
                    </a:xfrm>
                    <a:prstGeom prst="rect">
                      <a:avLst/>
                    </a:prstGeom>
                  </pic:spPr>
                </pic:pic>
              </a:graphicData>
            </a:graphic>
          </wp:inline>
        </w:drawing>
      </w:r>
      <w:r>
        <w:rPr>
          <w:rFonts w:hint="eastAsia" w:hAnsi="宋体" w:eastAsia="宋体"/>
          <w:b/>
          <w:bCs/>
          <w:sz w:val="52"/>
          <w:szCs w:val="30"/>
          <w:highlight w:val="none"/>
          <w:lang w:eastAsia="zh-CN"/>
        </w:rPr>
        <w:drawing>
          <wp:inline distT="0" distB="0" distL="114300" distR="114300">
            <wp:extent cx="5534025" cy="7828280"/>
            <wp:effectExtent l="0" t="0" r="9525" b="1270"/>
            <wp:docPr id="3" name="图片 3" descr="中小企业划分标准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中小企业划分标准_02"/>
                    <pic:cNvPicPr>
                      <a:picLocks noChangeAspect="1"/>
                    </pic:cNvPicPr>
                  </pic:nvPicPr>
                  <pic:blipFill>
                    <a:blip r:embed="rId9"/>
                    <a:stretch>
                      <a:fillRect/>
                    </a:stretch>
                  </pic:blipFill>
                  <pic:spPr>
                    <a:xfrm>
                      <a:off x="0" y="0"/>
                      <a:ext cx="5534025" cy="7828280"/>
                    </a:xfrm>
                    <a:prstGeom prst="rect">
                      <a:avLst/>
                    </a:prstGeom>
                  </pic:spPr>
                </pic:pic>
              </a:graphicData>
            </a:graphic>
          </wp:inline>
        </w:drawing>
      </w:r>
      <w:r>
        <w:rPr>
          <w:rFonts w:hint="eastAsia" w:hAnsi="宋体" w:eastAsia="宋体"/>
          <w:b/>
          <w:bCs/>
          <w:sz w:val="52"/>
          <w:szCs w:val="30"/>
          <w:highlight w:val="none"/>
          <w:lang w:eastAsia="zh-CN"/>
        </w:rPr>
        <w:drawing>
          <wp:inline distT="0" distB="0" distL="114300" distR="114300">
            <wp:extent cx="5534025" cy="7828280"/>
            <wp:effectExtent l="0" t="0" r="9525" b="1270"/>
            <wp:docPr id="2" name="图片 2" descr="中小企业划分标准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中小企业划分标准_03"/>
                    <pic:cNvPicPr>
                      <a:picLocks noChangeAspect="1"/>
                    </pic:cNvPicPr>
                  </pic:nvPicPr>
                  <pic:blipFill>
                    <a:blip r:embed="rId10"/>
                    <a:stretch>
                      <a:fillRect/>
                    </a:stretch>
                  </pic:blipFill>
                  <pic:spPr>
                    <a:xfrm>
                      <a:off x="0" y="0"/>
                      <a:ext cx="5534025" cy="7828280"/>
                    </a:xfrm>
                    <a:prstGeom prst="rect">
                      <a:avLst/>
                    </a:prstGeom>
                  </pic:spPr>
                </pic:pic>
              </a:graphicData>
            </a:graphic>
          </wp:inline>
        </w:drawing>
      </w:r>
      <w:r>
        <w:rPr>
          <w:rFonts w:hint="eastAsia" w:hAnsi="宋体" w:eastAsia="宋体"/>
          <w:b/>
          <w:bCs/>
          <w:sz w:val="52"/>
          <w:szCs w:val="30"/>
          <w:highlight w:val="none"/>
          <w:lang w:eastAsia="zh-CN"/>
        </w:rPr>
        <w:drawing>
          <wp:inline distT="0" distB="0" distL="114300" distR="114300">
            <wp:extent cx="5534025" cy="7828280"/>
            <wp:effectExtent l="0" t="0" r="9525" b="1270"/>
            <wp:docPr id="1" name="图片 1" descr="中小企业划分标准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小企业划分标准_04"/>
                    <pic:cNvPicPr>
                      <a:picLocks noChangeAspect="1"/>
                    </pic:cNvPicPr>
                  </pic:nvPicPr>
                  <pic:blipFill>
                    <a:blip r:embed="rId11"/>
                    <a:stretch>
                      <a:fillRect/>
                    </a:stretch>
                  </pic:blipFill>
                  <pic:spPr>
                    <a:xfrm>
                      <a:off x="0" y="0"/>
                      <a:ext cx="5534025" cy="7828280"/>
                    </a:xfrm>
                    <a:prstGeom prst="rect">
                      <a:avLst/>
                    </a:prstGeom>
                  </pic:spPr>
                </pic:pic>
              </a:graphicData>
            </a:graphic>
          </wp:inline>
        </w:drawing>
      </w:r>
    </w:p>
    <w:p w14:paraId="644D0006">
      <w:pPr>
        <w:pStyle w:val="23"/>
        <w:adjustRightInd w:val="0"/>
        <w:snapToGrid w:val="0"/>
        <w:spacing w:line="360" w:lineRule="auto"/>
        <w:jc w:val="center"/>
        <w:outlineLvl w:val="0"/>
        <w:rPr>
          <w:rFonts w:hAnsi="宋体"/>
          <w:b/>
          <w:bCs/>
          <w:sz w:val="52"/>
          <w:szCs w:val="30"/>
          <w:highlight w:val="none"/>
        </w:rPr>
      </w:pPr>
    </w:p>
    <w:p w14:paraId="0CCACBDF">
      <w:pPr>
        <w:pStyle w:val="23"/>
        <w:adjustRightInd w:val="0"/>
        <w:snapToGrid w:val="0"/>
        <w:spacing w:line="360" w:lineRule="auto"/>
        <w:jc w:val="center"/>
        <w:outlineLvl w:val="0"/>
        <w:rPr>
          <w:rFonts w:ascii="黑体" w:hAnsi="华文中宋" w:eastAsia="黑体"/>
          <w:b/>
          <w:sz w:val="32"/>
          <w:szCs w:val="32"/>
          <w:highlight w:val="none"/>
        </w:rPr>
      </w:pPr>
      <w:r>
        <w:rPr>
          <w:rFonts w:hint="eastAsia" w:ascii="黑体" w:hAnsi="华文中宋" w:eastAsia="黑体"/>
          <w:b/>
          <w:sz w:val="32"/>
          <w:szCs w:val="32"/>
          <w:highlight w:val="none"/>
        </w:rPr>
        <w:t>第七章 投标文件的组成</w:t>
      </w:r>
      <w:bookmarkEnd w:id="118"/>
      <w:bookmarkEnd w:id="119"/>
    </w:p>
    <w:p w14:paraId="61CC3E20">
      <w:pPr>
        <w:adjustRightInd w:val="0"/>
        <w:snapToGrid w:val="0"/>
        <w:spacing w:line="360" w:lineRule="auto"/>
        <w:ind w:left="-88" w:leftChars="-42"/>
        <w:jc w:val="center"/>
        <w:rPr>
          <w:b/>
          <w:bCs/>
          <w:sz w:val="32"/>
          <w:highlight w:val="none"/>
        </w:rPr>
      </w:pPr>
    </w:p>
    <w:p w14:paraId="0EE1FF59">
      <w:pPr>
        <w:adjustRightInd w:val="0"/>
        <w:snapToGrid w:val="0"/>
        <w:spacing w:before="156" w:beforeLines="50" w:line="360" w:lineRule="auto"/>
        <w:ind w:firstLine="482" w:firstLineChars="200"/>
        <w:jc w:val="left"/>
        <w:rPr>
          <w:rFonts w:hint="eastAsia" w:ascii="宋体" w:hAnsi="宋体" w:eastAsia="宋体" w:cs="宋体"/>
          <w:b/>
          <w:sz w:val="24"/>
          <w:szCs w:val="24"/>
        </w:rPr>
      </w:pPr>
      <w:r>
        <w:rPr>
          <w:rFonts w:hint="eastAsia" w:ascii="宋体" w:hAnsi="宋体" w:eastAsia="宋体" w:cs="宋体"/>
          <w:b/>
          <w:sz w:val="24"/>
          <w:szCs w:val="24"/>
        </w:rPr>
        <w:t>第一部分 资格证明文件</w:t>
      </w:r>
    </w:p>
    <w:p w14:paraId="2F21C954">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一、开标一览表</w:t>
      </w:r>
    </w:p>
    <w:p w14:paraId="1486EC05">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二、投标保证金</w:t>
      </w:r>
    </w:p>
    <w:p w14:paraId="3FB514B5">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三、法定代表人（单位负责人）身份证明或授权委托书</w:t>
      </w:r>
    </w:p>
    <w:p w14:paraId="671A97DF">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四、投标人提供的资格证明文件</w:t>
      </w:r>
    </w:p>
    <w:p w14:paraId="3C97D78E">
      <w:pPr>
        <w:adjustRightInd w:val="0"/>
        <w:snapToGrid w:val="0"/>
        <w:spacing w:before="156" w:beforeLines="50" w:line="360" w:lineRule="auto"/>
        <w:ind w:firstLine="482" w:firstLineChars="200"/>
        <w:jc w:val="left"/>
        <w:rPr>
          <w:rFonts w:hint="eastAsia" w:ascii="宋体" w:hAnsi="宋体" w:eastAsia="宋体" w:cs="宋体"/>
          <w:b/>
          <w:sz w:val="24"/>
          <w:szCs w:val="24"/>
        </w:rPr>
      </w:pPr>
      <w:r>
        <w:rPr>
          <w:rFonts w:hint="eastAsia" w:ascii="宋体" w:hAnsi="宋体" w:eastAsia="宋体" w:cs="宋体"/>
          <w:b/>
          <w:sz w:val="24"/>
          <w:szCs w:val="24"/>
        </w:rPr>
        <w:t>第二部分 商务技术文件</w:t>
      </w:r>
    </w:p>
    <w:p w14:paraId="73A8992D">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五、投标函</w:t>
      </w:r>
    </w:p>
    <w:p w14:paraId="427BFADB">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六、分项报价</w:t>
      </w:r>
    </w:p>
    <w:p w14:paraId="040846A2">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七、采购需求响应</w:t>
      </w:r>
    </w:p>
    <w:p w14:paraId="5BD6920C">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八、合同条款偏离表</w:t>
      </w:r>
    </w:p>
    <w:p w14:paraId="3C2CEBCF">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九、采购需求偏离表</w:t>
      </w:r>
    </w:p>
    <w:p w14:paraId="20C518EA">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十、享受政府采购政策优惠的证明资料</w:t>
      </w:r>
    </w:p>
    <w:p w14:paraId="03F28524">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十一、投标服务符合招标文件规定的证明文件</w:t>
      </w:r>
    </w:p>
    <w:p w14:paraId="11505A65">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十二、投标人认为需提供的其他资料</w:t>
      </w:r>
    </w:p>
    <w:p w14:paraId="75248B74">
      <w:pPr>
        <w:adjustRightInd w:val="0"/>
        <w:snapToGrid w:val="0"/>
        <w:spacing w:line="360" w:lineRule="auto"/>
        <w:jc w:val="center"/>
        <w:rPr>
          <w:rFonts w:ascii="黑体" w:eastAsia="黑体"/>
          <w:color w:val="000000"/>
          <w:sz w:val="32"/>
          <w:szCs w:val="32"/>
          <w:highlight w:val="none"/>
        </w:rPr>
      </w:pPr>
      <w:r>
        <w:rPr>
          <w:rFonts w:ascii="仿宋_GB2312" w:hAnsi="宋体" w:eastAsia="仿宋_GB2312"/>
          <w:color w:val="000000"/>
          <w:szCs w:val="21"/>
          <w:highlight w:val="none"/>
        </w:rPr>
        <w:br w:type="page"/>
      </w:r>
    </w:p>
    <w:p w14:paraId="0EDA040C">
      <w:pPr>
        <w:adjustRightInd w:val="0"/>
        <w:snapToGrid w:val="0"/>
        <w:spacing w:line="360" w:lineRule="auto"/>
        <w:jc w:val="center"/>
        <w:rPr>
          <w:rFonts w:ascii="黑体" w:eastAsia="黑体"/>
          <w:color w:val="000000"/>
          <w:sz w:val="32"/>
          <w:szCs w:val="32"/>
          <w:highlight w:val="none"/>
        </w:rPr>
      </w:pPr>
    </w:p>
    <w:p w14:paraId="2700CDBD">
      <w:pPr>
        <w:adjustRightInd w:val="0"/>
        <w:snapToGrid w:val="0"/>
        <w:spacing w:line="360" w:lineRule="auto"/>
        <w:jc w:val="center"/>
        <w:rPr>
          <w:rFonts w:ascii="黑体" w:eastAsia="黑体"/>
          <w:color w:val="000000"/>
          <w:sz w:val="32"/>
          <w:szCs w:val="32"/>
          <w:highlight w:val="none"/>
        </w:rPr>
      </w:pPr>
    </w:p>
    <w:p w14:paraId="78B68924">
      <w:pPr>
        <w:pStyle w:val="23"/>
        <w:adjustRightInd w:val="0"/>
        <w:snapToGrid w:val="0"/>
        <w:spacing w:line="360" w:lineRule="auto"/>
        <w:jc w:val="center"/>
        <w:rPr>
          <w:rFonts w:asciiTheme="minorEastAsia" w:hAnsiTheme="minorEastAsia" w:eastAsiaTheme="minorEastAsia"/>
          <w:b/>
          <w:bCs/>
          <w:sz w:val="72"/>
          <w:szCs w:val="72"/>
          <w:highlight w:val="none"/>
        </w:rPr>
      </w:pPr>
      <w:r>
        <w:rPr>
          <w:rFonts w:hint="eastAsia" w:asciiTheme="minorEastAsia" w:hAnsiTheme="minorEastAsia" w:eastAsiaTheme="minorEastAsia"/>
          <w:b/>
          <w:bCs/>
          <w:sz w:val="72"/>
          <w:szCs w:val="72"/>
          <w:highlight w:val="none"/>
        </w:rPr>
        <w:t>政府采购</w:t>
      </w:r>
    </w:p>
    <w:p w14:paraId="517DED43">
      <w:pPr>
        <w:adjustRightInd w:val="0"/>
        <w:snapToGrid w:val="0"/>
        <w:spacing w:line="360" w:lineRule="auto"/>
        <w:jc w:val="center"/>
        <w:rPr>
          <w:rFonts w:asciiTheme="minorEastAsia" w:hAnsiTheme="minorEastAsia" w:eastAsiaTheme="minorEastAsia"/>
          <w:b/>
          <w:bCs/>
          <w:sz w:val="84"/>
          <w:szCs w:val="84"/>
          <w:highlight w:val="none"/>
        </w:rPr>
      </w:pPr>
      <w:r>
        <w:rPr>
          <w:rFonts w:hint="eastAsia" w:asciiTheme="minorEastAsia" w:hAnsiTheme="minorEastAsia" w:eastAsiaTheme="minorEastAsia"/>
          <w:b/>
          <w:bCs/>
          <w:sz w:val="84"/>
          <w:szCs w:val="84"/>
          <w:highlight w:val="none"/>
        </w:rPr>
        <w:t>投 标 文 件</w:t>
      </w:r>
    </w:p>
    <w:p w14:paraId="4952B833">
      <w:pPr>
        <w:pStyle w:val="3"/>
        <w:adjustRightInd w:val="0"/>
        <w:snapToGrid w:val="0"/>
        <w:jc w:val="center"/>
        <w:rPr>
          <w:rFonts w:ascii="黑体" w:hAnsi="黑体" w:eastAsia="黑体"/>
          <w:color w:val="000000"/>
          <w:sz w:val="44"/>
          <w:szCs w:val="44"/>
          <w:highlight w:val="none"/>
        </w:rPr>
      </w:pPr>
      <w:bookmarkStart w:id="120" w:name="_Toc25889"/>
      <w:bookmarkStart w:id="121" w:name="_Toc8983759"/>
      <w:r>
        <w:rPr>
          <w:rFonts w:hint="eastAsia" w:ascii="黑体" w:hAnsi="黑体" w:eastAsia="黑体"/>
          <w:color w:val="000000"/>
          <w:sz w:val="44"/>
          <w:szCs w:val="44"/>
          <w:highlight w:val="none"/>
        </w:rPr>
        <w:t>第一部分 资格证明文件</w:t>
      </w:r>
      <w:bookmarkEnd w:id="120"/>
      <w:bookmarkEnd w:id="121"/>
    </w:p>
    <w:p w14:paraId="2181B626">
      <w:pPr>
        <w:adjustRightInd w:val="0"/>
        <w:snapToGrid w:val="0"/>
        <w:spacing w:line="360" w:lineRule="auto"/>
        <w:rPr>
          <w:rFonts w:ascii="黑体" w:hAnsi="黑体" w:eastAsia="黑体"/>
          <w:b/>
          <w:color w:val="000000"/>
          <w:sz w:val="32"/>
          <w:szCs w:val="32"/>
          <w:highlight w:val="none"/>
        </w:rPr>
      </w:pPr>
    </w:p>
    <w:p w14:paraId="73F7F381">
      <w:pPr>
        <w:adjustRightInd w:val="0"/>
        <w:snapToGrid w:val="0"/>
        <w:spacing w:line="360" w:lineRule="auto"/>
        <w:rPr>
          <w:rFonts w:asciiTheme="minorEastAsia" w:hAnsiTheme="minorEastAsia" w:eastAsiaTheme="minorEastAsia"/>
          <w:b/>
          <w:color w:val="000000"/>
          <w:sz w:val="30"/>
          <w:szCs w:val="30"/>
          <w:highlight w:val="none"/>
        </w:rPr>
      </w:pPr>
    </w:p>
    <w:p w14:paraId="641DDE29">
      <w:pPr>
        <w:pStyle w:val="23"/>
        <w:adjustRightInd w:val="0"/>
        <w:snapToGrid w:val="0"/>
        <w:spacing w:line="360" w:lineRule="auto"/>
        <w:ind w:firstLine="1988" w:firstLineChars="660"/>
        <w:rPr>
          <w:rFonts w:asciiTheme="minorEastAsia" w:hAnsiTheme="minorEastAsia" w:eastAsiaTheme="minorEastAsia"/>
          <w:b/>
          <w:bCs/>
          <w:sz w:val="30"/>
          <w:szCs w:val="30"/>
          <w:highlight w:val="none"/>
        </w:rPr>
      </w:pPr>
      <w:r>
        <w:rPr>
          <w:rFonts w:hint="eastAsia" w:asciiTheme="minorEastAsia" w:hAnsiTheme="minorEastAsia" w:eastAsiaTheme="minorEastAsia"/>
          <w:b/>
          <w:bCs/>
          <w:sz w:val="30"/>
          <w:szCs w:val="30"/>
          <w:highlight w:val="none"/>
        </w:rPr>
        <w:t>采购项目名称:</w:t>
      </w:r>
    </w:p>
    <w:p w14:paraId="5909A6FF">
      <w:pPr>
        <w:pStyle w:val="23"/>
        <w:adjustRightInd w:val="0"/>
        <w:snapToGrid w:val="0"/>
        <w:spacing w:line="360" w:lineRule="auto"/>
        <w:ind w:firstLine="1988" w:firstLineChars="660"/>
        <w:rPr>
          <w:rFonts w:asciiTheme="minorEastAsia" w:hAnsiTheme="minorEastAsia" w:eastAsiaTheme="minorEastAsia"/>
          <w:b/>
          <w:bCs/>
          <w:sz w:val="30"/>
          <w:szCs w:val="30"/>
          <w:highlight w:val="none"/>
        </w:rPr>
      </w:pPr>
      <w:r>
        <w:rPr>
          <w:rFonts w:hint="eastAsia" w:asciiTheme="minorEastAsia" w:hAnsiTheme="minorEastAsia" w:eastAsiaTheme="minorEastAsia"/>
          <w:b/>
          <w:bCs/>
          <w:sz w:val="30"/>
          <w:szCs w:val="30"/>
          <w:highlight w:val="none"/>
        </w:rPr>
        <w:t>包        号：</w:t>
      </w:r>
    </w:p>
    <w:p w14:paraId="2B621686">
      <w:pPr>
        <w:pStyle w:val="23"/>
        <w:adjustRightInd w:val="0"/>
        <w:snapToGrid w:val="0"/>
        <w:spacing w:line="360" w:lineRule="auto"/>
        <w:ind w:firstLine="1988" w:firstLineChars="660"/>
        <w:rPr>
          <w:rFonts w:asciiTheme="minorEastAsia" w:hAnsiTheme="minorEastAsia" w:eastAsiaTheme="minorEastAsia"/>
          <w:b/>
          <w:bCs/>
          <w:sz w:val="30"/>
          <w:szCs w:val="30"/>
          <w:highlight w:val="none"/>
        </w:rPr>
      </w:pPr>
      <w:r>
        <w:rPr>
          <w:rFonts w:hint="eastAsia" w:asciiTheme="minorEastAsia" w:hAnsiTheme="minorEastAsia" w:eastAsiaTheme="minorEastAsia"/>
          <w:b/>
          <w:bCs/>
          <w:sz w:val="30"/>
          <w:szCs w:val="30"/>
          <w:highlight w:val="none"/>
        </w:rPr>
        <w:t>采   购   人：</w:t>
      </w:r>
    </w:p>
    <w:p w14:paraId="20810F46">
      <w:pPr>
        <w:pStyle w:val="23"/>
        <w:adjustRightInd w:val="0"/>
        <w:snapToGrid w:val="0"/>
        <w:spacing w:line="360" w:lineRule="auto"/>
        <w:ind w:firstLine="1988" w:firstLineChars="660"/>
        <w:rPr>
          <w:rFonts w:asciiTheme="minorEastAsia" w:hAnsiTheme="minorEastAsia" w:eastAsiaTheme="minorEastAsia"/>
          <w:b/>
          <w:bCs/>
          <w:sz w:val="30"/>
          <w:szCs w:val="30"/>
          <w:highlight w:val="none"/>
          <w:u w:val="single"/>
        </w:rPr>
      </w:pPr>
      <w:r>
        <w:rPr>
          <w:rFonts w:hint="eastAsia" w:asciiTheme="minorEastAsia" w:hAnsiTheme="minorEastAsia" w:eastAsiaTheme="minorEastAsia"/>
          <w:b/>
          <w:bCs/>
          <w:sz w:val="30"/>
          <w:szCs w:val="30"/>
          <w:highlight w:val="none"/>
        </w:rPr>
        <w:t>政府采购编号:</w:t>
      </w:r>
    </w:p>
    <w:p w14:paraId="2E15BABD">
      <w:pPr>
        <w:pStyle w:val="23"/>
        <w:adjustRightInd w:val="0"/>
        <w:snapToGrid w:val="0"/>
        <w:spacing w:line="360" w:lineRule="auto"/>
        <w:ind w:firstLine="1988" w:firstLineChars="660"/>
        <w:rPr>
          <w:rFonts w:asciiTheme="minorEastAsia" w:hAnsiTheme="minorEastAsia" w:eastAsiaTheme="minorEastAsia"/>
          <w:b/>
          <w:bCs/>
          <w:sz w:val="30"/>
          <w:szCs w:val="30"/>
          <w:highlight w:val="none"/>
          <w:u w:val="single"/>
        </w:rPr>
      </w:pPr>
      <w:r>
        <w:rPr>
          <w:rFonts w:hint="eastAsia" w:asciiTheme="minorEastAsia" w:hAnsiTheme="minorEastAsia" w:eastAsiaTheme="minorEastAsia"/>
          <w:b/>
          <w:bCs/>
          <w:sz w:val="30"/>
          <w:szCs w:val="30"/>
          <w:highlight w:val="none"/>
        </w:rPr>
        <w:t>采购代理编号:</w:t>
      </w:r>
    </w:p>
    <w:p w14:paraId="39E9ED72">
      <w:pPr>
        <w:pStyle w:val="23"/>
        <w:adjustRightInd w:val="0"/>
        <w:snapToGrid w:val="0"/>
        <w:spacing w:line="360" w:lineRule="auto"/>
        <w:ind w:firstLine="1988" w:firstLineChars="660"/>
        <w:rPr>
          <w:rFonts w:asciiTheme="minorEastAsia" w:hAnsiTheme="minorEastAsia" w:eastAsiaTheme="minorEastAsia"/>
          <w:b/>
          <w:bCs/>
          <w:sz w:val="30"/>
          <w:szCs w:val="30"/>
          <w:highlight w:val="none"/>
          <w:u w:val="single"/>
        </w:rPr>
      </w:pPr>
      <w:r>
        <w:rPr>
          <w:rFonts w:hint="eastAsia" w:asciiTheme="minorEastAsia" w:hAnsiTheme="minorEastAsia" w:eastAsiaTheme="minorEastAsia"/>
          <w:b/>
          <w:bCs/>
          <w:sz w:val="30"/>
          <w:szCs w:val="30"/>
          <w:highlight w:val="none"/>
        </w:rPr>
        <w:t>采购代理机构：</w:t>
      </w:r>
    </w:p>
    <w:p w14:paraId="21A53947">
      <w:pPr>
        <w:adjustRightInd w:val="0"/>
        <w:snapToGrid w:val="0"/>
        <w:spacing w:line="360" w:lineRule="auto"/>
        <w:rPr>
          <w:rFonts w:ascii="黑体" w:hAnsi="黑体" w:eastAsia="黑体"/>
          <w:color w:val="000000"/>
          <w:sz w:val="30"/>
          <w:szCs w:val="30"/>
          <w:highlight w:val="none"/>
        </w:rPr>
      </w:pPr>
    </w:p>
    <w:p w14:paraId="59AC1468">
      <w:pPr>
        <w:adjustRightInd w:val="0"/>
        <w:snapToGrid w:val="0"/>
        <w:spacing w:line="360" w:lineRule="auto"/>
        <w:rPr>
          <w:rFonts w:ascii="黑体" w:hAnsi="宋体" w:eastAsia="黑体"/>
          <w:color w:val="000000"/>
          <w:sz w:val="30"/>
          <w:szCs w:val="30"/>
          <w:highlight w:val="none"/>
        </w:rPr>
      </w:pPr>
    </w:p>
    <w:p w14:paraId="30A5714F">
      <w:pPr>
        <w:adjustRightInd w:val="0"/>
        <w:snapToGrid w:val="0"/>
        <w:spacing w:line="360" w:lineRule="auto"/>
        <w:rPr>
          <w:rFonts w:ascii="黑体" w:hAnsi="宋体" w:eastAsia="黑体"/>
          <w:color w:val="000000"/>
          <w:sz w:val="30"/>
          <w:szCs w:val="30"/>
          <w:highlight w:val="none"/>
        </w:rPr>
      </w:pPr>
    </w:p>
    <w:p w14:paraId="66E69615">
      <w:pPr>
        <w:adjustRightInd w:val="0"/>
        <w:snapToGrid w:val="0"/>
        <w:spacing w:line="360" w:lineRule="auto"/>
        <w:ind w:firstLine="1984" w:firstLineChars="620"/>
        <w:rPr>
          <w:rFonts w:ascii="黑体" w:hAnsi="宋体" w:eastAsia="黑体"/>
          <w:color w:val="000000"/>
          <w:sz w:val="32"/>
          <w:szCs w:val="32"/>
          <w:highlight w:val="none"/>
          <w:u w:val="single"/>
        </w:rPr>
      </w:pPr>
      <w:r>
        <w:rPr>
          <w:rFonts w:hint="eastAsia" w:ascii="黑体" w:hAnsi="宋体" w:eastAsia="黑体"/>
          <w:color w:val="000000"/>
          <w:sz w:val="32"/>
          <w:szCs w:val="32"/>
          <w:highlight w:val="none"/>
        </w:rPr>
        <w:t>投标人</w:t>
      </w:r>
    </w:p>
    <w:p w14:paraId="64E6E8E4">
      <w:pPr>
        <w:adjustRightInd w:val="0"/>
        <w:snapToGrid w:val="0"/>
        <w:spacing w:line="360" w:lineRule="auto"/>
        <w:jc w:val="center"/>
        <w:rPr>
          <w:rFonts w:ascii="黑体" w:hAnsi="宋体" w:eastAsia="黑体"/>
          <w:sz w:val="28"/>
          <w:szCs w:val="28"/>
          <w:highlight w:val="none"/>
        </w:rPr>
      </w:pPr>
      <w:r>
        <w:rPr>
          <w:rFonts w:hint="eastAsia" w:ascii="黑体" w:hAnsi="宋体" w:eastAsia="黑体"/>
          <w:color w:val="000000"/>
          <w:sz w:val="32"/>
          <w:szCs w:val="32"/>
          <w:highlight w:val="none"/>
        </w:rPr>
        <w:t>年  月  日</w:t>
      </w:r>
      <w:r>
        <w:rPr>
          <w:rFonts w:ascii="黑体" w:eastAsia="黑体"/>
          <w:sz w:val="28"/>
          <w:szCs w:val="28"/>
          <w:highlight w:val="none"/>
        </w:rPr>
        <w:br w:type="page"/>
      </w:r>
    </w:p>
    <w:p w14:paraId="63F0AA4A">
      <w:pPr>
        <w:pStyle w:val="4"/>
        <w:adjustRightInd w:val="0"/>
        <w:snapToGrid w:val="0"/>
        <w:spacing w:before="0" w:after="0" w:line="360" w:lineRule="auto"/>
        <w:jc w:val="center"/>
        <w:rPr>
          <w:rFonts w:ascii="黑体" w:hAnsi="宋体" w:eastAsia="黑体"/>
          <w:sz w:val="28"/>
          <w:szCs w:val="28"/>
          <w:highlight w:val="none"/>
        </w:rPr>
      </w:pPr>
      <w:bookmarkStart w:id="122" w:name="_Toc20983"/>
      <w:bookmarkStart w:id="123" w:name="_Toc8983761"/>
      <w:r>
        <w:rPr>
          <w:rFonts w:hint="eastAsia" w:ascii="黑体" w:hAnsi="宋体" w:eastAsia="黑体"/>
          <w:sz w:val="28"/>
          <w:szCs w:val="28"/>
          <w:highlight w:val="none"/>
        </w:rPr>
        <w:t>一、开标一览表</w:t>
      </w:r>
      <w:bookmarkEnd w:id="122"/>
      <w:bookmarkEnd w:id="123"/>
    </w:p>
    <w:p w14:paraId="35AFE3FD">
      <w:pPr>
        <w:bidi w:val="0"/>
        <w:spacing w:line="360" w:lineRule="auto"/>
        <w:jc w:val="left"/>
        <w:rPr>
          <w:rFonts w:hint="eastAsia" w:ascii="宋体" w:hAnsi="宋体" w:eastAsia="宋体" w:cs="宋体"/>
          <w:sz w:val="24"/>
          <w:szCs w:val="24"/>
        </w:rPr>
      </w:pPr>
      <w:r>
        <w:rPr>
          <w:rFonts w:hint="eastAsia" w:ascii="宋体" w:hAnsi="宋体" w:eastAsia="宋体" w:cs="宋体"/>
          <w:sz w:val="24"/>
          <w:szCs w:val="24"/>
        </w:rPr>
        <w:t>政府采购计划号：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             </w:t>
      </w:r>
    </w:p>
    <w:p w14:paraId="4634BA86">
      <w:pPr>
        <w:bidi w:val="0"/>
        <w:spacing w:line="360" w:lineRule="auto"/>
        <w:jc w:val="left"/>
        <w:rPr>
          <w:rFonts w:hint="eastAsia" w:ascii="宋体" w:hAnsi="宋体" w:eastAsia="宋体" w:cs="宋体"/>
          <w:sz w:val="24"/>
          <w:szCs w:val="24"/>
        </w:rPr>
      </w:pPr>
      <w:r>
        <w:rPr>
          <w:rFonts w:hint="eastAsia" w:ascii="宋体" w:hAnsi="宋体" w:eastAsia="宋体" w:cs="宋体"/>
          <w:sz w:val="24"/>
          <w:szCs w:val="24"/>
        </w:rPr>
        <w:t>委托代理编号：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                  </w:t>
      </w:r>
    </w:p>
    <w:p w14:paraId="7DB933D3">
      <w:pPr>
        <w:bidi w:val="0"/>
        <w:spacing w:line="360" w:lineRule="auto"/>
        <w:jc w:val="left"/>
        <w:rPr>
          <w:rFonts w:hint="eastAsia" w:ascii="宋体" w:hAnsi="宋体" w:eastAsia="宋体" w:cs="宋体"/>
          <w:sz w:val="24"/>
          <w:szCs w:val="24"/>
        </w:rPr>
      </w:pPr>
      <w:r>
        <w:rPr>
          <w:rFonts w:hint="eastAsia" w:ascii="宋体" w:hAnsi="宋体" w:eastAsia="宋体" w:cs="宋体"/>
          <w:sz w:val="24"/>
          <w:szCs w:val="24"/>
        </w:rPr>
        <w:t>项目名称：</w:t>
      </w:r>
      <w:r>
        <w:rPr>
          <w:rFonts w:hint="eastAsia" w:ascii="宋体" w:hAnsi="宋体" w:eastAsia="宋体" w:cs="宋体"/>
          <w:sz w:val="24"/>
          <w:szCs w:val="24"/>
          <w:u w:val="single"/>
          <w:lang w:val="en-US" w:eastAsia="zh-CN"/>
        </w:rPr>
        <w:t xml:space="preserve">                       </w:t>
      </w:r>
    </w:p>
    <w:p w14:paraId="5EB1833B">
      <w:pPr>
        <w:bidi w:val="0"/>
        <w:spacing w:line="360" w:lineRule="auto"/>
        <w:jc w:val="left"/>
        <w:rPr>
          <w:rFonts w:hint="eastAsia" w:ascii="宋体" w:hAnsi="宋体" w:eastAsia="宋体" w:cs="宋体"/>
          <w:sz w:val="24"/>
          <w:szCs w:val="24"/>
        </w:rPr>
      </w:pPr>
      <w:r>
        <w:rPr>
          <w:rFonts w:hint="eastAsia" w:ascii="宋体" w:hAnsi="宋体" w:eastAsia="宋体" w:cs="宋体"/>
          <w:sz w:val="24"/>
          <w:szCs w:val="24"/>
        </w:rPr>
        <w:t>包号：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                            </w:t>
      </w:r>
    </w:p>
    <w:p w14:paraId="76BA6BEC">
      <w:pPr>
        <w:bidi w:val="0"/>
        <w:spacing w:line="360" w:lineRule="auto"/>
        <w:jc w:val="left"/>
        <w:rPr>
          <w:rFonts w:hint="eastAsia" w:ascii="宋体" w:hAnsi="宋体" w:eastAsia="宋体" w:cs="宋体"/>
          <w:sz w:val="24"/>
          <w:szCs w:val="24"/>
          <w:u w:val="single"/>
          <w:lang w:val="en-US" w:eastAsia="zh-CN"/>
        </w:rPr>
      </w:pPr>
      <w:r>
        <w:rPr>
          <w:rFonts w:hint="eastAsia" w:ascii="宋体" w:hAnsi="宋体" w:eastAsia="宋体" w:cs="宋体"/>
          <w:sz w:val="24"/>
          <w:szCs w:val="24"/>
        </w:rPr>
        <w:t>包名称：</w:t>
      </w:r>
      <w:r>
        <w:rPr>
          <w:rFonts w:hint="eastAsia" w:ascii="宋体" w:hAnsi="宋体" w:eastAsia="宋体" w:cs="宋体"/>
          <w:sz w:val="24"/>
          <w:szCs w:val="24"/>
          <w:u w:val="single"/>
          <w:lang w:val="en-US" w:eastAsia="zh-CN"/>
        </w:rPr>
        <w:t xml:space="preserve">                       </w:t>
      </w:r>
    </w:p>
    <w:tbl>
      <w:tblPr>
        <w:tblStyle w:val="45"/>
        <w:tblW w:w="889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25"/>
        <w:gridCol w:w="2374"/>
      </w:tblGrid>
      <w:tr w14:paraId="60461E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84" w:hRule="atLeast"/>
          <w:jc w:val="center"/>
        </w:trPr>
        <w:tc>
          <w:tcPr>
            <w:tcW w:w="6525" w:type="dxa"/>
            <w:shd w:val="clear" w:color="auto" w:fill="auto"/>
            <w:vAlign w:val="center"/>
          </w:tcPr>
          <w:p w14:paraId="46983A3A">
            <w:pPr>
              <w:adjustRightInd w:val="0"/>
              <w:snapToGrid w:val="0"/>
              <w:spacing w:line="240" w:lineRule="auto"/>
              <w:jc w:val="center"/>
              <w:rPr>
                <w:rFonts w:hint="eastAsia" w:ascii="宋体" w:hAnsi="宋体" w:eastAsia="宋体" w:cs="宋体"/>
                <w:b/>
                <w:kern w:val="0"/>
                <w:sz w:val="24"/>
                <w:szCs w:val="24"/>
              </w:rPr>
            </w:pPr>
            <w:r>
              <w:rPr>
                <w:rFonts w:hint="eastAsia" w:ascii="宋体" w:hAnsi="宋体" w:eastAsia="宋体" w:cs="宋体"/>
                <w:b/>
                <w:kern w:val="0"/>
                <w:sz w:val="24"/>
                <w:szCs w:val="24"/>
              </w:rPr>
              <w:t>投标报价</w:t>
            </w:r>
          </w:p>
        </w:tc>
        <w:tc>
          <w:tcPr>
            <w:tcW w:w="2374" w:type="dxa"/>
            <w:shd w:val="clear" w:color="auto" w:fill="auto"/>
            <w:vAlign w:val="center"/>
          </w:tcPr>
          <w:p w14:paraId="27FB21BA">
            <w:pPr>
              <w:adjustRightInd w:val="0"/>
              <w:snapToGrid w:val="0"/>
              <w:spacing w:line="240" w:lineRule="auto"/>
              <w:jc w:val="center"/>
              <w:rPr>
                <w:rFonts w:hint="eastAsia" w:ascii="宋体" w:hAnsi="宋体" w:eastAsia="宋体" w:cs="宋体"/>
                <w:b/>
                <w:kern w:val="0"/>
                <w:sz w:val="24"/>
                <w:szCs w:val="24"/>
              </w:rPr>
            </w:pPr>
            <w:r>
              <w:rPr>
                <w:rFonts w:hint="eastAsia" w:ascii="宋体" w:hAnsi="宋体" w:eastAsia="宋体" w:cs="宋体"/>
                <w:b/>
                <w:kern w:val="0"/>
                <w:sz w:val="24"/>
                <w:szCs w:val="24"/>
              </w:rPr>
              <w:t>其他内容</w:t>
            </w:r>
          </w:p>
        </w:tc>
      </w:tr>
      <w:tr w14:paraId="0E9215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88" w:hRule="atLeast"/>
          <w:jc w:val="center"/>
        </w:trPr>
        <w:tc>
          <w:tcPr>
            <w:tcW w:w="6525" w:type="dxa"/>
            <w:shd w:val="clear" w:color="auto" w:fill="auto"/>
            <w:vAlign w:val="center"/>
          </w:tcPr>
          <w:p w14:paraId="0AD42F05">
            <w:pPr>
              <w:adjustRightInd w:val="0"/>
              <w:snapToGrid w:val="0"/>
              <w:spacing w:line="360" w:lineRule="auto"/>
              <w:jc w:val="both"/>
              <w:rPr>
                <w:rFonts w:hint="default" w:ascii="宋体" w:hAnsi="宋体" w:eastAsia="宋体" w:cs="宋体"/>
                <w:kern w:val="0"/>
                <w:sz w:val="24"/>
                <w:szCs w:val="24"/>
                <w:highlight w:val="none"/>
                <w:u w:val="single"/>
                <w:lang w:val="en-US" w:eastAsia="zh-CN"/>
              </w:rPr>
            </w:pPr>
            <w:r>
              <w:rPr>
                <w:rFonts w:hint="eastAsia" w:ascii="宋体" w:hAnsi="宋体" w:cs="宋体"/>
                <w:kern w:val="0"/>
                <w:sz w:val="24"/>
                <w:szCs w:val="24"/>
                <w:highlight w:val="none"/>
                <w:lang w:val="en-US" w:eastAsia="zh-CN"/>
              </w:rPr>
              <w:t>报价比例：</w:t>
            </w:r>
            <w:r>
              <w:rPr>
                <w:rFonts w:hint="eastAsia" w:ascii="宋体" w:hAnsi="宋体" w:cs="宋体"/>
                <w:kern w:val="0"/>
                <w:sz w:val="24"/>
                <w:szCs w:val="24"/>
                <w:highlight w:val="none"/>
                <w:u w:val="single"/>
                <w:lang w:val="en-US" w:eastAsia="zh-CN"/>
              </w:rPr>
              <w:t xml:space="preserve">             %</w:t>
            </w:r>
          </w:p>
          <w:p w14:paraId="3EEB7297">
            <w:pPr>
              <w:suppressAutoHyphens/>
              <w:snapToGrid w:val="0"/>
              <w:spacing w:before="156" w:line="360" w:lineRule="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包1：投标报价：4793.6458*3年*</w:t>
            </w:r>
            <w:r>
              <w:rPr>
                <w:rFonts w:hint="eastAsia" w:ascii="宋体" w:hAnsi="宋体" w:cs="宋体"/>
                <w:sz w:val="24"/>
                <w:szCs w:val="24"/>
                <w:highlight w:val="none"/>
                <w:u w:val="single"/>
                <w:lang w:val="en-US" w:eastAsia="zh-CN"/>
              </w:rPr>
              <w:t xml:space="preserve">  报价比例   </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u w:val="single"/>
                <w:lang w:val="en-US" w:eastAsia="zh-CN"/>
              </w:rPr>
              <w:t xml:space="preserve">    万元</w:t>
            </w:r>
          </w:p>
          <w:p w14:paraId="127A4CB6">
            <w:pPr>
              <w:adjustRightInd w:val="0"/>
              <w:snapToGrid w:val="0"/>
              <w:spacing w:line="36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小写金额：</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kern w:val="0"/>
                <w:sz w:val="24"/>
                <w:szCs w:val="24"/>
                <w:highlight w:val="none"/>
              </w:rPr>
              <w:t>（人民币元）</w:t>
            </w:r>
          </w:p>
          <w:p w14:paraId="463D46D8">
            <w:pPr>
              <w:adjustRightInd w:val="0"/>
              <w:snapToGrid w:val="0"/>
              <w:spacing w:line="360" w:lineRule="auto"/>
              <w:jc w:val="center"/>
              <w:rPr>
                <w:rFonts w:hint="eastAsia" w:ascii="宋体" w:hAnsi="宋体" w:eastAsia="宋体" w:cs="宋体"/>
                <w:kern w:val="0"/>
                <w:sz w:val="24"/>
                <w:szCs w:val="24"/>
                <w:highlight w:val="none"/>
                <w:u w:val="single"/>
              </w:rPr>
            </w:pPr>
            <w:r>
              <w:rPr>
                <w:rFonts w:hint="eastAsia" w:ascii="宋体" w:hAnsi="宋体" w:eastAsia="宋体" w:cs="宋体"/>
                <w:kern w:val="0"/>
                <w:sz w:val="24"/>
                <w:szCs w:val="24"/>
                <w:highlight w:val="none"/>
              </w:rPr>
              <w:t>大写金额：</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kern w:val="0"/>
                <w:sz w:val="24"/>
                <w:szCs w:val="24"/>
                <w:highlight w:val="none"/>
              </w:rPr>
              <w:t>（人民币元）</w:t>
            </w:r>
          </w:p>
          <w:p w14:paraId="1294A59D">
            <w:pPr>
              <w:adjustRightInd w:val="0"/>
              <w:snapToGrid w:val="0"/>
              <w:spacing w:line="36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（大写金额与小写金额不一致时，以大写金额为准）</w:t>
            </w:r>
          </w:p>
        </w:tc>
        <w:tc>
          <w:tcPr>
            <w:tcW w:w="2374" w:type="dxa"/>
            <w:shd w:val="clear" w:color="auto" w:fill="auto"/>
            <w:vAlign w:val="center"/>
          </w:tcPr>
          <w:p w14:paraId="28E74113">
            <w:pPr>
              <w:adjustRightInd w:val="0"/>
              <w:snapToGrid w:val="0"/>
              <w:spacing w:line="360" w:lineRule="auto"/>
              <w:jc w:val="center"/>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以</w:t>
            </w:r>
            <w:r>
              <w:rPr>
                <w:rFonts w:hint="eastAsia" w:ascii="宋体" w:hAnsi="宋体" w:eastAsia="宋体" w:cs="宋体"/>
                <w:kern w:val="0"/>
                <w:sz w:val="24"/>
                <w:szCs w:val="24"/>
                <w:highlight w:val="none"/>
              </w:rPr>
              <w:t>医疗设备固定资产金额，乘以报价比例</w:t>
            </w:r>
          </w:p>
        </w:tc>
      </w:tr>
    </w:tbl>
    <w:p w14:paraId="783102B0">
      <w:pPr>
        <w:bidi w:val="0"/>
        <w:spacing w:line="360" w:lineRule="auto"/>
        <w:jc w:val="left"/>
        <w:rPr>
          <w:rFonts w:hint="eastAsia" w:ascii="宋体" w:hAnsi="宋体" w:eastAsia="宋体" w:cs="宋体"/>
          <w:sz w:val="24"/>
          <w:szCs w:val="24"/>
          <w:highlight w:val="none"/>
          <w:u w:val="single"/>
          <w:lang w:val="en-US" w:eastAsia="zh-CN"/>
        </w:rPr>
      </w:pPr>
    </w:p>
    <w:p w14:paraId="34AA747F">
      <w:pPr>
        <w:bidi w:val="0"/>
        <w:spacing w:line="360" w:lineRule="auto"/>
        <w:jc w:val="left"/>
        <w:rPr>
          <w:rFonts w:hint="eastAsia" w:ascii="宋体" w:hAnsi="宋体" w:eastAsia="宋体" w:cs="宋体"/>
          <w:sz w:val="24"/>
          <w:szCs w:val="24"/>
          <w:highlight w:val="none"/>
          <w:u w:val="single"/>
          <w:lang w:val="en-US" w:eastAsia="zh-CN"/>
        </w:rPr>
      </w:pPr>
    </w:p>
    <w:p w14:paraId="7EAA7356">
      <w:pPr>
        <w:bidi w:val="0"/>
        <w:spacing w:line="360" w:lineRule="auto"/>
        <w:jc w:val="left"/>
        <w:rPr>
          <w:rFonts w:hint="eastAsia" w:ascii="宋体" w:hAnsi="宋体" w:eastAsia="宋体" w:cs="宋体"/>
          <w:sz w:val="24"/>
          <w:szCs w:val="24"/>
          <w:highlight w:val="none"/>
          <w:u w:val="single"/>
          <w:lang w:val="en-US" w:eastAsia="zh-CN"/>
        </w:rPr>
      </w:pPr>
    </w:p>
    <w:p w14:paraId="62E81EE3">
      <w:pPr>
        <w:bidi w:val="0"/>
        <w:spacing w:line="360" w:lineRule="auto"/>
        <w:jc w:val="left"/>
        <w:rPr>
          <w:rFonts w:hint="eastAsia" w:ascii="宋体" w:hAnsi="宋体" w:eastAsia="宋体" w:cs="宋体"/>
          <w:sz w:val="24"/>
          <w:szCs w:val="24"/>
          <w:highlight w:val="none"/>
          <w:u w:val="single"/>
          <w:lang w:val="en-US" w:eastAsia="zh-CN"/>
        </w:rPr>
      </w:pPr>
    </w:p>
    <w:tbl>
      <w:tblPr>
        <w:tblStyle w:val="45"/>
        <w:tblW w:w="889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79"/>
        <w:gridCol w:w="2420"/>
      </w:tblGrid>
      <w:tr w14:paraId="6FF495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84" w:hRule="atLeast"/>
          <w:jc w:val="center"/>
        </w:trPr>
        <w:tc>
          <w:tcPr>
            <w:tcW w:w="6479" w:type="dxa"/>
            <w:shd w:val="clear" w:color="auto" w:fill="auto"/>
            <w:vAlign w:val="center"/>
          </w:tcPr>
          <w:p w14:paraId="52F108F8">
            <w:pPr>
              <w:adjustRightInd w:val="0"/>
              <w:snapToGrid w:val="0"/>
              <w:spacing w:line="240" w:lineRule="auto"/>
              <w:jc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投标报价</w:t>
            </w:r>
          </w:p>
        </w:tc>
        <w:tc>
          <w:tcPr>
            <w:tcW w:w="2420" w:type="dxa"/>
            <w:shd w:val="clear" w:color="auto" w:fill="auto"/>
            <w:vAlign w:val="center"/>
          </w:tcPr>
          <w:p w14:paraId="59E15F36">
            <w:pPr>
              <w:adjustRightInd w:val="0"/>
              <w:snapToGrid w:val="0"/>
              <w:spacing w:line="240" w:lineRule="auto"/>
              <w:jc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其他内容</w:t>
            </w:r>
          </w:p>
        </w:tc>
      </w:tr>
      <w:tr w14:paraId="1D5745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88" w:hRule="atLeast"/>
          <w:jc w:val="center"/>
        </w:trPr>
        <w:tc>
          <w:tcPr>
            <w:tcW w:w="6479" w:type="dxa"/>
            <w:shd w:val="clear" w:color="auto" w:fill="auto"/>
            <w:vAlign w:val="center"/>
          </w:tcPr>
          <w:p w14:paraId="6B9870DB">
            <w:pPr>
              <w:adjustRightInd w:val="0"/>
              <w:snapToGrid w:val="0"/>
              <w:spacing w:line="360" w:lineRule="auto"/>
              <w:jc w:val="both"/>
              <w:rPr>
                <w:rFonts w:hint="default" w:ascii="宋体" w:hAnsi="宋体" w:eastAsia="宋体" w:cs="宋体"/>
                <w:kern w:val="0"/>
                <w:sz w:val="24"/>
                <w:szCs w:val="24"/>
                <w:highlight w:val="none"/>
                <w:u w:val="single"/>
                <w:lang w:val="en-US" w:eastAsia="zh-CN"/>
              </w:rPr>
            </w:pPr>
            <w:r>
              <w:rPr>
                <w:rFonts w:hint="eastAsia" w:ascii="宋体" w:hAnsi="宋体" w:cs="宋体"/>
                <w:kern w:val="0"/>
                <w:sz w:val="24"/>
                <w:szCs w:val="24"/>
                <w:highlight w:val="none"/>
                <w:lang w:val="en-US" w:eastAsia="zh-CN"/>
              </w:rPr>
              <w:t>报价比例：</w:t>
            </w:r>
            <w:r>
              <w:rPr>
                <w:rFonts w:hint="eastAsia" w:ascii="宋体" w:hAnsi="宋体" w:cs="宋体"/>
                <w:kern w:val="0"/>
                <w:sz w:val="24"/>
                <w:szCs w:val="24"/>
                <w:highlight w:val="none"/>
                <w:u w:val="single"/>
                <w:lang w:val="en-US" w:eastAsia="zh-CN"/>
              </w:rPr>
              <w:t xml:space="preserve">             %</w:t>
            </w:r>
          </w:p>
          <w:p w14:paraId="34EF6121">
            <w:pPr>
              <w:adjustRightInd w:val="0"/>
              <w:snapToGrid w:val="0"/>
              <w:spacing w:line="360" w:lineRule="auto"/>
              <w:jc w:val="both"/>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包2：投标报价：973.43*3年*</w:t>
            </w:r>
            <w:r>
              <w:rPr>
                <w:rFonts w:hint="eastAsia" w:ascii="宋体" w:hAnsi="宋体" w:cs="宋体"/>
                <w:sz w:val="24"/>
                <w:szCs w:val="24"/>
                <w:highlight w:val="none"/>
                <w:u w:val="single"/>
                <w:lang w:val="en-US" w:eastAsia="zh-CN"/>
              </w:rPr>
              <w:t xml:space="preserve">  报价比例   </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u w:val="single"/>
                <w:lang w:val="en-US" w:eastAsia="zh-CN"/>
              </w:rPr>
              <w:t xml:space="preserve">       万元</w:t>
            </w:r>
          </w:p>
          <w:p w14:paraId="1FCAEAD9">
            <w:pPr>
              <w:adjustRightInd w:val="0"/>
              <w:snapToGrid w:val="0"/>
              <w:spacing w:line="36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小写金额：</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kern w:val="0"/>
                <w:sz w:val="24"/>
                <w:szCs w:val="24"/>
                <w:highlight w:val="none"/>
              </w:rPr>
              <w:t>（人民币元）</w:t>
            </w:r>
          </w:p>
          <w:p w14:paraId="64E47095">
            <w:pPr>
              <w:adjustRightInd w:val="0"/>
              <w:snapToGrid w:val="0"/>
              <w:spacing w:line="360" w:lineRule="auto"/>
              <w:jc w:val="center"/>
              <w:rPr>
                <w:rFonts w:hint="eastAsia" w:ascii="宋体" w:hAnsi="宋体" w:eastAsia="宋体" w:cs="宋体"/>
                <w:kern w:val="0"/>
                <w:sz w:val="24"/>
                <w:szCs w:val="24"/>
                <w:highlight w:val="none"/>
                <w:u w:val="single"/>
              </w:rPr>
            </w:pPr>
            <w:r>
              <w:rPr>
                <w:rFonts w:hint="eastAsia" w:ascii="宋体" w:hAnsi="宋体" w:eastAsia="宋体" w:cs="宋体"/>
                <w:kern w:val="0"/>
                <w:sz w:val="24"/>
                <w:szCs w:val="24"/>
                <w:highlight w:val="none"/>
              </w:rPr>
              <w:t>大写金额：</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kern w:val="0"/>
                <w:sz w:val="24"/>
                <w:szCs w:val="24"/>
                <w:highlight w:val="none"/>
              </w:rPr>
              <w:t>（人民币元）</w:t>
            </w:r>
          </w:p>
          <w:p w14:paraId="1013EFDF">
            <w:pPr>
              <w:adjustRightInd w:val="0"/>
              <w:snapToGrid w:val="0"/>
              <w:spacing w:line="36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（大写金额与小写金额不一致时，以大写金额为准）</w:t>
            </w:r>
          </w:p>
        </w:tc>
        <w:tc>
          <w:tcPr>
            <w:tcW w:w="2420" w:type="dxa"/>
            <w:shd w:val="clear" w:color="auto" w:fill="auto"/>
            <w:vAlign w:val="center"/>
          </w:tcPr>
          <w:p w14:paraId="2C76AAC9">
            <w:pPr>
              <w:adjustRightInd w:val="0"/>
              <w:snapToGrid w:val="0"/>
              <w:spacing w:line="360" w:lineRule="auto"/>
              <w:jc w:val="center"/>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以</w:t>
            </w:r>
            <w:r>
              <w:rPr>
                <w:rFonts w:hint="eastAsia" w:ascii="宋体" w:hAnsi="宋体" w:eastAsia="宋体" w:cs="宋体"/>
                <w:kern w:val="0"/>
                <w:sz w:val="24"/>
                <w:szCs w:val="24"/>
                <w:highlight w:val="none"/>
              </w:rPr>
              <w:t>医疗设备固定资产金额，乘以报价比例</w:t>
            </w:r>
          </w:p>
        </w:tc>
      </w:tr>
    </w:tbl>
    <w:p w14:paraId="19739898">
      <w:pPr>
        <w:adjustRightInd w:val="0"/>
        <w:snapToGrid w:val="0"/>
        <w:spacing w:line="360" w:lineRule="auto"/>
        <w:rPr>
          <w:rFonts w:hint="eastAsia" w:ascii="宋体" w:hAnsi="宋体" w:eastAsia="宋体" w:cs="宋体"/>
          <w:b/>
          <w:szCs w:val="21"/>
        </w:rPr>
      </w:pPr>
    </w:p>
    <w:p w14:paraId="118D2B33">
      <w:pPr>
        <w:adjustRightInd w:val="0"/>
        <w:snapToGrid w:val="0"/>
        <w:spacing w:line="360" w:lineRule="auto"/>
        <w:rPr>
          <w:rFonts w:hint="eastAsia" w:ascii="宋体" w:hAnsi="宋体" w:eastAsia="宋体" w:cs="宋体"/>
          <w:b/>
          <w:szCs w:val="21"/>
        </w:rPr>
      </w:pPr>
      <w:r>
        <w:rPr>
          <w:rFonts w:hint="eastAsia" w:ascii="宋体" w:hAnsi="宋体" w:eastAsia="宋体" w:cs="宋体"/>
          <w:b/>
          <w:szCs w:val="21"/>
        </w:rPr>
        <w:t>备注：1、本“开标一览表”所填报价应与交易平台上所填电子“开标一览表”报价一致，否则，以交易平台上所填电子“开标一览表”报价为准。</w:t>
      </w:r>
    </w:p>
    <w:p w14:paraId="57B598B3">
      <w:pPr>
        <w:adjustRightInd w:val="0"/>
        <w:snapToGrid w:val="0"/>
        <w:spacing w:line="360" w:lineRule="auto"/>
        <w:ind w:firstLine="630" w:firstLineChars="300"/>
        <w:rPr>
          <w:rFonts w:hint="eastAsia" w:ascii="宋体" w:hAnsi="宋体" w:eastAsia="宋体" w:cs="宋体"/>
          <w:szCs w:val="21"/>
        </w:rPr>
      </w:pPr>
      <w:r>
        <w:rPr>
          <w:rFonts w:hint="eastAsia" w:ascii="宋体" w:hAnsi="宋体" w:eastAsia="宋体" w:cs="宋体"/>
          <w:szCs w:val="21"/>
        </w:rPr>
        <w:t>2、本表须按包填写，一个“包号”一份。</w:t>
      </w:r>
    </w:p>
    <w:p w14:paraId="5D5C5B93">
      <w:pPr>
        <w:adjustRightInd w:val="0"/>
        <w:snapToGrid w:val="0"/>
        <w:spacing w:line="360" w:lineRule="auto"/>
        <w:ind w:firstLine="630" w:firstLineChars="300"/>
        <w:rPr>
          <w:rFonts w:hint="eastAsia" w:ascii="宋体" w:hAnsi="宋体" w:eastAsia="宋体" w:cs="宋体"/>
          <w:szCs w:val="21"/>
        </w:rPr>
      </w:pPr>
      <w:r>
        <w:rPr>
          <w:rFonts w:hint="eastAsia" w:ascii="宋体" w:hAnsi="宋体" w:eastAsia="宋体" w:cs="宋体"/>
          <w:szCs w:val="21"/>
        </w:rPr>
        <w:t>3、投标人提交两份及以上投标报价不同的“开标一览表”，且未书面说明哪个有效或以哪个为准的，其</w:t>
      </w:r>
      <w:r>
        <w:rPr>
          <w:rFonts w:hint="eastAsia" w:ascii="宋体" w:hAnsi="宋体" w:eastAsia="宋体" w:cs="宋体"/>
          <w:b/>
          <w:szCs w:val="21"/>
        </w:rPr>
        <w:t>投标无效</w:t>
      </w:r>
      <w:r>
        <w:rPr>
          <w:rFonts w:hint="eastAsia" w:ascii="宋体" w:hAnsi="宋体" w:eastAsia="宋体" w:cs="宋体"/>
          <w:szCs w:val="21"/>
        </w:rPr>
        <w:t>。</w:t>
      </w:r>
    </w:p>
    <w:p w14:paraId="1E55BC50">
      <w:pPr>
        <w:adjustRightInd w:val="0"/>
        <w:snapToGrid w:val="0"/>
        <w:spacing w:line="360" w:lineRule="auto"/>
        <w:ind w:firstLine="630" w:firstLineChars="300"/>
        <w:jc w:val="left"/>
        <w:rPr>
          <w:rFonts w:hint="eastAsia" w:ascii="宋体" w:hAnsi="宋体" w:eastAsia="宋体" w:cs="宋体"/>
          <w:szCs w:val="22"/>
        </w:rPr>
      </w:pPr>
      <w:r>
        <w:rPr>
          <w:rFonts w:hint="eastAsia" w:ascii="宋体" w:hAnsi="宋体" w:eastAsia="宋体" w:cs="宋体"/>
          <w:szCs w:val="21"/>
        </w:rPr>
        <w:t>4、</w:t>
      </w:r>
      <w:r>
        <w:rPr>
          <w:rFonts w:hint="eastAsia" w:ascii="宋体" w:hAnsi="宋体" w:eastAsia="宋体" w:cs="宋体"/>
          <w:szCs w:val="22"/>
        </w:rPr>
        <w:t>投标人在投标截止时间前修改“开标一览表”中的投标报价的，应同时修改投标文件“分项报价明细表”“享受政府采购政策优惠的证明资料”以及“联合体协议书”（如果影响）等相关内容。</w:t>
      </w:r>
    </w:p>
    <w:p w14:paraId="6029B114">
      <w:pPr>
        <w:adjustRightInd w:val="0"/>
        <w:snapToGrid w:val="0"/>
        <w:spacing w:line="360" w:lineRule="auto"/>
        <w:ind w:firstLine="420" w:firstLineChars="200"/>
        <w:rPr>
          <w:rFonts w:hint="eastAsia" w:ascii="宋体" w:hAnsi="宋体" w:eastAsia="宋体" w:cs="宋体"/>
          <w:szCs w:val="21"/>
        </w:rPr>
      </w:pPr>
    </w:p>
    <w:p w14:paraId="7E916174">
      <w:pPr>
        <w:adjustRightInd w:val="0"/>
        <w:snapToGrid w:val="0"/>
        <w:spacing w:line="360" w:lineRule="auto"/>
        <w:ind w:firstLine="420" w:firstLineChars="200"/>
        <w:rPr>
          <w:rFonts w:hint="eastAsia" w:ascii="宋体" w:hAnsi="宋体" w:eastAsia="宋体" w:cs="宋体"/>
          <w:szCs w:val="21"/>
        </w:rPr>
      </w:pPr>
    </w:p>
    <w:p w14:paraId="5B1B909D">
      <w:pPr>
        <w:adjustRightInd w:val="0"/>
        <w:snapToGrid w:val="0"/>
        <w:spacing w:line="360" w:lineRule="auto"/>
        <w:rPr>
          <w:rFonts w:hint="eastAsia" w:ascii="宋体" w:hAnsi="宋体" w:eastAsia="宋体" w:cs="宋体"/>
          <w:color w:val="FF0000"/>
          <w:szCs w:val="21"/>
        </w:rPr>
      </w:pPr>
    </w:p>
    <w:p w14:paraId="1EB96CCE">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投标人名称（盖单位章）：</w:t>
      </w:r>
    </w:p>
    <w:p w14:paraId="41ECDFD1">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pacing w:val="-2"/>
          <w:kern w:val="0"/>
          <w:sz w:val="24"/>
          <w:szCs w:val="24"/>
        </w:rPr>
        <w:t>法</w:t>
      </w:r>
      <w:r>
        <w:rPr>
          <w:rFonts w:hint="eastAsia" w:ascii="宋体" w:hAnsi="宋体" w:eastAsia="宋体" w:cs="宋体"/>
          <w:kern w:val="0"/>
          <w:sz w:val="24"/>
          <w:szCs w:val="24"/>
        </w:rPr>
        <w:t>定</w:t>
      </w:r>
      <w:r>
        <w:rPr>
          <w:rFonts w:hint="eastAsia" w:ascii="宋体" w:hAnsi="宋体" w:eastAsia="宋体" w:cs="宋体"/>
          <w:spacing w:val="-2"/>
          <w:kern w:val="0"/>
          <w:sz w:val="24"/>
          <w:szCs w:val="24"/>
        </w:rPr>
        <w:t>代</w:t>
      </w:r>
      <w:r>
        <w:rPr>
          <w:rFonts w:hint="eastAsia" w:ascii="宋体" w:hAnsi="宋体" w:eastAsia="宋体" w:cs="宋体"/>
          <w:kern w:val="0"/>
          <w:sz w:val="24"/>
          <w:szCs w:val="24"/>
        </w:rPr>
        <w:t>表</w:t>
      </w:r>
      <w:r>
        <w:rPr>
          <w:rFonts w:hint="eastAsia" w:ascii="宋体" w:hAnsi="宋体" w:eastAsia="宋体" w:cs="宋体"/>
          <w:spacing w:val="-2"/>
          <w:kern w:val="0"/>
          <w:sz w:val="24"/>
          <w:szCs w:val="24"/>
        </w:rPr>
        <w:t>人</w:t>
      </w:r>
      <w:r>
        <w:rPr>
          <w:rFonts w:hint="eastAsia" w:ascii="宋体" w:hAnsi="宋体" w:eastAsia="宋体" w:cs="宋体"/>
          <w:kern w:val="0"/>
          <w:sz w:val="24"/>
          <w:szCs w:val="24"/>
        </w:rPr>
        <w:t>（</w:t>
      </w:r>
      <w:r>
        <w:rPr>
          <w:rFonts w:hint="eastAsia" w:ascii="宋体" w:hAnsi="宋体" w:eastAsia="宋体" w:cs="宋体"/>
          <w:spacing w:val="-2"/>
          <w:kern w:val="0"/>
          <w:sz w:val="24"/>
          <w:szCs w:val="24"/>
        </w:rPr>
        <w:t>单</w:t>
      </w:r>
      <w:r>
        <w:rPr>
          <w:rFonts w:hint="eastAsia" w:ascii="宋体" w:hAnsi="宋体" w:eastAsia="宋体" w:cs="宋体"/>
          <w:kern w:val="0"/>
          <w:sz w:val="24"/>
          <w:szCs w:val="24"/>
        </w:rPr>
        <w:t>位</w:t>
      </w:r>
      <w:r>
        <w:rPr>
          <w:rFonts w:hint="eastAsia" w:ascii="宋体" w:hAnsi="宋体" w:eastAsia="宋体" w:cs="宋体"/>
          <w:spacing w:val="-2"/>
          <w:kern w:val="0"/>
          <w:sz w:val="24"/>
          <w:szCs w:val="24"/>
        </w:rPr>
        <w:t>负</w:t>
      </w:r>
      <w:r>
        <w:rPr>
          <w:rFonts w:hint="eastAsia" w:ascii="宋体" w:hAnsi="宋体" w:eastAsia="宋体" w:cs="宋体"/>
          <w:kern w:val="0"/>
          <w:sz w:val="24"/>
          <w:szCs w:val="24"/>
        </w:rPr>
        <w:t>责人</w:t>
      </w:r>
      <w:r>
        <w:rPr>
          <w:rFonts w:hint="eastAsia" w:ascii="宋体" w:hAnsi="宋体" w:eastAsia="宋体" w:cs="宋体"/>
          <w:spacing w:val="-2"/>
          <w:kern w:val="0"/>
          <w:sz w:val="24"/>
          <w:szCs w:val="24"/>
        </w:rPr>
        <w:t>）</w:t>
      </w:r>
      <w:r>
        <w:rPr>
          <w:rFonts w:hint="eastAsia" w:ascii="宋体" w:hAnsi="宋体" w:eastAsia="宋体" w:cs="宋体"/>
          <w:sz w:val="24"/>
          <w:szCs w:val="24"/>
        </w:rPr>
        <w:t>或其授权的代理人（签章或签字）：</w:t>
      </w:r>
      <w:r>
        <w:rPr>
          <w:rFonts w:hint="eastAsia" w:ascii="宋体" w:hAnsi="宋体" w:eastAsia="宋体" w:cs="宋体"/>
          <w:sz w:val="24"/>
          <w:szCs w:val="24"/>
          <w:u w:val="single"/>
        </w:rPr>
        <w:t xml:space="preserve">                </w:t>
      </w:r>
      <w:r>
        <w:rPr>
          <w:rFonts w:hint="eastAsia" w:ascii="宋体" w:hAnsi="宋体" w:eastAsia="宋体" w:cs="宋体"/>
          <w:sz w:val="24"/>
          <w:szCs w:val="24"/>
        </w:rPr>
        <w:t>_</w:t>
      </w:r>
    </w:p>
    <w:p w14:paraId="31B907F9">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7025D73A">
      <w:pPr>
        <w:adjustRightInd w:val="0"/>
        <w:snapToGrid w:val="0"/>
        <w:spacing w:line="360" w:lineRule="auto"/>
        <w:rPr>
          <w:rFonts w:asciiTheme="minorEastAsia" w:hAnsiTheme="minorEastAsia" w:eastAsiaTheme="minorEastAsia"/>
          <w:szCs w:val="21"/>
          <w:highlight w:val="none"/>
        </w:rPr>
      </w:pPr>
    </w:p>
    <w:p w14:paraId="5A4A468A">
      <w:pPr>
        <w:widowControl/>
        <w:jc w:val="left"/>
        <w:rPr>
          <w:rFonts w:asciiTheme="minorEastAsia" w:hAnsiTheme="minorEastAsia" w:eastAsiaTheme="minorEastAsia"/>
          <w:szCs w:val="21"/>
          <w:highlight w:val="none"/>
        </w:rPr>
      </w:pPr>
      <w:r>
        <w:rPr>
          <w:rFonts w:asciiTheme="minorEastAsia" w:hAnsiTheme="minorEastAsia" w:eastAsiaTheme="minorEastAsia"/>
          <w:szCs w:val="21"/>
          <w:highlight w:val="none"/>
        </w:rPr>
        <w:br w:type="page"/>
      </w:r>
    </w:p>
    <w:p w14:paraId="3940BAC4">
      <w:pPr>
        <w:pStyle w:val="4"/>
        <w:adjustRightInd w:val="0"/>
        <w:snapToGrid w:val="0"/>
        <w:spacing w:before="0" w:after="0" w:line="360" w:lineRule="auto"/>
        <w:jc w:val="center"/>
        <w:rPr>
          <w:rFonts w:ascii="黑体" w:hAnsi="宋体" w:eastAsia="黑体"/>
          <w:sz w:val="28"/>
          <w:szCs w:val="28"/>
          <w:highlight w:val="none"/>
        </w:rPr>
      </w:pPr>
      <w:bookmarkStart w:id="124" w:name="_Toc31990"/>
      <w:bookmarkStart w:id="125" w:name="_Toc8983762"/>
      <w:r>
        <w:rPr>
          <w:rFonts w:hint="eastAsia" w:ascii="黑体" w:hAnsi="宋体" w:eastAsia="黑体"/>
          <w:sz w:val="28"/>
          <w:szCs w:val="28"/>
          <w:highlight w:val="none"/>
        </w:rPr>
        <w:t>二、投标保证金</w:t>
      </w:r>
      <w:bookmarkEnd w:id="124"/>
      <w:bookmarkEnd w:id="125"/>
    </w:p>
    <w:p w14:paraId="7DD15C88">
      <w:pPr>
        <w:spacing w:line="440" w:lineRule="exact"/>
        <w:jc w:val="center"/>
        <w:rPr>
          <w:rFonts w:ascii="宋体" w:hAnsi="宋体" w:cs="黑体"/>
          <w:b/>
          <w:bCs/>
          <w:sz w:val="28"/>
          <w:szCs w:val="28"/>
          <w:highlight w:val="none"/>
        </w:rPr>
      </w:pPr>
      <w:r>
        <w:rPr>
          <w:rFonts w:hint="eastAsia" w:ascii="宋体" w:hAnsi="宋体" w:cs="黑体"/>
          <w:b/>
          <w:bCs/>
          <w:sz w:val="28"/>
          <w:szCs w:val="28"/>
          <w:highlight w:val="none"/>
        </w:rPr>
        <w:t>不要求提供</w:t>
      </w:r>
    </w:p>
    <w:p w14:paraId="6CD0276A">
      <w:pPr>
        <w:adjustRightInd w:val="0"/>
        <w:snapToGrid w:val="0"/>
        <w:spacing w:beforeLines="50" w:line="360" w:lineRule="auto"/>
        <w:ind w:firstLine="420" w:firstLineChars="200"/>
        <w:jc w:val="left"/>
        <w:rPr>
          <w:rFonts w:asciiTheme="minorEastAsia" w:hAnsiTheme="minorEastAsia" w:eastAsiaTheme="minorEastAsia"/>
          <w:highlight w:val="none"/>
        </w:rPr>
      </w:pPr>
    </w:p>
    <w:p w14:paraId="75705B47">
      <w:pPr>
        <w:widowControl/>
        <w:jc w:val="left"/>
        <w:rPr>
          <w:rFonts w:ascii="黑体" w:eastAsia="黑体"/>
          <w:color w:val="000000"/>
          <w:sz w:val="32"/>
          <w:szCs w:val="32"/>
          <w:highlight w:val="none"/>
        </w:rPr>
      </w:pPr>
      <w:r>
        <w:rPr>
          <w:rFonts w:ascii="黑体" w:eastAsia="黑体"/>
          <w:color w:val="000000"/>
          <w:sz w:val="32"/>
          <w:szCs w:val="32"/>
          <w:highlight w:val="none"/>
        </w:rPr>
        <w:br w:type="page"/>
      </w:r>
    </w:p>
    <w:p w14:paraId="52B38129">
      <w:pPr>
        <w:keepNext/>
        <w:keepLines/>
        <w:widowControl w:val="0"/>
        <w:bidi w:val="0"/>
        <w:spacing w:before="260" w:after="260" w:line="416" w:lineRule="auto"/>
        <w:jc w:val="center"/>
        <w:outlineLvl w:val="2"/>
        <w:rPr>
          <w:rFonts w:hint="eastAsia" w:ascii="黑体" w:hAnsi="黑体" w:eastAsia="黑体" w:cs="黑体"/>
          <w:b/>
          <w:bCs/>
          <w:kern w:val="2"/>
          <w:sz w:val="28"/>
          <w:szCs w:val="28"/>
          <w:lang w:val="en-US" w:eastAsia="zh-CN" w:bidi="ar-SA"/>
        </w:rPr>
      </w:pPr>
      <w:bookmarkStart w:id="126" w:name="_Toc29913953"/>
      <w:bookmarkStart w:id="127" w:name="_Toc16881"/>
      <w:bookmarkStart w:id="128" w:name="_Toc12834"/>
      <w:bookmarkStart w:id="129" w:name="_Toc8983765"/>
      <w:r>
        <w:rPr>
          <w:rFonts w:hint="eastAsia" w:ascii="黑体" w:hAnsi="黑体" w:eastAsia="黑体" w:cs="黑体"/>
          <w:b/>
          <w:bCs/>
          <w:kern w:val="2"/>
          <w:sz w:val="28"/>
          <w:szCs w:val="28"/>
          <w:lang w:val="en-US" w:eastAsia="zh-CN" w:bidi="ar-SA"/>
        </w:rPr>
        <w:t>三、法定代表人（单位负责人）身份证明</w:t>
      </w:r>
      <w:bookmarkEnd w:id="126"/>
      <w:bookmarkEnd w:id="127"/>
      <w:bookmarkEnd w:id="128"/>
    </w:p>
    <w:p w14:paraId="56D4609F">
      <w:pPr>
        <w:tabs>
          <w:tab w:val="left" w:pos="3880"/>
        </w:tabs>
        <w:autoSpaceDE w:val="0"/>
        <w:autoSpaceDN w:val="0"/>
        <w:adjustRightInd w:val="0"/>
        <w:snapToGrid w:val="0"/>
        <w:spacing w:line="360" w:lineRule="auto"/>
        <w:ind w:left="100" w:right="-20"/>
        <w:jc w:val="left"/>
        <w:rPr>
          <w:rFonts w:cs="微软雅黑" w:asciiTheme="minorEastAsia" w:hAnsiTheme="minorEastAsia" w:eastAsiaTheme="minorEastAsia"/>
          <w:kern w:val="0"/>
          <w:position w:val="-4"/>
          <w:szCs w:val="21"/>
        </w:rPr>
      </w:pPr>
    </w:p>
    <w:p w14:paraId="72273490">
      <w:pPr>
        <w:tabs>
          <w:tab w:val="left" w:pos="3880"/>
        </w:tabs>
        <w:autoSpaceDE w:val="0"/>
        <w:autoSpaceDN w:val="0"/>
        <w:adjustRightInd w:val="0"/>
        <w:snapToGrid w:val="0"/>
        <w:spacing w:line="360" w:lineRule="auto"/>
        <w:ind w:left="100" w:right="-20"/>
        <w:jc w:val="left"/>
        <w:rPr>
          <w:rFonts w:cs="微软雅黑" w:asciiTheme="minorEastAsia" w:hAnsiTheme="minorEastAsia" w:eastAsiaTheme="minorEastAsia"/>
          <w:kern w:val="0"/>
          <w:szCs w:val="21"/>
        </w:rPr>
      </w:pPr>
      <w:r>
        <w:rPr>
          <w:rFonts w:hint="eastAsia" w:cs="微软雅黑" w:asciiTheme="minorEastAsia" w:hAnsiTheme="minorEastAsia" w:eastAsiaTheme="minorEastAsia"/>
          <w:kern w:val="0"/>
          <w:position w:val="-4"/>
          <w:szCs w:val="21"/>
        </w:rPr>
        <w:t>投标</w:t>
      </w:r>
      <w:r>
        <w:rPr>
          <w:rFonts w:hint="eastAsia" w:cs="微软雅黑" w:asciiTheme="minorEastAsia" w:hAnsiTheme="minorEastAsia" w:eastAsiaTheme="minorEastAsia"/>
          <w:spacing w:val="-2"/>
          <w:kern w:val="0"/>
          <w:position w:val="-4"/>
          <w:szCs w:val="21"/>
        </w:rPr>
        <w:t>人</w:t>
      </w:r>
      <w:r>
        <w:rPr>
          <w:rFonts w:hint="eastAsia" w:cs="微软雅黑" w:asciiTheme="minorEastAsia" w:hAnsiTheme="minorEastAsia" w:eastAsiaTheme="minorEastAsia"/>
          <w:kern w:val="0"/>
          <w:position w:val="-4"/>
          <w:szCs w:val="21"/>
        </w:rPr>
        <w:t>名</w:t>
      </w:r>
      <w:r>
        <w:rPr>
          <w:rFonts w:hint="eastAsia" w:cs="微软雅黑" w:asciiTheme="minorEastAsia" w:hAnsiTheme="minorEastAsia" w:eastAsiaTheme="minorEastAsia"/>
          <w:spacing w:val="-2"/>
          <w:kern w:val="0"/>
          <w:position w:val="-4"/>
          <w:szCs w:val="21"/>
        </w:rPr>
        <w:t>称</w:t>
      </w:r>
      <w:r>
        <w:rPr>
          <w:rFonts w:hint="eastAsia" w:cs="微软雅黑" w:asciiTheme="minorEastAsia" w:hAnsiTheme="minorEastAsia" w:eastAsiaTheme="minorEastAsia"/>
          <w:kern w:val="0"/>
          <w:position w:val="-4"/>
          <w:szCs w:val="21"/>
        </w:rPr>
        <w:t>：</w:t>
      </w:r>
      <w:r>
        <w:rPr>
          <w:rFonts w:hint="eastAsia" w:ascii="宋体" w:hAnsi="宋体" w:eastAsia="宋体" w:cs="Times New Roman"/>
          <w:szCs w:val="21"/>
          <w:u w:val="single"/>
        </w:rPr>
        <w:t xml:space="preserve">                 </w:t>
      </w:r>
    </w:p>
    <w:p w14:paraId="172FC3C2">
      <w:pPr>
        <w:tabs>
          <w:tab w:val="left" w:pos="2400"/>
          <w:tab w:val="left" w:pos="3880"/>
          <w:tab w:val="left" w:pos="5340"/>
          <w:tab w:val="left" w:pos="6820"/>
        </w:tabs>
        <w:autoSpaceDE w:val="0"/>
        <w:autoSpaceDN w:val="0"/>
        <w:adjustRightInd w:val="0"/>
        <w:snapToGrid w:val="0"/>
        <w:spacing w:line="360" w:lineRule="auto"/>
        <w:ind w:left="100" w:right="-20"/>
        <w:jc w:val="left"/>
        <w:rPr>
          <w:rFonts w:cs="微软雅黑" w:asciiTheme="minorEastAsia" w:hAnsiTheme="minorEastAsia" w:eastAsiaTheme="minorEastAsia"/>
          <w:kern w:val="0"/>
          <w:position w:val="-2"/>
          <w:szCs w:val="21"/>
        </w:rPr>
      </w:pPr>
      <w:r>
        <w:rPr>
          <w:rFonts w:hint="eastAsia" w:cs="微软雅黑" w:asciiTheme="minorEastAsia" w:hAnsiTheme="minorEastAsia" w:eastAsiaTheme="minorEastAsia"/>
          <w:kern w:val="0"/>
          <w:position w:val="-2"/>
          <w:szCs w:val="21"/>
        </w:rPr>
        <w:t>统一社会信用代码：</w:t>
      </w:r>
      <w:r>
        <w:rPr>
          <w:rFonts w:hint="eastAsia" w:ascii="宋体" w:hAnsi="宋体" w:eastAsia="宋体" w:cs="Times New Roman"/>
          <w:szCs w:val="21"/>
          <w:u w:val="single"/>
        </w:rPr>
        <w:t xml:space="preserve">                 </w:t>
      </w:r>
    </w:p>
    <w:p w14:paraId="100C22EF">
      <w:pPr>
        <w:tabs>
          <w:tab w:val="left" w:pos="2400"/>
          <w:tab w:val="left" w:pos="3880"/>
          <w:tab w:val="left" w:pos="5340"/>
          <w:tab w:val="left" w:pos="6820"/>
        </w:tabs>
        <w:autoSpaceDE w:val="0"/>
        <w:autoSpaceDN w:val="0"/>
        <w:adjustRightInd w:val="0"/>
        <w:snapToGrid w:val="0"/>
        <w:spacing w:line="360" w:lineRule="auto"/>
        <w:ind w:left="100" w:right="-20"/>
        <w:jc w:val="left"/>
        <w:rPr>
          <w:rFonts w:cs="微软雅黑" w:asciiTheme="minorEastAsia" w:hAnsiTheme="minorEastAsia" w:eastAsiaTheme="minorEastAsia"/>
          <w:kern w:val="0"/>
          <w:position w:val="-2"/>
          <w:szCs w:val="21"/>
        </w:rPr>
      </w:pPr>
      <w:r>
        <w:rPr>
          <w:rFonts w:hint="eastAsia" w:cs="微软雅黑" w:asciiTheme="minorEastAsia" w:hAnsiTheme="minorEastAsia" w:eastAsiaTheme="minorEastAsia"/>
          <w:kern w:val="0"/>
          <w:position w:val="-2"/>
          <w:szCs w:val="21"/>
        </w:rPr>
        <w:t>注册地址：</w:t>
      </w:r>
      <w:r>
        <w:rPr>
          <w:rFonts w:hint="eastAsia" w:ascii="宋体" w:hAnsi="宋体" w:eastAsia="宋体" w:cs="Times New Roman"/>
          <w:szCs w:val="21"/>
          <w:u w:val="single"/>
        </w:rPr>
        <w:t xml:space="preserve">                 </w:t>
      </w:r>
    </w:p>
    <w:p w14:paraId="15093892">
      <w:pP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cs="微软雅黑" w:asciiTheme="minorEastAsia" w:hAnsiTheme="minorEastAsia" w:eastAsiaTheme="minorEastAsia"/>
          <w:kern w:val="0"/>
          <w:szCs w:val="21"/>
        </w:rPr>
      </w:pPr>
      <w:r>
        <w:rPr>
          <w:rFonts w:hint="eastAsia" w:cs="微软雅黑" w:asciiTheme="minorEastAsia" w:hAnsiTheme="minorEastAsia" w:eastAsiaTheme="minorEastAsia"/>
          <w:kern w:val="0"/>
          <w:position w:val="-2"/>
          <w:szCs w:val="21"/>
        </w:rPr>
        <w:t>姓名</w:t>
      </w:r>
      <w:r>
        <w:rPr>
          <w:rFonts w:hint="eastAsia" w:cs="微软雅黑" w:asciiTheme="minorEastAsia" w:hAnsiTheme="minorEastAsia" w:eastAsiaTheme="minorEastAsia"/>
          <w:spacing w:val="-2"/>
          <w:kern w:val="0"/>
          <w:position w:val="-2"/>
          <w:szCs w:val="21"/>
        </w:rPr>
        <w:t>：</w:t>
      </w:r>
      <w:r>
        <w:rPr>
          <w:rFonts w:hint="eastAsia" w:ascii="宋体" w:hAnsi="宋体" w:eastAsia="宋体" w:cs="Times New Roman"/>
          <w:szCs w:val="21"/>
          <w:u w:val="single"/>
        </w:rPr>
        <w:t xml:space="preserve">         </w:t>
      </w:r>
      <w:r>
        <w:rPr>
          <w:rFonts w:hint="eastAsia" w:cs="微软雅黑" w:asciiTheme="minorEastAsia" w:hAnsiTheme="minorEastAsia" w:eastAsiaTheme="minorEastAsia"/>
          <w:kern w:val="0"/>
          <w:position w:val="-2"/>
          <w:szCs w:val="21"/>
        </w:rPr>
        <w:t>性别</w:t>
      </w:r>
      <w:r>
        <w:rPr>
          <w:rFonts w:hint="eastAsia" w:cs="微软雅黑" w:asciiTheme="minorEastAsia" w:hAnsiTheme="minorEastAsia" w:eastAsiaTheme="minorEastAsia"/>
          <w:spacing w:val="-2"/>
          <w:kern w:val="0"/>
          <w:position w:val="-2"/>
          <w:szCs w:val="21"/>
        </w:rPr>
        <w:t>：</w:t>
      </w:r>
      <w:r>
        <w:rPr>
          <w:rFonts w:hint="eastAsia" w:ascii="宋体" w:hAnsi="宋体" w:eastAsia="宋体" w:cs="Times New Roman"/>
          <w:szCs w:val="21"/>
          <w:u w:val="single"/>
        </w:rPr>
        <w:t xml:space="preserve">         </w:t>
      </w:r>
      <w:r>
        <w:rPr>
          <w:rFonts w:hint="eastAsia" w:cs="微软雅黑" w:asciiTheme="minorEastAsia" w:hAnsiTheme="minorEastAsia" w:eastAsiaTheme="minorEastAsia"/>
          <w:kern w:val="0"/>
          <w:position w:val="-2"/>
          <w:szCs w:val="21"/>
        </w:rPr>
        <w:t>年</w:t>
      </w:r>
      <w:r>
        <w:rPr>
          <w:rFonts w:hint="eastAsia" w:cs="微软雅黑" w:asciiTheme="minorEastAsia" w:hAnsiTheme="minorEastAsia" w:eastAsiaTheme="minorEastAsia"/>
          <w:spacing w:val="-2"/>
          <w:kern w:val="0"/>
          <w:position w:val="-2"/>
          <w:szCs w:val="21"/>
        </w:rPr>
        <w:t>龄</w:t>
      </w:r>
      <w:r>
        <w:rPr>
          <w:rFonts w:hint="eastAsia" w:cs="微软雅黑" w:asciiTheme="minorEastAsia" w:hAnsiTheme="minorEastAsia" w:eastAsiaTheme="minorEastAsia"/>
          <w:kern w:val="0"/>
          <w:position w:val="-2"/>
          <w:szCs w:val="21"/>
        </w:rPr>
        <w:t>：</w:t>
      </w:r>
      <w:r>
        <w:rPr>
          <w:rFonts w:hint="eastAsia" w:ascii="宋体" w:hAnsi="宋体" w:eastAsia="宋体" w:cs="Times New Roman"/>
          <w:szCs w:val="21"/>
          <w:u w:val="single"/>
        </w:rPr>
        <w:t xml:space="preserve">         </w:t>
      </w:r>
      <w:r>
        <w:rPr>
          <w:rFonts w:hint="eastAsia" w:cs="微软雅黑" w:asciiTheme="minorEastAsia" w:hAnsiTheme="minorEastAsia" w:eastAsiaTheme="minorEastAsia"/>
          <w:kern w:val="0"/>
          <w:position w:val="-2"/>
          <w:szCs w:val="21"/>
        </w:rPr>
        <w:t>职</w:t>
      </w:r>
      <w:r>
        <w:rPr>
          <w:rFonts w:hint="eastAsia" w:cs="微软雅黑" w:asciiTheme="minorEastAsia" w:hAnsiTheme="minorEastAsia" w:eastAsiaTheme="minorEastAsia"/>
          <w:spacing w:val="-2"/>
          <w:kern w:val="0"/>
          <w:position w:val="-2"/>
          <w:szCs w:val="21"/>
        </w:rPr>
        <w:t>务</w:t>
      </w:r>
      <w:r>
        <w:rPr>
          <w:rFonts w:hint="eastAsia" w:cs="微软雅黑" w:asciiTheme="minorEastAsia" w:hAnsiTheme="minorEastAsia" w:eastAsiaTheme="minorEastAsia"/>
          <w:kern w:val="0"/>
          <w:position w:val="-2"/>
          <w:szCs w:val="21"/>
        </w:rPr>
        <w:t>：</w:t>
      </w:r>
      <w:r>
        <w:rPr>
          <w:rFonts w:hint="eastAsia" w:ascii="宋体" w:hAnsi="宋体" w:eastAsia="宋体" w:cs="Times New Roman"/>
          <w:szCs w:val="21"/>
          <w:u w:val="single"/>
        </w:rPr>
        <w:t xml:space="preserve">         </w:t>
      </w:r>
      <w:r>
        <w:rPr>
          <w:rFonts w:hint="eastAsia" w:cs="微软雅黑" w:asciiTheme="minorEastAsia" w:hAnsiTheme="minorEastAsia" w:eastAsiaTheme="minorEastAsia"/>
          <w:kern w:val="0"/>
          <w:position w:val="-2"/>
          <w:szCs w:val="21"/>
        </w:rPr>
        <w:t>系</w:t>
      </w:r>
      <w:r>
        <w:rPr>
          <w:rFonts w:hint="eastAsia" w:ascii="宋体" w:hAnsi="宋体" w:eastAsia="宋体" w:cs="Times New Roman"/>
          <w:szCs w:val="21"/>
          <w:u w:val="single"/>
        </w:rPr>
        <w:t xml:space="preserve">         </w:t>
      </w:r>
      <w:r>
        <w:rPr>
          <w:rFonts w:hint="eastAsia" w:cs="微软雅黑" w:asciiTheme="minorEastAsia" w:hAnsiTheme="minorEastAsia" w:eastAsiaTheme="minorEastAsia"/>
          <w:spacing w:val="-2"/>
          <w:kern w:val="0"/>
          <w:position w:val="-2"/>
          <w:szCs w:val="21"/>
        </w:rPr>
        <w:t>（</w:t>
      </w:r>
      <w:r>
        <w:rPr>
          <w:rFonts w:hint="eastAsia" w:cs="微软雅黑" w:asciiTheme="minorEastAsia" w:hAnsiTheme="minorEastAsia" w:eastAsiaTheme="minorEastAsia"/>
          <w:kern w:val="0"/>
          <w:position w:val="-2"/>
          <w:szCs w:val="21"/>
        </w:rPr>
        <w:t>投</w:t>
      </w:r>
      <w:r>
        <w:rPr>
          <w:rFonts w:hint="eastAsia" w:cs="微软雅黑" w:asciiTheme="minorEastAsia" w:hAnsiTheme="minorEastAsia" w:eastAsiaTheme="minorEastAsia"/>
          <w:spacing w:val="-2"/>
          <w:kern w:val="0"/>
          <w:position w:val="-2"/>
          <w:szCs w:val="21"/>
        </w:rPr>
        <w:t>标</w:t>
      </w:r>
      <w:r>
        <w:rPr>
          <w:rFonts w:hint="eastAsia" w:cs="微软雅黑" w:asciiTheme="minorEastAsia" w:hAnsiTheme="minorEastAsia" w:eastAsiaTheme="minorEastAsia"/>
          <w:kern w:val="0"/>
          <w:position w:val="-2"/>
          <w:szCs w:val="21"/>
        </w:rPr>
        <w:t>人</w:t>
      </w:r>
      <w:r>
        <w:rPr>
          <w:rFonts w:hint="eastAsia" w:cs="微软雅黑" w:asciiTheme="minorEastAsia" w:hAnsiTheme="minorEastAsia" w:eastAsiaTheme="minorEastAsia"/>
          <w:spacing w:val="-2"/>
          <w:kern w:val="0"/>
          <w:position w:val="-2"/>
          <w:szCs w:val="21"/>
        </w:rPr>
        <w:t>名</w:t>
      </w:r>
      <w:r>
        <w:rPr>
          <w:rFonts w:hint="eastAsia" w:cs="微软雅黑" w:asciiTheme="minorEastAsia" w:hAnsiTheme="minorEastAsia" w:eastAsiaTheme="minorEastAsia"/>
          <w:kern w:val="0"/>
          <w:position w:val="-2"/>
          <w:szCs w:val="21"/>
        </w:rPr>
        <w:t>称</w:t>
      </w:r>
      <w:r>
        <w:rPr>
          <w:rFonts w:hint="eastAsia" w:cs="微软雅黑" w:asciiTheme="minorEastAsia" w:hAnsiTheme="minorEastAsia" w:eastAsiaTheme="minorEastAsia"/>
          <w:spacing w:val="-2"/>
          <w:kern w:val="0"/>
          <w:position w:val="-2"/>
          <w:szCs w:val="21"/>
        </w:rPr>
        <w:t>）</w:t>
      </w:r>
      <w:r>
        <w:rPr>
          <w:rFonts w:hint="eastAsia" w:cs="微软雅黑" w:asciiTheme="minorEastAsia" w:hAnsiTheme="minorEastAsia" w:eastAsiaTheme="minorEastAsia"/>
          <w:kern w:val="0"/>
          <w:position w:val="-2"/>
          <w:szCs w:val="21"/>
        </w:rPr>
        <w:t>的</w:t>
      </w:r>
      <w:r>
        <w:rPr>
          <w:rFonts w:hint="eastAsia" w:cs="微软雅黑" w:asciiTheme="minorEastAsia" w:hAnsiTheme="minorEastAsia" w:eastAsiaTheme="minorEastAsia"/>
          <w:spacing w:val="-2"/>
          <w:kern w:val="0"/>
          <w:position w:val="-2"/>
          <w:szCs w:val="21"/>
        </w:rPr>
        <w:t>法定</w:t>
      </w:r>
      <w:r>
        <w:rPr>
          <w:rFonts w:hint="eastAsia" w:cs="微软雅黑" w:asciiTheme="minorEastAsia" w:hAnsiTheme="minorEastAsia" w:eastAsiaTheme="minorEastAsia"/>
          <w:kern w:val="0"/>
          <w:position w:val="-2"/>
          <w:szCs w:val="21"/>
        </w:rPr>
        <w:t>代表</w:t>
      </w:r>
      <w:r>
        <w:rPr>
          <w:rFonts w:hint="eastAsia" w:cs="微软雅黑" w:asciiTheme="minorEastAsia" w:hAnsiTheme="minorEastAsia" w:eastAsiaTheme="minorEastAsia"/>
          <w:spacing w:val="-2"/>
          <w:kern w:val="0"/>
          <w:position w:val="-2"/>
          <w:szCs w:val="21"/>
        </w:rPr>
        <w:t>人</w:t>
      </w:r>
      <w:r>
        <w:rPr>
          <w:rFonts w:hint="eastAsia" w:cs="微软雅黑" w:asciiTheme="minorEastAsia" w:hAnsiTheme="minorEastAsia" w:eastAsiaTheme="minorEastAsia"/>
          <w:kern w:val="0"/>
          <w:position w:val="-2"/>
          <w:szCs w:val="21"/>
        </w:rPr>
        <w:t>（</w:t>
      </w:r>
      <w:r>
        <w:rPr>
          <w:rFonts w:hint="eastAsia" w:cs="微软雅黑" w:asciiTheme="minorEastAsia" w:hAnsiTheme="minorEastAsia" w:eastAsiaTheme="minorEastAsia"/>
          <w:spacing w:val="-2"/>
          <w:kern w:val="0"/>
          <w:position w:val="-2"/>
          <w:szCs w:val="21"/>
        </w:rPr>
        <w:t>单</w:t>
      </w:r>
      <w:r>
        <w:rPr>
          <w:rFonts w:hint="eastAsia" w:cs="微软雅黑" w:asciiTheme="minorEastAsia" w:hAnsiTheme="minorEastAsia" w:eastAsiaTheme="minorEastAsia"/>
          <w:kern w:val="0"/>
          <w:position w:val="-2"/>
          <w:szCs w:val="21"/>
        </w:rPr>
        <w:t>位</w:t>
      </w:r>
      <w:r>
        <w:rPr>
          <w:rFonts w:hint="eastAsia" w:cs="微软雅黑" w:asciiTheme="minorEastAsia" w:hAnsiTheme="minorEastAsia" w:eastAsiaTheme="minorEastAsia"/>
          <w:spacing w:val="-2"/>
          <w:kern w:val="0"/>
          <w:position w:val="-2"/>
          <w:szCs w:val="21"/>
        </w:rPr>
        <w:t>负</w:t>
      </w:r>
      <w:r>
        <w:rPr>
          <w:rFonts w:hint="eastAsia" w:cs="微软雅黑" w:asciiTheme="minorEastAsia" w:hAnsiTheme="minorEastAsia" w:eastAsiaTheme="minorEastAsia"/>
          <w:kern w:val="0"/>
          <w:position w:val="-2"/>
          <w:szCs w:val="21"/>
        </w:rPr>
        <w:t>责</w:t>
      </w:r>
      <w:r>
        <w:rPr>
          <w:rFonts w:hint="eastAsia" w:cs="微软雅黑" w:asciiTheme="minorEastAsia" w:hAnsiTheme="minorEastAsia" w:eastAsiaTheme="minorEastAsia"/>
          <w:spacing w:val="-2"/>
          <w:kern w:val="0"/>
          <w:position w:val="-2"/>
          <w:szCs w:val="21"/>
        </w:rPr>
        <w:t>人</w:t>
      </w:r>
      <w:r>
        <w:rPr>
          <w:rFonts w:hint="eastAsia" w:cs="微软雅黑" w:asciiTheme="minorEastAsia" w:hAnsiTheme="minorEastAsia" w:eastAsiaTheme="minorEastAsia"/>
          <w:spacing w:val="-106"/>
          <w:kern w:val="0"/>
          <w:position w:val="-2"/>
          <w:szCs w:val="21"/>
        </w:rPr>
        <w:t>）</w:t>
      </w:r>
      <w:r>
        <w:rPr>
          <w:rFonts w:hint="eastAsia" w:cs="微软雅黑" w:asciiTheme="minorEastAsia" w:hAnsiTheme="minorEastAsia" w:eastAsiaTheme="minorEastAsia"/>
          <w:kern w:val="0"/>
          <w:position w:val="-2"/>
          <w:szCs w:val="21"/>
        </w:rPr>
        <w:t>。</w:t>
      </w:r>
    </w:p>
    <w:p w14:paraId="11725938">
      <w:pPr>
        <w:autoSpaceDE w:val="0"/>
        <w:autoSpaceDN w:val="0"/>
        <w:adjustRightInd w:val="0"/>
        <w:snapToGrid w:val="0"/>
        <w:spacing w:line="360" w:lineRule="auto"/>
        <w:ind w:left="520" w:right="-20"/>
        <w:jc w:val="left"/>
        <w:rPr>
          <w:rFonts w:cs="微软雅黑" w:asciiTheme="minorEastAsia" w:hAnsiTheme="minorEastAsia" w:eastAsiaTheme="minorEastAsia"/>
          <w:kern w:val="0"/>
          <w:szCs w:val="21"/>
        </w:rPr>
      </w:pPr>
      <w:r>
        <w:rPr>
          <w:rFonts w:hint="eastAsia" w:cs="微软雅黑" w:asciiTheme="minorEastAsia" w:hAnsiTheme="minorEastAsia" w:eastAsiaTheme="minorEastAsia"/>
          <w:kern w:val="0"/>
          <w:szCs w:val="21"/>
        </w:rPr>
        <w:t>特此</w:t>
      </w:r>
      <w:r>
        <w:rPr>
          <w:rFonts w:hint="eastAsia" w:cs="微软雅黑" w:asciiTheme="minorEastAsia" w:hAnsiTheme="minorEastAsia" w:eastAsiaTheme="minorEastAsia"/>
          <w:spacing w:val="-2"/>
          <w:kern w:val="0"/>
          <w:szCs w:val="21"/>
        </w:rPr>
        <w:t>证</w:t>
      </w:r>
      <w:r>
        <w:rPr>
          <w:rFonts w:hint="eastAsia" w:cs="微软雅黑" w:asciiTheme="minorEastAsia" w:hAnsiTheme="minorEastAsia" w:eastAsiaTheme="minorEastAsia"/>
          <w:kern w:val="0"/>
          <w:szCs w:val="21"/>
        </w:rPr>
        <w:t>明。</w:t>
      </w:r>
    </w:p>
    <w:p w14:paraId="6D4E3C67">
      <w:pPr>
        <w:autoSpaceDE w:val="0"/>
        <w:autoSpaceDN w:val="0"/>
        <w:adjustRightInd w:val="0"/>
        <w:snapToGrid w:val="0"/>
        <w:spacing w:line="360" w:lineRule="auto"/>
        <w:ind w:left="100" w:right="4231"/>
        <w:jc w:val="left"/>
        <w:rPr>
          <w:rFonts w:cs="微软雅黑" w:asciiTheme="minorEastAsia" w:hAnsiTheme="minorEastAsia" w:eastAsiaTheme="minorEastAsia"/>
          <w:kern w:val="0"/>
          <w:szCs w:val="21"/>
        </w:rPr>
      </w:pPr>
      <w:r>
        <w:rPr>
          <w:rFonts w:hint="eastAsia" w:cs="微软雅黑" w:asciiTheme="minorEastAsia" w:hAnsiTheme="minorEastAsia" w:eastAsiaTheme="minorEastAsia"/>
          <w:kern w:val="0"/>
          <w:szCs w:val="21"/>
        </w:rPr>
        <w:t>附：</w:t>
      </w: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cs="微软雅黑" w:asciiTheme="minorEastAsia" w:hAnsiTheme="minorEastAsia" w:eastAsiaTheme="minorEastAsia"/>
          <w:kern w:val="0"/>
          <w:szCs w:val="21"/>
        </w:rPr>
        <w:t>身</w:t>
      </w:r>
      <w:r>
        <w:rPr>
          <w:rFonts w:hint="eastAsia" w:cs="微软雅黑" w:asciiTheme="minorEastAsia" w:hAnsiTheme="minorEastAsia" w:eastAsiaTheme="minorEastAsia"/>
          <w:spacing w:val="-2"/>
          <w:kern w:val="0"/>
          <w:szCs w:val="21"/>
        </w:rPr>
        <w:t>份</w:t>
      </w:r>
      <w:r>
        <w:rPr>
          <w:rFonts w:hint="eastAsia" w:cs="微软雅黑" w:asciiTheme="minorEastAsia" w:hAnsiTheme="minorEastAsia" w:eastAsiaTheme="minorEastAsia"/>
          <w:kern w:val="0"/>
          <w:szCs w:val="21"/>
        </w:rPr>
        <w:t>证</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r>
        <w:rPr>
          <w:rFonts w:hint="eastAsia" w:cs="微软雅黑" w:asciiTheme="minorEastAsia" w:hAnsiTheme="minorEastAsia" w:eastAsiaTheme="minorEastAsia"/>
          <w:kern w:val="0"/>
          <w:szCs w:val="21"/>
        </w:rPr>
        <w:t>。</w:t>
      </w:r>
    </w:p>
    <w:tbl>
      <w:tblPr>
        <w:tblStyle w:val="46"/>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4716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66424026">
            <w:pPr>
              <w:adjustRightInd w:val="0"/>
              <w:snapToGrid w:val="0"/>
              <w:spacing w:line="360" w:lineRule="auto"/>
              <w:jc w:val="center"/>
              <w:rPr>
                <w:rFonts w:ascii="宋体" w:hAnsi="宋体" w:eastAsia="宋体" w:cs="Times New Roman"/>
                <w:szCs w:val="21"/>
              </w:rPr>
            </w:pPr>
            <w:r>
              <w:rPr>
                <w:rFonts w:hint="eastAsia" w:ascii="宋体" w:hAnsi="宋体" w:eastAsia="宋体" w:cs="Times New Roman"/>
                <w:szCs w:val="21"/>
              </w:rPr>
              <w:t>身份证（正面）</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p>
        </w:tc>
        <w:tc>
          <w:tcPr>
            <w:tcW w:w="3899" w:type="dxa"/>
            <w:vAlign w:val="center"/>
          </w:tcPr>
          <w:p w14:paraId="153A2E80">
            <w:pPr>
              <w:adjustRightInd w:val="0"/>
              <w:snapToGrid w:val="0"/>
              <w:spacing w:line="360" w:lineRule="auto"/>
              <w:jc w:val="center"/>
              <w:rPr>
                <w:rFonts w:ascii="宋体" w:hAnsi="宋体" w:eastAsia="宋体" w:cs="Times New Roman"/>
                <w:szCs w:val="21"/>
              </w:rPr>
            </w:pPr>
            <w:r>
              <w:rPr>
                <w:rFonts w:hint="eastAsia" w:ascii="宋体" w:hAnsi="宋体" w:eastAsia="宋体" w:cs="Times New Roman"/>
                <w:szCs w:val="21"/>
              </w:rPr>
              <w:t>身份证（反面）</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p>
        </w:tc>
      </w:tr>
    </w:tbl>
    <w:p w14:paraId="09F7D99E">
      <w:pPr>
        <w:adjustRightInd w:val="0"/>
        <w:snapToGrid w:val="0"/>
        <w:spacing w:line="360" w:lineRule="auto"/>
        <w:rPr>
          <w:rFonts w:ascii="宋体" w:hAnsi="宋体" w:eastAsia="宋体" w:cs="Times New Roman"/>
          <w:szCs w:val="21"/>
        </w:rPr>
      </w:pPr>
    </w:p>
    <w:p w14:paraId="48D313B8">
      <w:pPr>
        <w:adjustRightInd w:val="0"/>
        <w:snapToGrid w:val="0"/>
        <w:spacing w:line="360" w:lineRule="auto"/>
        <w:rPr>
          <w:rFonts w:ascii="宋体" w:hAnsi="宋体" w:eastAsia="宋体" w:cs="Times New Roman"/>
          <w:szCs w:val="21"/>
        </w:rPr>
      </w:pPr>
      <w:r>
        <w:rPr>
          <w:rFonts w:hint="eastAsia" w:ascii="宋体" w:hAnsi="宋体" w:eastAsia="宋体" w:cs="Times New Roman"/>
          <w:szCs w:val="21"/>
        </w:rPr>
        <w:t>注：投标人代表为法定代表人（单位负责人）的提供。自然人投标的无需提供。</w:t>
      </w:r>
    </w:p>
    <w:p w14:paraId="472C10CC">
      <w:pPr>
        <w:adjustRightInd w:val="0"/>
        <w:snapToGrid w:val="0"/>
        <w:spacing w:line="360" w:lineRule="auto"/>
        <w:rPr>
          <w:rFonts w:ascii="宋体" w:hAnsi="宋体" w:eastAsia="宋体" w:cs="Times New Roman"/>
          <w:szCs w:val="21"/>
        </w:rPr>
      </w:pPr>
    </w:p>
    <w:p w14:paraId="4648B208">
      <w:pPr>
        <w:adjustRightInd w:val="0"/>
        <w:snapToGrid w:val="0"/>
        <w:spacing w:line="360" w:lineRule="auto"/>
        <w:rPr>
          <w:rFonts w:ascii="宋体" w:hAnsi="宋体" w:eastAsia="宋体" w:cs="Times New Roman"/>
          <w:szCs w:val="21"/>
        </w:rPr>
      </w:pPr>
      <w:r>
        <w:rPr>
          <w:rFonts w:hint="eastAsia" w:ascii="宋体" w:hAnsi="宋体" w:eastAsia="宋体" w:cs="Times New Roman"/>
          <w:szCs w:val="21"/>
        </w:rPr>
        <w:t>投标人名称（盖单位电子章）：</w:t>
      </w:r>
      <w:r>
        <w:rPr>
          <w:rFonts w:hint="eastAsia" w:ascii="宋体" w:hAnsi="宋体" w:eastAsia="宋体" w:cs="Times New Roman"/>
          <w:szCs w:val="21"/>
          <w:u w:val="single"/>
        </w:rPr>
        <w:t xml:space="preserve">         </w:t>
      </w:r>
    </w:p>
    <w:p w14:paraId="3349C524">
      <w:pPr>
        <w:adjustRightInd w:val="0"/>
        <w:snapToGrid w:val="0"/>
        <w:spacing w:line="360" w:lineRule="auto"/>
        <w:ind w:right="420"/>
        <w:rPr>
          <w:rFonts w:ascii="宋体" w:hAnsi="宋体" w:eastAsia="宋体" w:cs="Times New Roman"/>
          <w:szCs w:val="21"/>
        </w:rPr>
      </w:pPr>
      <w:r>
        <w:rPr>
          <w:rFonts w:hint="eastAsia" w:cs="宋体" w:asciiTheme="minorEastAsia" w:hAnsiTheme="minorEastAsia" w:eastAsiaTheme="minorEastAsia"/>
          <w:szCs w:val="21"/>
        </w:rPr>
        <w:t>日期：</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w:t>
      </w:r>
    </w:p>
    <w:p w14:paraId="3CA04D41">
      <w:pPr>
        <w:adjustRightInd w:val="0"/>
        <w:snapToGrid w:val="0"/>
        <w:spacing w:line="360" w:lineRule="auto"/>
        <w:rPr>
          <w:rFonts w:ascii="Times New Roman" w:hAnsi="Times New Roman" w:eastAsia="宋体" w:cs="Times New Roman"/>
        </w:rPr>
      </w:pPr>
    </w:p>
    <w:p w14:paraId="376CAD32">
      <w:pPr>
        <w:widowControl/>
        <w:jc w:val="left"/>
        <w:rPr>
          <w:rFonts w:ascii="Times New Roman" w:hAnsi="Times New Roman" w:eastAsia="宋体" w:cs="Times New Roman"/>
        </w:rPr>
      </w:pPr>
      <w:r>
        <w:rPr>
          <w:rFonts w:ascii="Times New Roman" w:hAnsi="Times New Roman" w:eastAsia="宋体" w:cs="Times New Roman"/>
        </w:rPr>
        <w:br w:type="page"/>
      </w:r>
    </w:p>
    <w:p w14:paraId="1C67DAA1">
      <w:pPr>
        <w:keepNext/>
        <w:keepLines/>
        <w:widowControl w:val="0"/>
        <w:adjustRightInd w:val="0"/>
        <w:snapToGrid w:val="0"/>
        <w:spacing w:before="0" w:after="0" w:line="360" w:lineRule="auto"/>
        <w:jc w:val="center"/>
        <w:outlineLvl w:val="2"/>
        <w:rPr>
          <w:rFonts w:ascii="黑体" w:hAnsi="宋体" w:eastAsia="黑体" w:cs="Times New Roman"/>
          <w:b/>
          <w:bCs/>
          <w:kern w:val="2"/>
          <w:sz w:val="28"/>
          <w:szCs w:val="28"/>
          <w:lang w:val="en-US" w:eastAsia="zh-CN" w:bidi="ar-SA"/>
        </w:rPr>
      </w:pPr>
      <w:bookmarkStart w:id="130" w:name="_Toc4121"/>
      <w:bookmarkStart w:id="131" w:name="_Toc7677"/>
      <w:bookmarkStart w:id="132" w:name="_Toc31567"/>
      <w:bookmarkStart w:id="133" w:name="_Toc29913954"/>
      <w:r>
        <w:rPr>
          <w:rFonts w:hint="eastAsia" w:ascii="黑体" w:hAnsi="宋体" w:eastAsia="黑体" w:cs="Times New Roman"/>
          <w:b/>
          <w:bCs/>
          <w:kern w:val="2"/>
          <w:sz w:val="28"/>
          <w:szCs w:val="28"/>
          <w:lang w:val="en-US" w:eastAsia="zh-CN" w:bidi="ar-SA"/>
        </w:rPr>
        <w:t>三、授权委托书</w:t>
      </w:r>
      <w:bookmarkEnd w:id="130"/>
      <w:bookmarkEnd w:id="131"/>
      <w:bookmarkEnd w:id="132"/>
      <w:bookmarkEnd w:id="133"/>
    </w:p>
    <w:p w14:paraId="2D881116">
      <w:pPr>
        <w:autoSpaceDE w:val="0"/>
        <w:autoSpaceDN w:val="0"/>
        <w:adjustRightInd w:val="0"/>
        <w:snapToGrid w:val="0"/>
        <w:spacing w:line="360" w:lineRule="auto"/>
        <w:ind w:firstLine="446" w:firstLineChars="200"/>
        <w:jc w:val="left"/>
        <w:rPr>
          <w:rFonts w:ascii="宋体" w:hAnsi="宋体" w:eastAsia="宋体" w:cs="Times New Roman"/>
          <w:b/>
          <w:spacing w:val="6"/>
          <w:szCs w:val="21"/>
        </w:rPr>
      </w:pPr>
    </w:p>
    <w:p w14:paraId="0BF13441">
      <w:pPr>
        <w:autoSpaceDE w:val="0"/>
        <w:autoSpaceDN w:val="0"/>
        <w:adjustRightInd w:val="0"/>
        <w:snapToGrid w:val="0"/>
        <w:spacing w:line="360" w:lineRule="auto"/>
        <w:ind w:firstLine="420" w:firstLineChars="200"/>
        <w:jc w:val="left"/>
        <w:rPr>
          <w:rFonts w:ascii="宋体" w:hAnsi="宋体" w:eastAsia="宋体" w:cs="宋体"/>
          <w:kern w:val="0"/>
          <w:szCs w:val="21"/>
        </w:rPr>
      </w:pPr>
    </w:p>
    <w:p w14:paraId="78F499B1">
      <w:pPr>
        <w:autoSpaceDE w:val="0"/>
        <w:autoSpaceDN w:val="0"/>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本人</w:t>
      </w:r>
      <w:r>
        <w:rPr>
          <w:rFonts w:hint="eastAsia" w:ascii="宋体" w:hAnsi="宋体" w:eastAsia="宋体" w:cs="宋体"/>
          <w:kern w:val="0"/>
          <w:szCs w:val="21"/>
          <w:u w:val="single"/>
        </w:rPr>
        <w:t xml:space="preserve">          </w:t>
      </w:r>
      <w:r>
        <w:rPr>
          <w:rFonts w:hint="eastAsia" w:ascii="宋体" w:hAnsi="宋体" w:eastAsia="宋体" w:cs="宋体"/>
          <w:kern w:val="0"/>
          <w:szCs w:val="21"/>
        </w:rPr>
        <w:t>（姓名、职务）系</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r>
        <w:rPr>
          <w:rFonts w:hint="eastAsia" w:ascii="宋体" w:hAnsi="宋体" w:eastAsia="宋体" w:cs="Times New Roman"/>
          <w:szCs w:val="21"/>
        </w:rPr>
        <w:t>投标人</w:t>
      </w:r>
      <w:r>
        <w:rPr>
          <w:rFonts w:hint="eastAsia" w:ascii="宋体" w:hAnsi="宋体" w:eastAsia="宋体" w:cs="宋体"/>
          <w:kern w:val="0"/>
          <w:szCs w:val="21"/>
        </w:rPr>
        <w:t>名称）的法定代表人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eastAsia="宋体" w:cs="宋体"/>
          <w:kern w:val="0"/>
          <w:szCs w:val="21"/>
        </w:rPr>
        <w:t>，现授权</w:t>
      </w:r>
      <w:r>
        <w:rPr>
          <w:rFonts w:hint="eastAsia" w:ascii="宋体" w:hAnsi="宋体" w:eastAsia="宋体" w:cs="宋体"/>
          <w:kern w:val="0"/>
          <w:szCs w:val="21"/>
          <w:u w:val="single"/>
        </w:rPr>
        <w:t xml:space="preserve">          </w:t>
      </w:r>
      <w:r>
        <w:rPr>
          <w:rFonts w:hint="eastAsia" w:ascii="宋体" w:hAnsi="宋体" w:eastAsia="宋体" w:cs="宋体"/>
          <w:kern w:val="0"/>
          <w:szCs w:val="21"/>
        </w:rPr>
        <w:t>（姓名、职务）为我方代理人。代理人根据授权，以我方名义签署、澄清、说明、补正、递交、撤回、修改</w:t>
      </w:r>
      <w:r>
        <w:rPr>
          <w:rFonts w:hint="eastAsia" w:ascii="宋体" w:hAnsi="宋体" w:eastAsia="宋体" w:cs="宋体"/>
          <w:kern w:val="0"/>
          <w:szCs w:val="21"/>
          <w:u w:val="single"/>
        </w:rPr>
        <w:t xml:space="preserve">              </w:t>
      </w:r>
      <w:r>
        <w:rPr>
          <w:rFonts w:hint="eastAsia" w:ascii="宋体" w:hAnsi="宋体" w:eastAsia="宋体" w:cs="宋体"/>
          <w:kern w:val="0"/>
          <w:szCs w:val="21"/>
        </w:rPr>
        <w:t>（项目名称</w:t>
      </w:r>
      <w:r>
        <w:rPr>
          <w:rFonts w:ascii="宋体" w:hAnsi="宋体" w:eastAsia="宋体" w:cs="宋体"/>
          <w:kern w:val="0"/>
          <w:szCs w:val="21"/>
        </w:rPr>
        <w:t>）</w:t>
      </w:r>
      <w:r>
        <w:rPr>
          <w:rFonts w:hint="eastAsia" w:ascii="宋体" w:hAnsi="宋体" w:eastAsia="宋体" w:cs="宋体"/>
          <w:kern w:val="0"/>
          <w:szCs w:val="21"/>
        </w:rPr>
        <w:t>（</w:t>
      </w:r>
      <w:r>
        <w:rPr>
          <w:rFonts w:hint="eastAsia" w:cs="Times New Roman" w:asciiTheme="minorEastAsia" w:hAnsiTheme="minorEastAsia" w:eastAsiaTheme="minorEastAsia"/>
        </w:rPr>
        <w:t>政府</w:t>
      </w:r>
      <w:r>
        <w:rPr>
          <w:rFonts w:hint="eastAsia" w:cs="Times New Roman" w:asciiTheme="minorEastAsia" w:hAnsiTheme="minorEastAsia" w:eastAsiaTheme="minorEastAsia"/>
          <w:iCs/>
        </w:rPr>
        <w:t>采购编号：</w:t>
      </w:r>
      <w:r>
        <w:rPr>
          <w:rFonts w:hint="eastAsia" w:cs="Times New Roman" w:asciiTheme="minorEastAsia" w:hAnsiTheme="minorEastAsia" w:eastAsiaTheme="minorEastAsia"/>
          <w:iCs/>
          <w:u w:val="single"/>
        </w:rPr>
        <w:t xml:space="preserve">      </w:t>
      </w:r>
      <w:r>
        <w:rPr>
          <w:rFonts w:hint="eastAsia" w:cs="Times New Roman" w:asciiTheme="minorEastAsia" w:hAnsiTheme="minorEastAsia" w:eastAsiaTheme="minorEastAsia"/>
          <w:iCs/>
        </w:rPr>
        <w:t xml:space="preserve"> ，</w:t>
      </w:r>
      <w:r>
        <w:rPr>
          <w:rFonts w:hint="eastAsia" w:ascii="宋体" w:hAnsi="宋体" w:eastAsia="宋体" w:cs="宋体"/>
          <w:kern w:val="0"/>
          <w:szCs w:val="21"/>
        </w:rPr>
        <w:t>采购代理编号：</w:t>
      </w:r>
      <w:r>
        <w:rPr>
          <w:rFonts w:hint="eastAsia" w:ascii="宋体" w:hAnsi="宋体" w:eastAsia="宋体" w:cs="宋体"/>
          <w:kern w:val="0"/>
          <w:szCs w:val="21"/>
          <w:u w:val="single"/>
        </w:rPr>
        <w:t xml:space="preserve">       </w:t>
      </w:r>
      <w:r>
        <w:rPr>
          <w:rFonts w:hint="eastAsia" w:ascii="宋体" w:hAnsi="宋体" w:eastAsia="宋体" w:cs="宋体"/>
          <w:kern w:val="0"/>
          <w:szCs w:val="21"/>
        </w:rPr>
        <w:t>）投标文件、签订合同和处理有关事宜，其法律后果由我方承担。</w:t>
      </w:r>
    </w:p>
    <w:p w14:paraId="454328CC">
      <w:pPr>
        <w:autoSpaceDE w:val="0"/>
        <w:autoSpaceDN w:val="0"/>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委托期限：</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p>
    <w:p w14:paraId="0F11E1B4">
      <w:pPr>
        <w:adjustRightInd w:val="0"/>
        <w:snapToGrid w:val="0"/>
        <w:spacing w:line="360" w:lineRule="auto"/>
        <w:ind w:firstLine="435"/>
        <w:rPr>
          <w:rFonts w:ascii="宋体" w:hAnsi="宋体" w:eastAsia="宋体" w:cs="宋体"/>
          <w:kern w:val="0"/>
          <w:szCs w:val="21"/>
        </w:rPr>
      </w:pPr>
      <w:r>
        <w:rPr>
          <w:rFonts w:hint="eastAsia" w:ascii="宋体" w:hAnsi="宋体" w:eastAsia="宋体" w:cs="宋体"/>
          <w:kern w:val="0"/>
          <w:szCs w:val="21"/>
        </w:rPr>
        <w:t>代理人无转委托权。</w:t>
      </w:r>
    </w:p>
    <w:p w14:paraId="60CB2094">
      <w:pPr>
        <w:adjustRightInd w:val="0"/>
        <w:snapToGrid w:val="0"/>
        <w:spacing w:line="360" w:lineRule="auto"/>
        <w:ind w:firstLine="435"/>
        <w:rPr>
          <w:rFonts w:cs="微软雅黑" w:asciiTheme="minorEastAsia" w:hAnsiTheme="minorEastAsia" w:eastAsiaTheme="minorEastAsia"/>
          <w:kern w:val="0"/>
          <w:szCs w:val="21"/>
        </w:rPr>
      </w:pPr>
      <w:r>
        <w:rPr>
          <w:rFonts w:hint="eastAsia" w:ascii="宋体" w:hAnsi="宋体" w:eastAsia="宋体" w:cs="Times New Roman"/>
          <w:szCs w:val="21"/>
        </w:rPr>
        <w:t>本授权书于</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日签字生效，特此声明。</w:t>
      </w:r>
    </w:p>
    <w:tbl>
      <w:tblPr>
        <w:tblStyle w:val="46"/>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24CDE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60316622">
            <w:pPr>
              <w:adjustRightInd w:val="0"/>
              <w:snapToGrid w:val="0"/>
              <w:spacing w:line="360" w:lineRule="auto"/>
              <w:jc w:val="center"/>
              <w:rPr>
                <w:rFonts w:ascii="宋体" w:hAnsi="宋体" w:eastAsia="宋体" w:cs="Times New Roman"/>
                <w:szCs w:val="21"/>
              </w:rPr>
            </w:pPr>
            <w:r>
              <w:rPr>
                <w:rFonts w:hint="eastAsia" w:ascii="宋体" w:hAnsi="宋体" w:eastAsia="宋体" w:cs="Times New Roman"/>
                <w:szCs w:val="21"/>
              </w:rPr>
              <w:t>身份证（正面）</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p>
        </w:tc>
        <w:tc>
          <w:tcPr>
            <w:tcW w:w="3899" w:type="dxa"/>
            <w:vAlign w:val="center"/>
          </w:tcPr>
          <w:p w14:paraId="160226A4">
            <w:pPr>
              <w:adjustRightInd w:val="0"/>
              <w:snapToGrid w:val="0"/>
              <w:spacing w:line="360" w:lineRule="auto"/>
              <w:jc w:val="center"/>
              <w:rPr>
                <w:rFonts w:ascii="宋体" w:hAnsi="宋体" w:eastAsia="宋体" w:cs="Times New Roman"/>
                <w:szCs w:val="21"/>
              </w:rPr>
            </w:pPr>
            <w:r>
              <w:rPr>
                <w:rFonts w:hint="eastAsia" w:ascii="宋体" w:hAnsi="宋体" w:eastAsia="宋体" w:cs="Times New Roman"/>
                <w:szCs w:val="21"/>
              </w:rPr>
              <w:t>身份证（反面）</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p>
        </w:tc>
      </w:tr>
    </w:tbl>
    <w:p w14:paraId="6AE3AD97">
      <w:pPr>
        <w:adjustRightInd w:val="0"/>
        <w:snapToGrid w:val="0"/>
        <w:spacing w:line="360" w:lineRule="auto"/>
        <w:ind w:firstLine="420" w:firstLineChars="200"/>
        <w:rPr>
          <w:rFonts w:ascii="宋体" w:hAnsi="宋体" w:eastAsia="宋体" w:cs="Times New Roman"/>
          <w:szCs w:val="21"/>
        </w:rPr>
      </w:pPr>
    </w:p>
    <w:p w14:paraId="11F068BF">
      <w:pPr>
        <w:adjustRightInd w:val="0"/>
        <w:snapToGrid w:val="0"/>
        <w:spacing w:line="360" w:lineRule="auto"/>
        <w:ind w:firstLine="420" w:firstLineChars="200"/>
        <w:rPr>
          <w:rFonts w:ascii="宋体" w:hAnsi="宋体" w:eastAsia="宋体" w:cs="Times New Roman"/>
          <w:szCs w:val="21"/>
        </w:rPr>
      </w:pPr>
    </w:p>
    <w:p w14:paraId="1745E796">
      <w:pPr>
        <w:adjustRightInd w:val="0"/>
        <w:snapToGrid w:val="0"/>
        <w:spacing w:line="360" w:lineRule="auto"/>
        <w:rPr>
          <w:rFonts w:ascii="宋体" w:hAnsi="宋体" w:eastAsia="宋体" w:cs="Times New Roman"/>
          <w:szCs w:val="21"/>
        </w:rPr>
      </w:pPr>
      <w:r>
        <w:rPr>
          <w:rFonts w:hint="eastAsia" w:ascii="宋体" w:hAnsi="宋体" w:eastAsia="宋体" w:cs="Times New Roman"/>
          <w:szCs w:val="21"/>
        </w:rPr>
        <w:t>注：投标人代表不是投标人的法定代表人（单位负责人）的提供。自然人投标的无需提供。</w:t>
      </w:r>
    </w:p>
    <w:p w14:paraId="18E325AF">
      <w:pPr>
        <w:adjustRightInd w:val="0"/>
        <w:snapToGrid w:val="0"/>
        <w:spacing w:line="360" w:lineRule="auto"/>
        <w:ind w:firstLine="420" w:firstLineChars="200"/>
        <w:rPr>
          <w:rFonts w:ascii="宋体" w:hAnsi="宋体" w:eastAsia="宋体" w:cs="Times New Roman"/>
          <w:szCs w:val="21"/>
        </w:rPr>
      </w:pPr>
    </w:p>
    <w:p w14:paraId="7FE65BA4">
      <w:pPr>
        <w:adjustRightInd w:val="0"/>
        <w:snapToGrid w:val="0"/>
        <w:spacing w:line="360" w:lineRule="auto"/>
        <w:ind w:firstLine="420" w:firstLineChars="200"/>
        <w:rPr>
          <w:rFonts w:ascii="宋体" w:hAnsi="宋体" w:eastAsia="宋体" w:cs="Times New Roman"/>
          <w:szCs w:val="21"/>
        </w:rPr>
      </w:pPr>
    </w:p>
    <w:p w14:paraId="7E302ECC">
      <w:pPr>
        <w:adjustRightInd w:val="0"/>
        <w:snapToGrid w:val="0"/>
        <w:spacing w:line="360" w:lineRule="auto"/>
        <w:rPr>
          <w:rFonts w:ascii="宋体" w:hAnsi="宋体" w:eastAsia="宋体" w:cs="Times New Roman"/>
          <w:szCs w:val="21"/>
        </w:rPr>
      </w:pPr>
      <w:r>
        <w:rPr>
          <w:rFonts w:hint="eastAsia" w:ascii="宋体" w:hAnsi="宋体" w:eastAsia="宋体" w:cs="Times New Roman"/>
          <w:szCs w:val="21"/>
        </w:rPr>
        <w:t>投标人名称（盖单位电子章）：</w:t>
      </w:r>
    </w:p>
    <w:p w14:paraId="53D25F86">
      <w:pPr>
        <w:adjustRightInd w:val="0"/>
        <w:snapToGrid w:val="0"/>
        <w:spacing w:line="360" w:lineRule="auto"/>
        <w:ind w:right="420"/>
        <w:rPr>
          <w:rFonts w:ascii="宋体" w:hAnsi="宋体" w:eastAsia="宋体" w:cs="Times New Roman"/>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eastAsia="宋体" w:cs="Times New Roman"/>
          <w:szCs w:val="21"/>
          <w:lang w:eastAsia="zh-CN"/>
        </w:rPr>
        <w:t>（签字或签章）</w:t>
      </w:r>
      <w:r>
        <w:rPr>
          <w:rFonts w:hint="eastAsia" w:ascii="宋体" w:hAnsi="宋体" w:eastAsia="宋体" w:cs="Times New Roman"/>
          <w:szCs w:val="21"/>
        </w:rPr>
        <w:t>：</w:t>
      </w:r>
      <w:r>
        <w:rPr>
          <w:rFonts w:hint="eastAsia" w:ascii="宋体" w:hAnsi="宋体" w:eastAsia="宋体" w:cs="Times New Roman"/>
          <w:szCs w:val="21"/>
          <w:u w:val="single"/>
        </w:rPr>
        <w:t xml:space="preserve">                     </w:t>
      </w:r>
    </w:p>
    <w:p w14:paraId="454802ED">
      <w:pPr>
        <w:adjustRightInd w:val="0"/>
        <w:snapToGrid w:val="0"/>
        <w:spacing w:line="360" w:lineRule="auto"/>
        <w:ind w:right="420"/>
        <w:rPr>
          <w:rFonts w:ascii="宋体" w:hAnsi="宋体" w:eastAsia="宋体" w:cs="Times New Roman"/>
          <w:szCs w:val="21"/>
        </w:rPr>
      </w:pPr>
      <w:r>
        <w:rPr>
          <w:rFonts w:hint="eastAsia" w:ascii="宋体" w:hAnsi="宋体" w:eastAsia="宋体" w:cs="Times New Roman"/>
          <w:szCs w:val="21"/>
        </w:rPr>
        <w:t>委托代理人</w:t>
      </w:r>
      <w:r>
        <w:rPr>
          <w:rFonts w:hint="eastAsia" w:ascii="宋体" w:hAnsi="宋体" w:eastAsia="宋体" w:cs="Times New Roman"/>
          <w:szCs w:val="21"/>
          <w:lang w:eastAsia="zh-CN"/>
        </w:rPr>
        <w:t>（签字或签章）</w:t>
      </w:r>
      <w:r>
        <w:rPr>
          <w:rFonts w:hint="eastAsia" w:ascii="宋体" w:hAnsi="宋体" w:eastAsia="宋体" w:cs="Times New Roman"/>
          <w:szCs w:val="21"/>
        </w:rPr>
        <w:t>：</w:t>
      </w:r>
      <w:r>
        <w:rPr>
          <w:rFonts w:hint="eastAsia" w:ascii="宋体" w:hAnsi="宋体" w:eastAsia="宋体" w:cs="Times New Roman"/>
          <w:szCs w:val="21"/>
          <w:u w:val="single"/>
        </w:rPr>
        <w:t xml:space="preserve">                     </w:t>
      </w:r>
    </w:p>
    <w:p w14:paraId="0BC889DE">
      <w:pPr>
        <w:adjustRightInd w:val="0"/>
        <w:snapToGrid w:val="0"/>
        <w:spacing w:line="360" w:lineRule="auto"/>
        <w:ind w:right="420"/>
        <w:rPr>
          <w:rFonts w:ascii="宋体" w:hAnsi="宋体" w:eastAsia="宋体" w:cs="Times New Roman"/>
          <w:szCs w:val="21"/>
        </w:rPr>
      </w:pPr>
      <w:r>
        <w:rPr>
          <w:rFonts w:hint="eastAsia" w:cs="宋体" w:asciiTheme="minorEastAsia" w:hAnsiTheme="minorEastAsia" w:eastAsiaTheme="minorEastAsia"/>
          <w:szCs w:val="21"/>
        </w:rPr>
        <w:t>日期：</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w:t>
      </w:r>
    </w:p>
    <w:p w14:paraId="55B1A2B2">
      <w:pPr>
        <w:adjustRightInd w:val="0"/>
        <w:snapToGrid w:val="0"/>
        <w:spacing w:line="360" w:lineRule="auto"/>
        <w:jc w:val="left"/>
        <w:rPr>
          <w:rFonts w:ascii="黑体" w:hAnsi="黑体" w:eastAsia="黑体" w:cs="Times New Roman"/>
          <w:bCs/>
          <w:sz w:val="28"/>
          <w:szCs w:val="28"/>
        </w:rPr>
      </w:pPr>
      <w:r>
        <w:rPr>
          <w:rFonts w:ascii="黑体" w:hAnsi="黑体" w:eastAsia="黑体" w:cs="Times New Roman"/>
          <w:bCs/>
          <w:sz w:val="28"/>
          <w:szCs w:val="28"/>
        </w:rPr>
        <w:br w:type="page"/>
      </w:r>
    </w:p>
    <w:p w14:paraId="40D26444">
      <w:pPr>
        <w:pStyle w:val="4"/>
        <w:adjustRightInd w:val="0"/>
        <w:snapToGrid w:val="0"/>
        <w:spacing w:before="0" w:after="0" w:line="360" w:lineRule="auto"/>
        <w:jc w:val="center"/>
        <w:rPr>
          <w:rFonts w:ascii="黑体" w:hAnsi="宋体" w:eastAsia="黑体"/>
          <w:sz w:val="28"/>
          <w:szCs w:val="28"/>
          <w:highlight w:val="none"/>
        </w:rPr>
      </w:pPr>
      <w:bookmarkStart w:id="134" w:name="_Toc24052"/>
      <w:r>
        <w:rPr>
          <w:rFonts w:hint="eastAsia" w:ascii="黑体" w:hAnsi="宋体" w:eastAsia="黑体"/>
          <w:sz w:val="28"/>
          <w:szCs w:val="28"/>
          <w:highlight w:val="none"/>
        </w:rPr>
        <w:t>四、投标人提供的资格证明文件</w:t>
      </w:r>
      <w:bookmarkEnd w:id="129"/>
      <w:bookmarkEnd w:id="134"/>
      <w:bookmarkStart w:id="135" w:name="_Toc294186060"/>
      <w:bookmarkStart w:id="136" w:name="_Toc294206743"/>
    </w:p>
    <w:p w14:paraId="59EC5383">
      <w:pPr>
        <w:pStyle w:val="23"/>
        <w:adjustRightInd w:val="0"/>
        <w:snapToGrid w:val="0"/>
        <w:spacing w:line="360" w:lineRule="auto"/>
        <w:jc w:val="center"/>
        <w:rPr>
          <w:rFonts w:hAnsi="宋体" w:cs="Times New Roman"/>
          <w:b/>
          <w:bCs/>
          <w:sz w:val="24"/>
          <w:szCs w:val="24"/>
          <w:highlight w:val="none"/>
        </w:rPr>
      </w:pPr>
    </w:p>
    <w:p w14:paraId="2C8505C6">
      <w:pPr>
        <w:pStyle w:val="23"/>
        <w:adjustRightInd w:val="0"/>
        <w:snapToGrid w:val="0"/>
        <w:spacing w:line="360" w:lineRule="auto"/>
        <w:jc w:val="center"/>
        <w:rPr>
          <w:rFonts w:ascii="黑体" w:hAnsi="黑体" w:eastAsia="黑体" w:cs="Times New Roman"/>
          <w:b/>
          <w:bCs/>
          <w:sz w:val="28"/>
          <w:szCs w:val="28"/>
          <w:highlight w:val="none"/>
        </w:rPr>
      </w:pPr>
      <w:r>
        <w:rPr>
          <w:rFonts w:hint="eastAsia" w:ascii="黑体" w:hAnsi="黑体" w:eastAsia="黑体" w:cs="Times New Roman"/>
          <w:b/>
          <w:bCs/>
          <w:sz w:val="28"/>
          <w:szCs w:val="28"/>
          <w:highlight w:val="none"/>
        </w:rPr>
        <w:t>须  知</w:t>
      </w:r>
    </w:p>
    <w:p w14:paraId="25004605">
      <w:pPr>
        <w:tabs>
          <w:tab w:val="left" w:pos="4725"/>
        </w:tabs>
        <w:adjustRightInd w:val="0"/>
        <w:snapToGrid w:val="0"/>
        <w:spacing w:beforeLines="50" w:line="360" w:lineRule="auto"/>
        <w:ind w:firstLine="422" w:firstLineChars="200"/>
        <w:rPr>
          <w:rFonts w:ascii="宋体" w:hAnsi="宋体"/>
          <w:b/>
          <w:bCs/>
          <w:szCs w:val="21"/>
          <w:highlight w:val="none"/>
        </w:rPr>
      </w:pPr>
      <w:r>
        <w:rPr>
          <w:rFonts w:hint="eastAsia" w:ascii="宋体" w:hAnsi="宋体"/>
          <w:b/>
          <w:szCs w:val="21"/>
          <w:highlight w:val="none"/>
        </w:rPr>
        <w:t>1、投标人</w:t>
      </w:r>
      <w:r>
        <w:rPr>
          <w:rFonts w:hint="eastAsia" w:ascii="宋体" w:hAnsi="宋体"/>
          <w:b/>
          <w:bCs/>
          <w:szCs w:val="21"/>
          <w:highlight w:val="none"/>
        </w:rPr>
        <w:t>应按第二章第15.1款要求提供下列的证明材料</w:t>
      </w:r>
    </w:p>
    <w:p w14:paraId="5940FF1E">
      <w:pPr>
        <w:tabs>
          <w:tab w:val="left" w:pos="4725"/>
        </w:tabs>
        <w:adjustRightInd w:val="0"/>
        <w:snapToGrid w:val="0"/>
        <w:spacing w:beforeLines="50" w:line="360" w:lineRule="auto"/>
        <w:ind w:firstLine="735" w:firstLineChars="35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附件4-1投标人资格声明(格式)</w:t>
      </w:r>
    </w:p>
    <w:p w14:paraId="60865F94">
      <w:pPr>
        <w:tabs>
          <w:tab w:val="left" w:pos="4725"/>
        </w:tabs>
        <w:adjustRightInd w:val="0"/>
        <w:snapToGrid w:val="0"/>
        <w:spacing w:beforeLines="50" w:line="360" w:lineRule="auto"/>
        <w:ind w:firstLine="735" w:firstLineChars="35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附件4-2 法人或者其他组织的营业执照等主体资格证明文件，自然人的身份证明</w:t>
      </w:r>
    </w:p>
    <w:p w14:paraId="2C12ED0A">
      <w:pPr>
        <w:tabs>
          <w:tab w:val="left" w:pos="4725"/>
        </w:tabs>
        <w:adjustRightInd w:val="0"/>
        <w:snapToGrid w:val="0"/>
        <w:spacing w:beforeLines="50" w:line="360" w:lineRule="auto"/>
        <w:ind w:firstLine="735" w:firstLineChars="35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附件4-3 符合特定资格条件证明材料复印件或者情况说明</w:t>
      </w:r>
    </w:p>
    <w:p w14:paraId="016D33D0">
      <w:pPr>
        <w:tabs>
          <w:tab w:val="left" w:pos="4725"/>
        </w:tabs>
        <w:adjustRightInd w:val="0"/>
        <w:snapToGrid w:val="0"/>
        <w:spacing w:beforeLines="50" w:line="360" w:lineRule="auto"/>
        <w:ind w:firstLine="735" w:firstLineChars="35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附件4-4 联合体协议书（格式）（联合体形式投标的提供）</w:t>
      </w:r>
    </w:p>
    <w:p w14:paraId="054AE6E3">
      <w:pPr>
        <w:tabs>
          <w:tab w:val="left" w:pos="4725"/>
        </w:tabs>
        <w:adjustRightInd w:val="0"/>
        <w:snapToGrid w:val="0"/>
        <w:spacing w:beforeLines="50" w:line="360" w:lineRule="auto"/>
        <w:ind w:firstLine="735" w:firstLineChars="35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附件4-5：通过“信用中国”网站、中国政府采购网站、“信用湖南”网站、湖南省政府采购网站和“信用郴州”网站查询的不良信用记录查询网上截图打印件。</w:t>
      </w:r>
    </w:p>
    <w:p w14:paraId="105B67BA">
      <w:pPr>
        <w:tabs>
          <w:tab w:val="left" w:pos="4725"/>
        </w:tabs>
        <w:adjustRightInd w:val="0"/>
        <w:snapToGrid w:val="0"/>
        <w:spacing w:beforeLines="50" w:line="360" w:lineRule="auto"/>
        <w:ind w:firstLine="735" w:firstLineChars="350"/>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附件4-6：湖南省政府采购供应商资格承诺函</w:t>
      </w:r>
    </w:p>
    <w:p w14:paraId="29CCC772">
      <w:pPr>
        <w:tabs>
          <w:tab w:val="left" w:pos="4725"/>
        </w:tabs>
        <w:adjustRightInd w:val="0"/>
        <w:snapToGrid w:val="0"/>
        <w:spacing w:beforeLines="50" w:line="360" w:lineRule="auto"/>
        <w:ind w:firstLine="420" w:firstLineChars="200"/>
        <w:rPr>
          <w:rFonts w:cs="宋体" w:asciiTheme="minorEastAsia" w:hAnsiTheme="minorEastAsia" w:eastAsiaTheme="minorEastAsia"/>
          <w:szCs w:val="21"/>
          <w:highlight w:val="none"/>
        </w:rPr>
      </w:pPr>
      <w:r>
        <w:rPr>
          <w:rFonts w:hint="eastAsia" w:asciiTheme="minorEastAsia" w:hAnsiTheme="minorEastAsia" w:eastAsiaTheme="minorEastAsia"/>
          <w:szCs w:val="21"/>
          <w:highlight w:val="none"/>
        </w:rPr>
        <w:t>2、</w:t>
      </w:r>
      <w:r>
        <w:rPr>
          <w:rFonts w:hint="eastAsia" w:cs="宋体" w:asciiTheme="minorEastAsia" w:hAnsiTheme="minorEastAsia" w:eastAsiaTheme="minorEastAsia"/>
          <w:szCs w:val="21"/>
          <w:highlight w:val="none"/>
        </w:rPr>
        <w:t>投标人以联合体形式投标的，除应提交联合协议书(本节附4-4)外，参加联合体的各方均应提交上款资格证明材料。</w:t>
      </w:r>
    </w:p>
    <w:p w14:paraId="49A04982">
      <w:pPr>
        <w:tabs>
          <w:tab w:val="left" w:pos="4725"/>
        </w:tabs>
        <w:adjustRightInd w:val="0"/>
        <w:snapToGrid w:val="0"/>
        <w:spacing w:line="360" w:lineRule="auto"/>
        <w:rPr>
          <w:rFonts w:cs="宋体" w:asciiTheme="minorEastAsia" w:hAnsiTheme="minorEastAsia" w:eastAsiaTheme="minorEastAsia"/>
          <w:szCs w:val="21"/>
          <w:highlight w:val="none"/>
        </w:rPr>
      </w:pPr>
    </w:p>
    <w:p w14:paraId="24EEC0DB">
      <w:pPr>
        <w:widowControl/>
        <w:adjustRightInd w:val="0"/>
        <w:snapToGrid w:val="0"/>
        <w:spacing w:line="360" w:lineRule="auto"/>
        <w:jc w:val="left"/>
        <w:rPr>
          <w:rFonts w:ascii="黑体" w:hAnsi="仿宋" w:eastAsia="黑体" w:cs="宋体"/>
          <w:szCs w:val="21"/>
          <w:highlight w:val="none"/>
        </w:rPr>
      </w:pPr>
      <w:r>
        <w:rPr>
          <w:rFonts w:ascii="黑体" w:hAnsi="仿宋" w:eastAsia="黑体" w:cs="宋体"/>
          <w:szCs w:val="21"/>
          <w:highlight w:val="none"/>
        </w:rPr>
        <w:br w:type="page"/>
      </w:r>
    </w:p>
    <w:p w14:paraId="227096BD">
      <w:pPr>
        <w:pStyle w:val="5"/>
        <w:adjustRightInd w:val="0"/>
        <w:snapToGrid w:val="0"/>
        <w:spacing w:beforeLines="50" w:after="0" w:line="360" w:lineRule="auto"/>
        <w:rPr>
          <w:rFonts w:ascii="黑体" w:hAnsi="仿宋" w:cs="宋体"/>
          <w:b w:val="0"/>
          <w:sz w:val="21"/>
          <w:szCs w:val="21"/>
          <w:highlight w:val="none"/>
        </w:rPr>
      </w:pPr>
      <w:bookmarkStart w:id="137" w:name="_Toc23696"/>
      <w:bookmarkStart w:id="138" w:name="_Toc8983766"/>
      <w:r>
        <w:rPr>
          <w:rFonts w:hint="eastAsia" w:ascii="黑体" w:hAnsi="仿宋" w:cs="宋体"/>
          <w:b w:val="0"/>
          <w:sz w:val="21"/>
          <w:szCs w:val="21"/>
          <w:highlight w:val="none"/>
        </w:rPr>
        <w:t>附件4-1投标人资格声明(格式)</w:t>
      </w:r>
      <w:bookmarkEnd w:id="137"/>
      <w:bookmarkEnd w:id="138"/>
    </w:p>
    <w:p w14:paraId="4BB4C262">
      <w:pPr>
        <w:widowControl/>
        <w:adjustRightInd w:val="0"/>
        <w:snapToGrid w:val="0"/>
        <w:spacing w:beforeLines="50" w:line="360" w:lineRule="auto"/>
        <w:jc w:val="center"/>
        <w:rPr>
          <w:rFonts w:cs="宋体" w:asciiTheme="minorEastAsia" w:hAnsiTheme="minorEastAsia" w:eastAsiaTheme="minorEastAsia"/>
          <w:szCs w:val="21"/>
          <w:highlight w:val="none"/>
        </w:rPr>
      </w:pPr>
      <w:r>
        <w:rPr>
          <w:rFonts w:hint="eastAsia" w:ascii="黑体" w:hAnsi="仿宋" w:eastAsia="黑体" w:cs="宋体"/>
          <w:b/>
          <w:sz w:val="28"/>
          <w:szCs w:val="28"/>
          <w:highlight w:val="none"/>
        </w:rPr>
        <w:t>投标人资格声明(格式)</w:t>
      </w:r>
    </w:p>
    <w:p w14:paraId="2EFE3051">
      <w:pPr>
        <w:widowControl/>
        <w:adjustRightInd w:val="0"/>
        <w:snapToGrid w:val="0"/>
        <w:spacing w:beforeLines="50" w:line="360" w:lineRule="auto"/>
        <w:jc w:val="left"/>
        <w:rPr>
          <w:rFonts w:ascii="宋体" w:hAnsi="宋体" w:cs="宋体"/>
          <w:kern w:val="0"/>
          <w:szCs w:val="21"/>
          <w:highlight w:val="none"/>
        </w:rPr>
      </w:pPr>
      <w:r>
        <w:rPr>
          <w:rFonts w:hint="eastAsia" w:ascii="宋体" w:hAnsi="宋体" w:cs="宋体"/>
          <w:szCs w:val="21"/>
          <w:highlight w:val="none"/>
        </w:rPr>
        <w:t>致(采购人或者采购代理机构)：</w:t>
      </w:r>
    </w:p>
    <w:p w14:paraId="049FD9DD">
      <w:pPr>
        <w:widowControl/>
        <w:adjustRightInd w:val="0"/>
        <w:snapToGrid w:val="0"/>
        <w:spacing w:line="440" w:lineRule="exact"/>
        <w:ind w:firstLine="420" w:firstLineChars="200"/>
        <w:jc w:val="left"/>
        <w:rPr>
          <w:rFonts w:ascii="宋体"/>
          <w:kern w:val="0"/>
          <w:highlight w:val="none"/>
        </w:rPr>
      </w:pPr>
      <w:r>
        <w:rPr>
          <w:rFonts w:hint="eastAsia" w:ascii="宋体" w:hAnsi="宋体" w:cs="宋体"/>
          <w:highlight w:val="none"/>
        </w:rPr>
        <w:t>按照《中华人民共和国政府采购法》第二十二条和招标文件的规定，我单位郑重声明如下：</w:t>
      </w:r>
    </w:p>
    <w:p w14:paraId="1A11CBE1">
      <w:pPr>
        <w:widowControl/>
        <w:adjustRightInd w:val="0"/>
        <w:snapToGrid w:val="0"/>
        <w:spacing w:line="440" w:lineRule="exact"/>
        <w:ind w:firstLine="420" w:firstLineChars="200"/>
        <w:jc w:val="left"/>
        <w:rPr>
          <w:rFonts w:ascii="宋体"/>
          <w:kern w:val="0"/>
          <w:highlight w:val="none"/>
        </w:rPr>
      </w:pPr>
      <w:r>
        <w:rPr>
          <w:rFonts w:hint="eastAsia" w:ascii="宋体" w:hAnsi="宋体" w:cs="宋体"/>
          <w:highlight w:val="none"/>
        </w:rPr>
        <w:t>一、我单位是按照中华人民共和国法律规定登记注册的，注册地点为</w:t>
      </w:r>
      <w:r>
        <w:rPr>
          <w:rFonts w:hint="eastAsia" w:ascii="宋体" w:hAnsi="宋体" w:cs="宋体"/>
          <w:highlight w:val="none"/>
          <w:u w:val="single"/>
          <w:lang w:val="en-US" w:eastAsia="zh-CN"/>
        </w:rPr>
        <w:t xml:space="preserve">          </w:t>
      </w:r>
      <w:r>
        <w:rPr>
          <w:rFonts w:hint="eastAsia" w:ascii="宋体" w:hAnsi="宋体" w:cs="宋体"/>
          <w:highlight w:val="none"/>
        </w:rPr>
        <w:t>，全称为</w:t>
      </w:r>
      <w:r>
        <w:rPr>
          <w:rFonts w:hint="eastAsia" w:ascii="宋体" w:hAnsi="宋体" w:cs="宋体"/>
          <w:highlight w:val="none"/>
          <w:u w:val="single"/>
          <w:lang w:val="en-US" w:eastAsia="zh-CN"/>
        </w:rPr>
        <w:t xml:space="preserve">          </w:t>
      </w:r>
      <w:r>
        <w:rPr>
          <w:rFonts w:hint="eastAsia" w:ascii="宋体" w:hAnsi="宋体" w:cs="宋体"/>
          <w:highlight w:val="none"/>
        </w:rPr>
        <w:t>，统一社会信用代码为</w:t>
      </w:r>
      <w:r>
        <w:rPr>
          <w:rFonts w:hint="eastAsia" w:ascii="宋体" w:hAnsi="宋体" w:cs="宋体"/>
          <w:highlight w:val="none"/>
          <w:u w:val="single"/>
          <w:lang w:val="en-US" w:eastAsia="zh-CN"/>
        </w:rPr>
        <w:t xml:space="preserve">        </w:t>
      </w:r>
      <w:r>
        <w:rPr>
          <w:rFonts w:hint="eastAsia" w:ascii="宋体" w:hAnsi="宋体" w:cs="宋体"/>
          <w:highlight w:val="none"/>
        </w:rPr>
        <w:t>，法定代表人为</w:t>
      </w:r>
      <w:r>
        <w:rPr>
          <w:rFonts w:hint="eastAsia" w:ascii="宋体" w:hAnsi="宋体" w:cs="宋体"/>
          <w:highlight w:val="none"/>
          <w:u w:val="single"/>
          <w:lang w:val="en-US" w:eastAsia="zh-CN"/>
        </w:rPr>
        <w:t xml:space="preserve">     </w:t>
      </w:r>
      <w:r>
        <w:rPr>
          <w:rFonts w:hint="eastAsia" w:ascii="宋体" w:hAnsi="宋体" w:cs="宋体"/>
          <w:highlight w:val="none"/>
        </w:rPr>
        <w:t>，具有独立承担民事责任的能力。</w:t>
      </w:r>
    </w:p>
    <w:p w14:paraId="77D9D434">
      <w:pPr>
        <w:widowControl/>
        <w:adjustRightInd w:val="0"/>
        <w:snapToGrid w:val="0"/>
        <w:spacing w:line="440" w:lineRule="exact"/>
        <w:ind w:firstLine="420" w:firstLineChars="200"/>
        <w:jc w:val="left"/>
        <w:rPr>
          <w:rFonts w:ascii="宋体"/>
          <w:highlight w:val="none"/>
        </w:rPr>
      </w:pPr>
      <w:r>
        <w:rPr>
          <w:rFonts w:hint="eastAsia" w:ascii="宋体" w:hAnsi="宋体" w:cs="宋体"/>
          <w:highlight w:val="none"/>
        </w:rPr>
        <w:t>二、我单位具有良好的商业信誉和健全的财务会计制度。</w:t>
      </w:r>
    </w:p>
    <w:p w14:paraId="11CD2C67">
      <w:pPr>
        <w:widowControl/>
        <w:adjustRightInd w:val="0"/>
        <w:snapToGrid w:val="0"/>
        <w:spacing w:line="440" w:lineRule="exact"/>
        <w:ind w:firstLine="420" w:firstLineChars="200"/>
        <w:jc w:val="left"/>
        <w:rPr>
          <w:rFonts w:ascii="宋体"/>
          <w:kern w:val="0"/>
          <w:highlight w:val="none"/>
        </w:rPr>
      </w:pPr>
      <w:r>
        <w:rPr>
          <w:rFonts w:hint="eastAsia" w:ascii="宋体" w:hAnsi="宋体" w:cs="宋体"/>
          <w:kern w:val="0"/>
          <w:highlight w:val="none"/>
        </w:rPr>
        <w:t>三、我</w:t>
      </w:r>
      <w:r>
        <w:rPr>
          <w:rFonts w:hint="eastAsia" w:ascii="宋体" w:hAnsi="宋体" w:cs="宋体"/>
          <w:highlight w:val="none"/>
        </w:rPr>
        <w:t>单位</w:t>
      </w:r>
      <w:r>
        <w:rPr>
          <w:rFonts w:hint="eastAsia" w:ascii="宋体" w:hAnsi="宋体" w:cs="宋体"/>
          <w:kern w:val="0"/>
          <w:highlight w:val="none"/>
        </w:rPr>
        <w:t>依法进行纳税和社会保险申报并实际履行了义务。</w:t>
      </w:r>
    </w:p>
    <w:p w14:paraId="64DA2DF9">
      <w:pPr>
        <w:widowControl/>
        <w:adjustRightInd w:val="0"/>
        <w:snapToGrid w:val="0"/>
        <w:spacing w:line="440" w:lineRule="exact"/>
        <w:ind w:firstLine="420" w:firstLineChars="200"/>
        <w:jc w:val="left"/>
        <w:rPr>
          <w:rFonts w:ascii="宋体"/>
          <w:kern w:val="0"/>
          <w:highlight w:val="none"/>
        </w:rPr>
      </w:pPr>
      <w:r>
        <w:rPr>
          <w:rFonts w:hint="eastAsia" w:ascii="宋体" w:hAnsi="宋体" w:cs="宋体"/>
          <w:kern w:val="0"/>
          <w:highlight w:val="none"/>
        </w:rPr>
        <w:t>四、</w:t>
      </w:r>
      <w:r>
        <w:rPr>
          <w:rFonts w:hint="eastAsia" w:ascii="宋体" w:hAnsi="宋体" w:cs="宋体"/>
          <w:highlight w:val="none"/>
        </w:rPr>
        <w:t>我单位具有履行本项目采购合同所必需的设备和专业技术能力。</w:t>
      </w:r>
    </w:p>
    <w:p w14:paraId="4003D5A2">
      <w:pPr>
        <w:widowControl/>
        <w:adjustRightInd w:val="0"/>
        <w:snapToGrid w:val="0"/>
        <w:spacing w:line="440" w:lineRule="exact"/>
        <w:ind w:firstLine="420" w:firstLineChars="200"/>
        <w:jc w:val="left"/>
        <w:rPr>
          <w:rFonts w:ascii="宋体"/>
          <w:highlight w:val="none"/>
        </w:rPr>
      </w:pPr>
      <w:r>
        <w:rPr>
          <w:rFonts w:hint="eastAsia" w:ascii="宋体" w:hAnsi="宋体" w:cs="宋体"/>
          <w:highlight w:val="none"/>
        </w:rPr>
        <w:t>五、我单位在参加采购项目政府采购活动前三年内，在经营活动中，未因违法经营受到刑事处罚或者责令停产停业、吊销许可证或者执照、较大数额罚款等行政处罚。</w:t>
      </w:r>
    </w:p>
    <w:p w14:paraId="328445C7">
      <w:pPr>
        <w:adjustRightInd w:val="0"/>
        <w:snapToGrid w:val="0"/>
        <w:spacing w:line="440" w:lineRule="exact"/>
        <w:ind w:firstLine="420" w:firstLineChars="200"/>
        <w:jc w:val="left"/>
        <w:rPr>
          <w:rFonts w:ascii="宋体"/>
          <w:highlight w:val="none"/>
        </w:rPr>
      </w:pPr>
      <w:r>
        <w:rPr>
          <w:rFonts w:hint="eastAsia" w:ascii="宋体" w:hAnsi="宋体" w:cs="宋体"/>
          <w:highlight w:val="none"/>
        </w:rPr>
        <w:t>六、我单位未因违法经营被政府采购监管部门禁止参加政府采购活动（禁止期限已经届满的除外）。</w:t>
      </w:r>
    </w:p>
    <w:p w14:paraId="3D8BBE6D">
      <w:pPr>
        <w:adjustRightInd w:val="0"/>
        <w:snapToGrid w:val="0"/>
        <w:spacing w:line="440" w:lineRule="exact"/>
        <w:ind w:firstLine="420" w:firstLineChars="200"/>
        <w:jc w:val="left"/>
        <w:rPr>
          <w:rFonts w:ascii="宋体"/>
          <w:highlight w:val="none"/>
        </w:rPr>
      </w:pPr>
      <w:r>
        <w:rPr>
          <w:rFonts w:hint="eastAsia" w:ascii="宋体" w:hAnsi="宋体" w:cs="宋体"/>
          <w:highlight w:val="none"/>
        </w:rPr>
        <w:t>七、我单位具备法律、行政法规规定的其他条件。</w:t>
      </w:r>
    </w:p>
    <w:p w14:paraId="5BFB8BED">
      <w:pPr>
        <w:adjustRightInd w:val="0"/>
        <w:snapToGrid w:val="0"/>
        <w:spacing w:line="440" w:lineRule="exact"/>
        <w:ind w:firstLine="420" w:firstLineChars="200"/>
        <w:jc w:val="left"/>
        <w:rPr>
          <w:highlight w:val="none"/>
        </w:rPr>
      </w:pPr>
      <w:r>
        <w:rPr>
          <w:rFonts w:hint="eastAsia" w:ascii="宋体" w:hAnsi="宋体" w:cs="宋体"/>
          <w:kern w:val="0"/>
          <w:highlight w:val="none"/>
        </w:rPr>
        <w:t>八、</w:t>
      </w:r>
      <w:r>
        <w:rPr>
          <w:rFonts w:hint="eastAsia" w:cs="宋体"/>
          <w:highlight w:val="none"/>
        </w:rPr>
        <w:t>与我单位存在“单位负责人为同一人或者存在直接控股、管理关系”的其他法人单位信息如下（如无，填写“无”）：</w:t>
      </w:r>
    </w:p>
    <w:p w14:paraId="5CE1FC37">
      <w:pPr>
        <w:adjustRightInd w:val="0"/>
        <w:snapToGrid w:val="0"/>
        <w:spacing w:line="440" w:lineRule="exact"/>
        <w:ind w:firstLine="420" w:firstLineChars="200"/>
        <w:rPr>
          <w:highlight w:val="none"/>
        </w:rPr>
      </w:pPr>
      <w:r>
        <w:rPr>
          <w:rFonts w:ascii="宋体" w:hAnsi="宋体" w:cs="宋体"/>
          <w:highlight w:val="none"/>
        </w:rPr>
        <w:t>1</w:t>
      </w:r>
      <w:r>
        <w:rPr>
          <w:rFonts w:hint="eastAsia" w:ascii="宋体" w:hAnsi="宋体" w:cs="宋体"/>
          <w:highlight w:val="none"/>
        </w:rPr>
        <w:t>、</w:t>
      </w:r>
      <w:r>
        <w:rPr>
          <w:rFonts w:hint="eastAsia" w:cs="宋体"/>
          <w:highlight w:val="none"/>
        </w:rPr>
        <w:t>与我单位的法定代表人为同一人的其他法人单位如下：。</w:t>
      </w:r>
    </w:p>
    <w:p w14:paraId="22FBC256">
      <w:pPr>
        <w:adjustRightInd w:val="0"/>
        <w:snapToGrid w:val="0"/>
        <w:spacing w:line="440" w:lineRule="exact"/>
        <w:ind w:firstLine="420" w:firstLineChars="200"/>
        <w:rPr>
          <w:rFonts w:ascii="宋体" w:cs="宋体"/>
          <w:highlight w:val="none"/>
        </w:rPr>
      </w:pPr>
      <w:r>
        <w:rPr>
          <w:rFonts w:ascii="宋体" w:hAnsi="宋体" w:cs="宋体"/>
          <w:highlight w:val="none"/>
        </w:rPr>
        <w:t>2</w:t>
      </w:r>
      <w:r>
        <w:rPr>
          <w:rFonts w:hint="eastAsia" w:ascii="宋体" w:hAnsi="宋体" w:cs="宋体"/>
          <w:highlight w:val="none"/>
        </w:rPr>
        <w:t>、我</w:t>
      </w:r>
      <w:r>
        <w:rPr>
          <w:rFonts w:hint="eastAsia" w:cs="宋体"/>
          <w:highlight w:val="none"/>
        </w:rPr>
        <w:t>单位</w:t>
      </w:r>
      <w:r>
        <w:rPr>
          <w:rFonts w:hint="eastAsia" w:ascii="宋体" w:hAnsi="宋体" w:cs="宋体"/>
          <w:highlight w:val="none"/>
        </w:rPr>
        <w:t>直接控股的其他法人单位如下：</w:t>
      </w:r>
      <w:r>
        <w:rPr>
          <w:rFonts w:hint="eastAsia" w:cs="宋体"/>
          <w:highlight w:val="none"/>
        </w:rPr>
        <w:t>。</w:t>
      </w:r>
    </w:p>
    <w:p w14:paraId="5E319DDA">
      <w:pPr>
        <w:adjustRightInd w:val="0"/>
        <w:snapToGrid w:val="0"/>
        <w:spacing w:line="440" w:lineRule="exact"/>
        <w:ind w:firstLine="420" w:firstLineChars="200"/>
        <w:rPr>
          <w:highlight w:val="none"/>
        </w:rPr>
      </w:pPr>
      <w:r>
        <w:rPr>
          <w:rFonts w:ascii="宋体" w:hAnsi="宋体" w:cs="宋体"/>
          <w:highlight w:val="none"/>
        </w:rPr>
        <w:t>3</w:t>
      </w:r>
      <w:r>
        <w:rPr>
          <w:rFonts w:hint="eastAsia" w:ascii="宋体" w:hAnsi="宋体" w:cs="宋体"/>
          <w:highlight w:val="none"/>
        </w:rPr>
        <w:t>、与我</w:t>
      </w:r>
      <w:r>
        <w:rPr>
          <w:rFonts w:hint="eastAsia" w:cs="宋体"/>
          <w:highlight w:val="none"/>
        </w:rPr>
        <w:t>单位存在</w:t>
      </w:r>
      <w:r>
        <w:rPr>
          <w:rFonts w:hint="eastAsia" w:ascii="宋体" w:hAnsi="宋体" w:cs="宋体"/>
          <w:highlight w:val="none"/>
        </w:rPr>
        <w:t>管理关系的其他法人单位如下：</w:t>
      </w:r>
      <w:r>
        <w:rPr>
          <w:rFonts w:hint="eastAsia" w:cs="宋体"/>
          <w:highlight w:val="none"/>
        </w:rPr>
        <w:t>。</w:t>
      </w:r>
    </w:p>
    <w:p w14:paraId="460AA419">
      <w:pPr>
        <w:widowControl/>
        <w:adjustRightInd w:val="0"/>
        <w:snapToGrid w:val="0"/>
        <w:spacing w:line="440" w:lineRule="exact"/>
        <w:ind w:firstLine="420" w:firstLineChars="200"/>
        <w:jc w:val="left"/>
        <w:rPr>
          <w:rFonts w:ascii="宋体" w:cs="宋体"/>
          <w:kern w:val="0"/>
          <w:highlight w:val="none"/>
        </w:rPr>
      </w:pPr>
      <w:r>
        <w:rPr>
          <w:rFonts w:hint="eastAsia" w:ascii="宋体" w:hAnsi="宋体" w:cs="宋体"/>
          <w:highlight w:val="none"/>
        </w:rPr>
        <w:t>九、我单位不属于为本项目提供整体设计、规范编制或者项目管理、监理、检测等服务的投标人。</w:t>
      </w:r>
    </w:p>
    <w:p w14:paraId="1CF7E912">
      <w:pPr>
        <w:adjustRightInd w:val="0"/>
        <w:snapToGrid w:val="0"/>
        <w:spacing w:line="440" w:lineRule="exact"/>
        <w:ind w:firstLine="420" w:firstLineChars="200"/>
        <w:jc w:val="left"/>
        <w:rPr>
          <w:rFonts w:ascii="宋体" w:cs="宋体"/>
          <w:highlight w:val="none"/>
        </w:rPr>
      </w:pPr>
      <w:r>
        <w:rPr>
          <w:rFonts w:hint="eastAsia" w:ascii="宋体" w:hAnsi="宋体" w:cs="宋体"/>
          <w:highlight w:val="none"/>
        </w:rPr>
        <w:t>十、我单位无以下不良信用记录情形：</w:t>
      </w:r>
    </w:p>
    <w:p w14:paraId="1DD0673F">
      <w:pPr>
        <w:adjustRightInd w:val="0"/>
        <w:snapToGrid w:val="0"/>
        <w:spacing w:line="440" w:lineRule="exact"/>
        <w:ind w:firstLine="420" w:firstLineChars="200"/>
        <w:jc w:val="left"/>
        <w:rPr>
          <w:rFonts w:ascii="宋体" w:cs="宋体"/>
          <w:highlight w:val="none"/>
        </w:rPr>
      </w:pPr>
      <w:r>
        <w:rPr>
          <w:rFonts w:ascii="宋体" w:hAnsi="宋体" w:cs="宋体"/>
          <w:highlight w:val="none"/>
        </w:rPr>
        <w:t>1</w:t>
      </w:r>
      <w:r>
        <w:rPr>
          <w:rFonts w:hint="eastAsia" w:ascii="宋体" w:hAnsi="宋体" w:cs="宋体"/>
          <w:highlight w:val="none"/>
        </w:rPr>
        <w:t>、在“信用中国”、“信用湖南”、“信用郴州”网站被列入失信被执行人和重大税收违法案件当事人名单；</w:t>
      </w:r>
    </w:p>
    <w:p w14:paraId="726D0E5B">
      <w:pPr>
        <w:adjustRightInd w:val="0"/>
        <w:snapToGrid w:val="0"/>
        <w:spacing w:line="440" w:lineRule="exact"/>
        <w:ind w:firstLine="420" w:firstLineChars="200"/>
        <w:jc w:val="left"/>
        <w:rPr>
          <w:rFonts w:ascii="宋体" w:cs="宋体"/>
          <w:highlight w:val="none"/>
        </w:rPr>
      </w:pPr>
      <w:r>
        <w:rPr>
          <w:rFonts w:ascii="宋体" w:hAnsi="宋体" w:cs="宋体"/>
          <w:highlight w:val="none"/>
        </w:rPr>
        <w:t>2</w:t>
      </w:r>
      <w:r>
        <w:rPr>
          <w:rFonts w:hint="eastAsia" w:ascii="宋体" w:hAnsi="宋体" w:cs="宋体"/>
          <w:highlight w:val="none"/>
        </w:rPr>
        <w:t>、在“中国政府采购网”、“湖南省政府采购网”网站被列入政府采购严重违法失信行为记录名单；</w:t>
      </w:r>
    </w:p>
    <w:p w14:paraId="60A76DE4">
      <w:pPr>
        <w:adjustRightInd w:val="0"/>
        <w:snapToGrid w:val="0"/>
        <w:spacing w:line="440" w:lineRule="exact"/>
        <w:ind w:firstLine="420" w:firstLineChars="200"/>
        <w:jc w:val="left"/>
        <w:rPr>
          <w:rFonts w:ascii="宋体" w:cs="宋体"/>
          <w:highlight w:val="none"/>
        </w:rPr>
      </w:pPr>
      <w:r>
        <w:rPr>
          <w:rFonts w:ascii="宋体" w:hAnsi="宋体" w:cs="宋体"/>
          <w:highlight w:val="none"/>
        </w:rPr>
        <w:t>3</w:t>
      </w:r>
      <w:r>
        <w:rPr>
          <w:rFonts w:hint="eastAsia" w:ascii="宋体" w:hAnsi="宋体" w:cs="宋体"/>
          <w:highlight w:val="none"/>
        </w:rPr>
        <w:t>、不符合《政府采购法》第二十二条规定的条件。</w:t>
      </w:r>
    </w:p>
    <w:p w14:paraId="30234316">
      <w:pPr>
        <w:widowControl/>
        <w:adjustRightInd w:val="0"/>
        <w:snapToGrid w:val="0"/>
        <w:spacing w:line="440" w:lineRule="exact"/>
        <w:ind w:firstLine="420" w:firstLineChars="200"/>
        <w:jc w:val="left"/>
        <w:rPr>
          <w:rFonts w:ascii="宋体"/>
          <w:kern w:val="0"/>
          <w:highlight w:val="none"/>
        </w:rPr>
      </w:pPr>
      <w:r>
        <w:rPr>
          <w:rFonts w:hint="eastAsia" w:ascii="宋体" w:hAnsi="宋体" w:cs="宋体"/>
          <w:highlight w:val="none"/>
        </w:rPr>
        <w:t>我单位保证上述声明的事项都是真实的，如有虚假，我单位愿意承担相应的法律责任，并承担因此所造成的一切损失。</w:t>
      </w:r>
    </w:p>
    <w:p w14:paraId="58E1AA3E">
      <w:pPr>
        <w:widowControl/>
        <w:adjustRightInd w:val="0"/>
        <w:snapToGrid w:val="0"/>
        <w:spacing w:line="440" w:lineRule="exact"/>
        <w:ind w:firstLine="420" w:firstLineChars="200"/>
        <w:jc w:val="left"/>
        <w:rPr>
          <w:rFonts w:ascii="宋体"/>
          <w:kern w:val="0"/>
          <w:highlight w:val="none"/>
        </w:rPr>
      </w:pPr>
      <w:r>
        <w:rPr>
          <w:rFonts w:hint="eastAsia" w:ascii="宋体" w:hAnsi="宋体" w:cs="宋体"/>
          <w:highlight w:val="none"/>
        </w:rPr>
        <w:t>我单位保证随时按照要求提供能够证明上述声明事项真实性的任何有效文件。</w:t>
      </w:r>
    </w:p>
    <w:p w14:paraId="34E8E215">
      <w:pPr>
        <w:widowControl/>
        <w:adjustRightInd w:val="0"/>
        <w:snapToGrid w:val="0"/>
        <w:spacing w:beforeLines="50" w:line="360" w:lineRule="auto"/>
        <w:jc w:val="left"/>
        <w:rPr>
          <w:rFonts w:ascii="宋体" w:hAnsi="宋体" w:cs="宋体"/>
          <w:szCs w:val="21"/>
          <w:highlight w:val="none"/>
        </w:rPr>
      </w:pPr>
    </w:p>
    <w:p w14:paraId="0ACC5317">
      <w:pPr>
        <w:widowControl/>
        <w:adjustRightInd w:val="0"/>
        <w:snapToGrid w:val="0"/>
        <w:spacing w:beforeLines="50" w:line="360" w:lineRule="auto"/>
        <w:jc w:val="left"/>
        <w:rPr>
          <w:rFonts w:ascii="宋体" w:hAnsi="宋体" w:cs="宋体"/>
          <w:szCs w:val="21"/>
          <w:highlight w:val="none"/>
        </w:rPr>
      </w:pPr>
    </w:p>
    <w:p w14:paraId="45DF3F0D">
      <w:pPr>
        <w:widowControl/>
        <w:adjustRightInd w:val="0"/>
        <w:snapToGrid w:val="0"/>
        <w:spacing w:beforeLines="50" w:line="360" w:lineRule="auto"/>
        <w:jc w:val="left"/>
        <w:rPr>
          <w:rFonts w:ascii="宋体" w:hAnsi="宋体" w:cs="宋体"/>
          <w:kern w:val="0"/>
          <w:szCs w:val="21"/>
          <w:highlight w:val="none"/>
        </w:rPr>
      </w:pPr>
      <w:r>
        <w:rPr>
          <w:rFonts w:hint="eastAsia" w:ascii="宋体" w:hAnsi="宋体" w:cs="宋体"/>
          <w:szCs w:val="21"/>
          <w:highlight w:val="none"/>
        </w:rPr>
        <w:t>投标人名称（盖单位公章）：</w:t>
      </w:r>
    </w:p>
    <w:p w14:paraId="3FB0E490">
      <w:pPr>
        <w:widowControl/>
        <w:adjustRightInd w:val="0"/>
        <w:snapToGrid w:val="0"/>
        <w:spacing w:beforeLines="50" w:line="360" w:lineRule="auto"/>
        <w:jc w:val="left"/>
        <w:rPr>
          <w:rFonts w:ascii="宋体" w:hAnsi="宋体" w:cs="宋体"/>
          <w:b/>
          <w:bCs/>
          <w:kern w:val="0"/>
          <w:sz w:val="44"/>
          <w:szCs w:val="44"/>
          <w:highlight w:val="none"/>
        </w:rPr>
      </w:pPr>
      <w:r>
        <w:rPr>
          <w:rFonts w:hint="eastAsia" w:asciiTheme="minorEastAsia" w:hAnsiTheme="minorEastAsia" w:eastAsiaTheme="minorEastAsia"/>
          <w:highlight w:val="none"/>
        </w:rPr>
        <w:t>法定代表人或委托代理人：（签字或印章）</w:t>
      </w:r>
    </w:p>
    <w:p w14:paraId="79831C99">
      <w:pPr>
        <w:widowControl/>
        <w:adjustRightInd w:val="0"/>
        <w:snapToGrid w:val="0"/>
        <w:spacing w:beforeLines="50" w:line="360" w:lineRule="auto"/>
        <w:jc w:val="left"/>
        <w:rPr>
          <w:rFonts w:cs="宋体" w:asciiTheme="minorEastAsia" w:hAnsiTheme="minorEastAsia" w:eastAsiaTheme="minorEastAsia"/>
          <w:szCs w:val="21"/>
          <w:highlight w:val="none"/>
        </w:rPr>
      </w:pPr>
      <w:r>
        <w:rPr>
          <w:rFonts w:hint="eastAsia" w:ascii="宋体" w:hAnsi="宋体" w:cs="宋体"/>
          <w:szCs w:val="21"/>
          <w:highlight w:val="none"/>
        </w:rPr>
        <w:t>日期：年月日</w:t>
      </w:r>
    </w:p>
    <w:p w14:paraId="5B5F5CDE">
      <w:pPr>
        <w:widowControl/>
        <w:jc w:val="left"/>
        <w:rPr>
          <w:rFonts w:ascii="黑体" w:hAnsi="仿宋" w:eastAsia="黑体" w:cs="宋体"/>
          <w:bCs/>
          <w:szCs w:val="21"/>
          <w:highlight w:val="none"/>
        </w:rPr>
      </w:pPr>
      <w:r>
        <w:rPr>
          <w:rFonts w:ascii="黑体" w:hAnsi="仿宋" w:cs="宋体"/>
          <w:b/>
          <w:szCs w:val="21"/>
          <w:highlight w:val="none"/>
        </w:rPr>
        <w:br w:type="page"/>
      </w:r>
    </w:p>
    <w:p w14:paraId="41EC5522">
      <w:pPr>
        <w:pStyle w:val="5"/>
        <w:rPr>
          <w:rFonts w:ascii="黑体" w:hAnsi="仿宋" w:cs="宋体"/>
          <w:b w:val="0"/>
          <w:sz w:val="21"/>
          <w:szCs w:val="21"/>
          <w:highlight w:val="none"/>
        </w:rPr>
      </w:pPr>
      <w:bookmarkStart w:id="139" w:name="_Toc2534"/>
      <w:bookmarkStart w:id="140" w:name="_Toc8983767"/>
      <w:r>
        <w:rPr>
          <w:rFonts w:hint="eastAsia" w:ascii="黑体" w:hAnsi="仿宋" w:cs="宋体"/>
          <w:b w:val="0"/>
          <w:sz w:val="21"/>
          <w:szCs w:val="21"/>
          <w:highlight w:val="none"/>
        </w:rPr>
        <w:t>附件4-2 法人或者其他组织的营业执照等主体资格证明文件，自然人的身份证明</w:t>
      </w:r>
      <w:bookmarkEnd w:id="139"/>
      <w:bookmarkEnd w:id="140"/>
    </w:p>
    <w:p w14:paraId="3C49A99B">
      <w:pPr>
        <w:widowControl/>
        <w:adjustRightInd w:val="0"/>
        <w:snapToGrid w:val="0"/>
        <w:spacing w:line="360" w:lineRule="auto"/>
        <w:jc w:val="center"/>
        <w:rPr>
          <w:rFonts w:ascii="黑体" w:hAnsi="仿宋" w:eastAsia="黑体" w:cs="宋体"/>
          <w:b/>
          <w:sz w:val="28"/>
          <w:szCs w:val="28"/>
          <w:highlight w:val="none"/>
        </w:rPr>
      </w:pPr>
      <w:r>
        <w:rPr>
          <w:rFonts w:hint="eastAsia" w:ascii="黑体" w:hAnsi="仿宋" w:eastAsia="黑体" w:cs="宋体"/>
          <w:b/>
          <w:sz w:val="28"/>
          <w:szCs w:val="28"/>
          <w:highlight w:val="none"/>
        </w:rPr>
        <w:t>法人或者其他组织的营业执照等主体资格证明文件，自然人的身份证明</w:t>
      </w:r>
    </w:p>
    <w:p w14:paraId="0CC2F3FF">
      <w:pPr>
        <w:widowControl/>
        <w:adjustRightInd w:val="0"/>
        <w:snapToGrid w:val="0"/>
        <w:spacing w:beforeLines="50" w:line="360" w:lineRule="auto"/>
        <w:ind w:firstLine="420" w:firstLineChars="200"/>
        <w:jc w:val="left"/>
        <w:rPr>
          <w:rFonts w:cs="宋体" w:asciiTheme="minorEastAsia" w:hAnsiTheme="minorEastAsia" w:eastAsiaTheme="minorEastAsia"/>
          <w:szCs w:val="21"/>
          <w:highlight w:val="none"/>
        </w:rPr>
      </w:pPr>
    </w:p>
    <w:p w14:paraId="79B4263E">
      <w:pPr>
        <w:adjustRightInd w:val="0"/>
        <w:snapToGrid w:val="0"/>
        <w:spacing w:beforeLines="50" w:line="360" w:lineRule="auto"/>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注：按第二章第</w:t>
      </w:r>
      <w:r>
        <w:rPr>
          <w:rFonts w:cs="宋体" w:asciiTheme="minorEastAsia" w:hAnsiTheme="minorEastAsia" w:eastAsiaTheme="minorEastAsia"/>
          <w:szCs w:val="21"/>
          <w:highlight w:val="none"/>
        </w:rPr>
        <w:t>15.1</w:t>
      </w:r>
      <w:r>
        <w:rPr>
          <w:rFonts w:hint="eastAsia" w:cs="宋体" w:asciiTheme="minorEastAsia" w:hAnsiTheme="minorEastAsia" w:eastAsiaTheme="minorEastAsia"/>
          <w:szCs w:val="21"/>
          <w:highlight w:val="none"/>
        </w:rPr>
        <w:t>（1）项要求提供。</w:t>
      </w:r>
    </w:p>
    <w:p w14:paraId="66D0DC09">
      <w:pPr>
        <w:adjustRightInd w:val="0"/>
        <w:snapToGrid w:val="0"/>
        <w:spacing w:beforeLines="50" w:line="360" w:lineRule="auto"/>
        <w:ind w:firstLine="420" w:firstLineChars="200"/>
        <w:rPr>
          <w:rFonts w:asciiTheme="minorEastAsia" w:hAnsiTheme="minorEastAsia"/>
          <w:highlight w:val="none"/>
        </w:rPr>
      </w:pPr>
      <w:r>
        <w:rPr>
          <w:rFonts w:hint="eastAsia" w:cs="宋体" w:asciiTheme="minorEastAsia" w:hAnsiTheme="minorEastAsia" w:eastAsiaTheme="minorEastAsia"/>
          <w:szCs w:val="21"/>
          <w:highlight w:val="none"/>
        </w:rPr>
        <w:t>（1）</w:t>
      </w:r>
      <w:r>
        <w:rPr>
          <w:rFonts w:hint="eastAsia" w:asciiTheme="minorEastAsia" w:hAnsiTheme="minorEastAsia"/>
          <w:highlight w:val="none"/>
        </w:rPr>
        <w:t>投标人为营利法人的，应提交营业执照的复印件；</w:t>
      </w:r>
    </w:p>
    <w:p w14:paraId="120508C6">
      <w:pPr>
        <w:adjustRightInd w:val="0"/>
        <w:snapToGrid w:val="0"/>
        <w:spacing w:beforeLines="50" w:line="360" w:lineRule="auto"/>
        <w:ind w:firstLine="420" w:firstLineChars="200"/>
        <w:rPr>
          <w:rFonts w:asciiTheme="minorEastAsia" w:hAnsiTheme="minorEastAsia"/>
          <w:highlight w:val="none"/>
        </w:rPr>
      </w:pPr>
      <w:r>
        <w:rPr>
          <w:rFonts w:hint="eastAsia" w:cs="宋体" w:asciiTheme="minorEastAsia" w:hAnsiTheme="minorEastAsia" w:eastAsiaTheme="minorEastAsia"/>
          <w:szCs w:val="21"/>
          <w:highlight w:val="none"/>
        </w:rPr>
        <w:t>（2）</w:t>
      </w:r>
      <w:r>
        <w:rPr>
          <w:rFonts w:hint="eastAsia" w:asciiTheme="minorEastAsia" w:hAnsiTheme="minorEastAsia"/>
          <w:highlight w:val="none"/>
        </w:rPr>
        <w:t>投标人为依法允许经营的事业单位的，应提交事业单位法人证书复印件；</w:t>
      </w:r>
    </w:p>
    <w:p w14:paraId="3E99C33B">
      <w:pPr>
        <w:adjustRightInd w:val="0"/>
        <w:snapToGrid w:val="0"/>
        <w:spacing w:beforeLines="50" w:line="360" w:lineRule="auto"/>
        <w:ind w:firstLine="420" w:firstLineChars="200"/>
        <w:rPr>
          <w:rFonts w:asciiTheme="minorEastAsia" w:hAnsiTheme="minorEastAsia"/>
          <w:highlight w:val="none"/>
        </w:rPr>
      </w:pPr>
      <w:r>
        <w:rPr>
          <w:rFonts w:hint="eastAsia" w:cs="宋体" w:asciiTheme="minorEastAsia" w:hAnsiTheme="minorEastAsia" w:eastAsiaTheme="minorEastAsia"/>
          <w:szCs w:val="21"/>
          <w:highlight w:val="none"/>
        </w:rPr>
        <w:t>（3）</w:t>
      </w:r>
      <w:r>
        <w:rPr>
          <w:rFonts w:hint="eastAsia" w:asciiTheme="minorEastAsia" w:hAnsiTheme="minorEastAsia"/>
          <w:highlight w:val="none"/>
        </w:rPr>
        <w:t>投标人为非法人组织的，应提交依法登记证书复印件；</w:t>
      </w:r>
    </w:p>
    <w:p w14:paraId="1C2A5749">
      <w:pPr>
        <w:adjustRightInd w:val="0"/>
        <w:snapToGrid w:val="0"/>
        <w:spacing w:beforeLines="50" w:line="360" w:lineRule="auto"/>
        <w:ind w:firstLine="420" w:firstLineChars="200"/>
        <w:rPr>
          <w:rFonts w:asciiTheme="minorEastAsia" w:hAnsiTheme="minorEastAsia"/>
          <w:highlight w:val="none"/>
        </w:rPr>
      </w:pPr>
      <w:r>
        <w:rPr>
          <w:rFonts w:hint="eastAsia" w:cs="宋体" w:asciiTheme="minorEastAsia" w:hAnsiTheme="minorEastAsia" w:eastAsiaTheme="minorEastAsia"/>
          <w:szCs w:val="21"/>
          <w:highlight w:val="none"/>
        </w:rPr>
        <w:t>（4）</w:t>
      </w:r>
      <w:r>
        <w:rPr>
          <w:rFonts w:hint="eastAsia" w:asciiTheme="minorEastAsia" w:hAnsiTheme="minorEastAsia"/>
          <w:highlight w:val="none"/>
        </w:rPr>
        <w:t>投标人为个体工商户的，应提交个体工商户营业执照复印件；</w:t>
      </w:r>
    </w:p>
    <w:p w14:paraId="7FE6F132">
      <w:pPr>
        <w:adjustRightInd w:val="0"/>
        <w:snapToGrid w:val="0"/>
        <w:spacing w:beforeLines="50" w:line="360" w:lineRule="auto"/>
        <w:ind w:firstLine="420" w:firstLineChars="200"/>
        <w:rPr>
          <w:rFonts w:asciiTheme="minorEastAsia" w:hAnsiTheme="minorEastAsia"/>
          <w:highlight w:val="none"/>
        </w:rPr>
      </w:pPr>
      <w:r>
        <w:rPr>
          <w:rFonts w:hint="eastAsia" w:cs="宋体" w:asciiTheme="minorEastAsia" w:hAnsiTheme="minorEastAsia" w:eastAsiaTheme="minorEastAsia"/>
          <w:szCs w:val="21"/>
          <w:highlight w:val="none"/>
        </w:rPr>
        <w:t>（5）</w:t>
      </w:r>
      <w:r>
        <w:rPr>
          <w:rFonts w:hint="eastAsia" w:asciiTheme="minorEastAsia" w:hAnsiTheme="minorEastAsia"/>
          <w:highlight w:val="none"/>
        </w:rPr>
        <w:t>投标人为自然人的，应提交自然人的身份证明复印件。</w:t>
      </w:r>
    </w:p>
    <w:p w14:paraId="752E0511">
      <w:pPr>
        <w:widowControl/>
        <w:adjustRightInd w:val="0"/>
        <w:snapToGrid w:val="0"/>
        <w:spacing w:beforeLines="50" w:line="360" w:lineRule="auto"/>
        <w:ind w:firstLine="422" w:firstLineChars="200"/>
        <w:jc w:val="left"/>
        <w:rPr>
          <w:rFonts w:asciiTheme="minorEastAsia" w:hAnsiTheme="minorEastAsia"/>
          <w:b/>
          <w:color w:val="FF0000"/>
          <w:highlight w:val="none"/>
        </w:rPr>
      </w:pPr>
    </w:p>
    <w:p w14:paraId="4BEA01A3">
      <w:pPr>
        <w:widowControl/>
        <w:adjustRightInd w:val="0"/>
        <w:snapToGrid w:val="0"/>
        <w:spacing w:beforeLines="50" w:line="360" w:lineRule="auto"/>
        <w:ind w:firstLine="420" w:firstLineChars="200"/>
        <w:jc w:val="left"/>
        <w:rPr>
          <w:rFonts w:cs="宋体" w:asciiTheme="minorEastAsia" w:hAnsiTheme="minorEastAsia" w:eastAsiaTheme="minorEastAsia"/>
          <w:szCs w:val="21"/>
          <w:highlight w:val="none"/>
        </w:rPr>
      </w:pPr>
    </w:p>
    <w:p w14:paraId="38225EEC">
      <w:pPr>
        <w:widowControl/>
        <w:jc w:val="left"/>
        <w:rPr>
          <w:rFonts w:ascii="黑体" w:hAnsi="仿宋" w:eastAsia="黑体" w:cs="宋体"/>
          <w:szCs w:val="21"/>
          <w:highlight w:val="none"/>
        </w:rPr>
      </w:pPr>
      <w:r>
        <w:rPr>
          <w:rFonts w:ascii="黑体" w:hAnsi="仿宋" w:eastAsia="黑体" w:cs="宋体"/>
          <w:szCs w:val="21"/>
          <w:highlight w:val="none"/>
        </w:rPr>
        <w:br w:type="page"/>
      </w:r>
    </w:p>
    <w:p w14:paraId="2BDBE51B">
      <w:pPr>
        <w:pStyle w:val="5"/>
        <w:rPr>
          <w:rFonts w:ascii="黑体" w:hAnsi="仿宋" w:cs="宋体"/>
          <w:b w:val="0"/>
          <w:sz w:val="21"/>
          <w:szCs w:val="21"/>
          <w:highlight w:val="none"/>
        </w:rPr>
      </w:pPr>
      <w:bookmarkStart w:id="141" w:name="_Toc8533"/>
      <w:bookmarkStart w:id="142" w:name="_Toc8983768"/>
      <w:r>
        <w:rPr>
          <w:rFonts w:hint="eastAsia" w:ascii="黑体" w:hAnsi="仿宋" w:cs="宋体"/>
          <w:b w:val="0"/>
          <w:sz w:val="21"/>
          <w:szCs w:val="21"/>
          <w:highlight w:val="none"/>
        </w:rPr>
        <w:t>附件4-3 符合特定资格条件证明材料复印件或者情况说明</w:t>
      </w:r>
      <w:bookmarkEnd w:id="141"/>
      <w:bookmarkEnd w:id="142"/>
    </w:p>
    <w:p w14:paraId="121ABFC8">
      <w:pPr>
        <w:widowControl/>
        <w:adjustRightInd w:val="0"/>
        <w:snapToGrid w:val="0"/>
        <w:spacing w:line="360" w:lineRule="auto"/>
        <w:jc w:val="center"/>
        <w:rPr>
          <w:rFonts w:ascii="黑体" w:hAnsi="仿宋" w:eastAsia="黑体" w:cs="宋体"/>
          <w:b/>
          <w:sz w:val="28"/>
          <w:szCs w:val="28"/>
          <w:highlight w:val="none"/>
        </w:rPr>
      </w:pPr>
      <w:r>
        <w:rPr>
          <w:rFonts w:hint="eastAsia" w:ascii="黑体" w:hAnsi="仿宋" w:eastAsia="黑体" w:cs="宋体"/>
          <w:b/>
          <w:sz w:val="28"/>
          <w:szCs w:val="28"/>
          <w:highlight w:val="none"/>
        </w:rPr>
        <w:t>符合特定资格条件证明材料复印件或者情况说明</w:t>
      </w:r>
    </w:p>
    <w:p w14:paraId="0EF8EDA4">
      <w:pPr>
        <w:widowControl/>
        <w:adjustRightInd w:val="0"/>
        <w:snapToGrid w:val="0"/>
        <w:spacing w:line="360" w:lineRule="auto"/>
        <w:ind w:firstLine="560" w:firstLineChars="200"/>
        <w:jc w:val="left"/>
        <w:rPr>
          <w:rFonts w:ascii="黑体" w:hAnsi="仿宋" w:eastAsia="黑体" w:cs="宋体"/>
          <w:sz w:val="28"/>
          <w:szCs w:val="28"/>
          <w:highlight w:val="none"/>
        </w:rPr>
      </w:pPr>
    </w:p>
    <w:p w14:paraId="25BBF74B">
      <w:pPr>
        <w:widowControl/>
        <w:adjustRightInd w:val="0"/>
        <w:snapToGrid w:val="0"/>
        <w:spacing w:line="360" w:lineRule="auto"/>
        <w:ind w:firstLine="420" w:firstLineChars="200"/>
        <w:jc w:val="left"/>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注：按第二章第</w:t>
      </w:r>
      <w:r>
        <w:rPr>
          <w:rFonts w:cs="宋体" w:asciiTheme="minorEastAsia" w:hAnsiTheme="minorEastAsia" w:eastAsiaTheme="minorEastAsia"/>
          <w:szCs w:val="21"/>
          <w:highlight w:val="none"/>
        </w:rPr>
        <w:t>15.1</w:t>
      </w:r>
      <w:r>
        <w:rPr>
          <w:rFonts w:hint="eastAsia" w:cs="宋体" w:asciiTheme="minorEastAsia" w:hAnsiTheme="minorEastAsia" w:eastAsiaTheme="minorEastAsia"/>
          <w:szCs w:val="21"/>
          <w:highlight w:val="none"/>
        </w:rPr>
        <w:t>（3）项要求提供。</w:t>
      </w:r>
    </w:p>
    <w:p w14:paraId="6B2262DC">
      <w:pPr>
        <w:widowControl/>
        <w:jc w:val="left"/>
        <w:rPr>
          <w:highlight w:val="none"/>
        </w:rPr>
      </w:pPr>
      <w:r>
        <w:rPr>
          <w:rFonts w:ascii="黑体" w:hAnsi="仿宋" w:eastAsia="黑体" w:cs="宋体"/>
          <w:szCs w:val="21"/>
          <w:highlight w:val="none"/>
        </w:rPr>
        <w:br w:type="page"/>
      </w:r>
    </w:p>
    <w:p w14:paraId="46C7CA1A">
      <w:pPr>
        <w:pStyle w:val="5"/>
        <w:rPr>
          <w:rFonts w:ascii="黑体" w:cs="宋体" w:hAnsiTheme="minorEastAsia"/>
          <w:b w:val="0"/>
          <w:kern w:val="0"/>
          <w:sz w:val="21"/>
          <w:szCs w:val="21"/>
          <w:highlight w:val="none"/>
        </w:rPr>
      </w:pPr>
      <w:bookmarkStart w:id="143" w:name="_Toc8983769"/>
      <w:bookmarkStart w:id="144" w:name="_Toc27617"/>
      <w:r>
        <w:rPr>
          <w:rFonts w:hint="eastAsia" w:ascii="黑体" w:hAnsi="仿宋" w:cs="宋体"/>
          <w:b w:val="0"/>
          <w:sz w:val="21"/>
          <w:szCs w:val="21"/>
          <w:highlight w:val="none"/>
        </w:rPr>
        <w:t>附件4-4 联合体协议书（格式）</w:t>
      </w:r>
      <w:bookmarkEnd w:id="143"/>
      <w:bookmarkEnd w:id="144"/>
    </w:p>
    <w:p w14:paraId="4053F295">
      <w:pPr>
        <w:adjustRightInd w:val="0"/>
        <w:snapToGrid w:val="0"/>
        <w:spacing w:line="360" w:lineRule="auto"/>
        <w:jc w:val="center"/>
        <w:rPr>
          <w:rFonts w:asciiTheme="minorEastAsia" w:hAnsiTheme="minorEastAsia" w:eastAsiaTheme="minorEastAsia"/>
          <w:b/>
          <w:color w:val="000000"/>
          <w:szCs w:val="21"/>
          <w:highlight w:val="none"/>
        </w:rPr>
      </w:pPr>
      <w:r>
        <w:rPr>
          <w:rFonts w:hint="eastAsia" w:ascii="黑体" w:hAnsi="仿宋" w:eastAsia="黑体" w:cs="宋体"/>
          <w:b/>
          <w:sz w:val="28"/>
          <w:szCs w:val="28"/>
          <w:highlight w:val="none"/>
        </w:rPr>
        <w:t>联合体协议书（格式）</w:t>
      </w:r>
    </w:p>
    <w:p w14:paraId="73D5F8BD">
      <w:pPr>
        <w:adjustRightInd w:val="0"/>
        <w:snapToGrid w:val="0"/>
        <w:spacing w:line="360" w:lineRule="auto"/>
        <w:rPr>
          <w:rFonts w:asciiTheme="minorEastAsia" w:hAnsiTheme="minorEastAsia" w:eastAsiaTheme="minorEastAsia"/>
          <w:color w:val="000000"/>
          <w:szCs w:val="21"/>
          <w:highlight w:val="none"/>
        </w:rPr>
      </w:pPr>
    </w:p>
    <w:p w14:paraId="1A9681D9">
      <w:pPr>
        <w:adjustRightInd w:val="0"/>
        <w:snapToGrid w:val="0"/>
        <w:spacing w:line="360" w:lineRule="auto"/>
        <w:rPr>
          <w:rFonts w:asciiTheme="minorEastAsia" w:hAnsiTheme="minorEastAsia" w:eastAsiaTheme="minorEastAsia"/>
          <w:color w:val="000000"/>
          <w:szCs w:val="21"/>
          <w:highlight w:val="none"/>
        </w:rPr>
      </w:pPr>
      <w:r>
        <w:rPr>
          <w:rFonts w:hint="eastAsia" w:asciiTheme="minorEastAsia" w:hAnsiTheme="minorEastAsia" w:eastAsiaTheme="minorEastAsia"/>
          <w:color w:val="000000"/>
          <w:szCs w:val="21"/>
          <w:highlight w:val="none"/>
        </w:rPr>
        <w:t>致（采购人或者采购代理机构</w:t>
      </w:r>
      <w:r>
        <w:rPr>
          <w:rFonts w:hint="eastAsia" w:asciiTheme="minorEastAsia" w:hAnsiTheme="minorEastAsia" w:eastAsiaTheme="minorEastAsia"/>
          <w:szCs w:val="21"/>
          <w:highlight w:val="none"/>
        </w:rPr>
        <w:t>）：</w:t>
      </w:r>
    </w:p>
    <w:p w14:paraId="41ECA077">
      <w:pPr>
        <w:adjustRightInd w:val="0"/>
        <w:snapToGrid w:val="0"/>
        <w:spacing w:line="360" w:lineRule="auto"/>
        <w:ind w:firstLine="420" w:firstLineChars="200"/>
        <w:rPr>
          <w:rFonts w:asciiTheme="minorEastAsia" w:hAnsiTheme="minorEastAsia" w:eastAsiaTheme="minorEastAsia"/>
          <w:color w:val="000000"/>
          <w:szCs w:val="21"/>
          <w:highlight w:val="none"/>
        </w:rPr>
      </w:pPr>
      <w:r>
        <w:rPr>
          <w:rFonts w:hint="eastAsia" w:asciiTheme="minorEastAsia" w:hAnsiTheme="minorEastAsia" w:eastAsiaTheme="minorEastAsia"/>
          <w:color w:val="000000"/>
          <w:szCs w:val="21"/>
          <w:highlight w:val="none"/>
        </w:rPr>
        <w:t>经研究，我们决定自愿组成联合体共同参加</w:t>
      </w:r>
      <w:r>
        <w:rPr>
          <w:rFonts w:hint="eastAsia" w:asciiTheme="minorEastAsia" w:hAnsiTheme="minorEastAsia" w:eastAsiaTheme="minorEastAsia"/>
          <w:szCs w:val="21"/>
          <w:highlight w:val="none"/>
        </w:rPr>
        <w:t>（项目名称</w:t>
      </w:r>
      <w:r>
        <w:rPr>
          <w:rFonts w:asciiTheme="minorEastAsia" w:hAnsiTheme="minorEastAsia" w:eastAsiaTheme="minorEastAsia"/>
          <w:szCs w:val="21"/>
          <w:highlight w:val="none"/>
        </w:rPr>
        <w:t>）</w:t>
      </w:r>
      <w:r>
        <w:rPr>
          <w:rFonts w:hint="eastAsia" w:asciiTheme="minorEastAsia" w:hAnsiTheme="minorEastAsia" w:eastAsiaTheme="minorEastAsia"/>
          <w:szCs w:val="21"/>
          <w:highlight w:val="none"/>
        </w:rPr>
        <w:t>（采购代理编号： ）项目的投标</w:t>
      </w:r>
      <w:r>
        <w:rPr>
          <w:rFonts w:hint="eastAsia" w:asciiTheme="minorEastAsia" w:hAnsiTheme="minorEastAsia" w:eastAsiaTheme="minorEastAsia"/>
          <w:color w:val="000000"/>
          <w:szCs w:val="21"/>
          <w:highlight w:val="none"/>
        </w:rPr>
        <w:t>。</w:t>
      </w:r>
      <w:r>
        <w:rPr>
          <w:rFonts w:hint="eastAsia" w:asciiTheme="minorEastAsia" w:hAnsiTheme="minorEastAsia" w:eastAsiaTheme="minorEastAsia"/>
          <w:szCs w:val="21"/>
          <w:highlight w:val="none"/>
        </w:rPr>
        <w:t>现就联合体投标事宜订立如下协议：</w:t>
      </w:r>
    </w:p>
    <w:p w14:paraId="59ACAB3E">
      <w:pPr>
        <w:adjustRightInd w:val="0"/>
        <w:snapToGrid w:val="0"/>
        <w:spacing w:line="360" w:lineRule="auto"/>
        <w:ind w:firstLine="420" w:firstLineChars="200"/>
        <w:rPr>
          <w:rFonts w:asciiTheme="minorEastAsia" w:hAnsiTheme="minorEastAsia" w:eastAsiaTheme="minorEastAsia"/>
          <w:szCs w:val="21"/>
          <w:highlight w:val="none"/>
          <w:u w:val="single"/>
        </w:rPr>
      </w:pPr>
      <w:r>
        <w:rPr>
          <w:rFonts w:hint="eastAsia" w:asciiTheme="minorEastAsia" w:hAnsiTheme="minorEastAsia" w:eastAsiaTheme="minorEastAsia"/>
          <w:szCs w:val="21"/>
          <w:highlight w:val="none"/>
        </w:rPr>
        <w:t>一、联合体基本信息：（各方公司名称、地址、注册资金、营业执照、法定代表人姓名）</w:t>
      </w:r>
    </w:p>
    <w:p w14:paraId="2407444B">
      <w:pPr>
        <w:adjustRightInd w:val="0"/>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二、（某成员单位名称）为（联合体名称）牵头人。</w:t>
      </w:r>
    </w:p>
    <w:p w14:paraId="228D0DBD">
      <w:pPr>
        <w:adjustRightInd w:val="0"/>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14:paraId="122A7ABE">
      <w:pPr>
        <w:adjustRightInd w:val="0"/>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四．联合体将严格按照招标文件的各项要求，递交投标文件，参加投标，履行中标义务和中标后的合同，并向采购人承担连带责任。</w:t>
      </w:r>
    </w:p>
    <w:p w14:paraId="61BEE75B">
      <w:pPr>
        <w:adjustRightInd w:val="0"/>
        <w:snapToGrid w:val="0"/>
        <w:spacing w:line="360" w:lineRule="auto"/>
        <w:ind w:firstLine="420" w:firstLineChars="200"/>
        <w:rPr>
          <w:rFonts w:asciiTheme="minorEastAsia" w:hAnsiTheme="minorEastAsia" w:eastAsiaTheme="minorEastAsia"/>
          <w:szCs w:val="21"/>
          <w:highlight w:val="none"/>
          <w:u w:val="single"/>
        </w:rPr>
      </w:pPr>
      <w:r>
        <w:rPr>
          <w:rFonts w:hint="eastAsia" w:asciiTheme="minorEastAsia" w:hAnsiTheme="minorEastAsia" w:eastAsiaTheme="minorEastAsia"/>
          <w:szCs w:val="21"/>
          <w:highlight w:val="none"/>
        </w:rPr>
        <w:t>五、联合体各成员单位内部的职责分工如下：           。按照本条上述分工，联合体各成员的协议合同金额占联合体协议合同总金额比例如下：        。</w:t>
      </w:r>
    </w:p>
    <w:p w14:paraId="03E09610">
      <w:pPr>
        <w:adjustRightInd w:val="0"/>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六、本协议书自签署之日起生效，合同履行完毕后自动失效。</w:t>
      </w:r>
    </w:p>
    <w:p w14:paraId="121F11FD">
      <w:pPr>
        <w:adjustRightInd w:val="0"/>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七、本协议书一式份，联合体成员和采购人各执一份。</w:t>
      </w:r>
    </w:p>
    <w:p w14:paraId="1B1BE42A">
      <w:pPr>
        <w:adjustRightInd w:val="0"/>
        <w:snapToGrid w:val="0"/>
        <w:spacing w:line="360" w:lineRule="auto"/>
        <w:rPr>
          <w:rFonts w:asciiTheme="minorEastAsia" w:hAnsiTheme="minorEastAsia" w:eastAsiaTheme="minorEastAsia"/>
          <w:szCs w:val="21"/>
          <w:highlight w:val="none"/>
        </w:rPr>
      </w:pPr>
    </w:p>
    <w:p w14:paraId="48C3FA43">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牵头人名称（盖单位章）：</w:t>
      </w:r>
    </w:p>
    <w:p w14:paraId="3A362D6A">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法定代表人或其委托代理人（签字或印章）：</w:t>
      </w:r>
    </w:p>
    <w:p w14:paraId="5116EB10">
      <w:pPr>
        <w:adjustRightInd w:val="0"/>
        <w:snapToGrid w:val="0"/>
        <w:spacing w:line="360" w:lineRule="auto"/>
        <w:rPr>
          <w:rFonts w:asciiTheme="minorEastAsia" w:hAnsiTheme="minorEastAsia" w:eastAsiaTheme="minorEastAsia"/>
          <w:szCs w:val="21"/>
          <w:highlight w:val="none"/>
        </w:rPr>
      </w:pPr>
    </w:p>
    <w:p w14:paraId="2B420947">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成员1名称（盖单位章）：</w:t>
      </w:r>
    </w:p>
    <w:p w14:paraId="00E4A78C">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法定代表人或其委托代理人（签字或印章）：</w:t>
      </w:r>
    </w:p>
    <w:p w14:paraId="7FB88150">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成员2名称（盖单位章）：</w:t>
      </w:r>
    </w:p>
    <w:p w14:paraId="4EB18C6F">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法定代表人或其委托代理人（签字或印章）：</w:t>
      </w:r>
    </w:p>
    <w:p w14:paraId="7AB86929">
      <w:pPr>
        <w:adjustRightInd w:val="0"/>
        <w:snapToGrid w:val="0"/>
        <w:spacing w:line="360" w:lineRule="auto"/>
        <w:rPr>
          <w:rFonts w:asciiTheme="minorEastAsia" w:hAnsiTheme="minorEastAsia" w:eastAsiaTheme="minorEastAsia"/>
          <w:szCs w:val="21"/>
          <w:highlight w:val="none"/>
        </w:rPr>
      </w:pPr>
      <w:r>
        <w:rPr>
          <w:rFonts w:asciiTheme="minorEastAsia" w:hAnsiTheme="minorEastAsia" w:eastAsiaTheme="minorEastAsia"/>
          <w:szCs w:val="21"/>
          <w:highlight w:val="none"/>
        </w:rPr>
        <w:t>…</w:t>
      </w:r>
    </w:p>
    <w:p w14:paraId="377863FA">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 xml:space="preserve">日期：年月日  </w:t>
      </w:r>
    </w:p>
    <w:p w14:paraId="3CE56763">
      <w:pPr>
        <w:widowControl/>
        <w:adjustRightInd w:val="0"/>
        <w:snapToGrid w:val="0"/>
        <w:spacing w:line="360" w:lineRule="auto"/>
        <w:ind w:firstLine="422" w:firstLineChars="200"/>
        <w:jc w:val="left"/>
        <w:rPr>
          <w:rFonts w:asciiTheme="minorEastAsia" w:hAnsiTheme="minorEastAsia" w:eastAsiaTheme="minorEastAsia"/>
          <w:szCs w:val="21"/>
          <w:highlight w:val="none"/>
        </w:rPr>
      </w:pPr>
      <w:r>
        <w:rPr>
          <w:rFonts w:hint="eastAsia" w:asciiTheme="minorEastAsia" w:hAnsiTheme="minorEastAsia" w:eastAsiaTheme="minorEastAsia"/>
          <w:b/>
          <w:szCs w:val="21"/>
          <w:highlight w:val="none"/>
        </w:rPr>
        <w:t>注</w:t>
      </w:r>
      <w:r>
        <w:rPr>
          <w:rFonts w:hint="eastAsia" w:asciiTheme="minorEastAsia" w:hAnsiTheme="minorEastAsia" w:eastAsiaTheme="minorEastAsia"/>
          <w:szCs w:val="21"/>
          <w:highlight w:val="none"/>
        </w:rPr>
        <w:t>：1、本协议书由委托代理人签字的，应附法定代表人授权委托书。</w:t>
      </w:r>
    </w:p>
    <w:p w14:paraId="43FD1C8C">
      <w:pPr>
        <w:widowControl/>
        <w:adjustRightInd w:val="0"/>
        <w:snapToGrid w:val="0"/>
        <w:spacing w:line="360" w:lineRule="auto"/>
        <w:ind w:firstLine="420" w:firstLineChars="200"/>
        <w:jc w:val="left"/>
        <w:rPr>
          <w:rFonts w:ascii="黑体" w:eastAsia="黑体"/>
          <w:color w:val="000000"/>
          <w:sz w:val="32"/>
          <w:szCs w:val="32"/>
          <w:highlight w:val="none"/>
        </w:rPr>
      </w:pPr>
      <w:r>
        <w:rPr>
          <w:rFonts w:hint="eastAsia" w:asciiTheme="minorEastAsia" w:hAnsiTheme="minorEastAsia" w:eastAsiaTheme="minorEastAsia"/>
          <w:szCs w:val="21"/>
          <w:highlight w:val="none"/>
        </w:rPr>
        <w:t>2、投标人在提交投标文件的截止时间前修改“开标一览表”中的投标报价，影响本协议书第五条的，应同时修改本协议书第五条。</w:t>
      </w:r>
      <w:bookmarkEnd w:id="135"/>
      <w:bookmarkEnd w:id="136"/>
      <w:r>
        <w:rPr>
          <w:rFonts w:hint="eastAsia" w:asciiTheme="minorEastAsia" w:hAnsiTheme="minorEastAsia" w:eastAsiaTheme="minorEastAsia"/>
          <w:szCs w:val="21"/>
          <w:highlight w:val="none"/>
        </w:rPr>
        <w:t>否则，评审时价格评审优惠不予以考虑。</w:t>
      </w:r>
    </w:p>
    <w:p w14:paraId="4ADE56FD">
      <w:pPr>
        <w:widowControl/>
        <w:adjustRightInd w:val="0"/>
        <w:snapToGrid w:val="0"/>
        <w:spacing w:line="360" w:lineRule="auto"/>
        <w:jc w:val="left"/>
        <w:rPr>
          <w:rFonts w:ascii="黑体" w:eastAsia="黑体"/>
          <w:color w:val="000000"/>
          <w:sz w:val="32"/>
          <w:szCs w:val="32"/>
          <w:highlight w:val="none"/>
        </w:rPr>
      </w:pPr>
    </w:p>
    <w:p w14:paraId="0B59D2F9">
      <w:pPr>
        <w:pStyle w:val="5"/>
        <w:rPr>
          <w:rFonts w:ascii="黑体" w:hAnsi="仿宋" w:cs="宋体"/>
          <w:b w:val="0"/>
          <w:sz w:val="21"/>
          <w:szCs w:val="21"/>
          <w:highlight w:val="none"/>
        </w:rPr>
      </w:pPr>
      <w:bookmarkStart w:id="145" w:name="_Toc19488"/>
      <w:r>
        <w:rPr>
          <w:rFonts w:hint="eastAsia" w:ascii="黑体" w:hAnsi="仿宋" w:cs="宋体"/>
          <w:b w:val="0"/>
          <w:sz w:val="21"/>
          <w:szCs w:val="21"/>
          <w:highlight w:val="none"/>
        </w:rPr>
        <w:t>附件4-5：通过“信用中国”网站、中国政府采购网站、“信用湖南”网站、湖南省政府采购网站和“信用郴州”网站查询的不良信用记录查询网上截图打印件。</w:t>
      </w:r>
      <w:bookmarkEnd w:id="145"/>
    </w:p>
    <w:p w14:paraId="37FF6310">
      <w:pPr>
        <w:widowControl/>
        <w:adjustRightInd w:val="0"/>
        <w:snapToGrid w:val="0"/>
        <w:spacing w:line="440" w:lineRule="exact"/>
        <w:ind w:firstLine="420" w:firstLineChars="200"/>
        <w:jc w:val="left"/>
        <w:rPr>
          <w:rFonts w:ascii="宋体" w:hAnsi="宋体" w:cs="宋体"/>
          <w:highlight w:val="none"/>
        </w:rPr>
      </w:pPr>
      <w:r>
        <w:rPr>
          <w:rFonts w:hint="eastAsia" w:ascii="宋体" w:hAnsi="宋体" w:cs="宋体"/>
          <w:highlight w:val="none"/>
        </w:rPr>
        <w:t>注：按</w:t>
      </w:r>
      <w:r>
        <w:rPr>
          <w:rFonts w:hint="eastAsia" w:ascii="宋体" w:hAnsi="宋体" w:cs="宋体"/>
          <w:kern w:val="0"/>
          <w:szCs w:val="21"/>
          <w:highlight w:val="none"/>
        </w:rPr>
        <w:t>第一章第三项1.4款、</w:t>
      </w:r>
      <w:r>
        <w:rPr>
          <w:rFonts w:hint="eastAsia" w:ascii="宋体" w:hAnsi="宋体" w:cs="宋体"/>
          <w:highlight w:val="none"/>
        </w:rPr>
        <w:t>第二章第</w:t>
      </w:r>
      <w:r>
        <w:rPr>
          <w:rFonts w:ascii="宋体" w:hAnsi="宋体" w:cs="宋体"/>
          <w:highlight w:val="none"/>
        </w:rPr>
        <w:t>15.1</w:t>
      </w:r>
      <w:r>
        <w:rPr>
          <w:rFonts w:hint="eastAsia" w:ascii="宋体" w:hAnsi="宋体" w:cs="宋体"/>
          <w:highlight w:val="none"/>
        </w:rPr>
        <w:t>款、</w:t>
      </w:r>
      <w:r>
        <w:rPr>
          <w:rFonts w:hint="eastAsia" w:ascii="宋体" w:hAnsi="宋体" w:cs="宋体"/>
          <w:kern w:val="0"/>
          <w:szCs w:val="21"/>
          <w:highlight w:val="none"/>
        </w:rPr>
        <w:t>第四章第4（</w:t>
      </w:r>
      <w:r>
        <w:rPr>
          <w:rFonts w:ascii="宋体" w:hAnsi="宋体" w:cs="宋体"/>
          <w:kern w:val="0"/>
          <w:szCs w:val="21"/>
          <w:highlight w:val="none"/>
        </w:rPr>
        <w:t>2</w:t>
      </w:r>
      <w:r>
        <w:rPr>
          <w:rFonts w:hint="eastAsia" w:ascii="宋体" w:hAnsi="宋体" w:cs="宋体"/>
          <w:kern w:val="0"/>
          <w:szCs w:val="21"/>
          <w:highlight w:val="none"/>
        </w:rPr>
        <w:t>）项</w:t>
      </w:r>
      <w:r>
        <w:rPr>
          <w:rFonts w:hint="eastAsia" w:ascii="宋体" w:hAnsi="宋体" w:cs="宋体"/>
          <w:highlight w:val="none"/>
        </w:rPr>
        <w:t>要求提供。</w:t>
      </w:r>
    </w:p>
    <w:p w14:paraId="2237A816">
      <w:pPr>
        <w:tabs>
          <w:tab w:val="left" w:pos="4725"/>
        </w:tabs>
        <w:adjustRightInd w:val="0"/>
        <w:snapToGrid w:val="0"/>
        <w:spacing w:line="440" w:lineRule="exact"/>
        <w:rPr>
          <w:rFonts w:ascii="宋体" w:hAnsi="宋体" w:cs="宋体"/>
          <w:highlight w:val="none"/>
        </w:rPr>
      </w:pPr>
    </w:p>
    <w:p w14:paraId="319F21FA">
      <w:pPr>
        <w:tabs>
          <w:tab w:val="left" w:pos="4725"/>
        </w:tabs>
        <w:adjustRightInd w:val="0"/>
        <w:snapToGrid w:val="0"/>
        <w:spacing w:line="440" w:lineRule="exact"/>
        <w:rPr>
          <w:rFonts w:ascii="宋体" w:hAnsi="宋体" w:cs="宋体"/>
          <w:highlight w:val="none"/>
        </w:rPr>
      </w:pPr>
    </w:p>
    <w:p w14:paraId="29F42266">
      <w:pPr>
        <w:tabs>
          <w:tab w:val="left" w:pos="4725"/>
        </w:tabs>
        <w:adjustRightInd w:val="0"/>
        <w:snapToGrid w:val="0"/>
        <w:spacing w:line="440" w:lineRule="exact"/>
        <w:rPr>
          <w:rFonts w:ascii="宋体" w:hAnsi="宋体" w:cs="宋体"/>
          <w:highlight w:val="none"/>
        </w:rPr>
      </w:pPr>
    </w:p>
    <w:p w14:paraId="52633E36">
      <w:pPr>
        <w:tabs>
          <w:tab w:val="left" w:pos="4725"/>
        </w:tabs>
        <w:adjustRightInd w:val="0"/>
        <w:snapToGrid w:val="0"/>
        <w:spacing w:line="440" w:lineRule="exact"/>
        <w:rPr>
          <w:rFonts w:ascii="宋体" w:hAnsi="宋体" w:cs="宋体"/>
          <w:highlight w:val="none"/>
        </w:rPr>
      </w:pPr>
    </w:p>
    <w:p w14:paraId="252CFE56">
      <w:pPr>
        <w:pStyle w:val="5"/>
        <w:rPr>
          <w:rFonts w:ascii="黑体" w:hAnsi="仿宋" w:cs="宋体"/>
          <w:b w:val="0"/>
          <w:sz w:val="21"/>
          <w:szCs w:val="21"/>
          <w:highlight w:val="none"/>
        </w:rPr>
      </w:pPr>
      <w:bookmarkStart w:id="146" w:name="_Toc21612"/>
      <w:r>
        <w:rPr>
          <w:rFonts w:hint="eastAsia" w:ascii="黑体" w:hAnsi="仿宋" w:cs="宋体"/>
          <w:b w:val="0"/>
          <w:sz w:val="21"/>
          <w:szCs w:val="21"/>
          <w:highlight w:val="none"/>
        </w:rPr>
        <w:t>附件4-6：湖南省政府采购供应商资格承诺函</w:t>
      </w:r>
      <w:bookmarkEnd w:id="146"/>
    </w:p>
    <w:p w14:paraId="55DD406B">
      <w:pPr>
        <w:spacing w:line="360" w:lineRule="auto"/>
        <w:jc w:val="center"/>
        <w:rPr>
          <w:rFonts w:ascii="宋体" w:hAnsi="宋体" w:cs="宋体"/>
          <w:b/>
          <w:bCs/>
          <w:color w:val="000000"/>
          <w:sz w:val="28"/>
          <w:szCs w:val="28"/>
          <w:highlight w:val="none"/>
        </w:rPr>
      </w:pPr>
    </w:p>
    <w:p w14:paraId="4DAC380C">
      <w:pPr>
        <w:spacing w:line="360" w:lineRule="auto"/>
        <w:jc w:val="center"/>
        <w:rPr>
          <w:rFonts w:ascii="宋体" w:hAnsi="宋体" w:cs="宋体"/>
          <w:b/>
          <w:bCs/>
          <w:color w:val="000000"/>
          <w:sz w:val="28"/>
          <w:szCs w:val="28"/>
          <w:highlight w:val="none"/>
        </w:rPr>
      </w:pPr>
      <w:r>
        <w:rPr>
          <w:rFonts w:hint="eastAsia" w:ascii="宋体" w:hAnsi="宋体" w:cs="宋体"/>
          <w:b/>
          <w:bCs/>
          <w:color w:val="000000"/>
          <w:sz w:val="28"/>
          <w:szCs w:val="28"/>
          <w:highlight w:val="none"/>
        </w:rPr>
        <w:t>湖南省政府采购供应商资格承诺函</w:t>
      </w:r>
    </w:p>
    <w:p w14:paraId="2D7E78EA">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4E45328E">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按照《政府采购促进中小企业发展管理办法》(财库〔2020)46号)，本公司企业规模为:</w:t>
      </w:r>
    </w:p>
    <w:p w14:paraId="60EF7503">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大型口 中型口 小型口 微型口</w:t>
      </w:r>
    </w:p>
    <w:p w14:paraId="01EBA891">
      <w:pPr>
        <w:spacing w:line="360" w:lineRule="auto"/>
        <w:ind w:firstLine="1260" w:firstLineChars="600"/>
        <w:jc w:val="right"/>
        <w:rPr>
          <w:rFonts w:ascii="宋体" w:hAnsi="宋体" w:cs="宋体"/>
          <w:color w:val="000000"/>
          <w:szCs w:val="21"/>
          <w:highlight w:val="none"/>
        </w:rPr>
      </w:pPr>
    </w:p>
    <w:p w14:paraId="10B70FD4">
      <w:pPr>
        <w:spacing w:line="360" w:lineRule="auto"/>
        <w:ind w:firstLine="1260" w:firstLineChars="600"/>
        <w:jc w:val="right"/>
        <w:rPr>
          <w:rFonts w:ascii="宋体" w:hAnsi="宋体" w:cs="宋体"/>
          <w:color w:val="000000"/>
          <w:szCs w:val="21"/>
          <w:highlight w:val="none"/>
        </w:rPr>
      </w:pPr>
      <w:r>
        <w:rPr>
          <w:rFonts w:hint="eastAsia" w:ascii="宋体" w:hAnsi="宋体" w:cs="宋体"/>
          <w:color w:val="000000"/>
          <w:szCs w:val="21"/>
          <w:highlight w:val="none"/>
        </w:rPr>
        <w:t>公司(单位)名称(盖章)</w:t>
      </w:r>
    </w:p>
    <w:p w14:paraId="287D37CE">
      <w:pPr>
        <w:spacing w:line="360" w:lineRule="auto"/>
        <w:jc w:val="right"/>
        <w:rPr>
          <w:rFonts w:ascii="宋体" w:hAnsi="宋体" w:cs="宋体"/>
          <w:color w:val="000000"/>
          <w:szCs w:val="21"/>
          <w:highlight w:val="none"/>
        </w:rPr>
      </w:pPr>
      <w:r>
        <w:rPr>
          <w:rFonts w:hint="eastAsia" w:ascii="宋体" w:hAnsi="宋体" w:cs="宋体"/>
          <w:color w:val="000000"/>
          <w:szCs w:val="21"/>
          <w:highlight w:val="none"/>
        </w:rPr>
        <w:t>年月日</w:t>
      </w:r>
    </w:p>
    <w:p w14:paraId="6F502A5E">
      <w:pPr>
        <w:spacing w:line="360" w:lineRule="auto"/>
        <w:rPr>
          <w:rFonts w:ascii="宋体" w:hAnsi="宋体" w:cs="宋体"/>
          <w:color w:val="000000"/>
          <w:szCs w:val="21"/>
          <w:highlight w:val="none"/>
        </w:rPr>
      </w:pPr>
    </w:p>
    <w:p w14:paraId="4CD051DD">
      <w:pPr>
        <w:spacing w:line="360" w:lineRule="auto"/>
        <w:rPr>
          <w:rFonts w:ascii="宋体" w:hAnsi="宋体" w:cs="宋体"/>
          <w:color w:val="000000"/>
          <w:szCs w:val="21"/>
          <w:highlight w:val="none"/>
        </w:rPr>
      </w:pPr>
      <w:r>
        <w:rPr>
          <w:rFonts w:hint="eastAsia" w:ascii="宋体" w:hAnsi="宋体" w:cs="宋体"/>
          <w:color w:val="000000"/>
          <w:szCs w:val="21"/>
          <w:highlight w:val="none"/>
        </w:rPr>
        <w:t>机构代码：、注册登记机构：、日期：、有效期：、注册资本：、地址：、经济行业：、</w:t>
      </w:r>
    </w:p>
    <w:p w14:paraId="5F1507AB">
      <w:pPr>
        <w:spacing w:line="360" w:lineRule="auto"/>
        <w:rPr>
          <w:rFonts w:ascii="宋体" w:hAnsi="宋体" w:cs="宋体"/>
          <w:color w:val="000000"/>
          <w:szCs w:val="21"/>
          <w:highlight w:val="none"/>
        </w:rPr>
      </w:pPr>
      <w:r>
        <w:rPr>
          <w:rFonts w:hint="eastAsia" w:ascii="宋体" w:hAnsi="宋体" w:cs="宋体"/>
          <w:color w:val="000000"/>
          <w:szCs w:val="21"/>
          <w:highlight w:val="none"/>
        </w:rPr>
        <w:t>经济性质：</w:t>
      </w:r>
    </w:p>
    <w:p w14:paraId="30B2943E">
      <w:pPr>
        <w:spacing w:line="360" w:lineRule="auto"/>
        <w:rPr>
          <w:rFonts w:ascii="宋体" w:hAnsi="宋体" w:cs="宋体"/>
          <w:color w:val="000000"/>
          <w:szCs w:val="21"/>
          <w:highlight w:val="none"/>
        </w:rPr>
      </w:pPr>
      <w:r>
        <w:rPr>
          <w:rFonts w:hint="eastAsia" w:ascii="宋体" w:hAnsi="宋体" w:cs="宋体"/>
          <w:color w:val="000000"/>
          <w:szCs w:val="21"/>
          <w:highlight w:val="none"/>
        </w:rPr>
        <w:t>法定代表人(负责人)姓名(签字)：、身份证号：、手机号:</w:t>
      </w:r>
    </w:p>
    <w:p w14:paraId="5960A598">
      <w:pPr>
        <w:spacing w:line="360" w:lineRule="auto"/>
        <w:rPr>
          <w:rFonts w:ascii="宋体" w:hAnsi="宋体" w:cs="宋体"/>
          <w:color w:val="000000"/>
          <w:szCs w:val="21"/>
          <w:highlight w:val="none"/>
        </w:rPr>
      </w:pPr>
      <w:r>
        <w:rPr>
          <w:rFonts w:hint="eastAsia" w:ascii="宋体" w:hAnsi="宋体" w:cs="宋体"/>
          <w:color w:val="000000"/>
          <w:szCs w:val="21"/>
          <w:highlight w:val="none"/>
        </w:rPr>
        <w:t>授权代表人姓名(签字)：、身份证号：、手机号:</w:t>
      </w:r>
    </w:p>
    <w:p w14:paraId="75397CB4">
      <w:pPr>
        <w:widowControl/>
        <w:numPr>
          <w:ilvl w:val="0"/>
          <w:numId w:val="5"/>
        </w:numPr>
        <w:adjustRightInd w:val="0"/>
        <w:snapToGrid w:val="0"/>
        <w:spacing w:line="360" w:lineRule="auto"/>
        <w:ind w:firstLine="420" w:firstLineChars="200"/>
        <w:jc w:val="left"/>
        <w:rPr>
          <w:rFonts w:ascii="黑体" w:eastAsia="黑体"/>
          <w:color w:val="000000"/>
          <w:sz w:val="32"/>
          <w:szCs w:val="32"/>
          <w:highlight w:val="none"/>
        </w:rPr>
      </w:pPr>
      <w:r>
        <w:rPr>
          <w:rFonts w:ascii="宋体" w:hAnsi="宋体"/>
          <w:szCs w:val="21"/>
          <w:highlight w:val="none"/>
        </w:rPr>
        <w:br w:type="page"/>
      </w:r>
    </w:p>
    <w:p w14:paraId="5DE45E30">
      <w:pPr>
        <w:adjustRightInd w:val="0"/>
        <w:snapToGrid w:val="0"/>
        <w:spacing w:line="360" w:lineRule="auto"/>
        <w:jc w:val="center"/>
        <w:rPr>
          <w:rFonts w:ascii="黑体" w:eastAsia="黑体"/>
          <w:color w:val="000000"/>
          <w:sz w:val="32"/>
          <w:szCs w:val="32"/>
          <w:highlight w:val="none"/>
        </w:rPr>
      </w:pPr>
    </w:p>
    <w:p w14:paraId="13C77396">
      <w:pPr>
        <w:adjustRightInd w:val="0"/>
        <w:snapToGrid w:val="0"/>
        <w:spacing w:line="360" w:lineRule="auto"/>
        <w:jc w:val="center"/>
        <w:rPr>
          <w:rFonts w:ascii="黑体" w:eastAsia="黑体"/>
          <w:color w:val="000000"/>
          <w:sz w:val="32"/>
          <w:szCs w:val="32"/>
          <w:highlight w:val="none"/>
        </w:rPr>
      </w:pPr>
    </w:p>
    <w:p w14:paraId="5C7B9E85">
      <w:pPr>
        <w:pStyle w:val="23"/>
        <w:adjustRightInd w:val="0"/>
        <w:snapToGrid w:val="0"/>
        <w:spacing w:line="360" w:lineRule="auto"/>
        <w:jc w:val="center"/>
        <w:rPr>
          <w:rFonts w:ascii="华文中宋" w:hAnsi="华文中宋" w:eastAsia="华文中宋"/>
          <w:bCs/>
          <w:sz w:val="72"/>
          <w:szCs w:val="72"/>
          <w:highlight w:val="none"/>
        </w:rPr>
      </w:pPr>
      <w:r>
        <w:rPr>
          <w:rFonts w:hint="eastAsia" w:ascii="华文中宋" w:hAnsi="华文中宋" w:eastAsia="华文中宋"/>
          <w:bCs/>
          <w:sz w:val="72"/>
          <w:szCs w:val="72"/>
          <w:highlight w:val="none"/>
        </w:rPr>
        <w:t>政府采购</w:t>
      </w:r>
    </w:p>
    <w:p w14:paraId="4D86CC09">
      <w:pPr>
        <w:adjustRightInd w:val="0"/>
        <w:snapToGrid w:val="0"/>
        <w:spacing w:line="360" w:lineRule="auto"/>
        <w:jc w:val="center"/>
        <w:rPr>
          <w:rFonts w:asciiTheme="minorEastAsia" w:hAnsiTheme="minorEastAsia" w:eastAsiaTheme="minorEastAsia"/>
          <w:b/>
          <w:bCs/>
          <w:sz w:val="84"/>
          <w:szCs w:val="84"/>
          <w:highlight w:val="none"/>
        </w:rPr>
      </w:pPr>
      <w:r>
        <w:rPr>
          <w:rFonts w:hint="eastAsia" w:asciiTheme="minorEastAsia" w:hAnsiTheme="minorEastAsia" w:eastAsiaTheme="minorEastAsia"/>
          <w:b/>
          <w:bCs/>
          <w:sz w:val="84"/>
          <w:szCs w:val="84"/>
          <w:highlight w:val="none"/>
        </w:rPr>
        <w:t>投 标 文 件</w:t>
      </w:r>
    </w:p>
    <w:p w14:paraId="3C0EA7AE">
      <w:pPr>
        <w:pStyle w:val="3"/>
        <w:adjustRightInd w:val="0"/>
        <w:snapToGrid w:val="0"/>
        <w:jc w:val="center"/>
        <w:rPr>
          <w:rFonts w:ascii="黑体" w:hAnsi="黑体" w:eastAsia="黑体"/>
          <w:color w:val="000000"/>
          <w:sz w:val="44"/>
          <w:szCs w:val="44"/>
          <w:highlight w:val="none"/>
        </w:rPr>
      </w:pPr>
      <w:bookmarkStart w:id="147" w:name="_Toc8983770"/>
      <w:bookmarkStart w:id="148" w:name="_Toc18013"/>
      <w:r>
        <w:rPr>
          <w:rFonts w:hint="eastAsia" w:ascii="黑体" w:hAnsi="黑体" w:eastAsia="黑体"/>
          <w:color w:val="000000"/>
          <w:sz w:val="44"/>
          <w:szCs w:val="44"/>
          <w:highlight w:val="none"/>
        </w:rPr>
        <w:t>第二部分 商务技术文件</w:t>
      </w:r>
      <w:bookmarkEnd w:id="147"/>
      <w:bookmarkEnd w:id="148"/>
    </w:p>
    <w:p w14:paraId="1E16983A">
      <w:pPr>
        <w:pStyle w:val="23"/>
        <w:adjustRightInd w:val="0"/>
        <w:snapToGrid w:val="0"/>
        <w:spacing w:line="360" w:lineRule="auto"/>
        <w:ind w:firstLine="1988" w:firstLineChars="660"/>
        <w:rPr>
          <w:rFonts w:asciiTheme="minorEastAsia" w:hAnsiTheme="minorEastAsia" w:eastAsiaTheme="minorEastAsia"/>
          <w:b/>
          <w:bCs/>
          <w:sz w:val="30"/>
          <w:szCs w:val="30"/>
          <w:highlight w:val="none"/>
        </w:rPr>
      </w:pPr>
    </w:p>
    <w:p w14:paraId="60330E52">
      <w:pPr>
        <w:pStyle w:val="23"/>
        <w:adjustRightInd w:val="0"/>
        <w:snapToGrid w:val="0"/>
        <w:spacing w:line="360" w:lineRule="auto"/>
        <w:ind w:firstLine="1988" w:firstLineChars="660"/>
        <w:rPr>
          <w:rFonts w:asciiTheme="minorEastAsia" w:hAnsiTheme="minorEastAsia" w:eastAsiaTheme="minorEastAsia"/>
          <w:b/>
          <w:bCs/>
          <w:sz w:val="30"/>
          <w:szCs w:val="30"/>
          <w:highlight w:val="none"/>
        </w:rPr>
      </w:pPr>
      <w:r>
        <w:rPr>
          <w:rFonts w:hint="eastAsia" w:asciiTheme="minorEastAsia" w:hAnsiTheme="minorEastAsia" w:eastAsiaTheme="minorEastAsia"/>
          <w:b/>
          <w:bCs/>
          <w:sz w:val="30"/>
          <w:szCs w:val="30"/>
          <w:highlight w:val="none"/>
        </w:rPr>
        <w:t>采购项目名称:</w:t>
      </w:r>
    </w:p>
    <w:p w14:paraId="402D5B1B">
      <w:pPr>
        <w:pStyle w:val="23"/>
        <w:adjustRightInd w:val="0"/>
        <w:snapToGrid w:val="0"/>
        <w:spacing w:line="360" w:lineRule="auto"/>
        <w:ind w:firstLine="1988" w:firstLineChars="660"/>
        <w:rPr>
          <w:rFonts w:asciiTheme="minorEastAsia" w:hAnsiTheme="minorEastAsia" w:eastAsiaTheme="minorEastAsia"/>
          <w:b/>
          <w:bCs/>
          <w:sz w:val="30"/>
          <w:szCs w:val="30"/>
          <w:highlight w:val="none"/>
        </w:rPr>
      </w:pPr>
      <w:r>
        <w:rPr>
          <w:rFonts w:hint="eastAsia" w:asciiTheme="minorEastAsia" w:hAnsiTheme="minorEastAsia" w:eastAsiaTheme="minorEastAsia"/>
          <w:b/>
          <w:bCs/>
          <w:sz w:val="30"/>
          <w:szCs w:val="30"/>
          <w:highlight w:val="none"/>
        </w:rPr>
        <w:t>包        号：</w:t>
      </w:r>
    </w:p>
    <w:p w14:paraId="44686A34">
      <w:pPr>
        <w:pStyle w:val="23"/>
        <w:adjustRightInd w:val="0"/>
        <w:snapToGrid w:val="0"/>
        <w:spacing w:line="360" w:lineRule="auto"/>
        <w:ind w:firstLine="1988" w:firstLineChars="660"/>
        <w:rPr>
          <w:rFonts w:asciiTheme="minorEastAsia" w:hAnsiTheme="minorEastAsia" w:eastAsiaTheme="minorEastAsia"/>
          <w:b/>
          <w:bCs/>
          <w:sz w:val="30"/>
          <w:szCs w:val="30"/>
          <w:highlight w:val="none"/>
        </w:rPr>
      </w:pPr>
      <w:r>
        <w:rPr>
          <w:rFonts w:hint="eastAsia" w:asciiTheme="minorEastAsia" w:hAnsiTheme="minorEastAsia" w:eastAsiaTheme="minorEastAsia"/>
          <w:b/>
          <w:bCs/>
          <w:sz w:val="30"/>
          <w:szCs w:val="30"/>
          <w:highlight w:val="none"/>
        </w:rPr>
        <w:t>采   购   人：</w:t>
      </w:r>
    </w:p>
    <w:p w14:paraId="0F520474">
      <w:pPr>
        <w:pStyle w:val="23"/>
        <w:adjustRightInd w:val="0"/>
        <w:snapToGrid w:val="0"/>
        <w:spacing w:line="360" w:lineRule="auto"/>
        <w:ind w:firstLine="1988" w:firstLineChars="660"/>
        <w:rPr>
          <w:rFonts w:asciiTheme="minorEastAsia" w:hAnsiTheme="minorEastAsia" w:eastAsiaTheme="minorEastAsia"/>
          <w:b/>
          <w:bCs/>
          <w:sz w:val="30"/>
          <w:szCs w:val="30"/>
          <w:highlight w:val="none"/>
        </w:rPr>
      </w:pPr>
      <w:r>
        <w:rPr>
          <w:rFonts w:hint="eastAsia" w:asciiTheme="minorEastAsia" w:hAnsiTheme="minorEastAsia" w:eastAsiaTheme="minorEastAsia"/>
          <w:b/>
          <w:bCs/>
          <w:sz w:val="30"/>
          <w:szCs w:val="30"/>
          <w:highlight w:val="none"/>
        </w:rPr>
        <w:t>政府采购编号：</w:t>
      </w:r>
    </w:p>
    <w:p w14:paraId="56FD4B42">
      <w:pPr>
        <w:pStyle w:val="23"/>
        <w:adjustRightInd w:val="0"/>
        <w:snapToGrid w:val="0"/>
        <w:spacing w:line="360" w:lineRule="auto"/>
        <w:ind w:firstLine="1988" w:firstLineChars="660"/>
        <w:rPr>
          <w:rFonts w:asciiTheme="minorEastAsia" w:hAnsiTheme="minorEastAsia" w:eastAsiaTheme="minorEastAsia"/>
          <w:b/>
          <w:bCs/>
          <w:sz w:val="30"/>
          <w:szCs w:val="30"/>
          <w:highlight w:val="none"/>
        </w:rPr>
      </w:pPr>
      <w:r>
        <w:rPr>
          <w:rFonts w:hint="eastAsia" w:asciiTheme="minorEastAsia" w:hAnsiTheme="minorEastAsia" w:eastAsiaTheme="minorEastAsia"/>
          <w:b/>
          <w:bCs/>
          <w:sz w:val="30"/>
          <w:szCs w:val="30"/>
          <w:highlight w:val="none"/>
        </w:rPr>
        <w:t>采购代理编号：</w:t>
      </w:r>
    </w:p>
    <w:p w14:paraId="7AE56F6A">
      <w:pPr>
        <w:pStyle w:val="23"/>
        <w:adjustRightInd w:val="0"/>
        <w:snapToGrid w:val="0"/>
        <w:spacing w:line="360" w:lineRule="auto"/>
        <w:ind w:firstLine="1988" w:firstLineChars="660"/>
        <w:rPr>
          <w:rFonts w:asciiTheme="minorEastAsia" w:hAnsiTheme="minorEastAsia" w:eastAsiaTheme="minorEastAsia"/>
          <w:b/>
          <w:bCs/>
          <w:sz w:val="30"/>
          <w:szCs w:val="30"/>
          <w:highlight w:val="none"/>
          <w:u w:val="single"/>
        </w:rPr>
      </w:pPr>
      <w:r>
        <w:rPr>
          <w:rFonts w:hint="eastAsia" w:asciiTheme="minorEastAsia" w:hAnsiTheme="minorEastAsia" w:eastAsiaTheme="minorEastAsia"/>
          <w:b/>
          <w:bCs/>
          <w:sz w:val="30"/>
          <w:szCs w:val="30"/>
          <w:highlight w:val="none"/>
        </w:rPr>
        <w:t>采购代理机构：</w:t>
      </w:r>
    </w:p>
    <w:p w14:paraId="66BCF39D">
      <w:pPr>
        <w:adjustRightInd w:val="0"/>
        <w:snapToGrid w:val="0"/>
        <w:spacing w:line="360" w:lineRule="auto"/>
        <w:rPr>
          <w:rFonts w:asciiTheme="minorEastAsia" w:hAnsiTheme="minorEastAsia" w:eastAsiaTheme="minorEastAsia"/>
          <w:color w:val="000000"/>
          <w:sz w:val="30"/>
          <w:szCs w:val="30"/>
          <w:highlight w:val="none"/>
        </w:rPr>
      </w:pPr>
    </w:p>
    <w:p w14:paraId="4C3AAACB">
      <w:pPr>
        <w:adjustRightInd w:val="0"/>
        <w:snapToGrid w:val="0"/>
        <w:spacing w:line="360" w:lineRule="auto"/>
        <w:rPr>
          <w:rFonts w:asciiTheme="minorEastAsia" w:hAnsiTheme="minorEastAsia" w:eastAsiaTheme="minorEastAsia"/>
          <w:color w:val="000000"/>
          <w:sz w:val="30"/>
          <w:szCs w:val="30"/>
          <w:highlight w:val="none"/>
        </w:rPr>
      </w:pPr>
    </w:p>
    <w:p w14:paraId="418AC85D">
      <w:pPr>
        <w:adjustRightInd w:val="0"/>
        <w:snapToGrid w:val="0"/>
        <w:spacing w:line="360" w:lineRule="auto"/>
        <w:rPr>
          <w:rFonts w:asciiTheme="minorEastAsia" w:hAnsiTheme="minorEastAsia" w:eastAsiaTheme="minorEastAsia"/>
          <w:color w:val="000000"/>
          <w:sz w:val="30"/>
          <w:szCs w:val="30"/>
          <w:highlight w:val="none"/>
        </w:rPr>
      </w:pPr>
    </w:p>
    <w:p w14:paraId="211D6497">
      <w:pPr>
        <w:adjustRightInd w:val="0"/>
        <w:snapToGrid w:val="0"/>
        <w:spacing w:line="360" w:lineRule="auto"/>
        <w:rPr>
          <w:rFonts w:asciiTheme="minorEastAsia" w:hAnsiTheme="minorEastAsia" w:eastAsiaTheme="minorEastAsia"/>
          <w:color w:val="000000"/>
          <w:sz w:val="30"/>
          <w:szCs w:val="30"/>
          <w:highlight w:val="none"/>
        </w:rPr>
      </w:pPr>
    </w:p>
    <w:p w14:paraId="603778FE">
      <w:pPr>
        <w:adjustRightInd w:val="0"/>
        <w:snapToGrid w:val="0"/>
        <w:spacing w:line="360" w:lineRule="auto"/>
        <w:ind w:left="1273" w:leftChars="606" w:firstLine="2"/>
        <w:rPr>
          <w:rFonts w:asciiTheme="minorEastAsia" w:hAnsiTheme="minorEastAsia" w:eastAsiaTheme="minorEastAsia"/>
          <w:color w:val="000000"/>
          <w:sz w:val="32"/>
          <w:szCs w:val="32"/>
          <w:highlight w:val="none"/>
          <w:u w:val="single"/>
        </w:rPr>
      </w:pPr>
      <w:r>
        <w:rPr>
          <w:rFonts w:hint="eastAsia" w:asciiTheme="minorEastAsia" w:hAnsiTheme="minorEastAsia" w:eastAsiaTheme="minorEastAsia"/>
          <w:color w:val="000000"/>
          <w:sz w:val="32"/>
          <w:szCs w:val="32"/>
          <w:highlight w:val="none"/>
        </w:rPr>
        <w:t>投标人</w:t>
      </w:r>
    </w:p>
    <w:p w14:paraId="20D7FC2A">
      <w:pPr>
        <w:adjustRightInd w:val="0"/>
        <w:snapToGrid w:val="0"/>
        <w:spacing w:line="360" w:lineRule="auto"/>
        <w:jc w:val="center"/>
        <w:rPr>
          <w:rFonts w:asciiTheme="minorEastAsia" w:hAnsiTheme="minorEastAsia" w:eastAsiaTheme="minorEastAsia"/>
          <w:color w:val="000000"/>
          <w:sz w:val="32"/>
          <w:szCs w:val="32"/>
          <w:highlight w:val="none"/>
        </w:rPr>
      </w:pPr>
      <w:r>
        <w:rPr>
          <w:rFonts w:hint="eastAsia" w:asciiTheme="minorEastAsia" w:hAnsiTheme="minorEastAsia" w:eastAsiaTheme="minorEastAsia"/>
          <w:color w:val="000000"/>
          <w:sz w:val="32"/>
          <w:szCs w:val="32"/>
          <w:highlight w:val="none"/>
        </w:rPr>
        <w:t>年  月  日</w:t>
      </w:r>
    </w:p>
    <w:p w14:paraId="6E78C472">
      <w:pPr>
        <w:widowControl/>
        <w:jc w:val="left"/>
        <w:rPr>
          <w:rFonts w:ascii="Arial" w:hAnsi="Arial" w:eastAsia="黑体"/>
          <w:b/>
          <w:bCs/>
          <w:sz w:val="28"/>
          <w:szCs w:val="28"/>
          <w:highlight w:val="none"/>
        </w:rPr>
      </w:pPr>
      <w:r>
        <w:rPr>
          <w:rFonts w:asciiTheme="minorEastAsia" w:hAnsiTheme="minorEastAsia" w:eastAsiaTheme="minorEastAsia"/>
          <w:color w:val="000000"/>
          <w:highlight w:val="none"/>
          <w:u w:val="single"/>
        </w:rPr>
        <w:br w:type="page"/>
      </w:r>
    </w:p>
    <w:p w14:paraId="2266D12E">
      <w:pPr>
        <w:keepNext/>
        <w:keepLines/>
        <w:widowControl w:val="0"/>
        <w:bidi w:val="0"/>
        <w:spacing w:before="0" w:beforeLines="0" w:beforeAutospacing="0" w:after="0" w:afterLines="0" w:afterAutospacing="0" w:line="240" w:lineRule="auto"/>
        <w:jc w:val="center"/>
        <w:outlineLvl w:val="0"/>
        <w:rPr>
          <w:rFonts w:hint="eastAsia" w:ascii="Calibri" w:hAnsi="Calibri" w:eastAsia="宋体" w:cs="Times New Roman"/>
          <w:b/>
          <w:kern w:val="44"/>
          <w:sz w:val="32"/>
          <w:szCs w:val="32"/>
          <w:lang w:val="en-US" w:eastAsia="zh-CN" w:bidi="ar-SA"/>
        </w:rPr>
      </w:pPr>
      <w:bookmarkStart w:id="149" w:name="_Toc9352"/>
      <w:bookmarkStart w:id="150" w:name="_Toc32313"/>
      <w:bookmarkStart w:id="151" w:name="_Toc14700"/>
      <w:bookmarkStart w:id="152" w:name="_Toc3859"/>
      <w:r>
        <w:rPr>
          <w:rFonts w:hint="eastAsia" w:ascii="Calibri" w:hAnsi="Calibri" w:eastAsia="宋体" w:cs="Times New Roman"/>
          <w:b/>
          <w:kern w:val="44"/>
          <w:sz w:val="32"/>
          <w:szCs w:val="32"/>
          <w:lang w:val="en-US" w:eastAsia="zh-CN" w:bidi="ar-SA"/>
        </w:rPr>
        <w:t>五、投标函</w:t>
      </w:r>
      <w:bookmarkEnd w:id="149"/>
      <w:bookmarkEnd w:id="150"/>
      <w:bookmarkEnd w:id="151"/>
      <w:bookmarkEnd w:id="152"/>
    </w:p>
    <w:p w14:paraId="5CE7188A">
      <w:pPr>
        <w:adjustRightInd w:val="0"/>
        <w:snapToGrid w:val="0"/>
        <w:spacing w:before="156" w:beforeLines="50" w:line="360" w:lineRule="auto"/>
        <w:jc w:val="left"/>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 xml:space="preserve">           </w:t>
      </w:r>
      <w:r>
        <w:rPr>
          <w:rFonts w:hint="eastAsia" w:ascii="宋体" w:hAnsi="宋体" w:eastAsia="宋体" w:cs="宋体"/>
          <w:sz w:val="24"/>
          <w:szCs w:val="24"/>
        </w:rPr>
        <w:t>（采购人、采购代理机构）：</w:t>
      </w:r>
    </w:p>
    <w:p w14:paraId="124E37DB">
      <w:pPr>
        <w:adjustRightInd w:val="0"/>
        <w:snapToGrid w:val="0"/>
        <w:spacing w:before="156" w:beforeLines="50" w:line="360" w:lineRule="auto"/>
        <w:ind w:firstLine="435"/>
        <w:jc w:val="left"/>
        <w:rPr>
          <w:rFonts w:hint="eastAsia" w:ascii="宋体" w:hAnsi="宋体" w:eastAsia="宋体" w:cs="宋体"/>
          <w:sz w:val="24"/>
          <w:szCs w:val="24"/>
        </w:rPr>
      </w:pPr>
      <w:r>
        <w:rPr>
          <w:rFonts w:hint="eastAsia" w:ascii="宋体" w:hAnsi="宋体" w:eastAsia="宋体" w:cs="宋体"/>
          <w:sz w:val="24"/>
          <w:szCs w:val="24"/>
        </w:rPr>
        <w:t>根据贵方为</w:t>
      </w:r>
      <w:r>
        <w:rPr>
          <w:rFonts w:hint="eastAsia" w:ascii="宋体" w:hAnsi="宋体" w:eastAsia="宋体" w:cs="宋体"/>
          <w:sz w:val="24"/>
          <w:szCs w:val="24"/>
          <w:u w:val="single"/>
        </w:rPr>
        <w:t xml:space="preserve">           </w:t>
      </w:r>
      <w:r>
        <w:rPr>
          <w:rFonts w:hint="eastAsia" w:ascii="宋体" w:hAnsi="宋体" w:eastAsia="宋体" w:cs="宋体"/>
          <w:sz w:val="24"/>
          <w:szCs w:val="24"/>
        </w:rPr>
        <w:t>（项目名称）的投标邀请（政府</w:t>
      </w:r>
      <w:r>
        <w:rPr>
          <w:rFonts w:hint="eastAsia" w:ascii="宋体" w:hAnsi="宋体" w:eastAsia="宋体" w:cs="宋体"/>
          <w:iCs/>
          <w:sz w:val="24"/>
          <w:szCs w:val="24"/>
        </w:rPr>
        <w:t>采购编号：</w:t>
      </w:r>
      <w:r>
        <w:rPr>
          <w:rFonts w:hint="eastAsia" w:ascii="宋体" w:hAnsi="宋体" w:eastAsia="宋体" w:cs="宋体"/>
          <w:iCs/>
          <w:sz w:val="24"/>
          <w:szCs w:val="24"/>
          <w:u w:val="single"/>
        </w:rPr>
        <w:t xml:space="preserve">      </w:t>
      </w:r>
      <w:r>
        <w:rPr>
          <w:rFonts w:hint="eastAsia" w:ascii="宋体" w:hAnsi="宋体" w:eastAsia="宋体" w:cs="宋体"/>
          <w:iCs/>
          <w:sz w:val="24"/>
          <w:szCs w:val="24"/>
        </w:rPr>
        <w:t xml:space="preserve"> ，</w:t>
      </w:r>
      <w:r>
        <w:rPr>
          <w:rFonts w:hint="eastAsia" w:ascii="宋体" w:hAnsi="宋体" w:eastAsia="宋体" w:cs="宋体"/>
          <w:sz w:val="24"/>
          <w:szCs w:val="24"/>
        </w:rPr>
        <w:t>采购代理编号：</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），签字代表 </w:t>
      </w:r>
      <w:r>
        <w:rPr>
          <w:rFonts w:hint="eastAsia" w:ascii="宋体" w:hAnsi="宋体" w:eastAsia="宋体" w:cs="宋体"/>
          <w:sz w:val="24"/>
          <w:szCs w:val="24"/>
          <w:u w:val="single"/>
        </w:rPr>
        <w:t xml:space="preserve">      </w:t>
      </w:r>
      <w:r>
        <w:rPr>
          <w:rFonts w:hint="eastAsia" w:ascii="宋体" w:hAnsi="宋体" w:eastAsia="宋体" w:cs="宋体"/>
          <w:sz w:val="24"/>
          <w:szCs w:val="24"/>
        </w:rPr>
        <w:t>（姓名、职务）经正式授权并代表投标人</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（投标人名称）提交包含下述内容的电子投标文件一份至郴州市公共资源交易中心政府采购交易系统，参加</w:t>
      </w:r>
      <w:r>
        <w:rPr>
          <w:rFonts w:hint="eastAsia" w:ascii="宋体" w:hAnsi="宋体" w:eastAsia="宋体" w:cs="宋体"/>
          <w:sz w:val="24"/>
          <w:szCs w:val="24"/>
          <w:u w:val="single"/>
        </w:rPr>
        <w:t xml:space="preserve">          </w:t>
      </w:r>
      <w:r>
        <w:rPr>
          <w:rFonts w:hint="eastAsia" w:ascii="宋体" w:hAnsi="宋体" w:eastAsia="宋体" w:cs="宋体"/>
          <w:sz w:val="24"/>
          <w:szCs w:val="24"/>
        </w:rPr>
        <w:t>项目第</w:t>
      </w:r>
      <w:r>
        <w:rPr>
          <w:rFonts w:hint="eastAsia" w:ascii="宋体" w:hAnsi="宋体" w:eastAsia="宋体" w:cs="宋体"/>
          <w:sz w:val="24"/>
          <w:szCs w:val="24"/>
          <w:u w:val="single"/>
        </w:rPr>
        <w:t xml:space="preserve">   </w:t>
      </w:r>
      <w:r>
        <w:rPr>
          <w:rFonts w:hint="eastAsia" w:ascii="宋体" w:hAnsi="宋体" w:eastAsia="宋体" w:cs="宋体"/>
          <w:sz w:val="24"/>
          <w:szCs w:val="24"/>
        </w:rPr>
        <w:t>包投标，并在此声明，所递交的投标文件内容合法、完整、真实。</w:t>
      </w:r>
    </w:p>
    <w:p w14:paraId="5402E29A">
      <w:pPr>
        <w:adjustRightInd w:val="0"/>
        <w:snapToGrid w:val="0"/>
        <w:spacing w:before="156" w:beforeLines="50" w:line="360" w:lineRule="auto"/>
        <w:ind w:firstLine="482" w:firstLineChars="200"/>
        <w:jc w:val="left"/>
        <w:rPr>
          <w:rFonts w:hint="eastAsia" w:ascii="宋体" w:hAnsi="宋体" w:eastAsia="宋体" w:cs="宋体"/>
          <w:b/>
          <w:sz w:val="24"/>
          <w:szCs w:val="24"/>
        </w:rPr>
      </w:pPr>
      <w:r>
        <w:rPr>
          <w:rFonts w:hint="eastAsia" w:ascii="宋体" w:hAnsi="宋体" w:eastAsia="宋体" w:cs="宋体"/>
          <w:b/>
          <w:sz w:val="24"/>
          <w:szCs w:val="24"/>
        </w:rPr>
        <w:t>第一部分 资格证明文件</w:t>
      </w:r>
    </w:p>
    <w:p w14:paraId="1D751634">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一、开标一览表</w:t>
      </w:r>
    </w:p>
    <w:p w14:paraId="70F68E57">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二、投标保证金</w:t>
      </w:r>
    </w:p>
    <w:p w14:paraId="6B40837F">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三、法定代表人（单位负责人）身份证明或授权委托书</w:t>
      </w:r>
    </w:p>
    <w:p w14:paraId="46978675">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四、投标人提供的资格证明文件</w:t>
      </w:r>
    </w:p>
    <w:p w14:paraId="02F15F42">
      <w:pPr>
        <w:adjustRightInd w:val="0"/>
        <w:snapToGrid w:val="0"/>
        <w:spacing w:before="156" w:beforeLines="50" w:line="360" w:lineRule="auto"/>
        <w:ind w:firstLine="482" w:firstLineChars="200"/>
        <w:jc w:val="left"/>
        <w:rPr>
          <w:rFonts w:hint="eastAsia" w:ascii="宋体" w:hAnsi="宋体" w:eastAsia="宋体" w:cs="宋体"/>
          <w:b/>
          <w:sz w:val="24"/>
          <w:szCs w:val="24"/>
        </w:rPr>
      </w:pPr>
      <w:r>
        <w:rPr>
          <w:rFonts w:hint="eastAsia" w:ascii="宋体" w:hAnsi="宋体" w:eastAsia="宋体" w:cs="宋体"/>
          <w:b/>
          <w:sz w:val="24"/>
          <w:szCs w:val="24"/>
        </w:rPr>
        <w:t>第二部分 商务技术文件</w:t>
      </w:r>
    </w:p>
    <w:p w14:paraId="7F565680">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五、投标函</w:t>
      </w:r>
    </w:p>
    <w:p w14:paraId="0327D430">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六、分项报价</w:t>
      </w:r>
    </w:p>
    <w:p w14:paraId="770BAE11">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七、采购需求响应</w:t>
      </w:r>
    </w:p>
    <w:p w14:paraId="25B3E85D">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八、合同条款偏离表</w:t>
      </w:r>
    </w:p>
    <w:p w14:paraId="0AFF9248">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九、采购需求偏离表</w:t>
      </w:r>
    </w:p>
    <w:p w14:paraId="3A7560CB">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十、享受政府采购政策优惠的证明资料</w:t>
      </w:r>
    </w:p>
    <w:p w14:paraId="27F76883">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十一、投标服务符合招标文件规定的证明文件</w:t>
      </w:r>
    </w:p>
    <w:p w14:paraId="704016E8">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十二、投标人认为需提供的其他资料</w:t>
      </w:r>
    </w:p>
    <w:p w14:paraId="0E1F5BC6">
      <w:pPr>
        <w:adjustRightInd w:val="0"/>
        <w:snapToGrid w:val="0"/>
        <w:spacing w:before="156" w:beforeLines="50"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在此，签字代表宣布同意如下：</w:t>
      </w:r>
    </w:p>
    <w:p w14:paraId="330388E5">
      <w:pPr>
        <w:adjustRightInd w:val="0"/>
        <w:snapToGrid w:val="0"/>
        <w:spacing w:before="156" w:beforeLines="50"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1、投标人严格按照招标文件的规定报价，见《开标一览表》。</w:t>
      </w:r>
    </w:p>
    <w:p w14:paraId="202BC4AB">
      <w:pPr>
        <w:adjustRightInd w:val="0"/>
        <w:snapToGrid w:val="0"/>
        <w:spacing w:before="156" w:beforeLines="50"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2、投标人将按招标文件的规定履行合同责任和义务。</w:t>
      </w:r>
    </w:p>
    <w:p w14:paraId="7A9CB0D2">
      <w:pPr>
        <w:adjustRightInd w:val="0"/>
        <w:snapToGrid w:val="0"/>
        <w:spacing w:before="156" w:beforeLines="50"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3、投标人已详细审查招标文件。我们完全理解并同意放弃对这方面有不明及误解的权力。</w:t>
      </w:r>
    </w:p>
    <w:p w14:paraId="245266CF">
      <w:pPr>
        <w:adjustRightInd w:val="0"/>
        <w:snapToGrid w:val="0"/>
        <w:spacing w:before="156" w:beforeLines="50"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4、本投标有效期为自招标文件规定的提交投标文件截止之日起</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个日历日。在投标有效期内，投标人同意遵守本投标文件中的承诺且在此期限期满之前投标文件对我方具有法律约束力。</w:t>
      </w:r>
    </w:p>
    <w:p w14:paraId="75C4A6E6">
      <w:pPr>
        <w:adjustRightInd w:val="0"/>
        <w:snapToGrid w:val="0"/>
        <w:spacing w:before="156" w:beforeLines="50"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5、同意提供贵方可能要求的与其投标有关的一切数据或资料。</w:t>
      </w:r>
    </w:p>
    <w:p w14:paraId="727DA6FA">
      <w:pPr>
        <w:adjustRightInd w:val="0"/>
        <w:snapToGrid w:val="0"/>
        <w:spacing w:before="156" w:beforeLines="50"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6、与本投标有关的一切正式往来信函请寄：</w:t>
      </w:r>
    </w:p>
    <w:p w14:paraId="4CF036C2">
      <w:pPr>
        <w:adjustRightInd w:val="0"/>
        <w:snapToGrid w:val="0"/>
        <w:spacing w:before="156" w:beforeLines="50"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地址：</w:t>
      </w:r>
      <w:r>
        <w:rPr>
          <w:rFonts w:hint="eastAsia" w:ascii="宋体" w:hAnsi="宋体" w:eastAsia="宋体" w:cs="宋体"/>
          <w:sz w:val="24"/>
          <w:szCs w:val="24"/>
          <w:u w:val="single"/>
        </w:rPr>
        <w:t xml:space="preserve">    </w:t>
      </w:r>
      <w:r>
        <w:rPr>
          <w:rFonts w:hint="eastAsia" w:ascii="宋体" w:hAnsi="宋体" w:eastAsia="宋体" w:cs="宋体"/>
          <w:sz w:val="24"/>
          <w:szCs w:val="24"/>
        </w:rPr>
        <w:t>；邮编：</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；电话：</w:t>
      </w:r>
      <w:r>
        <w:rPr>
          <w:rFonts w:hint="eastAsia" w:ascii="宋体" w:hAnsi="宋体" w:eastAsia="宋体" w:cs="宋体"/>
          <w:sz w:val="24"/>
          <w:szCs w:val="24"/>
          <w:u w:val="single"/>
        </w:rPr>
        <w:t xml:space="preserve">      </w:t>
      </w:r>
      <w:r>
        <w:rPr>
          <w:rFonts w:hint="eastAsia" w:ascii="宋体" w:hAnsi="宋体" w:eastAsia="宋体" w:cs="宋体"/>
          <w:sz w:val="24"/>
          <w:szCs w:val="24"/>
        </w:rPr>
        <w:t>；电子邮箱：</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2559973B">
      <w:pPr>
        <w:adjustRightInd w:val="0"/>
        <w:snapToGrid w:val="0"/>
        <w:spacing w:before="156" w:beforeLines="50" w:line="360" w:lineRule="auto"/>
        <w:ind w:firstLine="480" w:firstLineChars="200"/>
        <w:jc w:val="left"/>
        <w:rPr>
          <w:rFonts w:hint="eastAsia" w:ascii="宋体" w:hAnsi="宋体" w:eastAsia="宋体" w:cs="宋体"/>
          <w:sz w:val="24"/>
          <w:szCs w:val="24"/>
        </w:rPr>
      </w:pPr>
    </w:p>
    <w:p w14:paraId="4E6E2357">
      <w:pPr>
        <w:adjustRightInd w:val="0"/>
        <w:snapToGrid w:val="0"/>
        <w:spacing w:before="156" w:beforeLines="50" w:line="360" w:lineRule="auto"/>
        <w:jc w:val="left"/>
        <w:rPr>
          <w:rFonts w:hint="eastAsia" w:ascii="宋体" w:hAnsi="宋体" w:eastAsia="宋体" w:cs="宋体"/>
          <w:sz w:val="24"/>
          <w:szCs w:val="24"/>
        </w:rPr>
      </w:pPr>
    </w:p>
    <w:p w14:paraId="2771C6E6">
      <w:pPr>
        <w:adjustRightInd w:val="0"/>
        <w:snapToGrid w:val="0"/>
        <w:spacing w:before="156" w:beforeLines="50"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投标人名称（盖单位电子章）：                       </w:t>
      </w:r>
    </w:p>
    <w:p w14:paraId="7C47DD83">
      <w:pPr>
        <w:adjustRightInd w:val="0"/>
        <w:snapToGrid w:val="0"/>
        <w:spacing w:before="156" w:beforeLines="50" w:line="360" w:lineRule="auto"/>
        <w:jc w:val="left"/>
        <w:rPr>
          <w:rFonts w:hint="eastAsia" w:ascii="宋体" w:hAnsi="宋体" w:eastAsia="宋体" w:cs="宋体"/>
          <w:sz w:val="24"/>
          <w:szCs w:val="24"/>
          <w:u w:val="single"/>
        </w:rPr>
      </w:pPr>
      <w:r>
        <w:rPr>
          <w:rFonts w:hint="eastAsia" w:ascii="宋体" w:hAnsi="宋体" w:eastAsia="宋体" w:cs="宋体"/>
          <w:spacing w:val="-2"/>
          <w:kern w:val="0"/>
          <w:sz w:val="24"/>
          <w:szCs w:val="24"/>
        </w:rPr>
        <w:t>法</w:t>
      </w:r>
      <w:r>
        <w:rPr>
          <w:rFonts w:hint="eastAsia" w:ascii="宋体" w:hAnsi="宋体" w:eastAsia="宋体" w:cs="宋体"/>
          <w:kern w:val="0"/>
          <w:sz w:val="24"/>
          <w:szCs w:val="24"/>
        </w:rPr>
        <w:t>定</w:t>
      </w:r>
      <w:r>
        <w:rPr>
          <w:rFonts w:hint="eastAsia" w:ascii="宋体" w:hAnsi="宋体" w:eastAsia="宋体" w:cs="宋体"/>
          <w:spacing w:val="-2"/>
          <w:kern w:val="0"/>
          <w:sz w:val="24"/>
          <w:szCs w:val="24"/>
        </w:rPr>
        <w:t>代</w:t>
      </w:r>
      <w:r>
        <w:rPr>
          <w:rFonts w:hint="eastAsia" w:ascii="宋体" w:hAnsi="宋体" w:eastAsia="宋体" w:cs="宋体"/>
          <w:kern w:val="0"/>
          <w:sz w:val="24"/>
          <w:szCs w:val="24"/>
        </w:rPr>
        <w:t>表</w:t>
      </w:r>
      <w:r>
        <w:rPr>
          <w:rFonts w:hint="eastAsia" w:ascii="宋体" w:hAnsi="宋体" w:eastAsia="宋体" w:cs="宋体"/>
          <w:spacing w:val="-2"/>
          <w:kern w:val="0"/>
          <w:sz w:val="24"/>
          <w:szCs w:val="24"/>
        </w:rPr>
        <w:t>人</w:t>
      </w:r>
      <w:r>
        <w:rPr>
          <w:rFonts w:hint="eastAsia" w:ascii="宋体" w:hAnsi="宋体" w:eastAsia="宋体" w:cs="宋体"/>
          <w:kern w:val="0"/>
          <w:sz w:val="24"/>
          <w:szCs w:val="24"/>
        </w:rPr>
        <w:t>（</w:t>
      </w:r>
      <w:r>
        <w:rPr>
          <w:rFonts w:hint="eastAsia" w:ascii="宋体" w:hAnsi="宋体" w:eastAsia="宋体" w:cs="宋体"/>
          <w:spacing w:val="-2"/>
          <w:kern w:val="0"/>
          <w:sz w:val="24"/>
          <w:szCs w:val="24"/>
        </w:rPr>
        <w:t>单</w:t>
      </w:r>
      <w:r>
        <w:rPr>
          <w:rFonts w:hint="eastAsia" w:ascii="宋体" w:hAnsi="宋体" w:eastAsia="宋体" w:cs="宋体"/>
          <w:kern w:val="0"/>
          <w:sz w:val="24"/>
          <w:szCs w:val="24"/>
        </w:rPr>
        <w:t>位</w:t>
      </w:r>
      <w:r>
        <w:rPr>
          <w:rFonts w:hint="eastAsia" w:ascii="宋体" w:hAnsi="宋体" w:eastAsia="宋体" w:cs="宋体"/>
          <w:spacing w:val="-2"/>
          <w:kern w:val="0"/>
          <w:sz w:val="24"/>
          <w:szCs w:val="24"/>
        </w:rPr>
        <w:t>负</w:t>
      </w:r>
      <w:r>
        <w:rPr>
          <w:rFonts w:hint="eastAsia" w:ascii="宋体" w:hAnsi="宋体" w:eastAsia="宋体" w:cs="宋体"/>
          <w:kern w:val="0"/>
          <w:sz w:val="24"/>
          <w:szCs w:val="24"/>
        </w:rPr>
        <w:t>责人</w:t>
      </w:r>
      <w:r>
        <w:rPr>
          <w:rFonts w:hint="eastAsia" w:ascii="宋体" w:hAnsi="宋体" w:eastAsia="宋体" w:cs="宋体"/>
          <w:spacing w:val="-2"/>
          <w:kern w:val="0"/>
          <w:sz w:val="24"/>
          <w:szCs w:val="24"/>
        </w:rPr>
        <w:t>）</w:t>
      </w:r>
      <w:r>
        <w:rPr>
          <w:rFonts w:hint="eastAsia" w:ascii="宋体" w:hAnsi="宋体" w:eastAsia="宋体" w:cs="宋体"/>
          <w:sz w:val="24"/>
          <w:szCs w:val="24"/>
        </w:rPr>
        <w:t>或其授权的代理人（签字或签章）：</w:t>
      </w:r>
      <w:r>
        <w:rPr>
          <w:rFonts w:hint="eastAsia" w:ascii="宋体" w:hAnsi="宋体" w:eastAsia="宋体" w:cs="宋体"/>
          <w:sz w:val="24"/>
          <w:szCs w:val="24"/>
          <w:u w:val="single"/>
        </w:rPr>
        <w:t xml:space="preserve">               </w:t>
      </w:r>
    </w:p>
    <w:p w14:paraId="25774E10">
      <w:pPr>
        <w:spacing w:line="360" w:lineRule="auto"/>
        <w:jc w:val="lef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4FE20367">
      <w:pPr>
        <w:rPr>
          <w:rFonts w:hint="eastAsia" w:ascii="宋体" w:hAnsi="宋体" w:eastAsia="宋体" w:cs="宋体"/>
          <w:szCs w:val="22"/>
        </w:rPr>
      </w:pPr>
      <w:r>
        <w:rPr>
          <w:rFonts w:hint="eastAsia" w:ascii="宋体" w:hAnsi="宋体" w:eastAsia="宋体" w:cs="宋体"/>
          <w:szCs w:val="22"/>
        </w:rPr>
        <w:br w:type="page"/>
      </w:r>
    </w:p>
    <w:p w14:paraId="400A88ED">
      <w:pPr>
        <w:keepNext/>
        <w:keepLines/>
        <w:widowControl w:val="0"/>
        <w:bidi w:val="0"/>
        <w:spacing w:before="0" w:beforeLines="0" w:beforeAutospacing="0" w:after="0" w:afterLines="0" w:afterAutospacing="0" w:line="360" w:lineRule="auto"/>
        <w:jc w:val="center"/>
        <w:outlineLvl w:val="0"/>
        <w:rPr>
          <w:rFonts w:hint="eastAsia" w:ascii="Calibri" w:hAnsi="Calibri" w:eastAsia="宋体" w:cs="Times New Roman"/>
          <w:b/>
          <w:kern w:val="44"/>
          <w:sz w:val="32"/>
          <w:szCs w:val="32"/>
          <w:lang w:val="en-US" w:eastAsia="zh-CN" w:bidi="ar-SA"/>
        </w:rPr>
      </w:pPr>
      <w:bookmarkStart w:id="153" w:name="_Toc25354"/>
      <w:bookmarkStart w:id="154" w:name="_Toc29913962"/>
      <w:bookmarkStart w:id="155" w:name="_Toc8157"/>
      <w:bookmarkStart w:id="156" w:name="_Toc15501"/>
      <w:bookmarkStart w:id="157" w:name="_Toc8006"/>
      <w:r>
        <w:rPr>
          <w:rFonts w:hint="eastAsia" w:ascii="Calibri" w:hAnsi="Calibri" w:eastAsia="宋体" w:cs="Times New Roman"/>
          <w:b/>
          <w:kern w:val="44"/>
          <w:sz w:val="32"/>
          <w:szCs w:val="32"/>
          <w:lang w:val="en-US" w:eastAsia="zh-CN" w:bidi="ar-SA"/>
        </w:rPr>
        <w:t>六、分项报价</w:t>
      </w:r>
      <w:bookmarkEnd w:id="153"/>
      <w:bookmarkEnd w:id="154"/>
      <w:bookmarkEnd w:id="155"/>
      <w:bookmarkEnd w:id="156"/>
      <w:bookmarkEnd w:id="157"/>
    </w:p>
    <w:p w14:paraId="1DB5B8AD">
      <w:pPr>
        <w:keepNext/>
        <w:keepLines/>
        <w:spacing w:before="280" w:after="290" w:line="360" w:lineRule="auto"/>
        <w:jc w:val="left"/>
        <w:outlineLvl w:val="3"/>
        <w:rPr>
          <w:rFonts w:hint="eastAsia" w:ascii="宋体" w:hAnsi="宋体" w:eastAsia="宋体" w:cs="宋体"/>
          <w:bCs/>
          <w:kern w:val="0"/>
          <w:szCs w:val="21"/>
        </w:rPr>
      </w:pPr>
      <w:bookmarkStart w:id="158" w:name="_Toc224"/>
      <w:bookmarkStart w:id="159" w:name="_Toc12057"/>
      <w:bookmarkStart w:id="160" w:name="_Toc29913963"/>
      <w:bookmarkStart w:id="161" w:name="_Toc2213"/>
      <w:bookmarkStart w:id="162" w:name="_Toc5964"/>
      <w:r>
        <w:rPr>
          <w:rFonts w:hint="eastAsia" w:ascii="宋体" w:hAnsi="宋体" w:eastAsia="宋体" w:cs="宋体"/>
          <w:b/>
          <w:sz w:val="30"/>
          <w:szCs w:val="30"/>
        </w:rPr>
        <w:t>附件6-1 分项报价说明</w:t>
      </w:r>
      <w:bookmarkEnd w:id="158"/>
      <w:bookmarkEnd w:id="159"/>
      <w:bookmarkEnd w:id="160"/>
      <w:bookmarkEnd w:id="161"/>
      <w:bookmarkEnd w:id="162"/>
      <w:r>
        <w:rPr>
          <w:rFonts w:hint="eastAsia" w:ascii="宋体" w:hAnsi="宋体" w:eastAsia="宋体" w:cs="宋体"/>
          <w:bCs/>
          <w:kern w:val="0"/>
          <w:szCs w:val="21"/>
        </w:rPr>
        <w:t xml:space="preserve">  </w:t>
      </w:r>
    </w:p>
    <w:p w14:paraId="7E550ED0">
      <w:pPr>
        <w:autoSpaceDE w:val="0"/>
        <w:autoSpaceDN w:val="0"/>
        <w:adjustRightInd w:val="0"/>
        <w:snapToGrid w:val="0"/>
        <w:spacing w:line="360" w:lineRule="auto"/>
        <w:jc w:val="center"/>
        <w:rPr>
          <w:rFonts w:hint="eastAsia" w:ascii="宋体" w:hAnsi="宋体" w:eastAsia="宋体" w:cs="宋体"/>
          <w:b/>
          <w:kern w:val="0"/>
          <w:sz w:val="28"/>
          <w:szCs w:val="28"/>
        </w:rPr>
      </w:pPr>
      <w:r>
        <w:rPr>
          <w:rFonts w:hint="eastAsia" w:ascii="宋体" w:hAnsi="宋体" w:eastAsia="宋体" w:cs="宋体"/>
          <w:b/>
          <w:spacing w:val="-2"/>
          <w:kern w:val="0"/>
          <w:sz w:val="28"/>
          <w:szCs w:val="28"/>
        </w:rPr>
        <w:t>分</w:t>
      </w:r>
      <w:r>
        <w:rPr>
          <w:rFonts w:hint="eastAsia" w:ascii="宋体" w:hAnsi="宋体" w:eastAsia="宋体" w:cs="宋体"/>
          <w:b/>
          <w:kern w:val="0"/>
          <w:sz w:val="28"/>
          <w:szCs w:val="28"/>
        </w:rPr>
        <w:t>项</w:t>
      </w:r>
      <w:r>
        <w:rPr>
          <w:rFonts w:hint="eastAsia" w:ascii="宋体" w:hAnsi="宋体" w:eastAsia="宋体" w:cs="宋体"/>
          <w:b/>
          <w:spacing w:val="-2"/>
          <w:kern w:val="0"/>
          <w:sz w:val="28"/>
          <w:szCs w:val="28"/>
        </w:rPr>
        <w:t>报</w:t>
      </w:r>
      <w:r>
        <w:rPr>
          <w:rFonts w:hint="eastAsia" w:ascii="宋体" w:hAnsi="宋体" w:eastAsia="宋体" w:cs="宋体"/>
          <w:b/>
          <w:kern w:val="0"/>
          <w:sz w:val="28"/>
          <w:szCs w:val="28"/>
        </w:rPr>
        <w:t>价说明</w:t>
      </w:r>
    </w:p>
    <w:p w14:paraId="40D22B74">
      <w:pPr>
        <w:spacing w:line="360" w:lineRule="auto"/>
        <w:jc w:val="left"/>
        <w:rPr>
          <w:rFonts w:hint="eastAsia" w:ascii="宋体" w:hAnsi="宋体" w:eastAsia="宋体" w:cs="宋体"/>
          <w:sz w:val="24"/>
          <w:szCs w:val="24"/>
        </w:rPr>
      </w:pPr>
      <w:r>
        <w:rPr>
          <w:rFonts w:hint="eastAsia" w:ascii="宋体" w:hAnsi="宋体" w:eastAsia="宋体" w:cs="宋体"/>
          <w:kern w:val="0"/>
          <w:sz w:val="24"/>
          <w:szCs w:val="24"/>
        </w:rPr>
        <w:t>备注：投标人应按招标文件第二章相关要求，对本节</w:t>
      </w:r>
      <w:r>
        <w:rPr>
          <w:rFonts w:hint="eastAsia" w:ascii="宋体" w:hAnsi="宋体" w:eastAsia="宋体" w:cs="宋体"/>
          <w:bCs/>
          <w:sz w:val="24"/>
          <w:szCs w:val="24"/>
        </w:rPr>
        <w:t>“</w:t>
      </w:r>
      <w:r>
        <w:rPr>
          <w:rFonts w:hint="eastAsia" w:ascii="宋体" w:hAnsi="宋体" w:eastAsia="宋体" w:cs="宋体"/>
          <w:kern w:val="0"/>
          <w:sz w:val="24"/>
          <w:szCs w:val="24"/>
        </w:rPr>
        <w:t>分项报价明细表</w:t>
      </w:r>
      <w:r>
        <w:rPr>
          <w:rFonts w:hint="eastAsia" w:ascii="宋体" w:hAnsi="宋体" w:eastAsia="宋体" w:cs="宋体"/>
          <w:bCs/>
          <w:sz w:val="24"/>
          <w:szCs w:val="24"/>
        </w:rPr>
        <w:t>”进行</w:t>
      </w:r>
      <w:r>
        <w:rPr>
          <w:rFonts w:hint="eastAsia" w:ascii="宋体" w:hAnsi="宋体" w:eastAsia="宋体" w:cs="宋体"/>
          <w:kern w:val="0"/>
          <w:sz w:val="24"/>
          <w:szCs w:val="24"/>
        </w:rPr>
        <w:t>编制，并说明。</w:t>
      </w:r>
    </w:p>
    <w:p w14:paraId="33477934">
      <w:pPr>
        <w:spacing w:line="360" w:lineRule="auto"/>
        <w:rPr>
          <w:rFonts w:hint="eastAsia" w:ascii="宋体" w:hAnsi="宋体" w:eastAsia="宋体" w:cs="宋体"/>
          <w:szCs w:val="22"/>
        </w:rPr>
      </w:pPr>
      <w:r>
        <w:rPr>
          <w:rFonts w:hint="eastAsia" w:ascii="宋体" w:hAnsi="宋体" w:eastAsia="宋体" w:cs="宋体"/>
          <w:szCs w:val="22"/>
        </w:rPr>
        <w:br w:type="page"/>
      </w:r>
    </w:p>
    <w:p w14:paraId="00C01C85">
      <w:pPr>
        <w:keepNext/>
        <w:keepLines/>
        <w:widowControl w:val="0"/>
        <w:bidi w:val="0"/>
        <w:spacing w:before="260" w:beforeLines="0" w:beforeAutospacing="0" w:after="260" w:afterLines="0" w:afterAutospacing="0" w:line="413" w:lineRule="auto"/>
        <w:jc w:val="left"/>
        <w:outlineLvl w:val="1"/>
        <w:rPr>
          <w:rFonts w:hint="eastAsia" w:ascii="宋体" w:hAnsi="宋体" w:eastAsia="宋体" w:cs="宋体"/>
          <w:b/>
          <w:kern w:val="2"/>
          <w:sz w:val="30"/>
          <w:szCs w:val="30"/>
          <w:lang w:val="en-US" w:eastAsia="zh-CN" w:bidi="ar-SA"/>
        </w:rPr>
      </w:pPr>
      <w:bookmarkStart w:id="163" w:name="_Toc15442"/>
      <w:bookmarkStart w:id="164" w:name="_Toc29913964"/>
      <w:bookmarkStart w:id="165" w:name="_Toc11573"/>
      <w:bookmarkStart w:id="166" w:name="_Toc8675"/>
      <w:bookmarkStart w:id="167" w:name="_Toc29007"/>
      <w:r>
        <w:rPr>
          <w:rFonts w:hint="eastAsia" w:ascii="宋体" w:hAnsi="宋体" w:eastAsia="宋体" w:cs="宋体"/>
          <w:b/>
          <w:kern w:val="2"/>
          <w:sz w:val="30"/>
          <w:szCs w:val="30"/>
          <w:lang w:val="en-US" w:eastAsia="zh-CN" w:bidi="ar-SA"/>
        </w:rPr>
        <w:t>附件6-2 分项报价明细表</w:t>
      </w:r>
      <w:bookmarkEnd w:id="163"/>
      <w:bookmarkEnd w:id="164"/>
      <w:bookmarkEnd w:id="165"/>
      <w:bookmarkEnd w:id="166"/>
      <w:bookmarkEnd w:id="167"/>
    </w:p>
    <w:p w14:paraId="6DF7DA68">
      <w:pPr>
        <w:adjustRightInd w:val="0"/>
        <w:snapToGrid w:val="0"/>
        <w:spacing w:line="360" w:lineRule="auto"/>
        <w:jc w:val="center"/>
        <w:rPr>
          <w:rFonts w:hint="eastAsia" w:ascii="宋体" w:hAnsi="宋体" w:eastAsia="宋体" w:cs="宋体"/>
          <w:color w:val="0070C0"/>
          <w:sz w:val="28"/>
          <w:szCs w:val="28"/>
        </w:rPr>
      </w:pPr>
      <w:r>
        <w:rPr>
          <w:rFonts w:hint="eastAsia" w:ascii="宋体" w:hAnsi="宋体" w:eastAsia="宋体" w:cs="宋体"/>
          <w:b/>
          <w:bCs/>
          <w:spacing w:val="-2"/>
          <w:kern w:val="0"/>
          <w:position w:val="-3"/>
          <w:sz w:val="28"/>
          <w:szCs w:val="28"/>
        </w:rPr>
        <w:t>分</w:t>
      </w:r>
      <w:r>
        <w:rPr>
          <w:rFonts w:hint="eastAsia" w:ascii="宋体" w:hAnsi="宋体" w:eastAsia="宋体" w:cs="宋体"/>
          <w:b/>
          <w:bCs/>
          <w:kern w:val="0"/>
          <w:position w:val="-3"/>
          <w:sz w:val="28"/>
          <w:szCs w:val="28"/>
        </w:rPr>
        <w:t>项</w:t>
      </w:r>
      <w:r>
        <w:rPr>
          <w:rFonts w:hint="eastAsia" w:ascii="宋体" w:hAnsi="宋体" w:eastAsia="宋体" w:cs="宋体"/>
          <w:b/>
          <w:bCs/>
          <w:spacing w:val="-2"/>
          <w:kern w:val="0"/>
          <w:position w:val="-3"/>
          <w:sz w:val="28"/>
          <w:szCs w:val="28"/>
        </w:rPr>
        <w:t>报</w:t>
      </w:r>
      <w:r>
        <w:rPr>
          <w:rFonts w:hint="eastAsia" w:ascii="宋体" w:hAnsi="宋体" w:eastAsia="宋体" w:cs="宋体"/>
          <w:b/>
          <w:bCs/>
          <w:kern w:val="0"/>
          <w:position w:val="-3"/>
          <w:sz w:val="28"/>
          <w:szCs w:val="28"/>
        </w:rPr>
        <w:t>价明细表</w:t>
      </w:r>
    </w:p>
    <w:p w14:paraId="3BA811A6">
      <w:pPr>
        <w:adjustRightInd w:val="0"/>
        <w:snapToGrid w:val="0"/>
        <w:spacing w:line="360" w:lineRule="auto"/>
        <w:jc w:val="left"/>
        <w:rPr>
          <w:rFonts w:hint="eastAsia" w:ascii="宋体" w:hAnsi="宋体" w:eastAsia="宋体" w:cs="宋体"/>
          <w:sz w:val="24"/>
          <w:szCs w:val="24"/>
          <w:u w:val="single"/>
          <w:lang w:val="en-US" w:eastAsia="zh-CN"/>
        </w:rPr>
      </w:pPr>
      <w:r>
        <w:rPr>
          <w:rFonts w:hint="eastAsia" w:ascii="宋体" w:hAnsi="宋体" w:eastAsia="宋体" w:cs="宋体"/>
          <w:sz w:val="24"/>
          <w:szCs w:val="24"/>
        </w:rPr>
        <w:t>采购代理编号：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                   项目名称：</w:t>
      </w:r>
      <w:r>
        <w:rPr>
          <w:rFonts w:hint="eastAsia" w:ascii="宋体" w:hAnsi="宋体" w:eastAsia="宋体" w:cs="宋体"/>
          <w:sz w:val="24"/>
          <w:szCs w:val="24"/>
          <w:u w:val="single"/>
          <w:lang w:val="en-US" w:eastAsia="zh-CN"/>
        </w:rPr>
        <w:t xml:space="preserve">                </w:t>
      </w:r>
    </w:p>
    <w:p w14:paraId="1EF67B6A">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包号：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                   包名称：</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tbl>
      <w:tblPr>
        <w:tblStyle w:val="45"/>
        <w:tblW w:w="8874" w:type="dxa"/>
        <w:jc w:val="center"/>
        <w:tblLayout w:type="fixed"/>
        <w:tblCellMar>
          <w:top w:w="0" w:type="dxa"/>
          <w:left w:w="0" w:type="dxa"/>
          <w:bottom w:w="0" w:type="dxa"/>
          <w:right w:w="0" w:type="dxa"/>
        </w:tblCellMar>
      </w:tblPr>
      <w:tblGrid>
        <w:gridCol w:w="333"/>
        <w:gridCol w:w="1383"/>
        <w:gridCol w:w="2355"/>
        <w:gridCol w:w="971"/>
        <w:gridCol w:w="1092"/>
        <w:gridCol w:w="910"/>
        <w:gridCol w:w="916"/>
        <w:gridCol w:w="914"/>
      </w:tblGrid>
      <w:tr w14:paraId="5A1E9DFF">
        <w:tblPrEx>
          <w:tblCellMar>
            <w:top w:w="0" w:type="dxa"/>
            <w:left w:w="0" w:type="dxa"/>
            <w:bottom w:w="0" w:type="dxa"/>
            <w:right w:w="0" w:type="dxa"/>
          </w:tblCellMar>
        </w:tblPrEx>
        <w:trPr>
          <w:trHeight w:val="415" w:hRule="exact"/>
          <w:jc w:val="center"/>
        </w:trPr>
        <w:tc>
          <w:tcPr>
            <w:tcW w:w="1716" w:type="dxa"/>
            <w:gridSpan w:val="2"/>
            <w:vMerge w:val="restart"/>
            <w:tcBorders>
              <w:top w:val="double" w:color="auto" w:sz="4" w:space="0"/>
              <w:left w:val="double" w:color="auto" w:sz="4" w:space="0"/>
              <w:right w:val="single" w:color="auto" w:sz="6" w:space="0"/>
            </w:tcBorders>
            <w:noWrap w:val="0"/>
            <w:vAlign w:val="center"/>
          </w:tcPr>
          <w:p w14:paraId="2E77FD85">
            <w:pPr>
              <w:autoSpaceDE w:val="0"/>
              <w:autoSpaceDN w:val="0"/>
              <w:adjustRightInd w:val="0"/>
              <w:snapToGrid w:val="0"/>
              <w:spacing w:line="240" w:lineRule="auto"/>
              <w:ind w:right="-20"/>
              <w:jc w:val="center"/>
              <w:rPr>
                <w:rFonts w:hint="eastAsia" w:ascii="宋体" w:hAnsi="宋体" w:eastAsia="宋体" w:cs="宋体"/>
                <w:kern w:val="0"/>
                <w:position w:val="-1"/>
                <w:sz w:val="24"/>
                <w:szCs w:val="24"/>
              </w:rPr>
            </w:pPr>
            <w:r>
              <w:rPr>
                <w:rFonts w:hint="eastAsia" w:ascii="宋体" w:hAnsi="宋体" w:eastAsia="宋体" w:cs="宋体"/>
                <w:kern w:val="0"/>
                <w:position w:val="-1"/>
                <w:sz w:val="24"/>
                <w:szCs w:val="24"/>
              </w:rPr>
              <w:t>分项项目名称</w:t>
            </w:r>
          </w:p>
        </w:tc>
        <w:tc>
          <w:tcPr>
            <w:tcW w:w="2355" w:type="dxa"/>
            <w:vMerge w:val="restart"/>
            <w:tcBorders>
              <w:top w:val="double" w:color="auto" w:sz="4" w:space="0"/>
              <w:left w:val="single" w:color="auto" w:sz="6" w:space="0"/>
              <w:bottom w:val="single" w:color="auto" w:sz="6" w:space="0"/>
              <w:right w:val="single" w:color="auto" w:sz="4" w:space="0"/>
            </w:tcBorders>
            <w:noWrap w:val="0"/>
            <w:vAlign w:val="center"/>
          </w:tcPr>
          <w:p w14:paraId="789C2BC9">
            <w:pPr>
              <w:autoSpaceDE w:val="0"/>
              <w:autoSpaceDN w:val="0"/>
              <w:adjustRightInd w:val="0"/>
              <w:snapToGrid w:val="0"/>
              <w:spacing w:line="240" w:lineRule="auto"/>
              <w:ind w:right="-20"/>
              <w:jc w:val="center"/>
              <w:rPr>
                <w:rFonts w:hint="eastAsia" w:ascii="宋体" w:hAnsi="宋体" w:eastAsia="宋体" w:cs="宋体"/>
                <w:sz w:val="24"/>
                <w:szCs w:val="24"/>
              </w:rPr>
            </w:pPr>
            <w:r>
              <w:rPr>
                <w:rFonts w:hint="eastAsia" w:ascii="宋体" w:hAnsi="宋体" w:eastAsia="宋体" w:cs="宋体"/>
                <w:sz w:val="24"/>
                <w:szCs w:val="24"/>
              </w:rPr>
              <w:t>服务内容</w:t>
            </w:r>
          </w:p>
        </w:tc>
        <w:tc>
          <w:tcPr>
            <w:tcW w:w="971" w:type="dxa"/>
            <w:vMerge w:val="restart"/>
            <w:tcBorders>
              <w:top w:val="double" w:color="auto" w:sz="4" w:space="0"/>
              <w:left w:val="single" w:color="auto" w:sz="4" w:space="0"/>
              <w:bottom w:val="single" w:color="auto" w:sz="6" w:space="0"/>
              <w:right w:val="single" w:color="auto" w:sz="6" w:space="0"/>
            </w:tcBorders>
            <w:noWrap w:val="0"/>
            <w:vAlign w:val="center"/>
          </w:tcPr>
          <w:p w14:paraId="0C3457FD">
            <w:pPr>
              <w:autoSpaceDE w:val="0"/>
              <w:autoSpaceDN w:val="0"/>
              <w:adjustRightInd w:val="0"/>
              <w:snapToGrid w:val="0"/>
              <w:spacing w:line="240" w:lineRule="auto"/>
              <w:ind w:right="-20"/>
              <w:jc w:val="center"/>
              <w:rPr>
                <w:rFonts w:hint="eastAsia" w:ascii="宋体" w:hAnsi="宋体" w:eastAsia="宋体" w:cs="宋体"/>
                <w:sz w:val="24"/>
                <w:szCs w:val="24"/>
              </w:rPr>
            </w:pPr>
            <w:r>
              <w:rPr>
                <w:rFonts w:hint="eastAsia" w:ascii="宋体" w:hAnsi="宋体" w:eastAsia="宋体" w:cs="宋体"/>
                <w:sz w:val="24"/>
                <w:szCs w:val="24"/>
              </w:rPr>
              <w:t>服务周期</w:t>
            </w:r>
          </w:p>
        </w:tc>
        <w:tc>
          <w:tcPr>
            <w:tcW w:w="1092" w:type="dxa"/>
            <w:vMerge w:val="restart"/>
            <w:tcBorders>
              <w:top w:val="double" w:color="auto" w:sz="4" w:space="0"/>
              <w:left w:val="single" w:color="auto" w:sz="6" w:space="0"/>
              <w:right w:val="single" w:color="auto" w:sz="4" w:space="0"/>
            </w:tcBorders>
            <w:noWrap w:val="0"/>
            <w:vAlign w:val="center"/>
          </w:tcPr>
          <w:p w14:paraId="55089F31">
            <w:pPr>
              <w:autoSpaceDE w:val="0"/>
              <w:autoSpaceDN w:val="0"/>
              <w:adjustRightInd w:val="0"/>
              <w:snapToGrid w:val="0"/>
              <w:spacing w:line="240" w:lineRule="auto"/>
              <w:ind w:right="-20"/>
              <w:jc w:val="center"/>
              <w:rPr>
                <w:rFonts w:hint="eastAsia" w:ascii="宋体" w:hAnsi="宋体" w:eastAsia="宋体" w:cs="宋体"/>
                <w:kern w:val="0"/>
                <w:position w:val="-1"/>
                <w:sz w:val="24"/>
                <w:szCs w:val="24"/>
              </w:rPr>
            </w:pPr>
            <w:r>
              <w:rPr>
                <w:rFonts w:hint="eastAsia" w:ascii="宋体" w:hAnsi="宋体" w:eastAsia="宋体" w:cs="宋体"/>
                <w:kern w:val="0"/>
                <w:sz w:val="24"/>
                <w:szCs w:val="24"/>
              </w:rPr>
              <w:t>数量</w:t>
            </w:r>
          </w:p>
        </w:tc>
        <w:tc>
          <w:tcPr>
            <w:tcW w:w="1826" w:type="dxa"/>
            <w:gridSpan w:val="2"/>
            <w:tcBorders>
              <w:top w:val="double" w:color="auto" w:sz="4" w:space="0"/>
              <w:left w:val="single" w:color="auto" w:sz="4" w:space="0"/>
              <w:bottom w:val="single" w:color="auto" w:sz="6" w:space="0"/>
              <w:right w:val="single" w:color="auto" w:sz="6" w:space="0"/>
            </w:tcBorders>
            <w:noWrap w:val="0"/>
            <w:vAlign w:val="center"/>
          </w:tcPr>
          <w:p w14:paraId="68183167">
            <w:pPr>
              <w:autoSpaceDE w:val="0"/>
              <w:autoSpaceDN w:val="0"/>
              <w:adjustRightInd w:val="0"/>
              <w:snapToGrid w:val="0"/>
              <w:spacing w:line="240" w:lineRule="auto"/>
              <w:ind w:right="-20"/>
              <w:jc w:val="center"/>
              <w:rPr>
                <w:rFonts w:hint="eastAsia" w:ascii="宋体" w:hAnsi="宋体" w:eastAsia="宋体" w:cs="宋体"/>
                <w:kern w:val="0"/>
                <w:position w:val="-1"/>
                <w:sz w:val="24"/>
                <w:szCs w:val="24"/>
              </w:rPr>
            </w:pPr>
            <w:r>
              <w:rPr>
                <w:rFonts w:hint="eastAsia" w:ascii="宋体" w:hAnsi="宋体" w:eastAsia="宋体" w:cs="宋体"/>
                <w:kern w:val="0"/>
                <w:position w:val="-1"/>
                <w:sz w:val="24"/>
                <w:szCs w:val="24"/>
              </w:rPr>
              <w:t>金额（元）</w:t>
            </w:r>
          </w:p>
        </w:tc>
        <w:tc>
          <w:tcPr>
            <w:tcW w:w="914" w:type="dxa"/>
            <w:vMerge w:val="restart"/>
            <w:tcBorders>
              <w:top w:val="double" w:color="auto" w:sz="4" w:space="0"/>
              <w:left w:val="single" w:color="auto" w:sz="6" w:space="0"/>
              <w:bottom w:val="single" w:color="auto" w:sz="6" w:space="0"/>
              <w:right w:val="double" w:color="auto" w:sz="4" w:space="0"/>
            </w:tcBorders>
            <w:noWrap w:val="0"/>
            <w:vAlign w:val="center"/>
          </w:tcPr>
          <w:p w14:paraId="1BB96B44">
            <w:pPr>
              <w:autoSpaceDE w:val="0"/>
              <w:autoSpaceDN w:val="0"/>
              <w:adjustRightInd w:val="0"/>
              <w:snapToGrid w:val="0"/>
              <w:spacing w:line="240" w:lineRule="auto"/>
              <w:ind w:right="-20"/>
              <w:jc w:val="center"/>
              <w:rPr>
                <w:rFonts w:hint="eastAsia" w:ascii="宋体" w:hAnsi="宋体" w:eastAsia="宋体" w:cs="宋体"/>
                <w:kern w:val="0"/>
                <w:position w:val="-1"/>
                <w:sz w:val="24"/>
                <w:szCs w:val="24"/>
              </w:rPr>
            </w:pPr>
            <w:r>
              <w:rPr>
                <w:rFonts w:hint="eastAsia" w:ascii="宋体" w:hAnsi="宋体" w:eastAsia="宋体" w:cs="宋体"/>
                <w:kern w:val="0"/>
                <w:position w:val="-1"/>
                <w:sz w:val="24"/>
                <w:szCs w:val="24"/>
              </w:rPr>
              <w:t>备注</w:t>
            </w:r>
          </w:p>
        </w:tc>
      </w:tr>
      <w:tr w14:paraId="4780427B">
        <w:tblPrEx>
          <w:tblCellMar>
            <w:top w:w="0" w:type="dxa"/>
            <w:left w:w="0" w:type="dxa"/>
            <w:bottom w:w="0" w:type="dxa"/>
            <w:right w:w="0" w:type="dxa"/>
          </w:tblCellMar>
        </w:tblPrEx>
        <w:trPr>
          <w:trHeight w:val="415" w:hRule="exact"/>
          <w:jc w:val="center"/>
        </w:trPr>
        <w:tc>
          <w:tcPr>
            <w:tcW w:w="1716" w:type="dxa"/>
            <w:gridSpan w:val="2"/>
            <w:vMerge w:val="continue"/>
            <w:tcBorders>
              <w:left w:val="double" w:color="auto" w:sz="4" w:space="0"/>
              <w:bottom w:val="single" w:color="auto" w:sz="6" w:space="0"/>
              <w:right w:val="single" w:color="auto" w:sz="6" w:space="0"/>
            </w:tcBorders>
            <w:noWrap w:val="0"/>
            <w:vAlign w:val="top"/>
          </w:tcPr>
          <w:p w14:paraId="41B12249">
            <w:pPr>
              <w:autoSpaceDE w:val="0"/>
              <w:autoSpaceDN w:val="0"/>
              <w:adjustRightInd w:val="0"/>
              <w:snapToGrid w:val="0"/>
              <w:spacing w:line="240" w:lineRule="auto"/>
              <w:ind w:left="352" w:right="-20"/>
              <w:jc w:val="left"/>
              <w:rPr>
                <w:rFonts w:hint="eastAsia" w:ascii="宋体" w:hAnsi="宋体" w:eastAsia="宋体" w:cs="宋体"/>
                <w:kern w:val="0"/>
                <w:sz w:val="24"/>
                <w:szCs w:val="24"/>
              </w:rPr>
            </w:pPr>
          </w:p>
        </w:tc>
        <w:tc>
          <w:tcPr>
            <w:tcW w:w="2355" w:type="dxa"/>
            <w:vMerge w:val="continue"/>
            <w:tcBorders>
              <w:top w:val="single" w:color="auto" w:sz="6" w:space="0"/>
              <w:left w:val="single" w:color="auto" w:sz="6" w:space="0"/>
              <w:bottom w:val="single" w:color="auto" w:sz="6" w:space="0"/>
              <w:right w:val="single" w:color="auto" w:sz="4" w:space="0"/>
            </w:tcBorders>
            <w:noWrap w:val="0"/>
            <w:vAlign w:val="center"/>
          </w:tcPr>
          <w:p w14:paraId="1C8DF0CC">
            <w:pPr>
              <w:autoSpaceDE w:val="0"/>
              <w:autoSpaceDN w:val="0"/>
              <w:adjustRightInd w:val="0"/>
              <w:snapToGrid w:val="0"/>
              <w:spacing w:line="240" w:lineRule="auto"/>
              <w:ind w:right="-20"/>
              <w:jc w:val="center"/>
              <w:rPr>
                <w:rFonts w:hint="eastAsia" w:ascii="宋体" w:hAnsi="宋体" w:eastAsia="宋体" w:cs="宋体"/>
                <w:kern w:val="0"/>
                <w:sz w:val="24"/>
                <w:szCs w:val="24"/>
              </w:rPr>
            </w:pPr>
          </w:p>
        </w:tc>
        <w:tc>
          <w:tcPr>
            <w:tcW w:w="971" w:type="dxa"/>
            <w:vMerge w:val="continue"/>
            <w:tcBorders>
              <w:top w:val="single" w:color="auto" w:sz="6" w:space="0"/>
              <w:left w:val="single" w:color="auto" w:sz="4" w:space="0"/>
              <w:bottom w:val="single" w:color="auto" w:sz="6" w:space="0"/>
              <w:right w:val="single" w:color="auto" w:sz="6" w:space="0"/>
            </w:tcBorders>
            <w:noWrap w:val="0"/>
            <w:vAlign w:val="center"/>
          </w:tcPr>
          <w:p w14:paraId="787A36B7">
            <w:pPr>
              <w:autoSpaceDE w:val="0"/>
              <w:autoSpaceDN w:val="0"/>
              <w:adjustRightInd w:val="0"/>
              <w:snapToGrid w:val="0"/>
              <w:spacing w:line="240" w:lineRule="auto"/>
              <w:ind w:right="-20"/>
              <w:jc w:val="center"/>
              <w:rPr>
                <w:rFonts w:hint="eastAsia" w:ascii="宋体" w:hAnsi="宋体" w:eastAsia="宋体" w:cs="宋体"/>
                <w:kern w:val="0"/>
                <w:sz w:val="24"/>
                <w:szCs w:val="24"/>
              </w:rPr>
            </w:pPr>
          </w:p>
        </w:tc>
        <w:tc>
          <w:tcPr>
            <w:tcW w:w="1092" w:type="dxa"/>
            <w:vMerge w:val="continue"/>
            <w:tcBorders>
              <w:left w:val="single" w:color="auto" w:sz="6" w:space="0"/>
              <w:bottom w:val="single" w:color="auto" w:sz="6" w:space="0"/>
              <w:right w:val="single" w:color="auto" w:sz="4" w:space="0"/>
            </w:tcBorders>
            <w:noWrap w:val="0"/>
            <w:vAlign w:val="center"/>
          </w:tcPr>
          <w:p w14:paraId="43D85CF1">
            <w:pPr>
              <w:autoSpaceDE w:val="0"/>
              <w:autoSpaceDN w:val="0"/>
              <w:adjustRightInd w:val="0"/>
              <w:snapToGrid w:val="0"/>
              <w:spacing w:line="240" w:lineRule="auto"/>
              <w:ind w:right="-20"/>
              <w:jc w:val="center"/>
              <w:rPr>
                <w:rFonts w:hint="eastAsia" w:ascii="宋体" w:hAnsi="宋体" w:eastAsia="宋体" w:cs="宋体"/>
                <w:kern w:val="0"/>
                <w:sz w:val="24"/>
                <w:szCs w:val="24"/>
              </w:rPr>
            </w:pPr>
          </w:p>
        </w:tc>
        <w:tc>
          <w:tcPr>
            <w:tcW w:w="910" w:type="dxa"/>
            <w:tcBorders>
              <w:top w:val="single" w:color="auto" w:sz="6" w:space="0"/>
              <w:left w:val="single" w:color="auto" w:sz="4" w:space="0"/>
              <w:bottom w:val="single" w:color="auto" w:sz="6" w:space="0"/>
              <w:right w:val="single" w:color="auto" w:sz="4" w:space="0"/>
            </w:tcBorders>
            <w:noWrap w:val="0"/>
            <w:vAlign w:val="center"/>
          </w:tcPr>
          <w:p w14:paraId="04381F31">
            <w:pPr>
              <w:autoSpaceDE w:val="0"/>
              <w:autoSpaceDN w:val="0"/>
              <w:adjustRightInd w:val="0"/>
              <w:snapToGrid w:val="0"/>
              <w:spacing w:line="240" w:lineRule="auto"/>
              <w:ind w:right="-20"/>
              <w:jc w:val="center"/>
              <w:rPr>
                <w:rFonts w:hint="eastAsia" w:ascii="宋体" w:hAnsi="宋体" w:eastAsia="宋体" w:cs="宋体"/>
                <w:kern w:val="0"/>
                <w:sz w:val="24"/>
                <w:szCs w:val="24"/>
              </w:rPr>
            </w:pPr>
            <w:r>
              <w:rPr>
                <w:rFonts w:hint="eastAsia" w:ascii="宋体" w:hAnsi="宋体" w:eastAsia="宋体" w:cs="宋体"/>
                <w:kern w:val="0"/>
                <w:position w:val="-1"/>
                <w:sz w:val="24"/>
                <w:szCs w:val="24"/>
              </w:rPr>
              <w:t>单价</w:t>
            </w:r>
          </w:p>
        </w:tc>
        <w:tc>
          <w:tcPr>
            <w:tcW w:w="916" w:type="dxa"/>
            <w:tcBorders>
              <w:top w:val="single" w:color="auto" w:sz="6" w:space="0"/>
              <w:left w:val="single" w:color="auto" w:sz="4" w:space="0"/>
              <w:bottom w:val="single" w:color="auto" w:sz="6" w:space="0"/>
              <w:right w:val="single" w:color="auto" w:sz="6" w:space="0"/>
            </w:tcBorders>
            <w:noWrap w:val="0"/>
            <w:vAlign w:val="center"/>
          </w:tcPr>
          <w:p w14:paraId="6294180C">
            <w:pPr>
              <w:autoSpaceDE w:val="0"/>
              <w:autoSpaceDN w:val="0"/>
              <w:adjustRightInd w:val="0"/>
              <w:snapToGrid w:val="0"/>
              <w:spacing w:line="240" w:lineRule="auto"/>
              <w:ind w:left="70" w:right="-20"/>
              <w:jc w:val="center"/>
              <w:rPr>
                <w:rFonts w:hint="eastAsia" w:ascii="宋体" w:hAnsi="宋体" w:eastAsia="宋体" w:cs="宋体"/>
                <w:kern w:val="0"/>
                <w:sz w:val="24"/>
                <w:szCs w:val="24"/>
              </w:rPr>
            </w:pPr>
            <w:r>
              <w:rPr>
                <w:rFonts w:hint="eastAsia" w:ascii="宋体" w:hAnsi="宋体" w:eastAsia="宋体" w:cs="宋体"/>
                <w:kern w:val="0"/>
                <w:sz w:val="24"/>
                <w:szCs w:val="24"/>
              </w:rPr>
              <w:t>小计</w:t>
            </w:r>
          </w:p>
        </w:tc>
        <w:tc>
          <w:tcPr>
            <w:tcW w:w="914" w:type="dxa"/>
            <w:vMerge w:val="continue"/>
            <w:tcBorders>
              <w:top w:val="single" w:color="auto" w:sz="6" w:space="0"/>
              <w:left w:val="single" w:color="auto" w:sz="6" w:space="0"/>
              <w:bottom w:val="single" w:color="auto" w:sz="6" w:space="0"/>
              <w:right w:val="double" w:color="auto" w:sz="4" w:space="0"/>
            </w:tcBorders>
            <w:noWrap w:val="0"/>
            <w:vAlign w:val="top"/>
          </w:tcPr>
          <w:p w14:paraId="59FBBB55">
            <w:pPr>
              <w:autoSpaceDE w:val="0"/>
              <w:autoSpaceDN w:val="0"/>
              <w:adjustRightInd w:val="0"/>
              <w:snapToGrid w:val="0"/>
              <w:spacing w:line="240" w:lineRule="auto"/>
              <w:ind w:left="422" w:right="-20"/>
              <w:jc w:val="left"/>
              <w:rPr>
                <w:rFonts w:hint="eastAsia" w:ascii="宋体" w:hAnsi="宋体" w:eastAsia="宋体" w:cs="宋体"/>
                <w:kern w:val="0"/>
                <w:sz w:val="24"/>
                <w:szCs w:val="24"/>
              </w:rPr>
            </w:pPr>
          </w:p>
        </w:tc>
      </w:tr>
      <w:tr w14:paraId="46BA9719">
        <w:tblPrEx>
          <w:tblCellMar>
            <w:top w:w="0" w:type="dxa"/>
            <w:left w:w="0" w:type="dxa"/>
            <w:bottom w:w="0" w:type="dxa"/>
            <w:right w:w="0" w:type="dxa"/>
          </w:tblCellMar>
        </w:tblPrEx>
        <w:trPr>
          <w:trHeight w:val="378" w:hRule="exact"/>
          <w:jc w:val="center"/>
        </w:trPr>
        <w:tc>
          <w:tcPr>
            <w:tcW w:w="333" w:type="dxa"/>
            <w:tcBorders>
              <w:top w:val="single" w:color="auto" w:sz="6" w:space="0"/>
              <w:left w:val="double" w:color="auto" w:sz="4" w:space="0"/>
              <w:bottom w:val="single" w:color="auto" w:sz="6" w:space="0"/>
              <w:right w:val="single" w:color="auto" w:sz="6" w:space="0"/>
            </w:tcBorders>
            <w:noWrap w:val="0"/>
            <w:vAlign w:val="center"/>
          </w:tcPr>
          <w:p w14:paraId="6964A5B0">
            <w:pPr>
              <w:spacing w:line="24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6A7C2822">
            <w:pPr>
              <w:autoSpaceDE w:val="0"/>
              <w:autoSpaceDN w:val="0"/>
              <w:adjustRightInd w:val="0"/>
              <w:snapToGrid w:val="0"/>
              <w:spacing w:line="240" w:lineRule="auto"/>
              <w:jc w:val="center"/>
              <w:rPr>
                <w:rFonts w:hint="eastAsia" w:ascii="宋体" w:hAnsi="宋体" w:eastAsia="宋体" w:cs="宋体"/>
                <w:kern w:val="0"/>
                <w:sz w:val="24"/>
                <w:szCs w:val="24"/>
              </w:rPr>
            </w:pPr>
          </w:p>
        </w:tc>
        <w:tc>
          <w:tcPr>
            <w:tcW w:w="2355" w:type="dxa"/>
            <w:tcBorders>
              <w:top w:val="single" w:color="auto" w:sz="6" w:space="0"/>
              <w:left w:val="single" w:color="auto" w:sz="6" w:space="0"/>
              <w:bottom w:val="single" w:color="auto" w:sz="6" w:space="0"/>
              <w:right w:val="single" w:color="auto" w:sz="4" w:space="0"/>
            </w:tcBorders>
            <w:noWrap w:val="0"/>
            <w:vAlign w:val="top"/>
          </w:tcPr>
          <w:p w14:paraId="2085A628">
            <w:pPr>
              <w:autoSpaceDE w:val="0"/>
              <w:autoSpaceDN w:val="0"/>
              <w:adjustRightInd w:val="0"/>
              <w:snapToGrid w:val="0"/>
              <w:spacing w:line="240" w:lineRule="auto"/>
              <w:jc w:val="left"/>
              <w:rPr>
                <w:rFonts w:hint="eastAsia" w:ascii="宋体" w:hAnsi="宋体" w:eastAsia="宋体" w:cs="宋体"/>
                <w:kern w:val="0"/>
                <w:sz w:val="24"/>
                <w:szCs w:val="24"/>
              </w:rPr>
            </w:pPr>
          </w:p>
        </w:tc>
        <w:tc>
          <w:tcPr>
            <w:tcW w:w="971" w:type="dxa"/>
            <w:tcBorders>
              <w:top w:val="single" w:color="auto" w:sz="6" w:space="0"/>
              <w:left w:val="single" w:color="auto" w:sz="4" w:space="0"/>
              <w:bottom w:val="single" w:color="auto" w:sz="6" w:space="0"/>
              <w:right w:val="single" w:color="auto" w:sz="6" w:space="0"/>
            </w:tcBorders>
            <w:noWrap w:val="0"/>
            <w:vAlign w:val="top"/>
          </w:tcPr>
          <w:p w14:paraId="68396D63">
            <w:pPr>
              <w:autoSpaceDE w:val="0"/>
              <w:autoSpaceDN w:val="0"/>
              <w:adjustRightInd w:val="0"/>
              <w:snapToGrid w:val="0"/>
              <w:spacing w:line="240" w:lineRule="auto"/>
              <w:jc w:val="left"/>
              <w:rPr>
                <w:rFonts w:hint="eastAsia" w:ascii="宋体" w:hAnsi="宋体" w:eastAsia="宋体" w:cs="宋体"/>
                <w:kern w:val="0"/>
                <w:sz w:val="24"/>
                <w:szCs w:val="24"/>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17261B90">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6EEB48B2">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2A31BD60">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0CCF4DE5">
            <w:pPr>
              <w:autoSpaceDE w:val="0"/>
              <w:autoSpaceDN w:val="0"/>
              <w:adjustRightInd w:val="0"/>
              <w:snapToGrid w:val="0"/>
              <w:spacing w:line="240" w:lineRule="auto"/>
              <w:jc w:val="left"/>
              <w:rPr>
                <w:rFonts w:hint="eastAsia" w:ascii="宋体" w:hAnsi="宋体" w:eastAsia="宋体" w:cs="宋体"/>
                <w:kern w:val="0"/>
                <w:sz w:val="24"/>
                <w:szCs w:val="24"/>
              </w:rPr>
            </w:pPr>
          </w:p>
        </w:tc>
      </w:tr>
      <w:tr w14:paraId="7B13D204">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noWrap w:val="0"/>
            <w:vAlign w:val="center"/>
          </w:tcPr>
          <w:p w14:paraId="789F2156">
            <w:pPr>
              <w:spacing w:line="240"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6408214E">
            <w:pPr>
              <w:autoSpaceDE w:val="0"/>
              <w:autoSpaceDN w:val="0"/>
              <w:adjustRightInd w:val="0"/>
              <w:snapToGrid w:val="0"/>
              <w:spacing w:line="240" w:lineRule="auto"/>
              <w:jc w:val="center"/>
              <w:rPr>
                <w:rFonts w:hint="eastAsia" w:ascii="宋体" w:hAnsi="宋体" w:eastAsia="宋体" w:cs="宋体"/>
                <w:kern w:val="0"/>
                <w:sz w:val="24"/>
                <w:szCs w:val="24"/>
              </w:rPr>
            </w:pPr>
          </w:p>
        </w:tc>
        <w:tc>
          <w:tcPr>
            <w:tcW w:w="2355" w:type="dxa"/>
            <w:tcBorders>
              <w:top w:val="single" w:color="auto" w:sz="6" w:space="0"/>
              <w:left w:val="single" w:color="auto" w:sz="6" w:space="0"/>
              <w:bottom w:val="single" w:color="auto" w:sz="6" w:space="0"/>
              <w:right w:val="single" w:color="auto" w:sz="4" w:space="0"/>
            </w:tcBorders>
            <w:noWrap w:val="0"/>
            <w:vAlign w:val="top"/>
          </w:tcPr>
          <w:p w14:paraId="7391770F">
            <w:pPr>
              <w:autoSpaceDE w:val="0"/>
              <w:autoSpaceDN w:val="0"/>
              <w:adjustRightInd w:val="0"/>
              <w:snapToGrid w:val="0"/>
              <w:spacing w:line="240" w:lineRule="auto"/>
              <w:jc w:val="left"/>
              <w:rPr>
                <w:rFonts w:hint="eastAsia" w:ascii="宋体" w:hAnsi="宋体" w:eastAsia="宋体" w:cs="宋体"/>
                <w:kern w:val="0"/>
                <w:sz w:val="24"/>
                <w:szCs w:val="24"/>
              </w:rPr>
            </w:pPr>
          </w:p>
        </w:tc>
        <w:tc>
          <w:tcPr>
            <w:tcW w:w="971" w:type="dxa"/>
            <w:tcBorders>
              <w:top w:val="single" w:color="auto" w:sz="6" w:space="0"/>
              <w:left w:val="single" w:color="auto" w:sz="4" w:space="0"/>
              <w:bottom w:val="single" w:color="auto" w:sz="6" w:space="0"/>
              <w:right w:val="single" w:color="auto" w:sz="6" w:space="0"/>
            </w:tcBorders>
            <w:noWrap w:val="0"/>
            <w:vAlign w:val="top"/>
          </w:tcPr>
          <w:p w14:paraId="164F03BC">
            <w:pPr>
              <w:autoSpaceDE w:val="0"/>
              <w:autoSpaceDN w:val="0"/>
              <w:adjustRightInd w:val="0"/>
              <w:snapToGrid w:val="0"/>
              <w:spacing w:line="240" w:lineRule="auto"/>
              <w:jc w:val="left"/>
              <w:rPr>
                <w:rFonts w:hint="eastAsia" w:ascii="宋体" w:hAnsi="宋体" w:eastAsia="宋体" w:cs="宋体"/>
                <w:kern w:val="0"/>
                <w:sz w:val="24"/>
                <w:szCs w:val="24"/>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690BCF4E">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2B8CD7A7">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2EBDEDE8">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5E2F874A">
            <w:pPr>
              <w:autoSpaceDE w:val="0"/>
              <w:autoSpaceDN w:val="0"/>
              <w:adjustRightInd w:val="0"/>
              <w:snapToGrid w:val="0"/>
              <w:spacing w:line="240" w:lineRule="auto"/>
              <w:jc w:val="left"/>
              <w:rPr>
                <w:rFonts w:hint="eastAsia" w:ascii="宋体" w:hAnsi="宋体" w:eastAsia="宋体" w:cs="宋体"/>
                <w:kern w:val="0"/>
                <w:sz w:val="24"/>
                <w:szCs w:val="24"/>
              </w:rPr>
            </w:pPr>
          </w:p>
        </w:tc>
      </w:tr>
      <w:tr w14:paraId="4D5CAB3A">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noWrap w:val="0"/>
            <w:vAlign w:val="center"/>
          </w:tcPr>
          <w:p w14:paraId="56E5D591">
            <w:pPr>
              <w:spacing w:line="240" w:lineRule="auto"/>
              <w:jc w:val="center"/>
              <w:rPr>
                <w:rFonts w:hint="eastAsia" w:ascii="宋体" w:hAnsi="宋体" w:eastAsia="宋体" w:cs="宋体"/>
                <w:sz w:val="24"/>
                <w:szCs w:val="24"/>
              </w:rPr>
            </w:pPr>
            <w:r>
              <w:rPr>
                <w:rFonts w:hint="eastAsia" w:ascii="宋体" w:hAnsi="宋体" w:eastAsia="宋体" w:cs="宋体"/>
                <w:sz w:val="24"/>
                <w:szCs w:val="24"/>
              </w:rPr>
              <w:t>3</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26B5B0C4">
            <w:pPr>
              <w:autoSpaceDE w:val="0"/>
              <w:autoSpaceDN w:val="0"/>
              <w:adjustRightInd w:val="0"/>
              <w:snapToGrid w:val="0"/>
              <w:spacing w:line="240" w:lineRule="auto"/>
              <w:jc w:val="center"/>
              <w:rPr>
                <w:rFonts w:hint="eastAsia" w:ascii="宋体" w:hAnsi="宋体" w:eastAsia="宋体" w:cs="宋体"/>
                <w:kern w:val="0"/>
                <w:sz w:val="24"/>
                <w:szCs w:val="24"/>
              </w:rPr>
            </w:pPr>
          </w:p>
        </w:tc>
        <w:tc>
          <w:tcPr>
            <w:tcW w:w="2355" w:type="dxa"/>
            <w:tcBorders>
              <w:top w:val="single" w:color="auto" w:sz="6" w:space="0"/>
              <w:left w:val="single" w:color="auto" w:sz="6" w:space="0"/>
              <w:bottom w:val="single" w:color="auto" w:sz="6" w:space="0"/>
              <w:right w:val="single" w:color="auto" w:sz="4" w:space="0"/>
            </w:tcBorders>
            <w:noWrap w:val="0"/>
            <w:vAlign w:val="top"/>
          </w:tcPr>
          <w:p w14:paraId="2D029647">
            <w:pPr>
              <w:autoSpaceDE w:val="0"/>
              <w:autoSpaceDN w:val="0"/>
              <w:adjustRightInd w:val="0"/>
              <w:snapToGrid w:val="0"/>
              <w:spacing w:line="240" w:lineRule="auto"/>
              <w:jc w:val="left"/>
              <w:rPr>
                <w:rFonts w:hint="eastAsia" w:ascii="宋体" w:hAnsi="宋体" w:eastAsia="宋体" w:cs="宋体"/>
                <w:kern w:val="0"/>
                <w:sz w:val="24"/>
                <w:szCs w:val="24"/>
              </w:rPr>
            </w:pPr>
          </w:p>
        </w:tc>
        <w:tc>
          <w:tcPr>
            <w:tcW w:w="971" w:type="dxa"/>
            <w:tcBorders>
              <w:top w:val="single" w:color="auto" w:sz="6" w:space="0"/>
              <w:left w:val="single" w:color="auto" w:sz="4" w:space="0"/>
              <w:bottom w:val="single" w:color="auto" w:sz="6" w:space="0"/>
              <w:right w:val="single" w:color="auto" w:sz="6" w:space="0"/>
            </w:tcBorders>
            <w:noWrap w:val="0"/>
            <w:vAlign w:val="top"/>
          </w:tcPr>
          <w:p w14:paraId="5A14FD06">
            <w:pPr>
              <w:autoSpaceDE w:val="0"/>
              <w:autoSpaceDN w:val="0"/>
              <w:adjustRightInd w:val="0"/>
              <w:snapToGrid w:val="0"/>
              <w:spacing w:line="240" w:lineRule="auto"/>
              <w:jc w:val="left"/>
              <w:rPr>
                <w:rFonts w:hint="eastAsia" w:ascii="宋体" w:hAnsi="宋体" w:eastAsia="宋体" w:cs="宋体"/>
                <w:kern w:val="0"/>
                <w:sz w:val="24"/>
                <w:szCs w:val="24"/>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6789166A">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56DD0834">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52C699CD">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66B82A0C">
            <w:pPr>
              <w:autoSpaceDE w:val="0"/>
              <w:autoSpaceDN w:val="0"/>
              <w:adjustRightInd w:val="0"/>
              <w:snapToGrid w:val="0"/>
              <w:spacing w:line="240" w:lineRule="auto"/>
              <w:jc w:val="left"/>
              <w:rPr>
                <w:rFonts w:hint="eastAsia" w:ascii="宋体" w:hAnsi="宋体" w:eastAsia="宋体" w:cs="宋体"/>
                <w:kern w:val="0"/>
                <w:sz w:val="24"/>
                <w:szCs w:val="24"/>
              </w:rPr>
            </w:pPr>
          </w:p>
        </w:tc>
      </w:tr>
      <w:tr w14:paraId="6C7DC0F6">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noWrap w:val="0"/>
            <w:vAlign w:val="center"/>
          </w:tcPr>
          <w:p w14:paraId="1F96DD7F">
            <w:pPr>
              <w:spacing w:line="240" w:lineRule="auto"/>
              <w:jc w:val="center"/>
              <w:rPr>
                <w:rFonts w:hint="eastAsia" w:ascii="宋体" w:hAnsi="宋体" w:eastAsia="宋体" w:cs="宋体"/>
                <w:sz w:val="24"/>
                <w:szCs w:val="24"/>
              </w:rPr>
            </w:pPr>
            <w:r>
              <w:rPr>
                <w:rFonts w:hint="eastAsia" w:ascii="宋体" w:hAnsi="宋体" w:eastAsia="宋体" w:cs="宋体"/>
                <w:sz w:val="24"/>
                <w:szCs w:val="24"/>
              </w:rPr>
              <w:t>4</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1F1A2B20">
            <w:pPr>
              <w:autoSpaceDE w:val="0"/>
              <w:autoSpaceDN w:val="0"/>
              <w:adjustRightInd w:val="0"/>
              <w:snapToGrid w:val="0"/>
              <w:spacing w:line="240" w:lineRule="auto"/>
              <w:jc w:val="center"/>
              <w:rPr>
                <w:rFonts w:hint="eastAsia" w:ascii="宋体" w:hAnsi="宋体" w:eastAsia="宋体" w:cs="宋体"/>
                <w:kern w:val="0"/>
                <w:sz w:val="24"/>
                <w:szCs w:val="24"/>
              </w:rPr>
            </w:pPr>
          </w:p>
        </w:tc>
        <w:tc>
          <w:tcPr>
            <w:tcW w:w="2355" w:type="dxa"/>
            <w:tcBorders>
              <w:top w:val="single" w:color="auto" w:sz="6" w:space="0"/>
              <w:left w:val="single" w:color="auto" w:sz="6" w:space="0"/>
              <w:bottom w:val="single" w:color="auto" w:sz="6" w:space="0"/>
              <w:right w:val="single" w:color="auto" w:sz="4" w:space="0"/>
            </w:tcBorders>
            <w:noWrap w:val="0"/>
            <w:vAlign w:val="top"/>
          </w:tcPr>
          <w:p w14:paraId="77275761">
            <w:pPr>
              <w:autoSpaceDE w:val="0"/>
              <w:autoSpaceDN w:val="0"/>
              <w:adjustRightInd w:val="0"/>
              <w:snapToGrid w:val="0"/>
              <w:spacing w:line="240" w:lineRule="auto"/>
              <w:jc w:val="left"/>
              <w:rPr>
                <w:rFonts w:hint="eastAsia" w:ascii="宋体" w:hAnsi="宋体" w:eastAsia="宋体" w:cs="宋体"/>
                <w:kern w:val="0"/>
                <w:sz w:val="24"/>
                <w:szCs w:val="24"/>
              </w:rPr>
            </w:pPr>
          </w:p>
        </w:tc>
        <w:tc>
          <w:tcPr>
            <w:tcW w:w="971" w:type="dxa"/>
            <w:tcBorders>
              <w:top w:val="single" w:color="auto" w:sz="6" w:space="0"/>
              <w:left w:val="single" w:color="auto" w:sz="4" w:space="0"/>
              <w:bottom w:val="single" w:color="auto" w:sz="6" w:space="0"/>
              <w:right w:val="single" w:color="auto" w:sz="6" w:space="0"/>
            </w:tcBorders>
            <w:noWrap w:val="0"/>
            <w:vAlign w:val="top"/>
          </w:tcPr>
          <w:p w14:paraId="25EAFE24">
            <w:pPr>
              <w:autoSpaceDE w:val="0"/>
              <w:autoSpaceDN w:val="0"/>
              <w:adjustRightInd w:val="0"/>
              <w:snapToGrid w:val="0"/>
              <w:spacing w:line="240" w:lineRule="auto"/>
              <w:jc w:val="left"/>
              <w:rPr>
                <w:rFonts w:hint="eastAsia" w:ascii="宋体" w:hAnsi="宋体" w:eastAsia="宋体" w:cs="宋体"/>
                <w:kern w:val="0"/>
                <w:sz w:val="24"/>
                <w:szCs w:val="24"/>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518ED03F">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4EC5EBBF">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5F23F4D0">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5BDDA22E">
            <w:pPr>
              <w:autoSpaceDE w:val="0"/>
              <w:autoSpaceDN w:val="0"/>
              <w:adjustRightInd w:val="0"/>
              <w:snapToGrid w:val="0"/>
              <w:spacing w:line="240" w:lineRule="auto"/>
              <w:jc w:val="left"/>
              <w:rPr>
                <w:rFonts w:hint="eastAsia" w:ascii="宋体" w:hAnsi="宋体" w:eastAsia="宋体" w:cs="宋体"/>
                <w:kern w:val="0"/>
                <w:sz w:val="24"/>
                <w:szCs w:val="24"/>
              </w:rPr>
            </w:pPr>
          </w:p>
        </w:tc>
      </w:tr>
      <w:tr w14:paraId="6661A8D8">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noWrap w:val="0"/>
            <w:vAlign w:val="center"/>
          </w:tcPr>
          <w:p w14:paraId="00555CB3">
            <w:pPr>
              <w:spacing w:line="240" w:lineRule="auto"/>
              <w:jc w:val="center"/>
              <w:rPr>
                <w:rFonts w:hint="eastAsia" w:ascii="宋体" w:hAnsi="宋体" w:eastAsia="宋体" w:cs="宋体"/>
                <w:sz w:val="24"/>
                <w:szCs w:val="24"/>
              </w:rPr>
            </w:pPr>
            <w:r>
              <w:rPr>
                <w:rFonts w:hint="eastAsia" w:ascii="宋体" w:hAnsi="宋体" w:eastAsia="宋体" w:cs="宋体"/>
                <w:sz w:val="24"/>
                <w:szCs w:val="24"/>
              </w:rPr>
              <w:t>5</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64172855">
            <w:pPr>
              <w:autoSpaceDE w:val="0"/>
              <w:autoSpaceDN w:val="0"/>
              <w:adjustRightInd w:val="0"/>
              <w:snapToGrid w:val="0"/>
              <w:spacing w:line="240" w:lineRule="auto"/>
              <w:jc w:val="center"/>
              <w:rPr>
                <w:rFonts w:hint="eastAsia" w:ascii="宋体" w:hAnsi="宋体" w:eastAsia="宋体" w:cs="宋体"/>
                <w:kern w:val="0"/>
                <w:sz w:val="24"/>
                <w:szCs w:val="24"/>
              </w:rPr>
            </w:pPr>
          </w:p>
        </w:tc>
        <w:tc>
          <w:tcPr>
            <w:tcW w:w="2355" w:type="dxa"/>
            <w:tcBorders>
              <w:top w:val="single" w:color="auto" w:sz="6" w:space="0"/>
              <w:left w:val="single" w:color="auto" w:sz="6" w:space="0"/>
              <w:bottom w:val="single" w:color="auto" w:sz="6" w:space="0"/>
              <w:right w:val="single" w:color="auto" w:sz="4" w:space="0"/>
            </w:tcBorders>
            <w:noWrap w:val="0"/>
            <w:vAlign w:val="top"/>
          </w:tcPr>
          <w:p w14:paraId="52FE2B7C">
            <w:pPr>
              <w:autoSpaceDE w:val="0"/>
              <w:autoSpaceDN w:val="0"/>
              <w:adjustRightInd w:val="0"/>
              <w:snapToGrid w:val="0"/>
              <w:spacing w:line="240" w:lineRule="auto"/>
              <w:jc w:val="left"/>
              <w:rPr>
                <w:rFonts w:hint="eastAsia" w:ascii="宋体" w:hAnsi="宋体" w:eastAsia="宋体" w:cs="宋体"/>
                <w:kern w:val="0"/>
                <w:sz w:val="24"/>
                <w:szCs w:val="24"/>
              </w:rPr>
            </w:pPr>
          </w:p>
        </w:tc>
        <w:tc>
          <w:tcPr>
            <w:tcW w:w="971" w:type="dxa"/>
            <w:tcBorders>
              <w:top w:val="single" w:color="auto" w:sz="6" w:space="0"/>
              <w:left w:val="single" w:color="auto" w:sz="4" w:space="0"/>
              <w:bottom w:val="single" w:color="auto" w:sz="6" w:space="0"/>
              <w:right w:val="single" w:color="auto" w:sz="6" w:space="0"/>
            </w:tcBorders>
            <w:noWrap w:val="0"/>
            <w:vAlign w:val="top"/>
          </w:tcPr>
          <w:p w14:paraId="4269CAD5">
            <w:pPr>
              <w:autoSpaceDE w:val="0"/>
              <w:autoSpaceDN w:val="0"/>
              <w:adjustRightInd w:val="0"/>
              <w:snapToGrid w:val="0"/>
              <w:spacing w:line="240" w:lineRule="auto"/>
              <w:jc w:val="left"/>
              <w:rPr>
                <w:rFonts w:hint="eastAsia" w:ascii="宋体" w:hAnsi="宋体" w:eastAsia="宋体" w:cs="宋体"/>
                <w:kern w:val="0"/>
                <w:sz w:val="24"/>
                <w:szCs w:val="24"/>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77A1BF56">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2BFEECC5">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079ECD37">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06A43D81">
            <w:pPr>
              <w:autoSpaceDE w:val="0"/>
              <w:autoSpaceDN w:val="0"/>
              <w:adjustRightInd w:val="0"/>
              <w:snapToGrid w:val="0"/>
              <w:spacing w:line="240" w:lineRule="auto"/>
              <w:jc w:val="left"/>
              <w:rPr>
                <w:rFonts w:hint="eastAsia" w:ascii="宋体" w:hAnsi="宋体" w:eastAsia="宋体" w:cs="宋体"/>
                <w:kern w:val="0"/>
                <w:sz w:val="24"/>
                <w:szCs w:val="24"/>
              </w:rPr>
            </w:pPr>
          </w:p>
        </w:tc>
      </w:tr>
      <w:tr w14:paraId="0B3F3CBE">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noWrap w:val="0"/>
            <w:vAlign w:val="center"/>
          </w:tcPr>
          <w:p w14:paraId="73E000F5">
            <w:pPr>
              <w:spacing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c>
          <w:tcPr>
            <w:tcW w:w="1383" w:type="dxa"/>
            <w:tcBorders>
              <w:top w:val="single" w:color="auto" w:sz="6" w:space="0"/>
              <w:left w:val="single" w:color="auto" w:sz="6" w:space="0"/>
              <w:bottom w:val="single" w:color="auto" w:sz="6" w:space="0"/>
              <w:right w:val="single" w:color="auto" w:sz="6" w:space="0"/>
            </w:tcBorders>
            <w:noWrap w:val="0"/>
            <w:vAlign w:val="top"/>
          </w:tcPr>
          <w:p w14:paraId="7E22EB33">
            <w:pPr>
              <w:autoSpaceDE w:val="0"/>
              <w:autoSpaceDN w:val="0"/>
              <w:adjustRightInd w:val="0"/>
              <w:snapToGrid w:val="0"/>
              <w:spacing w:line="240" w:lineRule="auto"/>
              <w:ind w:left="527" w:right="507"/>
              <w:jc w:val="center"/>
              <w:rPr>
                <w:rFonts w:hint="eastAsia" w:ascii="宋体" w:hAnsi="宋体" w:eastAsia="宋体" w:cs="宋体"/>
                <w:kern w:val="0"/>
                <w:sz w:val="24"/>
                <w:szCs w:val="24"/>
              </w:rPr>
            </w:pPr>
          </w:p>
        </w:tc>
        <w:tc>
          <w:tcPr>
            <w:tcW w:w="2355" w:type="dxa"/>
            <w:tcBorders>
              <w:top w:val="single" w:color="auto" w:sz="6" w:space="0"/>
              <w:left w:val="single" w:color="auto" w:sz="6" w:space="0"/>
              <w:bottom w:val="single" w:color="auto" w:sz="6" w:space="0"/>
              <w:right w:val="single" w:color="auto" w:sz="4" w:space="0"/>
            </w:tcBorders>
            <w:noWrap w:val="0"/>
            <w:vAlign w:val="top"/>
          </w:tcPr>
          <w:p w14:paraId="1F96ECD3">
            <w:pPr>
              <w:autoSpaceDE w:val="0"/>
              <w:autoSpaceDN w:val="0"/>
              <w:adjustRightInd w:val="0"/>
              <w:snapToGrid w:val="0"/>
              <w:spacing w:line="240" w:lineRule="auto"/>
              <w:jc w:val="left"/>
              <w:rPr>
                <w:rFonts w:hint="eastAsia" w:ascii="宋体" w:hAnsi="宋体" w:eastAsia="宋体" w:cs="宋体"/>
                <w:kern w:val="0"/>
                <w:sz w:val="24"/>
                <w:szCs w:val="24"/>
              </w:rPr>
            </w:pPr>
          </w:p>
        </w:tc>
        <w:tc>
          <w:tcPr>
            <w:tcW w:w="971" w:type="dxa"/>
            <w:tcBorders>
              <w:top w:val="single" w:color="auto" w:sz="6" w:space="0"/>
              <w:left w:val="single" w:color="auto" w:sz="4" w:space="0"/>
              <w:bottom w:val="single" w:color="auto" w:sz="6" w:space="0"/>
              <w:right w:val="single" w:color="auto" w:sz="6" w:space="0"/>
            </w:tcBorders>
            <w:noWrap w:val="0"/>
            <w:vAlign w:val="top"/>
          </w:tcPr>
          <w:p w14:paraId="2F5029E2">
            <w:pPr>
              <w:autoSpaceDE w:val="0"/>
              <w:autoSpaceDN w:val="0"/>
              <w:adjustRightInd w:val="0"/>
              <w:snapToGrid w:val="0"/>
              <w:spacing w:line="240" w:lineRule="auto"/>
              <w:jc w:val="left"/>
              <w:rPr>
                <w:rFonts w:hint="eastAsia" w:ascii="宋体" w:hAnsi="宋体" w:eastAsia="宋体" w:cs="宋体"/>
                <w:kern w:val="0"/>
                <w:sz w:val="24"/>
                <w:szCs w:val="24"/>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3EB92DB5">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0B5509A8">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20714E59">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6CFF5150">
            <w:pPr>
              <w:autoSpaceDE w:val="0"/>
              <w:autoSpaceDN w:val="0"/>
              <w:adjustRightInd w:val="0"/>
              <w:snapToGrid w:val="0"/>
              <w:spacing w:line="240" w:lineRule="auto"/>
              <w:jc w:val="left"/>
              <w:rPr>
                <w:rFonts w:hint="eastAsia" w:ascii="宋体" w:hAnsi="宋体" w:eastAsia="宋体" w:cs="宋体"/>
                <w:kern w:val="0"/>
                <w:sz w:val="24"/>
                <w:szCs w:val="24"/>
              </w:rPr>
            </w:pPr>
          </w:p>
        </w:tc>
      </w:tr>
      <w:tr w14:paraId="5A992E3B">
        <w:tblPrEx>
          <w:tblCellMar>
            <w:top w:w="0" w:type="dxa"/>
            <w:left w:w="0" w:type="dxa"/>
            <w:bottom w:w="0" w:type="dxa"/>
            <w:right w:w="0" w:type="dxa"/>
          </w:tblCellMar>
        </w:tblPrEx>
        <w:trPr>
          <w:trHeight w:val="415" w:hRule="exact"/>
          <w:jc w:val="center"/>
        </w:trPr>
        <w:tc>
          <w:tcPr>
            <w:tcW w:w="7044" w:type="dxa"/>
            <w:gridSpan w:val="6"/>
            <w:tcBorders>
              <w:top w:val="single" w:color="auto" w:sz="6" w:space="0"/>
              <w:left w:val="double" w:color="auto" w:sz="4" w:space="0"/>
              <w:bottom w:val="double" w:color="auto" w:sz="4" w:space="0"/>
              <w:right w:val="single" w:color="auto" w:sz="6" w:space="0"/>
            </w:tcBorders>
            <w:noWrap w:val="0"/>
            <w:vAlign w:val="center"/>
          </w:tcPr>
          <w:p w14:paraId="04393840">
            <w:pPr>
              <w:autoSpaceDE w:val="0"/>
              <w:autoSpaceDN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position w:val="-1"/>
                <w:sz w:val="24"/>
                <w:szCs w:val="24"/>
              </w:rPr>
              <w:t>投标报价（元）：</w:t>
            </w:r>
          </w:p>
        </w:tc>
        <w:tc>
          <w:tcPr>
            <w:tcW w:w="916" w:type="dxa"/>
            <w:tcBorders>
              <w:top w:val="single" w:color="auto" w:sz="6" w:space="0"/>
              <w:left w:val="single" w:color="auto" w:sz="6" w:space="0"/>
              <w:bottom w:val="double" w:color="auto" w:sz="4" w:space="0"/>
              <w:right w:val="single" w:color="auto" w:sz="6" w:space="0"/>
            </w:tcBorders>
            <w:noWrap w:val="0"/>
            <w:vAlign w:val="top"/>
          </w:tcPr>
          <w:p w14:paraId="2B853260">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4" w:type="dxa"/>
            <w:tcBorders>
              <w:top w:val="single" w:color="auto" w:sz="6" w:space="0"/>
              <w:left w:val="single" w:color="auto" w:sz="6" w:space="0"/>
              <w:bottom w:val="double" w:color="auto" w:sz="4" w:space="0"/>
              <w:right w:val="double" w:color="auto" w:sz="4" w:space="0"/>
            </w:tcBorders>
            <w:noWrap w:val="0"/>
            <w:vAlign w:val="top"/>
          </w:tcPr>
          <w:p w14:paraId="0DE822CF">
            <w:pPr>
              <w:autoSpaceDE w:val="0"/>
              <w:autoSpaceDN w:val="0"/>
              <w:adjustRightInd w:val="0"/>
              <w:snapToGrid w:val="0"/>
              <w:spacing w:line="240" w:lineRule="auto"/>
              <w:jc w:val="left"/>
              <w:rPr>
                <w:rFonts w:hint="eastAsia" w:ascii="宋体" w:hAnsi="宋体" w:eastAsia="宋体" w:cs="宋体"/>
                <w:kern w:val="0"/>
                <w:sz w:val="24"/>
                <w:szCs w:val="24"/>
              </w:rPr>
            </w:pPr>
          </w:p>
        </w:tc>
      </w:tr>
    </w:tbl>
    <w:p w14:paraId="7EC45494">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备注：（1）</w:t>
      </w:r>
      <w:r>
        <w:rPr>
          <w:rFonts w:hint="eastAsia" w:ascii="宋体" w:hAnsi="宋体" w:eastAsia="宋体" w:cs="宋体"/>
          <w:b/>
          <w:szCs w:val="21"/>
        </w:rPr>
        <w:t>本表应对应</w:t>
      </w:r>
      <w:r>
        <w:rPr>
          <w:rFonts w:hint="eastAsia" w:ascii="宋体" w:hAnsi="宋体" w:eastAsia="宋体" w:cs="宋体"/>
          <w:szCs w:val="21"/>
        </w:rPr>
        <w:t>“</w:t>
      </w:r>
      <w:r>
        <w:rPr>
          <w:rFonts w:hint="eastAsia" w:ascii="宋体" w:hAnsi="宋体" w:eastAsia="宋体" w:cs="宋体"/>
          <w:b/>
          <w:szCs w:val="21"/>
        </w:rPr>
        <w:t>开标一览表</w:t>
      </w:r>
      <w:r>
        <w:rPr>
          <w:rFonts w:hint="eastAsia" w:ascii="宋体" w:hAnsi="宋体" w:eastAsia="宋体" w:cs="宋体"/>
          <w:szCs w:val="21"/>
        </w:rPr>
        <w:t>”</w:t>
      </w:r>
      <w:r>
        <w:rPr>
          <w:rFonts w:hint="eastAsia" w:ascii="宋体" w:hAnsi="宋体" w:eastAsia="宋体" w:cs="宋体"/>
          <w:b/>
          <w:szCs w:val="21"/>
        </w:rPr>
        <w:t>，按包填写</w:t>
      </w:r>
      <w:r>
        <w:rPr>
          <w:rFonts w:hint="eastAsia" w:ascii="宋体" w:hAnsi="宋体" w:eastAsia="宋体" w:cs="宋体"/>
          <w:szCs w:val="21"/>
        </w:rPr>
        <w:t>。投标人如果不提供分项报价明细表，其</w:t>
      </w:r>
      <w:r>
        <w:rPr>
          <w:rFonts w:hint="eastAsia" w:ascii="宋体" w:hAnsi="宋体" w:eastAsia="宋体" w:cs="宋体"/>
          <w:b/>
          <w:szCs w:val="21"/>
        </w:rPr>
        <w:t>投标无效</w:t>
      </w:r>
      <w:r>
        <w:rPr>
          <w:rFonts w:hint="eastAsia" w:ascii="宋体" w:hAnsi="宋体" w:eastAsia="宋体" w:cs="宋体"/>
          <w:szCs w:val="21"/>
        </w:rPr>
        <w:t>。</w:t>
      </w:r>
    </w:p>
    <w:p w14:paraId="17041A88">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（2）不得填写“免费”或“赠与”，也不得进行“零”报价，否则</w:t>
      </w:r>
      <w:r>
        <w:rPr>
          <w:rFonts w:hint="eastAsia" w:ascii="宋体" w:hAnsi="宋体" w:eastAsia="宋体" w:cs="宋体"/>
          <w:b/>
          <w:szCs w:val="21"/>
        </w:rPr>
        <w:t>投标无效</w:t>
      </w:r>
      <w:r>
        <w:rPr>
          <w:rFonts w:hint="eastAsia" w:ascii="宋体" w:hAnsi="宋体" w:eastAsia="宋体" w:cs="宋体"/>
          <w:szCs w:val="21"/>
        </w:rPr>
        <w:t>。</w:t>
      </w:r>
    </w:p>
    <w:p w14:paraId="5BFA53B1">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（3）如果开标一览表内容与本表内容不一致的，以开标一览表内容为准。</w:t>
      </w:r>
    </w:p>
    <w:p w14:paraId="27004429">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（4）</w:t>
      </w:r>
      <w:r>
        <w:rPr>
          <w:rFonts w:hint="eastAsia" w:ascii="宋体" w:hAnsi="宋体" w:eastAsia="宋体" w:cs="宋体"/>
          <w:bCs/>
          <w:szCs w:val="21"/>
        </w:rPr>
        <w:t>投标人在投标截止时间前修改“开标一览表”中的投标报价的，应按第二章第13.7款规定修改本表相应内容。否则，</w:t>
      </w:r>
      <w:r>
        <w:rPr>
          <w:rFonts w:hint="eastAsia" w:ascii="宋体" w:hAnsi="宋体" w:eastAsia="宋体" w:cs="宋体"/>
          <w:szCs w:val="21"/>
        </w:rPr>
        <w:t>本表相应内容按投标报价修改的相同比例进行调整。</w:t>
      </w:r>
    </w:p>
    <w:p w14:paraId="4F776B13">
      <w:pPr>
        <w:adjustRightInd w:val="0"/>
        <w:snapToGrid w:val="0"/>
        <w:spacing w:line="360" w:lineRule="auto"/>
        <w:ind w:firstLine="422" w:firstLineChars="200"/>
        <w:rPr>
          <w:rFonts w:hint="eastAsia" w:ascii="宋体" w:hAnsi="宋体" w:eastAsia="宋体" w:cs="宋体"/>
          <w:b/>
          <w:szCs w:val="21"/>
        </w:rPr>
      </w:pPr>
    </w:p>
    <w:p w14:paraId="371DBF82">
      <w:pPr>
        <w:adjustRightInd w:val="0"/>
        <w:snapToGrid w:val="0"/>
        <w:spacing w:line="360" w:lineRule="auto"/>
        <w:rPr>
          <w:rFonts w:hint="eastAsia" w:ascii="宋体" w:hAnsi="宋体" w:eastAsia="宋体" w:cs="宋体"/>
          <w:szCs w:val="21"/>
        </w:rPr>
      </w:pPr>
    </w:p>
    <w:p w14:paraId="1D415028">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投标人名称（盖单位电子章）：</w:t>
      </w:r>
    </w:p>
    <w:p w14:paraId="23054B0A">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pacing w:val="-2"/>
          <w:kern w:val="0"/>
          <w:sz w:val="24"/>
          <w:szCs w:val="24"/>
        </w:rPr>
        <w:t>法</w:t>
      </w:r>
      <w:r>
        <w:rPr>
          <w:rFonts w:hint="eastAsia" w:ascii="宋体" w:hAnsi="宋体" w:eastAsia="宋体" w:cs="宋体"/>
          <w:kern w:val="0"/>
          <w:sz w:val="24"/>
          <w:szCs w:val="24"/>
        </w:rPr>
        <w:t>定</w:t>
      </w:r>
      <w:r>
        <w:rPr>
          <w:rFonts w:hint="eastAsia" w:ascii="宋体" w:hAnsi="宋体" w:eastAsia="宋体" w:cs="宋体"/>
          <w:spacing w:val="-2"/>
          <w:kern w:val="0"/>
          <w:sz w:val="24"/>
          <w:szCs w:val="24"/>
        </w:rPr>
        <w:t>代</w:t>
      </w:r>
      <w:r>
        <w:rPr>
          <w:rFonts w:hint="eastAsia" w:ascii="宋体" w:hAnsi="宋体" w:eastAsia="宋体" w:cs="宋体"/>
          <w:kern w:val="0"/>
          <w:sz w:val="24"/>
          <w:szCs w:val="24"/>
        </w:rPr>
        <w:t>表</w:t>
      </w:r>
      <w:r>
        <w:rPr>
          <w:rFonts w:hint="eastAsia" w:ascii="宋体" w:hAnsi="宋体" w:eastAsia="宋体" w:cs="宋体"/>
          <w:spacing w:val="-2"/>
          <w:kern w:val="0"/>
          <w:sz w:val="24"/>
          <w:szCs w:val="24"/>
        </w:rPr>
        <w:t>人</w:t>
      </w:r>
      <w:r>
        <w:rPr>
          <w:rFonts w:hint="eastAsia" w:ascii="宋体" w:hAnsi="宋体" w:eastAsia="宋体" w:cs="宋体"/>
          <w:kern w:val="0"/>
          <w:sz w:val="24"/>
          <w:szCs w:val="24"/>
        </w:rPr>
        <w:t>（</w:t>
      </w:r>
      <w:r>
        <w:rPr>
          <w:rFonts w:hint="eastAsia" w:ascii="宋体" w:hAnsi="宋体" w:eastAsia="宋体" w:cs="宋体"/>
          <w:spacing w:val="-2"/>
          <w:kern w:val="0"/>
          <w:sz w:val="24"/>
          <w:szCs w:val="24"/>
        </w:rPr>
        <w:t>单</w:t>
      </w:r>
      <w:r>
        <w:rPr>
          <w:rFonts w:hint="eastAsia" w:ascii="宋体" w:hAnsi="宋体" w:eastAsia="宋体" w:cs="宋体"/>
          <w:kern w:val="0"/>
          <w:sz w:val="24"/>
          <w:szCs w:val="24"/>
        </w:rPr>
        <w:t>位</w:t>
      </w:r>
      <w:r>
        <w:rPr>
          <w:rFonts w:hint="eastAsia" w:ascii="宋体" w:hAnsi="宋体" w:eastAsia="宋体" w:cs="宋体"/>
          <w:spacing w:val="-2"/>
          <w:kern w:val="0"/>
          <w:sz w:val="24"/>
          <w:szCs w:val="24"/>
        </w:rPr>
        <w:t>负</w:t>
      </w:r>
      <w:r>
        <w:rPr>
          <w:rFonts w:hint="eastAsia" w:ascii="宋体" w:hAnsi="宋体" w:eastAsia="宋体" w:cs="宋体"/>
          <w:kern w:val="0"/>
          <w:sz w:val="24"/>
          <w:szCs w:val="24"/>
        </w:rPr>
        <w:t>责人</w:t>
      </w:r>
      <w:r>
        <w:rPr>
          <w:rFonts w:hint="eastAsia" w:ascii="宋体" w:hAnsi="宋体" w:eastAsia="宋体" w:cs="宋体"/>
          <w:spacing w:val="-2"/>
          <w:kern w:val="0"/>
          <w:sz w:val="24"/>
          <w:szCs w:val="24"/>
        </w:rPr>
        <w:t>）</w:t>
      </w:r>
      <w:r>
        <w:rPr>
          <w:rFonts w:hint="eastAsia" w:ascii="宋体" w:hAnsi="宋体" w:eastAsia="宋体" w:cs="宋体"/>
          <w:sz w:val="24"/>
          <w:szCs w:val="24"/>
        </w:rPr>
        <w:t>或其授权的代理人（签字或签章）：</w:t>
      </w:r>
      <w:r>
        <w:rPr>
          <w:rFonts w:hint="eastAsia" w:ascii="宋体" w:hAnsi="宋体" w:eastAsia="宋体" w:cs="宋体"/>
          <w:sz w:val="24"/>
          <w:szCs w:val="24"/>
          <w:u w:val="single"/>
        </w:rPr>
        <w:t xml:space="preserve">       </w:t>
      </w:r>
    </w:p>
    <w:p w14:paraId="457B7B4E">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日</w:t>
      </w:r>
    </w:p>
    <w:p w14:paraId="14C72680">
      <w:pPr>
        <w:rPr>
          <w:rFonts w:hint="eastAsia" w:ascii="宋体" w:hAnsi="宋体" w:eastAsia="宋体" w:cs="宋体"/>
          <w:szCs w:val="22"/>
        </w:rPr>
      </w:pPr>
    </w:p>
    <w:p w14:paraId="20F16A21">
      <w:pPr>
        <w:rPr>
          <w:rFonts w:hint="eastAsia" w:ascii="宋体" w:hAnsi="宋体" w:eastAsia="宋体" w:cs="宋体"/>
          <w:szCs w:val="22"/>
        </w:rPr>
      </w:pPr>
      <w:r>
        <w:rPr>
          <w:rFonts w:hint="eastAsia" w:ascii="宋体" w:hAnsi="宋体" w:eastAsia="宋体" w:cs="宋体"/>
          <w:szCs w:val="22"/>
        </w:rPr>
        <w:br w:type="page"/>
      </w:r>
    </w:p>
    <w:p w14:paraId="556DBEB6">
      <w:pPr>
        <w:keepNext/>
        <w:keepLines/>
        <w:widowControl w:val="0"/>
        <w:bidi w:val="0"/>
        <w:spacing w:before="340" w:beforeLines="0" w:beforeAutospacing="0" w:after="330" w:afterLines="0" w:afterAutospacing="0" w:line="576" w:lineRule="auto"/>
        <w:jc w:val="center"/>
        <w:outlineLvl w:val="0"/>
        <w:rPr>
          <w:rFonts w:hint="eastAsia" w:ascii="Calibri" w:hAnsi="Calibri" w:eastAsia="宋体" w:cs="Times New Roman"/>
          <w:b/>
          <w:kern w:val="44"/>
          <w:sz w:val="32"/>
          <w:szCs w:val="32"/>
          <w:lang w:val="en-US" w:eastAsia="zh-CN" w:bidi="ar-SA"/>
        </w:rPr>
      </w:pPr>
      <w:bookmarkStart w:id="168" w:name="_Toc23977"/>
      <w:bookmarkStart w:id="169" w:name="_Toc10549"/>
      <w:bookmarkStart w:id="170" w:name="_Toc28564"/>
      <w:bookmarkStart w:id="171" w:name="_Toc21756"/>
      <w:r>
        <w:rPr>
          <w:rFonts w:hint="eastAsia" w:ascii="Calibri" w:hAnsi="Calibri" w:eastAsia="宋体" w:cs="Times New Roman"/>
          <w:b/>
          <w:kern w:val="44"/>
          <w:sz w:val="32"/>
          <w:szCs w:val="32"/>
          <w:lang w:val="en-US" w:eastAsia="zh-CN" w:bidi="ar-SA"/>
        </w:rPr>
        <w:t>七、采购需求响应</w:t>
      </w:r>
      <w:bookmarkEnd w:id="168"/>
      <w:bookmarkEnd w:id="169"/>
      <w:bookmarkEnd w:id="170"/>
      <w:bookmarkEnd w:id="171"/>
    </w:p>
    <w:p w14:paraId="25C8DBCC">
      <w:pPr>
        <w:adjustRightInd w:val="0"/>
        <w:snapToGrid w:val="0"/>
        <w:spacing w:line="360" w:lineRule="auto"/>
        <w:jc w:val="left"/>
        <w:rPr>
          <w:rFonts w:hint="eastAsia" w:ascii="宋体" w:hAnsi="宋体" w:eastAsia="宋体" w:cs="宋体"/>
          <w:b/>
          <w:sz w:val="28"/>
          <w:szCs w:val="28"/>
        </w:rPr>
      </w:pPr>
      <w:r>
        <w:rPr>
          <w:rFonts w:hint="eastAsia" w:ascii="宋体" w:hAnsi="宋体" w:eastAsia="宋体" w:cs="宋体"/>
          <w:b/>
          <w:sz w:val="28"/>
          <w:szCs w:val="28"/>
        </w:rPr>
        <w:t>编制说明</w:t>
      </w:r>
      <w:r>
        <w:rPr>
          <w:rFonts w:hint="eastAsia" w:ascii="宋体" w:hAnsi="宋体" w:eastAsia="宋体" w:cs="宋体"/>
          <w:bCs/>
          <w:sz w:val="28"/>
          <w:szCs w:val="28"/>
        </w:rPr>
        <w:t>：</w:t>
      </w:r>
      <w:r>
        <w:rPr>
          <w:rFonts w:hint="eastAsia" w:ascii="宋体" w:hAnsi="宋体" w:eastAsia="宋体" w:cs="宋体"/>
          <w:b/>
          <w:sz w:val="28"/>
          <w:szCs w:val="28"/>
        </w:rPr>
        <w:t>投标人应按招标文件第五章采购需求自行编写采购需求响应文件（其内容可包括，且不限于详细的技术指标和服务的组织及保证措施等，格式自拟）。</w:t>
      </w:r>
    </w:p>
    <w:p w14:paraId="74E9B088">
      <w:pPr>
        <w:adjustRightInd w:val="0"/>
        <w:snapToGrid w:val="0"/>
        <w:spacing w:line="360" w:lineRule="auto"/>
        <w:ind w:left="-88" w:leftChars="-42"/>
        <w:rPr>
          <w:rFonts w:hint="eastAsia" w:ascii="宋体" w:hAnsi="宋体" w:eastAsia="宋体" w:cs="宋体"/>
          <w:bCs/>
          <w:szCs w:val="21"/>
        </w:rPr>
      </w:pPr>
    </w:p>
    <w:p w14:paraId="2BFC97B8">
      <w:pPr>
        <w:rPr>
          <w:rFonts w:hint="eastAsia" w:ascii="宋体" w:hAnsi="宋体" w:eastAsia="宋体" w:cs="宋体"/>
          <w:szCs w:val="24"/>
        </w:rPr>
      </w:pPr>
    </w:p>
    <w:p w14:paraId="3602B9F2">
      <w:pPr>
        <w:rPr>
          <w:rFonts w:hint="eastAsia" w:ascii="宋体" w:hAnsi="宋体" w:eastAsia="宋体" w:cs="宋体"/>
          <w:szCs w:val="24"/>
        </w:rPr>
      </w:pPr>
    </w:p>
    <w:p w14:paraId="16FB1799">
      <w:pPr>
        <w:tabs>
          <w:tab w:val="left" w:pos="6208"/>
        </w:tabs>
        <w:adjustRightInd w:val="0"/>
        <w:snapToGrid w:val="0"/>
        <w:spacing w:line="360" w:lineRule="auto"/>
        <w:ind w:left="-88" w:leftChars="-42"/>
        <w:rPr>
          <w:rFonts w:hint="eastAsia" w:ascii="宋体" w:hAnsi="宋体" w:eastAsia="宋体" w:cs="宋体"/>
          <w:bCs/>
          <w:szCs w:val="21"/>
        </w:rPr>
      </w:pPr>
    </w:p>
    <w:p w14:paraId="6B4747E0">
      <w:pPr>
        <w:adjustRightInd w:val="0"/>
        <w:snapToGrid w:val="0"/>
        <w:spacing w:line="360" w:lineRule="auto"/>
        <w:rPr>
          <w:rFonts w:hint="eastAsia" w:ascii="宋体" w:hAnsi="宋体" w:eastAsia="宋体" w:cs="宋体"/>
          <w:szCs w:val="21"/>
        </w:rPr>
      </w:pPr>
    </w:p>
    <w:p w14:paraId="20021046">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投标人名称（盖单位电子章）：</w:t>
      </w:r>
    </w:p>
    <w:p w14:paraId="3A7931A2">
      <w:pPr>
        <w:adjustRightInd w:val="0"/>
        <w:snapToGrid w:val="0"/>
        <w:spacing w:line="360" w:lineRule="auto"/>
        <w:jc w:val="left"/>
        <w:rPr>
          <w:rFonts w:hint="eastAsia" w:ascii="宋体" w:hAnsi="宋体" w:eastAsia="宋体" w:cs="宋体"/>
          <w:sz w:val="24"/>
          <w:szCs w:val="24"/>
          <w:u w:val="single"/>
        </w:rPr>
      </w:pPr>
      <w:r>
        <w:rPr>
          <w:rFonts w:hint="eastAsia" w:ascii="宋体" w:hAnsi="宋体" w:eastAsia="宋体" w:cs="宋体"/>
          <w:spacing w:val="-2"/>
          <w:kern w:val="0"/>
          <w:sz w:val="24"/>
          <w:szCs w:val="24"/>
        </w:rPr>
        <w:t>法</w:t>
      </w:r>
      <w:r>
        <w:rPr>
          <w:rFonts w:hint="eastAsia" w:ascii="宋体" w:hAnsi="宋体" w:eastAsia="宋体" w:cs="宋体"/>
          <w:kern w:val="0"/>
          <w:sz w:val="24"/>
          <w:szCs w:val="24"/>
        </w:rPr>
        <w:t>定</w:t>
      </w:r>
      <w:r>
        <w:rPr>
          <w:rFonts w:hint="eastAsia" w:ascii="宋体" w:hAnsi="宋体" w:eastAsia="宋体" w:cs="宋体"/>
          <w:spacing w:val="-2"/>
          <w:kern w:val="0"/>
          <w:sz w:val="24"/>
          <w:szCs w:val="24"/>
        </w:rPr>
        <w:t>代</w:t>
      </w:r>
      <w:r>
        <w:rPr>
          <w:rFonts w:hint="eastAsia" w:ascii="宋体" w:hAnsi="宋体" w:eastAsia="宋体" w:cs="宋体"/>
          <w:kern w:val="0"/>
          <w:sz w:val="24"/>
          <w:szCs w:val="24"/>
        </w:rPr>
        <w:t>表</w:t>
      </w:r>
      <w:r>
        <w:rPr>
          <w:rFonts w:hint="eastAsia" w:ascii="宋体" w:hAnsi="宋体" w:eastAsia="宋体" w:cs="宋体"/>
          <w:spacing w:val="-2"/>
          <w:kern w:val="0"/>
          <w:sz w:val="24"/>
          <w:szCs w:val="24"/>
        </w:rPr>
        <w:t>人</w:t>
      </w:r>
      <w:r>
        <w:rPr>
          <w:rFonts w:hint="eastAsia" w:ascii="宋体" w:hAnsi="宋体" w:eastAsia="宋体" w:cs="宋体"/>
          <w:kern w:val="0"/>
          <w:sz w:val="24"/>
          <w:szCs w:val="24"/>
        </w:rPr>
        <w:t>（</w:t>
      </w:r>
      <w:r>
        <w:rPr>
          <w:rFonts w:hint="eastAsia" w:ascii="宋体" w:hAnsi="宋体" w:eastAsia="宋体" w:cs="宋体"/>
          <w:spacing w:val="-2"/>
          <w:kern w:val="0"/>
          <w:sz w:val="24"/>
          <w:szCs w:val="24"/>
        </w:rPr>
        <w:t>单</w:t>
      </w:r>
      <w:r>
        <w:rPr>
          <w:rFonts w:hint="eastAsia" w:ascii="宋体" w:hAnsi="宋体" w:eastAsia="宋体" w:cs="宋体"/>
          <w:kern w:val="0"/>
          <w:sz w:val="24"/>
          <w:szCs w:val="24"/>
        </w:rPr>
        <w:t>位</w:t>
      </w:r>
      <w:r>
        <w:rPr>
          <w:rFonts w:hint="eastAsia" w:ascii="宋体" w:hAnsi="宋体" w:eastAsia="宋体" w:cs="宋体"/>
          <w:spacing w:val="-2"/>
          <w:kern w:val="0"/>
          <w:sz w:val="24"/>
          <w:szCs w:val="24"/>
        </w:rPr>
        <w:t>负</w:t>
      </w:r>
      <w:r>
        <w:rPr>
          <w:rFonts w:hint="eastAsia" w:ascii="宋体" w:hAnsi="宋体" w:eastAsia="宋体" w:cs="宋体"/>
          <w:kern w:val="0"/>
          <w:sz w:val="24"/>
          <w:szCs w:val="24"/>
        </w:rPr>
        <w:t>责人</w:t>
      </w:r>
      <w:r>
        <w:rPr>
          <w:rFonts w:hint="eastAsia" w:ascii="宋体" w:hAnsi="宋体" w:eastAsia="宋体" w:cs="宋体"/>
          <w:spacing w:val="-2"/>
          <w:kern w:val="0"/>
          <w:sz w:val="24"/>
          <w:szCs w:val="24"/>
        </w:rPr>
        <w:t>）</w:t>
      </w:r>
      <w:r>
        <w:rPr>
          <w:rFonts w:hint="eastAsia" w:ascii="宋体" w:hAnsi="宋体" w:eastAsia="宋体" w:cs="宋体"/>
          <w:sz w:val="24"/>
          <w:szCs w:val="24"/>
        </w:rPr>
        <w:t>或其授权的代理人（签字或签章）：</w:t>
      </w:r>
      <w:r>
        <w:rPr>
          <w:rFonts w:hint="eastAsia" w:ascii="宋体" w:hAnsi="宋体" w:eastAsia="宋体" w:cs="宋体"/>
          <w:sz w:val="24"/>
          <w:szCs w:val="24"/>
          <w:u w:val="single"/>
        </w:rPr>
        <w:t xml:space="preserve">             </w:t>
      </w:r>
    </w:p>
    <w:p w14:paraId="667AB120">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44D7BA22">
      <w:pPr>
        <w:rPr>
          <w:rFonts w:hint="eastAsia" w:ascii="宋体" w:hAnsi="宋体" w:eastAsia="宋体" w:cs="宋体"/>
          <w:szCs w:val="22"/>
        </w:rPr>
      </w:pPr>
    </w:p>
    <w:p w14:paraId="778EDC7C">
      <w:pPr>
        <w:rPr>
          <w:rFonts w:hint="eastAsia" w:ascii="宋体" w:hAnsi="宋体" w:eastAsia="宋体" w:cs="宋体"/>
          <w:szCs w:val="22"/>
        </w:rPr>
      </w:pPr>
      <w:r>
        <w:rPr>
          <w:rFonts w:hint="eastAsia" w:ascii="宋体" w:hAnsi="宋体" w:eastAsia="宋体" w:cs="宋体"/>
          <w:szCs w:val="22"/>
        </w:rPr>
        <w:br w:type="page"/>
      </w:r>
    </w:p>
    <w:p w14:paraId="6091B10F">
      <w:pPr>
        <w:keepNext/>
        <w:keepLines/>
        <w:widowControl w:val="0"/>
        <w:bidi w:val="0"/>
        <w:spacing w:before="260" w:beforeLines="0" w:beforeAutospacing="0" w:after="260" w:afterLines="0" w:afterAutospacing="0" w:line="360" w:lineRule="auto"/>
        <w:jc w:val="left"/>
        <w:outlineLvl w:val="1"/>
        <w:rPr>
          <w:rFonts w:hint="eastAsia" w:ascii="宋体" w:hAnsi="宋体" w:eastAsia="宋体" w:cs="宋体"/>
          <w:b/>
          <w:kern w:val="2"/>
          <w:sz w:val="30"/>
          <w:szCs w:val="30"/>
          <w:lang w:val="en-US" w:eastAsia="zh-CN" w:bidi="ar-SA"/>
        </w:rPr>
      </w:pPr>
      <w:bookmarkStart w:id="172" w:name="_Toc15795"/>
      <w:bookmarkStart w:id="173" w:name="_Toc1814"/>
      <w:bookmarkStart w:id="174" w:name="_Toc19233"/>
      <w:bookmarkStart w:id="175" w:name="_Toc19784"/>
      <w:r>
        <w:rPr>
          <w:rFonts w:hint="eastAsia" w:ascii="宋体" w:hAnsi="宋体" w:eastAsia="宋体" w:cs="宋体"/>
          <w:b/>
          <w:kern w:val="2"/>
          <w:sz w:val="30"/>
          <w:szCs w:val="30"/>
          <w:lang w:val="en-US" w:eastAsia="zh-CN" w:bidi="ar-SA"/>
        </w:rPr>
        <w:t>附件7-1 响应-览表</w:t>
      </w:r>
      <w:bookmarkEnd w:id="172"/>
      <w:bookmarkEnd w:id="173"/>
      <w:bookmarkEnd w:id="174"/>
      <w:bookmarkEnd w:id="175"/>
    </w:p>
    <w:p w14:paraId="52BA16D8">
      <w:pPr>
        <w:adjustRightInd w:val="0"/>
        <w:snapToGrid w:val="0"/>
        <w:spacing w:before="156" w:beforeLines="50"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响应-览表</w:t>
      </w:r>
    </w:p>
    <w:p w14:paraId="70A938A4">
      <w:pPr>
        <w:adjustRightInd w:val="0"/>
        <w:snapToGrid w:val="0"/>
        <w:spacing w:before="156" w:beforeLines="50" w:line="360" w:lineRule="auto"/>
        <w:jc w:val="center"/>
        <w:rPr>
          <w:rFonts w:hint="eastAsia" w:ascii="宋体" w:hAnsi="宋体" w:eastAsia="宋体" w:cs="宋体"/>
          <w:b/>
          <w:bCs/>
          <w:sz w:val="28"/>
          <w:szCs w:val="28"/>
        </w:rPr>
      </w:pPr>
    </w:p>
    <w:tbl>
      <w:tblPr>
        <w:tblStyle w:val="45"/>
        <w:tblW w:w="955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4"/>
        <w:gridCol w:w="984"/>
        <w:gridCol w:w="2184"/>
        <w:gridCol w:w="2188"/>
        <w:gridCol w:w="1020"/>
        <w:gridCol w:w="729"/>
        <w:gridCol w:w="772"/>
        <w:gridCol w:w="998"/>
      </w:tblGrid>
      <w:tr w14:paraId="56D90F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70" w:hRule="atLeast"/>
          <w:jc w:val="center"/>
        </w:trPr>
        <w:tc>
          <w:tcPr>
            <w:tcW w:w="684" w:type="dxa"/>
            <w:vMerge w:val="restart"/>
            <w:noWrap w:val="0"/>
            <w:vAlign w:val="center"/>
          </w:tcPr>
          <w:p w14:paraId="391F969E">
            <w:pPr>
              <w:spacing w:line="240" w:lineRule="auto"/>
              <w:jc w:val="center"/>
              <w:rPr>
                <w:rFonts w:hint="eastAsia" w:ascii="宋体" w:hAnsi="宋体" w:eastAsia="宋体" w:cs="宋体"/>
                <w:sz w:val="24"/>
                <w:szCs w:val="24"/>
              </w:rPr>
            </w:pPr>
            <w:r>
              <w:rPr>
                <w:rFonts w:hint="eastAsia" w:ascii="宋体" w:hAnsi="宋体" w:eastAsia="宋体" w:cs="宋体"/>
                <w:sz w:val="24"/>
                <w:szCs w:val="24"/>
              </w:rPr>
              <w:t>包号</w:t>
            </w:r>
          </w:p>
        </w:tc>
        <w:tc>
          <w:tcPr>
            <w:tcW w:w="984" w:type="dxa"/>
            <w:vMerge w:val="restart"/>
            <w:tcBorders>
              <w:right w:val="single" w:color="auto" w:sz="4" w:space="0"/>
            </w:tcBorders>
            <w:noWrap w:val="0"/>
            <w:vAlign w:val="center"/>
          </w:tcPr>
          <w:p w14:paraId="2C59850F">
            <w:pPr>
              <w:spacing w:line="240" w:lineRule="auto"/>
              <w:jc w:val="center"/>
              <w:rPr>
                <w:rFonts w:hint="eastAsia" w:ascii="宋体" w:hAnsi="宋体" w:eastAsia="宋体" w:cs="宋体"/>
                <w:sz w:val="24"/>
                <w:szCs w:val="24"/>
              </w:rPr>
            </w:pPr>
            <w:r>
              <w:rPr>
                <w:rFonts w:hint="eastAsia" w:ascii="宋体" w:hAnsi="宋体" w:eastAsia="宋体" w:cs="宋体"/>
                <w:sz w:val="24"/>
                <w:szCs w:val="24"/>
              </w:rPr>
              <w:t>包名称</w:t>
            </w:r>
          </w:p>
        </w:tc>
        <w:tc>
          <w:tcPr>
            <w:tcW w:w="2184" w:type="dxa"/>
            <w:vMerge w:val="restart"/>
            <w:tcBorders>
              <w:left w:val="single" w:color="auto" w:sz="4" w:space="0"/>
            </w:tcBorders>
            <w:noWrap w:val="0"/>
            <w:vAlign w:val="center"/>
          </w:tcPr>
          <w:p w14:paraId="001A52F5">
            <w:pPr>
              <w:spacing w:line="240" w:lineRule="auto"/>
              <w:jc w:val="center"/>
              <w:rPr>
                <w:rFonts w:hint="eastAsia" w:ascii="宋体" w:hAnsi="宋体" w:eastAsia="宋体" w:cs="宋体"/>
                <w:sz w:val="24"/>
                <w:szCs w:val="24"/>
              </w:rPr>
            </w:pPr>
            <w:r>
              <w:rPr>
                <w:rFonts w:hint="eastAsia" w:ascii="宋体" w:hAnsi="宋体" w:eastAsia="宋体" w:cs="宋体"/>
                <w:sz w:val="24"/>
                <w:szCs w:val="24"/>
              </w:rPr>
              <w:t>分项项目名称</w:t>
            </w:r>
          </w:p>
          <w:p w14:paraId="670716D1">
            <w:pPr>
              <w:spacing w:line="240" w:lineRule="auto"/>
              <w:jc w:val="center"/>
              <w:rPr>
                <w:rFonts w:hint="eastAsia" w:ascii="宋体" w:hAnsi="宋体" w:eastAsia="宋体" w:cs="宋体"/>
                <w:sz w:val="24"/>
                <w:szCs w:val="24"/>
              </w:rPr>
            </w:pPr>
            <w:r>
              <w:rPr>
                <w:rFonts w:hint="eastAsia" w:ascii="宋体" w:hAnsi="宋体" w:eastAsia="宋体" w:cs="宋体"/>
                <w:sz w:val="24"/>
                <w:szCs w:val="24"/>
              </w:rPr>
              <w:t>（条目号/品目名称）</w:t>
            </w:r>
          </w:p>
        </w:tc>
        <w:tc>
          <w:tcPr>
            <w:tcW w:w="2188" w:type="dxa"/>
            <w:vMerge w:val="restart"/>
            <w:noWrap w:val="0"/>
            <w:vAlign w:val="center"/>
          </w:tcPr>
          <w:p w14:paraId="6189E4AD">
            <w:pPr>
              <w:spacing w:line="240" w:lineRule="auto"/>
              <w:jc w:val="center"/>
              <w:rPr>
                <w:rFonts w:hint="eastAsia" w:ascii="宋体" w:hAnsi="宋体" w:eastAsia="宋体" w:cs="宋体"/>
                <w:sz w:val="24"/>
                <w:szCs w:val="24"/>
              </w:rPr>
            </w:pPr>
            <w:r>
              <w:rPr>
                <w:rFonts w:hint="eastAsia" w:ascii="宋体" w:hAnsi="宋体" w:eastAsia="宋体" w:cs="宋体"/>
                <w:sz w:val="24"/>
                <w:szCs w:val="24"/>
              </w:rPr>
              <w:t>主要技术条款要求</w:t>
            </w:r>
          </w:p>
        </w:tc>
        <w:tc>
          <w:tcPr>
            <w:tcW w:w="1020" w:type="dxa"/>
            <w:vMerge w:val="restart"/>
            <w:noWrap w:val="0"/>
            <w:vAlign w:val="center"/>
          </w:tcPr>
          <w:p w14:paraId="11EB6147">
            <w:pPr>
              <w:spacing w:line="240" w:lineRule="auto"/>
              <w:jc w:val="center"/>
              <w:rPr>
                <w:rFonts w:hint="eastAsia" w:ascii="宋体" w:hAnsi="宋体" w:eastAsia="宋体" w:cs="宋体"/>
                <w:sz w:val="24"/>
                <w:szCs w:val="24"/>
              </w:rPr>
            </w:pPr>
            <w:r>
              <w:rPr>
                <w:rFonts w:hint="eastAsia" w:ascii="宋体" w:hAnsi="宋体" w:eastAsia="宋体" w:cs="宋体"/>
                <w:sz w:val="24"/>
                <w:szCs w:val="24"/>
              </w:rPr>
              <w:t>数量</w:t>
            </w:r>
          </w:p>
        </w:tc>
        <w:tc>
          <w:tcPr>
            <w:tcW w:w="1501" w:type="dxa"/>
            <w:gridSpan w:val="2"/>
            <w:noWrap w:val="0"/>
            <w:vAlign w:val="center"/>
          </w:tcPr>
          <w:p w14:paraId="548C953F">
            <w:pPr>
              <w:spacing w:line="240" w:lineRule="auto"/>
              <w:jc w:val="center"/>
              <w:rPr>
                <w:rFonts w:hint="eastAsia" w:ascii="宋体" w:hAnsi="宋体" w:eastAsia="宋体" w:cs="宋体"/>
                <w:sz w:val="24"/>
                <w:szCs w:val="24"/>
              </w:rPr>
            </w:pPr>
            <w:r>
              <w:rPr>
                <w:rFonts w:hint="eastAsia" w:ascii="宋体" w:hAnsi="宋体" w:eastAsia="宋体" w:cs="宋体"/>
                <w:sz w:val="24"/>
                <w:szCs w:val="24"/>
              </w:rPr>
              <w:t>服务</w:t>
            </w:r>
          </w:p>
        </w:tc>
        <w:tc>
          <w:tcPr>
            <w:tcW w:w="998" w:type="dxa"/>
            <w:vMerge w:val="restart"/>
            <w:noWrap w:val="0"/>
            <w:vAlign w:val="center"/>
          </w:tcPr>
          <w:p w14:paraId="5455C421">
            <w:pPr>
              <w:spacing w:line="240" w:lineRule="auto"/>
              <w:jc w:val="center"/>
              <w:rPr>
                <w:rFonts w:hint="eastAsia" w:ascii="宋体" w:hAnsi="宋体" w:eastAsia="宋体" w:cs="宋体"/>
                <w:sz w:val="24"/>
                <w:szCs w:val="24"/>
              </w:rPr>
            </w:pPr>
            <w:r>
              <w:rPr>
                <w:rFonts w:hint="eastAsia" w:ascii="宋体" w:hAnsi="宋体" w:eastAsia="宋体" w:cs="宋体"/>
                <w:sz w:val="24"/>
                <w:szCs w:val="24"/>
              </w:rPr>
              <w:t>备注</w:t>
            </w:r>
          </w:p>
        </w:tc>
      </w:tr>
      <w:tr w14:paraId="50BB76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84" w:hRule="atLeast"/>
          <w:jc w:val="center"/>
        </w:trPr>
        <w:tc>
          <w:tcPr>
            <w:tcW w:w="684" w:type="dxa"/>
            <w:vMerge w:val="continue"/>
            <w:noWrap w:val="0"/>
            <w:vAlign w:val="center"/>
          </w:tcPr>
          <w:p w14:paraId="61639BD3">
            <w:pPr>
              <w:spacing w:line="240" w:lineRule="auto"/>
              <w:jc w:val="center"/>
              <w:rPr>
                <w:rFonts w:hint="eastAsia" w:ascii="宋体" w:hAnsi="宋体" w:eastAsia="宋体" w:cs="宋体"/>
                <w:sz w:val="24"/>
                <w:szCs w:val="24"/>
              </w:rPr>
            </w:pPr>
          </w:p>
        </w:tc>
        <w:tc>
          <w:tcPr>
            <w:tcW w:w="984" w:type="dxa"/>
            <w:vMerge w:val="continue"/>
            <w:tcBorders>
              <w:right w:val="single" w:color="auto" w:sz="4" w:space="0"/>
            </w:tcBorders>
            <w:noWrap w:val="0"/>
            <w:vAlign w:val="center"/>
          </w:tcPr>
          <w:p w14:paraId="3FB2111E">
            <w:pPr>
              <w:spacing w:line="240" w:lineRule="auto"/>
              <w:jc w:val="center"/>
              <w:rPr>
                <w:rFonts w:hint="eastAsia" w:ascii="宋体" w:hAnsi="宋体" w:eastAsia="宋体" w:cs="宋体"/>
                <w:sz w:val="24"/>
                <w:szCs w:val="24"/>
              </w:rPr>
            </w:pPr>
          </w:p>
        </w:tc>
        <w:tc>
          <w:tcPr>
            <w:tcW w:w="2184" w:type="dxa"/>
            <w:vMerge w:val="continue"/>
            <w:tcBorders>
              <w:left w:val="single" w:color="auto" w:sz="4" w:space="0"/>
            </w:tcBorders>
            <w:noWrap w:val="0"/>
            <w:vAlign w:val="center"/>
          </w:tcPr>
          <w:p w14:paraId="66A742E8">
            <w:pPr>
              <w:spacing w:line="240" w:lineRule="auto"/>
              <w:jc w:val="center"/>
              <w:rPr>
                <w:rFonts w:hint="eastAsia" w:ascii="宋体" w:hAnsi="宋体" w:eastAsia="宋体" w:cs="宋体"/>
                <w:sz w:val="24"/>
                <w:szCs w:val="24"/>
              </w:rPr>
            </w:pPr>
          </w:p>
        </w:tc>
        <w:tc>
          <w:tcPr>
            <w:tcW w:w="2188" w:type="dxa"/>
            <w:vMerge w:val="continue"/>
            <w:noWrap w:val="0"/>
            <w:vAlign w:val="center"/>
          </w:tcPr>
          <w:p w14:paraId="1FB4543A">
            <w:pPr>
              <w:spacing w:line="240" w:lineRule="auto"/>
              <w:jc w:val="center"/>
              <w:rPr>
                <w:rFonts w:hint="eastAsia" w:ascii="宋体" w:hAnsi="宋体" w:eastAsia="宋体" w:cs="宋体"/>
                <w:sz w:val="24"/>
                <w:szCs w:val="24"/>
              </w:rPr>
            </w:pPr>
          </w:p>
        </w:tc>
        <w:tc>
          <w:tcPr>
            <w:tcW w:w="1020" w:type="dxa"/>
            <w:vMerge w:val="continue"/>
            <w:noWrap w:val="0"/>
            <w:vAlign w:val="center"/>
          </w:tcPr>
          <w:p w14:paraId="5B40D396">
            <w:pPr>
              <w:spacing w:line="240" w:lineRule="auto"/>
              <w:jc w:val="center"/>
              <w:rPr>
                <w:rFonts w:hint="eastAsia" w:ascii="宋体" w:hAnsi="宋体" w:eastAsia="宋体" w:cs="宋体"/>
                <w:sz w:val="24"/>
                <w:szCs w:val="24"/>
              </w:rPr>
            </w:pPr>
          </w:p>
        </w:tc>
        <w:tc>
          <w:tcPr>
            <w:tcW w:w="729" w:type="dxa"/>
            <w:noWrap w:val="0"/>
            <w:vAlign w:val="center"/>
          </w:tcPr>
          <w:p w14:paraId="528F5B70">
            <w:pPr>
              <w:spacing w:line="240" w:lineRule="auto"/>
              <w:jc w:val="center"/>
              <w:rPr>
                <w:rFonts w:hint="eastAsia" w:ascii="宋体" w:hAnsi="宋体" w:eastAsia="宋体" w:cs="宋体"/>
                <w:sz w:val="24"/>
                <w:szCs w:val="24"/>
              </w:rPr>
            </w:pPr>
            <w:r>
              <w:rPr>
                <w:rFonts w:hint="eastAsia" w:ascii="宋体" w:hAnsi="宋体" w:eastAsia="宋体" w:cs="宋体"/>
                <w:sz w:val="24"/>
                <w:szCs w:val="24"/>
              </w:rPr>
              <w:t>时间</w:t>
            </w:r>
          </w:p>
        </w:tc>
        <w:tc>
          <w:tcPr>
            <w:tcW w:w="772" w:type="dxa"/>
            <w:noWrap w:val="0"/>
            <w:vAlign w:val="center"/>
          </w:tcPr>
          <w:p w14:paraId="06B0AEE1">
            <w:pPr>
              <w:spacing w:line="240" w:lineRule="auto"/>
              <w:jc w:val="center"/>
              <w:rPr>
                <w:rFonts w:hint="eastAsia" w:ascii="宋体" w:hAnsi="宋体" w:eastAsia="宋体" w:cs="宋体"/>
                <w:sz w:val="24"/>
                <w:szCs w:val="24"/>
              </w:rPr>
            </w:pPr>
            <w:r>
              <w:rPr>
                <w:rFonts w:hint="eastAsia" w:ascii="宋体" w:hAnsi="宋体" w:eastAsia="宋体" w:cs="宋体"/>
                <w:sz w:val="24"/>
                <w:szCs w:val="24"/>
              </w:rPr>
              <w:t>地点</w:t>
            </w:r>
          </w:p>
        </w:tc>
        <w:tc>
          <w:tcPr>
            <w:tcW w:w="998" w:type="dxa"/>
            <w:vMerge w:val="continue"/>
            <w:noWrap w:val="0"/>
            <w:vAlign w:val="center"/>
          </w:tcPr>
          <w:p w14:paraId="3928126B">
            <w:pPr>
              <w:spacing w:line="240" w:lineRule="auto"/>
              <w:jc w:val="center"/>
              <w:rPr>
                <w:rFonts w:hint="eastAsia" w:ascii="宋体" w:hAnsi="宋体" w:eastAsia="宋体" w:cs="宋体"/>
                <w:sz w:val="24"/>
                <w:szCs w:val="24"/>
              </w:rPr>
            </w:pPr>
          </w:p>
        </w:tc>
      </w:tr>
      <w:tr w14:paraId="5B18AC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8" w:hRule="atLeast"/>
          <w:jc w:val="center"/>
        </w:trPr>
        <w:tc>
          <w:tcPr>
            <w:tcW w:w="684" w:type="dxa"/>
            <w:noWrap w:val="0"/>
            <w:vAlign w:val="center"/>
          </w:tcPr>
          <w:p w14:paraId="2915EA22">
            <w:pPr>
              <w:spacing w:line="240" w:lineRule="auto"/>
              <w:jc w:val="center"/>
              <w:rPr>
                <w:rFonts w:hint="eastAsia" w:ascii="宋体" w:hAnsi="宋体" w:eastAsia="宋体" w:cs="宋体"/>
                <w:sz w:val="24"/>
                <w:szCs w:val="24"/>
              </w:rPr>
            </w:pPr>
          </w:p>
        </w:tc>
        <w:tc>
          <w:tcPr>
            <w:tcW w:w="984" w:type="dxa"/>
            <w:tcBorders>
              <w:right w:val="single" w:color="auto" w:sz="4" w:space="0"/>
            </w:tcBorders>
            <w:noWrap w:val="0"/>
            <w:vAlign w:val="center"/>
          </w:tcPr>
          <w:p w14:paraId="1989A745">
            <w:pPr>
              <w:spacing w:line="240" w:lineRule="auto"/>
              <w:jc w:val="center"/>
              <w:rPr>
                <w:rFonts w:hint="eastAsia" w:ascii="宋体" w:hAnsi="宋体" w:eastAsia="宋体" w:cs="宋体"/>
                <w:sz w:val="24"/>
                <w:szCs w:val="24"/>
              </w:rPr>
            </w:pPr>
          </w:p>
        </w:tc>
        <w:tc>
          <w:tcPr>
            <w:tcW w:w="2184" w:type="dxa"/>
            <w:tcBorders>
              <w:left w:val="single" w:color="auto" w:sz="4" w:space="0"/>
            </w:tcBorders>
            <w:noWrap w:val="0"/>
            <w:vAlign w:val="center"/>
          </w:tcPr>
          <w:p w14:paraId="0F4ECA99">
            <w:pPr>
              <w:spacing w:line="240" w:lineRule="auto"/>
              <w:jc w:val="center"/>
              <w:rPr>
                <w:rFonts w:hint="eastAsia" w:ascii="宋体" w:hAnsi="宋体" w:eastAsia="宋体" w:cs="宋体"/>
                <w:sz w:val="24"/>
                <w:szCs w:val="24"/>
              </w:rPr>
            </w:pPr>
          </w:p>
        </w:tc>
        <w:tc>
          <w:tcPr>
            <w:tcW w:w="2188" w:type="dxa"/>
            <w:noWrap w:val="0"/>
            <w:vAlign w:val="center"/>
          </w:tcPr>
          <w:p w14:paraId="0B345809">
            <w:pPr>
              <w:spacing w:line="240" w:lineRule="auto"/>
              <w:jc w:val="center"/>
              <w:rPr>
                <w:rFonts w:hint="eastAsia" w:ascii="宋体" w:hAnsi="宋体" w:eastAsia="宋体" w:cs="宋体"/>
                <w:sz w:val="24"/>
                <w:szCs w:val="24"/>
              </w:rPr>
            </w:pPr>
          </w:p>
        </w:tc>
        <w:tc>
          <w:tcPr>
            <w:tcW w:w="1020" w:type="dxa"/>
            <w:noWrap w:val="0"/>
            <w:vAlign w:val="center"/>
          </w:tcPr>
          <w:p w14:paraId="2ADE298B">
            <w:pPr>
              <w:spacing w:line="240" w:lineRule="auto"/>
              <w:jc w:val="center"/>
              <w:rPr>
                <w:rFonts w:hint="eastAsia" w:ascii="宋体" w:hAnsi="宋体" w:eastAsia="宋体" w:cs="宋体"/>
                <w:sz w:val="24"/>
                <w:szCs w:val="24"/>
              </w:rPr>
            </w:pPr>
          </w:p>
        </w:tc>
        <w:tc>
          <w:tcPr>
            <w:tcW w:w="729" w:type="dxa"/>
            <w:tcBorders>
              <w:top w:val="single" w:color="auto" w:sz="4" w:space="0"/>
              <w:bottom w:val="single" w:color="auto" w:sz="4" w:space="0"/>
            </w:tcBorders>
            <w:noWrap w:val="0"/>
            <w:vAlign w:val="center"/>
          </w:tcPr>
          <w:p w14:paraId="73534BAA">
            <w:pPr>
              <w:spacing w:line="240" w:lineRule="auto"/>
              <w:jc w:val="center"/>
              <w:rPr>
                <w:rFonts w:hint="eastAsia" w:ascii="宋体" w:hAnsi="宋体" w:eastAsia="宋体" w:cs="宋体"/>
                <w:sz w:val="24"/>
                <w:szCs w:val="24"/>
              </w:rPr>
            </w:pPr>
          </w:p>
        </w:tc>
        <w:tc>
          <w:tcPr>
            <w:tcW w:w="772" w:type="dxa"/>
            <w:tcBorders>
              <w:top w:val="single" w:color="auto" w:sz="4" w:space="0"/>
              <w:bottom w:val="single" w:color="auto" w:sz="4" w:space="0"/>
            </w:tcBorders>
            <w:noWrap w:val="0"/>
            <w:vAlign w:val="center"/>
          </w:tcPr>
          <w:p w14:paraId="5CBF195B">
            <w:pPr>
              <w:spacing w:line="240" w:lineRule="auto"/>
              <w:jc w:val="center"/>
              <w:rPr>
                <w:rFonts w:hint="eastAsia" w:ascii="宋体" w:hAnsi="宋体" w:eastAsia="宋体" w:cs="宋体"/>
                <w:sz w:val="24"/>
                <w:szCs w:val="24"/>
              </w:rPr>
            </w:pPr>
          </w:p>
        </w:tc>
        <w:tc>
          <w:tcPr>
            <w:tcW w:w="998" w:type="dxa"/>
            <w:noWrap w:val="0"/>
            <w:vAlign w:val="center"/>
          </w:tcPr>
          <w:p w14:paraId="4445D41D">
            <w:pPr>
              <w:spacing w:line="240" w:lineRule="auto"/>
              <w:jc w:val="center"/>
              <w:rPr>
                <w:rFonts w:hint="eastAsia" w:ascii="宋体" w:hAnsi="宋体" w:eastAsia="宋体" w:cs="宋体"/>
                <w:sz w:val="24"/>
                <w:szCs w:val="24"/>
              </w:rPr>
            </w:pPr>
          </w:p>
        </w:tc>
      </w:tr>
      <w:tr w14:paraId="37E4A4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8" w:hRule="atLeast"/>
          <w:jc w:val="center"/>
        </w:trPr>
        <w:tc>
          <w:tcPr>
            <w:tcW w:w="684" w:type="dxa"/>
            <w:noWrap w:val="0"/>
            <w:vAlign w:val="center"/>
          </w:tcPr>
          <w:p w14:paraId="0ABCD75B">
            <w:pPr>
              <w:spacing w:line="240" w:lineRule="auto"/>
              <w:jc w:val="center"/>
              <w:rPr>
                <w:rFonts w:hint="eastAsia" w:ascii="宋体" w:hAnsi="宋体" w:eastAsia="宋体" w:cs="宋体"/>
                <w:sz w:val="24"/>
                <w:szCs w:val="24"/>
              </w:rPr>
            </w:pPr>
          </w:p>
        </w:tc>
        <w:tc>
          <w:tcPr>
            <w:tcW w:w="984" w:type="dxa"/>
            <w:tcBorders>
              <w:right w:val="single" w:color="auto" w:sz="4" w:space="0"/>
            </w:tcBorders>
            <w:noWrap w:val="0"/>
            <w:vAlign w:val="center"/>
          </w:tcPr>
          <w:p w14:paraId="422BB8A2">
            <w:pPr>
              <w:spacing w:line="240" w:lineRule="auto"/>
              <w:jc w:val="center"/>
              <w:rPr>
                <w:rFonts w:hint="eastAsia" w:ascii="宋体" w:hAnsi="宋体" w:eastAsia="宋体" w:cs="宋体"/>
                <w:sz w:val="24"/>
                <w:szCs w:val="24"/>
              </w:rPr>
            </w:pPr>
          </w:p>
        </w:tc>
        <w:tc>
          <w:tcPr>
            <w:tcW w:w="2184" w:type="dxa"/>
            <w:tcBorders>
              <w:left w:val="single" w:color="auto" w:sz="4" w:space="0"/>
            </w:tcBorders>
            <w:noWrap w:val="0"/>
            <w:vAlign w:val="center"/>
          </w:tcPr>
          <w:p w14:paraId="6783CA4B">
            <w:pPr>
              <w:spacing w:line="240" w:lineRule="auto"/>
              <w:jc w:val="center"/>
              <w:rPr>
                <w:rFonts w:hint="eastAsia" w:ascii="宋体" w:hAnsi="宋体" w:eastAsia="宋体" w:cs="宋体"/>
                <w:sz w:val="24"/>
                <w:szCs w:val="24"/>
              </w:rPr>
            </w:pPr>
          </w:p>
        </w:tc>
        <w:tc>
          <w:tcPr>
            <w:tcW w:w="2188" w:type="dxa"/>
            <w:noWrap w:val="0"/>
            <w:vAlign w:val="center"/>
          </w:tcPr>
          <w:p w14:paraId="05F90FF3">
            <w:pPr>
              <w:spacing w:line="240" w:lineRule="auto"/>
              <w:jc w:val="center"/>
              <w:rPr>
                <w:rFonts w:hint="eastAsia" w:ascii="宋体" w:hAnsi="宋体" w:eastAsia="宋体" w:cs="宋体"/>
                <w:sz w:val="24"/>
                <w:szCs w:val="24"/>
              </w:rPr>
            </w:pPr>
          </w:p>
        </w:tc>
        <w:tc>
          <w:tcPr>
            <w:tcW w:w="1020" w:type="dxa"/>
            <w:noWrap w:val="0"/>
            <w:vAlign w:val="center"/>
          </w:tcPr>
          <w:p w14:paraId="3352AC3E">
            <w:pPr>
              <w:spacing w:line="240" w:lineRule="auto"/>
              <w:jc w:val="center"/>
              <w:rPr>
                <w:rFonts w:hint="eastAsia" w:ascii="宋体" w:hAnsi="宋体" w:eastAsia="宋体" w:cs="宋体"/>
                <w:sz w:val="24"/>
                <w:szCs w:val="24"/>
              </w:rPr>
            </w:pPr>
          </w:p>
        </w:tc>
        <w:tc>
          <w:tcPr>
            <w:tcW w:w="729" w:type="dxa"/>
            <w:tcBorders>
              <w:top w:val="single" w:color="auto" w:sz="4" w:space="0"/>
              <w:bottom w:val="single" w:color="auto" w:sz="4" w:space="0"/>
            </w:tcBorders>
            <w:noWrap w:val="0"/>
            <w:vAlign w:val="center"/>
          </w:tcPr>
          <w:p w14:paraId="06274677">
            <w:pPr>
              <w:spacing w:line="240" w:lineRule="auto"/>
              <w:jc w:val="center"/>
              <w:rPr>
                <w:rFonts w:hint="eastAsia" w:ascii="宋体" w:hAnsi="宋体" w:eastAsia="宋体" w:cs="宋体"/>
                <w:sz w:val="24"/>
                <w:szCs w:val="24"/>
              </w:rPr>
            </w:pPr>
          </w:p>
        </w:tc>
        <w:tc>
          <w:tcPr>
            <w:tcW w:w="772" w:type="dxa"/>
            <w:tcBorders>
              <w:top w:val="single" w:color="auto" w:sz="4" w:space="0"/>
              <w:bottom w:val="single" w:color="auto" w:sz="4" w:space="0"/>
            </w:tcBorders>
            <w:noWrap w:val="0"/>
            <w:vAlign w:val="center"/>
          </w:tcPr>
          <w:p w14:paraId="0F62686B">
            <w:pPr>
              <w:spacing w:line="240" w:lineRule="auto"/>
              <w:jc w:val="center"/>
              <w:rPr>
                <w:rFonts w:hint="eastAsia" w:ascii="宋体" w:hAnsi="宋体" w:eastAsia="宋体" w:cs="宋体"/>
                <w:sz w:val="24"/>
                <w:szCs w:val="24"/>
              </w:rPr>
            </w:pPr>
          </w:p>
        </w:tc>
        <w:tc>
          <w:tcPr>
            <w:tcW w:w="998" w:type="dxa"/>
            <w:noWrap w:val="0"/>
            <w:vAlign w:val="center"/>
          </w:tcPr>
          <w:p w14:paraId="610331CF">
            <w:pPr>
              <w:spacing w:line="240" w:lineRule="auto"/>
              <w:jc w:val="center"/>
              <w:rPr>
                <w:rFonts w:hint="eastAsia" w:ascii="宋体" w:hAnsi="宋体" w:eastAsia="宋体" w:cs="宋体"/>
                <w:sz w:val="24"/>
                <w:szCs w:val="24"/>
              </w:rPr>
            </w:pPr>
          </w:p>
        </w:tc>
      </w:tr>
      <w:tr w14:paraId="4CF91F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8" w:hRule="atLeast"/>
          <w:jc w:val="center"/>
        </w:trPr>
        <w:tc>
          <w:tcPr>
            <w:tcW w:w="684" w:type="dxa"/>
            <w:noWrap w:val="0"/>
            <w:vAlign w:val="center"/>
          </w:tcPr>
          <w:p w14:paraId="46C9D3A1">
            <w:pPr>
              <w:spacing w:line="240" w:lineRule="auto"/>
              <w:jc w:val="center"/>
              <w:rPr>
                <w:rFonts w:hint="eastAsia" w:ascii="宋体" w:hAnsi="宋体" w:eastAsia="宋体" w:cs="宋体"/>
                <w:sz w:val="24"/>
                <w:szCs w:val="24"/>
              </w:rPr>
            </w:pPr>
          </w:p>
        </w:tc>
        <w:tc>
          <w:tcPr>
            <w:tcW w:w="984" w:type="dxa"/>
            <w:tcBorders>
              <w:right w:val="single" w:color="auto" w:sz="4" w:space="0"/>
            </w:tcBorders>
            <w:noWrap w:val="0"/>
            <w:vAlign w:val="center"/>
          </w:tcPr>
          <w:p w14:paraId="5F47E041">
            <w:pPr>
              <w:spacing w:line="240" w:lineRule="auto"/>
              <w:jc w:val="center"/>
              <w:rPr>
                <w:rFonts w:hint="eastAsia" w:ascii="宋体" w:hAnsi="宋体" w:eastAsia="宋体" w:cs="宋体"/>
                <w:sz w:val="24"/>
                <w:szCs w:val="24"/>
              </w:rPr>
            </w:pPr>
          </w:p>
        </w:tc>
        <w:tc>
          <w:tcPr>
            <w:tcW w:w="2184" w:type="dxa"/>
            <w:tcBorders>
              <w:left w:val="single" w:color="auto" w:sz="4" w:space="0"/>
            </w:tcBorders>
            <w:noWrap w:val="0"/>
            <w:vAlign w:val="center"/>
          </w:tcPr>
          <w:p w14:paraId="07555A1D">
            <w:pPr>
              <w:spacing w:line="240" w:lineRule="auto"/>
              <w:jc w:val="center"/>
              <w:rPr>
                <w:rFonts w:hint="eastAsia" w:ascii="宋体" w:hAnsi="宋体" w:eastAsia="宋体" w:cs="宋体"/>
                <w:sz w:val="24"/>
                <w:szCs w:val="24"/>
              </w:rPr>
            </w:pPr>
          </w:p>
        </w:tc>
        <w:tc>
          <w:tcPr>
            <w:tcW w:w="2188" w:type="dxa"/>
            <w:noWrap w:val="0"/>
            <w:vAlign w:val="center"/>
          </w:tcPr>
          <w:p w14:paraId="110A4C46">
            <w:pPr>
              <w:spacing w:line="240" w:lineRule="auto"/>
              <w:jc w:val="center"/>
              <w:rPr>
                <w:rFonts w:hint="eastAsia" w:ascii="宋体" w:hAnsi="宋体" w:eastAsia="宋体" w:cs="宋体"/>
                <w:sz w:val="24"/>
                <w:szCs w:val="24"/>
              </w:rPr>
            </w:pPr>
          </w:p>
        </w:tc>
        <w:tc>
          <w:tcPr>
            <w:tcW w:w="1020" w:type="dxa"/>
            <w:noWrap w:val="0"/>
            <w:vAlign w:val="center"/>
          </w:tcPr>
          <w:p w14:paraId="3A46EE28">
            <w:pPr>
              <w:spacing w:line="240" w:lineRule="auto"/>
              <w:jc w:val="center"/>
              <w:rPr>
                <w:rFonts w:hint="eastAsia" w:ascii="宋体" w:hAnsi="宋体" w:eastAsia="宋体" w:cs="宋体"/>
                <w:sz w:val="24"/>
                <w:szCs w:val="24"/>
              </w:rPr>
            </w:pPr>
          </w:p>
        </w:tc>
        <w:tc>
          <w:tcPr>
            <w:tcW w:w="729" w:type="dxa"/>
            <w:tcBorders>
              <w:top w:val="single" w:color="auto" w:sz="4" w:space="0"/>
              <w:bottom w:val="single" w:color="auto" w:sz="4" w:space="0"/>
            </w:tcBorders>
            <w:noWrap w:val="0"/>
            <w:vAlign w:val="center"/>
          </w:tcPr>
          <w:p w14:paraId="0DADD0C0">
            <w:pPr>
              <w:spacing w:line="240" w:lineRule="auto"/>
              <w:jc w:val="center"/>
              <w:rPr>
                <w:rFonts w:hint="eastAsia" w:ascii="宋体" w:hAnsi="宋体" w:eastAsia="宋体" w:cs="宋体"/>
                <w:sz w:val="24"/>
                <w:szCs w:val="24"/>
              </w:rPr>
            </w:pPr>
          </w:p>
        </w:tc>
        <w:tc>
          <w:tcPr>
            <w:tcW w:w="772" w:type="dxa"/>
            <w:tcBorders>
              <w:top w:val="single" w:color="auto" w:sz="4" w:space="0"/>
              <w:bottom w:val="single" w:color="auto" w:sz="4" w:space="0"/>
            </w:tcBorders>
            <w:noWrap w:val="0"/>
            <w:vAlign w:val="center"/>
          </w:tcPr>
          <w:p w14:paraId="5C15B3F5">
            <w:pPr>
              <w:spacing w:line="240" w:lineRule="auto"/>
              <w:jc w:val="center"/>
              <w:rPr>
                <w:rFonts w:hint="eastAsia" w:ascii="宋体" w:hAnsi="宋体" w:eastAsia="宋体" w:cs="宋体"/>
                <w:sz w:val="24"/>
                <w:szCs w:val="24"/>
              </w:rPr>
            </w:pPr>
          </w:p>
        </w:tc>
        <w:tc>
          <w:tcPr>
            <w:tcW w:w="998" w:type="dxa"/>
            <w:noWrap w:val="0"/>
            <w:vAlign w:val="center"/>
          </w:tcPr>
          <w:p w14:paraId="671BBE25">
            <w:pPr>
              <w:spacing w:line="240" w:lineRule="auto"/>
              <w:jc w:val="center"/>
              <w:rPr>
                <w:rFonts w:hint="eastAsia" w:ascii="宋体" w:hAnsi="宋体" w:eastAsia="宋体" w:cs="宋体"/>
                <w:sz w:val="24"/>
                <w:szCs w:val="24"/>
              </w:rPr>
            </w:pPr>
          </w:p>
        </w:tc>
      </w:tr>
      <w:tr w14:paraId="30E53C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58" w:hRule="atLeast"/>
          <w:jc w:val="center"/>
        </w:trPr>
        <w:tc>
          <w:tcPr>
            <w:tcW w:w="684" w:type="dxa"/>
            <w:noWrap w:val="0"/>
            <w:vAlign w:val="center"/>
          </w:tcPr>
          <w:p w14:paraId="5A05FF3E">
            <w:pPr>
              <w:spacing w:line="240" w:lineRule="auto"/>
              <w:jc w:val="center"/>
              <w:rPr>
                <w:rFonts w:hint="eastAsia" w:ascii="宋体" w:hAnsi="宋体" w:eastAsia="宋体" w:cs="宋体"/>
                <w:sz w:val="24"/>
                <w:szCs w:val="24"/>
              </w:rPr>
            </w:pPr>
          </w:p>
        </w:tc>
        <w:tc>
          <w:tcPr>
            <w:tcW w:w="984" w:type="dxa"/>
            <w:tcBorders>
              <w:right w:val="single" w:color="auto" w:sz="4" w:space="0"/>
            </w:tcBorders>
            <w:noWrap w:val="0"/>
            <w:vAlign w:val="center"/>
          </w:tcPr>
          <w:p w14:paraId="336159EE">
            <w:pPr>
              <w:spacing w:line="240" w:lineRule="auto"/>
              <w:jc w:val="center"/>
              <w:rPr>
                <w:rFonts w:hint="eastAsia" w:ascii="宋体" w:hAnsi="宋体" w:eastAsia="宋体" w:cs="宋体"/>
                <w:sz w:val="24"/>
                <w:szCs w:val="24"/>
              </w:rPr>
            </w:pPr>
          </w:p>
        </w:tc>
        <w:tc>
          <w:tcPr>
            <w:tcW w:w="2184" w:type="dxa"/>
            <w:tcBorders>
              <w:left w:val="single" w:color="auto" w:sz="4" w:space="0"/>
            </w:tcBorders>
            <w:noWrap w:val="0"/>
            <w:vAlign w:val="center"/>
          </w:tcPr>
          <w:p w14:paraId="1D9506CB">
            <w:pPr>
              <w:spacing w:line="240" w:lineRule="auto"/>
              <w:jc w:val="center"/>
              <w:rPr>
                <w:rFonts w:hint="eastAsia" w:ascii="宋体" w:hAnsi="宋体" w:eastAsia="宋体" w:cs="宋体"/>
                <w:sz w:val="24"/>
                <w:szCs w:val="24"/>
              </w:rPr>
            </w:pPr>
          </w:p>
        </w:tc>
        <w:tc>
          <w:tcPr>
            <w:tcW w:w="2188" w:type="dxa"/>
            <w:noWrap w:val="0"/>
            <w:vAlign w:val="center"/>
          </w:tcPr>
          <w:p w14:paraId="70F5D6DD">
            <w:pPr>
              <w:spacing w:line="240" w:lineRule="auto"/>
              <w:jc w:val="center"/>
              <w:rPr>
                <w:rFonts w:hint="eastAsia" w:ascii="宋体" w:hAnsi="宋体" w:eastAsia="宋体" w:cs="宋体"/>
                <w:sz w:val="24"/>
                <w:szCs w:val="24"/>
              </w:rPr>
            </w:pPr>
          </w:p>
        </w:tc>
        <w:tc>
          <w:tcPr>
            <w:tcW w:w="1020" w:type="dxa"/>
            <w:noWrap w:val="0"/>
            <w:vAlign w:val="center"/>
          </w:tcPr>
          <w:p w14:paraId="2506ECAE">
            <w:pPr>
              <w:spacing w:line="240" w:lineRule="auto"/>
              <w:jc w:val="center"/>
              <w:rPr>
                <w:rFonts w:hint="eastAsia" w:ascii="宋体" w:hAnsi="宋体" w:eastAsia="宋体" w:cs="宋体"/>
                <w:sz w:val="24"/>
                <w:szCs w:val="24"/>
              </w:rPr>
            </w:pPr>
          </w:p>
        </w:tc>
        <w:tc>
          <w:tcPr>
            <w:tcW w:w="729" w:type="dxa"/>
            <w:tcBorders>
              <w:top w:val="single" w:color="auto" w:sz="4" w:space="0"/>
            </w:tcBorders>
            <w:noWrap w:val="0"/>
            <w:vAlign w:val="center"/>
          </w:tcPr>
          <w:p w14:paraId="3AA782D3">
            <w:pPr>
              <w:spacing w:line="240" w:lineRule="auto"/>
              <w:jc w:val="center"/>
              <w:rPr>
                <w:rFonts w:hint="eastAsia" w:ascii="宋体" w:hAnsi="宋体" w:eastAsia="宋体" w:cs="宋体"/>
                <w:sz w:val="24"/>
                <w:szCs w:val="24"/>
              </w:rPr>
            </w:pPr>
          </w:p>
        </w:tc>
        <w:tc>
          <w:tcPr>
            <w:tcW w:w="772" w:type="dxa"/>
            <w:tcBorders>
              <w:top w:val="single" w:color="auto" w:sz="4" w:space="0"/>
            </w:tcBorders>
            <w:noWrap w:val="0"/>
            <w:vAlign w:val="center"/>
          </w:tcPr>
          <w:p w14:paraId="53658A5A">
            <w:pPr>
              <w:spacing w:line="240" w:lineRule="auto"/>
              <w:jc w:val="center"/>
              <w:rPr>
                <w:rFonts w:hint="eastAsia" w:ascii="宋体" w:hAnsi="宋体" w:eastAsia="宋体" w:cs="宋体"/>
                <w:sz w:val="24"/>
                <w:szCs w:val="24"/>
              </w:rPr>
            </w:pPr>
          </w:p>
        </w:tc>
        <w:tc>
          <w:tcPr>
            <w:tcW w:w="998" w:type="dxa"/>
            <w:noWrap w:val="0"/>
            <w:vAlign w:val="center"/>
          </w:tcPr>
          <w:p w14:paraId="612F6B2E">
            <w:pPr>
              <w:spacing w:line="240" w:lineRule="auto"/>
              <w:jc w:val="center"/>
              <w:rPr>
                <w:rFonts w:hint="eastAsia" w:ascii="宋体" w:hAnsi="宋体" w:eastAsia="宋体" w:cs="宋体"/>
                <w:sz w:val="24"/>
                <w:szCs w:val="24"/>
              </w:rPr>
            </w:pPr>
          </w:p>
        </w:tc>
      </w:tr>
    </w:tbl>
    <w:p w14:paraId="767085B7">
      <w:pPr>
        <w:rPr>
          <w:rFonts w:hint="eastAsia" w:ascii="宋体" w:hAnsi="宋体" w:eastAsia="宋体" w:cs="宋体"/>
          <w:szCs w:val="22"/>
        </w:rPr>
      </w:pPr>
    </w:p>
    <w:p w14:paraId="7B286244">
      <w:pPr>
        <w:rPr>
          <w:rFonts w:hint="eastAsia" w:ascii="宋体" w:hAnsi="宋体" w:eastAsia="宋体" w:cs="宋体"/>
          <w:szCs w:val="22"/>
        </w:rPr>
      </w:pPr>
      <w:r>
        <w:rPr>
          <w:rFonts w:hint="eastAsia" w:ascii="宋体" w:hAnsi="宋体" w:eastAsia="宋体" w:cs="宋体"/>
          <w:szCs w:val="22"/>
        </w:rPr>
        <w:br w:type="page"/>
      </w:r>
    </w:p>
    <w:p w14:paraId="1F09817B">
      <w:pPr>
        <w:keepNext/>
        <w:keepLines/>
        <w:widowControl w:val="0"/>
        <w:bidi w:val="0"/>
        <w:spacing w:before="340" w:beforeLines="0" w:beforeAutospacing="0" w:after="330" w:afterLines="0" w:afterAutospacing="0" w:line="576" w:lineRule="auto"/>
        <w:jc w:val="center"/>
        <w:outlineLvl w:val="0"/>
        <w:rPr>
          <w:rFonts w:hint="eastAsia" w:ascii="Calibri" w:hAnsi="Calibri" w:eastAsia="宋体" w:cs="Times New Roman"/>
          <w:b/>
          <w:kern w:val="44"/>
          <w:sz w:val="32"/>
          <w:szCs w:val="32"/>
          <w:lang w:val="en-US" w:eastAsia="zh-CN" w:bidi="ar-SA"/>
        </w:rPr>
      </w:pPr>
      <w:bookmarkStart w:id="176" w:name="_Toc25457"/>
      <w:bookmarkStart w:id="177" w:name="_Toc30255"/>
      <w:bookmarkStart w:id="178" w:name="_Toc29613"/>
      <w:bookmarkStart w:id="179" w:name="_Toc26921"/>
      <w:r>
        <w:rPr>
          <w:rFonts w:hint="eastAsia" w:ascii="Calibri" w:hAnsi="Calibri" w:eastAsia="宋体" w:cs="Times New Roman"/>
          <w:b/>
          <w:kern w:val="44"/>
          <w:sz w:val="32"/>
          <w:szCs w:val="32"/>
          <w:lang w:val="en-US" w:eastAsia="zh-CN" w:bidi="ar-SA"/>
        </w:rPr>
        <w:t>八、合同条款偏离表</w:t>
      </w:r>
      <w:bookmarkEnd w:id="176"/>
      <w:bookmarkEnd w:id="177"/>
      <w:bookmarkEnd w:id="178"/>
      <w:bookmarkEnd w:id="179"/>
    </w:p>
    <w:p w14:paraId="28570071">
      <w:pPr>
        <w:adjustRightInd w:val="0"/>
        <w:snapToGrid w:val="0"/>
        <w:spacing w:line="360" w:lineRule="auto"/>
        <w:jc w:val="left"/>
        <w:rPr>
          <w:rFonts w:hint="eastAsia" w:ascii="宋体" w:hAnsi="宋体" w:eastAsia="宋体" w:cs="宋体"/>
          <w:sz w:val="24"/>
          <w:szCs w:val="24"/>
          <w:u w:val="single"/>
          <w:lang w:val="en-US" w:eastAsia="zh-CN"/>
        </w:rPr>
      </w:pPr>
      <w:r>
        <w:rPr>
          <w:rFonts w:hint="eastAsia" w:ascii="宋体" w:hAnsi="宋体" w:eastAsia="宋体" w:cs="宋体"/>
          <w:sz w:val="24"/>
          <w:szCs w:val="24"/>
        </w:rPr>
        <w:t>采购代理编号：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                   项目名称：</w:t>
      </w:r>
      <w:r>
        <w:rPr>
          <w:rFonts w:hint="eastAsia" w:ascii="宋体" w:hAnsi="宋体" w:eastAsia="宋体" w:cs="宋体"/>
          <w:sz w:val="24"/>
          <w:szCs w:val="24"/>
          <w:u w:val="single"/>
          <w:lang w:val="en-US" w:eastAsia="zh-CN"/>
        </w:rPr>
        <w:t xml:space="preserve">                </w:t>
      </w:r>
    </w:p>
    <w:p w14:paraId="5548173C">
      <w:pPr>
        <w:adjustRightInd w:val="0"/>
        <w:snapToGrid w:val="0"/>
        <w:spacing w:before="50" w:line="360" w:lineRule="auto"/>
        <w:rPr>
          <w:rFonts w:hint="eastAsia" w:ascii="宋体" w:hAnsi="宋体" w:eastAsia="宋体" w:cs="宋体"/>
          <w:szCs w:val="21"/>
          <w:u w:val="single"/>
        </w:rPr>
      </w:pPr>
      <w:r>
        <w:rPr>
          <w:rFonts w:hint="eastAsia" w:ascii="宋体" w:hAnsi="宋体" w:eastAsia="宋体" w:cs="宋体"/>
          <w:sz w:val="24"/>
          <w:szCs w:val="24"/>
        </w:rPr>
        <w:t>包号：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                   包名称：</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tbl>
      <w:tblPr>
        <w:tblStyle w:val="45"/>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5C8EE3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noWrap w:val="0"/>
            <w:vAlign w:val="center"/>
          </w:tcPr>
          <w:p w14:paraId="3FC51A86">
            <w:pPr>
              <w:adjustRightInd w:val="0"/>
              <w:snapToGrid w:val="0"/>
              <w:spacing w:before="50" w:line="360" w:lineRule="auto"/>
              <w:ind w:left="-88" w:leftChars="-42"/>
              <w:jc w:val="center"/>
              <w:rPr>
                <w:rFonts w:hint="eastAsia" w:ascii="宋体" w:hAnsi="宋体" w:eastAsia="宋体" w:cs="宋体"/>
                <w:sz w:val="24"/>
                <w:szCs w:val="24"/>
              </w:rPr>
            </w:pPr>
            <w:r>
              <w:rPr>
                <w:rFonts w:hint="eastAsia" w:ascii="宋体" w:hAnsi="宋体" w:eastAsia="宋体" w:cs="宋体"/>
                <w:bCs/>
                <w:sz w:val="24"/>
                <w:szCs w:val="24"/>
              </w:rPr>
              <w:t>序</w:t>
            </w:r>
            <w:r>
              <w:rPr>
                <w:rFonts w:hint="eastAsia" w:ascii="宋体" w:hAnsi="宋体" w:eastAsia="宋体" w:cs="宋体"/>
                <w:sz w:val="24"/>
                <w:szCs w:val="24"/>
              </w:rPr>
              <w:t>号</w:t>
            </w:r>
          </w:p>
        </w:tc>
        <w:tc>
          <w:tcPr>
            <w:tcW w:w="2410" w:type="dxa"/>
            <w:noWrap w:val="0"/>
            <w:vAlign w:val="center"/>
          </w:tcPr>
          <w:p w14:paraId="5B2DB3BB">
            <w:pPr>
              <w:adjustRightInd w:val="0"/>
              <w:snapToGrid w:val="0"/>
              <w:spacing w:before="50" w:line="360" w:lineRule="auto"/>
              <w:ind w:left="-88" w:leftChars="-42"/>
              <w:jc w:val="center"/>
              <w:rPr>
                <w:rFonts w:hint="eastAsia" w:ascii="宋体" w:hAnsi="宋体" w:eastAsia="宋体" w:cs="宋体"/>
                <w:sz w:val="24"/>
                <w:szCs w:val="24"/>
              </w:rPr>
            </w:pPr>
            <w:r>
              <w:rPr>
                <w:rFonts w:hint="eastAsia" w:ascii="宋体" w:hAnsi="宋体" w:eastAsia="宋体" w:cs="宋体"/>
                <w:sz w:val="24"/>
                <w:szCs w:val="24"/>
              </w:rPr>
              <w:t>招标文件章节</w:t>
            </w:r>
            <w:r>
              <w:rPr>
                <w:rFonts w:hint="eastAsia" w:ascii="宋体" w:hAnsi="宋体" w:eastAsia="宋体" w:cs="宋体"/>
                <w:bCs/>
                <w:sz w:val="24"/>
                <w:szCs w:val="24"/>
              </w:rPr>
              <w:t>条</w:t>
            </w:r>
            <w:r>
              <w:rPr>
                <w:rFonts w:hint="eastAsia" w:ascii="宋体" w:hAnsi="宋体" w:eastAsia="宋体" w:cs="宋体"/>
                <w:sz w:val="24"/>
                <w:szCs w:val="24"/>
              </w:rPr>
              <w:t>款号</w:t>
            </w:r>
          </w:p>
        </w:tc>
        <w:tc>
          <w:tcPr>
            <w:tcW w:w="1985" w:type="dxa"/>
            <w:noWrap w:val="0"/>
            <w:vAlign w:val="center"/>
          </w:tcPr>
          <w:p w14:paraId="59D3216E">
            <w:pPr>
              <w:adjustRightInd w:val="0"/>
              <w:snapToGrid w:val="0"/>
              <w:spacing w:before="50" w:line="360" w:lineRule="auto"/>
              <w:ind w:left="-88" w:leftChars="-42"/>
              <w:jc w:val="center"/>
              <w:rPr>
                <w:rFonts w:hint="eastAsia" w:ascii="宋体" w:hAnsi="宋体" w:eastAsia="宋体" w:cs="宋体"/>
                <w:sz w:val="24"/>
                <w:szCs w:val="24"/>
              </w:rPr>
            </w:pPr>
            <w:r>
              <w:rPr>
                <w:rFonts w:hint="eastAsia" w:ascii="宋体" w:hAnsi="宋体" w:eastAsia="宋体" w:cs="宋体"/>
                <w:sz w:val="24"/>
                <w:szCs w:val="24"/>
              </w:rPr>
              <w:t>招标文件要求</w:t>
            </w:r>
          </w:p>
        </w:tc>
        <w:tc>
          <w:tcPr>
            <w:tcW w:w="2082" w:type="dxa"/>
            <w:tcBorders>
              <w:right w:val="single" w:color="auto" w:sz="4" w:space="0"/>
            </w:tcBorders>
            <w:noWrap w:val="0"/>
            <w:vAlign w:val="center"/>
          </w:tcPr>
          <w:p w14:paraId="7E4296CC">
            <w:pPr>
              <w:adjustRightInd w:val="0"/>
              <w:snapToGrid w:val="0"/>
              <w:spacing w:before="50" w:line="360" w:lineRule="auto"/>
              <w:jc w:val="center"/>
              <w:rPr>
                <w:rFonts w:hint="eastAsia" w:ascii="宋体" w:hAnsi="宋体" w:eastAsia="宋体" w:cs="宋体"/>
                <w:sz w:val="24"/>
                <w:szCs w:val="24"/>
              </w:rPr>
            </w:pPr>
            <w:r>
              <w:rPr>
                <w:rFonts w:hint="eastAsia" w:ascii="宋体" w:hAnsi="宋体" w:eastAsia="宋体" w:cs="宋体"/>
                <w:sz w:val="24"/>
                <w:szCs w:val="24"/>
              </w:rPr>
              <w:t>投标文件的应答</w:t>
            </w:r>
          </w:p>
        </w:tc>
        <w:tc>
          <w:tcPr>
            <w:tcW w:w="1942" w:type="dxa"/>
            <w:tcBorders>
              <w:left w:val="single" w:color="auto" w:sz="4" w:space="0"/>
            </w:tcBorders>
            <w:noWrap w:val="0"/>
            <w:vAlign w:val="center"/>
          </w:tcPr>
          <w:p w14:paraId="5CE60BE8">
            <w:pPr>
              <w:adjustRightInd w:val="0"/>
              <w:snapToGrid w:val="0"/>
              <w:spacing w:before="50" w:line="360" w:lineRule="auto"/>
              <w:ind w:left="-88" w:leftChars="-42"/>
              <w:jc w:val="center"/>
              <w:rPr>
                <w:rFonts w:hint="eastAsia" w:ascii="宋体" w:hAnsi="宋体" w:eastAsia="宋体" w:cs="宋体"/>
                <w:sz w:val="24"/>
                <w:szCs w:val="24"/>
              </w:rPr>
            </w:pPr>
            <w:r>
              <w:rPr>
                <w:rFonts w:hint="eastAsia" w:ascii="宋体" w:hAnsi="宋体" w:eastAsia="宋体" w:cs="宋体"/>
                <w:sz w:val="24"/>
                <w:szCs w:val="24"/>
              </w:rPr>
              <w:t>偏离说明</w:t>
            </w:r>
          </w:p>
        </w:tc>
      </w:tr>
      <w:tr w14:paraId="38D9D1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33A05906">
            <w:pPr>
              <w:adjustRightInd w:val="0"/>
              <w:snapToGrid w:val="0"/>
              <w:spacing w:before="50" w:line="360" w:lineRule="auto"/>
              <w:ind w:left="-88" w:leftChars="-42"/>
              <w:jc w:val="center"/>
              <w:rPr>
                <w:rFonts w:hint="eastAsia" w:ascii="宋体" w:hAnsi="宋体" w:eastAsia="宋体" w:cs="宋体"/>
                <w:sz w:val="24"/>
                <w:szCs w:val="24"/>
              </w:rPr>
            </w:pPr>
          </w:p>
        </w:tc>
        <w:tc>
          <w:tcPr>
            <w:tcW w:w="2410" w:type="dxa"/>
            <w:noWrap w:val="0"/>
            <w:vAlign w:val="center"/>
          </w:tcPr>
          <w:p w14:paraId="2436F238">
            <w:pPr>
              <w:adjustRightInd w:val="0"/>
              <w:snapToGrid w:val="0"/>
              <w:spacing w:before="50" w:line="360" w:lineRule="auto"/>
              <w:ind w:left="-88" w:leftChars="-42"/>
              <w:jc w:val="center"/>
              <w:rPr>
                <w:rFonts w:hint="eastAsia" w:ascii="宋体" w:hAnsi="宋体" w:eastAsia="宋体" w:cs="宋体"/>
                <w:sz w:val="24"/>
                <w:szCs w:val="24"/>
              </w:rPr>
            </w:pPr>
          </w:p>
        </w:tc>
        <w:tc>
          <w:tcPr>
            <w:tcW w:w="1985" w:type="dxa"/>
            <w:noWrap w:val="0"/>
            <w:vAlign w:val="top"/>
          </w:tcPr>
          <w:p w14:paraId="0DA02B45">
            <w:pPr>
              <w:adjustRightInd w:val="0"/>
              <w:snapToGrid w:val="0"/>
              <w:spacing w:before="50" w:line="360" w:lineRule="auto"/>
              <w:rPr>
                <w:rFonts w:hint="eastAsia" w:ascii="宋体" w:hAnsi="宋体" w:eastAsia="宋体" w:cs="宋体"/>
                <w:sz w:val="24"/>
                <w:szCs w:val="24"/>
              </w:rPr>
            </w:pPr>
          </w:p>
        </w:tc>
        <w:tc>
          <w:tcPr>
            <w:tcW w:w="2082" w:type="dxa"/>
            <w:tcBorders>
              <w:right w:val="single" w:color="auto" w:sz="4" w:space="0"/>
            </w:tcBorders>
            <w:noWrap w:val="0"/>
            <w:vAlign w:val="top"/>
          </w:tcPr>
          <w:p w14:paraId="1EED1DFD">
            <w:pPr>
              <w:adjustRightInd w:val="0"/>
              <w:snapToGrid w:val="0"/>
              <w:spacing w:before="50" w:line="360" w:lineRule="auto"/>
              <w:rPr>
                <w:rFonts w:hint="eastAsia" w:ascii="宋体" w:hAnsi="宋体" w:eastAsia="宋体" w:cs="宋体"/>
                <w:sz w:val="24"/>
                <w:szCs w:val="24"/>
              </w:rPr>
            </w:pPr>
          </w:p>
        </w:tc>
        <w:tc>
          <w:tcPr>
            <w:tcW w:w="1942" w:type="dxa"/>
            <w:tcBorders>
              <w:left w:val="single" w:color="auto" w:sz="4" w:space="0"/>
            </w:tcBorders>
            <w:noWrap w:val="0"/>
            <w:vAlign w:val="top"/>
          </w:tcPr>
          <w:p w14:paraId="3E08B131">
            <w:pPr>
              <w:adjustRightInd w:val="0"/>
              <w:snapToGrid w:val="0"/>
              <w:spacing w:before="50" w:line="360" w:lineRule="auto"/>
              <w:ind w:left="-88" w:leftChars="-42"/>
              <w:jc w:val="center"/>
              <w:rPr>
                <w:rFonts w:hint="eastAsia" w:ascii="宋体" w:hAnsi="宋体" w:eastAsia="宋体" w:cs="宋体"/>
                <w:sz w:val="24"/>
                <w:szCs w:val="24"/>
              </w:rPr>
            </w:pPr>
          </w:p>
        </w:tc>
      </w:tr>
      <w:tr w14:paraId="13D8AF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0BA490F6">
            <w:pPr>
              <w:adjustRightInd w:val="0"/>
              <w:snapToGrid w:val="0"/>
              <w:spacing w:before="50" w:line="360" w:lineRule="auto"/>
              <w:ind w:left="-88" w:leftChars="-42"/>
              <w:jc w:val="center"/>
              <w:rPr>
                <w:rFonts w:hint="eastAsia" w:ascii="宋体" w:hAnsi="宋体" w:eastAsia="宋体" w:cs="宋体"/>
                <w:sz w:val="24"/>
                <w:szCs w:val="24"/>
              </w:rPr>
            </w:pPr>
          </w:p>
        </w:tc>
        <w:tc>
          <w:tcPr>
            <w:tcW w:w="2410" w:type="dxa"/>
            <w:noWrap w:val="0"/>
            <w:vAlign w:val="center"/>
          </w:tcPr>
          <w:p w14:paraId="58A60E96">
            <w:pPr>
              <w:adjustRightInd w:val="0"/>
              <w:snapToGrid w:val="0"/>
              <w:spacing w:before="50" w:line="360" w:lineRule="auto"/>
              <w:ind w:left="-88" w:leftChars="-42"/>
              <w:jc w:val="center"/>
              <w:rPr>
                <w:rFonts w:hint="eastAsia" w:ascii="宋体" w:hAnsi="宋体" w:eastAsia="宋体" w:cs="宋体"/>
                <w:sz w:val="24"/>
                <w:szCs w:val="24"/>
              </w:rPr>
            </w:pPr>
          </w:p>
        </w:tc>
        <w:tc>
          <w:tcPr>
            <w:tcW w:w="1985" w:type="dxa"/>
            <w:noWrap w:val="0"/>
            <w:vAlign w:val="center"/>
          </w:tcPr>
          <w:p w14:paraId="15740033">
            <w:pPr>
              <w:adjustRightInd w:val="0"/>
              <w:snapToGrid w:val="0"/>
              <w:spacing w:before="50" w:line="360" w:lineRule="auto"/>
              <w:ind w:left="-88" w:leftChars="-42"/>
              <w:jc w:val="center"/>
              <w:rPr>
                <w:rFonts w:hint="eastAsia" w:ascii="宋体" w:hAnsi="宋体" w:eastAsia="宋体" w:cs="宋体"/>
                <w:sz w:val="24"/>
                <w:szCs w:val="24"/>
              </w:rPr>
            </w:pPr>
          </w:p>
        </w:tc>
        <w:tc>
          <w:tcPr>
            <w:tcW w:w="2082" w:type="dxa"/>
            <w:tcBorders>
              <w:right w:val="single" w:color="auto" w:sz="4" w:space="0"/>
            </w:tcBorders>
            <w:noWrap w:val="0"/>
            <w:vAlign w:val="center"/>
          </w:tcPr>
          <w:p w14:paraId="711ECE26">
            <w:pPr>
              <w:adjustRightInd w:val="0"/>
              <w:snapToGrid w:val="0"/>
              <w:spacing w:before="50" w:line="360" w:lineRule="auto"/>
              <w:ind w:left="-88" w:leftChars="-42"/>
              <w:jc w:val="center"/>
              <w:rPr>
                <w:rFonts w:hint="eastAsia" w:ascii="宋体" w:hAnsi="宋体" w:eastAsia="宋体" w:cs="宋体"/>
                <w:sz w:val="24"/>
                <w:szCs w:val="24"/>
              </w:rPr>
            </w:pPr>
          </w:p>
        </w:tc>
        <w:tc>
          <w:tcPr>
            <w:tcW w:w="1942" w:type="dxa"/>
            <w:tcBorders>
              <w:left w:val="single" w:color="auto" w:sz="4" w:space="0"/>
            </w:tcBorders>
            <w:noWrap w:val="0"/>
            <w:vAlign w:val="center"/>
          </w:tcPr>
          <w:p w14:paraId="367C250D">
            <w:pPr>
              <w:adjustRightInd w:val="0"/>
              <w:snapToGrid w:val="0"/>
              <w:spacing w:before="50" w:line="360" w:lineRule="auto"/>
              <w:ind w:left="-88" w:leftChars="-42"/>
              <w:jc w:val="center"/>
              <w:rPr>
                <w:rFonts w:hint="eastAsia" w:ascii="宋体" w:hAnsi="宋体" w:eastAsia="宋体" w:cs="宋体"/>
                <w:sz w:val="24"/>
                <w:szCs w:val="24"/>
              </w:rPr>
            </w:pPr>
          </w:p>
        </w:tc>
      </w:tr>
      <w:tr w14:paraId="1538DA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714F5BB7">
            <w:pPr>
              <w:adjustRightInd w:val="0"/>
              <w:snapToGrid w:val="0"/>
              <w:spacing w:before="50" w:line="360" w:lineRule="auto"/>
              <w:ind w:left="-88" w:leftChars="-42"/>
              <w:jc w:val="center"/>
              <w:rPr>
                <w:rFonts w:hint="eastAsia" w:ascii="宋体" w:hAnsi="宋体" w:eastAsia="宋体" w:cs="宋体"/>
                <w:sz w:val="24"/>
                <w:szCs w:val="24"/>
              </w:rPr>
            </w:pPr>
          </w:p>
        </w:tc>
        <w:tc>
          <w:tcPr>
            <w:tcW w:w="2410" w:type="dxa"/>
            <w:noWrap w:val="0"/>
            <w:vAlign w:val="center"/>
          </w:tcPr>
          <w:p w14:paraId="2869B455">
            <w:pPr>
              <w:adjustRightInd w:val="0"/>
              <w:snapToGrid w:val="0"/>
              <w:spacing w:before="50" w:line="360" w:lineRule="auto"/>
              <w:ind w:left="-88" w:leftChars="-42"/>
              <w:jc w:val="center"/>
              <w:rPr>
                <w:rFonts w:hint="eastAsia" w:ascii="宋体" w:hAnsi="宋体" w:eastAsia="宋体" w:cs="宋体"/>
                <w:sz w:val="24"/>
                <w:szCs w:val="24"/>
              </w:rPr>
            </w:pPr>
          </w:p>
        </w:tc>
        <w:tc>
          <w:tcPr>
            <w:tcW w:w="1985" w:type="dxa"/>
            <w:noWrap w:val="0"/>
            <w:vAlign w:val="center"/>
          </w:tcPr>
          <w:p w14:paraId="50075AC9">
            <w:pPr>
              <w:adjustRightInd w:val="0"/>
              <w:snapToGrid w:val="0"/>
              <w:spacing w:before="50" w:line="360" w:lineRule="auto"/>
              <w:ind w:left="-88" w:leftChars="-42"/>
              <w:jc w:val="center"/>
              <w:rPr>
                <w:rFonts w:hint="eastAsia" w:ascii="宋体" w:hAnsi="宋体" w:eastAsia="宋体" w:cs="宋体"/>
                <w:sz w:val="24"/>
                <w:szCs w:val="24"/>
              </w:rPr>
            </w:pPr>
          </w:p>
        </w:tc>
        <w:tc>
          <w:tcPr>
            <w:tcW w:w="2082" w:type="dxa"/>
            <w:tcBorders>
              <w:right w:val="single" w:color="auto" w:sz="4" w:space="0"/>
            </w:tcBorders>
            <w:noWrap w:val="0"/>
            <w:vAlign w:val="center"/>
          </w:tcPr>
          <w:p w14:paraId="2CF48EA1">
            <w:pPr>
              <w:adjustRightInd w:val="0"/>
              <w:snapToGrid w:val="0"/>
              <w:spacing w:before="50" w:line="360" w:lineRule="auto"/>
              <w:ind w:left="-88" w:leftChars="-42"/>
              <w:jc w:val="center"/>
              <w:rPr>
                <w:rFonts w:hint="eastAsia" w:ascii="宋体" w:hAnsi="宋体" w:eastAsia="宋体" w:cs="宋体"/>
                <w:sz w:val="24"/>
                <w:szCs w:val="24"/>
              </w:rPr>
            </w:pPr>
          </w:p>
        </w:tc>
        <w:tc>
          <w:tcPr>
            <w:tcW w:w="1942" w:type="dxa"/>
            <w:tcBorders>
              <w:left w:val="single" w:color="auto" w:sz="4" w:space="0"/>
            </w:tcBorders>
            <w:noWrap w:val="0"/>
            <w:vAlign w:val="center"/>
          </w:tcPr>
          <w:p w14:paraId="02BFBE68">
            <w:pPr>
              <w:adjustRightInd w:val="0"/>
              <w:snapToGrid w:val="0"/>
              <w:spacing w:before="50" w:line="360" w:lineRule="auto"/>
              <w:ind w:left="-88" w:leftChars="-42"/>
              <w:jc w:val="center"/>
              <w:rPr>
                <w:rFonts w:hint="eastAsia" w:ascii="宋体" w:hAnsi="宋体" w:eastAsia="宋体" w:cs="宋体"/>
                <w:sz w:val="24"/>
                <w:szCs w:val="24"/>
              </w:rPr>
            </w:pPr>
          </w:p>
        </w:tc>
      </w:tr>
      <w:tr w14:paraId="06DF95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26CB6C5F">
            <w:pPr>
              <w:adjustRightInd w:val="0"/>
              <w:snapToGrid w:val="0"/>
              <w:spacing w:before="50" w:line="360" w:lineRule="auto"/>
              <w:ind w:left="-88" w:leftChars="-42"/>
              <w:jc w:val="center"/>
              <w:rPr>
                <w:rFonts w:hint="eastAsia" w:ascii="宋体" w:hAnsi="宋体" w:eastAsia="宋体" w:cs="宋体"/>
                <w:sz w:val="24"/>
                <w:szCs w:val="24"/>
              </w:rPr>
            </w:pPr>
          </w:p>
        </w:tc>
        <w:tc>
          <w:tcPr>
            <w:tcW w:w="2410" w:type="dxa"/>
            <w:noWrap w:val="0"/>
            <w:vAlign w:val="center"/>
          </w:tcPr>
          <w:p w14:paraId="09ABBA36">
            <w:pPr>
              <w:adjustRightInd w:val="0"/>
              <w:snapToGrid w:val="0"/>
              <w:spacing w:before="50" w:line="360" w:lineRule="auto"/>
              <w:ind w:left="-88" w:leftChars="-42"/>
              <w:jc w:val="center"/>
              <w:rPr>
                <w:rFonts w:hint="eastAsia" w:ascii="宋体" w:hAnsi="宋体" w:eastAsia="宋体" w:cs="宋体"/>
                <w:sz w:val="24"/>
                <w:szCs w:val="24"/>
              </w:rPr>
            </w:pPr>
          </w:p>
        </w:tc>
        <w:tc>
          <w:tcPr>
            <w:tcW w:w="1985" w:type="dxa"/>
            <w:noWrap w:val="0"/>
            <w:vAlign w:val="center"/>
          </w:tcPr>
          <w:p w14:paraId="40ACCA26">
            <w:pPr>
              <w:adjustRightInd w:val="0"/>
              <w:snapToGrid w:val="0"/>
              <w:spacing w:before="50" w:line="360" w:lineRule="auto"/>
              <w:ind w:left="-88" w:leftChars="-42"/>
              <w:jc w:val="center"/>
              <w:rPr>
                <w:rFonts w:hint="eastAsia" w:ascii="宋体" w:hAnsi="宋体" w:eastAsia="宋体" w:cs="宋体"/>
                <w:sz w:val="24"/>
                <w:szCs w:val="24"/>
              </w:rPr>
            </w:pPr>
          </w:p>
        </w:tc>
        <w:tc>
          <w:tcPr>
            <w:tcW w:w="2082" w:type="dxa"/>
            <w:tcBorders>
              <w:right w:val="single" w:color="auto" w:sz="4" w:space="0"/>
            </w:tcBorders>
            <w:noWrap w:val="0"/>
            <w:vAlign w:val="center"/>
          </w:tcPr>
          <w:p w14:paraId="613E6586">
            <w:pPr>
              <w:adjustRightInd w:val="0"/>
              <w:snapToGrid w:val="0"/>
              <w:spacing w:before="50" w:line="360" w:lineRule="auto"/>
              <w:ind w:left="-88" w:leftChars="-42"/>
              <w:jc w:val="center"/>
              <w:rPr>
                <w:rFonts w:hint="eastAsia" w:ascii="宋体" w:hAnsi="宋体" w:eastAsia="宋体" w:cs="宋体"/>
                <w:sz w:val="24"/>
                <w:szCs w:val="24"/>
              </w:rPr>
            </w:pPr>
          </w:p>
        </w:tc>
        <w:tc>
          <w:tcPr>
            <w:tcW w:w="1942" w:type="dxa"/>
            <w:tcBorders>
              <w:left w:val="single" w:color="auto" w:sz="4" w:space="0"/>
            </w:tcBorders>
            <w:noWrap w:val="0"/>
            <w:vAlign w:val="center"/>
          </w:tcPr>
          <w:p w14:paraId="74376F72">
            <w:pPr>
              <w:adjustRightInd w:val="0"/>
              <w:snapToGrid w:val="0"/>
              <w:spacing w:before="50" w:line="360" w:lineRule="auto"/>
              <w:ind w:left="-88" w:leftChars="-42"/>
              <w:jc w:val="center"/>
              <w:rPr>
                <w:rFonts w:hint="eastAsia" w:ascii="宋体" w:hAnsi="宋体" w:eastAsia="宋体" w:cs="宋体"/>
                <w:sz w:val="24"/>
                <w:szCs w:val="24"/>
              </w:rPr>
            </w:pPr>
          </w:p>
        </w:tc>
      </w:tr>
      <w:tr w14:paraId="0B7D29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6DB38BBD">
            <w:pPr>
              <w:adjustRightInd w:val="0"/>
              <w:snapToGrid w:val="0"/>
              <w:spacing w:before="50" w:line="360" w:lineRule="auto"/>
              <w:ind w:left="-88" w:leftChars="-42"/>
              <w:jc w:val="center"/>
              <w:rPr>
                <w:rFonts w:hint="eastAsia" w:ascii="宋体" w:hAnsi="宋体" w:eastAsia="宋体" w:cs="宋体"/>
                <w:sz w:val="24"/>
                <w:szCs w:val="24"/>
              </w:rPr>
            </w:pPr>
          </w:p>
        </w:tc>
        <w:tc>
          <w:tcPr>
            <w:tcW w:w="2410" w:type="dxa"/>
            <w:noWrap w:val="0"/>
            <w:vAlign w:val="center"/>
          </w:tcPr>
          <w:p w14:paraId="7F8A4929">
            <w:pPr>
              <w:adjustRightInd w:val="0"/>
              <w:snapToGrid w:val="0"/>
              <w:spacing w:before="50" w:line="360" w:lineRule="auto"/>
              <w:ind w:left="-88" w:leftChars="-42"/>
              <w:jc w:val="center"/>
              <w:rPr>
                <w:rFonts w:hint="eastAsia" w:ascii="宋体" w:hAnsi="宋体" w:eastAsia="宋体" w:cs="宋体"/>
                <w:sz w:val="24"/>
                <w:szCs w:val="24"/>
              </w:rPr>
            </w:pPr>
          </w:p>
        </w:tc>
        <w:tc>
          <w:tcPr>
            <w:tcW w:w="1985" w:type="dxa"/>
            <w:noWrap w:val="0"/>
            <w:vAlign w:val="center"/>
          </w:tcPr>
          <w:p w14:paraId="7B30F41A">
            <w:pPr>
              <w:adjustRightInd w:val="0"/>
              <w:snapToGrid w:val="0"/>
              <w:spacing w:before="50" w:line="360" w:lineRule="auto"/>
              <w:ind w:left="-88" w:leftChars="-42"/>
              <w:jc w:val="center"/>
              <w:rPr>
                <w:rFonts w:hint="eastAsia" w:ascii="宋体" w:hAnsi="宋体" w:eastAsia="宋体" w:cs="宋体"/>
                <w:sz w:val="24"/>
                <w:szCs w:val="24"/>
              </w:rPr>
            </w:pPr>
          </w:p>
        </w:tc>
        <w:tc>
          <w:tcPr>
            <w:tcW w:w="2082" w:type="dxa"/>
            <w:tcBorders>
              <w:right w:val="single" w:color="auto" w:sz="4" w:space="0"/>
            </w:tcBorders>
            <w:noWrap w:val="0"/>
            <w:vAlign w:val="center"/>
          </w:tcPr>
          <w:p w14:paraId="3C3666CD">
            <w:pPr>
              <w:adjustRightInd w:val="0"/>
              <w:snapToGrid w:val="0"/>
              <w:spacing w:before="50" w:line="360" w:lineRule="auto"/>
              <w:ind w:left="-88" w:leftChars="-42"/>
              <w:jc w:val="center"/>
              <w:rPr>
                <w:rFonts w:hint="eastAsia" w:ascii="宋体" w:hAnsi="宋体" w:eastAsia="宋体" w:cs="宋体"/>
                <w:sz w:val="24"/>
                <w:szCs w:val="24"/>
              </w:rPr>
            </w:pPr>
          </w:p>
        </w:tc>
        <w:tc>
          <w:tcPr>
            <w:tcW w:w="1942" w:type="dxa"/>
            <w:tcBorders>
              <w:left w:val="single" w:color="auto" w:sz="4" w:space="0"/>
            </w:tcBorders>
            <w:noWrap w:val="0"/>
            <w:vAlign w:val="center"/>
          </w:tcPr>
          <w:p w14:paraId="1590DB43">
            <w:pPr>
              <w:adjustRightInd w:val="0"/>
              <w:snapToGrid w:val="0"/>
              <w:spacing w:before="50" w:line="360" w:lineRule="auto"/>
              <w:ind w:left="-88" w:leftChars="-42"/>
              <w:jc w:val="center"/>
              <w:rPr>
                <w:rFonts w:hint="eastAsia" w:ascii="宋体" w:hAnsi="宋体" w:eastAsia="宋体" w:cs="宋体"/>
                <w:sz w:val="24"/>
                <w:szCs w:val="24"/>
              </w:rPr>
            </w:pPr>
          </w:p>
        </w:tc>
      </w:tr>
      <w:tr w14:paraId="5A252B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025A567E">
            <w:pPr>
              <w:adjustRightInd w:val="0"/>
              <w:snapToGrid w:val="0"/>
              <w:spacing w:before="50" w:line="360" w:lineRule="auto"/>
              <w:ind w:left="-88" w:leftChars="-42"/>
              <w:jc w:val="center"/>
              <w:rPr>
                <w:rFonts w:hint="eastAsia" w:ascii="宋体" w:hAnsi="宋体" w:eastAsia="宋体" w:cs="宋体"/>
                <w:sz w:val="24"/>
                <w:szCs w:val="24"/>
              </w:rPr>
            </w:pPr>
          </w:p>
        </w:tc>
        <w:tc>
          <w:tcPr>
            <w:tcW w:w="2410" w:type="dxa"/>
            <w:noWrap w:val="0"/>
            <w:vAlign w:val="center"/>
          </w:tcPr>
          <w:p w14:paraId="29EC8CFB">
            <w:pPr>
              <w:adjustRightInd w:val="0"/>
              <w:snapToGrid w:val="0"/>
              <w:spacing w:before="50" w:line="360" w:lineRule="auto"/>
              <w:ind w:left="-88" w:leftChars="-42"/>
              <w:jc w:val="center"/>
              <w:rPr>
                <w:rFonts w:hint="eastAsia" w:ascii="宋体" w:hAnsi="宋体" w:eastAsia="宋体" w:cs="宋体"/>
                <w:sz w:val="24"/>
                <w:szCs w:val="24"/>
              </w:rPr>
            </w:pPr>
          </w:p>
        </w:tc>
        <w:tc>
          <w:tcPr>
            <w:tcW w:w="1985" w:type="dxa"/>
            <w:noWrap w:val="0"/>
            <w:vAlign w:val="center"/>
          </w:tcPr>
          <w:p w14:paraId="6662F870">
            <w:pPr>
              <w:adjustRightInd w:val="0"/>
              <w:snapToGrid w:val="0"/>
              <w:spacing w:before="50" w:line="360" w:lineRule="auto"/>
              <w:ind w:left="-88" w:leftChars="-42"/>
              <w:jc w:val="center"/>
              <w:rPr>
                <w:rFonts w:hint="eastAsia" w:ascii="宋体" w:hAnsi="宋体" w:eastAsia="宋体" w:cs="宋体"/>
                <w:sz w:val="24"/>
                <w:szCs w:val="24"/>
              </w:rPr>
            </w:pPr>
          </w:p>
        </w:tc>
        <w:tc>
          <w:tcPr>
            <w:tcW w:w="2082" w:type="dxa"/>
            <w:tcBorders>
              <w:right w:val="single" w:color="auto" w:sz="4" w:space="0"/>
            </w:tcBorders>
            <w:noWrap w:val="0"/>
            <w:vAlign w:val="center"/>
          </w:tcPr>
          <w:p w14:paraId="6D0843A5">
            <w:pPr>
              <w:adjustRightInd w:val="0"/>
              <w:snapToGrid w:val="0"/>
              <w:spacing w:before="50" w:line="360" w:lineRule="auto"/>
              <w:ind w:left="-88" w:leftChars="-42"/>
              <w:jc w:val="center"/>
              <w:rPr>
                <w:rFonts w:hint="eastAsia" w:ascii="宋体" w:hAnsi="宋体" w:eastAsia="宋体" w:cs="宋体"/>
                <w:sz w:val="24"/>
                <w:szCs w:val="24"/>
              </w:rPr>
            </w:pPr>
          </w:p>
        </w:tc>
        <w:tc>
          <w:tcPr>
            <w:tcW w:w="1942" w:type="dxa"/>
            <w:tcBorders>
              <w:left w:val="single" w:color="auto" w:sz="4" w:space="0"/>
            </w:tcBorders>
            <w:noWrap w:val="0"/>
            <w:vAlign w:val="center"/>
          </w:tcPr>
          <w:p w14:paraId="4E26AEA3">
            <w:pPr>
              <w:adjustRightInd w:val="0"/>
              <w:snapToGrid w:val="0"/>
              <w:spacing w:before="50" w:line="360" w:lineRule="auto"/>
              <w:ind w:left="-88" w:leftChars="-42"/>
              <w:jc w:val="center"/>
              <w:rPr>
                <w:rFonts w:hint="eastAsia" w:ascii="宋体" w:hAnsi="宋体" w:eastAsia="宋体" w:cs="宋体"/>
                <w:sz w:val="24"/>
                <w:szCs w:val="24"/>
              </w:rPr>
            </w:pPr>
          </w:p>
        </w:tc>
      </w:tr>
      <w:tr w14:paraId="5F6A67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014" w:type="dxa"/>
            <w:gridSpan w:val="5"/>
            <w:noWrap w:val="0"/>
            <w:vAlign w:val="center"/>
          </w:tcPr>
          <w:p w14:paraId="6D4F7DDC">
            <w:pPr>
              <w:adjustRightInd w:val="0"/>
              <w:snapToGrid w:val="0"/>
              <w:spacing w:before="50" w:line="360" w:lineRule="auto"/>
              <w:ind w:firstLine="482" w:firstLineChars="200"/>
              <w:jc w:val="left"/>
              <w:rPr>
                <w:rFonts w:hint="eastAsia" w:ascii="宋体" w:hAnsi="宋体" w:eastAsia="宋体" w:cs="宋体"/>
                <w:b/>
                <w:sz w:val="24"/>
                <w:szCs w:val="24"/>
              </w:rPr>
            </w:pPr>
            <w:r>
              <w:rPr>
                <w:rFonts w:hint="eastAsia" w:ascii="宋体" w:hAnsi="宋体" w:eastAsia="宋体" w:cs="宋体"/>
                <w:b/>
                <w:sz w:val="24"/>
                <w:szCs w:val="24"/>
              </w:rPr>
              <w:t>投标人保证：除本合同条款偏离表列出的偏离外，我单位对招标文件的其他商务、合同条款完全响应，无偏离。</w:t>
            </w:r>
          </w:p>
        </w:tc>
      </w:tr>
    </w:tbl>
    <w:p w14:paraId="1630167C">
      <w:pPr>
        <w:adjustRightInd w:val="0"/>
        <w:snapToGrid w:val="0"/>
        <w:spacing w:before="50" w:line="360" w:lineRule="auto"/>
        <w:ind w:left="-88" w:leftChars="-42"/>
        <w:rPr>
          <w:rFonts w:hint="eastAsia" w:ascii="宋体" w:hAnsi="宋体" w:eastAsia="宋体" w:cs="宋体"/>
          <w:szCs w:val="21"/>
        </w:rPr>
      </w:pPr>
      <w:r>
        <w:rPr>
          <w:rFonts w:hint="eastAsia" w:ascii="宋体" w:hAnsi="宋体" w:eastAsia="宋体" w:cs="宋体"/>
          <w:b/>
          <w:szCs w:val="21"/>
        </w:rPr>
        <w:t>备注</w:t>
      </w:r>
      <w:r>
        <w:rPr>
          <w:rFonts w:hint="eastAsia" w:ascii="宋体" w:hAnsi="宋体" w:eastAsia="宋体" w:cs="宋体"/>
          <w:szCs w:val="21"/>
        </w:rPr>
        <w:t>：（1）投标人应根据招标文件第六章“政府采购合同”填写本表；</w:t>
      </w:r>
    </w:p>
    <w:p w14:paraId="51D8422F">
      <w:pPr>
        <w:adjustRightInd w:val="0"/>
        <w:snapToGrid w:val="0"/>
        <w:spacing w:before="50" w:line="360" w:lineRule="auto"/>
        <w:ind w:left="-88" w:leftChars="-42" w:firstLine="630" w:firstLineChars="300"/>
        <w:rPr>
          <w:rFonts w:hint="eastAsia" w:ascii="宋体" w:hAnsi="宋体" w:eastAsia="宋体" w:cs="宋体"/>
          <w:b/>
          <w:szCs w:val="21"/>
        </w:rPr>
      </w:pPr>
      <w:r>
        <w:rPr>
          <w:rFonts w:hint="eastAsia" w:ascii="宋体" w:hAnsi="宋体" w:eastAsia="宋体" w:cs="宋体"/>
          <w:szCs w:val="21"/>
        </w:rPr>
        <w:t>（2）</w:t>
      </w:r>
      <w:r>
        <w:rPr>
          <w:rFonts w:hint="eastAsia" w:ascii="宋体" w:hAnsi="宋体" w:eastAsia="宋体" w:cs="宋体"/>
          <w:b/>
          <w:szCs w:val="21"/>
        </w:rPr>
        <w:t>投标人如果对招标文件第六章“政府采购合同”的响应有偏离，应将偏离条款逐条如实应答，并作出说明；</w:t>
      </w:r>
    </w:p>
    <w:p w14:paraId="11E007C6">
      <w:pPr>
        <w:adjustRightInd w:val="0"/>
        <w:snapToGrid w:val="0"/>
        <w:spacing w:before="50" w:line="360" w:lineRule="auto"/>
        <w:ind w:left="-88" w:leftChars="-42" w:firstLine="630" w:firstLineChars="300"/>
        <w:rPr>
          <w:rFonts w:hint="eastAsia" w:ascii="宋体" w:hAnsi="宋体" w:eastAsia="宋体" w:cs="宋体"/>
          <w:szCs w:val="21"/>
        </w:rPr>
      </w:pPr>
      <w:r>
        <w:rPr>
          <w:rFonts w:hint="eastAsia" w:ascii="宋体" w:hAnsi="宋体" w:eastAsia="宋体" w:cs="宋体"/>
          <w:szCs w:val="21"/>
        </w:rPr>
        <w:t>（3）如不提供此表，则视为投标人不满足招标文件第六章的所有条款要求，其</w:t>
      </w:r>
      <w:r>
        <w:rPr>
          <w:rFonts w:hint="eastAsia" w:ascii="宋体" w:hAnsi="宋体" w:eastAsia="宋体" w:cs="宋体"/>
          <w:b/>
          <w:szCs w:val="21"/>
        </w:rPr>
        <w:t>投标无效</w:t>
      </w:r>
      <w:r>
        <w:rPr>
          <w:rFonts w:hint="eastAsia" w:ascii="宋体" w:hAnsi="宋体" w:eastAsia="宋体" w:cs="宋体"/>
          <w:szCs w:val="21"/>
        </w:rPr>
        <w:t>。</w:t>
      </w:r>
    </w:p>
    <w:p w14:paraId="52CB5CC5">
      <w:pPr>
        <w:adjustRightInd w:val="0"/>
        <w:snapToGrid w:val="0"/>
        <w:spacing w:before="50" w:line="360" w:lineRule="auto"/>
        <w:ind w:left="-88" w:leftChars="-42" w:firstLine="630" w:firstLineChars="300"/>
        <w:rPr>
          <w:rFonts w:hint="eastAsia" w:ascii="宋体" w:hAnsi="宋体" w:eastAsia="宋体" w:cs="宋体"/>
          <w:szCs w:val="21"/>
        </w:rPr>
      </w:pPr>
      <w:r>
        <w:rPr>
          <w:rFonts w:hint="eastAsia" w:ascii="宋体" w:hAnsi="宋体" w:eastAsia="宋体" w:cs="宋体"/>
          <w:szCs w:val="21"/>
        </w:rPr>
        <w:t>（4）在采购人与中标人签订合同时，如中标人未在投标文件“合同条款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59284F23">
      <w:pPr>
        <w:adjustRightInd w:val="0"/>
        <w:snapToGrid w:val="0"/>
        <w:spacing w:before="50" w:line="360" w:lineRule="auto"/>
        <w:rPr>
          <w:rFonts w:hint="eastAsia" w:ascii="宋体" w:hAnsi="宋体" w:eastAsia="宋体" w:cs="宋体"/>
          <w:szCs w:val="21"/>
        </w:rPr>
      </w:pPr>
    </w:p>
    <w:p w14:paraId="7638AEDE">
      <w:pPr>
        <w:adjustRightInd w:val="0"/>
        <w:snapToGrid w:val="0"/>
        <w:spacing w:before="50" w:line="360" w:lineRule="auto"/>
        <w:rPr>
          <w:rFonts w:hint="eastAsia" w:ascii="宋体" w:hAnsi="宋体" w:eastAsia="宋体" w:cs="宋体"/>
          <w:szCs w:val="21"/>
        </w:rPr>
      </w:pPr>
    </w:p>
    <w:p w14:paraId="54115D2D">
      <w:pPr>
        <w:adjustRightInd w:val="0"/>
        <w:snapToGrid w:val="0"/>
        <w:spacing w:before="50" w:line="360" w:lineRule="auto"/>
        <w:jc w:val="left"/>
        <w:rPr>
          <w:rFonts w:hint="eastAsia" w:ascii="宋体" w:hAnsi="宋体" w:eastAsia="宋体" w:cs="宋体"/>
          <w:sz w:val="24"/>
          <w:szCs w:val="24"/>
        </w:rPr>
      </w:pPr>
      <w:r>
        <w:rPr>
          <w:rFonts w:hint="eastAsia" w:ascii="宋体" w:hAnsi="宋体" w:eastAsia="宋体" w:cs="宋体"/>
          <w:sz w:val="24"/>
          <w:szCs w:val="24"/>
        </w:rPr>
        <w:t>投标人名称（盖单位电子章）：</w:t>
      </w:r>
    </w:p>
    <w:p w14:paraId="21787D8C">
      <w:pPr>
        <w:adjustRightInd w:val="0"/>
        <w:snapToGrid w:val="0"/>
        <w:spacing w:before="50" w:line="360" w:lineRule="auto"/>
        <w:jc w:val="left"/>
        <w:rPr>
          <w:rFonts w:hint="eastAsia" w:ascii="宋体" w:hAnsi="宋体" w:eastAsia="宋体" w:cs="宋体"/>
          <w:sz w:val="24"/>
          <w:szCs w:val="24"/>
        </w:rPr>
      </w:pPr>
      <w:r>
        <w:rPr>
          <w:rFonts w:hint="eastAsia" w:ascii="宋体" w:hAnsi="宋体" w:eastAsia="宋体" w:cs="宋体"/>
          <w:spacing w:val="-2"/>
          <w:kern w:val="0"/>
          <w:sz w:val="24"/>
          <w:szCs w:val="24"/>
        </w:rPr>
        <w:t>法</w:t>
      </w:r>
      <w:r>
        <w:rPr>
          <w:rFonts w:hint="eastAsia" w:ascii="宋体" w:hAnsi="宋体" w:eastAsia="宋体" w:cs="宋体"/>
          <w:kern w:val="0"/>
          <w:sz w:val="24"/>
          <w:szCs w:val="24"/>
        </w:rPr>
        <w:t>定</w:t>
      </w:r>
      <w:r>
        <w:rPr>
          <w:rFonts w:hint="eastAsia" w:ascii="宋体" w:hAnsi="宋体" w:eastAsia="宋体" w:cs="宋体"/>
          <w:spacing w:val="-2"/>
          <w:kern w:val="0"/>
          <w:sz w:val="24"/>
          <w:szCs w:val="24"/>
        </w:rPr>
        <w:t>代</w:t>
      </w:r>
      <w:r>
        <w:rPr>
          <w:rFonts w:hint="eastAsia" w:ascii="宋体" w:hAnsi="宋体" w:eastAsia="宋体" w:cs="宋体"/>
          <w:kern w:val="0"/>
          <w:sz w:val="24"/>
          <w:szCs w:val="24"/>
        </w:rPr>
        <w:t>表</w:t>
      </w:r>
      <w:r>
        <w:rPr>
          <w:rFonts w:hint="eastAsia" w:ascii="宋体" w:hAnsi="宋体" w:eastAsia="宋体" w:cs="宋体"/>
          <w:spacing w:val="-2"/>
          <w:kern w:val="0"/>
          <w:sz w:val="24"/>
          <w:szCs w:val="24"/>
        </w:rPr>
        <w:t>人</w:t>
      </w:r>
      <w:r>
        <w:rPr>
          <w:rFonts w:hint="eastAsia" w:ascii="宋体" w:hAnsi="宋体" w:eastAsia="宋体" w:cs="宋体"/>
          <w:kern w:val="0"/>
          <w:sz w:val="24"/>
          <w:szCs w:val="24"/>
        </w:rPr>
        <w:t>（</w:t>
      </w:r>
      <w:r>
        <w:rPr>
          <w:rFonts w:hint="eastAsia" w:ascii="宋体" w:hAnsi="宋体" w:eastAsia="宋体" w:cs="宋体"/>
          <w:spacing w:val="-2"/>
          <w:kern w:val="0"/>
          <w:sz w:val="24"/>
          <w:szCs w:val="24"/>
        </w:rPr>
        <w:t>单</w:t>
      </w:r>
      <w:r>
        <w:rPr>
          <w:rFonts w:hint="eastAsia" w:ascii="宋体" w:hAnsi="宋体" w:eastAsia="宋体" w:cs="宋体"/>
          <w:kern w:val="0"/>
          <w:sz w:val="24"/>
          <w:szCs w:val="24"/>
        </w:rPr>
        <w:t>位</w:t>
      </w:r>
      <w:r>
        <w:rPr>
          <w:rFonts w:hint="eastAsia" w:ascii="宋体" w:hAnsi="宋体" w:eastAsia="宋体" w:cs="宋体"/>
          <w:spacing w:val="-2"/>
          <w:kern w:val="0"/>
          <w:sz w:val="24"/>
          <w:szCs w:val="24"/>
        </w:rPr>
        <w:t>负</w:t>
      </w:r>
      <w:r>
        <w:rPr>
          <w:rFonts w:hint="eastAsia" w:ascii="宋体" w:hAnsi="宋体" w:eastAsia="宋体" w:cs="宋体"/>
          <w:kern w:val="0"/>
          <w:sz w:val="24"/>
          <w:szCs w:val="24"/>
        </w:rPr>
        <w:t>责人</w:t>
      </w:r>
      <w:r>
        <w:rPr>
          <w:rFonts w:hint="eastAsia" w:ascii="宋体" w:hAnsi="宋体" w:eastAsia="宋体" w:cs="宋体"/>
          <w:spacing w:val="-2"/>
          <w:kern w:val="0"/>
          <w:sz w:val="24"/>
          <w:szCs w:val="24"/>
        </w:rPr>
        <w:t>）</w:t>
      </w:r>
      <w:r>
        <w:rPr>
          <w:rFonts w:hint="eastAsia" w:ascii="宋体" w:hAnsi="宋体" w:eastAsia="宋体" w:cs="宋体"/>
          <w:sz w:val="24"/>
          <w:szCs w:val="24"/>
        </w:rPr>
        <w:t>或其授权的代理人（签字或签章）：</w:t>
      </w:r>
      <w:r>
        <w:rPr>
          <w:rFonts w:hint="eastAsia" w:ascii="宋体" w:hAnsi="宋体" w:eastAsia="宋体" w:cs="宋体"/>
          <w:sz w:val="24"/>
          <w:szCs w:val="24"/>
          <w:u w:val="single"/>
        </w:rPr>
        <w:t xml:space="preserve">                     </w:t>
      </w:r>
    </w:p>
    <w:p w14:paraId="2EB53A6D">
      <w:pPr>
        <w:spacing w:line="360" w:lineRule="auto"/>
        <w:jc w:val="left"/>
        <w:rPr>
          <w:rFonts w:hint="eastAsia" w:ascii="宋体" w:hAnsi="宋体" w:eastAsia="宋体" w:cs="宋体"/>
          <w:sz w:val="24"/>
          <w:szCs w:val="24"/>
        </w:rPr>
      </w:pPr>
      <w:r>
        <w:rPr>
          <w:rFonts w:hint="eastAsia" w:ascii="宋体" w:hAnsi="宋体" w:eastAsia="宋体" w:cs="宋体"/>
          <w:sz w:val="24"/>
          <w:szCs w:val="24"/>
        </w:rPr>
        <w:t>日       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2D7FD164">
      <w:pPr>
        <w:rPr>
          <w:rFonts w:hint="eastAsia" w:ascii="宋体" w:hAnsi="宋体" w:eastAsia="宋体" w:cs="宋体"/>
          <w:szCs w:val="22"/>
        </w:rPr>
      </w:pPr>
      <w:r>
        <w:rPr>
          <w:rFonts w:hint="eastAsia" w:ascii="宋体" w:hAnsi="宋体" w:eastAsia="宋体" w:cs="宋体"/>
          <w:szCs w:val="22"/>
        </w:rPr>
        <w:br w:type="page"/>
      </w:r>
    </w:p>
    <w:p w14:paraId="5EA901AF">
      <w:pPr>
        <w:keepNext/>
        <w:keepLines/>
        <w:adjustRightInd w:val="0"/>
        <w:snapToGrid w:val="0"/>
        <w:spacing w:before="156" w:beforeLines="50" w:line="360" w:lineRule="auto"/>
        <w:jc w:val="center"/>
        <w:outlineLvl w:val="2"/>
        <w:rPr>
          <w:rFonts w:hint="eastAsia" w:ascii="宋体" w:hAnsi="宋体" w:eastAsia="宋体" w:cs="宋体"/>
          <w:b/>
          <w:bCs/>
          <w:sz w:val="28"/>
          <w:szCs w:val="28"/>
        </w:rPr>
      </w:pPr>
      <w:bookmarkStart w:id="180" w:name="_Toc24790"/>
      <w:bookmarkStart w:id="181" w:name="_Toc30736"/>
      <w:bookmarkStart w:id="182" w:name="_Toc14722"/>
      <w:bookmarkStart w:id="183" w:name="_Toc21456"/>
      <w:bookmarkStart w:id="184" w:name="_Toc29913968"/>
      <w:r>
        <w:rPr>
          <w:rFonts w:hint="eastAsia" w:ascii="宋体" w:hAnsi="宋体" w:eastAsia="宋体" w:cs="宋体"/>
          <w:b/>
          <w:bCs/>
          <w:sz w:val="28"/>
          <w:szCs w:val="28"/>
        </w:rPr>
        <w:t>九、采购需求（技术、商务）偏离表</w:t>
      </w:r>
      <w:bookmarkEnd w:id="180"/>
      <w:bookmarkEnd w:id="181"/>
      <w:bookmarkEnd w:id="182"/>
      <w:bookmarkEnd w:id="183"/>
      <w:bookmarkEnd w:id="184"/>
    </w:p>
    <w:p w14:paraId="3DB6A401">
      <w:pPr>
        <w:adjustRightInd w:val="0"/>
        <w:snapToGrid w:val="0"/>
        <w:spacing w:line="360" w:lineRule="auto"/>
        <w:jc w:val="left"/>
        <w:rPr>
          <w:rFonts w:hint="eastAsia" w:ascii="宋体" w:hAnsi="宋体" w:eastAsia="宋体" w:cs="宋体"/>
          <w:sz w:val="24"/>
          <w:szCs w:val="24"/>
          <w:u w:val="single"/>
          <w:lang w:val="en-US" w:eastAsia="zh-CN"/>
        </w:rPr>
      </w:pPr>
      <w:r>
        <w:rPr>
          <w:rFonts w:hint="eastAsia" w:ascii="宋体" w:hAnsi="宋体" w:eastAsia="宋体" w:cs="宋体"/>
          <w:sz w:val="24"/>
          <w:szCs w:val="24"/>
        </w:rPr>
        <w:t>采购代理编号：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                   项目名称：</w:t>
      </w:r>
      <w:r>
        <w:rPr>
          <w:rFonts w:hint="eastAsia" w:ascii="宋体" w:hAnsi="宋体" w:eastAsia="宋体" w:cs="宋体"/>
          <w:sz w:val="24"/>
          <w:szCs w:val="24"/>
          <w:u w:val="single"/>
          <w:lang w:val="en-US" w:eastAsia="zh-CN"/>
        </w:rPr>
        <w:t xml:space="preserve">                </w:t>
      </w:r>
    </w:p>
    <w:p w14:paraId="730CF0F6">
      <w:pPr>
        <w:adjustRightInd w:val="0"/>
        <w:snapToGrid w:val="0"/>
        <w:spacing w:before="156" w:beforeLines="50" w:line="360" w:lineRule="auto"/>
        <w:rPr>
          <w:rFonts w:hint="eastAsia" w:ascii="宋体" w:hAnsi="宋体" w:eastAsia="宋体" w:cs="宋体"/>
          <w:szCs w:val="21"/>
          <w:u w:val="single"/>
        </w:rPr>
      </w:pPr>
      <w:r>
        <w:rPr>
          <w:rFonts w:hint="eastAsia" w:ascii="宋体" w:hAnsi="宋体" w:eastAsia="宋体" w:cs="宋体"/>
          <w:sz w:val="24"/>
          <w:szCs w:val="24"/>
        </w:rPr>
        <w:t>包号：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                   包名称：</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tbl>
      <w:tblPr>
        <w:tblStyle w:val="45"/>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33228F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noWrap w:val="0"/>
            <w:vAlign w:val="center"/>
          </w:tcPr>
          <w:p w14:paraId="2A577306">
            <w:pPr>
              <w:adjustRightInd w:val="0"/>
              <w:snapToGrid w:val="0"/>
              <w:spacing w:before="50" w:line="360" w:lineRule="auto"/>
              <w:ind w:left="-88" w:leftChars="-42"/>
              <w:jc w:val="center"/>
              <w:rPr>
                <w:rFonts w:hint="eastAsia" w:ascii="宋体" w:hAnsi="宋体" w:eastAsia="宋体" w:cs="宋体"/>
                <w:sz w:val="24"/>
                <w:szCs w:val="24"/>
              </w:rPr>
            </w:pPr>
            <w:r>
              <w:rPr>
                <w:rFonts w:hint="eastAsia" w:ascii="宋体" w:hAnsi="宋体" w:eastAsia="宋体" w:cs="宋体"/>
                <w:bCs/>
                <w:sz w:val="24"/>
                <w:szCs w:val="24"/>
              </w:rPr>
              <w:t>序</w:t>
            </w:r>
            <w:r>
              <w:rPr>
                <w:rFonts w:hint="eastAsia" w:ascii="宋体" w:hAnsi="宋体" w:eastAsia="宋体" w:cs="宋体"/>
                <w:sz w:val="24"/>
                <w:szCs w:val="24"/>
              </w:rPr>
              <w:t>号</w:t>
            </w:r>
          </w:p>
        </w:tc>
        <w:tc>
          <w:tcPr>
            <w:tcW w:w="2410" w:type="dxa"/>
            <w:noWrap w:val="0"/>
            <w:vAlign w:val="center"/>
          </w:tcPr>
          <w:p w14:paraId="1E16A0A5">
            <w:pPr>
              <w:adjustRightInd w:val="0"/>
              <w:snapToGrid w:val="0"/>
              <w:spacing w:before="50" w:line="360" w:lineRule="auto"/>
              <w:ind w:left="-88" w:leftChars="-42"/>
              <w:jc w:val="center"/>
              <w:rPr>
                <w:rFonts w:hint="eastAsia" w:ascii="宋体" w:hAnsi="宋体" w:eastAsia="宋体" w:cs="宋体"/>
                <w:sz w:val="24"/>
                <w:szCs w:val="24"/>
              </w:rPr>
            </w:pPr>
            <w:r>
              <w:rPr>
                <w:rFonts w:hint="eastAsia" w:ascii="宋体" w:hAnsi="宋体" w:eastAsia="宋体" w:cs="宋体"/>
                <w:sz w:val="24"/>
                <w:szCs w:val="24"/>
              </w:rPr>
              <w:t>招标文件章节</w:t>
            </w:r>
            <w:r>
              <w:rPr>
                <w:rFonts w:hint="eastAsia" w:ascii="宋体" w:hAnsi="宋体" w:eastAsia="宋体" w:cs="宋体"/>
                <w:bCs/>
                <w:sz w:val="24"/>
                <w:szCs w:val="24"/>
              </w:rPr>
              <w:t>条</w:t>
            </w:r>
            <w:r>
              <w:rPr>
                <w:rFonts w:hint="eastAsia" w:ascii="宋体" w:hAnsi="宋体" w:eastAsia="宋体" w:cs="宋体"/>
                <w:sz w:val="24"/>
                <w:szCs w:val="24"/>
              </w:rPr>
              <w:t>款号</w:t>
            </w:r>
          </w:p>
        </w:tc>
        <w:tc>
          <w:tcPr>
            <w:tcW w:w="1985" w:type="dxa"/>
            <w:tcBorders>
              <w:right w:val="single" w:color="auto" w:sz="4" w:space="0"/>
            </w:tcBorders>
            <w:noWrap w:val="0"/>
            <w:vAlign w:val="top"/>
          </w:tcPr>
          <w:p w14:paraId="2DC73F37">
            <w:pPr>
              <w:adjustRightInd w:val="0"/>
              <w:snapToGrid w:val="0"/>
              <w:spacing w:before="50" w:line="360" w:lineRule="auto"/>
              <w:jc w:val="center"/>
              <w:rPr>
                <w:rFonts w:hint="eastAsia" w:ascii="宋体" w:hAnsi="宋体" w:eastAsia="宋体" w:cs="宋体"/>
                <w:sz w:val="24"/>
                <w:szCs w:val="24"/>
              </w:rPr>
            </w:pPr>
            <w:r>
              <w:rPr>
                <w:rFonts w:hint="eastAsia" w:ascii="宋体" w:hAnsi="宋体" w:eastAsia="宋体" w:cs="宋体"/>
                <w:sz w:val="24"/>
                <w:szCs w:val="24"/>
              </w:rPr>
              <w:t>招标文件要求</w:t>
            </w:r>
          </w:p>
        </w:tc>
        <w:tc>
          <w:tcPr>
            <w:tcW w:w="2126" w:type="dxa"/>
            <w:tcBorders>
              <w:left w:val="single" w:color="auto" w:sz="4" w:space="0"/>
            </w:tcBorders>
            <w:noWrap w:val="0"/>
            <w:vAlign w:val="top"/>
          </w:tcPr>
          <w:p w14:paraId="16D21764">
            <w:pPr>
              <w:adjustRightInd w:val="0"/>
              <w:snapToGrid w:val="0"/>
              <w:spacing w:before="50" w:line="360" w:lineRule="auto"/>
              <w:jc w:val="center"/>
              <w:rPr>
                <w:rFonts w:hint="eastAsia" w:ascii="宋体" w:hAnsi="宋体" w:eastAsia="宋体" w:cs="宋体"/>
                <w:sz w:val="24"/>
                <w:szCs w:val="24"/>
              </w:rPr>
            </w:pPr>
            <w:r>
              <w:rPr>
                <w:rFonts w:hint="eastAsia" w:ascii="宋体" w:hAnsi="宋体" w:eastAsia="宋体" w:cs="宋体"/>
                <w:sz w:val="24"/>
                <w:szCs w:val="24"/>
              </w:rPr>
              <w:t>投标文件应答</w:t>
            </w:r>
          </w:p>
        </w:tc>
        <w:tc>
          <w:tcPr>
            <w:tcW w:w="1756" w:type="dxa"/>
            <w:noWrap w:val="0"/>
            <w:vAlign w:val="center"/>
          </w:tcPr>
          <w:p w14:paraId="5515CEED">
            <w:pPr>
              <w:adjustRightInd w:val="0"/>
              <w:snapToGrid w:val="0"/>
              <w:spacing w:before="50" w:line="360" w:lineRule="auto"/>
              <w:ind w:left="-88" w:leftChars="-42"/>
              <w:jc w:val="center"/>
              <w:rPr>
                <w:rFonts w:hint="eastAsia" w:ascii="宋体" w:hAnsi="宋体" w:eastAsia="宋体" w:cs="宋体"/>
                <w:sz w:val="24"/>
                <w:szCs w:val="24"/>
              </w:rPr>
            </w:pPr>
            <w:r>
              <w:rPr>
                <w:rFonts w:hint="eastAsia" w:ascii="宋体" w:hAnsi="宋体" w:eastAsia="宋体" w:cs="宋体"/>
                <w:sz w:val="24"/>
                <w:szCs w:val="24"/>
              </w:rPr>
              <w:t>偏离说明</w:t>
            </w:r>
          </w:p>
        </w:tc>
      </w:tr>
      <w:tr w14:paraId="78964A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7E039D16">
            <w:pPr>
              <w:adjustRightInd w:val="0"/>
              <w:snapToGrid w:val="0"/>
              <w:spacing w:before="50" w:line="360" w:lineRule="auto"/>
              <w:ind w:left="-88" w:leftChars="-42"/>
              <w:jc w:val="center"/>
              <w:rPr>
                <w:rFonts w:hint="eastAsia" w:ascii="宋体" w:hAnsi="宋体" w:eastAsia="宋体" w:cs="宋体"/>
                <w:sz w:val="24"/>
                <w:szCs w:val="24"/>
              </w:rPr>
            </w:pPr>
          </w:p>
        </w:tc>
        <w:tc>
          <w:tcPr>
            <w:tcW w:w="2410" w:type="dxa"/>
            <w:noWrap w:val="0"/>
            <w:vAlign w:val="center"/>
          </w:tcPr>
          <w:p w14:paraId="4B523E9C">
            <w:pPr>
              <w:adjustRightInd w:val="0"/>
              <w:snapToGrid w:val="0"/>
              <w:spacing w:before="50" w:line="360" w:lineRule="auto"/>
              <w:ind w:left="-88" w:leftChars="-42"/>
              <w:jc w:val="center"/>
              <w:rPr>
                <w:rFonts w:hint="eastAsia" w:ascii="宋体" w:hAnsi="宋体" w:eastAsia="宋体" w:cs="宋体"/>
                <w:sz w:val="24"/>
                <w:szCs w:val="24"/>
              </w:rPr>
            </w:pPr>
          </w:p>
        </w:tc>
        <w:tc>
          <w:tcPr>
            <w:tcW w:w="1985" w:type="dxa"/>
            <w:tcBorders>
              <w:right w:val="single" w:color="auto" w:sz="4" w:space="0"/>
            </w:tcBorders>
            <w:noWrap w:val="0"/>
            <w:vAlign w:val="center"/>
          </w:tcPr>
          <w:p w14:paraId="732DA4D4">
            <w:pPr>
              <w:adjustRightInd w:val="0"/>
              <w:snapToGrid w:val="0"/>
              <w:spacing w:before="50" w:line="360" w:lineRule="auto"/>
              <w:ind w:left="-88" w:leftChars="-42"/>
              <w:jc w:val="center"/>
              <w:rPr>
                <w:rFonts w:hint="eastAsia" w:ascii="宋体" w:hAnsi="宋体" w:eastAsia="宋体" w:cs="宋体"/>
                <w:sz w:val="24"/>
                <w:szCs w:val="24"/>
              </w:rPr>
            </w:pPr>
          </w:p>
        </w:tc>
        <w:tc>
          <w:tcPr>
            <w:tcW w:w="2126" w:type="dxa"/>
            <w:tcBorders>
              <w:left w:val="single" w:color="auto" w:sz="4" w:space="0"/>
            </w:tcBorders>
            <w:noWrap w:val="0"/>
            <w:vAlign w:val="center"/>
          </w:tcPr>
          <w:p w14:paraId="316B7C66">
            <w:pPr>
              <w:adjustRightInd w:val="0"/>
              <w:snapToGrid w:val="0"/>
              <w:spacing w:before="50" w:line="360" w:lineRule="auto"/>
              <w:ind w:left="-88" w:leftChars="-42"/>
              <w:jc w:val="center"/>
              <w:rPr>
                <w:rFonts w:hint="eastAsia" w:ascii="宋体" w:hAnsi="宋体" w:eastAsia="宋体" w:cs="宋体"/>
                <w:sz w:val="24"/>
                <w:szCs w:val="24"/>
              </w:rPr>
            </w:pPr>
          </w:p>
        </w:tc>
        <w:tc>
          <w:tcPr>
            <w:tcW w:w="1756" w:type="dxa"/>
            <w:noWrap w:val="0"/>
            <w:vAlign w:val="center"/>
          </w:tcPr>
          <w:p w14:paraId="68D3F624">
            <w:pPr>
              <w:adjustRightInd w:val="0"/>
              <w:snapToGrid w:val="0"/>
              <w:spacing w:before="50" w:line="360" w:lineRule="auto"/>
              <w:ind w:left="-88" w:leftChars="-42"/>
              <w:jc w:val="center"/>
              <w:rPr>
                <w:rFonts w:hint="eastAsia" w:ascii="宋体" w:hAnsi="宋体" w:eastAsia="宋体" w:cs="宋体"/>
                <w:sz w:val="24"/>
                <w:szCs w:val="24"/>
              </w:rPr>
            </w:pPr>
          </w:p>
        </w:tc>
      </w:tr>
      <w:tr w14:paraId="1B7D4E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25E05EFA">
            <w:pPr>
              <w:adjustRightInd w:val="0"/>
              <w:snapToGrid w:val="0"/>
              <w:spacing w:before="50" w:line="360" w:lineRule="auto"/>
              <w:ind w:left="-88" w:leftChars="-42"/>
              <w:jc w:val="center"/>
              <w:rPr>
                <w:rFonts w:hint="eastAsia" w:ascii="宋体" w:hAnsi="宋体" w:eastAsia="宋体" w:cs="宋体"/>
                <w:sz w:val="24"/>
                <w:szCs w:val="24"/>
              </w:rPr>
            </w:pPr>
          </w:p>
        </w:tc>
        <w:tc>
          <w:tcPr>
            <w:tcW w:w="2410" w:type="dxa"/>
            <w:noWrap w:val="0"/>
            <w:vAlign w:val="center"/>
          </w:tcPr>
          <w:p w14:paraId="689E96E8">
            <w:pPr>
              <w:adjustRightInd w:val="0"/>
              <w:snapToGrid w:val="0"/>
              <w:spacing w:before="50" w:line="360" w:lineRule="auto"/>
              <w:ind w:left="-88" w:leftChars="-42"/>
              <w:jc w:val="center"/>
              <w:rPr>
                <w:rFonts w:hint="eastAsia" w:ascii="宋体" w:hAnsi="宋体" w:eastAsia="宋体" w:cs="宋体"/>
                <w:sz w:val="24"/>
                <w:szCs w:val="24"/>
              </w:rPr>
            </w:pPr>
          </w:p>
        </w:tc>
        <w:tc>
          <w:tcPr>
            <w:tcW w:w="1985" w:type="dxa"/>
            <w:tcBorders>
              <w:right w:val="single" w:color="auto" w:sz="4" w:space="0"/>
            </w:tcBorders>
            <w:noWrap w:val="0"/>
            <w:vAlign w:val="center"/>
          </w:tcPr>
          <w:p w14:paraId="27384A23">
            <w:pPr>
              <w:adjustRightInd w:val="0"/>
              <w:snapToGrid w:val="0"/>
              <w:spacing w:before="50" w:line="360" w:lineRule="auto"/>
              <w:ind w:left="-88" w:leftChars="-42"/>
              <w:jc w:val="center"/>
              <w:rPr>
                <w:rFonts w:hint="eastAsia" w:ascii="宋体" w:hAnsi="宋体" w:eastAsia="宋体" w:cs="宋体"/>
                <w:sz w:val="24"/>
                <w:szCs w:val="24"/>
              </w:rPr>
            </w:pPr>
          </w:p>
        </w:tc>
        <w:tc>
          <w:tcPr>
            <w:tcW w:w="2126" w:type="dxa"/>
            <w:tcBorders>
              <w:left w:val="single" w:color="auto" w:sz="4" w:space="0"/>
            </w:tcBorders>
            <w:noWrap w:val="0"/>
            <w:vAlign w:val="center"/>
          </w:tcPr>
          <w:p w14:paraId="13744EF4">
            <w:pPr>
              <w:adjustRightInd w:val="0"/>
              <w:snapToGrid w:val="0"/>
              <w:spacing w:before="50" w:line="360" w:lineRule="auto"/>
              <w:ind w:left="-88" w:leftChars="-42"/>
              <w:jc w:val="center"/>
              <w:rPr>
                <w:rFonts w:hint="eastAsia" w:ascii="宋体" w:hAnsi="宋体" w:eastAsia="宋体" w:cs="宋体"/>
                <w:sz w:val="24"/>
                <w:szCs w:val="24"/>
              </w:rPr>
            </w:pPr>
          </w:p>
        </w:tc>
        <w:tc>
          <w:tcPr>
            <w:tcW w:w="1756" w:type="dxa"/>
            <w:noWrap w:val="0"/>
            <w:vAlign w:val="center"/>
          </w:tcPr>
          <w:p w14:paraId="7B6D0684">
            <w:pPr>
              <w:adjustRightInd w:val="0"/>
              <w:snapToGrid w:val="0"/>
              <w:spacing w:before="50" w:line="360" w:lineRule="auto"/>
              <w:ind w:left="-88" w:leftChars="-42"/>
              <w:jc w:val="center"/>
              <w:rPr>
                <w:rFonts w:hint="eastAsia" w:ascii="宋体" w:hAnsi="宋体" w:eastAsia="宋体" w:cs="宋体"/>
                <w:sz w:val="24"/>
                <w:szCs w:val="24"/>
              </w:rPr>
            </w:pPr>
          </w:p>
        </w:tc>
      </w:tr>
      <w:tr w14:paraId="3677A7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6D292548">
            <w:pPr>
              <w:adjustRightInd w:val="0"/>
              <w:snapToGrid w:val="0"/>
              <w:spacing w:before="50" w:line="360" w:lineRule="auto"/>
              <w:ind w:left="-88" w:leftChars="-42"/>
              <w:jc w:val="center"/>
              <w:rPr>
                <w:rFonts w:hint="eastAsia" w:ascii="宋体" w:hAnsi="宋体" w:eastAsia="宋体" w:cs="宋体"/>
                <w:sz w:val="24"/>
                <w:szCs w:val="24"/>
              </w:rPr>
            </w:pPr>
          </w:p>
        </w:tc>
        <w:tc>
          <w:tcPr>
            <w:tcW w:w="2410" w:type="dxa"/>
            <w:noWrap w:val="0"/>
            <w:vAlign w:val="center"/>
          </w:tcPr>
          <w:p w14:paraId="0102E4DE">
            <w:pPr>
              <w:adjustRightInd w:val="0"/>
              <w:snapToGrid w:val="0"/>
              <w:spacing w:before="50" w:line="360" w:lineRule="auto"/>
              <w:ind w:left="-88" w:leftChars="-42"/>
              <w:jc w:val="center"/>
              <w:rPr>
                <w:rFonts w:hint="eastAsia" w:ascii="宋体" w:hAnsi="宋体" w:eastAsia="宋体" w:cs="宋体"/>
                <w:sz w:val="24"/>
                <w:szCs w:val="24"/>
              </w:rPr>
            </w:pPr>
          </w:p>
        </w:tc>
        <w:tc>
          <w:tcPr>
            <w:tcW w:w="1985" w:type="dxa"/>
            <w:tcBorders>
              <w:right w:val="single" w:color="auto" w:sz="4" w:space="0"/>
            </w:tcBorders>
            <w:noWrap w:val="0"/>
            <w:vAlign w:val="center"/>
          </w:tcPr>
          <w:p w14:paraId="436C0342">
            <w:pPr>
              <w:adjustRightInd w:val="0"/>
              <w:snapToGrid w:val="0"/>
              <w:spacing w:before="50" w:line="360" w:lineRule="auto"/>
              <w:ind w:left="-88" w:leftChars="-42"/>
              <w:jc w:val="center"/>
              <w:rPr>
                <w:rFonts w:hint="eastAsia" w:ascii="宋体" w:hAnsi="宋体" w:eastAsia="宋体" w:cs="宋体"/>
                <w:sz w:val="24"/>
                <w:szCs w:val="24"/>
              </w:rPr>
            </w:pPr>
          </w:p>
        </w:tc>
        <w:tc>
          <w:tcPr>
            <w:tcW w:w="2126" w:type="dxa"/>
            <w:tcBorders>
              <w:left w:val="single" w:color="auto" w:sz="4" w:space="0"/>
            </w:tcBorders>
            <w:noWrap w:val="0"/>
            <w:vAlign w:val="center"/>
          </w:tcPr>
          <w:p w14:paraId="1DEC9A6B">
            <w:pPr>
              <w:adjustRightInd w:val="0"/>
              <w:snapToGrid w:val="0"/>
              <w:spacing w:before="50" w:line="360" w:lineRule="auto"/>
              <w:ind w:left="-88" w:leftChars="-42"/>
              <w:jc w:val="center"/>
              <w:rPr>
                <w:rFonts w:hint="eastAsia" w:ascii="宋体" w:hAnsi="宋体" w:eastAsia="宋体" w:cs="宋体"/>
                <w:sz w:val="24"/>
                <w:szCs w:val="24"/>
              </w:rPr>
            </w:pPr>
          </w:p>
        </w:tc>
        <w:tc>
          <w:tcPr>
            <w:tcW w:w="1756" w:type="dxa"/>
            <w:noWrap w:val="0"/>
            <w:vAlign w:val="center"/>
          </w:tcPr>
          <w:p w14:paraId="09C3B3D1">
            <w:pPr>
              <w:adjustRightInd w:val="0"/>
              <w:snapToGrid w:val="0"/>
              <w:spacing w:before="50" w:line="360" w:lineRule="auto"/>
              <w:ind w:left="-88" w:leftChars="-42"/>
              <w:jc w:val="center"/>
              <w:rPr>
                <w:rFonts w:hint="eastAsia" w:ascii="宋体" w:hAnsi="宋体" w:eastAsia="宋体" w:cs="宋体"/>
                <w:sz w:val="24"/>
                <w:szCs w:val="24"/>
              </w:rPr>
            </w:pPr>
          </w:p>
        </w:tc>
      </w:tr>
      <w:tr w14:paraId="742F11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0BD1B33D">
            <w:pPr>
              <w:adjustRightInd w:val="0"/>
              <w:snapToGrid w:val="0"/>
              <w:spacing w:before="50" w:line="360" w:lineRule="auto"/>
              <w:ind w:left="-88" w:leftChars="-42"/>
              <w:jc w:val="center"/>
              <w:rPr>
                <w:rFonts w:hint="eastAsia" w:ascii="宋体" w:hAnsi="宋体" w:eastAsia="宋体" w:cs="宋体"/>
                <w:sz w:val="24"/>
                <w:szCs w:val="24"/>
              </w:rPr>
            </w:pPr>
          </w:p>
        </w:tc>
        <w:tc>
          <w:tcPr>
            <w:tcW w:w="2410" w:type="dxa"/>
            <w:noWrap w:val="0"/>
            <w:vAlign w:val="center"/>
          </w:tcPr>
          <w:p w14:paraId="65F57019">
            <w:pPr>
              <w:adjustRightInd w:val="0"/>
              <w:snapToGrid w:val="0"/>
              <w:spacing w:before="50" w:line="360" w:lineRule="auto"/>
              <w:ind w:left="-88" w:leftChars="-42"/>
              <w:jc w:val="center"/>
              <w:rPr>
                <w:rFonts w:hint="eastAsia" w:ascii="宋体" w:hAnsi="宋体" w:eastAsia="宋体" w:cs="宋体"/>
                <w:sz w:val="24"/>
                <w:szCs w:val="24"/>
              </w:rPr>
            </w:pPr>
          </w:p>
        </w:tc>
        <w:tc>
          <w:tcPr>
            <w:tcW w:w="1985" w:type="dxa"/>
            <w:tcBorders>
              <w:right w:val="single" w:color="auto" w:sz="4" w:space="0"/>
            </w:tcBorders>
            <w:noWrap w:val="0"/>
            <w:vAlign w:val="center"/>
          </w:tcPr>
          <w:p w14:paraId="2C98FFA3">
            <w:pPr>
              <w:adjustRightInd w:val="0"/>
              <w:snapToGrid w:val="0"/>
              <w:spacing w:before="50" w:line="360" w:lineRule="auto"/>
              <w:ind w:left="-88" w:leftChars="-42"/>
              <w:jc w:val="center"/>
              <w:rPr>
                <w:rFonts w:hint="eastAsia" w:ascii="宋体" w:hAnsi="宋体" w:eastAsia="宋体" w:cs="宋体"/>
                <w:sz w:val="24"/>
                <w:szCs w:val="24"/>
              </w:rPr>
            </w:pPr>
          </w:p>
        </w:tc>
        <w:tc>
          <w:tcPr>
            <w:tcW w:w="2126" w:type="dxa"/>
            <w:tcBorders>
              <w:left w:val="single" w:color="auto" w:sz="4" w:space="0"/>
            </w:tcBorders>
            <w:noWrap w:val="0"/>
            <w:vAlign w:val="center"/>
          </w:tcPr>
          <w:p w14:paraId="691E939A">
            <w:pPr>
              <w:adjustRightInd w:val="0"/>
              <w:snapToGrid w:val="0"/>
              <w:spacing w:before="50" w:line="360" w:lineRule="auto"/>
              <w:ind w:left="-88" w:leftChars="-42"/>
              <w:jc w:val="center"/>
              <w:rPr>
                <w:rFonts w:hint="eastAsia" w:ascii="宋体" w:hAnsi="宋体" w:eastAsia="宋体" w:cs="宋体"/>
                <w:sz w:val="24"/>
                <w:szCs w:val="24"/>
              </w:rPr>
            </w:pPr>
          </w:p>
        </w:tc>
        <w:tc>
          <w:tcPr>
            <w:tcW w:w="1756" w:type="dxa"/>
            <w:noWrap w:val="0"/>
            <w:vAlign w:val="center"/>
          </w:tcPr>
          <w:p w14:paraId="01129606">
            <w:pPr>
              <w:adjustRightInd w:val="0"/>
              <w:snapToGrid w:val="0"/>
              <w:spacing w:before="50" w:line="360" w:lineRule="auto"/>
              <w:ind w:left="-88" w:leftChars="-42"/>
              <w:jc w:val="center"/>
              <w:rPr>
                <w:rFonts w:hint="eastAsia" w:ascii="宋体" w:hAnsi="宋体" w:eastAsia="宋体" w:cs="宋体"/>
                <w:sz w:val="24"/>
                <w:szCs w:val="24"/>
              </w:rPr>
            </w:pPr>
          </w:p>
        </w:tc>
      </w:tr>
      <w:tr w14:paraId="5AF9EA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485C0EAA">
            <w:pPr>
              <w:adjustRightInd w:val="0"/>
              <w:snapToGrid w:val="0"/>
              <w:spacing w:before="50" w:line="360" w:lineRule="auto"/>
              <w:ind w:left="-88" w:leftChars="-42"/>
              <w:jc w:val="center"/>
              <w:rPr>
                <w:rFonts w:hint="eastAsia" w:ascii="宋体" w:hAnsi="宋体" w:eastAsia="宋体" w:cs="宋体"/>
                <w:sz w:val="24"/>
                <w:szCs w:val="24"/>
              </w:rPr>
            </w:pPr>
          </w:p>
        </w:tc>
        <w:tc>
          <w:tcPr>
            <w:tcW w:w="2410" w:type="dxa"/>
            <w:noWrap w:val="0"/>
            <w:vAlign w:val="center"/>
          </w:tcPr>
          <w:p w14:paraId="7B1E3BDA">
            <w:pPr>
              <w:adjustRightInd w:val="0"/>
              <w:snapToGrid w:val="0"/>
              <w:spacing w:before="50" w:line="360" w:lineRule="auto"/>
              <w:ind w:left="-88" w:leftChars="-42"/>
              <w:jc w:val="center"/>
              <w:rPr>
                <w:rFonts w:hint="eastAsia" w:ascii="宋体" w:hAnsi="宋体" w:eastAsia="宋体" w:cs="宋体"/>
                <w:sz w:val="24"/>
                <w:szCs w:val="24"/>
              </w:rPr>
            </w:pPr>
          </w:p>
        </w:tc>
        <w:tc>
          <w:tcPr>
            <w:tcW w:w="1985" w:type="dxa"/>
            <w:tcBorders>
              <w:right w:val="single" w:color="auto" w:sz="4" w:space="0"/>
            </w:tcBorders>
            <w:noWrap w:val="0"/>
            <w:vAlign w:val="center"/>
          </w:tcPr>
          <w:p w14:paraId="52D48401">
            <w:pPr>
              <w:adjustRightInd w:val="0"/>
              <w:snapToGrid w:val="0"/>
              <w:spacing w:before="50" w:line="360" w:lineRule="auto"/>
              <w:ind w:left="-88" w:leftChars="-42"/>
              <w:jc w:val="center"/>
              <w:rPr>
                <w:rFonts w:hint="eastAsia" w:ascii="宋体" w:hAnsi="宋体" w:eastAsia="宋体" w:cs="宋体"/>
                <w:sz w:val="24"/>
                <w:szCs w:val="24"/>
              </w:rPr>
            </w:pPr>
          </w:p>
        </w:tc>
        <w:tc>
          <w:tcPr>
            <w:tcW w:w="2126" w:type="dxa"/>
            <w:tcBorders>
              <w:left w:val="single" w:color="auto" w:sz="4" w:space="0"/>
            </w:tcBorders>
            <w:noWrap w:val="0"/>
            <w:vAlign w:val="center"/>
          </w:tcPr>
          <w:p w14:paraId="026C342E">
            <w:pPr>
              <w:adjustRightInd w:val="0"/>
              <w:snapToGrid w:val="0"/>
              <w:spacing w:before="50" w:line="360" w:lineRule="auto"/>
              <w:ind w:left="-88" w:leftChars="-42"/>
              <w:jc w:val="center"/>
              <w:rPr>
                <w:rFonts w:hint="eastAsia" w:ascii="宋体" w:hAnsi="宋体" w:eastAsia="宋体" w:cs="宋体"/>
                <w:sz w:val="24"/>
                <w:szCs w:val="24"/>
              </w:rPr>
            </w:pPr>
          </w:p>
        </w:tc>
        <w:tc>
          <w:tcPr>
            <w:tcW w:w="1756" w:type="dxa"/>
            <w:noWrap w:val="0"/>
            <w:vAlign w:val="center"/>
          </w:tcPr>
          <w:p w14:paraId="2FAD329A">
            <w:pPr>
              <w:adjustRightInd w:val="0"/>
              <w:snapToGrid w:val="0"/>
              <w:spacing w:before="50" w:line="360" w:lineRule="auto"/>
              <w:ind w:left="-88" w:leftChars="-42"/>
              <w:jc w:val="center"/>
              <w:rPr>
                <w:rFonts w:hint="eastAsia" w:ascii="宋体" w:hAnsi="宋体" w:eastAsia="宋体" w:cs="宋体"/>
                <w:sz w:val="24"/>
                <w:szCs w:val="24"/>
              </w:rPr>
            </w:pPr>
          </w:p>
        </w:tc>
      </w:tr>
      <w:tr w14:paraId="5B9F58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014" w:type="dxa"/>
            <w:gridSpan w:val="5"/>
            <w:noWrap w:val="0"/>
            <w:vAlign w:val="center"/>
          </w:tcPr>
          <w:p w14:paraId="6B8CD7F1">
            <w:pPr>
              <w:adjustRightInd w:val="0"/>
              <w:snapToGrid w:val="0"/>
              <w:spacing w:before="50" w:line="360" w:lineRule="auto"/>
              <w:ind w:firstLine="482" w:firstLineChars="200"/>
              <w:rPr>
                <w:rFonts w:hint="eastAsia" w:ascii="宋体" w:hAnsi="宋体" w:eastAsia="宋体" w:cs="宋体"/>
                <w:sz w:val="24"/>
                <w:szCs w:val="24"/>
              </w:rPr>
            </w:pPr>
            <w:r>
              <w:rPr>
                <w:rFonts w:hint="eastAsia" w:ascii="宋体" w:hAnsi="宋体" w:eastAsia="宋体" w:cs="宋体"/>
                <w:b/>
                <w:sz w:val="24"/>
                <w:szCs w:val="24"/>
              </w:rPr>
              <w:t>投标人保证：除本采购需求偏离表列出的偏离外，我单位对招标文件的其他采购需求条款完全响应，无偏离。</w:t>
            </w:r>
          </w:p>
        </w:tc>
      </w:tr>
    </w:tbl>
    <w:p w14:paraId="2F95E1D6">
      <w:pPr>
        <w:adjustRightInd w:val="0"/>
        <w:snapToGrid w:val="0"/>
        <w:spacing w:before="50" w:line="360" w:lineRule="auto"/>
        <w:ind w:left="-88" w:leftChars="-42"/>
        <w:rPr>
          <w:rFonts w:hint="eastAsia" w:ascii="宋体" w:hAnsi="宋体" w:eastAsia="宋体" w:cs="宋体"/>
          <w:szCs w:val="21"/>
        </w:rPr>
      </w:pPr>
      <w:r>
        <w:rPr>
          <w:rFonts w:hint="eastAsia" w:ascii="宋体" w:hAnsi="宋体" w:eastAsia="宋体" w:cs="宋体"/>
          <w:b/>
          <w:szCs w:val="21"/>
        </w:rPr>
        <w:t>备注</w:t>
      </w:r>
      <w:r>
        <w:rPr>
          <w:rFonts w:hint="eastAsia" w:ascii="宋体" w:hAnsi="宋体" w:eastAsia="宋体" w:cs="宋体"/>
          <w:szCs w:val="21"/>
        </w:rPr>
        <w:t>：（1）投标人应根据招标文件第五章“采购需求”填写本表；</w:t>
      </w:r>
    </w:p>
    <w:p w14:paraId="7C20FD8B">
      <w:pPr>
        <w:adjustRightInd w:val="0"/>
        <w:snapToGrid w:val="0"/>
        <w:spacing w:before="50" w:line="360" w:lineRule="auto"/>
        <w:ind w:left="-88" w:leftChars="-42" w:firstLine="630" w:firstLineChars="300"/>
        <w:rPr>
          <w:rFonts w:hint="eastAsia" w:ascii="宋体" w:hAnsi="宋体" w:eastAsia="宋体" w:cs="宋体"/>
          <w:b/>
          <w:color w:val="FF0000"/>
          <w:szCs w:val="21"/>
        </w:rPr>
      </w:pPr>
      <w:r>
        <w:rPr>
          <w:rFonts w:hint="eastAsia" w:ascii="宋体" w:hAnsi="宋体" w:eastAsia="宋体" w:cs="宋体"/>
          <w:szCs w:val="21"/>
        </w:rPr>
        <w:t>（2）</w:t>
      </w:r>
      <w:r>
        <w:rPr>
          <w:rFonts w:hint="eastAsia" w:ascii="宋体" w:hAnsi="宋体" w:eastAsia="宋体" w:cs="宋体"/>
          <w:b/>
          <w:szCs w:val="21"/>
        </w:rPr>
        <w:t>投标人如果对招标文件第五章“采购需求”的响应有偏离，应将偏离条款逐条如实应答，并作出说明；</w:t>
      </w:r>
    </w:p>
    <w:p w14:paraId="50020F0A">
      <w:pPr>
        <w:adjustRightInd w:val="0"/>
        <w:snapToGrid w:val="0"/>
        <w:spacing w:before="50" w:line="360" w:lineRule="auto"/>
        <w:ind w:left="-88" w:leftChars="-42" w:firstLine="630" w:firstLineChars="300"/>
        <w:rPr>
          <w:rFonts w:hint="eastAsia" w:ascii="宋体" w:hAnsi="宋体" w:eastAsia="宋体" w:cs="宋体"/>
          <w:szCs w:val="21"/>
        </w:rPr>
      </w:pPr>
      <w:r>
        <w:rPr>
          <w:rFonts w:hint="eastAsia" w:ascii="宋体" w:hAnsi="宋体" w:eastAsia="宋体" w:cs="宋体"/>
          <w:szCs w:val="21"/>
        </w:rPr>
        <w:t>（3）如不提供此表，则视为投标人不满足招标文件第五章的所有条款要求，其</w:t>
      </w:r>
      <w:r>
        <w:rPr>
          <w:rFonts w:hint="eastAsia" w:ascii="宋体" w:hAnsi="宋体" w:eastAsia="宋体" w:cs="宋体"/>
          <w:b/>
          <w:szCs w:val="21"/>
        </w:rPr>
        <w:t>投标无效</w:t>
      </w:r>
      <w:r>
        <w:rPr>
          <w:rFonts w:hint="eastAsia" w:ascii="宋体" w:hAnsi="宋体" w:eastAsia="宋体" w:cs="宋体"/>
          <w:szCs w:val="21"/>
        </w:rPr>
        <w:t>。</w:t>
      </w:r>
    </w:p>
    <w:p w14:paraId="2843BAAD">
      <w:pPr>
        <w:adjustRightInd w:val="0"/>
        <w:snapToGrid w:val="0"/>
        <w:spacing w:before="50" w:line="360" w:lineRule="auto"/>
        <w:ind w:left="-88" w:leftChars="-42" w:firstLine="630" w:firstLineChars="300"/>
        <w:rPr>
          <w:rFonts w:hint="eastAsia" w:ascii="宋体" w:hAnsi="宋体" w:eastAsia="宋体" w:cs="宋体"/>
          <w:szCs w:val="21"/>
        </w:rPr>
      </w:pPr>
      <w:r>
        <w:rPr>
          <w:rFonts w:hint="eastAsia" w:ascii="宋体" w:hAnsi="宋体" w:eastAsia="宋体" w:cs="宋体"/>
          <w:szCs w:val="21"/>
        </w:rPr>
        <w:t>（4）在采购人与中标人签订合同时，如中标人未在投标文件“采购需求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5AA9604D">
      <w:pPr>
        <w:adjustRightInd w:val="0"/>
        <w:snapToGrid w:val="0"/>
        <w:spacing w:before="50" w:line="360" w:lineRule="auto"/>
        <w:ind w:left="-88" w:leftChars="-42" w:firstLine="630" w:firstLineChars="300"/>
        <w:rPr>
          <w:rFonts w:hint="eastAsia" w:ascii="宋体" w:hAnsi="宋体" w:eastAsia="宋体" w:cs="宋体"/>
          <w:color w:val="FF0000"/>
          <w:szCs w:val="21"/>
        </w:rPr>
      </w:pPr>
      <w:r>
        <w:rPr>
          <w:rFonts w:hint="eastAsia" w:ascii="宋体" w:hAnsi="宋体" w:eastAsia="宋体" w:cs="宋体"/>
          <w:szCs w:val="21"/>
        </w:rPr>
        <w:t>（5）本表偏离表与本章第七节“采购需求响应”不一致时，以“采购需求响应”为准。</w:t>
      </w:r>
    </w:p>
    <w:p w14:paraId="30E42AA0">
      <w:pPr>
        <w:adjustRightInd w:val="0"/>
        <w:snapToGrid w:val="0"/>
        <w:spacing w:before="50" w:line="360" w:lineRule="auto"/>
        <w:rPr>
          <w:rFonts w:hint="eastAsia" w:ascii="宋体" w:hAnsi="宋体" w:eastAsia="宋体" w:cs="宋体"/>
          <w:szCs w:val="21"/>
        </w:rPr>
      </w:pPr>
    </w:p>
    <w:p w14:paraId="3F0C1DE9">
      <w:pPr>
        <w:adjustRightInd w:val="0"/>
        <w:snapToGrid w:val="0"/>
        <w:spacing w:before="50" w:line="360" w:lineRule="auto"/>
        <w:rPr>
          <w:rFonts w:hint="eastAsia" w:ascii="宋体" w:hAnsi="宋体" w:eastAsia="宋体" w:cs="宋体"/>
          <w:szCs w:val="21"/>
        </w:rPr>
      </w:pPr>
    </w:p>
    <w:p w14:paraId="2951432E">
      <w:pPr>
        <w:adjustRightInd w:val="0"/>
        <w:snapToGrid w:val="0"/>
        <w:spacing w:before="50" w:line="360" w:lineRule="auto"/>
        <w:jc w:val="left"/>
        <w:rPr>
          <w:rFonts w:hint="eastAsia" w:ascii="宋体" w:hAnsi="宋体" w:eastAsia="宋体" w:cs="宋体"/>
          <w:sz w:val="24"/>
          <w:szCs w:val="24"/>
        </w:rPr>
      </w:pPr>
      <w:bookmarkStart w:id="185" w:name="_Toc32066"/>
      <w:bookmarkStart w:id="186" w:name="_Toc21478"/>
      <w:bookmarkStart w:id="187" w:name="_Toc32763"/>
      <w:bookmarkStart w:id="188" w:name="_Toc29913969"/>
      <w:r>
        <w:rPr>
          <w:rFonts w:hint="eastAsia" w:ascii="宋体" w:hAnsi="宋体" w:eastAsia="宋体" w:cs="宋体"/>
          <w:sz w:val="24"/>
          <w:szCs w:val="24"/>
        </w:rPr>
        <w:t>投标人名称（盖单位电子章）：</w:t>
      </w:r>
    </w:p>
    <w:p w14:paraId="46EDFC0D">
      <w:pPr>
        <w:adjustRightInd w:val="0"/>
        <w:snapToGrid w:val="0"/>
        <w:spacing w:before="50" w:line="360" w:lineRule="auto"/>
        <w:jc w:val="left"/>
        <w:rPr>
          <w:rFonts w:hint="eastAsia" w:ascii="宋体" w:hAnsi="宋体" w:eastAsia="宋体" w:cs="宋体"/>
          <w:sz w:val="24"/>
          <w:szCs w:val="24"/>
        </w:rPr>
      </w:pPr>
      <w:r>
        <w:rPr>
          <w:rFonts w:hint="eastAsia" w:ascii="宋体" w:hAnsi="宋体" w:eastAsia="宋体" w:cs="宋体"/>
          <w:spacing w:val="-2"/>
          <w:kern w:val="0"/>
          <w:sz w:val="24"/>
          <w:szCs w:val="24"/>
        </w:rPr>
        <w:t>法</w:t>
      </w:r>
      <w:r>
        <w:rPr>
          <w:rFonts w:hint="eastAsia" w:ascii="宋体" w:hAnsi="宋体" w:eastAsia="宋体" w:cs="宋体"/>
          <w:kern w:val="0"/>
          <w:sz w:val="24"/>
          <w:szCs w:val="24"/>
        </w:rPr>
        <w:t>定</w:t>
      </w:r>
      <w:r>
        <w:rPr>
          <w:rFonts w:hint="eastAsia" w:ascii="宋体" w:hAnsi="宋体" w:eastAsia="宋体" w:cs="宋体"/>
          <w:spacing w:val="-2"/>
          <w:kern w:val="0"/>
          <w:sz w:val="24"/>
          <w:szCs w:val="24"/>
        </w:rPr>
        <w:t>代</w:t>
      </w:r>
      <w:r>
        <w:rPr>
          <w:rFonts w:hint="eastAsia" w:ascii="宋体" w:hAnsi="宋体" w:eastAsia="宋体" w:cs="宋体"/>
          <w:kern w:val="0"/>
          <w:sz w:val="24"/>
          <w:szCs w:val="24"/>
        </w:rPr>
        <w:t>表</w:t>
      </w:r>
      <w:r>
        <w:rPr>
          <w:rFonts w:hint="eastAsia" w:ascii="宋体" w:hAnsi="宋体" w:eastAsia="宋体" w:cs="宋体"/>
          <w:spacing w:val="-2"/>
          <w:kern w:val="0"/>
          <w:sz w:val="24"/>
          <w:szCs w:val="24"/>
        </w:rPr>
        <w:t>人</w:t>
      </w:r>
      <w:r>
        <w:rPr>
          <w:rFonts w:hint="eastAsia" w:ascii="宋体" w:hAnsi="宋体" w:eastAsia="宋体" w:cs="宋体"/>
          <w:kern w:val="0"/>
          <w:sz w:val="24"/>
          <w:szCs w:val="24"/>
        </w:rPr>
        <w:t>（</w:t>
      </w:r>
      <w:r>
        <w:rPr>
          <w:rFonts w:hint="eastAsia" w:ascii="宋体" w:hAnsi="宋体" w:eastAsia="宋体" w:cs="宋体"/>
          <w:spacing w:val="-2"/>
          <w:kern w:val="0"/>
          <w:sz w:val="24"/>
          <w:szCs w:val="24"/>
        </w:rPr>
        <w:t>单</w:t>
      </w:r>
      <w:r>
        <w:rPr>
          <w:rFonts w:hint="eastAsia" w:ascii="宋体" w:hAnsi="宋体" w:eastAsia="宋体" w:cs="宋体"/>
          <w:kern w:val="0"/>
          <w:sz w:val="24"/>
          <w:szCs w:val="24"/>
        </w:rPr>
        <w:t>位</w:t>
      </w:r>
      <w:r>
        <w:rPr>
          <w:rFonts w:hint="eastAsia" w:ascii="宋体" w:hAnsi="宋体" w:eastAsia="宋体" w:cs="宋体"/>
          <w:spacing w:val="-2"/>
          <w:kern w:val="0"/>
          <w:sz w:val="24"/>
          <w:szCs w:val="24"/>
        </w:rPr>
        <w:t>负</w:t>
      </w:r>
      <w:r>
        <w:rPr>
          <w:rFonts w:hint="eastAsia" w:ascii="宋体" w:hAnsi="宋体" w:eastAsia="宋体" w:cs="宋体"/>
          <w:kern w:val="0"/>
          <w:sz w:val="24"/>
          <w:szCs w:val="24"/>
        </w:rPr>
        <w:t>责人</w:t>
      </w:r>
      <w:r>
        <w:rPr>
          <w:rFonts w:hint="eastAsia" w:ascii="宋体" w:hAnsi="宋体" w:eastAsia="宋体" w:cs="宋体"/>
          <w:spacing w:val="-2"/>
          <w:kern w:val="0"/>
          <w:sz w:val="24"/>
          <w:szCs w:val="24"/>
        </w:rPr>
        <w:t>）</w:t>
      </w:r>
      <w:r>
        <w:rPr>
          <w:rFonts w:hint="eastAsia" w:ascii="宋体" w:hAnsi="宋体" w:eastAsia="宋体" w:cs="宋体"/>
          <w:sz w:val="24"/>
          <w:szCs w:val="24"/>
        </w:rPr>
        <w:t>或其授权的代理人（签字或签章）：</w:t>
      </w:r>
      <w:r>
        <w:rPr>
          <w:rFonts w:hint="eastAsia" w:ascii="宋体" w:hAnsi="宋体" w:eastAsia="宋体" w:cs="宋体"/>
          <w:sz w:val="24"/>
          <w:szCs w:val="24"/>
          <w:u w:val="single"/>
        </w:rPr>
        <w:t xml:space="preserve">                     </w:t>
      </w:r>
    </w:p>
    <w:p w14:paraId="44D1C71F">
      <w:pPr>
        <w:spacing w:line="360" w:lineRule="auto"/>
        <w:jc w:val="left"/>
        <w:rPr>
          <w:rFonts w:hint="eastAsia" w:ascii="宋体" w:hAnsi="宋体" w:eastAsia="宋体" w:cs="宋体"/>
          <w:sz w:val="24"/>
          <w:szCs w:val="24"/>
        </w:rPr>
      </w:pPr>
      <w:r>
        <w:rPr>
          <w:rFonts w:hint="eastAsia" w:ascii="宋体" w:hAnsi="宋体" w:eastAsia="宋体" w:cs="宋体"/>
          <w:sz w:val="24"/>
          <w:szCs w:val="24"/>
        </w:rPr>
        <w:t>日       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00C1E3BE">
      <w:pPr>
        <w:rPr>
          <w:rFonts w:hint="eastAsia" w:ascii="宋体" w:hAnsi="宋体" w:eastAsia="宋体" w:cs="宋体"/>
          <w:b/>
          <w:bCs/>
          <w:sz w:val="32"/>
          <w:szCs w:val="21"/>
        </w:rPr>
      </w:pPr>
      <w:r>
        <w:rPr>
          <w:rFonts w:hint="eastAsia" w:ascii="宋体" w:hAnsi="宋体" w:eastAsia="宋体" w:cs="宋体"/>
          <w:b/>
          <w:bCs/>
          <w:sz w:val="32"/>
          <w:szCs w:val="21"/>
        </w:rPr>
        <w:br w:type="page"/>
      </w:r>
    </w:p>
    <w:p w14:paraId="2066A3B5">
      <w:pPr>
        <w:keepNext/>
        <w:keepLines/>
        <w:widowControl w:val="0"/>
        <w:bidi w:val="0"/>
        <w:spacing w:before="340" w:beforeLines="0" w:beforeAutospacing="0" w:after="330" w:afterLines="0" w:afterAutospacing="0" w:line="576" w:lineRule="auto"/>
        <w:jc w:val="center"/>
        <w:outlineLvl w:val="0"/>
        <w:rPr>
          <w:rFonts w:hint="eastAsia" w:ascii="宋体" w:hAnsi="宋体" w:eastAsia="宋体" w:cs="宋体"/>
          <w:b/>
          <w:bCs/>
          <w:kern w:val="44"/>
          <w:sz w:val="32"/>
          <w:szCs w:val="32"/>
          <w:lang w:val="en-US" w:eastAsia="zh-CN" w:bidi="ar-SA"/>
        </w:rPr>
      </w:pPr>
      <w:bookmarkStart w:id="189" w:name="_Toc7526"/>
      <w:r>
        <w:rPr>
          <w:rFonts w:hint="eastAsia" w:ascii="宋体" w:hAnsi="宋体" w:eastAsia="宋体" w:cs="宋体"/>
          <w:b/>
          <w:bCs/>
          <w:kern w:val="44"/>
          <w:sz w:val="32"/>
          <w:szCs w:val="32"/>
          <w:lang w:val="en-US" w:eastAsia="zh-CN" w:bidi="ar-SA"/>
        </w:rPr>
        <w:t>十、享受政府采购政策优惠的证明资料</w:t>
      </w:r>
      <w:bookmarkEnd w:id="185"/>
      <w:bookmarkEnd w:id="186"/>
      <w:bookmarkEnd w:id="187"/>
      <w:bookmarkEnd w:id="188"/>
      <w:bookmarkEnd w:id="189"/>
    </w:p>
    <w:p w14:paraId="5C847E20">
      <w:pPr>
        <w:adjustRightInd w:val="0"/>
        <w:snapToGrid w:val="0"/>
        <w:spacing w:line="360" w:lineRule="auto"/>
        <w:rPr>
          <w:rFonts w:hint="eastAsia" w:ascii="宋体" w:hAnsi="宋体" w:eastAsia="宋体" w:cs="宋体"/>
          <w:bCs/>
          <w:spacing w:val="6"/>
          <w:kern w:val="0"/>
          <w:sz w:val="28"/>
          <w:szCs w:val="28"/>
        </w:rPr>
      </w:pPr>
      <w:r>
        <w:rPr>
          <w:rFonts w:hint="eastAsia" w:ascii="宋体" w:hAnsi="宋体" w:eastAsia="宋体" w:cs="宋体"/>
          <w:bCs/>
          <w:spacing w:val="6"/>
          <w:kern w:val="0"/>
          <w:sz w:val="28"/>
          <w:szCs w:val="28"/>
        </w:rPr>
        <w:t>投标人符合第二章第33.6款要求的，应提供下列证明资料，并填写相关数据。否则，评审时不予以考虑。</w:t>
      </w:r>
    </w:p>
    <w:p w14:paraId="27C78167">
      <w:pPr>
        <w:keepNext/>
        <w:keepLines/>
        <w:widowControl w:val="0"/>
        <w:bidi w:val="0"/>
        <w:spacing w:before="0" w:beforeLines="0" w:beforeAutospacing="0" w:after="0" w:afterLines="0" w:afterAutospacing="0" w:line="240" w:lineRule="auto"/>
        <w:jc w:val="left"/>
        <w:outlineLvl w:val="1"/>
        <w:rPr>
          <w:rFonts w:hint="eastAsia" w:ascii="宋体" w:hAnsi="宋体" w:eastAsia="宋体" w:cs="宋体"/>
          <w:b/>
          <w:kern w:val="2"/>
          <w:sz w:val="30"/>
          <w:szCs w:val="30"/>
          <w:lang w:val="en-US" w:eastAsia="zh-CN" w:bidi="ar-SA"/>
        </w:rPr>
      </w:pPr>
      <w:bookmarkStart w:id="190" w:name="_Toc14152"/>
      <w:bookmarkStart w:id="191" w:name="_Toc29443"/>
      <w:bookmarkStart w:id="192" w:name="_Toc22100"/>
      <w:bookmarkStart w:id="193" w:name="_Toc29913970"/>
      <w:bookmarkStart w:id="194" w:name="_Toc12144"/>
      <w:r>
        <w:rPr>
          <w:rFonts w:hint="eastAsia" w:ascii="宋体" w:hAnsi="宋体" w:eastAsia="宋体" w:cs="宋体"/>
          <w:b/>
          <w:kern w:val="2"/>
          <w:sz w:val="30"/>
          <w:szCs w:val="30"/>
          <w:lang w:val="en-US" w:eastAsia="zh-CN" w:bidi="ar-SA"/>
        </w:rPr>
        <w:t>附件10-1</w:t>
      </w:r>
      <w:bookmarkEnd w:id="190"/>
      <w:bookmarkEnd w:id="191"/>
      <w:bookmarkEnd w:id="192"/>
      <w:bookmarkEnd w:id="193"/>
      <w:r>
        <w:rPr>
          <w:rFonts w:hint="eastAsia" w:ascii="宋体" w:hAnsi="宋体" w:eastAsia="宋体" w:cs="宋体"/>
          <w:b/>
          <w:kern w:val="2"/>
          <w:sz w:val="30"/>
          <w:szCs w:val="30"/>
          <w:lang w:val="en-US" w:eastAsia="zh-CN" w:bidi="ar-SA"/>
        </w:rPr>
        <w:t>中小企业声明函</w:t>
      </w:r>
      <w:bookmarkEnd w:id="194"/>
    </w:p>
    <w:p w14:paraId="2A86BB55">
      <w:pPr>
        <w:widowControl/>
        <w:spacing w:before="100" w:beforeAutospacing="1" w:after="100" w:afterAutospacing="1" w:line="435" w:lineRule="atLeast"/>
        <w:jc w:val="center"/>
        <w:rPr>
          <w:rFonts w:hint="eastAsia" w:ascii="宋体" w:hAnsi="宋体" w:eastAsia="宋体" w:cs="宋体"/>
          <w:szCs w:val="24"/>
        </w:rPr>
      </w:pPr>
      <w:r>
        <w:rPr>
          <w:rFonts w:hint="eastAsia" w:ascii="宋体" w:hAnsi="宋体" w:eastAsia="宋体" w:cs="宋体"/>
          <w:b/>
          <w:color w:val="333333"/>
          <w:kern w:val="0"/>
          <w:sz w:val="28"/>
          <w:szCs w:val="28"/>
          <w:lang w:bidi="ar"/>
        </w:rPr>
        <w:t>中小企业声明函（工程、服务）</w:t>
      </w:r>
    </w:p>
    <w:p w14:paraId="3F556F3B">
      <w:pPr>
        <w:widowControl/>
        <w:spacing w:before="100" w:beforeAutospacing="1" w:after="100" w:afterAutospacing="1" w:line="360" w:lineRule="auto"/>
        <w:ind w:firstLine="480" w:firstLineChars="200"/>
        <w:jc w:val="left"/>
        <w:rPr>
          <w:rFonts w:hint="eastAsia" w:ascii="宋体" w:hAnsi="宋体" w:eastAsia="宋体" w:cs="宋体"/>
          <w:sz w:val="24"/>
          <w:szCs w:val="24"/>
        </w:rPr>
      </w:pPr>
      <w:r>
        <w:rPr>
          <w:rFonts w:hint="eastAsia" w:ascii="宋体" w:hAnsi="宋体" w:eastAsia="宋体" w:cs="宋体"/>
          <w:color w:val="333333"/>
          <w:kern w:val="0"/>
          <w:sz w:val="24"/>
          <w:szCs w:val="24"/>
          <w:lang w:bidi="ar"/>
        </w:rPr>
        <w:t>本公司（联合体）郑重声明，根据《政府采购促进中小企业发展管理办法》（财库﹝2020﹞46 号）的规定，本公司（联合体）参加</w:t>
      </w:r>
      <w:r>
        <w:rPr>
          <w:rFonts w:hint="eastAsia" w:ascii="宋体" w:hAnsi="宋体" w:eastAsia="宋体" w:cs="宋体"/>
          <w:color w:val="333333"/>
          <w:kern w:val="0"/>
          <w:sz w:val="24"/>
          <w:szCs w:val="24"/>
          <w:u w:val="single"/>
          <w:lang w:bidi="ar"/>
        </w:rPr>
        <w:t>    （单位名称）</w:t>
      </w:r>
      <w:r>
        <w:rPr>
          <w:rFonts w:hint="eastAsia" w:ascii="宋体" w:hAnsi="宋体" w:eastAsia="宋体" w:cs="宋体"/>
          <w:color w:val="333333"/>
          <w:kern w:val="0"/>
          <w:sz w:val="24"/>
          <w:szCs w:val="24"/>
          <w:lang w:bidi="ar"/>
        </w:rPr>
        <w:t>的</w:t>
      </w:r>
      <w:r>
        <w:rPr>
          <w:rFonts w:hint="eastAsia" w:ascii="宋体" w:hAnsi="宋体" w:eastAsia="宋体" w:cs="宋体"/>
          <w:color w:val="333333"/>
          <w:kern w:val="0"/>
          <w:sz w:val="24"/>
          <w:szCs w:val="24"/>
          <w:u w:val="single"/>
          <w:lang w:bidi="ar"/>
        </w:rPr>
        <w:t>（项目名称）</w:t>
      </w:r>
      <w:r>
        <w:rPr>
          <w:rFonts w:hint="eastAsia" w:ascii="宋体" w:hAnsi="宋体" w:eastAsia="宋体" w:cs="宋体"/>
          <w:color w:val="333333"/>
          <w:kern w:val="0"/>
          <w:sz w:val="24"/>
          <w:szCs w:val="24"/>
          <w:lang w:bidi="ar"/>
        </w:rPr>
        <w:t>采购活动，工程的施工单位全部为符合政策要求的中小企业（或者：服务全部由符合政策要求的中小企业承接）。相关企业（含联合体中的中小企业、签订分包意向协议的中小企业）的具体情况如下：</w:t>
      </w:r>
    </w:p>
    <w:p w14:paraId="6F00D48E">
      <w:pPr>
        <w:widowControl/>
        <w:spacing w:before="100" w:beforeAutospacing="1" w:after="100" w:afterAutospacing="1" w:line="360" w:lineRule="auto"/>
        <w:ind w:firstLine="482"/>
        <w:jc w:val="left"/>
        <w:rPr>
          <w:rFonts w:hint="eastAsia" w:ascii="宋体" w:hAnsi="宋体" w:eastAsia="宋体" w:cs="宋体"/>
          <w:sz w:val="24"/>
          <w:szCs w:val="24"/>
        </w:rPr>
      </w:pPr>
      <w:r>
        <w:rPr>
          <w:rFonts w:hint="eastAsia" w:ascii="宋体" w:hAnsi="宋体" w:eastAsia="宋体" w:cs="宋体"/>
          <w:color w:val="333333"/>
          <w:kern w:val="0"/>
          <w:sz w:val="24"/>
          <w:szCs w:val="24"/>
          <w:u w:val="single"/>
          <w:lang w:bidi="ar"/>
        </w:rPr>
        <w:t>1.   （标的名称）</w:t>
      </w:r>
      <w:r>
        <w:rPr>
          <w:rFonts w:hint="eastAsia" w:ascii="宋体" w:hAnsi="宋体" w:eastAsia="宋体" w:cs="宋体"/>
          <w:color w:val="333333"/>
          <w:kern w:val="0"/>
          <w:sz w:val="24"/>
          <w:szCs w:val="24"/>
          <w:lang w:bidi="ar"/>
        </w:rPr>
        <w:t>，属于</w:t>
      </w:r>
      <w:r>
        <w:rPr>
          <w:rFonts w:hint="eastAsia" w:ascii="宋体" w:hAnsi="宋体" w:eastAsia="宋体" w:cs="宋体"/>
          <w:color w:val="333333"/>
          <w:kern w:val="0"/>
          <w:sz w:val="24"/>
          <w:szCs w:val="24"/>
          <w:u w:val="single"/>
          <w:lang w:bidi="ar"/>
        </w:rPr>
        <w:t>    （采购文件中明确的所属行业）</w:t>
      </w:r>
      <w:r>
        <w:rPr>
          <w:rFonts w:hint="eastAsia" w:ascii="宋体" w:hAnsi="宋体" w:eastAsia="宋体" w:cs="宋体"/>
          <w:color w:val="333333"/>
          <w:kern w:val="0"/>
          <w:sz w:val="24"/>
          <w:szCs w:val="24"/>
          <w:lang w:bidi="ar"/>
        </w:rPr>
        <w:t>；承建（承接）企业为</w:t>
      </w:r>
      <w:r>
        <w:rPr>
          <w:rFonts w:hint="eastAsia" w:ascii="宋体" w:hAnsi="宋体" w:eastAsia="宋体" w:cs="宋体"/>
          <w:color w:val="333333"/>
          <w:kern w:val="0"/>
          <w:sz w:val="24"/>
          <w:szCs w:val="24"/>
          <w:u w:val="single"/>
          <w:lang w:bidi="ar"/>
        </w:rPr>
        <w:t>    （企业名称）</w:t>
      </w:r>
      <w:r>
        <w:rPr>
          <w:rFonts w:hint="eastAsia" w:ascii="宋体" w:hAnsi="宋体" w:eastAsia="宋体" w:cs="宋体"/>
          <w:color w:val="333333"/>
          <w:kern w:val="0"/>
          <w:sz w:val="24"/>
          <w:szCs w:val="24"/>
          <w:lang w:bidi="ar"/>
        </w:rPr>
        <w:t>，从业人员</w:t>
      </w:r>
      <w:r>
        <w:rPr>
          <w:rFonts w:hint="eastAsia" w:ascii="宋体" w:hAnsi="宋体" w:eastAsia="宋体" w:cs="宋体"/>
          <w:color w:val="333333"/>
          <w:kern w:val="0"/>
          <w:sz w:val="24"/>
          <w:szCs w:val="24"/>
          <w:u w:val="single"/>
          <w:lang w:bidi="ar"/>
        </w:rPr>
        <w:t>    </w:t>
      </w:r>
      <w:r>
        <w:rPr>
          <w:rFonts w:hint="eastAsia" w:ascii="宋体" w:hAnsi="宋体" w:eastAsia="宋体" w:cs="宋体"/>
          <w:color w:val="333333"/>
          <w:kern w:val="0"/>
          <w:sz w:val="24"/>
          <w:szCs w:val="24"/>
          <w:lang w:bidi="ar"/>
        </w:rPr>
        <w:t>人，营业收入为</w:t>
      </w:r>
      <w:r>
        <w:rPr>
          <w:rFonts w:hint="eastAsia" w:ascii="宋体" w:hAnsi="宋体" w:eastAsia="宋体" w:cs="宋体"/>
          <w:color w:val="333333"/>
          <w:kern w:val="0"/>
          <w:sz w:val="24"/>
          <w:szCs w:val="24"/>
          <w:u w:val="single"/>
          <w:lang w:bidi="ar"/>
        </w:rPr>
        <w:t>    </w:t>
      </w:r>
      <w:r>
        <w:rPr>
          <w:rFonts w:hint="eastAsia" w:ascii="宋体" w:hAnsi="宋体" w:eastAsia="宋体" w:cs="宋体"/>
          <w:color w:val="333333"/>
          <w:kern w:val="0"/>
          <w:sz w:val="24"/>
          <w:szCs w:val="24"/>
          <w:lang w:bidi="ar"/>
        </w:rPr>
        <w:t>万元，资产总额为</w:t>
      </w:r>
      <w:r>
        <w:rPr>
          <w:rFonts w:hint="eastAsia" w:ascii="宋体" w:hAnsi="宋体" w:eastAsia="宋体" w:cs="宋体"/>
          <w:color w:val="333333"/>
          <w:kern w:val="0"/>
          <w:sz w:val="24"/>
          <w:szCs w:val="24"/>
          <w:u w:val="single"/>
          <w:lang w:bidi="ar"/>
        </w:rPr>
        <w:t>    </w:t>
      </w:r>
      <w:r>
        <w:rPr>
          <w:rFonts w:hint="eastAsia" w:ascii="宋体" w:hAnsi="宋体" w:eastAsia="宋体" w:cs="宋体"/>
          <w:color w:val="333333"/>
          <w:kern w:val="0"/>
          <w:sz w:val="24"/>
          <w:szCs w:val="24"/>
          <w:lang w:bidi="ar"/>
        </w:rPr>
        <w:t>万元，属于</w:t>
      </w:r>
      <w:r>
        <w:rPr>
          <w:rFonts w:hint="eastAsia" w:ascii="宋体" w:hAnsi="宋体" w:eastAsia="宋体" w:cs="宋体"/>
          <w:color w:val="333333"/>
          <w:kern w:val="0"/>
          <w:sz w:val="24"/>
          <w:szCs w:val="24"/>
          <w:u w:val="single"/>
          <w:lang w:bidi="ar"/>
        </w:rPr>
        <w:t>     （中型企业、小型企业、微型企业）</w:t>
      </w:r>
      <w:r>
        <w:rPr>
          <w:rFonts w:hint="eastAsia" w:ascii="宋体" w:hAnsi="宋体" w:eastAsia="宋体" w:cs="宋体"/>
          <w:color w:val="333333"/>
          <w:kern w:val="0"/>
          <w:sz w:val="24"/>
          <w:szCs w:val="24"/>
          <w:lang w:bidi="ar"/>
        </w:rPr>
        <w:t>；</w:t>
      </w:r>
    </w:p>
    <w:p w14:paraId="27C8507D">
      <w:pPr>
        <w:widowControl/>
        <w:spacing w:before="100" w:beforeAutospacing="1" w:after="100" w:afterAutospacing="1" w:line="360" w:lineRule="auto"/>
        <w:ind w:firstLine="482"/>
        <w:jc w:val="left"/>
        <w:rPr>
          <w:rFonts w:hint="eastAsia" w:ascii="宋体" w:hAnsi="宋体" w:eastAsia="宋体" w:cs="宋体"/>
          <w:sz w:val="24"/>
          <w:szCs w:val="24"/>
        </w:rPr>
      </w:pPr>
      <w:r>
        <w:rPr>
          <w:rFonts w:hint="eastAsia" w:ascii="宋体" w:hAnsi="宋体" w:eastAsia="宋体" w:cs="宋体"/>
          <w:color w:val="333333"/>
          <w:kern w:val="0"/>
          <w:sz w:val="24"/>
          <w:szCs w:val="24"/>
          <w:lang w:bidi="ar"/>
        </w:rPr>
        <w:t>2.</w:t>
      </w:r>
      <w:r>
        <w:rPr>
          <w:rFonts w:hint="eastAsia" w:ascii="宋体" w:hAnsi="宋体" w:eastAsia="宋体" w:cs="宋体"/>
          <w:color w:val="333333"/>
          <w:kern w:val="0"/>
          <w:sz w:val="24"/>
          <w:szCs w:val="24"/>
          <w:u w:val="single"/>
          <w:lang w:bidi="ar"/>
        </w:rPr>
        <w:t>     （标的名称）</w:t>
      </w:r>
      <w:r>
        <w:rPr>
          <w:rFonts w:hint="eastAsia" w:ascii="宋体" w:hAnsi="宋体" w:eastAsia="宋体" w:cs="宋体"/>
          <w:color w:val="333333"/>
          <w:kern w:val="0"/>
          <w:sz w:val="24"/>
          <w:szCs w:val="24"/>
          <w:lang w:bidi="ar"/>
        </w:rPr>
        <w:t>，属于</w:t>
      </w:r>
      <w:r>
        <w:rPr>
          <w:rFonts w:hint="eastAsia" w:ascii="宋体" w:hAnsi="宋体" w:eastAsia="宋体" w:cs="宋体"/>
          <w:color w:val="333333"/>
          <w:kern w:val="0"/>
          <w:sz w:val="24"/>
          <w:szCs w:val="24"/>
          <w:u w:val="single"/>
          <w:lang w:bidi="ar"/>
        </w:rPr>
        <w:t>   （采购文件中明确的所属行业）</w:t>
      </w:r>
      <w:r>
        <w:rPr>
          <w:rFonts w:hint="eastAsia" w:ascii="宋体" w:hAnsi="宋体" w:eastAsia="宋体" w:cs="宋体"/>
          <w:color w:val="333333"/>
          <w:kern w:val="0"/>
          <w:sz w:val="24"/>
          <w:szCs w:val="24"/>
          <w:lang w:bidi="ar"/>
        </w:rPr>
        <w:t>行业；制造商为</w:t>
      </w:r>
      <w:r>
        <w:rPr>
          <w:rFonts w:hint="eastAsia" w:ascii="宋体" w:hAnsi="宋体" w:eastAsia="宋体" w:cs="宋体"/>
          <w:color w:val="333333"/>
          <w:kern w:val="0"/>
          <w:sz w:val="24"/>
          <w:szCs w:val="24"/>
          <w:u w:val="single"/>
          <w:lang w:bidi="ar"/>
        </w:rPr>
        <w:t>       （企业名称）</w:t>
      </w:r>
      <w:r>
        <w:rPr>
          <w:rFonts w:hint="eastAsia" w:ascii="宋体" w:hAnsi="宋体" w:eastAsia="宋体" w:cs="宋体"/>
          <w:color w:val="333333"/>
          <w:kern w:val="0"/>
          <w:sz w:val="24"/>
          <w:szCs w:val="24"/>
          <w:lang w:bidi="ar"/>
        </w:rPr>
        <w:t>，从业人员</w:t>
      </w:r>
      <w:r>
        <w:rPr>
          <w:rFonts w:hint="eastAsia" w:ascii="宋体" w:hAnsi="宋体" w:eastAsia="宋体" w:cs="宋体"/>
          <w:color w:val="333333"/>
          <w:kern w:val="0"/>
          <w:sz w:val="24"/>
          <w:szCs w:val="24"/>
          <w:u w:val="single"/>
          <w:lang w:bidi="ar"/>
        </w:rPr>
        <w:t>    </w:t>
      </w:r>
      <w:r>
        <w:rPr>
          <w:rFonts w:hint="eastAsia" w:ascii="宋体" w:hAnsi="宋体" w:eastAsia="宋体" w:cs="宋体"/>
          <w:color w:val="333333"/>
          <w:kern w:val="0"/>
          <w:sz w:val="24"/>
          <w:szCs w:val="24"/>
          <w:lang w:bidi="ar"/>
        </w:rPr>
        <w:t>人，营业收入为</w:t>
      </w:r>
      <w:r>
        <w:rPr>
          <w:rFonts w:hint="eastAsia" w:ascii="宋体" w:hAnsi="宋体" w:eastAsia="宋体" w:cs="宋体"/>
          <w:color w:val="333333"/>
          <w:kern w:val="0"/>
          <w:sz w:val="24"/>
          <w:szCs w:val="24"/>
          <w:u w:val="single"/>
          <w:lang w:bidi="ar"/>
        </w:rPr>
        <w:t>    </w:t>
      </w:r>
      <w:r>
        <w:rPr>
          <w:rFonts w:hint="eastAsia" w:ascii="宋体" w:hAnsi="宋体" w:eastAsia="宋体" w:cs="宋体"/>
          <w:color w:val="333333"/>
          <w:kern w:val="0"/>
          <w:sz w:val="24"/>
          <w:szCs w:val="24"/>
          <w:lang w:bidi="ar"/>
        </w:rPr>
        <w:t>万元，资产总额为</w:t>
      </w:r>
      <w:r>
        <w:rPr>
          <w:rFonts w:hint="eastAsia" w:ascii="宋体" w:hAnsi="宋体" w:eastAsia="宋体" w:cs="宋体"/>
          <w:color w:val="333333"/>
          <w:kern w:val="0"/>
          <w:sz w:val="24"/>
          <w:szCs w:val="24"/>
          <w:u w:val="single"/>
          <w:lang w:bidi="ar"/>
        </w:rPr>
        <w:t>   </w:t>
      </w:r>
      <w:r>
        <w:rPr>
          <w:rFonts w:hint="eastAsia" w:ascii="宋体" w:hAnsi="宋体" w:eastAsia="宋体" w:cs="宋体"/>
          <w:color w:val="333333"/>
          <w:kern w:val="0"/>
          <w:sz w:val="24"/>
          <w:szCs w:val="24"/>
          <w:lang w:bidi="ar"/>
        </w:rPr>
        <w:t>万元</w:t>
      </w:r>
      <w:r>
        <w:rPr>
          <w:rFonts w:hint="eastAsia" w:ascii="宋体" w:hAnsi="宋体" w:eastAsia="宋体" w:cs="宋体"/>
          <w:color w:val="333333"/>
          <w:kern w:val="0"/>
          <w:sz w:val="24"/>
          <w:szCs w:val="24"/>
          <w:vertAlign w:val="superscript"/>
          <w:lang w:bidi="ar"/>
        </w:rPr>
        <w:t>1</w:t>
      </w:r>
      <w:r>
        <w:rPr>
          <w:rFonts w:hint="eastAsia" w:ascii="宋体" w:hAnsi="宋体" w:eastAsia="宋体" w:cs="宋体"/>
          <w:color w:val="333333"/>
          <w:kern w:val="0"/>
          <w:sz w:val="24"/>
          <w:szCs w:val="24"/>
          <w:lang w:bidi="ar"/>
        </w:rPr>
        <w:t>，属于</w:t>
      </w:r>
      <w:r>
        <w:rPr>
          <w:rFonts w:hint="eastAsia" w:ascii="宋体" w:hAnsi="宋体" w:eastAsia="宋体" w:cs="宋体"/>
          <w:color w:val="333333"/>
          <w:kern w:val="0"/>
          <w:sz w:val="24"/>
          <w:szCs w:val="24"/>
          <w:u w:val="single"/>
          <w:lang w:bidi="ar"/>
        </w:rPr>
        <w:t>     （中型企业、小型企业、微型企业）</w:t>
      </w:r>
      <w:r>
        <w:rPr>
          <w:rFonts w:hint="eastAsia" w:ascii="宋体" w:hAnsi="宋体" w:eastAsia="宋体" w:cs="宋体"/>
          <w:color w:val="333333"/>
          <w:kern w:val="0"/>
          <w:sz w:val="24"/>
          <w:szCs w:val="24"/>
          <w:lang w:bidi="ar"/>
        </w:rPr>
        <w:t>；</w:t>
      </w:r>
    </w:p>
    <w:p w14:paraId="073612EA">
      <w:pPr>
        <w:widowControl/>
        <w:spacing w:beforeAutospacing="0" w:afterAutospacing="0" w:line="360" w:lineRule="auto"/>
        <w:ind w:firstLine="480" w:firstLineChars="200"/>
        <w:jc w:val="left"/>
        <w:rPr>
          <w:rFonts w:hint="eastAsia" w:ascii="宋体" w:hAnsi="宋体" w:eastAsia="宋体" w:cs="宋体"/>
          <w:sz w:val="24"/>
          <w:szCs w:val="24"/>
        </w:rPr>
      </w:pPr>
      <w:r>
        <w:rPr>
          <w:rFonts w:hint="eastAsia" w:ascii="宋体" w:hAnsi="宋体" w:eastAsia="宋体" w:cs="宋体"/>
          <w:color w:val="333333"/>
          <w:kern w:val="0"/>
          <w:sz w:val="24"/>
          <w:szCs w:val="24"/>
          <w:lang w:bidi="ar"/>
        </w:rPr>
        <w:t>以上企业，不属于大企业的分支机构，不存在控股股东为大企业的情形，也不存在与大企业的负责人为同一人的情形。</w:t>
      </w:r>
    </w:p>
    <w:p w14:paraId="4C87693B">
      <w:pPr>
        <w:widowControl/>
        <w:spacing w:beforeAutospacing="0" w:afterAutospacing="0" w:line="360" w:lineRule="auto"/>
        <w:ind w:firstLine="480" w:firstLineChars="200"/>
        <w:jc w:val="left"/>
        <w:rPr>
          <w:rFonts w:hint="eastAsia" w:ascii="宋体" w:hAnsi="宋体" w:eastAsia="宋体" w:cs="宋体"/>
          <w:sz w:val="24"/>
          <w:szCs w:val="24"/>
        </w:rPr>
      </w:pPr>
      <w:r>
        <w:rPr>
          <w:rFonts w:hint="eastAsia" w:ascii="宋体" w:hAnsi="宋体" w:eastAsia="宋体" w:cs="宋体"/>
          <w:color w:val="333333"/>
          <w:kern w:val="0"/>
          <w:sz w:val="24"/>
          <w:szCs w:val="24"/>
          <w:lang w:bidi="ar"/>
        </w:rPr>
        <w:t>本企业对上述声明内容的真实性负责。如有虚假，将依法承担相应责任。</w:t>
      </w:r>
    </w:p>
    <w:p w14:paraId="28C3673C">
      <w:pPr>
        <w:bidi w:val="0"/>
        <w:spacing w:line="360" w:lineRule="auto"/>
        <w:jc w:val="left"/>
        <w:rPr>
          <w:rFonts w:hint="eastAsia" w:ascii="Calibri" w:hAnsi="Calibri" w:eastAsia="宋体" w:cs="Times New Roman"/>
          <w:sz w:val="24"/>
          <w:szCs w:val="24"/>
        </w:rPr>
      </w:pPr>
      <w:r>
        <w:rPr>
          <w:rFonts w:hint="eastAsia" w:ascii="宋体" w:hAnsi="宋体" w:eastAsia="宋体" w:cs="宋体"/>
          <w:color w:val="333333"/>
          <w:kern w:val="0"/>
          <w:sz w:val="24"/>
          <w:szCs w:val="24"/>
          <w:lang w:bidi="ar"/>
        </w:rPr>
        <w:t>企</w:t>
      </w:r>
      <w:r>
        <w:rPr>
          <w:rFonts w:hint="eastAsia" w:ascii="Calibri" w:hAnsi="Calibri" w:eastAsia="宋体" w:cs="Times New Roman"/>
          <w:sz w:val="24"/>
          <w:szCs w:val="24"/>
        </w:rPr>
        <w:t>业名称（盖章）：</w:t>
      </w:r>
    </w:p>
    <w:p w14:paraId="6CB2E432">
      <w:pPr>
        <w:bidi w:val="0"/>
        <w:spacing w:line="360" w:lineRule="auto"/>
        <w:jc w:val="left"/>
        <w:rPr>
          <w:rFonts w:hint="eastAsia" w:ascii="Calibri" w:hAnsi="Calibri" w:eastAsia="宋体" w:cs="Times New Roman"/>
          <w:sz w:val="24"/>
          <w:szCs w:val="24"/>
        </w:rPr>
      </w:pPr>
      <w:r>
        <w:rPr>
          <w:rFonts w:hint="eastAsia" w:ascii="Calibri" w:hAnsi="Calibri" w:eastAsia="宋体" w:cs="Times New Roman"/>
          <w:sz w:val="24"/>
          <w:szCs w:val="24"/>
        </w:rPr>
        <w:t>日 期：</w:t>
      </w:r>
    </w:p>
    <w:p w14:paraId="158B72AE">
      <w:pPr>
        <w:bidi w:val="0"/>
        <w:spacing w:line="360" w:lineRule="auto"/>
        <w:jc w:val="left"/>
        <w:rPr>
          <w:rFonts w:hint="eastAsia" w:ascii="宋体" w:hAnsi="宋体" w:eastAsia="宋体" w:cs="宋体"/>
          <w:b/>
          <w:bCs/>
          <w:sz w:val="21"/>
          <w:szCs w:val="21"/>
        </w:rPr>
      </w:pPr>
      <w:r>
        <w:rPr>
          <w:rFonts w:hint="eastAsia" w:ascii="宋体" w:hAnsi="宋体" w:eastAsia="宋体" w:cs="宋体"/>
          <w:b/>
          <w:bCs/>
          <w:color w:val="333333"/>
          <w:kern w:val="0"/>
          <w:sz w:val="21"/>
          <w:szCs w:val="21"/>
          <w:lang w:bidi="ar"/>
        </w:rPr>
        <w:t>从业人员、营业收入、资产总额填报上一年度数据，无上一年度数据的新成立企业可不填报。</w:t>
      </w:r>
    </w:p>
    <w:p w14:paraId="50E65804">
      <w:pPr>
        <w:rPr>
          <w:rFonts w:hint="eastAsia" w:ascii="宋体" w:hAnsi="宋体" w:eastAsia="宋体" w:cs="宋体"/>
          <w:szCs w:val="22"/>
        </w:rPr>
      </w:pPr>
      <w:r>
        <w:rPr>
          <w:rFonts w:hint="eastAsia" w:ascii="宋体" w:hAnsi="宋体" w:eastAsia="宋体" w:cs="宋体"/>
          <w:szCs w:val="22"/>
        </w:rPr>
        <w:br w:type="page"/>
      </w:r>
    </w:p>
    <w:p w14:paraId="4B914AA1">
      <w:pPr>
        <w:keepNext/>
        <w:keepLines/>
        <w:widowControl w:val="0"/>
        <w:bidi w:val="0"/>
        <w:spacing w:before="260" w:beforeLines="0" w:beforeAutospacing="0" w:after="260" w:afterLines="0" w:afterAutospacing="0" w:line="413" w:lineRule="auto"/>
        <w:jc w:val="both"/>
        <w:outlineLvl w:val="1"/>
        <w:rPr>
          <w:rFonts w:hint="eastAsia" w:ascii="宋体" w:hAnsi="宋体" w:eastAsia="宋体" w:cs="宋体"/>
          <w:b/>
          <w:kern w:val="2"/>
          <w:sz w:val="30"/>
          <w:szCs w:val="30"/>
          <w:lang w:val="en-US" w:eastAsia="zh-CN" w:bidi="ar-SA"/>
        </w:rPr>
      </w:pPr>
      <w:bookmarkStart w:id="195" w:name="_Toc14005"/>
      <w:bookmarkStart w:id="196" w:name="_Toc29913972"/>
      <w:bookmarkStart w:id="197" w:name="_Toc1161"/>
      <w:bookmarkStart w:id="198" w:name="_Toc31996"/>
      <w:bookmarkStart w:id="199" w:name="_Toc19104"/>
      <w:r>
        <w:rPr>
          <w:rFonts w:hint="eastAsia" w:ascii="宋体" w:hAnsi="宋体" w:eastAsia="宋体" w:cs="宋体"/>
          <w:b/>
          <w:kern w:val="2"/>
          <w:sz w:val="30"/>
          <w:szCs w:val="30"/>
          <w:lang w:val="en-US" w:eastAsia="zh-CN" w:bidi="ar-SA"/>
        </w:rPr>
        <w:t>附件10-2 残疾人福利性单位声明函</w:t>
      </w:r>
      <w:bookmarkEnd w:id="195"/>
      <w:bookmarkEnd w:id="196"/>
      <w:bookmarkEnd w:id="197"/>
      <w:bookmarkEnd w:id="198"/>
      <w:bookmarkEnd w:id="199"/>
    </w:p>
    <w:p w14:paraId="5565DAF8">
      <w:pPr>
        <w:adjustRightInd w:val="0"/>
        <w:snapToGrid w:val="0"/>
        <w:spacing w:line="360" w:lineRule="auto"/>
        <w:jc w:val="center"/>
        <w:rPr>
          <w:rFonts w:hint="eastAsia" w:ascii="宋体" w:hAnsi="宋体" w:eastAsia="宋体" w:cs="宋体"/>
          <w:b/>
          <w:spacing w:val="6"/>
          <w:sz w:val="28"/>
          <w:szCs w:val="28"/>
        </w:rPr>
      </w:pPr>
      <w:r>
        <w:rPr>
          <w:rFonts w:hint="eastAsia" w:ascii="宋体" w:hAnsi="宋体" w:eastAsia="宋体" w:cs="宋体"/>
          <w:b/>
          <w:spacing w:val="6"/>
          <w:sz w:val="28"/>
          <w:szCs w:val="28"/>
        </w:rPr>
        <w:t>残疾人福利性单位声明函</w:t>
      </w:r>
    </w:p>
    <w:p w14:paraId="09ADDBB6">
      <w:pPr>
        <w:adjustRightInd w:val="0"/>
        <w:snapToGrid w:val="0"/>
        <w:spacing w:line="360" w:lineRule="auto"/>
        <w:jc w:val="center"/>
        <w:rPr>
          <w:rFonts w:hint="eastAsia" w:ascii="宋体" w:hAnsi="宋体" w:eastAsia="宋体" w:cs="宋体"/>
          <w:b/>
          <w:spacing w:val="6"/>
          <w:sz w:val="28"/>
          <w:szCs w:val="28"/>
        </w:rPr>
      </w:pPr>
      <w:r>
        <w:rPr>
          <w:rFonts w:hint="eastAsia" w:ascii="宋体" w:hAnsi="宋体" w:eastAsia="宋体" w:cs="宋体"/>
          <w:b/>
          <w:spacing w:val="6"/>
          <w:sz w:val="28"/>
          <w:szCs w:val="28"/>
        </w:rPr>
        <w:t>(不属于残疾人福利性单位的无需填写)</w:t>
      </w:r>
    </w:p>
    <w:p w14:paraId="52CAA264">
      <w:pPr>
        <w:adjustRightInd w:val="0"/>
        <w:snapToGrid w:val="0"/>
        <w:spacing w:line="360" w:lineRule="auto"/>
        <w:ind w:firstLine="444" w:firstLineChars="200"/>
        <w:rPr>
          <w:rFonts w:hint="eastAsia" w:ascii="宋体" w:hAnsi="宋体" w:eastAsia="宋体" w:cs="宋体"/>
          <w:spacing w:val="6"/>
          <w:szCs w:val="21"/>
        </w:rPr>
      </w:pPr>
    </w:p>
    <w:p w14:paraId="6B265DBC">
      <w:pPr>
        <w:adjustRightInd w:val="0"/>
        <w:snapToGrid w:val="0"/>
        <w:spacing w:line="360" w:lineRule="auto"/>
        <w:ind w:firstLine="504" w:firstLineChars="200"/>
        <w:rPr>
          <w:rFonts w:hint="eastAsia" w:ascii="宋体" w:hAnsi="宋体" w:eastAsia="宋体" w:cs="宋体"/>
          <w:spacing w:val="6"/>
          <w:sz w:val="24"/>
          <w:szCs w:val="24"/>
        </w:rPr>
      </w:pPr>
      <w:r>
        <w:rPr>
          <w:rFonts w:hint="eastAsia" w:ascii="宋体" w:hAnsi="宋体" w:eastAsia="宋体" w:cs="宋体"/>
          <w:spacing w:val="6"/>
          <w:sz w:val="24"/>
          <w:szCs w:val="24"/>
        </w:rPr>
        <w:t>本单位郑重声明，根据《财政部 民政部 中国残疾人联合会关于促进残疾人就业政府采购政策的通知》（财库</w:t>
      </w:r>
      <w:r>
        <w:rPr>
          <w:rFonts w:hint="eastAsia" w:ascii="宋体" w:hAnsi="宋体" w:eastAsia="宋体" w:cs="宋体"/>
          <w:sz w:val="24"/>
          <w:szCs w:val="24"/>
        </w:rPr>
        <w:t>〔2017〕141</w:t>
      </w:r>
      <w:r>
        <w:rPr>
          <w:rFonts w:hint="eastAsia" w:ascii="宋体" w:hAnsi="宋体" w:eastAsia="宋体" w:cs="宋体"/>
          <w:spacing w:val="6"/>
          <w:sz w:val="24"/>
          <w:szCs w:val="24"/>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74EDD08">
      <w:pPr>
        <w:adjustRightInd w:val="0"/>
        <w:snapToGrid w:val="0"/>
        <w:spacing w:line="360" w:lineRule="auto"/>
        <w:ind w:firstLine="504" w:firstLineChars="200"/>
        <w:rPr>
          <w:rFonts w:hint="eastAsia" w:ascii="宋体" w:hAnsi="宋体" w:eastAsia="宋体" w:cs="宋体"/>
          <w:spacing w:val="6"/>
          <w:sz w:val="24"/>
          <w:szCs w:val="24"/>
        </w:rPr>
      </w:pPr>
      <w:r>
        <w:rPr>
          <w:rFonts w:hint="eastAsia" w:ascii="宋体" w:hAnsi="宋体" w:eastAsia="宋体" w:cs="宋体"/>
          <w:spacing w:val="6"/>
          <w:sz w:val="24"/>
          <w:szCs w:val="24"/>
        </w:rPr>
        <w:t>本单位对上述声明的真实性负责。如有虚假，将依法承担相应责任。</w:t>
      </w:r>
    </w:p>
    <w:p w14:paraId="319F3296">
      <w:pPr>
        <w:adjustRightInd w:val="0"/>
        <w:snapToGrid w:val="0"/>
        <w:spacing w:line="360" w:lineRule="auto"/>
        <w:ind w:firstLine="504" w:firstLineChars="200"/>
        <w:rPr>
          <w:rFonts w:hint="eastAsia" w:ascii="宋体" w:hAnsi="宋体" w:eastAsia="宋体" w:cs="宋体"/>
          <w:spacing w:val="6"/>
          <w:sz w:val="24"/>
          <w:szCs w:val="24"/>
        </w:rPr>
      </w:pPr>
    </w:p>
    <w:p w14:paraId="02267D42">
      <w:pPr>
        <w:adjustRightInd w:val="0"/>
        <w:snapToGrid w:val="0"/>
        <w:spacing w:line="360" w:lineRule="auto"/>
        <w:ind w:firstLine="504" w:firstLineChars="200"/>
        <w:rPr>
          <w:rFonts w:hint="eastAsia" w:ascii="宋体" w:hAnsi="宋体" w:eastAsia="宋体" w:cs="宋体"/>
          <w:spacing w:val="6"/>
          <w:sz w:val="24"/>
          <w:szCs w:val="24"/>
        </w:rPr>
      </w:pPr>
    </w:p>
    <w:p w14:paraId="24B458AB">
      <w:pPr>
        <w:tabs>
          <w:tab w:val="left" w:pos="4860"/>
        </w:tabs>
        <w:adjustRightInd w:val="0"/>
        <w:snapToGrid w:val="0"/>
        <w:spacing w:line="360" w:lineRule="auto"/>
        <w:ind w:right="1560" w:firstLine="504" w:firstLineChars="200"/>
        <w:jc w:val="center"/>
        <w:rPr>
          <w:rFonts w:hint="eastAsia" w:ascii="宋体" w:hAnsi="宋体" w:eastAsia="宋体" w:cs="宋体"/>
          <w:spacing w:val="6"/>
          <w:sz w:val="24"/>
          <w:szCs w:val="24"/>
        </w:rPr>
      </w:pPr>
      <w:r>
        <w:rPr>
          <w:rFonts w:hint="eastAsia" w:ascii="宋体" w:hAnsi="宋体" w:eastAsia="宋体" w:cs="宋体"/>
          <w:spacing w:val="6"/>
          <w:sz w:val="24"/>
          <w:szCs w:val="24"/>
        </w:rPr>
        <w:t xml:space="preserve">               单位名称（盖单位电子章）：</w:t>
      </w:r>
    </w:p>
    <w:p w14:paraId="10780637">
      <w:pPr>
        <w:spacing w:line="360" w:lineRule="auto"/>
        <w:rPr>
          <w:rFonts w:hint="eastAsia" w:ascii="宋体" w:hAnsi="宋体" w:eastAsia="宋体" w:cs="宋体"/>
          <w:sz w:val="24"/>
          <w:szCs w:val="24"/>
        </w:rPr>
      </w:pPr>
      <w:r>
        <w:rPr>
          <w:rFonts w:hint="eastAsia" w:ascii="宋体" w:hAnsi="宋体" w:eastAsia="宋体" w:cs="宋体"/>
          <w:spacing w:val="6"/>
          <w:sz w:val="24"/>
          <w:szCs w:val="24"/>
        </w:rPr>
        <w:t xml:space="preserve">                           日  期：</w:t>
      </w:r>
    </w:p>
    <w:p w14:paraId="4BDD30FE">
      <w:pPr>
        <w:rPr>
          <w:rFonts w:hint="eastAsia" w:ascii="宋体" w:hAnsi="宋体" w:eastAsia="宋体" w:cs="宋体"/>
          <w:szCs w:val="22"/>
        </w:rPr>
      </w:pPr>
      <w:r>
        <w:rPr>
          <w:rFonts w:hint="eastAsia" w:ascii="宋体" w:hAnsi="宋体" w:eastAsia="宋体" w:cs="宋体"/>
          <w:szCs w:val="22"/>
        </w:rPr>
        <w:br w:type="page"/>
      </w:r>
    </w:p>
    <w:p w14:paraId="1696184A">
      <w:pPr>
        <w:keepNext/>
        <w:keepLines/>
        <w:widowControl w:val="0"/>
        <w:bidi w:val="0"/>
        <w:spacing w:before="260" w:beforeLines="0" w:beforeAutospacing="0" w:after="260" w:afterLines="0" w:afterAutospacing="0" w:line="413" w:lineRule="auto"/>
        <w:jc w:val="both"/>
        <w:outlineLvl w:val="1"/>
        <w:rPr>
          <w:rFonts w:hint="eastAsia" w:ascii="宋体" w:hAnsi="宋体" w:eastAsia="宋体" w:cs="宋体"/>
          <w:b/>
          <w:kern w:val="2"/>
          <w:sz w:val="30"/>
          <w:szCs w:val="30"/>
          <w:lang w:val="en-US" w:eastAsia="zh-CN" w:bidi="ar-SA"/>
        </w:rPr>
      </w:pPr>
      <w:bookmarkStart w:id="200" w:name="_Toc29913973"/>
      <w:bookmarkStart w:id="201" w:name="_Toc27688"/>
      <w:bookmarkStart w:id="202" w:name="_Toc27672"/>
      <w:bookmarkStart w:id="203" w:name="_Toc20615"/>
      <w:bookmarkStart w:id="204" w:name="_Toc6588"/>
      <w:r>
        <w:rPr>
          <w:rFonts w:hint="eastAsia" w:ascii="宋体" w:hAnsi="宋体" w:eastAsia="宋体" w:cs="宋体"/>
          <w:b/>
          <w:kern w:val="2"/>
          <w:sz w:val="30"/>
          <w:szCs w:val="30"/>
          <w:lang w:val="en-US" w:eastAsia="zh-CN" w:bidi="ar-SA"/>
        </w:rPr>
        <w:t>附件10-3 监狱企业证明资料</w:t>
      </w:r>
      <w:bookmarkEnd w:id="200"/>
      <w:bookmarkEnd w:id="201"/>
      <w:bookmarkEnd w:id="202"/>
      <w:bookmarkEnd w:id="203"/>
      <w:bookmarkEnd w:id="204"/>
    </w:p>
    <w:p w14:paraId="4A43B65C">
      <w:pPr>
        <w:adjustRightInd w:val="0"/>
        <w:snapToGrid w:val="0"/>
        <w:spacing w:line="360" w:lineRule="auto"/>
        <w:jc w:val="center"/>
        <w:rPr>
          <w:rFonts w:hint="eastAsia" w:ascii="宋体" w:hAnsi="宋体" w:eastAsia="宋体" w:cs="宋体"/>
          <w:b/>
          <w:sz w:val="28"/>
          <w:szCs w:val="28"/>
        </w:rPr>
      </w:pPr>
      <w:r>
        <w:rPr>
          <w:rFonts w:hint="eastAsia" w:ascii="宋体" w:hAnsi="宋体" w:eastAsia="宋体" w:cs="宋体"/>
          <w:b/>
          <w:sz w:val="28"/>
          <w:szCs w:val="28"/>
        </w:rPr>
        <w:t>监狱企业证明资料</w:t>
      </w:r>
    </w:p>
    <w:p w14:paraId="42408FA2">
      <w:pPr>
        <w:adjustRightInd w:val="0"/>
        <w:snapToGrid w:val="0"/>
        <w:spacing w:line="360" w:lineRule="auto"/>
        <w:jc w:val="center"/>
        <w:rPr>
          <w:rFonts w:hint="eastAsia" w:ascii="宋体" w:hAnsi="宋体" w:eastAsia="宋体" w:cs="宋体"/>
          <w:b/>
          <w:spacing w:val="6"/>
          <w:sz w:val="28"/>
          <w:szCs w:val="28"/>
        </w:rPr>
      </w:pPr>
      <w:r>
        <w:rPr>
          <w:rFonts w:hint="eastAsia" w:ascii="宋体" w:hAnsi="宋体" w:eastAsia="宋体" w:cs="宋体"/>
          <w:b/>
          <w:spacing w:val="6"/>
          <w:sz w:val="28"/>
          <w:szCs w:val="28"/>
        </w:rPr>
        <w:t>(不属于监狱企业的无需提供)</w:t>
      </w:r>
    </w:p>
    <w:p w14:paraId="613A759A">
      <w:pPr>
        <w:adjustRightInd w:val="0"/>
        <w:snapToGrid w:val="0"/>
        <w:spacing w:line="360" w:lineRule="auto"/>
        <w:rPr>
          <w:rFonts w:hint="eastAsia" w:ascii="宋体" w:hAnsi="宋体" w:eastAsia="宋体" w:cs="宋体"/>
          <w:szCs w:val="21"/>
        </w:rPr>
      </w:pPr>
    </w:p>
    <w:p w14:paraId="7EFBCD40">
      <w:pPr>
        <w:spacing w:line="360" w:lineRule="auto"/>
        <w:jc w:val="left"/>
        <w:rPr>
          <w:rFonts w:hint="eastAsia" w:ascii="宋体" w:hAnsi="宋体" w:eastAsia="宋体" w:cs="宋体"/>
          <w:sz w:val="24"/>
          <w:szCs w:val="24"/>
        </w:rPr>
      </w:pPr>
      <w:r>
        <w:rPr>
          <w:rFonts w:hint="eastAsia" w:ascii="宋体" w:hAnsi="宋体" w:eastAsia="宋体" w:cs="宋体"/>
          <w:bCs/>
          <w:spacing w:val="6"/>
          <w:kern w:val="0"/>
          <w:sz w:val="24"/>
          <w:szCs w:val="24"/>
        </w:rPr>
        <w:t>备注：</w:t>
      </w:r>
      <w:r>
        <w:rPr>
          <w:rFonts w:hint="eastAsia" w:ascii="宋体" w:hAnsi="宋体" w:eastAsia="宋体" w:cs="宋体"/>
          <w:sz w:val="24"/>
          <w:szCs w:val="24"/>
        </w:rPr>
        <w:t>按</w:t>
      </w:r>
      <w:r>
        <w:rPr>
          <w:rFonts w:hint="eastAsia" w:ascii="宋体" w:hAnsi="宋体" w:eastAsia="宋体" w:cs="宋体"/>
          <w:spacing w:val="6"/>
          <w:sz w:val="24"/>
          <w:szCs w:val="24"/>
        </w:rPr>
        <w:t>《</w:t>
      </w:r>
      <w:r>
        <w:rPr>
          <w:rFonts w:hint="eastAsia" w:ascii="宋体" w:hAnsi="宋体" w:eastAsia="宋体" w:cs="宋体"/>
          <w:sz w:val="24"/>
          <w:szCs w:val="24"/>
        </w:rPr>
        <w:t>财政部 司法部关于政府采购支持监狱企业发展有关问题的通知</w:t>
      </w:r>
      <w:r>
        <w:rPr>
          <w:rFonts w:hint="eastAsia" w:ascii="宋体" w:hAnsi="宋体" w:eastAsia="宋体" w:cs="宋体"/>
          <w:spacing w:val="6"/>
          <w:sz w:val="24"/>
          <w:szCs w:val="24"/>
        </w:rPr>
        <w:t>》</w:t>
      </w:r>
      <w:r>
        <w:rPr>
          <w:rFonts w:hint="eastAsia" w:ascii="宋体" w:hAnsi="宋体" w:eastAsia="宋体" w:cs="宋体"/>
          <w:sz w:val="24"/>
          <w:szCs w:val="24"/>
        </w:rPr>
        <w:t>(财库〔2014〕68号)文件规定提供证明文件（复印件）。</w:t>
      </w:r>
    </w:p>
    <w:p w14:paraId="60D99003">
      <w:pPr>
        <w:rPr>
          <w:rFonts w:hint="eastAsia" w:ascii="宋体" w:hAnsi="宋体" w:eastAsia="宋体" w:cs="宋体"/>
          <w:szCs w:val="22"/>
        </w:rPr>
      </w:pPr>
      <w:r>
        <w:rPr>
          <w:rFonts w:hint="eastAsia" w:ascii="宋体" w:hAnsi="宋体" w:eastAsia="宋体" w:cs="宋体"/>
          <w:szCs w:val="22"/>
        </w:rPr>
        <w:br w:type="page"/>
      </w:r>
    </w:p>
    <w:p w14:paraId="6ED610D2">
      <w:pPr>
        <w:keepNext/>
        <w:keepLines/>
        <w:widowControl w:val="0"/>
        <w:bidi w:val="0"/>
        <w:spacing w:before="260" w:beforeLines="0" w:beforeAutospacing="0" w:after="260" w:afterLines="0" w:afterAutospacing="0" w:line="413" w:lineRule="auto"/>
        <w:jc w:val="left"/>
        <w:outlineLvl w:val="1"/>
        <w:rPr>
          <w:rFonts w:hint="eastAsia" w:ascii="Arial" w:hAnsi="Arial" w:eastAsia="黑体" w:cs="Times New Roman"/>
          <w:b/>
          <w:kern w:val="2"/>
          <w:sz w:val="30"/>
          <w:szCs w:val="30"/>
          <w:lang w:val="en-US" w:eastAsia="zh-CN" w:bidi="ar-SA"/>
        </w:rPr>
      </w:pPr>
      <w:bookmarkStart w:id="205" w:name="_Toc18078"/>
      <w:bookmarkStart w:id="206" w:name="_Toc10072"/>
      <w:bookmarkStart w:id="207" w:name="_Toc14788"/>
      <w:bookmarkStart w:id="208" w:name="_Toc29913974"/>
      <w:bookmarkStart w:id="209" w:name="_Toc15184"/>
      <w:r>
        <w:rPr>
          <w:rFonts w:hint="eastAsia" w:ascii="Arial" w:hAnsi="Arial" w:eastAsia="黑体" w:cs="Times New Roman"/>
          <w:b/>
          <w:kern w:val="2"/>
          <w:sz w:val="30"/>
          <w:szCs w:val="30"/>
          <w:lang w:val="en-US" w:eastAsia="zh-CN" w:bidi="ar-SA"/>
        </w:rPr>
        <w:t>附件10-4 强制采购或者优先采购产品的证明材料</w:t>
      </w:r>
      <w:bookmarkEnd w:id="205"/>
      <w:bookmarkEnd w:id="206"/>
      <w:bookmarkEnd w:id="207"/>
      <w:bookmarkEnd w:id="208"/>
      <w:bookmarkEnd w:id="209"/>
    </w:p>
    <w:p w14:paraId="2D130346">
      <w:pPr>
        <w:adjustRightInd w:val="0"/>
        <w:snapToGrid w:val="0"/>
        <w:spacing w:line="360" w:lineRule="auto"/>
        <w:jc w:val="center"/>
        <w:rPr>
          <w:rFonts w:hint="eastAsia" w:ascii="宋体" w:hAnsi="宋体" w:eastAsia="宋体" w:cs="宋体"/>
          <w:b/>
          <w:sz w:val="28"/>
          <w:szCs w:val="28"/>
        </w:rPr>
      </w:pPr>
      <w:r>
        <w:rPr>
          <w:rFonts w:hint="eastAsia" w:ascii="宋体" w:hAnsi="宋体" w:eastAsia="宋体" w:cs="宋体"/>
          <w:b/>
          <w:sz w:val="28"/>
          <w:szCs w:val="28"/>
        </w:rPr>
        <w:t>强制采购或者优先采购产品</w:t>
      </w:r>
      <w:r>
        <w:rPr>
          <w:rFonts w:hint="eastAsia" w:ascii="宋体" w:hAnsi="宋体" w:eastAsia="宋体" w:cs="宋体"/>
          <w:b/>
          <w:bCs/>
          <w:sz w:val="28"/>
          <w:szCs w:val="28"/>
        </w:rPr>
        <w:t>的</w:t>
      </w:r>
      <w:r>
        <w:rPr>
          <w:rFonts w:hint="eastAsia" w:ascii="宋体" w:hAnsi="宋体" w:eastAsia="宋体" w:cs="宋体"/>
          <w:b/>
          <w:sz w:val="28"/>
          <w:szCs w:val="28"/>
        </w:rPr>
        <w:t>证明材料</w:t>
      </w:r>
    </w:p>
    <w:p w14:paraId="00080DBE">
      <w:pPr>
        <w:adjustRightInd w:val="0"/>
        <w:snapToGrid w:val="0"/>
        <w:spacing w:line="360" w:lineRule="auto"/>
        <w:jc w:val="center"/>
        <w:rPr>
          <w:rFonts w:hint="eastAsia" w:ascii="宋体" w:hAnsi="宋体" w:eastAsia="宋体" w:cs="宋体"/>
          <w:b/>
          <w:spacing w:val="6"/>
          <w:sz w:val="28"/>
          <w:szCs w:val="28"/>
        </w:rPr>
      </w:pPr>
      <w:r>
        <w:rPr>
          <w:rFonts w:hint="eastAsia" w:ascii="宋体" w:hAnsi="宋体" w:eastAsia="宋体" w:cs="宋体"/>
          <w:b/>
          <w:spacing w:val="6"/>
          <w:sz w:val="28"/>
          <w:szCs w:val="28"/>
        </w:rPr>
        <w:t>(不属于强制采购或者优先采购产品的无需提供)</w:t>
      </w:r>
    </w:p>
    <w:p w14:paraId="39CCC5C5">
      <w:pPr>
        <w:adjustRightInd w:val="0"/>
        <w:snapToGrid w:val="0"/>
        <w:spacing w:line="360" w:lineRule="auto"/>
        <w:ind w:firstLine="420" w:firstLineChars="200"/>
        <w:jc w:val="left"/>
        <w:rPr>
          <w:rFonts w:hint="eastAsia" w:ascii="宋体" w:hAnsi="宋体" w:eastAsia="宋体" w:cs="宋体"/>
          <w:szCs w:val="21"/>
        </w:rPr>
      </w:pPr>
    </w:p>
    <w:p w14:paraId="5188A544">
      <w:pPr>
        <w:spacing w:line="360" w:lineRule="auto"/>
        <w:jc w:val="left"/>
        <w:rPr>
          <w:rFonts w:hint="eastAsia" w:ascii="宋体" w:hAnsi="宋体" w:eastAsia="宋体" w:cs="宋体"/>
          <w:sz w:val="24"/>
          <w:szCs w:val="24"/>
        </w:rPr>
      </w:pPr>
      <w:r>
        <w:rPr>
          <w:rFonts w:hint="eastAsia" w:ascii="宋体" w:hAnsi="宋体" w:eastAsia="宋体" w:cs="宋体"/>
          <w:sz w:val="24"/>
          <w:szCs w:val="24"/>
        </w:rPr>
        <w:t>说明：投标人提供的产品</w:t>
      </w:r>
      <w:r>
        <w:rPr>
          <w:rFonts w:hint="eastAsia" w:ascii="宋体" w:hAnsi="宋体" w:eastAsia="宋体" w:cs="宋体"/>
          <w:bCs/>
          <w:sz w:val="24"/>
          <w:szCs w:val="24"/>
        </w:rPr>
        <w:t>属于强制采购或者优先采购的</w:t>
      </w:r>
      <w:r>
        <w:rPr>
          <w:rFonts w:hint="eastAsia" w:ascii="宋体" w:hAnsi="宋体" w:eastAsia="宋体" w:cs="宋体"/>
          <w:sz w:val="24"/>
          <w:szCs w:val="24"/>
        </w:rPr>
        <w:t>，应按第二章第33.6款规定提供证明材料和本章本节附页2“优先采购产品清单”，并加盖投标人单位电子章。</w:t>
      </w:r>
    </w:p>
    <w:p w14:paraId="35599B3E">
      <w:pPr>
        <w:spacing w:line="360" w:lineRule="auto"/>
        <w:jc w:val="left"/>
        <w:rPr>
          <w:rFonts w:hint="eastAsia" w:ascii="宋体" w:hAnsi="宋体" w:eastAsia="宋体" w:cs="宋体"/>
          <w:sz w:val="24"/>
          <w:szCs w:val="24"/>
        </w:rPr>
      </w:pPr>
      <w:r>
        <w:rPr>
          <w:rFonts w:hint="eastAsia" w:ascii="宋体" w:hAnsi="宋体" w:eastAsia="宋体" w:cs="宋体"/>
          <w:sz w:val="24"/>
          <w:szCs w:val="24"/>
        </w:rPr>
        <w:br w:type="page"/>
      </w:r>
    </w:p>
    <w:p w14:paraId="117D7E10">
      <w:pPr>
        <w:keepNext/>
        <w:keepLines/>
        <w:widowControl w:val="0"/>
        <w:bidi w:val="0"/>
        <w:spacing w:before="260" w:beforeLines="0" w:beforeAutospacing="0" w:after="260" w:afterLines="0" w:afterAutospacing="0" w:line="413" w:lineRule="auto"/>
        <w:jc w:val="both"/>
        <w:outlineLvl w:val="1"/>
        <w:rPr>
          <w:rFonts w:hint="eastAsia" w:ascii="Arial" w:hAnsi="Arial" w:eastAsia="黑体" w:cs="Times New Roman"/>
          <w:b/>
          <w:kern w:val="2"/>
          <w:sz w:val="30"/>
          <w:szCs w:val="30"/>
          <w:lang w:val="en-US" w:eastAsia="zh-CN" w:bidi="ar-SA"/>
        </w:rPr>
      </w:pPr>
      <w:bookmarkStart w:id="210" w:name="_Toc29913975"/>
      <w:bookmarkStart w:id="211" w:name="_Toc22771"/>
      <w:bookmarkStart w:id="212" w:name="_Toc15842"/>
      <w:bookmarkStart w:id="213" w:name="_Toc7995"/>
      <w:bookmarkStart w:id="214" w:name="_Toc22237"/>
      <w:r>
        <w:rPr>
          <w:rFonts w:hint="eastAsia" w:ascii="Arial" w:hAnsi="Arial" w:eastAsia="黑体" w:cs="Times New Roman"/>
          <w:b/>
          <w:kern w:val="2"/>
          <w:sz w:val="30"/>
          <w:szCs w:val="30"/>
          <w:lang w:val="en-US" w:eastAsia="zh-CN" w:bidi="ar-SA"/>
        </w:rPr>
        <w:t>附页 2 优先采购产品清单</w:t>
      </w:r>
      <w:bookmarkEnd w:id="210"/>
      <w:bookmarkEnd w:id="211"/>
      <w:bookmarkEnd w:id="212"/>
      <w:bookmarkEnd w:id="213"/>
      <w:bookmarkEnd w:id="214"/>
    </w:p>
    <w:p w14:paraId="3E27C67A">
      <w:pPr>
        <w:adjustRightInd w:val="0"/>
        <w:snapToGrid w:val="0"/>
        <w:spacing w:line="360" w:lineRule="auto"/>
        <w:jc w:val="center"/>
        <w:rPr>
          <w:rFonts w:hint="eastAsia" w:ascii="宋体" w:hAnsi="宋体" w:eastAsia="宋体" w:cs="宋体"/>
          <w:b/>
          <w:spacing w:val="6"/>
          <w:sz w:val="28"/>
          <w:szCs w:val="28"/>
        </w:rPr>
      </w:pPr>
      <w:r>
        <w:rPr>
          <w:rFonts w:hint="eastAsia" w:ascii="宋体" w:hAnsi="宋体" w:eastAsia="宋体" w:cs="宋体"/>
          <w:b/>
          <w:sz w:val="28"/>
          <w:szCs w:val="28"/>
        </w:rPr>
        <w:t>优先采购产品清单</w:t>
      </w:r>
    </w:p>
    <w:p w14:paraId="26E965BF">
      <w:pPr>
        <w:adjustRightInd w:val="0"/>
        <w:snapToGrid w:val="0"/>
        <w:spacing w:line="360" w:lineRule="auto"/>
        <w:jc w:val="left"/>
        <w:rPr>
          <w:rFonts w:hint="eastAsia" w:ascii="宋体" w:hAnsi="宋体" w:eastAsia="宋体" w:cs="宋体"/>
          <w:sz w:val="24"/>
          <w:szCs w:val="24"/>
          <w:u w:val="single"/>
          <w:lang w:val="en-US" w:eastAsia="zh-CN"/>
        </w:rPr>
      </w:pPr>
      <w:r>
        <w:rPr>
          <w:rFonts w:hint="eastAsia" w:ascii="宋体" w:hAnsi="宋体" w:eastAsia="宋体" w:cs="宋体"/>
          <w:sz w:val="24"/>
          <w:szCs w:val="24"/>
        </w:rPr>
        <w:t>采购代理编号：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                   项目名称：</w:t>
      </w:r>
      <w:r>
        <w:rPr>
          <w:rFonts w:hint="eastAsia" w:ascii="宋体" w:hAnsi="宋体" w:eastAsia="宋体" w:cs="宋体"/>
          <w:sz w:val="24"/>
          <w:szCs w:val="24"/>
          <w:u w:val="single"/>
          <w:lang w:val="en-US" w:eastAsia="zh-CN"/>
        </w:rPr>
        <w:t xml:space="preserve">                </w:t>
      </w:r>
    </w:p>
    <w:p w14:paraId="73DAE25C">
      <w:pPr>
        <w:adjustRightInd w:val="0"/>
        <w:snapToGrid w:val="0"/>
        <w:spacing w:line="360" w:lineRule="auto"/>
        <w:rPr>
          <w:rFonts w:hint="eastAsia" w:ascii="宋体" w:hAnsi="宋体" w:eastAsia="宋体" w:cs="宋体"/>
          <w:szCs w:val="21"/>
        </w:rPr>
      </w:pPr>
      <w:r>
        <w:rPr>
          <w:rFonts w:hint="eastAsia" w:ascii="宋体" w:hAnsi="宋体" w:eastAsia="宋体" w:cs="宋体"/>
          <w:sz w:val="24"/>
          <w:szCs w:val="24"/>
        </w:rPr>
        <w:t>包号：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                   包名称：</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Cs w:val="21"/>
        </w:rPr>
        <w:t xml:space="preserve">  </w:t>
      </w:r>
    </w:p>
    <w:tbl>
      <w:tblPr>
        <w:tblStyle w:val="45"/>
        <w:tblW w:w="878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5B185F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8789" w:type="dxa"/>
            <w:gridSpan w:val="6"/>
            <w:noWrap w:val="0"/>
            <w:vAlign w:val="center"/>
          </w:tcPr>
          <w:p w14:paraId="4D99FB5F">
            <w:pPr>
              <w:widowControl/>
              <w:adjustRightInd w:val="0"/>
              <w:snapToGrid w:val="0"/>
              <w:spacing w:line="24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以下为投标人提供的政府采购优先采购产品，投标人对本表的真实性负责。如有虚假，将依法承担相应责任。</w:t>
            </w:r>
          </w:p>
        </w:tc>
      </w:tr>
      <w:tr w14:paraId="6976F3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0" w:hRule="atLeast"/>
          <w:jc w:val="center"/>
        </w:trPr>
        <w:tc>
          <w:tcPr>
            <w:tcW w:w="671" w:type="dxa"/>
            <w:noWrap w:val="0"/>
            <w:vAlign w:val="center"/>
          </w:tcPr>
          <w:p w14:paraId="58266F79">
            <w:pPr>
              <w:widowControl/>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739" w:type="dxa"/>
            <w:noWrap w:val="0"/>
            <w:vAlign w:val="center"/>
          </w:tcPr>
          <w:p w14:paraId="0E6F3534">
            <w:pPr>
              <w:widowControl/>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134" w:type="dxa"/>
            <w:tcBorders>
              <w:right w:val="single" w:color="auto" w:sz="4" w:space="0"/>
            </w:tcBorders>
            <w:noWrap w:val="0"/>
            <w:vAlign w:val="center"/>
          </w:tcPr>
          <w:p w14:paraId="17811EC5">
            <w:pPr>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1418" w:type="dxa"/>
            <w:tcBorders>
              <w:left w:val="single" w:color="auto" w:sz="4" w:space="0"/>
            </w:tcBorders>
            <w:noWrap w:val="0"/>
            <w:vAlign w:val="center"/>
          </w:tcPr>
          <w:p w14:paraId="409A4F67">
            <w:pPr>
              <w:widowControl/>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1984" w:type="dxa"/>
            <w:noWrap w:val="0"/>
            <w:vAlign w:val="center"/>
          </w:tcPr>
          <w:p w14:paraId="12E8E583">
            <w:pPr>
              <w:widowControl/>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1843" w:type="dxa"/>
            <w:noWrap w:val="0"/>
            <w:vAlign w:val="center"/>
          </w:tcPr>
          <w:p w14:paraId="51726525">
            <w:pPr>
              <w:widowControl/>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r>
      <w:tr w14:paraId="5C5F3C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8" w:hRule="atLeast"/>
          <w:jc w:val="center"/>
        </w:trPr>
        <w:tc>
          <w:tcPr>
            <w:tcW w:w="671" w:type="dxa"/>
            <w:noWrap w:val="0"/>
            <w:vAlign w:val="center"/>
          </w:tcPr>
          <w:p w14:paraId="0782877C">
            <w:pPr>
              <w:widowControl/>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1739" w:type="dxa"/>
            <w:noWrap w:val="0"/>
            <w:vAlign w:val="center"/>
          </w:tcPr>
          <w:p w14:paraId="0DF30498">
            <w:pPr>
              <w:widowControl/>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货物名称</w:t>
            </w:r>
          </w:p>
        </w:tc>
        <w:tc>
          <w:tcPr>
            <w:tcW w:w="1134" w:type="dxa"/>
            <w:tcBorders>
              <w:right w:val="single" w:color="auto" w:sz="4" w:space="0"/>
            </w:tcBorders>
            <w:noWrap w:val="0"/>
            <w:vAlign w:val="center"/>
          </w:tcPr>
          <w:p w14:paraId="4B6F26AE">
            <w:pPr>
              <w:widowControl/>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规格型号</w:t>
            </w:r>
          </w:p>
        </w:tc>
        <w:tc>
          <w:tcPr>
            <w:tcW w:w="1418" w:type="dxa"/>
            <w:tcBorders>
              <w:left w:val="single" w:color="auto" w:sz="4" w:space="0"/>
            </w:tcBorders>
            <w:noWrap w:val="0"/>
            <w:vAlign w:val="center"/>
          </w:tcPr>
          <w:p w14:paraId="18429A59">
            <w:pPr>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价格（元）</w:t>
            </w:r>
          </w:p>
        </w:tc>
        <w:tc>
          <w:tcPr>
            <w:tcW w:w="1984" w:type="dxa"/>
            <w:noWrap w:val="0"/>
            <w:vAlign w:val="center"/>
          </w:tcPr>
          <w:p w14:paraId="545F98CC">
            <w:pPr>
              <w:widowControl/>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货物制造商名称</w:t>
            </w:r>
          </w:p>
        </w:tc>
        <w:tc>
          <w:tcPr>
            <w:tcW w:w="1843" w:type="dxa"/>
            <w:noWrap w:val="0"/>
            <w:vAlign w:val="center"/>
          </w:tcPr>
          <w:p w14:paraId="264EBE3D">
            <w:pPr>
              <w:widowControl/>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政策功能编码</w:t>
            </w:r>
          </w:p>
        </w:tc>
      </w:tr>
      <w:tr w14:paraId="309C45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1" w:hRule="atLeast"/>
          <w:jc w:val="center"/>
        </w:trPr>
        <w:tc>
          <w:tcPr>
            <w:tcW w:w="8789" w:type="dxa"/>
            <w:gridSpan w:val="6"/>
            <w:noWrap w:val="0"/>
            <w:vAlign w:val="center"/>
          </w:tcPr>
          <w:p w14:paraId="0CC90BAC">
            <w:pPr>
              <w:adjustRightInd w:val="0"/>
              <w:snapToGrid w:val="0"/>
              <w:spacing w:line="240" w:lineRule="auto"/>
              <w:jc w:val="center"/>
              <w:rPr>
                <w:rFonts w:hint="eastAsia" w:ascii="宋体" w:hAnsi="宋体" w:eastAsia="宋体" w:cs="宋体"/>
                <w:b/>
                <w:sz w:val="24"/>
                <w:szCs w:val="24"/>
              </w:rPr>
            </w:pPr>
            <w:r>
              <w:rPr>
                <w:rFonts w:hint="eastAsia" w:ascii="宋体" w:hAnsi="宋体" w:eastAsia="宋体" w:cs="宋体"/>
                <w:b/>
                <w:sz w:val="24"/>
                <w:szCs w:val="24"/>
              </w:rPr>
              <w:t>节能产品</w:t>
            </w:r>
          </w:p>
        </w:tc>
      </w:tr>
      <w:tr w14:paraId="45923B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671" w:type="dxa"/>
            <w:noWrap w:val="0"/>
            <w:vAlign w:val="center"/>
          </w:tcPr>
          <w:p w14:paraId="624ED9CE">
            <w:pPr>
              <w:adjustRightInd w:val="0"/>
              <w:snapToGrid w:val="0"/>
              <w:spacing w:line="240" w:lineRule="auto"/>
              <w:jc w:val="center"/>
              <w:rPr>
                <w:rFonts w:hint="eastAsia" w:ascii="宋体" w:hAnsi="宋体" w:eastAsia="宋体" w:cs="宋体"/>
                <w:b/>
                <w:sz w:val="24"/>
                <w:szCs w:val="24"/>
              </w:rPr>
            </w:pPr>
          </w:p>
        </w:tc>
        <w:tc>
          <w:tcPr>
            <w:tcW w:w="1739" w:type="dxa"/>
            <w:noWrap w:val="0"/>
            <w:vAlign w:val="center"/>
          </w:tcPr>
          <w:p w14:paraId="1B298ADF">
            <w:pPr>
              <w:adjustRightInd w:val="0"/>
              <w:snapToGrid w:val="0"/>
              <w:spacing w:line="240" w:lineRule="auto"/>
              <w:jc w:val="center"/>
              <w:rPr>
                <w:rFonts w:hint="eastAsia" w:ascii="宋体" w:hAnsi="宋体" w:eastAsia="宋体" w:cs="宋体"/>
                <w:b/>
                <w:sz w:val="24"/>
                <w:szCs w:val="24"/>
              </w:rPr>
            </w:pPr>
          </w:p>
        </w:tc>
        <w:tc>
          <w:tcPr>
            <w:tcW w:w="1134" w:type="dxa"/>
            <w:tcBorders>
              <w:right w:val="single" w:color="auto" w:sz="4" w:space="0"/>
            </w:tcBorders>
            <w:noWrap w:val="0"/>
            <w:vAlign w:val="center"/>
          </w:tcPr>
          <w:p w14:paraId="693D00EF">
            <w:pPr>
              <w:adjustRightInd w:val="0"/>
              <w:snapToGrid w:val="0"/>
              <w:spacing w:line="240" w:lineRule="auto"/>
              <w:jc w:val="left"/>
              <w:rPr>
                <w:rFonts w:hint="eastAsia" w:ascii="宋体" w:hAnsi="宋体" w:eastAsia="宋体" w:cs="宋体"/>
                <w:b/>
                <w:sz w:val="24"/>
                <w:szCs w:val="24"/>
              </w:rPr>
            </w:pPr>
          </w:p>
        </w:tc>
        <w:tc>
          <w:tcPr>
            <w:tcW w:w="1418" w:type="dxa"/>
            <w:tcBorders>
              <w:left w:val="single" w:color="auto" w:sz="4" w:space="0"/>
            </w:tcBorders>
            <w:noWrap w:val="0"/>
            <w:vAlign w:val="center"/>
          </w:tcPr>
          <w:p w14:paraId="667E29C0">
            <w:pPr>
              <w:adjustRightInd w:val="0"/>
              <w:snapToGrid w:val="0"/>
              <w:spacing w:line="240" w:lineRule="auto"/>
              <w:jc w:val="left"/>
              <w:rPr>
                <w:rFonts w:hint="eastAsia" w:ascii="宋体" w:hAnsi="宋体" w:eastAsia="宋体" w:cs="宋体"/>
                <w:b/>
                <w:sz w:val="24"/>
                <w:szCs w:val="24"/>
              </w:rPr>
            </w:pPr>
          </w:p>
        </w:tc>
        <w:tc>
          <w:tcPr>
            <w:tcW w:w="1984" w:type="dxa"/>
            <w:noWrap w:val="0"/>
            <w:vAlign w:val="center"/>
          </w:tcPr>
          <w:p w14:paraId="5F01E67E">
            <w:pPr>
              <w:adjustRightInd w:val="0"/>
              <w:snapToGrid w:val="0"/>
              <w:spacing w:line="240" w:lineRule="auto"/>
              <w:jc w:val="center"/>
              <w:rPr>
                <w:rFonts w:hint="eastAsia" w:ascii="宋体" w:hAnsi="宋体" w:eastAsia="宋体" w:cs="宋体"/>
                <w:b/>
                <w:sz w:val="24"/>
                <w:szCs w:val="24"/>
              </w:rPr>
            </w:pPr>
          </w:p>
        </w:tc>
        <w:tc>
          <w:tcPr>
            <w:tcW w:w="1843" w:type="dxa"/>
            <w:noWrap w:val="0"/>
            <w:vAlign w:val="top"/>
          </w:tcPr>
          <w:p w14:paraId="41C2AB4C">
            <w:pPr>
              <w:adjustRightInd w:val="0"/>
              <w:snapToGrid w:val="0"/>
              <w:spacing w:line="240" w:lineRule="auto"/>
              <w:jc w:val="center"/>
              <w:rPr>
                <w:rFonts w:hint="eastAsia" w:ascii="宋体" w:hAnsi="宋体" w:eastAsia="宋体" w:cs="宋体"/>
                <w:b/>
                <w:sz w:val="24"/>
                <w:szCs w:val="24"/>
              </w:rPr>
            </w:pPr>
          </w:p>
        </w:tc>
      </w:tr>
      <w:tr w14:paraId="63A769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671" w:type="dxa"/>
            <w:noWrap w:val="0"/>
            <w:vAlign w:val="center"/>
          </w:tcPr>
          <w:p w14:paraId="721C494F">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小计</w:t>
            </w:r>
          </w:p>
        </w:tc>
        <w:tc>
          <w:tcPr>
            <w:tcW w:w="1739" w:type="dxa"/>
            <w:noWrap w:val="0"/>
            <w:vAlign w:val="center"/>
          </w:tcPr>
          <w:p w14:paraId="536211E3">
            <w:pPr>
              <w:adjustRightInd w:val="0"/>
              <w:snapToGrid w:val="0"/>
              <w:spacing w:line="240" w:lineRule="auto"/>
              <w:jc w:val="center"/>
              <w:rPr>
                <w:rFonts w:hint="eastAsia" w:ascii="宋体" w:hAnsi="宋体" w:eastAsia="宋体" w:cs="宋体"/>
                <w:b/>
                <w:sz w:val="24"/>
                <w:szCs w:val="24"/>
              </w:rPr>
            </w:pPr>
            <w:r>
              <w:rPr>
                <w:rFonts w:hint="eastAsia" w:ascii="宋体" w:hAnsi="宋体" w:eastAsia="宋体" w:cs="宋体"/>
                <w:b/>
                <w:sz w:val="24"/>
                <w:szCs w:val="24"/>
              </w:rPr>
              <w:t>/</w:t>
            </w:r>
          </w:p>
        </w:tc>
        <w:tc>
          <w:tcPr>
            <w:tcW w:w="1134" w:type="dxa"/>
            <w:tcBorders>
              <w:right w:val="single" w:color="auto" w:sz="4" w:space="0"/>
            </w:tcBorders>
            <w:noWrap w:val="0"/>
            <w:vAlign w:val="center"/>
          </w:tcPr>
          <w:p w14:paraId="27953516">
            <w:pPr>
              <w:adjustRightInd w:val="0"/>
              <w:snapToGrid w:val="0"/>
              <w:spacing w:line="240" w:lineRule="auto"/>
              <w:jc w:val="left"/>
              <w:rPr>
                <w:rFonts w:hint="eastAsia" w:ascii="宋体" w:hAnsi="宋体" w:eastAsia="宋体" w:cs="宋体"/>
                <w:b/>
                <w:sz w:val="24"/>
                <w:szCs w:val="24"/>
              </w:rPr>
            </w:pPr>
          </w:p>
        </w:tc>
        <w:tc>
          <w:tcPr>
            <w:tcW w:w="1418" w:type="dxa"/>
            <w:tcBorders>
              <w:left w:val="single" w:color="auto" w:sz="4" w:space="0"/>
            </w:tcBorders>
            <w:noWrap w:val="0"/>
            <w:vAlign w:val="center"/>
          </w:tcPr>
          <w:p w14:paraId="43E2C8A6">
            <w:pPr>
              <w:adjustRightInd w:val="0"/>
              <w:snapToGrid w:val="0"/>
              <w:spacing w:line="240" w:lineRule="auto"/>
              <w:jc w:val="left"/>
              <w:rPr>
                <w:rFonts w:hint="eastAsia" w:ascii="宋体" w:hAnsi="宋体" w:eastAsia="宋体" w:cs="宋体"/>
                <w:b/>
                <w:sz w:val="24"/>
                <w:szCs w:val="24"/>
              </w:rPr>
            </w:pPr>
          </w:p>
        </w:tc>
        <w:tc>
          <w:tcPr>
            <w:tcW w:w="1984" w:type="dxa"/>
            <w:noWrap w:val="0"/>
            <w:vAlign w:val="center"/>
          </w:tcPr>
          <w:p w14:paraId="1D209C5F">
            <w:pPr>
              <w:adjustRightInd w:val="0"/>
              <w:snapToGrid w:val="0"/>
              <w:spacing w:line="240" w:lineRule="auto"/>
              <w:jc w:val="center"/>
              <w:rPr>
                <w:rFonts w:hint="eastAsia" w:ascii="宋体" w:hAnsi="宋体" w:eastAsia="宋体" w:cs="宋体"/>
                <w:b/>
                <w:sz w:val="24"/>
                <w:szCs w:val="24"/>
              </w:rPr>
            </w:pPr>
            <w:r>
              <w:rPr>
                <w:rFonts w:hint="eastAsia" w:ascii="宋体" w:hAnsi="宋体" w:eastAsia="宋体" w:cs="宋体"/>
                <w:b/>
                <w:sz w:val="24"/>
                <w:szCs w:val="24"/>
              </w:rPr>
              <w:t>/</w:t>
            </w:r>
          </w:p>
        </w:tc>
        <w:tc>
          <w:tcPr>
            <w:tcW w:w="1843" w:type="dxa"/>
            <w:noWrap w:val="0"/>
            <w:vAlign w:val="top"/>
          </w:tcPr>
          <w:p w14:paraId="45C4797C">
            <w:pPr>
              <w:adjustRightInd w:val="0"/>
              <w:snapToGrid w:val="0"/>
              <w:spacing w:line="240" w:lineRule="auto"/>
              <w:jc w:val="center"/>
              <w:rPr>
                <w:rFonts w:hint="eastAsia" w:ascii="宋体" w:hAnsi="宋体" w:eastAsia="宋体" w:cs="宋体"/>
                <w:b/>
                <w:sz w:val="24"/>
                <w:szCs w:val="24"/>
              </w:rPr>
            </w:pPr>
            <w:r>
              <w:rPr>
                <w:rFonts w:hint="eastAsia" w:ascii="宋体" w:hAnsi="宋体" w:eastAsia="宋体" w:cs="宋体"/>
                <w:b/>
                <w:sz w:val="24"/>
                <w:szCs w:val="24"/>
              </w:rPr>
              <w:t>/</w:t>
            </w:r>
          </w:p>
        </w:tc>
      </w:tr>
      <w:tr w14:paraId="66526C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48" w:hRule="atLeast"/>
          <w:jc w:val="center"/>
        </w:trPr>
        <w:tc>
          <w:tcPr>
            <w:tcW w:w="8789" w:type="dxa"/>
            <w:gridSpan w:val="6"/>
            <w:noWrap w:val="0"/>
            <w:vAlign w:val="center"/>
          </w:tcPr>
          <w:p w14:paraId="3EB84AE0">
            <w:pPr>
              <w:adjustRightInd w:val="0"/>
              <w:snapToGrid w:val="0"/>
              <w:spacing w:line="240" w:lineRule="auto"/>
              <w:jc w:val="center"/>
              <w:rPr>
                <w:rFonts w:hint="eastAsia" w:ascii="宋体" w:hAnsi="宋体" w:eastAsia="宋体" w:cs="宋体"/>
                <w:b/>
                <w:sz w:val="24"/>
                <w:szCs w:val="24"/>
              </w:rPr>
            </w:pPr>
            <w:r>
              <w:rPr>
                <w:rFonts w:hint="eastAsia" w:ascii="宋体" w:hAnsi="宋体" w:eastAsia="宋体" w:cs="宋体"/>
                <w:b/>
                <w:sz w:val="24"/>
                <w:szCs w:val="24"/>
              </w:rPr>
              <w:t>环境标志产品</w:t>
            </w:r>
          </w:p>
        </w:tc>
      </w:tr>
      <w:tr w14:paraId="08275A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671" w:type="dxa"/>
            <w:noWrap w:val="0"/>
            <w:vAlign w:val="center"/>
          </w:tcPr>
          <w:p w14:paraId="54C4762D">
            <w:pPr>
              <w:adjustRightInd w:val="0"/>
              <w:snapToGrid w:val="0"/>
              <w:spacing w:line="240" w:lineRule="auto"/>
              <w:jc w:val="center"/>
              <w:rPr>
                <w:rFonts w:hint="eastAsia" w:ascii="宋体" w:hAnsi="宋体" w:eastAsia="宋体" w:cs="宋体"/>
                <w:b/>
                <w:sz w:val="24"/>
                <w:szCs w:val="24"/>
              </w:rPr>
            </w:pPr>
          </w:p>
        </w:tc>
        <w:tc>
          <w:tcPr>
            <w:tcW w:w="1739" w:type="dxa"/>
            <w:noWrap w:val="0"/>
            <w:vAlign w:val="center"/>
          </w:tcPr>
          <w:p w14:paraId="0AEF3551">
            <w:pPr>
              <w:adjustRightInd w:val="0"/>
              <w:snapToGrid w:val="0"/>
              <w:spacing w:line="240" w:lineRule="auto"/>
              <w:jc w:val="center"/>
              <w:rPr>
                <w:rFonts w:hint="eastAsia" w:ascii="宋体" w:hAnsi="宋体" w:eastAsia="宋体" w:cs="宋体"/>
                <w:b/>
                <w:sz w:val="24"/>
                <w:szCs w:val="24"/>
              </w:rPr>
            </w:pPr>
          </w:p>
        </w:tc>
        <w:tc>
          <w:tcPr>
            <w:tcW w:w="1134" w:type="dxa"/>
            <w:tcBorders>
              <w:right w:val="single" w:color="auto" w:sz="4" w:space="0"/>
            </w:tcBorders>
            <w:noWrap w:val="0"/>
            <w:vAlign w:val="center"/>
          </w:tcPr>
          <w:p w14:paraId="15183EEC">
            <w:pPr>
              <w:adjustRightInd w:val="0"/>
              <w:snapToGrid w:val="0"/>
              <w:spacing w:line="240" w:lineRule="auto"/>
              <w:jc w:val="left"/>
              <w:rPr>
                <w:rFonts w:hint="eastAsia" w:ascii="宋体" w:hAnsi="宋体" w:eastAsia="宋体" w:cs="宋体"/>
                <w:b/>
                <w:sz w:val="24"/>
                <w:szCs w:val="24"/>
              </w:rPr>
            </w:pPr>
          </w:p>
        </w:tc>
        <w:tc>
          <w:tcPr>
            <w:tcW w:w="1418" w:type="dxa"/>
            <w:tcBorders>
              <w:left w:val="single" w:color="auto" w:sz="4" w:space="0"/>
            </w:tcBorders>
            <w:noWrap w:val="0"/>
            <w:vAlign w:val="center"/>
          </w:tcPr>
          <w:p w14:paraId="410E50C4">
            <w:pPr>
              <w:adjustRightInd w:val="0"/>
              <w:snapToGrid w:val="0"/>
              <w:spacing w:line="240" w:lineRule="auto"/>
              <w:jc w:val="left"/>
              <w:rPr>
                <w:rFonts w:hint="eastAsia" w:ascii="宋体" w:hAnsi="宋体" w:eastAsia="宋体" w:cs="宋体"/>
                <w:b/>
                <w:sz w:val="24"/>
                <w:szCs w:val="24"/>
              </w:rPr>
            </w:pPr>
          </w:p>
        </w:tc>
        <w:tc>
          <w:tcPr>
            <w:tcW w:w="1984" w:type="dxa"/>
            <w:noWrap w:val="0"/>
            <w:vAlign w:val="center"/>
          </w:tcPr>
          <w:p w14:paraId="59B03393">
            <w:pPr>
              <w:adjustRightInd w:val="0"/>
              <w:snapToGrid w:val="0"/>
              <w:spacing w:line="240" w:lineRule="auto"/>
              <w:jc w:val="center"/>
              <w:rPr>
                <w:rFonts w:hint="eastAsia" w:ascii="宋体" w:hAnsi="宋体" w:eastAsia="宋体" w:cs="宋体"/>
                <w:b/>
                <w:sz w:val="24"/>
                <w:szCs w:val="24"/>
              </w:rPr>
            </w:pPr>
          </w:p>
        </w:tc>
        <w:tc>
          <w:tcPr>
            <w:tcW w:w="1843" w:type="dxa"/>
            <w:noWrap w:val="0"/>
            <w:vAlign w:val="top"/>
          </w:tcPr>
          <w:p w14:paraId="1E638646">
            <w:pPr>
              <w:adjustRightInd w:val="0"/>
              <w:snapToGrid w:val="0"/>
              <w:spacing w:line="240" w:lineRule="auto"/>
              <w:jc w:val="center"/>
              <w:rPr>
                <w:rFonts w:hint="eastAsia" w:ascii="宋体" w:hAnsi="宋体" w:eastAsia="宋体" w:cs="宋体"/>
                <w:b/>
                <w:sz w:val="24"/>
                <w:szCs w:val="24"/>
              </w:rPr>
            </w:pPr>
          </w:p>
        </w:tc>
      </w:tr>
      <w:tr w14:paraId="60E844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671" w:type="dxa"/>
            <w:noWrap w:val="0"/>
            <w:vAlign w:val="center"/>
          </w:tcPr>
          <w:p w14:paraId="7AF7AFA5">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小计</w:t>
            </w:r>
          </w:p>
        </w:tc>
        <w:tc>
          <w:tcPr>
            <w:tcW w:w="1739" w:type="dxa"/>
            <w:noWrap w:val="0"/>
            <w:vAlign w:val="center"/>
          </w:tcPr>
          <w:p w14:paraId="2E2C5F0A">
            <w:pPr>
              <w:adjustRightInd w:val="0"/>
              <w:snapToGrid w:val="0"/>
              <w:spacing w:line="240" w:lineRule="auto"/>
              <w:jc w:val="center"/>
              <w:rPr>
                <w:rFonts w:hint="eastAsia" w:ascii="宋体" w:hAnsi="宋体" w:eastAsia="宋体" w:cs="宋体"/>
                <w:b/>
                <w:sz w:val="24"/>
                <w:szCs w:val="24"/>
              </w:rPr>
            </w:pPr>
            <w:r>
              <w:rPr>
                <w:rFonts w:hint="eastAsia" w:ascii="宋体" w:hAnsi="宋体" w:eastAsia="宋体" w:cs="宋体"/>
                <w:b/>
                <w:sz w:val="24"/>
                <w:szCs w:val="24"/>
              </w:rPr>
              <w:t>/</w:t>
            </w:r>
          </w:p>
        </w:tc>
        <w:tc>
          <w:tcPr>
            <w:tcW w:w="1134" w:type="dxa"/>
            <w:tcBorders>
              <w:right w:val="single" w:color="auto" w:sz="4" w:space="0"/>
            </w:tcBorders>
            <w:noWrap w:val="0"/>
            <w:vAlign w:val="center"/>
          </w:tcPr>
          <w:p w14:paraId="5817D06F">
            <w:pPr>
              <w:adjustRightInd w:val="0"/>
              <w:snapToGrid w:val="0"/>
              <w:spacing w:line="240" w:lineRule="auto"/>
              <w:jc w:val="left"/>
              <w:rPr>
                <w:rFonts w:hint="eastAsia" w:ascii="宋体" w:hAnsi="宋体" w:eastAsia="宋体" w:cs="宋体"/>
                <w:b/>
                <w:sz w:val="24"/>
                <w:szCs w:val="24"/>
              </w:rPr>
            </w:pPr>
          </w:p>
        </w:tc>
        <w:tc>
          <w:tcPr>
            <w:tcW w:w="1418" w:type="dxa"/>
            <w:tcBorders>
              <w:left w:val="single" w:color="auto" w:sz="4" w:space="0"/>
            </w:tcBorders>
            <w:noWrap w:val="0"/>
            <w:vAlign w:val="center"/>
          </w:tcPr>
          <w:p w14:paraId="6DD7DF93">
            <w:pPr>
              <w:adjustRightInd w:val="0"/>
              <w:snapToGrid w:val="0"/>
              <w:spacing w:line="240" w:lineRule="auto"/>
              <w:jc w:val="left"/>
              <w:rPr>
                <w:rFonts w:hint="eastAsia" w:ascii="宋体" w:hAnsi="宋体" w:eastAsia="宋体" w:cs="宋体"/>
                <w:b/>
                <w:sz w:val="24"/>
                <w:szCs w:val="24"/>
              </w:rPr>
            </w:pPr>
          </w:p>
        </w:tc>
        <w:tc>
          <w:tcPr>
            <w:tcW w:w="1984" w:type="dxa"/>
            <w:noWrap w:val="0"/>
            <w:vAlign w:val="center"/>
          </w:tcPr>
          <w:p w14:paraId="3E40CFCC">
            <w:pPr>
              <w:adjustRightInd w:val="0"/>
              <w:snapToGrid w:val="0"/>
              <w:spacing w:line="240" w:lineRule="auto"/>
              <w:jc w:val="center"/>
              <w:rPr>
                <w:rFonts w:hint="eastAsia" w:ascii="宋体" w:hAnsi="宋体" w:eastAsia="宋体" w:cs="宋体"/>
                <w:b/>
                <w:sz w:val="24"/>
                <w:szCs w:val="24"/>
              </w:rPr>
            </w:pPr>
            <w:r>
              <w:rPr>
                <w:rFonts w:hint="eastAsia" w:ascii="宋体" w:hAnsi="宋体" w:eastAsia="宋体" w:cs="宋体"/>
                <w:b/>
                <w:sz w:val="24"/>
                <w:szCs w:val="24"/>
              </w:rPr>
              <w:t>/</w:t>
            </w:r>
          </w:p>
        </w:tc>
        <w:tc>
          <w:tcPr>
            <w:tcW w:w="1843" w:type="dxa"/>
            <w:noWrap w:val="0"/>
            <w:vAlign w:val="top"/>
          </w:tcPr>
          <w:p w14:paraId="22935B7F">
            <w:pPr>
              <w:adjustRightInd w:val="0"/>
              <w:snapToGrid w:val="0"/>
              <w:spacing w:line="240" w:lineRule="auto"/>
              <w:jc w:val="center"/>
              <w:rPr>
                <w:rFonts w:hint="eastAsia" w:ascii="宋体" w:hAnsi="宋体" w:eastAsia="宋体" w:cs="宋体"/>
                <w:b/>
                <w:sz w:val="24"/>
                <w:szCs w:val="24"/>
              </w:rPr>
            </w:pPr>
            <w:r>
              <w:rPr>
                <w:rFonts w:hint="eastAsia" w:ascii="宋体" w:hAnsi="宋体" w:eastAsia="宋体" w:cs="宋体"/>
                <w:b/>
                <w:sz w:val="24"/>
                <w:szCs w:val="24"/>
              </w:rPr>
              <w:t>/</w:t>
            </w:r>
          </w:p>
        </w:tc>
      </w:tr>
      <w:tr w14:paraId="692976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6" w:hRule="atLeast"/>
          <w:jc w:val="center"/>
        </w:trPr>
        <w:tc>
          <w:tcPr>
            <w:tcW w:w="8789" w:type="dxa"/>
            <w:gridSpan w:val="6"/>
            <w:noWrap w:val="0"/>
            <w:vAlign w:val="center"/>
          </w:tcPr>
          <w:p w14:paraId="4343B1BC">
            <w:pPr>
              <w:adjustRightInd w:val="0"/>
              <w:snapToGrid w:val="0"/>
              <w:spacing w:line="240" w:lineRule="auto"/>
              <w:jc w:val="center"/>
              <w:rPr>
                <w:rFonts w:hint="eastAsia" w:ascii="宋体" w:hAnsi="宋体" w:eastAsia="宋体" w:cs="宋体"/>
                <w:b/>
                <w:sz w:val="24"/>
                <w:szCs w:val="24"/>
              </w:rPr>
            </w:pPr>
            <w:r>
              <w:rPr>
                <w:rFonts w:hint="eastAsia" w:ascii="宋体" w:hAnsi="宋体" w:eastAsia="宋体" w:cs="宋体"/>
                <w:b/>
                <w:sz w:val="24"/>
                <w:szCs w:val="24"/>
              </w:rPr>
              <w:t>两型产品</w:t>
            </w:r>
          </w:p>
        </w:tc>
      </w:tr>
      <w:tr w14:paraId="18207B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671" w:type="dxa"/>
            <w:noWrap w:val="0"/>
            <w:vAlign w:val="center"/>
          </w:tcPr>
          <w:p w14:paraId="23DCBBD0">
            <w:pPr>
              <w:adjustRightInd w:val="0"/>
              <w:snapToGrid w:val="0"/>
              <w:spacing w:line="240" w:lineRule="auto"/>
              <w:jc w:val="center"/>
              <w:rPr>
                <w:rFonts w:hint="eastAsia" w:ascii="宋体" w:hAnsi="宋体" w:eastAsia="宋体" w:cs="宋体"/>
                <w:sz w:val="24"/>
                <w:szCs w:val="24"/>
              </w:rPr>
            </w:pPr>
          </w:p>
        </w:tc>
        <w:tc>
          <w:tcPr>
            <w:tcW w:w="1739" w:type="dxa"/>
            <w:noWrap w:val="0"/>
            <w:vAlign w:val="center"/>
          </w:tcPr>
          <w:p w14:paraId="542E29DA">
            <w:pPr>
              <w:adjustRightInd w:val="0"/>
              <w:snapToGrid w:val="0"/>
              <w:spacing w:line="240" w:lineRule="auto"/>
              <w:jc w:val="center"/>
              <w:rPr>
                <w:rFonts w:hint="eastAsia" w:ascii="宋体" w:hAnsi="宋体" w:eastAsia="宋体" w:cs="宋体"/>
                <w:sz w:val="24"/>
                <w:szCs w:val="24"/>
              </w:rPr>
            </w:pPr>
          </w:p>
        </w:tc>
        <w:tc>
          <w:tcPr>
            <w:tcW w:w="1134" w:type="dxa"/>
            <w:tcBorders>
              <w:right w:val="single" w:color="auto" w:sz="4" w:space="0"/>
            </w:tcBorders>
            <w:noWrap w:val="0"/>
            <w:vAlign w:val="center"/>
          </w:tcPr>
          <w:p w14:paraId="3DAEB802">
            <w:pPr>
              <w:adjustRightInd w:val="0"/>
              <w:snapToGrid w:val="0"/>
              <w:spacing w:line="240" w:lineRule="auto"/>
              <w:jc w:val="center"/>
              <w:rPr>
                <w:rFonts w:hint="eastAsia" w:ascii="宋体" w:hAnsi="宋体" w:eastAsia="宋体" w:cs="宋体"/>
                <w:sz w:val="24"/>
                <w:szCs w:val="24"/>
              </w:rPr>
            </w:pPr>
          </w:p>
        </w:tc>
        <w:tc>
          <w:tcPr>
            <w:tcW w:w="1418" w:type="dxa"/>
            <w:tcBorders>
              <w:left w:val="single" w:color="auto" w:sz="4" w:space="0"/>
            </w:tcBorders>
            <w:noWrap w:val="0"/>
            <w:vAlign w:val="center"/>
          </w:tcPr>
          <w:p w14:paraId="58307492">
            <w:pPr>
              <w:adjustRightInd w:val="0"/>
              <w:snapToGrid w:val="0"/>
              <w:spacing w:line="240" w:lineRule="auto"/>
              <w:jc w:val="center"/>
              <w:rPr>
                <w:rFonts w:hint="eastAsia" w:ascii="宋体" w:hAnsi="宋体" w:eastAsia="宋体" w:cs="宋体"/>
                <w:sz w:val="24"/>
                <w:szCs w:val="24"/>
              </w:rPr>
            </w:pPr>
          </w:p>
        </w:tc>
        <w:tc>
          <w:tcPr>
            <w:tcW w:w="1984" w:type="dxa"/>
            <w:noWrap w:val="0"/>
            <w:vAlign w:val="center"/>
          </w:tcPr>
          <w:p w14:paraId="45A508DB">
            <w:pPr>
              <w:adjustRightInd w:val="0"/>
              <w:snapToGrid w:val="0"/>
              <w:spacing w:line="240" w:lineRule="auto"/>
              <w:jc w:val="center"/>
              <w:rPr>
                <w:rFonts w:hint="eastAsia" w:ascii="宋体" w:hAnsi="宋体" w:eastAsia="宋体" w:cs="宋体"/>
                <w:sz w:val="24"/>
                <w:szCs w:val="24"/>
              </w:rPr>
            </w:pPr>
          </w:p>
        </w:tc>
        <w:tc>
          <w:tcPr>
            <w:tcW w:w="1843" w:type="dxa"/>
            <w:noWrap w:val="0"/>
            <w:vAlign w:val="top"/>
          </w:tcPr>
          <w:p w14:paraId="5A259694">
            <w:pPr>
              <w:adjustRightInd w:val="0"/>
              <w:snapToGrid w:val="0"/>
              <w:spacing w:line="240" w:lineRule="auto"/>
              <w:jc w:val="center"/>
              <w:rPr>
                <w:rFonts w:hint="eastAsia" w:ascii="宋体" w:hAnsi="宋体" w:eastAsia="宋体" w:cs="宋体"/>
                <w:sz w:val="24"/>
                <w:szCs w:val="24"/>
              </w:rPr>
            </w:pPr>
          </w:p>
        </w:tc>
      </w:tr>
      <w:tr w14:paraId="39BA69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671" w:type="dxa"/>
            <w:noWrap w:val="0"/>
            <w:vAlign w:val="center"/>
          </w:tcPr>
          <w:p w14:paraId="609048E1">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小计</w:t>
            </w:r>
          </w:p>
        </w:tc>
        <w:tc>
          <w:tcPr>
            <w:tcW w:w="1739" w:type="dxa"/>
            <w:noWrap w:val="0"/>
            <w:vAlign w:val="center"/>
          </w:tcPr>
          <w:p w14:paraId="39C22BBF">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c>
          <w:tcPr>
            <w:tcW w:w="1134" w:type="dxa"/>
            <w:tcBorders>
              <w:right w:val="single" w:color="auto" w:sz="4" w:space="0"/>
            </w:tcBorders>
            <w:noWrap w:val="0"/>
            <w:vAlign w:val="center"/>
          </w:tcPr>
          <w:p w14:paraId="71504A89">
            <w:pPr>
              <w:adjustRightInd w:val="0"/>
              <w:snapToGrid w:val="0"/>
              <w:spacing w:line="240" w:lineRule="auto"/>
              <w:jc w:val="center"/>
              <w:rPr>
                <w:rFonts w:hint="eastAsia" w:ascii="宋体" w:hAnsi="宋体" w:eastAsia="宋体" w:cs="宋体"/>
                <w:sz w:val="24"/>
                <w:szCs w:val="24"/>
              </w:rPr>
            </w:pPr>
          </w:p>
        </w:tc>
        <w:tc>
          <w:tcPr>
            <w:tcW w:w="1418" w:type="dxa"/>
            <w:tcBorders>
              <w:left w:val="single" w:color="auto" w:sz="4" w:space="0"/>
            </w:tcBorders>
            <w:noWrap w:val="0"/>
            <w:vAlign w:val="center"/>
          </w:tcPr>
          <w:p w14:paraId="3B3D6B83">
            <w:pPr>
              <w:adjustRightInd w:val="0"/>
              <w:snapToGrid w:val="0"/>
              <w:spacing w:line="240" w:lineRule="auto"/>
              <w:jc w:val="center"/>
              <w:rPr>
                <w:rFonts w:hint="eastAsia" w:ascii="宋体" w:hAnsi="宋体" w:eastAsia="宋体" w:cs="宋体"/>
                <w:sz w:val="24"/>
                <w:szCs w:val="24"/>
              </w:rPr>
            </w:pPr>
          </w:p>
        </w:tc>
        <w:tc>
          <w:tcPr>
            <w:tcW w:w="1984" w:type="dxa"/>
            <w:noWrap w:val="0"/>
            <w:vAlign w:val="center"/>
          </w:tcPr>
          <w:p w14:paraId="5B7F92BD">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c>
          <w:tcPr>
            <w:tcW w:w="1843" w:type="dxa"/>
            <w:noWrap w:val="0"/>
            <w:vAlign w:val="top"/>
          </w:tcPr>
          <w:p w14:paraId="2A0941B5">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r>
    </w:tbl>
    <w:p w14:paraId="1C825082">
      <w:pPr>
        <w:adjustRightInd w:val="0"/>
        <w:snapToGrid w:val="0"/>
        <w:spacing w:line="360" w:lineRule="auto"/>
        <w:jc w:val="left"/>
        <w:rPr>
          <w:rFonts w:hint="eastAsia" w:ascii="宋体" w:hAnsi="宋体" w:eastAsia="宋体" w:cs="宋体"/>
          <w:szCs w:val="21"/>
        </w:rPr>
      </w:pPr>
      <w:r>
        <w:rPr>
          <w:rFonts w:hint="eastAsia" w:ascii="宋体" w:hAnsi="宋体" w:eastAsia="宋体" w:cs="宋体"/>
          <w:szCs w:val="21"/>
        </w:rPr>
        <w:t>说明：</w:t>
      </w:r>
      <w:r>
        <w:rPr>
          <w:rFonts w:hint="eastAsia" w:ascii="宋体" w:hAnsi="宋体" w:eastAsia="宋体" w:cs="宋体"/>
          <w:bCs/>
          <w:szCs w:val="21"/>
        </w:rPr>
        <w:t>1、</w:t>
      </w:r>
      <w:r>
        <w:rPr>
          <w:rFonts w:hint="eastAsia" w:ascii="宋体" w:hAnsi="宋体" w:eastAsia="宋体" w:cs="宋体"/>
          <w:szCs w:val="21"/>
        </w:rPr>
        <w:t>本表用于计算政府采购优先采购产品（节能产品或环境标志产品或两型产品）的政府采购政策加分或者价格扣除。</w:t>
      </w:r>
    </w:p>
    <w:p w14:paraId="6EA83363">
      <w:pPr>
        <w:adjustRightInd w:val="0"/>
        <w:snapToGrid w:val="0"/>
        <w:spacing w:line="360" w:lineRule="auto"/>
        <w:ind w:firstLine="630" w:firstLineChars="300"/>
        <w:jc w:val="left"/>
        <w:rPr>
          <w:rFonts w:hint="eastAsia" w:ascii="宋体" w:hAnsi="宋体" w:eastAsia="宋体" w:cs="宋体"/>
          <w:szCs w:val="21"/>
        </w:rPr>
      </w:pPr>
      <w:r>
        <w:rPr>
          <w:rFonts w:hint="eastAsia" w:ascii="宋体" w:hAnsi="宋体" w:eastAsia="宋体" w:cs="宋体"/>
          <w:szCs w:val="21"/>
        </w:rPr>
        <w:t>2、栏目4“价格”为综合单价，包含货物所有隐含的内容，如运输费、保险费、管理费和利润等。</w:t>
      </w:r>
    </w:p>
    <w:p w14:paraId="2C5CFFDD">
      <w:pPr>
        <w:adjustRightInd w:val="0"/>
        <w:snapToGrid w:val="0"/>
        <w:spacing w:line="360" w:lineRule="auto"/>
        <w:ind w:firstLine="630" w:firstLineChars="300"/>
        <w:jc w:val="left"/>
        <w:rPr>
          <w:rFonts w:hint="eastAsia" w:ascii="宋体" w:hAnsi="宋体" w:eastAsia="宋体" w:cs="宋体"/>
          <w:szCs w:val="21"/>
        </w:rPr>
      </w:pPr>
      <w:r>
        <w:rPr>
          <w:rFonts w:hint="eastAsia" w:ascii="宋体" w:hAnsi="宋体" w:eastAsia="宋体" w:cs="宋体"/>
          <w:szCs w:val="21"/>
        </w:rPr>
        <w:t>3、栏目6“政策功能编码”是指货物的中国环境标志认证证书编号、中国节能标志认证证书号、湖南两型产品编号（货物同时属于节能产品、环境标志产品、两型产品的，只须填写一种）。</w:t>
      </w:r>
    </w:p>
    <w:p w14:paraId="5A2710A3">
      <w:pPr>
        <w:adjustRightInd w:val="0"/>
        <w:snapToGrid w:val="0"/>
        <w:spacing w:line="360" w:lineRule="auto"/>
        <w:ind w:firstLine="630" w:firstLineChars="300"/>
        <w:rPr>
          <w:rFonts w:hint="eastAsia" w:ascii="宋体" w:hAnsi="宋体" w:eastAsia="宋体" w:cs="宋体"/>
          <w:bCs/>
          <w:szCs w:val="21"/>
        </w:rPr>
      </w:pPr>
      <w:r>
        <w:rPr>
          <w:rFonts w:hint="eastAsia" w:ascii="宋体" w:hAnsi="宋体" w:eastAsia="宋体" w:cs="宋体"/>
          <w:bCs/>
          <w:szCs w:val="21"/>
        </w:rPr>
        <w:t>4、投标人在投标截止时间前修改“开标一览表”中的投标报价的，应按第二章第13.7款规定修改本表相应内容。否则，评审时涉及本表所有优惠不予以考虑。</w:t>
      </w:r>
    </w:p>
    <w:p w14:paraId="0431589C">
      <w:pPr>
        <w:adjustRightInd w:val="0"/>
        <w:snapToGrid w:val="0"/>
        <w:spacing w:line="360" w:lineRule="auto"/>
        <w:rPr>
          <w:rFonts w:hint="eastAsia" w:ascii="宋体" w:hAnsi="宋体" w:eastAsia="宋体" w:cs="宋体"/>
          <w:sz w:val="24"/>
          <w:szCs w:val="24"/>
        </w:rPr>
      </w:pPr>
    </w:p>
    <w:p w14:paraId="60F608CD">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投标人名称（盖单位电子章）：</w:t>
      </w:r>
    </w:p>
    <w:p w14:paraId="169FC6CC">
      <w:pPr>
        <w:adjustRightInd w:val="0"/>
        <w:snapToGrid w:val="0"/>
        <w:spacing w:line="360" w:lineRule="auto"/>
        <w:rPr>
          <w:rFonts w:hint="eastAsia" w:ascii="宋体" w:hAnsi="宋体" w:eastAsia="宋体" w:cs="宋体"/>
          <w:sz w:val="24"/>
          <w:szCs w:val="24"/>
        </w:rPr>
      </w:pPr>
      <w:r>
        <w:rPr>
          <w:rFonts w:hint="eastAsia" w:ascii="宋体" w:hAnsi="宋体" w:eastAsia="宋体" w:cs="宋体"/>
          <w:spacing w:val="-2"/>
          <w:kern w:val="0"/>
          <w:sz w:val="24"/>
          <w:szCs w:val="24"/>
        </w:rPr>
        <w:t>法</w:t>
      </w:r>
      <w:r>
        <w:rPr>
          <w:rFonts w:hint="eastAsia" w:ascii="宋体" w:hAnsi="宋体" w:eastAsia="宋体" w:cs="宋体"/>
          <w:kern w:val="0"/>
          <w:sz w:val="24"/>
          <w:szCs w:val="24"/>
        </w:rPr>
        <w:t>定</w:t>
      </w:r>
      <w:r>
        <w:rPr>
          <w:rFonts w:hint="eastAsia" w:ascii="宋体" w:hAnsi="宋体" w:eastAsia="宋体" w:cs="宋体"/>
          <w:spacing w:val="-2"/>
          <w:kern w:val="0"/>
          <w:sz w:val="24"/>
          <w:szCs w:val="24"/>
        </w:rPr>
        <w:t>代</w:t>
      </w:r>
      <w:r>
        <w:rPr>
          <w:rFonts w:hint="eastAsia" w:ascii="宋体" w:hAnsi="宋体" w:eastAsia="宋体" w:cs="宋体"/>
          <w:kern w:val="0"/>
          <w:sz w:val="24"/>
          <w:szCs w:val="24"/>
        </w:rPr>
        <w:t>表</w:t>
      </w:r>
      <w:r>
        <w:rPr>
          <w:rFonts w:hint="eastAsia" w:ascii="宋体" w:hAnsi="宋体" w:eastAsia="宋体" w:cs="宋体"/>
          <w:spacing w:val="-2"/>
          <w:kern w:val="0"/>
          <w:sz w:val="24"/>
          <w:szCs w:val="24"/>
        </w:rPr>
        <w:t>人</w:t>
      </w:r>
      <w:r>
        <w:rPr>
          <w:rFonts w:hint="eastAsia" w:ascii="宋体" w:hAnsi="宋体" w:eastAsia="宋体" w:cs="宋体"/>
          <w:kern w:val="0"/>
          <w:sz w:val="24"/>
          <w:szCs w:val="24"/>
        </w:rPr>
        <w:t>（</w:t>
      </w:r>
      <w:r>
        <w:rPr>
          <w:rFonts w:hint="eastAsia" w:ascii="宋体" w:hAnsi="宋体" w:eastAsia="宋体" w:cs="宋体"/>
          <w:spacing w:val="-2"/>
          <w:kern w:val="0"/>
          <w:sz w:val="24"/>
          <w:szCs w:val="24"/>
        </w:rPr>
        <w:t>单</w:t>
      </w:r>
      <w:r>
        <w:rPr>
          <w:rFonts w:hint="eastAsia" w:ascii="宋体" w:hAnsi="宋体" w:eastAsia="宋体" w:cs="宋体"/>
          <w:kern w:val="0"/>
          <w:sz w:val="24"/>
          <w:szCs w:val="24"/>
        </w:rPr>
        <w:t>位</w:t>
      </w:r>
      <w:r>
        <w:rPr>
          <w:rFonts w:hint="eastAsia" w:ascii="宋体" w:hAnsi="宋体" w:eastAsia="宋体" w:cs="宋体"/>
          <w:spacing w:val="-2"/>
          <w:kern w:val="0"/>
          <w:sz w:val="24"/>
          <w:szCs w:val="24"/>
        </w:rPr>
        <w:t>负</w:t>
      </w:r>
      <w:r>
        <w:rPr>
          <w:rFonts w:hint="eastAsia" w:ascii="宋体" w:hAnsi="宋体" w:eastAsia="宋体" w:cs="宋体"/>
          <w:kern w:val="0"/>
          <w:sz w:val="24"/>
          <w:szCs w:val="24"/>
        </w:rPr>
        <w:t>责人</w:t>
      </w:r>
      <w:r>
        <w:rPr>
          <w:rFonts w:hint="eastAsia" w:ascii="宋体" w:hAnsi="宋体" w:eastAsia="宋体" w:cs="宋体"/>
          <w:spacing w:val="-2"/>
          <w:kern w:val="0"/>
          <w:sz w:val="24"/>
          <w:szCs w:val="24"/>
        </w:rPr>
        <w:t>）</w:t>
      </w:r>
      <w:r>
        <w:rPr>
          <w:rFonts w:hint="eastAsia" w:ascii="宋体" w:hAnsi="宋体" w:eastAsia="宋体" w:cs="宋体"/>
          <w:sz w:val="24"/>
          <w:szCs w:val="24"/>
        </w:rPr>
        <w:t>或其委托代理人（签字或签章）：</w:t>
      </w:r>
      <w:r>
        <w:rPr>
          <w:rFonts w:hint="eastAsia" w:ascii="宋体" w:hAnsi="宋体" w:eastAsia="宋体" w:cs="宋体"/>
          <w:sz w:val="24"/>
          <w:szCs w:val="24"/>
          <w:u w:val="single"/>
        </w:rPr>
        <w:t xml:space="preserve">       </w:t>
      </w:r>
    </w:p>
    <w:p w14:paraId="7B4EDCCB">
      <w:pPr>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0C110B89">
      <w:pPr>
        <w:keepNext/>
        <w:keepLines/>
        <w:widowControl w:val="0"/>
        <w:bidi w:val="0"/>
        <w:spacing w:before="340" w:beforeLines="0" w:beforeAutospacing="0" w:after="330" w:afterLines="0" w:afterAutospacing="0" w:line="576" w:lineRule="auto"/>
        <w:jc w:val="center"/>
        <w:outlineLvl w:val="0"/>
        <w:rPr>
          <w:rFonts w:hint="eastAsia" w:ascii="Calibri" w:hAnsi="Calibri" w:eastAsia="宋体" w:cs="Times New Roman"/>
          <w:b/>
          <w:kern w:val="44"/>
          <w:sz w:val="32"/>
          <w:szCs w:val="32"/>
          <w:lang w:val="en-US" w:eastAsia="zh-CN" w:bidi="ar-SA"/>
        </w:rPr>
      </w:pPr>
      <w:bookmarkStart w:id="215" w:name="_Toc2151"/>
      <w:bookmarkStart w:id="216" w:name="_Toc2561"/>
      <w:bookmarkStart w:id="217" w:name="_Toc18307"/>
      <w:bookmarkStart w:id="218" w:name="_Toc5362"/>
      <w:r>
        <w:rPr>
          <w:rFonts w:hint="eastAsia" w:ascii="Calibri" w:hAnsi="Calibri" w:eastAsia="宋体" w:cs="Times New Roman"/>
          <w:b/>
          <w:kern w:val="44"/>
          <w:sz w:val="32"/>
          <w:szCs w:val="32"/>
          <w:lang w:val="en-US" w:eastAsia="zh-CN" w:bidi="ar-SA"/>
        </w:rPr>
        <w:t>十一、投标服务符合招标文件规定的证明文件</w:t>
      </w:r>
      <w:bookmarkEnd w:id="215"/>
      <w:bookmarkEnd w:id="216"/>
      <w:bookmarkEnd w:id="217"/>
      <w:bookmarkEnd w:id="218"/>
    </w:p>
    <w:p w14:paraId="40A60B34">
      <w:pPr>
        <w:rPr>
          <w:rFonts w:hint="eastAsia" w:ascii="宋体" w:hAnsi="宋体" w:eastAsia="宋体" w:cs="宋体"/>
          <w:sz w:val="24"/>
          <w:szCs w:val="24"/>
        </w:rPr>
      </w:pPr>
      <w:r>
        <w:rPr>
          <w:rFonts w:hint="eastAsia" w:ascii="宋体" w:hAnsi="宋体" w:eastAsia="宋体" w:cs="宋体"/>
          <w:sz w:val="24"/>
          <w:szCs w:val="24"/>
        </w:rPr>
        <w:t>备注：提供第五章规定的证明材料复印件。</w:t>
      </w:r>
    </w:p>
    <w:p w14:paraId="0C5FD815">
      <w:pPr>
        <w:rPr>
          <w:rFonts w:hint="eastAsia" w:ascii="宋体" w:hAnsi="宋体" w:eastAsia="宋体" w:cs="宋体"/>
          <w:sz w:val="28"/>
          <w:szCs w:val="28"/>
        </w:rPr>
      </w:pPr>
      <w:r>
        <w:rPr>
          <w:rFonts w:hint="eastAsia" w:ascii="宋体" w:hAnsi="宋体" w:eastAsia="宋体" w:cs="宋体"/>
          <w:sz w:val="28"/>
          <w:szCs w:val="28"/>
        </w:rPr>
        <w:br w:type="page"/>
      </w:r>
    </w:p>
    <w:p w14:paraId="79F9177D">
      <w:pPr>
        <w:keepNext/>
        <w:keepLines/>
        <w:widowControl w:val="0"/>
        <w:bidi w:val="0"/>
        <w:spacing w:before="340" w:beforeLines="0" w:beforeAutospacing="0" w:after="330" w:afterLines="0" w:afterAutospacing="0" w:line="576" w:lineRule="auto"/>
        <w:jc w:val="center"/>
        <w:outlineLvl w:val="0"/>
        <w:rPr>
          <w:rFonts w:hint="eastAsia" w:ascii="Calibri" w:hAnsi="Calibri" w:eastAsia="宋体" w:cs="Times New Roman"/>
          <w:b/>
          <w:kern w:val="44"/>
          <w:sz w:val="32"/>
          <w:szCs w:val="32"/>
          <w:lang w:val="en-US" w:eastAsia="zh-CN" w:bidi="ar-SA"/>
        </w:rPr>
      </w:pPr>
      <w:bookmarkStart w:id="219" w:name="_Toc7445"/>
      <w:bookmarkStart w:id="220" w:name="_Toc10607"/>
      <w:bookmarkStart w:id="221" w:name="_Toc15533"/>
      <w:bookmarkStart w:id="222" w:name="_Toc8471"/>
      <w:r>
        <w:rPr>
          <w:rFonts w:hint="eastAsia" w:ascii="Calibri" w:hAnsi="Calibri" w:eastAsia="宋体" w:cs="Times New Roman"/>
          <w:b/>
          <w:kern w:val="44"/>
          <w:sz w:val="32"/>
          <w:szCs w:val="32"/>
          <w:lang w:val="en-US" w:eastAsia="zh-CN" w:bidi="ar-SA"/>
        </w:rPr>
        <w:t>十二、投标人认为需提供的其他资料</w:t>
      </w:r>
      <w:bookmarkEnd w:id="219"/>
      <w:bookmarkEnd w:id="220"/>
      <w:bookmarkEnd w:id="221"/>
      <w:bookmarkEnd w:id="222"/>
    </w:p>
    <w:p w14:paraId="50EDCBAE">
      <w:pPr>
        <w:adjustRightInd w:val="0"/>
        <w:snapToGrid w:val="0"/>
        <w:spacing w:before="156" w:beforeLines="50" w:line="360" w:lineRule="auto"/>
        <w:jc w:val="left"/>
        <w:rPr>
          <w:rFonts w:hint="eastAsia" w:ascii="宋体" w:hAnsi="宋体" w:eastAsia="宋体" w:cs="宋体"/>
          <w:sz w:val="24"/>
          <w:szCs w:val="24"/>
        </w:rPr>
      </w:pPr>
      <w:r>
        <w:rPr>
          <w:rFonts w:hint="eastAsia" w:ascii="宋体" w:hAnsi="宋体" w:eastAsia="宋体" w:cs="宋体"/>
          <w:sz w:val="24"/>
          <w:szCs w:val="24"/>
        </w:rPr>
        <w:t>备注：投标人认为需提供的其他资料包括：</w:t>
      </w:r>
    </w:p>
    <w:p w14:paraId="6907F694">
      <w:pPr>
        <w:adjustRightInd w:val="0"/>
        <w:snapToGrid w:val="0"/>
        <w:spacing w:before="156" w:beforeLines="50"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（1）招标文件第五章采购需求要求的其他资料；</w:t>
      </w:r>
    </w:p>
    <w:p w14:paraId="7D3F04BE">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（2）招标文件第四章评标方法及标准要求的其他相关资料。</w:t>
      </w:r>
    </w:p>
    <w:p w14:paraId="408DCE08">
      <w:pPr>
        <w:pStyle w:val="13"/>
        <w:rPr>
          <w:highlight w:val="none"/>
        </w:rPr>
      </w:pPr>
    </w:p>
    <w:sectPr>
      <w:headerReference r:id="rId5" w:type="default"/>
      <w:footerReference r:id="rId6" w:type="default"/>
      <w:pgSz w:w="11906" w:h="16838"/>
      <w:pgMar w:top="1474" w:right="1587" w:bottom="1474" w:left="1587" w:header="850"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roman"/>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TimesNewRomanPSMT">
    <w:altName w:val="Times New Roman"/>
    <w:panose1 w:val="00000000000000000000"/>
    <w:charset w:val="00"/>
    <w:family w:val="roman"/>
    <w:pitch w:val="default"/>
    <w:sig w:usb0="00000000" w:usb1="00000000" w:usb2="00000001" w:usb3="00000000" w:csb0="400001BF" w:csb1="DFF7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Wingdings 2">
    <w:panose1 w:val="05020102010507070707"/>
    <w:charset w:val="02"/>
    <w:family w:val="roman"/>
    <w:pitch w:val="default"/>
    <w:sig w:usb0="00000000" w:usb1="00000000" w:usb2="00000000" w:usb3="00000000" w:csb0="80000000" w:csb1="00000000"/>
  </w:font>
  <w:font w:name="Microsoft JhengHei">
    <w:panose1 w:val="020B0604030504040204"/>
    <w:charset w:val="88"/>
    <w:family w:val="swiss"/>
    <w:pitch w:val="default"/>
    <w:sig w:usb0="000002A7" w:usb1="28CF4400" w:usb2="00000016" w:usb3="00000000" w:csb0="00100009" w:csb1="00000000"/>
  </w:font>
  <w:font w:name="ˎ̥">
    <w:altName w:val="微软雅黑"/>
    <w:panose1 w:val="00000000000000000000"/>
    <w:charset w:val="00"/>
    <w:family w:val="swiss"/>
    <w:pitch w:val="default"/>
    <w:sig w:usb0="00000000" w:usb1="00000000" w:usb2="00000000"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4EFE4">
    <w:pPr>
      <w:pStyle w:val="28"/>
      <w:ind w:left="180" w:right="360" w:hanging="180" w:hangingChars="100"/>
      <w:rPr>
        <w:rFonts w:eastAsia="楷体_GB2312"/>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1DFA8F50">
                          <w:pPr>
                            <w:pStyle w:val="28"/>
                          </w:pPr>
                          <w:r>
                            <w:rPr>
                              <w:rFonts w:hint="eastAsia"/>
                            </w:rPr>
                            <w:t xml:space="preserve">第 </w:t>
                          </w:r>
                          <w:r>
                            <w:fldChar w:fldCharType="begin"/>
                          </w:r>
                          <w:r>
                            <w:instrText xml:space="preserve"> PAGE  \* MERGEFORMAT </w:instrText>
                          </w:r>
                          <w:r>
                            <w:fldChar w:fldCharType="separate"/>
                          </w:r>
                          <w:r>
                            <w:t>36</w:t>
                          </w:r>
                          <w:r>
                            <w:fldChar w:fldCharType="end"/>
                          </w:r>
                          <w:r>
                            <w:rPr>
                              <w:rFonts w:hint="eastAsia"/>
                            </w:rPr>
                            <w:t xml:space="preserve"> 页</w:t>
                          </w:r>
                        </w:p>
                      </w:txbxContent>
                    </wps:txbx>
                    <wps:bodyPr wrap="none" lIns="0" tIns="0" rIns="0" bIns="0" upright="1">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ql5uc8AAAAFAQAADwAAAAAAAAABACAAAAAi&#10;AAAAZHJzL2Rvd25yZXYueG1sUEsBAhQAFAAAAAgAh07iQNEN5P/aAQAAswMAAA4AAAAAAAAAAQAg&#10;AAAAHgEAAGRycy9lMm9Eb2MueG1sUEsFBgAAAAAGAAYAWQEAAGoFAAAAAA==&#10;">
              <v:fill on="f" focussize="0,0"/>
              <v:stroke on="f"/>
              <v:imagedata o:title=""/>
              <o:lock v:ext="edit" aspectratio="f"/>
              <v:textbox inset="0mm,0mm,0mm,0mm" style="mso-fit-shape-to-text:t;">
                <w:txbxContent>
                  <w:p w14:paraId="1DFA8F50">
                    <w:pPr>
                      <w:pStyle w:val="28"/>
                    </w:pPr>
                    <w:r>
                      <w:rPr>
                        <w:rFonts w:hint="eastAsia"/>
                      </w:rPr>
                      <w:t xml:space="preserve">第 </w:t>
                    </w:r>
                    <w:r>
                      <w:fldChar w:fldCharType="begin"/>
                    </w:r>
                    <w:r>
                      <w:instrText xml:space="preserve"> PAGE  \* MERGEFORMAT </w:instrText>
                    </w:r>
                    <w:r>
                      <w:fldChar w:fldCharType="separate"/>
                    </w:r>
                    <w:r>
                      <w:t>36</w:t>
                    </w:r>
                    <w: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52A6A">
    <w:pPr>
      <w:pStyle w:val="28"/>
      <w:ind w:left="180" w:right="360" w:hanging="180" w:hangingChars="100"/>
      <w:rPr>
        <w:rFonts w:eastAsia="楷体_GB2312"/>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37768051">
                          <w:pPr>
                            <w:pStyle w:val="28"/>
                          </w:pPr>
                          <w:r>
                            <w:rPr>
                              <w:rFonts w:hint="eastAsia"/>
                            </w:rPr>
                            <w:t xml:space="preserve">第 </w:t>
                          </w:r>
                          <w:r>
                            <w:fldChar w:fldCharType="begin"/>
                          </w:r>
                          <w:r>
                            <w:instrText xml:space="preserve"> PAGE  \* MERGEFORMAT </w:instrText>
                          </w:r>
                          <w:r>
                            <w:fldChar w:fldCharType="separate"/>
                          </w:r>
                          <w:r>
                            <w:t>90</w:t>
                          </w:r>
                          <w:r>
                            <w:fldChar w:fldCharType="end"/>
                          </w:r>
                          <w:r>
                            <w:rPr>
                              <w:rFonts w:hint="eastAsia"/>
                            </w:rPr>
                            <w:t xml:space="preserve"> 页</w:t>
                          </w:r>
                        </w:p>
                      </w:txbxContent>
                    </wps:txbx>
                    <wps:bodyPr wrap="none" lIns="0" tIns="0" rIns="0" bIns="0" upright="1">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OqXm5zwAAAAUBAAAPAAAAAAAAAAEAIAAAACIA&#10;AABkcnMvZG93bnJldi54bWxQSwECFAAUAAAACACHTuJAHsDImNkBAACzAwAADgAAAAAAAAABACAA&#10;AAAeAQAAZHJzL2Uyb0RvYy54bWxQSwUGAAAAAAYABgBZAQAAaQUAAAAA&#10;">
              <v:fill on="f" focussize="0,0"/>
              <v:stroke on="f"/>
              <v:imagedata o:title=""/>
              <o:lock v:ext="edit" aspectratio="f"/>
              <v:textbox inset="0mm,0mm,0mm,0mm" style="mso-fit-shape-to-text:t;">
                <w:txbxContent>
                  <w:p w14:paraId="37768051">
                    <w:pPr>
                      <w:pStyle w:val="28"/>
                    </w:pPr>
                    <w:r>
                      <w:rPr>
                        <w:rFonts w:hint="eastAsia"/>
                      </w:rPr>
                      <w:t xml:space="preserve">第 </w:t>
                    </w:r>
                    <w:r>
                      <w:fldChar w:fldCharType="begin"/>
                    </w:r>
                    <w:r>
                      <w:instrText xml:space="preserve"> PAGE  \* MERGEFORMAT </w:instrText>
                    </w:r>
                    <w:r>
                      <w:fldChar w:fldCharType="separate"/>
                    </w:r>
                    <w:r>
                      <w:t>90</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B49F8">
    <w:pPr>
      <w:pStyle w:val="2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9BB68">
    <w:pPr>
      <w:pStyle w:val="2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960169"/>
    <w:multiLevelType w:val="singleLevel"/>
    <w:tmpl w:val="AD960169"/>
    <w:lvl w:ilvl="0" w:tentative="0">
      <w:start w:val="2"/>
      <w:numFmt w:val="chineseCounting"/>
      <w:suff w:val="nothing"/>
      <w:lvlText w:val="（%1）"/>
      <w:lvlJc w:val="left"/>
      <w:rPr>
        <w:rFonts w:hint="eastAsia"/>
      </w:rPr>
    </w:lvl>
  </w:abstractNum>
  <w:abstractNum w:abstractNumId="1">
    <w:nsid w:val="B376F885"/>
    <w:multiLevelType w:val="singleLevel"/>
    <w:tmpl w:val="B376F885"/>
    <w:lvl w:ilvl="0" w:tentative="0">
      <w:start w:val="1"/>
      <w:numFmt w:val="decimal"/>
      <w:suff w:val="nothing"/>
      <w:lvlText w:val="（%1）"/>
      <w:lvlJc w:val="left"/>
    </w:lvl>
  </w:abstractNum>
  <w:abstractNum w:abstractNumId="2">
    <w:nsid w:val="B944E5AA"/>
    <w:multiLevelType w:val="singleLevel"/>
    <w:tmpl w:val="B944E5AA"/>
    <w:lvl w:ilvl="0" w:tentative="0">
      <w:start w:val="3"/>
      <w:numFmt w:val="decimal"/>
      <w:suff w:val="nothing"/>
      <w:lvlText w:val="%1、"/>
      <w:lvlJc w:val="left"/>
    </w:lvl>
  </w:abstractNum>
  <w:abstractNum w:abstractNumId="3">
    <w:nsid w:val="0170B921"/>
    <w:multiLevelType w:val="singleLevel"/>
    <w:tmpl w:val="0170B921"/>
    <w:lvl w:ilvl="0" w:tentative="0">
      <w:start w:val="5"/>
      <w:numFmt w:val="chineseCounting"/>
      <w:suff w:val="space"/>
      <w:lvlText w:val="第%1章"/>
      <w:lvlJc w:val="left"/>
      <w:rPr>
        <w:rFonts w:hint="eastAsia"/>
      </w:rPr>
    </w:lvl>
  </w:abstractNum>
  <w:abstractNum w:abstractNumId="4">
    <w:nsid w:val="25E40327"/>
    <w:multiLevelType w:val="singleLevel"/>
    <w:tmpl w:val="25E40327"/>
    <w:lvl w:ilvl="0" w:tentative="0">
      <w:start w:val="2"/>
      <w:numFmt w:val="decimal"/>
      <w:suff w:val="nothing"/>
      <w:lvlText w:val="%1、"/>
      <w:lvlJc w:val="left"/>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jOTdlYzNiZjlkMzU5MDZjYTFkMDIzYWRmNGM4YTkifQ=="/>
  </w:docVars>
  <w:rsids>
    <w:rsidRoot w:val="00172A27"/>
    <w:rsid w:val="00000A61"/>
    <w:rsid w:val="00000A83"/>
    <w:rsid w:val="000013FE"/>
    <w:rsid w:val="0000186F"/>
    <w:rsid w:val="00001A03"/>
    <w:rsid w:val="00002568"/>
    <w:rsid w:val="000037DE"/>
    <w:rsid w:val="00003D23"/>
    <w:rsid w:val="00006552"/>
    <w:rsid w:val="0001024D"/>
    <w:rsid w:val="00010382"/>
    <w:rsid w:val="00013365"/>
    <w:rsid w:val="00013466"/>
    <w:rsid w:val="00013574"/>
    <w:rsid w:val="00013923"/>
    <w:rsid w:val="00014A82"/>
    <w:rsid w:val="00015858"/>
    <w:rsid w:val="0001617A"/>
    <w:rsid w:val="00017581"/>
    <w:rsid w:val="000175E8"/>
    <w:rsid w:val="00017CF0"/>
    <w:rsid w:val="00017F9C"/>
    <w:rsid w:val="00023B5C"/>
    <w:rsid w:val="000252F0"/>
    <w:rsid w:val="00025EED"/>
    <w:rsid w:val="00027D0F"/>
    <w:rsid w:val="00030A53"/>
    <w:rsid w:val="00031705"/>
    <w:rsid w:val="00031C52"/>
    <w:rsid w:val="00032D53"/>
    <w:rsid w:val="000333AE"/>
    <w:rsid w:val="000358FA"/>
    <w:rsid w:val="00035B2B"/>
    <w:rsid w:val="00040247"/>
    <w:rsid w:val="00040313"/>
    <w:rsid w:val="00040E14"/>
    <w:rsid w:val="0004234C"/>
    <w:rsid w:val="00045B4B"/>
    <w:rsid w:val="00046881"/>
    <w:rsid w:val="00047440"/>
    <w:rsid w:val="0004759C"/>
    <w:rsid w:val="00047C70"/>
    <w:rsid w:val="0005019F"/>
    <w:rsid w:val="000508AD"/>
    <w:rsid w:val="0005168D"/>
    <w:rsid w:val="0005208E"/>
    <w:rsid w:val="00052DE1"/>
    <w:rsid w:val="00053BE1"/>
    <w:rsid w:val="00053C94"/>
    <w:rsid w:val="000566BD"/>
    <w:rsid w:val="0005701C"/>
    <w:rsid w:val="000606A2"/>
    <w:rsid w:val="00060C04"/>
    <w:rsid w:val="00061310"/>
    <w:rsid w:val="00061914"/>
    <w:rsid w:val="000620A1"/>
    <w:rsid w:val="000662FC"/>
    <w:rsid w:val="00066657"/>
    <w:rsid w:val="000675E6"/>
    <w:rsid w:val="000677C7"/>
    <w:rsid w:val="00067D0B"/>
    <w:rsid w:val="000709FB"/>
    <w:rsid w:val="00070B21"/>
    <w:rsid w:val="00072573"/>
    <w:rsid w:val="0007343D"/>
    <w:rsid w:val="000745C1"/>
    <w:rsid w:val="0007473A"/>
    <w:rsid w:val="00074CB8"/>
    <w:rsid w:val="00076502"/>
    <w:rsid w:val="000775DD"/>
    <w:rsid w:val="00082346"/>
    <w:rsid w:val="000841E5"/>
    <w:rsid w:val="00085204"/>
    <w:rsid w:val="00087CA6"/>
    <w:rsid w:val="000904BC"/>
    <w:rsid w:val="00090D47"/>
    <w:rsid w:val="00091751"/>
    <w:rsid w:val="000917F5"/>
    <w:rsid w:val="000921D2"/>
    <w:rsid w:val="00092E61"/>
    <w:rsid w:val="0009483A"/>
    <w:rsid w:val="00095A0E"/>
    <w:rsid w:val="00097FB9"/>
    <w:rsid w:val="000A0CD6"/>
    <w:rsid w:val="000A2575"/>
    <w:rsid w:val="000A2631"/>
    <w:rsid w:val="000A3313"/>
    <w:rsid w:val="000A4283"/>
    <w:rsid w:val="000A6658"/>
    <w:rsid w:val="000A676C"/>
    <w:rsid w:val="000B0390"/>
    <w:rsid w:val="000B0E6E"/>
    <w:rsid w:val="000B1581"/>
    <w:rsid w:val="000B1637"/>
    <w:rsid w:val="000B1715"/>
    <w:rsid w:val="000B2722"/>
    <w:rsid w:val="000B320F"/>
    <w:rsid w:val="000B3A4F"/>
    <w:rsid w:val="000B48CB"/>
    <w:rsid w:val="000B5D7D"/>
    <w:rsid w:val="000B67D9"/>
    <w:rsid w:val="000B6A6A"/>
    <w:rsid w:val="000B7DF1"/>
    <w:rsid w:val="000C035B"/>
    <w:rsid w:val="000C0714"/>
    <w:rsid w:val="000C188C"/>
    <w:rsid w:val="000C245B"/>
    <w:rsid w:val="000C2AE6"/>
    <w:rsid w:val="000C354A"/>
    <w:rsid w:val="000C4FD9"/>
    <w:rsid w:val="000C52A0"/>
    <w:rsid w:val="000C6B2C"/>
    <w:rsid w:val="000C70C2"/>
    <w:rsid w:val="000C7812"/>
    <w:rsid w:val="000D04C8"/>
    <w:rsid w:val="000D0E5E"/>
    <w:rsid w:val="000D1018"/>
    <w:rsid w:val="000D211B"/>
    <w:rsid w:val="000D2A3F"/>
    <w:rsid w:val="000D3A6A"/>
    <w:rsid w:val="000D5249"/>
    <w:rsid w:val="000D6514"/>
    <w:rsid w:val="000E3A4C"/>
    <w:rsid w:val="000E3DCC"/>
    <w:rsid w:val="000E4525"/>
    <w:rsid w:val="000E46D9"/>
    <w:rsid w:val="000E4E95"/>
    <w:rsid w:val="000E50DD"/>
    <w:rsid w:val="000E640C"/>
    <w:rsid w:val="000E7308"/>
    <w:rsid w:val="000E7417"/>
    <w:rsid w:val="000E741F"/>
    <w:rsid w:val="000F1A45"/>
    <w:rsid w:val="000F1AF9"/>
    <w:rsid w:val="000F21C8"/>
    <w:rsid w:val="000F3713"/>
    <w:rsid w:val="000F376A"/>
    <w:rsid w:val="000F4155"/>
    <w:rsid w:val="000F44CB"/>
    <w:rsid w:val="000F4F2F"/>
    <w:rsid w:val="000F5866"/>
    <w:rsid w:val="000F620C"/>
    <w:rsid w:val="000F67F4"/>
    <w:rsid w:val="000F7591"/>
    <w:rsid w:val="001000C3"/>
    <w:rsid w:val="001047E3"/>
    <w:rsid w:val="00104908"/>
    <w:rsid w:val="00105A9C"/>
    <w:rsid w:val="00106446"/>
    <w:rsid w:val="00107077"/>
    <w:rsid w:val="00110B4B"/>
    <w:rsid w:val="001113FC"/>
    <w:rsid w:val="00111596"/>
    <w:rsid w:val="00111CC9"/>
    <w:rsid w:val="00112A3D"/>
    <w:rsid w:val="001133AC"/>
    <w:rsid w:val="00113C61"/>
    <w:rsid w:val="00114B15"/>
    <w:rsid w:val="00117058"/>
    <w:rsid w:val="00117D51"/>
    <w:rsid w:val="00120369"/>
    <w:rsid w:val="00121A30"/>
    <w:rsid w:val="001228FD"/>
    <w:rsid w:val="001232B6"/>
    <w:rsid w:val="00124345"/>
    <w:rsid w:val="00125769"/>
    <w:rsid w:val="00125F48"/>
    <w:rsid w:val="00126231"/>
    <w:rsid w:val="001264DC"/>
    <w:rsid w:val="0013172D"/>
    <w:rsid w:val="001322EF"/>
    <w:rsid w:val="00134894"/>
    <w:rsid w:val="001348D3"/>
    <w:rsid w:val="00135375"/>
    <w:rsid w:val="001370E3"/>
    <w:rsid w:val="00137D79"/>
    <w:rsid w:val="00140DA3"/>
    <w:rsid w:val="001413DF"/>
    <w:rsid w:val="00141BEE"/>
    <w:rsid w:val="00143121"/>
    <w:rsid w:val="00144141"/>
    <w:rsid w:val="00144B56"/>
    <w:rsid w:val="00144F97"/>
    <w:rsid w:val="0014699B"/>
    <w:rsid w:val="00146D14"/>
    <w:rsid w:val="00151BA6"/>
    <w:rsid w:val="00153C89"/>
    <w:rsid w:val="00156049"/>
    <w:rsid w:val="001564DB"/>
    <w:rsid w:val="0016109A"/>
    <w:rsid w:val="001617E9"/>
    <w:rsid w:val="00162175"/>
    <w:rsid w:val="00162403"/>
    <w:rsid w:val="0016254E"/>
    <w:rsid w:val="00162F23"/>
    <w:rsid w:val="0016451E"/>
    <w:rsid w:val="0016583A"/>
    <w:rsid w:val="00166A7A"/>
    <w:rsid w:val="00166F38"/>
    <w:rsid w:val="00167763"/>
    <w:rsid w:val="001708E8"/>
    <w:rsid w:val="0017148D"/>
    <w:rsid w:val="00172A27"/>
    <w:rsid w:val="00173713"/>
    <w:rsid w:val="00173A95"/>
    <w:rsid w:val="00173D83"/>
    <w:rsid w:val="00173FF2"/>
    <w:rsid w:val="0017404D"/>
    <w:rsid w:val="00175C3F"/>
    <w:rsid w:val="00175FE2"/>
    <w:rsid w:val="0017633E"/>
    <w:rsid w:val="00176DC7"/>
    <w:rsid w:val="0017741D"/>
    <w:rsid w:val="001810E9"/>
    <w:rsid w:val="00181D2E"/>
    <w:rsid w:val="001828D3"/>
    <w:rsid w:val="001846F2"/>
    <w:rsid w:val="001850A4"/>
    <w:rsid w:val="00185B43"/>
    <w:rsid w:val="00186927"/>
    <w:rsid w:val="001870D2"/>
    <w:rsid w:val="00190C8F"/>
    <w:rsid w:val="00192075"/>
    <w:rsid w:val="00193526"/>
    <w:rsid w:val="00195771"/>
    <w:rsid w:val="00197441"/>
    <w:rsid w:val="001A053D"/>
    <w:rsid w:val="001A101A"/>
    <w:rsid w:val="001A2976"/>
    <w:rsid w:val="001A3AA5"/>
    <w:rsid w:val="001A3AFC"/>
    <w:rsid w:val="001A3BCB"/>
    <w:rsid w:val="001A4D9B"/>
    <w:rsid w:val="001A561A"/>
    <w:rsid w:val="001A58C6"/>
    <w:rsid w:val="001A59EB"/>
    <w:rsid w:val="001B2294"/>
    <w:rsid w:val="001B313B"/>
    <w:rsid w:val="001B383C"/>
    <w:rsid w:val="001B4531"/>
    <w:rsid w:val="001B4F01"/>
    <w:rsid w:val="001B5907"/>
    <w:rsid w:val="001C2072"/>
    <w:rsid w:val="001C274B"/>
    <w:rsid w:val="001C3481"/>
    <w:rsid w:val="001C4E4C"/>
    <w:rsid w:val="001C5444"/>
    <w:rsid w:val="001C7B25"/>
    <w:rsid w:val="001D0F5F"/>
    <w:rsid w:val="001D26DC"/>
    <w:rsid w:val="001D300D"/>
    <w:rsid w:val="001D302B"/>
    <w:rsid w:val="001D574C"/>
    <w:rsid w:val="001D5B75"/>
    <w:rsid w:val="001E1D4A"/>
    <w:rsid w:val="001E3A6E"/>
    <w:rsid w:val="001E3AF6"/>
    <w:rsid w:val="001E3D6A"/>
    <w:rsid w:val="001E4458"/>
    <w:rsid w:val="001E59F7"/>
    <w:rsid w:val="001E6A66"/>
    <w:rsid w:val="001F075D"/>
    <w:rsid w:val="001F130D"/>
    <w:rsid w:val="001F1819"/>
    <w:rsid w:val="001F3A23"/>
    <w:rsid w:val="001F4878"/>
    <w:rsid w:val="001F5321"/>
    <w:rsid w:val="001F534E"/>
    <w:rsid w:val="001F5B18"/>
    <w:rsid w:val="001F7AFA"/>
    <w:rsid w:val="00200789"/>
    <w:rsid w:val="002008A9"/>
    <w:rsid w:val="00200C39"/>
    <w:rsid w:val="002018AB"/>
    <w:rsid w:val="002023F0"/>
    <w:rsid w:val="0020308E"/>
    <w:rsid w:val="00203EA6"/>
    <w:rsid w:val="00206018"/>
    <w:rsid w:val="00210EE8"/>
    <w:rsid w:val="00210F21"/>
    <w:rsid w:val="0021548B"/>
    <w:rsid w:val="00215C17"/>
    <w:rsid w:val="00215D98"/>
    <w:rsid w:val="00216282"/>
    <w:rsid w:val="00216FA2"/>
    <w:rsid w:val="002203CE"/>
    <w:rsid w:val="00221240"/>
    <w:rsid w:val="00221600"/>
    <w:rsid w:val="00221BE4"/>
    <w:rsid w:val="00223541"/>
    <w:rsid w:val="00223B66"/>
    <w:rsid w:val="002240A4"/>
    <w:rsid w:val="0022478B"/>
    <w:rsid w:val="00225547"/>
    <w:rsid w:val="002303FF"/>
    <w:rsid w:val="00230B4C"/>
    <w:rsid w:val="0023235C"/>
    <w:rsid w:val="00232836"/>
    <w:rsid w:val="0023339C"/>
    <w:rsid w:val="00234309"/>
    <w:rsid w:val="00235123"/>
    <w:rsid w:val="002416E2"/>
    <w:rsid w:val="002419D0"/>
    <w:rsid w:val="00242897"/>
    <w:rsid w:val="00242A62"/>
    <w:rsid w:val="002444EA"/>
    <w:rsid w:val="00245EF6"/>
    <w:rsid w:val="0025131F"/>
    <w:rsid w:val="00253669"/>
    <w:rsid w:val="00253F0D"/>
    <w:rsid w:val="00255414"/>
    <w:rsid w:val="00255AC7"/>
    <w:rsid w:val="002569C5"/>
    <w:rsid w:val="00256A84"/>
    <w:rsid w:val="00257F4D"/>
    <w:rsid w:val="0026198C"/>
    <w:rsid w:val="00261AC6"/>
    <w:rsid w:val="00262FCB"/>
    <w:rsid w:val="00263AB2"/>
    <w:rsid w:val="002643E5"/>
    <w:rsid w:val="00264EB2"/>
    <w:rsid w:val="00265009"/>
    <w:rsid w:val="0026705D"/>
    <w:rsid w:val="00267C83"/>
    <w:rsid w:val="00270DBF"/>
    <w:rsid w:val="00272498"/>
    <w:rsid w:val="002725B6"/>
    <w:rsid w:val="002726B5"/>
    <w:rsid w:val="00276030"/>
    <w:rsid w:val="00276AC4"/>
    <w:rsid w:val="00276F7B"/>
    <w:rsid w:val="0027767A"/>
    <w:rsid w:val="002815E4"/>
    <w:rsid w:val="0028240A"/>
    <w:rsid w:val="00282892"/>
    <w:rsid w:val="00283506"/>
    <w:rsid w:val="00283A43"/>
    <w:rsid w:val="002842BF"/>
    <w:rsid w:val="00284301"/>
    <w:rsid w:val="00284647"/>
    <w:rsid w:val="0028487B"/>
    <w:rsid w:val="002849EB"/>
    <w:rsid w:val="00285A81"/>
    <w:rsid w:val="00285BDF"/>
    <w:rsid w:val="00285F61"/>
    <w:rsid w:val="002862E3"/>
    <w:rsid w:val="002868A8"/>
    <w:rsid w:val="00287BB6"/>
    <w:rsid w:val="00287E12"/>
    <w:rsid w:val="00290DAB"/>
    <w:rsid w:val="00291042"/>
    <w:rsid w:val="00291C24"/>
    <w:rsid w:val="00292441"/>
    <w:rsid w:val="00292F73"/>
    <w:rsid w:val="00293A07"/>
    <w:rsid w:val="002950BC"/>
    <w:rsid w:val="00295CE8"/>
    <w:rsid w:val="002962B1"/>
    <w:rsid w:val="002965AD"/>
    <w:rsid w:val="00297B75"/>
    <w:rsid w:val="002A0C4E"/>
    <w:rsid w:val="002A1672"/>
    <w:rsid w:val="002A22D6"/>
    <w:rsid w:val="002A3505"/>
    <w:rsid w:val="002A3741"/>
    <w:rsid w:val="002A4AAB"/>
    <w:rsid w:val="002A5CB2"/>
    <w:rsid w:val="002A5E44"/>
    <w:rsid w:val="002A65E2"/>
    <w:rsid w:val="002A7BBC"/>
    <w:rsid w:val="002B12E2"/>
    <w:rsid w:val="002B1662"/>
    <w:rsid w:val="002B3F03"/>
    <w:rsid w:val="002B4148"/>
    <w:rsid w:val="002B469A"/>
    <w:rsid w:val="002B51EA"/>
    <w:rsid w:val="002B7974"/>
    <w:rsid w:val="002C0DD0"/>
    <w:rsid w:val="002C1AB9"/>
    <w:rsid w:val="002C2D6E"/>
    <w:rsid w:val="002C3042"/>
    <w:rsid w:val="002C363B"/>
    <w:rsid w:val="002C465A"/>
    <w:rsid w:val="002C666B"/>
    <w:rsid w:val="002C6C07"/>
    <w:rsid w:val="002C6E3F"/>
    <w:rsid w:val="002D13DD"/>
    <w:rsid w:val="002D1777"/>
    <w:rsid w:val="002D2F30"/>
    <w:rsid w:val="002D5C40"/>
    <w:rsid w:val="002D61AB"/>
    <w:rsid w:val="002D7BB2"/>
    <w:rsid w:val="002E1F2C"/>
    <w:rsid w:val="002E273F"/>
    <w:rsid w:val="002E28E9"/>
    <w:rsid w:val="002E3240"/>
    <w:rsid w:val="002E348F"/>
    <w:rsid w:val="002E36ED"/>
    <w:rsid w:val="002E6BFE"/>
    <w:rsid w:val="002F4310"/>
    <w:rsid w:val="002F4865"/>
    <w:rsid w:val="002F499D"/>
    <w:rsid w:val="002F654F"/>
    <w:rsid w:val="002F7B60"/>
    <w:rsid w:val="00306A74"/>
    <w:rsid w:val="00310FFF"/>
    <w:rsid w:val="00313325"/>
    <w:rsid w:val="00313A4D"/>
    <w:rsid w:val="00313F34"/>
    <w:rsid w:val="00314DB9"/>
    <w:rsid w:val="0031707F"/>
    <w:rsid w:val="003175EE"/>
    <w:rsid w:val="00321E2F"/>
    <w:rsid w:val="00324865"/>
    <w:rsid w:val="00324E36"/>
    <w:rsid w:val="0032557C"/>
    <w:rsid w:val="00326478"/>
    <w:rsid w:val="00327742"/>
    <w:rsid w:val="0032788A"/>
    <w:rsid w:val="00331031"/>
    <w:rsid w:val="00331281"/>
    <w:rsid w:val="00332842"/>
    <w:rsid w:val="003333CF"/>
    <w:rsid w:val="003347D8"/>
    <w:rsid w:val="003347F8"/>
    <w:rsid w:val="003348AD"/>
    <w:rsid w:val="003350FF"/>
    <w:rsid w:val="003359F2"/>
    <w:rsid w:val="00340374"/>
    <w:rsid w:val="003405B0"/>
    <w:rsid w:val="00340734"/>
    <w:rsid w:val="0034095A"/>
    <w:rsid w:val="00340B45"/>
    <w:rsid w:val="00342E44"/>
    <w:rsid w:val="00343334"/>
    <w:rsid w:val="00346F10"/>
    <w:rsid w:val="00347DC8"/>
    <w:rsid w:val="00350642"/>
    <w:rsid w:val="0035087B"/>
    <w:rsid w:val="00352E5D"/>
    <w:rsid w:val="003538B4"/>
    <w:rsid w:val="00353D3F"/>
    <w:rsid w:val="003546A7"/>
    <w:rsid w:val="00354E41"/>
    <w:rsid w:val="00355F7D"/>
    <w:rsid w:val="00356C0C"/>
    <w:rsid w:val="0036003D"/>
    <w:rsid w:val="003601EE"/>
    <w:rsid w:val="0036092F"/>
    <w:rsid w:val="0036212C"/>
    <w:rsid w:val="00364709"/>
    <w:rsid w:val="00365849"/>
    <w:rsid w:val="0036608F"/>
    <w:rsid w:val="00367761"/>
    <w:rsid w:val="003723EC"/>
    <w:rsid w:val="003725C2"/>
    <w:rsid w:val="00373228"/>
    <w:rsid w:val="0037398C"/>
    <w:rsid w:val="00373DDA"/>
    <w:rsid w:val="003751D4"/>
    <w:rsid w:val="0037765F"/>
    <w:rsid w:val="0037789B"/>
    <w:rsid w:val="00380589"/>
    <w:rsid w:val="003805C3"/>
    <w:rsid w:val="003808DC"/>
    <w:rsid w:val="003812EE"/>
    <w:rsid w:val="00381353"/>
    <w:rsid w:val="00381AD3"/>
    <w:rsid w:val="00382023"/>
    <w:rsid w:val="00382317"/>
    <w:rsid w:val="00382748"/>
    <w:rsid w:val="0038366B"/>
    <w:rsid w:val="00383E27"/>
    <w:rsid w:val="00384A33"/>
    <w:rsid w:val="00384F53"/>
    <w:rsid w:val="0038718B"/>
    <w:rsid w:val="00390037"/>
    <w:rsid w:val="00390F51"/>
    <w:rsid w:val="00391805"/>
    <w:rsid w:val="00392780"/>
    <w:rsid w:val="003965DB"/>
    <w:rsid w:val="003966A4"/>
    <w:rsid w:val="00397EA7"/>
    <w:rsid w:val="003A1873"/>
    <w:rsid w:val="003A389D"/>
    <w:rsid w:val="003A4099"/>
    <w:rsid w:val="003A48A3"/>
    <w:rsid w:val="003A4DEB"/>
    <w:rsid w:val="003A56B4"/>
    <w:rsid w:val="003A7CE9"/>
    <w:rsid w:val="003A7D94"/>
    <w:rsid w:val="003B074C"/>
    <w:rsid w:val="003B0E5D"/>
    <w:rsid w:val="003B304F"/>
    <w:rsid w:val="003B36FD"/>
    <w:rsid w:val="003B52E3"/>
    <w:rsid w:val="003C0A14"/>
    <w:rsid w:val="003C1256"/>
    <w:rsid w:val="003C1404"/>
    <w:rsid w:val="003C2F63"/>
    <w:rsid w:val="003C5D94"/>
    <w:rsid w:val="003C7A73"/>
    <w:rsid w:val="003D061C"/>
    <w:rsid w:val="003D16A0"/>
    <w:rsid w:val="003D188B"/>
    <w:rsid w:val="003D3B9A"/>
    <w:rsid w:val="003D42BA"/>
    <w:rsid w:val="003D4669"/>
    <w:rsid w:val="003D5E2A"/>
    <w:rsid w:val="003D6B57"/>
    <w:rsid w:val="003E0880"/>
    <w:rsid w:val="003E0893"/>
    <w:rsid w:val="003E3CBC"/>
    <w:rsid w:val="003E4724"/>
    <w:rsid w:val="003E5316"/>
    <w:rsid w:val="003E5B81"/>
    <w:rsid w:val="003E63DA"/>
    <w:rsid w:val="003E6E9A"/>
    <w:rsid w:val="003F0052"/>
    <w:rsid w:val="003F080A"/>
    <w:rsid w:val="003F4609"/>
    <w:rsid w:val="003F4887"/>
    <w:rsid w:val="003F6718"/>
    <w:rsid w:val="0040036D"/>
    <w:rsid w:val="00400ACB"/>
    <w:rsid w:val="004014AC"/>
    <w:rsid w:val="00401EA9"/>
    <w:rsid w:val="00402BA3"/>
    <w:rsid w:val="0040556F"/>
    <w:rsid w:val="00405C57"/>
    <w:rsid w:val="0040634B"/>
    <w:rsid w:val="00406717"/>
    <w:rsid w:val="00406F15"/>
    <w:rsid w:val="00407DF5"/>
    <w:rsid w:val="004112B7"/>
    <w:rsid w:val="004113F2"/>
    <w:rsid w:val="0041189C"/>
    <w:rsid w:val="0041286B"/>
    <w:rsid w:val="00412E55"/>
    <w:rsid w:val="00412EDA"/>
    <w:rsid w:val="00413ED6"/>
    <w:rsid w:val="0041470D"/>
    <w:rsid w:val="00415306"/>
    <w:rsid w:val="004165A5"/>
    <w:rsid w:val="004165E0"/>
    <w:rsid w:val="0042020F"/>
    <w:rsid w:val="004209AD"/>
    <w:rsid w:val="00420E26"/>
    <w:rsid w:val="004229CE"/>
    <w:rsid w:val="00423AB0"/>
    <w:rsid w:val="004241CA"/>
    <w:rsid w:val="00424DB7"/>
    <w:rsid w:val="0042508B"/>
    <w:rsid w:val="004255AF"/>
    <w:rsid w:val="00425EF9"/>
    <w:rsid w:val="0043056E"/>
    <w:rsid w:val="0043102C"/>
    <w:rsid w:val="00431D80"/>
    <w:rsid w:val="00432EDE"/>
    <w:rsid w:val="004346A4"/>
    <w:rsid w:val="00434E74"/>
    <w:rsid w:val="00435970"/>
    <w:rsid w:val="004366AC"/>
    <w:rsid w:val="00436879"/>
    <w:rsid w:val="00437C0C"/>
    <w:rsid w:val="00437DC8"/>
    <w:rsid w:val="00440935"/>
    <w:rsid w:val="0044137D"/>
    <w:rsid w:val="00441DE0"/>
    <w:rsid w:val="004428F8"/>
    <w:rsid w:val="004438EC"/>
    <w:rsid w:val="00445686"/>
    <w:rsid w:val="00446471"/>
    <w:rsid w:val="004470BD"/>
    <w:rsid w:val="00447425"/>
    <w:rsid w:val="00447F68"/>
    <w:rsid w:val="004508EB"/>
    <w:rsid w:val="00453947"/>
    <w:rsid w:val="00453C87"/>
    <w:rsid w:val="00456A2C"/>
    <w:rsid w:val="00460668"/>
    <w:rsid w:val="004611C1"/>
    <w:rsid w:val="00465AF5"/>
    <w:rsid w:val="004661B0"/>
    <w:rsid w:val="004702BD"/>
    <w:rsid w:val="00470775"/>
    <w:rsid w:val="00473029"/>
    <w:rsid w:val="00473A7F"/>
    <w:rsid w:val="00473E7D"/>
    <w:rsid w:val="0047596E"/>
    <w:rsid w:val="00477865"/>
    <w:rsid w:val="00484599"/>
    <w:rsid w:val="004851C5"/>
    <w:rsid w:val="00485F0D"/>
    <w:rsid w:val="00487EFD"/>
    <w:rsid w:val="00490E4A"/>
    <w:rsid w:val="004911DC"/>
    <w:rsid w:val="004944B6"/>
    <w:rsid w:val="00494A80"/>
    <w:rsid w:val="004A4630"/>
    <w:rsid w:val="004A4CC2"/>
    <w:rsid w:val="004A7952"/>
    <w:rsid w:val="004A7AFF"/>
    <w:rsid w:val="004B1465"/>
    <w:rsid w:val="004B5555"/>
    <w:rsid w:val="004B6A9B"/>
    <w:rsid w:val="004C0A57"/>
    <w:rsid w:val="004C4320"/>
    <w:rsid w:val="004C5584"/>
    <w:rsid w:val="004C58D7"/>
    <w:rsid w:val="004C6B9E"/>
    <w:rsid w:val="004C6C6E"/>
    <w:rsid w:val="004C780E"/>
    <w:rsid w:val="004D090D"/>
    <w:rsid w:val="004D14D8"/>
    <w:rsid w:val="004D207E"/>
    <w:rsid w:val="004D3D91"/>
    <w:rsid w:val="004D4549"/>
    <w:rsid w:val="004D4BA7"/>
    <w:rsid w:val="004D5ACE"/>
    <w:rsid w:val="004D5BB9"/>
    <w:rsid w:val="004D7834"/>
    <w:rsid w:val="004D7BF8"/>
    <w:rsid w:val="004E01E1"/>
    <w:rsid w:val="004E0B7A"/>
    <w:rsid w:val="004E0B8E"/>
    <w:rsid w:val="004E1894"/>
    <w:rsid w:val="004E2CF6"/>
    <w:rsid w:val="004E3BBF"/>
    <w:rsid w:val="004E518C"/>
    <w:rsid w:val="004E6F94"/>
    <w:rsid w:val="004E7578"/>
    <w:rsid w:val="004F0107"/>
    <w:rsid w:val="004F1699"/>
    <w:rsid w:val="004F3090"/>
    <w:rsid w:val="004F4346"/>
    <w:rsid w:val="004F489A"/>
    <w:rsid w:val="004F4A39"/>
    <w:rsid w:val="004F4D75"/>
    <w:rsid w:val="004F5F21"/>
    <w:rsid w:val="004F66D0"/>
    <w:rsid w:val="004F6747"/>
    <w:rsid w:val="00500F88"/>
    <w:rsid w:val="00504154"/>
    <w:rsid w:val="00504223"/>
    <w:rsid w:val="00504506"/>
    <w:rsid w:val="0050477B"/>
    <w:rsid w:val="005057CC"/>
    <w:rsid w:val="00505858"/>
    <w:rsid w:val="00505A9A"/>
    <w:rsid w:val="00505F80"/>
    <w:rsid w:val="00507E86"/>
    <w:rsid w:val="0051089D"/>
    <w:rsid w:val="005115F3"/>
    <w:rsid w:val="00512BF2"/>
    <w:rsid w:val="00513834"/>
    <w:rsid w:val="00514908"/>
    <w:rsid w:val="00514A6D"/>
    <w:rsid w:val="00515EB7"/>
    <w:rsid w:val="00520518"/>
    <w:rsid w:val="005209D7"/>
    <w:rsid w:val="00520CD4"/>
    <w:rsid w:val="0052205A"/>
    <w:rsid w:val="00523D1E"/>
    <w:rsid w:val="0052537E"/>
    <w:rsid w:val="00525F48"/>
    <w:rsid w:val="0052611C"/>
    <w:rsid w:val="005261F1"/>
    <w:rsid w:val="00526784"/>
    <w:rsid w:val="00526E2C"/>
    <w:rsid w:val="00527CD2"/>
    <w:rsid w:val="00533FFC"/>
    <w:rsid w:val="0053539D"/>
    <w:rsid w:val="005361E0"/>
    <w:rsid w:val="00540570"/>
    <w:rsid w:val="005437CF"/>
    <w:rsid w:val="0054482C"/>
    <w:rsid w:val="00547B5A"/>
    <w:rsid w:val="00550282"/>
    <w:rsid w:val="0055130D"/>
    <w:rsid w:val="005550DD"/>
    <w:rsid w:val="00555359"/>
    <w:rsid w:val="005554AD"/>
    <w:rsid w:val="005575BA"/>
    <w:rsid w:val="00557DC5"/>
    <w:rsid w:val="00560F77"/>
    <w:rsid w:val="00561EA3"/>
    <w:rsid w:val="005624A0"/>
    <w:rsid w:val="005635C8"/>
    <w:rsid w:val="00564B12"/>
    <w:rsid w:val="0056550D"/>
    <w:rsid w:val="005659AC"/>
    <w:rsid w:val="005665E1"/>
    <w:rsid w:val="00567592"/>
    <w:rsid w:val="00567B55"/>
    <w:rsid w:val="005701BB"/>
    <w:rsid w:val="005709B5"/>
    <w:rsid w:val="00570BB9"/>
    <w:rsid w:val="005712A8"/>
    <w:rsid w:val="00572418"/>
    <w:rsid w:val="00572A77"/>
    <w:rsid w:val="00573BE5"/>
    <w:rsid w:val="00574301"/>
    <w:rsid w:val="0057463F"/>
    <w:rsid w:val="00574806"/>
    <w:rsid w:val="005752A3"/>
    <w:rsid w:val="00575CB7"/>
    <w:rsid w:val="00580F55"/>
    <w:rsid w:val="00583F70"/>
    <w:rsid w:val="00584D05"/>
    <w:rsid w:val="0058523D"/>
    <w:rsid w:val="00586934"/>
    <w:rsid w:val="00587C00"/>
    <w:rsid w:val="00587E4F"/>
    <w:rsid w:val="00591BBD"/>
    <w:rsid w:val="0059449D"/>
    <w:rsid w:val="00597E4B"/>
    <w:rsid w:val="005A1260"/>
    <w:rsid w:val="005A2FA1"/>
    <w:rsid w:val="005A3014"/>
    <w:rsid w:val="005A35B6"/>
    <w:rsid w:val="005A50A0"/>
    <w:rsid w:val="005A6740"/>
    <w:rsid w:val="005A77C9"/>
    <w:rsid w:val="005A7A37"/>
    <w:rsid w:val="005B03C3"/>
    <w:rsid w:val="005B0C96"/>
    <w:rsid w:val="005B1244"/>
    <w:rsid w:val="005B214B"/>
    <w:rsid w:val="005B3314"/>
    <w:rsid w:val="005B3467"/>
    <w:rsid w:val="005B5AF6"/>
    <w:rsid w:val="005B61FE"/>
    <w:rsid w:val="005B6687"/>
    <w:rsid w:val="005C0F07"/>
    <w:rsid w:val="005C177B"/>
    <w:rsid w:val="005C1CA1"/>
    <w:rsid w:val="005C2DE6"/>
    <w:rsid w:val="005C3E05"/>
    <w:rsid w:val="005C4EBF"/>
    <w:rsid w:val="005C5098"/>
    <w:rsid w:val="005C58EB"/>
    <w:rsid w:val="005C63D9"/>
    <w:rsid w:val="005D088D"/>
    <w:rsid w:val="005D1A7D"/>
    <w:rsid w:val="005D1D9B"/>
    <w:rsid w:val="005D1F21"/>
    <w:rsid w:val="005D2C4E"/>
    <w:rsid w:val="005D392F"/>
    <w:rsid w:val="005D57AA"/>
    <w:rsid w:val="005D5D39"/>
    <w:rsid w:val="005D78A2"/>
    <w:rsid w:val="005D7E32"/>
    <w:rsid w:val="005E1C52"/>
    <w:rsid w:val="005E2E68"/>
    <w:rsid w:val="005E33D2"/>
    <w:rsid w:val="005E41E1"/>
    <w:rsid w:val="005E4BD2"/>
    <w:rsid w:val="005E501E"/>
    <w:rsid w:val="005E50F3"/>
    <w:rsid w:val="005E5F00"/>
    <w:rsid w:val="005F2D4C"/>
    <w:rsid w:val="005F37D4"/>
    <w:rsid w:val="005F42D2"/>
    <w:rsid w:val="005F4DD9"/>
    <w:rsid w:val="005F51F9"/>
    <w:rsid w:val="005F67E2"/>
    <w:rsid w:val="006020D9"/>
    <w:rsid w:val="0060267A"/>
    <w:rsid w:val="006030D6"/>
    <w:rsid w:val="00605007"/>
    <w:rsid w:val="006105B3"/>
    <w:rsid w:val="006119B8"/>
    <w:rsid w:val="00614CD3"/>
    <w:rsid w:val="00616BF1"/>
    <w:rsid w:val="0062043A"/>
    <w:rsid w:val="00620808"/>
    <w:rsid w:val="006217E3"/>
    <w:rsid w:val="00621A67"/>
    <w:rsid w:val="00621EDB"/>
    <w:rsid w:val="006232A3"/>
    <w:rsid w:val="006242DF"/>
    <w:rsid w:val="0062497C"/>
    <w:rsid w:val="00624EB7"/>
    <w:rsid w:val="0062600E"/>
    <w:rsid w:val="00626EC9"/>
    <w:rsid w:val="00633FA5"/>
    <w:rsid w:val="00636643"/>
    <w:rsid w:val="00637F16"/>
    <w:rsid w:val="00640570"/>
    <w:rsid w:val="00640CB0"/>
    <w:rsid w:val="00641143"/>
    <w:rsid w:val="0064267E"/>
    <w:rsid w:val="006430FF"/>
    <w:rsid w:val="0064347A"/>
    <w:rsid w:val="00643967"/>
    <w:rsid w:val="00647882"/>
    <w:rsid w:val="00647F9D"/>
    <w:rsid w:val="006502AB"/>
    <w:rsid w:val="00651177"/>
    <w:rsid w:val="0065343A"/>
    <w:rsid w:val="00653B74"/>
    <w:rsid w:val="006569FD"/>
    <w:rsid w:val="0066096D"/>
    <w:rsid w:val="0066100B"/>
    <w:rsid w:val="0066219C"/>
    <w:rsid w:val="0066654B"/>
    <w:rsid w:val="00666B1D"/>
    <w:rsid w:val="006672FF"/>
    <w:rsid w:val="00671816"/>
    <w:rsid w:val="006724CA"/>
    <w:rsid w:val="006727E9"/>
    <w:rsid w:val="006746CD"/>
    <w:rsid w:val="00674DB1"/>
    <w:rsid w:val="00677156"/>
    <w:rsid w:val="006779A1"/>
    <w:rsid w:val="006807B3"/>
    <w:rsid w:val="006813A4"/>
    <w:rsid w:val="00681F77"/>
    <w:rsid w:val="006823B3"/>
    <w:rsid w:val="00682BA0"/>
    <w:rsid w:val="00682E7A"/>
    <w:rsid w:val="0068390A"/>
    <w:rsid w:val="006855D3"/>
    <w:rsid w:val="00685D06"/>
    <w:rsid w:val="00686202"/>
    <w:rsid w:val="00690243"/>
    <w:rsid w:val="0069139A"/>
    <w:rsid w:val="006917A7"/>
    <w:rsid w:val="00691862"/>
    <w:rsid w:val="0069219F"/>
    <w:rsid w:val="006944EB"/>
    <w:rsid w:val="00694C2D"/>
    <w:rsid w:val="0069733C"/>
    <w:rsid w:val="006A00B7"/>
    <w:rsid w:val="006A0563"/>
    <w:rsid w:val="006A134B"/>
    <w:rsid w:val="006A1B12"/>
    <w:rsid w:val="006A229F"/>
    <w:rsid w:val="006A34AC"/>
    <w:rsid w:val="006A46A7"/>
    <w:rsid w:val="006A4D18"/>
    <w:rsid w:val="006A50E4"/>
    <w:rsid w:val="006A7371"/>
    <w:rsid w:val="006B34C9"/>
    <w:rsid w:val="006B399A"/>
    <w:rsid w:val="006B4795"/>
    <w:rsid w:val="006B5791"/>
    <w:rsid w:val="006B60A2"/>
    <w:rsid w:val="006B6798"/>
    <w:rsid w:val="006B77BE"/>
    <w:rsid w:val="006B7B54"/>
    <w:rsid w:val="006C0F76"/>
    <w:rsid w:val="006C1340"/>
    <w:rsid w:val="006C23C2"/>
    <w:rsid w:val="006C33AC"/>
    <w:rsid w:val="006C5C39"/>
    <w:rsid w:val="006C723E"/>
    <w:rsid w:val="006C7B71"/>
    <w:rsid w:val="006D01E3"/>
    <w:rsid w:val="006D3A6D"/>
    <w:rsid w:val="006D46C6"/>
    <w:rsid w:val="006D4F91"/>
    <w:rsid w:val="006D5556"/>
    <w:rsid w:val="006D6DB3"/>
    <w:rsid w:val="006E0419"/>
    <w:rsid w:val="006E0CF5"/>
    <w:rsid w:val="006E15B5"/>
    <w:rsid w:val="006E31A3"/>
    <w:rsid w:val="006E45CC"/>
    <w:rsid w:val="006E5C6C"/>
    <w:rsid w:val="006E63DE"/>
    <w:rsid w:val="006E6A42"/>
    <w:rsid w:val="006E70D1"/>
    <w:rsid w:val="006F137B"/>
    <w:rsid w:val="006F1DC1"/>
    <w:rsid w:val="006F2292"/>
    <w:rsid w:val="006F31D7"/>
    <w:rsid w:val="006F3670"/>
    <w:rsid w:val="006F3932"/>
    <w:rsid w:val="006F3B2C"/>
    <w:rsid w:val="006F4901"/>
    <w:rsid w:val="006F617A"/>
    <w:rsid w:val="006F6D52"/>
    <w:rsid w:val="007001BB"/>
    <w:rsid w:val="0070184C"/>
    <w:rsid w:val="007028E7"/>
    <w:rsid w:val="007031A1"/>
    <w:rsid w:val="007039B7"/>
    <w:rsid w:val="00704082"/>
    <w:rsid w:val="007077DC"/>
    <w:rsid w:val="00707DAE"/>
    <w:rsid w:val="00710C2B"/>
    <w:rsid w:val="00713D73"/>
    <w:rsid w:val="00714F31"/>
    <w:rsid w:val="0071593B"/>
    <w:rsid w:val="007219F6"/>
    <w:rsid w:val="00722046"/>
    <w:rsid w:val="00722CFC"/>
    <w:rsid w:val="0072440A"/>
    <w:rsid w:val="00724504"/>
    <w:rsid w:val="007247EB"/>
    <w:rsid w:val="007257D4"/>
    <w:rsid w:val="00726485"/>
    <w:rsid w:val="00726F2B"/>
    <w:rsid w:val="00732F1A"/>
    <w:rsid w:val="00733151"/>
    <w:rsid w:val="00734A87"/>
    <w:rsid w:val="00734CF6"/>
    <w:rsid w:val="00735189"/>
    <w:rsid w:val="007360FB"/>
    <w:rsid w:val="007369A0"/>
    <w:rsid w:val="00737CD3"/>
    <w:rsid w:val="00740E6A"/>
    <w:rsid w:val="007413D9"/>
    <w:rsid w:val="0074150C"/>
    <w:rsid w:val="007434B4"/>
    <w:rsid w:val="00744360"/>
    <w:rsid w:val="00745685"/>
    <w:rsid w:val="0074593E"/>
    <w:rsid w:val="007460BC"/>
    <w:rsid w:val="00746586"/>
    <w:rsid w:val="00747190"/>
    <w:rsid w:val="00747779"/>
    <w:rsid w:val="00747DDA"/>
    <w:rsid w:val="00747F03"/>
    <w:rsid w:val="00750446"/>
    <w:rsid w:val="00751132"/>
    <w:rsid w:val="00751F7C"/>
    <w:rsid w:val="00753FAF"/>
    <w:rsid w:val="0075431F"/>
    <w:rsid w:val="0075519B"/>
    <w:rsid w:val="00755F77"/>
    <w:rsid w:val="007567BC"/>
    <w:rsid w:val="007568EE"/>
    <w:rsid w:val="007601F3"/>
    <w:rsid w:val="007606C3"/>
    <w:rsid w:val="00760E64"/>
    <w:rsid w:val="007611A9"/>
    <w:rsid w:val="00761C5D"/>
    <w:rsid w:val="00761F02"/>
    <w:rsid w:val="0076488F"/>
    <w:rsid w:val="00765AED"/>
    <w:rsid w:val="007662F0"/>
    <w:rsid w:val="0076675E"/>
    <w:rsid w:val="0076684A"/>
    <w:rsid w:val="00767220"/>
    <w:rsid w:val="00771DE6"/>
    <w:rsid w:val="007723AB"/>
    <w:rsid w:val="0077276B"/>
    <w:rsid w:val="00772BAA"/>
    <w:rsid w:val="007741AD"/>
    <w:rsid w:val="00774632"/>
    <w:rsid w:val="00775065"/>
    <w:rsid w:val="00777B6C"/>
    <w:rsid w:val="00780CB0"/>
    <w:rsid w:val="007847B2"/>
    <w:rsid w:val="00785952"/>
    <w:rsid w:val="00786755"/>
    <w:rsid w:val="00787111"/>
    <w:rsid w:val="0078751B"/>
    <w:rsid w:val="00787713"/>
    <w:rsid w:val="00787B90"/>
    <w:rsid w:val="007928E2"/>
    <w:rsid w:val="007936B7"/>
    <w:rsid w:val="007938A2"/>
    <w:rsid w:val="00793C99"/>
    <w:rsid w:val="007946C7"/>
    <w:rsid w:val="007948EB"/>
    <w:rsid w:val="0079531F"/>
    <w:rsid w:val="00795D1A"/>
    <w:rsid w:val="007972B8"/>
    <w:rsid w:val="00797518"/>
    <w:rsid w:val="007A33DB"/>
    <w:rsid w:val="007A3ABD"/>
    <w:rsid w:val="007A4B56"/>
    <w:rsid w:val="007A54CF"/>
    <w:rsid w:val="007A5DDD"/>
    <w:rsid w:val="007A69F1"/>
    <w:rsid w:val="007A6B90"/>
    <w:rsid w:val="007A6D7B"/>
    <w:rsid w:val="007B0338"/>
    <w:rsid w:val="007B0520"/>
    <w:rsid w:val="007B2232"/>
    <w:rsid w:val="007B4A00"/>
    <w:rsid w:val="007B644C"/>
    <w:rsid w:val="007B65F8"/>
    <w:rsid w:val="007C2C9D"/>
    <w:rsid w:val="007C302F"/>
    <w:rsid w:val="007C5C1F"/>
    <w:rsid w:val="007C6ED7"/>
    <w:rsid w:val="007C76F3"/>
    <w:rsid w:val="007D1565"/>
    <w:rsid w:val="007D23C8"/>
    <w:rsid w:val="007D348B"/>
    <w:rsid w:val="007D3A7E"/>
    <w:rsid w:val="007D3A8A"/>
    <w:rsid w:val="007D405F"/>
    <w:rsid w:val="007D460B"/>
    <w:rsid w:val="007D4EAE"/>
    <w:rsid w:val="007D57AF"/>
    <w:rsid w:val="007D5C23"/>
    <w:rsid w:val="007D6E84"/>
    <w:rsid w:val="007D71A8"/>
    <w:rsid w:val="007D7812"/>
    <w:rsid w:val="007E0993"/>
    <w:rsid w:val="007E1305"/>
    <w:rsid w:val="007E1DC0"/>
    <w:rsid w:val="007E2C2B"/>
    <w:rsid w:val="007E2F36"/>
    <w:rsid w:val="007E484A"/>
    <w:rsid w:val="007E4969"/>
    <w:rsid w:val="007E5152"/>
    <w:rsid w:val="007E5BC4"/>
    <w:rsid w:val="007F547A"/>
    <w:rsid w:val="007F589A"/>
    <w:rsid w:val="007F5A41"/>
    <w:rsid w:val="007F5AD2"/>
    <w:rsid w:val="007F5C7E"/>
    <w:rsid w:val="007F5C8A"/>
    <w:rsid w:val="007F6ECA"/>
    <w:rsid w:val="00801B24"/>
    <w:rsid w:val="008022FA"/>
    <w:rsid w:val="00802842"/>
    <w:rsid w:val="008029A3"/>
    <w:rsid w:val="00802D88"/>
    <w:rsid w:val="008041E9"/>
    <w:rsid w:val="0080530F"/>
    <w:rsid w:val="00805524"/>
    <w:rsid w:val="00805B8A"/>
    <w:rsid w:val="00805E68"/>
    <w:rsid w:val="008067C0"/>
    <w:rsid w:val="00807280"/>
    <w:rsid w:val="00807527"/>
    <w:rsid w:val="008100B3"/>
    <w:rsid w:val="008137E0"/>
    <w:rsid w:val="00814617"/>
    <w:rsid w:val="00814F1A"/>
    <w:rsid w:val="008168BB"/>
    <w:rsid w:val="008171F2"/>
    <w:rsid w:val="008205E0"/>
    <w:rsid w:val="00820C24"/>
    <w:rsid w:val="00821AAC"/>
    <w:rsid w:val="0082253F"/>
    <w:rsid w:val="00823B5F"/>
    <w:rsid w:val="00824B7E"/>
    <w:rsid w:val="00826A07"/>
    <w:rsid w:val="00826FDC"/>
    <w:rsid w:val="008327F1"/>
    <w:rsid w:val="0083358D"/>
    <w:rsid w:val="00833685"/>
    <w:rsid w:val="008348A7"/>
    <w:rsid w:val="008368A0"/>
    <w:rsid w:val="00840AB2"/>
    <w:rsid w:val="008417A5"/>
    <w:rsid w:val="00844C56"/>
    <w:rsid w:val="00845C17"/>
    <w:rsid w:val="00846C2C"/>
    <w:rsid w:val="0085129C"/>
    <w:rsid w:val="00852675"/>
    <w:rsid w:val="00852853"/>
    <w:rsid w:val="008558C2"/>
    <w:rsid w:val="008570AA"/>
    <w:rsid w:val="00860E07"/>
    <w:rsid w:val="008613AD"/>
    <w:rsid w:val="0086223C"/>
    <w:rsid w:val="00862AC9"/>
    <w:rsid w:val="00862E2B"/>
    <w:rsid w:val="00865FEB"/>
    <w:rsid w:val="0086659F"/>
    <w:rsid w:val="008706F9"/>
    <w:rsid w:val="00871BBB"/>
    <w:rsid w:val="00873423"/>
    <w:rsid w:val="00873CDE"/>
    <w:rsid w:val="00874C18"/>
    <w:rsid w:val="00876925"/>
    <w:rsid w:val="00877941"/>
    <w:rsid w:val="0088016F"/>
    <w:rsid w:val="00880359"/>
    <w:rsid w:val="0088062D"/>
    <w:rsid w:val="00880C22"/>
    <w:rsid w:val="00881408"/>
    <w:rsid w:val="008821CE"/>
    <w:rsid w:val="00882419"/>
    <w:rsid w:val="008828A3"/>
    <w:rsid w:val="00882F88"/>
    <w:rsid w:val="00884527"/>
    <w:rsid w:val="00885429"/>
    <w:rsid w:val="008862FF"/>
    <w:rsid w:val="00886FAE"/>
    <w:rsid w:val="00887570"/>
    <w:rsid w:val="0088767A"/>
    <w:rsid w:val="00892D2C"/>
    <w:rsid w:val="00893531"/>
    <w:rsid w:val="008952DA"/>
    <w:rsid w:val="00895D20"/>
    <w:rsid w:val="008961A9"/>
    <w:rsid w:val="00897703"/>
    <w:rsid w:val="00897720"/>
    <w:rsid w:val="008978AE"/>
    <w:rsid w:val="008A1CC1"/>
    <w:rsid w:val="008A1E03"/>
    <w:rsid w:val="008A400C"/>
    <w:rsid w:val="008A64F6"/>
    <w:rsid w:val="008A664A"/>
    <w:rsid w:val="008A6C2A"/>
    <w:rsid w:val="008A75A2"/>
    <w:rsid w:val="008B064A"/>
    <w:rsid w:val="008B4D06"/>
    <w:rsid w:val="008B4ECD"/>
    <w:rsid w:val="008B685F"/>
    <w:rsid w:val="008B7C74"/>
    <w:rsid w:val="008B7E9E"/>
    <w:rsid w:val="008C008E"/>
    <w:rsid w:val="008C2834"/>
    <w:rsid w:val="008C29DE"/>
    <w:rsid w:val="008C2DE1"/>
    <w:rsid w:val="008C3A07"/>
    <w:rsid w:val="008C41AF"/>
    <w:rsid w:val="008C47C2"/>
    <w:rsid w:val="008D0C02"/>
    <w:rsid w:val="008D201F"/>
    <w:rsid w:val="008D3FC4"/>
    <w:rsid w:val="008D499A"/>
    <w:rsid w:val="008D4A08"/>
    <w:rsid w:val="008D5A64"/>
    <w:rsid w:val="008D63C6"/>
    <w:rsid w:val="008D71E1"/>
    <w:rsid w:val="008E1B2E"/>
    <w:rsid w:val="008E290D"/>
    <w:rsid w:val="008E2E02"/>
    <w:rsid w:val="008E3392"/>
    <w:rsid w:val="008E3C1A"/>
    <w:rsid w:val="008E6DFB"/>
    <w:rsid w:val="008F1C57"/>
    <w:rsid w:val="008F587E"/>
    <w:rsid w:val="008F63FC"/>
    <w:rsid w:val="008F6500"/>
    <w:rsid w:val="008F71AD"/>
    <w:rsid w:val="008F73EE"/>
    <w:rsid w:val="00901406"/>
    <w:rsid w:val="00901880"/>
    <w:rsid w:val="00901F5B"/>
    <w:rsid w:val="0090312E"/>
    <w:rsid w:val="00903231"/>
    <w:rsid w:val="00904FDD"/>
    <w:rsid w:val="009055CB"/>
    <w:rsid w:val="009069C0"/>
    <w:rsid w:val="0090766C"/>
    <w:rsid w:val="009104BE"/>
    <w:rsid w:val="00910FB9"/>
    <w:rsid w:val="0091102F"/>
    <w:rsid w:val="00914055"/>
    <w:rsid w:val="00915C2A"/>
    <w:rsid w:val="00916580"/>
    <w:rsid w:val="009179EE"/>
    <w:rsid w:val="00917B30"/>
    <w:rsid w:val="00921556"/>
    <w:rsid w:val="0092181D"/>
    <w:rsid w:val="009220E1"/>
    <w:rsid w:val="009226FF"/>
    <w:rsid w:val="00922BF1"/>
    <w:rsid w:val="00922DDF"/>
    <w:rsid w:val="009235EC"/>
    <w:rsid w:val="009258D3"/>
    <w:rsid w:val="00926E98"/>
    <w:rsid w:val="0093049E"/>
    <w:rsid w:val="00932D24"/>
    <w:rsid w:val="0093449D"/>
    <w:rsid w:val="0093744F"/>
    <w:rsid w:val="009438E2"/>
    <w:rsid w:val="00943F2F"/>
    <w:rsid w:val="009440E8"/>
    <w:rsid w:val="0094476B"/>
    <w:rsid w:val="009471C8"/>
    <w:rsid w:val="00950768"/>
    <w:rsid w:val="00951E05"/>
    <w:rsid w:val="0095283A"/>
    <w:rsid w:val="00953295"/>
    <w:rsid w:val="009533D4"/>
    <w:rsid w:val="009536C0"/>
    <w:rsid w:val="00953F1D"/>
    <w:rsid w:val="00955A0A"/>
    <w:rsid w:val="00956792"/>
    <w:rsid w:val="009575AE"/>
    <w:rsid w:val="0096037C"/>
    <w:rsid w:val="009605C3"/>
    <w:rsid w:val="00960AEF"/>
    <w:rsid w:val="00964404"/>
    <w:rsid w:val="009663CE"/>
    <w:rsid w:val="00966666"/>
    <w:rsid w:val="00966A87"/>
    <w:rsid w:val="00967B29"/>
    <w:rsid w:val="00967EB5"/>
    <w:rsid w:val="0097053B"/>
    <w:rsid w:val="009716E8"/>
    <w:rsid w:val="00974D37"/>
    <w:rsid w:val="00974E44"/>
    <w:rsid w:val="009764A4"/>
    <w:rsid w:val="009771AA"/>
    <w:rsid w:val="0098151F"/>
    <w:rsid w:val="009822F0"/>
    <w:rsid w:val="00983A67"/>
    <w:rsid w:val="00983B75"/>
    <w:rsid w:val="009864CF"/>
    <w:rsid w:val="009868D4"/>
    <w:rsid w:val="0099031D"/>
    <w:rsid w:val="00991EB4"/>
    <w:rsid w:val="009928A8"/>
    <w:rsid w:val="00992BAF"/>
    <w:rsid w:val="00992F43"/>
    <w:rsid w:val="00993871"/>
    <w:rsid w:val="00994C2B"/>
    <w:rsid w:val="00994DAF"/>
    <w:rsid w:val="00996B4D"/>
    <w:rsid w:val="00996D0D"/>
    <w:rsid w:val="009A0AA3"/>
    <w:rsid w:val="009A30BF"/>
    <w:rsid w:val="009A3F9F"/>
    <w:rsid w:val="009A4C47"/>
    <w:rsid w:val="009A5E9C"/>
    <w:rsid w:val="009A7525"/>
    <w:rsid w:val="009B06BC"/>
    <w:rsid w:val="009B1169"/>
    <w:rsid w:val="009B1F47"/>
    <w:rsid w:val="009B2B6A"/>
    <w:rsid w:val="009B327E"/>
    <w:rsid w:val="009B339A"/>
    <w:rsid w:val="009B4D71"/>
    <w:rsid w:val="009B56E8"/>
    <w:rsid w:val="009C120F"/>
    <w:rsid w:val="009C29F4"/>
    <w:rsid w:val="009C2F1E"/>
    <w:rsid w:val="009C39BD"/>
    <w:rsid w:val="009D09B9"/>
    <w:rsid w:val="009D2FF3"/>
    <w:rsid w:val="009D7095"/>
    <w:rsid w:val="009D72BF"/>
    <w:rsid w:val="009E04AF"/>
    <w:rsid w:val="009E4A6F"/>
    <w:rsid w:val="009E5BB5"/>
    <w:rsid w:val="009E69CC"/>
    <w:rsid w:val="009F3C62"/>
    <w:rsid w:val="009F6612"/>
    <w:rsid w:val="009F7FB0"/>
    <w:rsid w:val="00A0440E"/>
    <w:rsid w:val="00A055A2"/>
    <w:rsid w:val="00A05BDC"/>
    <w:rsid w:val="00A068BD"/>
    <w:rsid w:val="00A079C5"/>
    <w:rsid w:val="00A10993"/>
    <w:rsid w:val="00A10DF5"/>
    <w:rsid w:val="00A1119D"/>
    <w:rsid w:val="00A1238E"/>
    <w:rsid w:val="00A147BA"/>
    <w:rsid w:val="00A14F25"/>
    <w:rsid w:val="00A201E7"/>
    <w:rsid w:val="00A2099A"/>
    <w:rsid w:val="00A20DB6"/>
    <w:rsid w:val="00A21A8D"/>
    <w:rsid w:val="00A21F26"/>
    <w:rsid w:val="00A23123"/>
    <w:rsid w:val="00A251BE"/>
    <w:rsid w:val="00A27620"/>
    <w:rsid w:val="00A308A5"/>
    <w:rsid w:val="00A30C20"/>
    <w:rsid w:val="00A31C0C"/>
    <w:rsid w:val="00A32970"/>
    <w:rsid w:val="00A340D8"/>
    <w:rsid w:val="00A35822"/>
    <w:rsid w:val="00A364E0"/>
    <w:rsid w:val="00A3740A"/>
    <w:rsid w:val="00A40786"/>
    <w:rsid w:val="00A410EA"/>
    <w:rsid w:val="00A43F6D"/>
    <w:rsid w:val="00A44AA1"/>
    <w:rsid w:val="00A45D07"/>
    <w:rsid w:val="00A47B85"/>
    <w:rsid w:val="00A51B00"/>
    <w:rsid w:val="00A53A4C"/>
    <w:rsid w:val="00A53AA9"/>
    <w:rsid w:val="00A54ADC"/>
    <w:rsid w:val="00A572BD"/>
    <w:rsid w:val="00A57524"/>
    <w:rsid w:val="00A57B0B"/>
    <w:rsid w:val="00A60510"/>
    <w:rsid w:val="00A611BB"/>
    <w:rsid w:val="00A6285E"/>
    <w:rsid w:val="00A64028"/>
    <w:rsid w:val="00A64425"/>
    <w:rsid w:val="00A668FB"/>
    <w:rsid w:val="00A6702B"/>
    <w:rsid w:val="00A67272"/>
    <w:rsid w:val="00A71189"/>
    <w:rsid w:val="00A71D21"/>
    <w:rsid w:val="00A73A8A"/>
    <w:rsid w:val="00A74F07"/>
    <w:rsid w:val="00A76084"/>
    <w:rsid w:val="00A806A9"/>
    <w:rsid w:val="00A807C8"/>
    <w:rsid w:val="00A81C21"/>
    <w:rsid w:val="00A83F45"/>
    <w:rsid w:val="00A8400E"/>
    <w:rsid w:val="00A869D6"/>
    <w:rsid w:val="00A86ECE"/>
    <w:rsid w:val="00A90B18"/>
    <w:rsid w:val="00A92883"/>
    <w:rsid w:val="00A92E92"/>
    <w:rsid w:val="00A93090"/>
    <w:rsid w:val="00A933B4"/>
    <w:rsid w:val="00A95AC6"/>
    <w:rsid w:val="00A96972"/>
    <w:rsid w:val="00A9710F"/>
    <w:rsid w:val="00A979CB"/>
    <w:rsid w:val="00A97EBD"/>
    <w:rsid w:val="00AA4277"/>
    <w:rsid w:val="00AA4545"/>
    <w:rsid w:val="00AA6414"/>
    <w:rsid w:val="00AB03B3"/>
    <w:rsid w:val="00AB05A0"/>
    <w:rsid w:val="00AB126F"/>
    <w:rsid w:val="00AB1312"/>
    <w:rsid w:val="00AB179F"/>
    <w:rsid w:val="00AB210D"/>
    <w:rsid w:val="00AB4CFA"/>
    <w:rsid w:val="00AB5225"/>
    <w:rsid w:val="00AB621A"/>
    <w:rsid w:val="00AB65F6"/>
    <w:rsid w:val="00AB77B3"/>
    <w:rsid w:val="00AB7A04"/>
    <w:rsid w:val="00AC14AF"/>
    <w:rsid w:val="00AC25B2"/>
    <w:rsid w:val="00AC375C"/>
    <w:rsid w:val="00AC47B6"/>
    <w:rsid w:val="00AC558B"/>
    <w:rsid w:val="00AC5FEB"/>
    <w:rsid w:val="00AC7AA9"/>
    <w:rsid w:val="00AC7D32"/>
    <w:rsid w:val="00AD0017"/>
    <w:rsid w:val="00AD0343"/>
    <w:rsid w:val="00AD3D71"/>
    <w:rsid w:val="00AD3EA2"/>
    <w:rsid w:val="00AD44DC"/>
    <w:rsid w:val="00AD4609"/>
    <w:rsid w:val="00AD5A5C"/>
    <w:rsid w:val="00AE03CB"/>
    <w:rsid w:val="00AE0EF8"/>
    <w:rsid w:val="00AE3218"/>
    <w:rsid w:val="00AE32D9"/>
    <w:rsid w:val="00AE3B1F"/>
    <w:rsid w:val="00AE43C4"/>
    <w:rsid w:val="00AE4454"/>
    <w:rsid w:val="00AE4958"/>
    <w:rsid w:val="00AE4D65"/>
    <w:rsid w:val="00AE58AB"/>
    <w:rsid w:val="00AE7DF5"/>
    <w:rsid w:val="00AF0141"/>
    <w:rsid w:val="00AF18B3"/>
    <w:rsid w:val="00AF3BA9"/>
    <w:rsid w:val="00AF4CCA"/>
    <w:rsid w:val="00AF7B5E"/>
    <w:rsid w:val="00B00935"/>
    <w:rsid w:val="00B00CF6"/>
    <w:rsid w:val="00B012BD"/>
    <w:rsid w:val="00B014E7"/>
    <w:rsid w:val="00B02A7E"/>
    <w:rsid w:val="00B02D50"/>
    <w:rsid w:val="00B036E5"/>
    <w:rsid w:val="00B06424"/>
    <w:rsid w:val="00B115CA"/>
    <w:rsid w:val="00B122B7"/>
    <w:rsid w:val="00B137EA"/>
    <w:rsid w:val="00B14513"/>
    <w:rsid w:val="00B147C9"/>
    <w:rsid w:val="00B159A6"/>
    <w:rsid w:val="00B15ACB"/>
    <w:rsid w:val="00B216C6"/>
    <w:rsid w:val="00B218D2"/>
    <w:rsid w:val="00B21BCE"/>
    <w:rsid w:val="00B221AB"/>
    <w:rsid w:val="00B22735"/>
    <w:rsid w:val="00B22ABA"/>
    <w:rsid w:val="00B233A7"/>
    <w:rsid w:val="00B242AF"/>
    <w:rsid w:val="00B2614F"/>
    <w:rsid w:val="00B26607"/>
    <w:rsid w:val="00B277C0"/>
    <w:rsid w:val="00B30004"/>
    <w:rsid w:val="00B30169"/>
    <w:rsid w:val="00B302AC"/>
    <w:rsid w:val="00B314D8"/>
    <w:rsid w:val="00B318AA"/>
    <w:rsid w:val="00B31CB9"/>
    <w:rsid w:val="00B33C46"/>
    <w:rsid w:val="00B34364"/>
    <w:rsid w:val="00B37CD6"/>
    <w:rsid w:val="00B416F4"/>
    <w:rsid w:val="00B41991"/>
    <w:rsid w:val="00B420B0"/>
    <w:rsid w:val="00B42258"/>
    <w:rsid w:val="00B42450"/>
    <w:rsid w:val="00B44107"/>
    <w:rsid w:val="00B44C47"/>
    <w:rsid w:val="00B45413"/>
    <w:rsid w:val="00B45891"/>
    <w:rsid w:val="00B46449"/>
    <w:rsid w:val="00B47A89"/>
    <w:rsid w:val="00B47F99"/>
    <w:rsid w:val="00B50B02"/>
    <w:rsid w:val="00B51CB4"/>
    <w:rsid w:val="00B53341"/>
    <w:rsid w:val="00B533D2"/>
    <w:rsid w:val="00B53710"/>
    <w:rsid w:val="00B53D89"/>
    <w:rsid w:val="00B56CDE"/>
    <w:rsid w:val="00B5734F"/>
    <w:rsid w:val="00B575F0"/>
    <w:rsid w:val="00B578B5"/>
    <w:rsid w:val="00B6048A"/>
    <w:rsid w:val="00B61262"/>
    <w:rsid w:val="00B618A0"/>
    <w:rsid w:val="00B629EE"/>
    <w:rsid w:val="00B6426D"/>
    <w:rsid w:val="00B650CF"/>
    <w:rsid w:val="00B661D4"/>
    <w:rsid w:val="00B70D74"/>
    <w:rsid w:val="00B716F8"/>
    <w:rsid w:val="00B71E34"/>
    <w:rsid w:val="00B7326F"/>
    <w:rsid w:val="00B762A9"/>
    <w:rsid w:val="00B76AA9"/>
    <w:rsid w:val="00B77BB6"/>
    <w:rsid w:val="00B81B3B"/>
    <w:rsid w:val="00B8333A"/>
    <w:rsid w:val="00B83403"/>
    <w:rsid w:val="00B8443F"/>
    <w:rsid w:val="00B910D3"/>
    <w:rsid w:val="00B924B9"/>
    <w:rsid w:val="00B92BEC"/>
    <w:rsid w:val="00B93D7E"/>
    <w:rsid w:val="00B95659"/>
    <w:rsid w:val="00B962C7"/>
    <w:rsid w:val="00BA27AD"/>
    <w:rsid w:val="00BA2A64"/>
    <w:rsid w:val="00BA3DEF"/>
    <w:rsid w:val="00BA5A6A"/>
    <w:rsid w:val="00BB1830"/>
    <w:rsid w:val="00BB4A09"/>
    <w:rsid w:val="00BB5B51"/>
    <w:rsid w:val="00BB7E13"/>
    <w:rsid w:val="00BC06E2"/>
    <w:rsid w:val="00BC0FDA"/>
    <w:rsid w:val="00BC1A1F"/>
    <w:rsid w:val="00BC23A2"/>
    <w:rsid w:val="00BC3C3D"/>
    <w:rsid w:val="00BC4CC0"/>
    <w:rsid w:val="00BC509C"/>
    <w:rsid w:val="00BC51EA"/>
    <w:rsid w:val="00BC5F46"/>
    <w:rsid w:val="00BC60F6"/>
    <w:rsid w:val="00BC6120"/>
    <w:rsid w:val="00BC61E8"/>
    <w:rsid w:val="00BC62F1"/>
    <w:rsid w:val="00BC6F2C"/>
    <w:rsid w:val="00BD3615"/>
    <w:rsid w:val="00BD5BEE"/>
    <w:rsid w:val="00BE0B80"/>
    <w:rsid w:val="00BE0C22"/>
    <w:rsid w:val="00BE2FF1"/>
    <w:rsid w:val="00BE3417"/>
    <w:rsid w:val="00BE37D6"/>
    <w:rsid w:val="00BE3967"/>
    <w:rsid w:val="00BE399F"/>
    <w:rsid w:val="00BE4053"/>
    <w:rsid w:val="00BE4EF1"/>
    <w:rsid w:val="00BE623D"/>
    <w:rsid w:val="00BE6B0E"/>
    <w:rsid w:val="00BE7139"/>
    <w:rsid w:val="00BE7826"/>
    <w:rsid w:val="00BF0581"/>
    <w:rsid w:val="00BF19DA"/>
    <w:rsid w:val="00BF39FE"/>
    <w:rsid w:val="00BF3DF7"/>
    <w:rsid w:val="00BF4C07"/>
    <w:rsid w:val="00BF56F8"/>
    <w:rsid w:val="00BF59BE"/>
    <w:rsid w:val="00BF6097"/>
    <w:rsid w:val="00BF7233"/>
    <w:rsid w:val="00BF79D5"/>
    <w:rsid w:val="00C00EE7"/>
    <w:rsid w:val="00C02620"/>
    <w:rsid w:val="00C02977"/>
    <w:rsid w:val="00C02F22"/>
    <w:rsid w:val="00C0330A"/>
    <w:rsid w:val="00C0528C"/>
    <w:rsid w:val="00C11B66"/>
    <w:rsid w:val="00C11D0C"/>
    <w:rsid w:val="00C12F2F"/>
    <w:rsid w:val="00C17281"/>
    <w:rsid w:val="00C20B7F"/>
    <w:rsid w:val="00C23CC1"/>
    <w:rsid w:val="00C23D8A"/>
    <w:rsid w:val="00C23E80"/>
    <w:rsid w:val="00C2463D"/>
    <w:rsid w:val="00C251FE"/>
    <w:rsid w:val="00C26DAF"/>
    <w:rsid w:val="00C2755A"/>
    <w:rsid w:val="00C311CE"/>
    <w:rsid w:val="00C3149C"/>
    <w:rsid w:val="00C315B1"/>
    <w:rsid w:val="00C3210C"/>
    <w:rsid w:val="00C3302E"/>
    <w:rsid w:val="00C33EC6"/>
    <w:rsid w:val="00C35288"/>
    <w:rsid w:val="00C35D60"/>
    <w:rsid w:val="00C40DA5"/>
    <w:rsid w:val="00C40E1A"/>
    <w:rsid w:val="00C4109D"/>
    <w:rsid w:val="00C4500C"/>
    <w:rsid w:val="00C469CD"/>
    <w:rsid w:val="00C475AC"/>
    <w:rsid w:val="00C5245A"/>
    <w:rsid w:val="00C53170"/>
    <w:rsid w:val="00C536AF"/>
    <w:rsid w:val="00C54290"/>
    <w:rsid w:val="00C54739"/>
    <w:rsid w:val="00C54C6E"/>
    <w:rsid w:val="00C55584"/>
    <w:rsid w:val="00C578FA"/>
    <w:rsid w:val="00C613C2"/>
    <w:rsid w:val="00C61777"/>
    <w:rsid w:val="00C62CE9"/>
    <w:rsid w:val="00C62FE6"/>
    <w:rsid w:val="00C63C78"/>
    <w:rsid w:val="00C63CB0"/>
    <w:rsid w:val="00C65169"/>
    <w:rsid w:val="00C67517"/>
    <w:rsid w:val="00C67AF0"/>
    <w:rsid w:val="00C67B05"/>
    <w:rsid w:val="00C71E43"/>
    <w:rsid w:val="00C72881"/>
    <w:rsid w:val="00C75910"/>
    <w:rsid w:val="00C7696B"/>
    <w:rsid w:val="00C76B08"/>
    <w:rsid w:val="00C7722E"/>
    <w:rsid w:val="00C77DF9"/>
    <w:rsid w:val="00C80904"/>
    <w:rsid w:val="00C814BA"/>
    <w:rsid w:val="00C81682"/>
    <w:rsid w:val="00C84016"/>
    <w:rsid w:val="00C849DC"/>
    <w:rsid w:val="00C84BEE"/>
    <w:rsid w:val="00C85093"/>
    <w:rsid w:val="00C867C3"/>
    <w:rsid w:val="00C9265A"/>
    <w:rsid w:val="00C93B6F"/>
    <w:rsid w:val="00C94A69"/>
    <w:rsid w:val="00C9576D"/>
    <w:rsid w:val="00C957B6"/>
    <w:rsid w:val="00CA0823"/>
    <w:rsid w:val="00CA467A"/>
    <w:rsid w:val="00CA473C"/>
    <w:rsid w:val="00CA6433"/>
    <w:rsid w:val="00CA6F49"/>
    <w:rsid w:val="00CA752A"/>
    <w:rsid w:val="00CB003D"/>
    <w:rsid w:val="00CB066D"/>
    <w:rsid w:val="00CB0E79"/>
    <w:rsid w:val="00CB110F"/>
    <w:rsid w:val="00CB2835"/>
    <w:rsid w:val="00CB28D1"/>
    <w:rsid w:val="00CB4902"/>
    <w:rsid w:val="00CB566F"/>
    <w:rsid w:val="00CB58B3"/>
    <w:rsid w:val="00CB5ED3"/>
    <w:rsid w:val="00CB67F0"/>
    <w:rsid w:val="00CB68B5"/>
    <w:rsid w:val="00CB6C72"/>
    <w:rsid w:val="00CC44EE"/>
    <w:rsid w:val="00CC479D"/>
    <w:rsid w:val="00CC4990"/>
    <w:rsid w:val="00CC54FD"/>
    <w:rsid w:val="00CC60E8"/>
    <w:rsid w:val="00CC6CF9"/>
    <w:rsid w:val="00CC72C5"/>
    <w:rsid w:val="00CD1183"/>
    <w:rsid w:val="00CD13E8"/>
    <w:rsid w:val="00CD2906"/>
    <w:rsid w:val="00CD2E8F"/>
    <w:rsid w:val="00CD4432"/>
    <w:rsid w:val="00CD761E"/>
    <w:rsid w:val="00CE5D57"/>
    <w:rsid w:val="00CF2225"/>
    <w:rsid w:val="00CF2EFB"/>
    <w:rsid w:val="00CF42C0"/>
    <w:rsid w:val="00CF5178"/>
    <w:rsid w:val="00CF565F"/>
    <w:rsid w:val="00CF5F28"/>
    <w:rsid w:val="00CF6927"/>
    <w:rsid w:val="00D045AB"/>
    <w:rsid w:val="00D045D2"/>
    <w:rsid w:val="00D05DA4"/>
    <w:rsid w:val="00D05E78"/>
    <w:rsid w:val="00D102D4"/>
    <w:rsid w:val="00D1130C"/>
    <w:rsid w:val="00D11C1D"/>
    <w:rsid w:val="00D12384"/>
    <w:rsid w:val="00D13355"/>
    <w:rsid w:val="00D149C8"/>
    <w:rsid w:val="00D14AE5"/>
    <w:rsid w:val="00D153C1"/>
    <w:rsid w:val="00D1657F"/>
    <w:rsid w:val="00D17CB4"/>
    <w:rsid w:val="00D20FE9"/>
    <w:rsid w:val="00D21663"/>
    <w:rsid w:val="00D235C6"/>
    <w:rsid w:val="00D23FAD"/>
    <w:rsid w:val="00D24163"/>
    <w:rsid w:val="00D25618"/>
    <w:rsid w:val="00D25B6D"/>
    <w:rsid w:val="00D25CB9"/>
    <w:rsid w:val="00D270CB"/>
    <w:rsid w:val="00D2732B"/>
    <w:rsid w:val="00D27741"/>
    <w:rsid w:val="00D305EC"/>
    <w:rsid w:val="00D30D81"/>
    <w:rsid w:val="00D30FDA"/>
    <w:rsid w:val="00D32A90"/>
    <w:rsid w:val="00D332F2"/>
    <w:rsid w:val="00D334FE"/>
    <w:rsid w:val="00D3360B"/>
    <w:rsid w:val="00D34310"/>
    <w:rsid w:val="00D3479D"/>
    <w:rsid w:val="00D34B16"/>
    <w:rsid w:val="00D35540"/>
    <w:rsid w:val="00D358A0"/>
    <w:rsid w:val="00D35B85"/>
    <w:rsid w:val="00D408EA"/>
    <w:rsid w:val="00D4671F"/>
    <w:rsid w:val="00D468AC"/>
    <w:rsid w:val="00D5329B"/>
    <w:rsid w:val="00D539C8"/>
    <w:rsid w:val="00D56DE3"/>
    <w:rsid w:val="00D573EA"/>
    <w:rsid w:val="00D579A6"/>
    <w:rsid w:val="00D60D2B"/>
    <w:rsid w:val="00D61D9E"/>
    <w:rsid w:val="00D621E0"/>
    <w:rsid w:val="00D6300D"/>
    <w:rsid w:val="00D66B91"/>
    <w:rsid w:val="00D66DC1"/>
    <w:rsid w:val="00D66F25"/>
    <w:rsid w:val="00D66FC5"/>
    <w:rsid w:val="00D679C2"/>
    <w:rsid w:val="00D720F1"/>
    <w:rsid w:val="00D7252F"/>
    <w:rsid w:val="00D774C7"/>
    <w:rsid w:val="00D77EFF"/>
    <w:rsid w:val="00D8088C"/>
    <w:rsid w:val="00D8167D"/>
    <w:rsid w:val="00D81873"/>
    <w:rsid w:val="00D81B81"/>
    <w:rsid w:val="00D82C72"/>
    <w:rsid w:val="00D83A2E"/>
    <w:rsid w:val="00D8453D"/>
    <w:rsid w:val="00D84D5F"/>
    <w:rsid w:val="00D854A2"/>
    <w:rsid w:val="00D85BA2"/>
    <w:rsid w:val="00D85DC3"/>
    <w:rsid w:val="00D86957"/>
    <w:rsid w:val="00D86A93"/>
    <w:rsid w:val="00D86AD5"/>
    <w:rsid w:val="00D90A72"/>
    <w:rsid w:val="00D90D40"/>
    <w:rsid w:val="00D91111"/>
    <w:rsid w:val="00D917C7"/>
    <w:rsid w:val="00D91CA2"/>
    <w:rsid w:val="00D92719"/>
    <w:rsid w:val="00D92CB8"/>
    <w:rsid w:val="00D93ED8"/>
    <w:rsid w:val="00D93F59"/>
    <w:rsid w:val="00D94248"/>
    <w:rsid w:val="00D95300"/>
    <w:rsid w:val="00D95D9F"/>
    <w:rsid w:val="00D962ED"/>
    <w:rsid w:val="00D96631"/>
    <w:rsid w:val="00D967A0"/>
    <w:rsid w:val="00D96B28"/>
    <w:rsid w:val="00D96D87"/>
    <w:rsid w:val="00DA0D97"/>
    <w:rsid w:val="00DA10B6"/>
    <w:rsid w:val="00DA12F4"/>
    <w:rsid w:val="00DA2B04"/>
    <w:rsid w:val="00DA2F07"/>
    <w:rsid w:val="00DA3D6B"/>
    <w:rsid w:val="00DA5DB6"/>
    <w:rsid w:val="00DA5DC0"/>
    <w:rsid w:val="00DA62C1"/>
    <w:rsid w:val="00DA7691"/>
    <w:rsid w:val="00DB0054"/>
    <w:rsid w:val="00DB2595"/>
    <w:rsid w:val="00DB65C0"/>
    <w:rsid w:val="00DB74B1"/>
    <w:rsid w:val="00DB7EE2"/>
    <w:rsid w:val="00DC144A"/>
    <w:rsid w:val="00DC181C"/>
    <w:rsid w:val="00DC2440"/>
    <w:rsid w:val="00DC2A42"/>
    <w:rsid w:val="00DC30F3"/>
    <w:rsid w:val="00DC399F"/>
    <w:rsid w:val="00DC4A83"/>
    <w:rsid w:val="00DC6C22"/>
    <w:rsid w:val="00DD33A0"/>
    <w:rsid w:val="00DD3AC2"/>
    <w:rsid w:val="00DD3C69"/>
    <w:rsid w:val="00DD7653"/>
    <w:rsid w:val="00DD790D"/>
    <w:rsid w:val="00DE0A40"/>
    <w:rsid w:val="00DE0E5D"/>
    <w:rsid w:val="00DE1653"/>
    <w:rsid w:val="00DE2D8D"/>
    <w:rsid w:val="00DE6364"/>
    <w:rsid w:val="00DE6929"/>
    <w:rsid w:val="00DE7D7D"/>
    <w:rsid w:val="00DF53AF"/>
    <w:rsid w:val="00DF5957"/>
    <w:rsid w:val="00DF655F"/>
    <w:rsid w:val="00DF759D"/>
    <w:rsid w:val="00DF7BAE"/>
    <w:rsid w:val="00E01802"/>
    <w:rsid w:val="00E05BA4"/>
    <w:rsid w:val="00E05EE8"/>
    <w:rsid w:val="00E06097"/>
    <w:rsid w:val="00E06DA8"/>
    <w:rsid w:val="00E079C3"/>
    <w:rsid w:val="00E07EB2"/>
    <w:rsid w:val="00E12D3B"/>
    <w:rsid w:val="00E13BD4"/>
    <w:rsid w:val="00E15A39"/>
    <w:rsid w:val="00E15DAA"/>
    <w:rsid w:val="00E22C20"/>
    <w:rsid w:val="00E23E08"/>
    <w:rsid w:val="00E23EBF"/>
    <w:rsid w:val="00E24459"/>
    <w:rsid w:val="00E25F5E"/>
    <w:rsid w:val="00E2648E"/>
    <w:rsid w:val="00E26F87"/>
    <w:rsid w:val="00E3015C"/>
    <w:rsid w:val="00E3127B"/>
    <w:rsid w:val="00E327CB"/>
    <w:rsid w:val="00E33BEE"/>
    <w:rsid w:val="00E34719"/>
    <w:rsid w:val="00E34AC2"/>
    <w:rsid w:val="00E35929"/>
    <w:rsid w:val="00E3606B"/>
    <w:rsid w:val="00E372AE"/>
    <w:rsid w:val="00E40217"/>
    <w:rsid w:val="00E42AE6"/>
    <w:rsid w:val="00E43872"/>
    <w:rsid w:val="00E451F3"/>
    <w:rsid w:val="00E50005"/>
    <w:rsid w:val="00E5009F"/>
    <w:rsid w:val="00E50972"/>
    <w:rsid w:val="00E51D34"/>
    <w:rsid w:val="00E54D53"/>
    <w:rsid w:val="00E554E8"/>
    <w:rsid w:val="00E57523"/>
    <w:rsid w:val="00E61894"/>
    <w:rsid w:val="00E6245C"/>
    <w:rsid w:val="00E62C34"/>
    <w:rsid w:val="00E63140"/>
    <w:rsid w:val="00E633DC"/>
    <w:rsid w:val="00E655E2"/>
    <w:rsid w:val="00E65CD8"/>
    <w:rsid w:val="00E66603"/>
    <w:rsid w:val="00E66ACA"/>
    <w:rsid w:val="00E711EA"/>
    <w:rsid w:val="00E735A9"/>
    <w:rsid w:val="00E73ACF"/>
    <w:rsid w:val="00E73BE4"/>
    <w:rsid w:val="00E74ECC"/>
    <w:rsid w:val="00E776F0"/>
    <w:rsid w:val="00E80640"/>
    <w:rsid w:val="00E8157E"/>
    <w:rsid w:val="00E81736"/>
    <w:rsid w:val="00E81ED7"/>
    <w:rsid w:val="00E82586"/>
    <w:rsid w:val="00E826C4"/>
    <w:rsid w:val="00E82F1F"/>
    <w:rsid w:val="00E83A20"/>
    <w:rsid w:val="00E84C24"/>
    <w:rsid w:val="00E84D69"/>
    <w:rsid w:val="00E85C7C"/>
    <w:rsid w:val="00E86488"/>
    <w:rsid w:val="00E90228"/>
    <w:rsid w:val="00E907F4"/>
    <w:rsid w:val="00E95F4E"/>
    <w:rsid w:val="00E96E5D"/>
    <w:rsid w:val="00E9798A"/>
    <w:rsid w:val="00E979F7"/>
    <w:rsid w:val="00EA3000"/>
    <w:rsid w:val="00EA3725"/>
    <w:rsid w:val="00EA3936"/>
    <w:rsid w:val="00EA513F"/>
    <w:rsid w:val="00EA5961"/>
    <w:rsid w:val="00EA5CD1"/>
    <w:rsid w:val="00EA5E2A"/>
    <w:rsid w:val="00EA6D84"/>
    <w:rsid w:val="00EA7710"/>
    <w:rsid w:val="00EA7D38"/>
    <w:rsid w:val="00EB0731"/>
    <w:rsid w:val="00EB1015"/>
    <w:rsid w:val="00EB2020"/>
    <w:rsid w:val="00EB27D5"/>
    <w:rsid w:val="00EB28E9"/>
    <w:rsid w:val="00EB2E09"/>
    <w:rsid w:val="00EB578A"/>
    <w:rsid w:val="00EB6AFD"/>
    <w:rsid w:val="00EB6C7D"/>
    <w:rsid w:val="00EB70E5"/>
    <w:rsid w:val="00EB7C8E"/>
    <w:rsid w:val="00EC02BE"/>
    <w:rsid w:val="00EC1B1A"/>
    <w:rsid w:val="00EC35DE"/>
    <w:rsid w:val="00EC53E6"/>
    <w:rsid w:val="00EC543A"/>
    <w:rsid w:val="00EC5975"/>
    <w:rsid w:val="00EC6130"/>
    <w:rsid w:val="00EC6766"/>
    <w:rsid w:val="00EC6B27"/>
    <w:rsid w:val="00EC6BF6"/>
    <w:rsid w:val="00EC7AE3"/>
    <w:rsid w:val="00EC7E08"/>
    <w:rsid w:val="00ED0F4E"/>
    <w:rsid w:val="00ED2563"/>
    <w:rsid w:val="00ED2A4C"/>
    <w:rsid w:val="00ED762B"/>
    <w:rsid w:val="00EE067C"/>
    <w:rsid w:val="00EE1275"/>
    <w:rsid w:val="00EE1D7D"/>
    <w:rsid w:val="00EE2031"/>
    <w:rsid w:val="00EE209E"/>
    <w:rsid w:val="00EE2D3E"/>
    <w:rsid w:val="00EE6C83"/>
    <w:rsid w:val="00EE7A5E"/>
    <w:rsid w:val="00EF039F"/>
    <w:rsid w:val="00EF11CE"/>
    <w:rsid w:val="00EF13FE"/>
    <w:rsid w:val="00EF2143"/>
    <w:rsid w:val="00EF3159"/>
    <w:rsid w:val="00EF384D"/>
    <w:rsid w:val="00EF4569"/>
    <w:rsid w:val="00EF4F51"/>
    <w:rsid w:val="00EF6960"/>
    <w:rsid w:val="00EF7D4C"/>
    <w:rsid w:val="00F00A1F"/>
    <w:rsid w:val="00F062AC"/>
    <w:rsid w:val="00F068A0"/>
    <w:rsid w:val="00F0745D"/>
    <w:rsid w:val="00F10C63"/>
    <w:rsid w:val="00F115CA"/>
    <w:rsid w:val="00F121CB"/>
    <w:rsid w:val="00F12787"/>
    <w:rsid w:val="00F152AB"/>
    <w:rsid w:val="00F17101"/>
    <w:rsid w:val="00F175F6"/>
    <w:rsid w:val="00F17AC1"/>
    <w:rsid w:val="00F20A25"/>
    <w:rsid w:val="00F20D6E"/>
    <w:rsid w:val="00F22810"/>
    <w:rsid w:val="00F23521"/>
    <w:rsid w:val="00F2359F"/>
    <w:rsid w:val="00F25E05"/>
    <w:rsid w:val="00F26F08"/>
    <w:rsid w:val="00F2710C"/>
    <w:rsid w:val="00F274F9"/>
    <w:rsid w:val="00F314CA"/>
    <w:rsid w:val="00F31F31"/>
    <w:rsid w:val="00F34F34"/>
    <w:rsid w:val="00F35350"/>
    <w:rsid w:val="00F35D14"/>
    <w:rsid w:val="00F35E37"/>
    <w:rsid w:val="00F36CF6"/>
    <w:rsid w:val="00F37737"/>
    <w:rsid w:val="00F4022D"/>
    <w:rsid w:val="00F40BDA"/>
    <w:rsid w:val="00F4352C"/>
    <w:rsid w:val="00F435DD"/>
    <w:rsid w:val="00F43806"/>
    <w:rsid w:val="00F44A54"/>
    <w:rsid w:val="00F46DC9"/>
    <w:rsid w:val="00F47051"/>
    <w:rsid w:val="00F47DFA"/>
    <w:rsid w:val="00F56757"/>
    <w:rsid w:val="00F611CE"/>
    <w:rsid w:val="00F61830"/>
    <w:rsid w:val="00F61F2B"/>
    <w:rsid w:val="00F632F0"/>
    <w:rsid w:val="00F650C6"/>
    <w:rsid w:val="00F6654F"/>
    <w:rsid w:val="00F670C5"/>
    <w:rsid w:val="00F67E52"/>
    <w:rsid w:val="00F717A9"/>
    <w:rsid w:val="00F72893"/>
    <w:rsid w:val="00F72F75"/>
    <w:rsid w:val="00F74885"/>
    <w:rsid w:val="00F80046"/>
    <w:rsid w:val="00F808C8"/>
    <w:rsid w:val="00F81E02"/>
    <w:rsid w:val="00F82F71"/>
    <w:rsid w:val="00F852AC"/>
    <w:rsid w:val="00F87873"/>
    <w:rsid w:val="00F90801"/>
    <w:rsid w:val="00F90FD1"/>
    <w:rsid w:val="00F928A7"/>
    <w:rsid w:val="00F951A8"/>
    <w:rsid w:val="00F973B8"/>
    <w:rsid w:val="00FA074C"/>
    <w:rsid w:val="00FA189F"/>
    <w:rsid w:val="00FA33EA"/>
    <w:rsid w:val="00FA3B31"/>
    <w:rsid w:val="00FA4E6A"/>
    <w:rsid w:val="00FA6021"/>
    <w:rsid w:val="00FA6E71"/>
    <w:rsid w:val="00FA7041"/>
    <w:rsid w:val="00FB1AF5"/>
    <w:rsid w:val="00FB1F32"/>
    <w:rsid w:val="00FB38C1"/>
    <w:rsid w:val="00FB4EEC"/>
    <w:rsid w:val="00FB5305"/>
    <w:rsid w:val="00FB5539"/>
    <w:rsid w:val="00FB580A"/>
    <w:rsid w:val="00FB5D0B"/>
    <w:rsid w:val="00FB6219"/>
    <w:rsid w:val="00FB6344"/>
    <w:rsid w:val="00FC0BB0"/>
    <w:rsid w:val="00FC18C6"/>
    <w:rsid w:val="00FC2AA2"/>
    <w:rsid w:val="00FC2BFC"/>
    <w:rsid w:val="00FC2FEF"/>
    <w:rsid w:val="00FC4E0A"/>
    <w:rsid w:val="00FC507A"/>
    <w:rsid w:val="00FC5721"/>
    <w:rsid w:val="00FC7057"/>
    <w:rsid w:val="00FC7C5E"/>
    <w:rsid w:val="00FD0107"/>
    <w:rsid w:val="00FD0552"/>
    <w:rsid w:val="00FD45B6"/>
    <w:rsid w:val="00FD5B9A"/>
    <w:rsid w:val="00FD5BAB"/>
    <w:rsid w:val="00FD6621"/>
    <w:rsid w:val="00FE2FFD"/>
    <w:rsid w:val="00FE4CEE"/>
    <w:rsid w:val="00FE53AC"/>
    <w:rsid w:val="00FE78F3"/>
    <w:rsid w:val="00FF1535"/>
    <w:rsid w:val="00FF5CDC"/>
    <w:rsid w:val="00FF6FAA"/>
    <w:rsid w:val="00FF771D"/>
    <w:rsid w:val="00FF77B0"/>
    <w:rsid w:val="0108651D"/>
    <w:rsid w:val="01192C1F"/>
    <w:rsid w:val="011F45BF"/>
    <w:rsid w:val="012F4C79"/>
    <w:rsid w:val="01367D04"/>
    <w:rsid w:val="01697F24"/>
    <w:rsid w:val="01942F99"/>
    <w:rsid w:val="01AD3108"/>
    <w:rsid w:val="01B42E7D"/>
    <w:rsid w:val="01E66076"/>
    <w:rsid w:val="02315AF4"/>
    <w:rsid w:val="029D606B"/>
    <w:rsid w:val="02A36C44"/>
    <w:rsid w:val="02AB5A6A"/>
    <w:rsid w:val="02B67325"/>
    <w:rsid w:val="03122C13"/>
    <w:rsid w:val="03522419"/>
    <w:rsid w:val="038D5773"/>
    <w:rsid w:val="03E530B1"/>
    <w:rsid w:val="043002CD"/>
    <w:rsid w:val="0442389F"/>
    <w:rsid w:val="04B32A54"/>
    <w:rsid w:val="04C92F18"/>
    <w:rsid w:val="050E57AB"/>
    <w:rsid w:val="053907A9"/>
    <w:rsid w:val="053E0133"/>
    <w:rsid w:val="053E1E6C"/>
    <w:rsid w:val="056320FC"/>
    <w:rsid w:val="05BE3F93"/>
    <w:rsid w:val="06134AEB"/>
    <w:rsid w:val="063C6B36"/>
    <w:rsid w:val="069E1139"/>
    <w:rsid w:val="06C84957"/>
    <w:rsid w:val="07005382"/>
    <w:rsid w:val="070F3067"/>
    <w:rsid w:val="075C1AB8"/>
    <w:rsid w:val="07EF3BE7"/>
    <w:rsid w:val="08114650"/>
    <w:rsid w:val="08307FB5"/>
    <w:rsid w:val="08397916"/>
    <w:rsid w:val="087B5C8E"/>
    <w:rsid w:val="08A30046"/>
    <w:rsid w:val="08D20624"/>
    <w:rsid w:val="08F136C4"/>
    <w:rsid w:val="096D5F6E"/>
    <w:rsid w:val="09731A5D"/>
    <w:rsid w:val="0983332C"/>
    <w:rsid w:val="0995798F"/>
    <w:rsid w:val="09A6526C"/>
    <w:rsid w:val="09AE3143"/>
    <w:rsid w:val="09EF6C13"/>
    <w:rsid w:val="0A021C7D"/>
    <w:rsid w:val="0A2763AD"/>
    <w:rsid w:val="0A4403BC"/>
    <w:rsid w:val="0A704AA2"/>
    <w:rsid w:val="0A7916DA"/>
    <w:rsid w:val="0AB10F62"/>
    <w:rsid w:val="0ADF7CCD"/>
    <w:rsid w:val="0AFF3FF8"/>
    <w:rsid w:val="0B601582"/>
    <w:rsid w:val="0B744700"/>
    <w:rsid w:val="0B986792"/>
    <w:rsid w:val="0B9D4F61"/>
    <w:rsid w:val="0BC22440"/>
    <w:rsid w:val="0C801DA5"/>
    <w:rsid w:val="0CEF5809"/>
    <w:rsid w:val="0D310868"/>
    <w:rsid w:val="0DCE1E09"/>
    <w:rsid w:val="0DFD4D74"/>
    <w:rsid w:val="0E395B6A"/>
    <w:rsid w:val="0E5E50F0"/>
    <w:rsid w:val="0E6332D7"/>
    <w:rsid w:val="0EA16060"/>
    <w:rsid w:val="0EC47A31"/>
    <w:rsid w:val="0ECC2474"/>
    <w:rsid w:val="0ED40EAE"/>
    <w:rsid w:val="0F4632F8"/>
    <w:rsid w:val="0F8B316C"/>
    <w:rsid w:val="0FBE4DE5"/>
    <w:rsid w:val="101576C8"/>
    <w:rsid w:val="103E61FE"/>
    <w:rsid w:val="107F155C"/>
    <w:rsid w:val="10850234"/>
    <w:rsid w:val="11157B36"/>
    <w:rsid w:val="11394FC4"/>
    <w:rsid w:val="11BF214B"/>
    <w:rsid w:val="11D53BD2"/>
    <w:rsid w:val="11FF66D0"/>
    <w:rsid w:val="120526CB"/>
    <w:rsid w:val="125E4936"/>
    <w:rsid w:val="129C48C6"/>
    <w:rsid w:val="12D409F7"/>
    <w:rsid w:val="13043A2D"/>
    <w:rsid w:val="138002F5"/>
    <w:rsid w:val="13A501AE"/>
    <w:rsid w:val="13AD78B7"/>
    <w:rsid w:val="13B4640E"/>
    <w:rsid w:val="13E26254"/>
    <w:rsid w:val="13EE6BC2"/>
    <w:rsid w:val="14314D8B"/>
    <w:rsid w:val="14C667C2"/>
    <w:rsid w:val="14FD5B30"/>
    <w:rsid w:val="153B0F93"/>
    <w:rsid w:val="154E16F9"/>
    <w:rsid w:val="15F1240F"/>
    <w:rsid w:val="15FD119F"/>
    <w:rsid w:val="1620724A"/>
    <w:rsid w:val="163B566A"/>
    <w:rsid w:val="16593E1F"/>
    <w:rsid w:val="16917E82"/>
    <w:rsid w:val="16AB7582"/>
    <w:rsid w:val="16B74615"/>
    <w:rsid w:val="16DC6ABA"/>
    <w:rsid w:val="16E3540A"/>
    <w:rsid w:val="17173305"/>
    <w:rsid w:val="17575BA1"/>
    <w:rsid w:val="178A49D3"/>
    <w:rsid w:val="178C473A"/>
    <w:rsid w:val="178F5881"/>
    <w:rsid w:val="18A24523"/>
    <w:rsid w:val="18A902D5"/>
    <w:rsid w:val="18B41299"/>
    <w:rsid w:val="18E36D86"/>
    <w:rsid w:val="191A4DCD"/>
    <w:rsid w:val="19317F5D"/>
    <w:rsid w:val="1939204E"/>
    <w:rsid w:val="1957045F"/>
    <w:rsid w:val="198F39CB"/>
    <w:rsid w:val="19914D8E"/>
    <w:rsid w:val="19EC6CCB"/>
    <w:rsid w:val="19F619F2"/>
    <w:rsid w:val="1A247740"/>
    <w:rsid w:val="1A383CBF"/>
    <w:rsid w:val="1A491F16"/>
    <w:rsid w:val="1A747F23"/>
    <w:rsid w:val="1A7D7471"/>
    <w:rsid w:val="1A9F55D6"/>
    <w:rsid w:val="1AA56ACE"/>
    <w:rsid w:val="1ADF72F8"/>
    <w:rsid w:val="1B2657AA"/>
    <w:rsid w:val="1B2C4A6E"/>
    <w:rsid w:val="1B586F02"/>
    <w:rsid w:val="1BD728CE"/>
    <w:rsid w:val="1BF55845"/>
    <w:rsid w:val="1C2679F5"/>
    <w:rsid w:val="1C662683"/>
    <w:rsid w:val="1C7E58D5"/>
    <w:rsid w:val="1C9571A6"/>
    <w:rsid w:val="1DA67191"/>
    <w:rsid w:val="1DCA7359"/>
    <w:rsid w:val="1DD3548B"/>
    <w:rsid w:val="1DDD7092"/>
    <w:rsid w:val="1DED21D8"/>
    <w:rsid w:val="1DF260B3"/>
    <w:rsid w:val="1DFC7360"/>
    <w:rsid w:val="1E04451C"/>
    <w:rsid w:val="1E1125AC"/>
    <w:rsid w:val="1E4B14B9"/>
    <w:rsid w:val="1E5C73B2"/>
    <w:rsid w:val="1F0E3DA5"/>
    <w:rsid w:val="1F395F47"/>
    <w:rsid w:val="1F5262EB"/>
    <w:rsid w:val="1F6C6A36"/>
    <w:rsid w:val="1F7C5F31"/>
    <w:rsid w:val="1FB42991"/>
    <w:rsid w:val="1FC02810"/>
    <w:rsid w:val="20126966"/>
    <w:rsid w:val="2033188D"/>
    <w:rsid w:val="205426FB"/>
    <w:rsid w:val="206812E1"/>
    <w:rsid w:val="20A34F14"/>
    <w:rsid w:val="20AB67DD"/>
    <w:rsid w:val="20CE49AC"/>
    <w:rsid w:val="21383E40"/>
    <w:rsid w:val="21415B4F"/>
    <w:rsid w:val="215B3BE8"/>
    <w:rsid w:val="216062E6"/>
    <w:rsid w:val="216B22EC"/>
    <w:rsid w:val="21A92A79"/>
    <w:rsid w:val="21C91BEC"/>
    <w:rsid w:val="21EA45D6"/>
    <w:rsid w:val="22174729"/>
    <w:rsid w:val="224F1C12"/>
    <w:rsid w:val="226044F7"/>
    <w:rsid w:val="2292170C"/>
    <w:rsid w:val="22D447A0"/>
    <w:rsid w:val="22F75C0D"/>
    <w:rsid w:val="23093522"/>
    <w:rsid w:val="23476F51"/>
    <w:rsid w:val="236F7DC3"/>
    <w:rsid w:val="23822EC3"/>
    <w:rsid w:val="238F6951"/>
    <w:rsid w:val="23BB72E6"/>
    <w:rsid w:val="24EF4F95"/>
    <w:rsid w:val="25114177"/>
    <w:rsid w:val="252101C8"/>
    <w:rsid w:val="25302162"/>
    <w:rsid w:val="253B693B"/>
    <w:rsid w:val="258409B6"/>
    <w:rsid w:val="25B93B7D"/>
    <w:rsid w:val="25E85C84"/>
    <w:rsid w:val="26346E96"/>
    <w:rsid w:val="26572E69"/>
    <w:rsid w:val="271E33C2"/>
    <w:rsid w:val="27215052"/>
    <w:rsid w:val="27241283"/>
    <w:rsid w:val="275050A1"/>
    <w:rsid w:val="2759191D"/>
    <w:rsid w:val="28100029"/>
    <w:rsid w:val="283A5E44"/>
    <w:rsid w:val="28413B66"/>
    <w:rsid w:val="285D56E3"/>
    <w:rsid w:val="288325A9"/>
    <w:rsid w:val="28835482"/>
    <w:rsid w:val="28B210E0"/>
    <w:rsid w:val="290F7096"/>
    <w:rsid w:val="29915199"/>
    <w:rsid w:val="29C047F4"/>
    <w:rsid w:val="2A0B62C7"/>
    <w:rsid w:val="2A2C6C70"/>
    <w:rsid w:val="2A796FF2"/>
    <w:rsid w:val="2A865480"/>
    <w:rsid w:val="2A9809AE"/>
    <w:rsid w:val="2ACA0B27"/>
    <w:rsid w:val="2AF76CB9"/>
    <w:rsid w:val="2BA5768C"/>
    <w:rsid w:val="2BAF1907"/>
    <w:rsid w:val="2BB42E68"/>
    <w:rsid w:val="2BDC5A17"/>
    <w:rsid w:val="2BE80AD0"/>
    <w:rsid w:val="2C140BA6"/>
    <w:rsid w:val="2C457585"/>
    <w:rsid w:val="2C534988"/>
    <w:rsid w:val="2C555F81"/>
    <w:rsid w:val="2C567958"/>
    <w:rsid w:val="2C61707F"/>
    <w:rsid w:val="2C7216FE"/>
    <w:rsid w:val="2C977C17"/>
    <w:rsid w:val="2CA04F88"/>
    <w:rsid w:val="2CA53D14"/>
    <w:rsid w:val="2CB2345D"/>
    <w:rsid w:val="2D201399"/>
    <w:rsid w:val="2D4428F5"/>
    <w:rsid w:val="2E1819E5"/>
    <w:rsid w:val="2E2909AF"/>
    <w:rsid w:val="2E951F50"/>
    <w:rsid w:val="2EAA4755"/>
    <w:rsid w:val="2EAE4F1A"/>
    <w:rsid w:val="2EDF16A9"/>
    <w:rsid w:val="2F5527C5"/>
    <w:rsid w:val="2F745A50"/>
    <w:rsid w:val="2F8B7168"/>
    <w:rsid w:val="2FA90D89"/>
    <w:rsid w:val="2FF1701A"/>
    <w:rsid w:val="3017622D"/>
    <w:rsid w:val="3037480A"/>
    <w:rsid w:val="303D5F81"/>
    <w:rsid w:val="305C45F4"/>
    <w:rsid w:val="30903FDA"/>
    <w:rsid w:val="310279A9"/>
    <w:rsid w:val="31136A19"/>
    <w:rsid w:val="31642869"/>
    <w:rsid w:val="3167362A"/>
    <w:rsid w:val="31A936D3"/>
    <w:rsid w:val="31CF15AD"/>
    <w:rsid w:val="31FD4DFF"/>
    <w:rsid w:val="320D255F"/>
    <w:rsid w:val="32144BB9"/>
    <w:rsid w:val="32625045"/>
    <w:rsid w:val="326E6B5F"/>
    <w:rsid w:val="327439C4"/>
    <w:rsid w:val="32BA317E"/>
    <w:rsid w:val="32F94607"/>
    <w:rsid w:val="32FD1ED5"/>
    <w:rsid w:val="33060241"/>
    <w:rsid w:val="333E1EEE"/>
    <w:rsid w:val="337A2819"/>
    <w:rsid w:val="33AA6F64"/>
    <w:rsid w:val="33BF3950"/>
    <w:rsid w:val="33EA60F8"/>
    <w:rsid w:val="346638E0"/>
    <w:rsid w:val="34723F76"/>
    <w:rsid w:val="34DF32B6"/>
    <w:rsid w:val="34F94116"/>
    <w:rsid w:val="35042210"/>
    <w:rsid w:val="357161F8"/>
    <w:rsid w:val="358021CC"/>
    <w:rsid w:val="35C91DF7"/>
    <w:rsid w:val="35CA2B74"/>
    <w:rsid w:val="35D0481A"/>
    <w:rsid w:val="35D95AAB"/>
    <w:rsid w:val="3670428D"/>
    <w:rsid w:val="367E5FD6"/>
    <w:rsid w:val="37EA6323"/>
    <w:rsid w:val="384953BA"/>
    <w:rsid w:val="387C2308"/>
    <w:rsid w:val="38952B66"/>
    <w:rsid w:val="38C2616C"/>
    <w:rsid w:val="38C26B8B"/>
    <w:rsid w:val="39190530"/>
    <w:rsid w:val="391C7DCA"/>
    <w:rsid w:val="39761CB6"/>
    <w:rsid w:val="3984464D"/>
    <w:rsid w:val="39F72DF7"/>
    <w:rsid w:val="3A2A229D"/>
    <w:rsid w:val="3A78648A"/>
    <w:rsid w:val="3A8F1281"/>
    <w:rsid w:val="3B104080"/>
    <w:rsid w:val="3B3D7712"/>
    <w:rsid w:val="3B8F5A86"/>
    <w:rsid w:val="3BB43871"/>
    <w:rsid w:val="3BFD2752"/>
    <w:rsid w:val="3C17688B"/>
    <w:rsid w:val="3C1E5A81"/>
    <w:rsid w:val="3C750EC2"/>
    <w:rsid w:val="3CAF3761"/>
    <w:rsid w:val="3CED04E1"/>
    <w:rsid w:val="3DB03FCF"/>
    <w:rsid w:val="3E0829B6"/>
    <w:rsid w:val="3E5821F3"/>
    <w:rsid w:val="3E7B3D02"/>
    <w:rsid w:val="3EC92C3B"/>
    <w:rsid w:val="3ED23E32"/>
    <w:rsid w:val="3EEA4CD8"/>
    <w:rsid w:val="3F1B5298"/>
    <w:rsid w:val="3F256747"/>
    <w:rsid w:val="3F3A55D5"/>
    <w:rsid w:val="3F3C35F9"/>
    <w:rsid w:val="3F4A1C1A"/>
    <w:rsid w:val="3F516B05"/>
    <w:rsid w:val="3F5F5390"/>
    <w:rsid w:val="3F752F86"/>
    <w:rsid w:val="3F7C2334"/>
    <w:rsid w:val="3F9C06FF"/>
    <w:rsid w:val="3FAF0EFB"/>
    <w:rsid w:val="40061BFB"/>
    <w:rsid w:val="401330BC"/>
    <w:rsid w:val="401C0433"/>
    <w:rsid w:val="401E1D2F"/>
    <w:rsid w:val="407622BB"/>
    <w:rsid w:val="40C9035E"/>
    <w:rsid w:val="40F9220A"/>
    <w:rsid w:val="4100364C"/>
    <w:rsid w:val="41247327"/>
    <w:rsid w:val="41497192"/>
    <w:rsid w:val="416C126A"/>
    <w:rsid w:val="418B0F9E"/>
    <w:rsid w:val="419249A3"/>
    <w:rsid w:val="41B24CC0"/>
    <w:rsid w:val="41BF1073"/>
    <w:rsid w:val="4233334A"/>
    <w:rsid w:val="424B1FAC"/>
    <w:rsid w:val="427C0E32"/>
    <w:rsid w:val="42F56341"/>
    <w:rsid w:val="43101A89"/>
    <w:rsid w:val="431A7B56"/>
    <w:rsid w:val="432F2BB0"/>
    <w:rsid w:val="43AC3005"/>
    <w:rsid w:val="43C67746"/>
    <w:rsid w:val="43CD1AE8"/>
    <w:rsid w:val="442B5851"/>
    <w:rsid w:val="44330ECF"/>
    <w:rsid w:val="446746E7"/>
    <w:rsid w:val="447D1439"/>
    <w:rsid w:val="44AE08C2"/>
    <w:rsid w:val="44ED2980"/>
    <w:rsid w:val="4519777D"/>
    <w:rsid w:val="452B4B3E"/>
    <w:rsid w:val="452D591E"/>
    <w:rsid w:val="455C1AFB"/>
    <w:rsid w:val="457E21DE"/>
    <w:rsid w:val="45CC502F"/>
    <w:rsid w:val="45EF6BF6"/>
    <w:rsid w:val="45F34DBA"/>
    <w:rsid w:val="4618028F"/>
    <w:rsid w:val="461F0761"/>
    <w:rsid w:val="46381963"/>
    <w:rsid w:val="46412279"/>
    <w:rsid w:val="46974E02"/>
    <w:rsid w:val="46FB1286"/>
    <w:rsid w:val="47406699"/>
    <w:rsid w:val="47A811A8"/>
    <w:rsid w:val="47C1542A"/>
    <w:rsid w:val="47E81FD1"/>
    <w:rsid w:val="47F21D5C"/>
    <w:rsid w:val="48186643"/>
    <w:rsid w:val="48230841"/>
    <w:rsid w:val="484A604E"/>
    <w:rsid w:val="48773AA2"/>
    <w:rsid w:val="48791714"/>
    <w:rsid w:val="4884256B"/>
    <w:rsid w:val="48EF1328"/>
    <w:rsid w:val="48F71625"/>
    <w:rsid w:val="49BA14B8"/>
    <w:rsid w:val="49CF3DF9"/>
    <w:rsid w:val="49E961D1"/>
    <w:rsid w:val="49EC5E19"/>
    <w:rsid w:val="4A0B5AFC"/>
    <w:rsid w:val="4A2319E6"/>
    <w:rsid w:val="4A2563B9"/>
    <w:rsid w:val="4A654C40"/>
    <w:rsid w:val="4A6C513B"/>
    <w:rsid w:val="4A8D597B"/>
    <w:rsid w:val="4ACC5BD9"/>
    <w:rsid w:val="4ADF3883"/>
    <w:rsid w:val="4AF74F7F"/>
    <w:rsid w:val="4AFC2039"/>
    <w:rsid w:val="4B1715D8"/>
    <w:rsid w:val="4B544382"/>
    <w:rsid w:val="4B5C68BA"/>
    <w:rsid w:val="4B7636CC"/>
    <w:rsid w:val="4B813DD6"/>
    <w:rsid w:val="4BCE521F"/>
    <w:rsid w:val="4BEC043D"/>
    <w:rsid w:val="4C184A7E"/>
    <w:rsid w:val="4C5C018C"/>
    <w:rsid w:val="4C5E7ECD"/>
    <w:rsid w:val="4C717724"/>
    <w:rsid w:val="4CA25377"/>
    <w:rsid w:val="4CAD0B73"/>
    <w:rsid w:val="4CC1157E"/>
    <w:rsid w:val="4CC50171"/>
    <w:rsid w:val="4CDE3D75"/>
    <w:rsid w:val="4D0D533A"/>
    <w:rsid w:val="4D357C37"/>
    <w:rsid w:val="4D8D7AA4"/>
    <w:rsid w:val="4DB8664D"/>
    <w:rsid w:val="4DF35733"/>
    <w:rsid w:val="4E240FA7"/>
    <w:rsid w:val="4E9764FE"/>
    <w:rsid w:val="4ECA43E3"/>
    <w:rsid w:val="4F021BCA"/>
    <w:rsid w:val="4F10078B"/>
    <w:rsid w:val="4F271630"/>
    <w:rsid w:val="4F786F7B"/>
    <w:rsid w:val="4F9128EE"/>
    <w:rsid w:val="4F970B0F"/>
    <w:rsid w:val="4FCC3F86"/>
    <w:rsid w:val="500D0826"/>
    <w:rsid w:val="50541053"/>
    <w:rsid w:val="505E4BA7"/>
    <w:rsid w:val="50683893"/>
    <w:rsid w:val="50805AAD"/>
    <w:rsid w:val="50B57341"/>
    <w:rsid w:val="50FA55FA"/>
    <w:rsid w:val="510C7980"/>
    <w:rsid w:val="514D2F7B"/>
    <w:rsid w:val="518A6447"/>
    <w:rsid w:val="51EE6435"/>
    <w:rsid w:val="52154E4E"/>
    <w:rsid w:val="522140A2"/>
    <w:rsid w:val="52842376"/>
    <w:rsid w:val="529D16D2"/>
    <w:rsid w:val="52AC785B"/>
    <w:rsid w:val="52BA02E4"/>
    <w:rsid w:val="532E5B73"/>
    <w:rsid w:val="53F87A3F"/>
    <w:rsid w:val="54393C29"/>
    <w:rsid w:val="54CE7259"/>
    <w:rsid w:val="54DA61DE"/>
    <w:rsid w:val="54E06124"/>
    <w:rsid w:val="55120D38"/>
    <w:rsid w:val="551E34D6"/>
    <w:rsid w:val="554B3332"/>
    <w:rsid w:val="55AC59CE"/>
    <w:rsid w:val="55C44EFE"/>
    <w:rsid w:val="560B3A5A"/>
    <w:rsid w:val="56A01B10"/>
    <w:rsid w:val="56D6269A"/>
    <w:rsid w:val="56F224B6"/>
    <w:rsid w:val="57012C49"/>
    <w:rsid w:val="57073010"/>
    <w:rsid w:val="57374617"/>
    <w:rsid w:val="57424CCE"/>
    <w:rsid w:val="574C257C"/>
    <w:rsid w:val="57700617"/>
    <w:rsid w:val="57D2492A"/>
    <w:rsid w:val="580451D2"/>
    <w:rsid w:val="58154F81"/>
    <w:rsid w:val="58220C7E"/>
    <w:rsid w:val="587A4EC7"/>
    <w:rsid w:val="58AF1ED7"/>
    <w:rsid w:val="58B677DE"/>
    <w:rsid w:val="58BA5D4D"/>
    <w:rsid w:val="58BE45E3"/>
    <w:rsid w:val="59032CBA"/>
    <w:rsid w:val="59234F20"/>
    <w:rsid w:val="59592C7A"/>
    <w:rsid w:val="597C0E9D"/>
    <w:rsid w:val="599E4A53"/>
    <w:rsid w:val="59EE791A"/>
    <w:rsid w:val="59FD52B4"/>
    <w:rsid w:val="5A4417ED"/>
    <w:rsid w:val="5A6E6F10"/>
    <w:rsid w:val="5AA25AA1"/>
    <w:rsid w:val="5AC45E9A"/>
    <w:rsid w:val="5ADE6657"/>
    <w:rsid w:val="5AF57D2E"/>
    <w:rsid w:val="5AFA48AF"/>
    <w:rsid w:val="5AFD593B"/>
    <w:rsid w:val="5B3E3A75"/>
    <w:rsid w:val="5B7516A9"/>
    <w:rsid w:val="5BA01A70"/>
    <w:rsid w:val="5BEF1706"/>
    <w:rsid w:val="5C142FD3"/>
    <w:rsid w:val="5C397708"/>
    <w:rsid w:val="5C4750C0"/>
    <w:rsid w:val="5C4A4BB0"/>
    <w:rsid w:val="5C4F1E4F"/>
    <w:rsid w:val="5C50467A"/>
    <w:rsid w:val="5C506285"/>
    <w:rsid w:val="5C510F41"/>
    <w:rsid w:val="5C5A46E4"/>
    <w:rsid w:val="5C717D5D"/>
    <w:rsid w:val="5C981DBF"/>
    <w:rsid w:val="5CB32755"/>
    <w:rsid w:val="5CE84D1B"/>
    <w:rsid w:val="5D6D2CED"/>
    <w:rsid w:val="5D7E4FBC"/>
    <w:rsid w:val="5D7F53CE"/>
    <w:rsid w:val="5D86519E"/>
    <w:rsid w:val="5D913761"/>
    <w:rsid w:val="5D9546D3"/>
    <w:rsid w:val="5DB51208"/>
    <w:rsid w:val="5DF56B3A"/>
    <w:rsid w:val="5E1637E8"/>
    <w:rsid w:val="5E20598D"/>
    <w:rsid w:val="5E391380"/>
    <w:rsid w:val="5E8314D1"/>
    <w:rsid w:val="5EB97DCB"/>
    <w:rsid w:val="5EC92704"/>
    <w:rsid w:val="5ED209B4"/>
    <w:rsid w:val="5EDF3CD6"/>
    <w:rsid w:val="5EF30B52"/>
    <w:rsid w:val="5F0F1EDD"/>
    <w:rsid w:val="5F203B02"/>
    <w:rsid w:val="5F311D94"/>
    <w:rsid w:val="5F664C68"/>
    <w:rsid w:val="5F6D25A1"/>
    <w:rsid w:val="5FAF274C"/>
    <w:rsid w:val="5FBFBCFC"/>
    <w:rsid w:val="60201CCA"/>
    <w:rsid w:val="603D5158"/>
    <w:rsid w:val="60720904"/>
    <w:rsid w:val="60B13450"/>
    <w:rsid w:val="60CA4511"/>
    <w:rsid w:val="60F9352D"/>
    <w:rsid w:val="61283254"/>
    <w:rsid w:val="61332390"/>
    <w:rsid w:val="613D1187"/>
    <w:rsid w:val="613D404A"/>
    <w:rsid w:val="615F4C5A"/>
    <w:rsid w:val="61DF42E6"/>
    <w:rsid w:val="62046EA2"/>
    <w:rsid w:val="62064F77"/>
    <w:rsid w:val="621B3277"/>
    <w:rsid w:val="6235591B"/>
    <w:rsid w:val="625929DC"/>
    <w:rsid w:val="626E50AF"/>
    <w:rsid w:val="629257B2"/>
    <w:rsid w:val="62CE3CCF"/>
    <w:rsid w:val="6371005D"/>
    <w:rsid w:val="63A94C30"/>
    <w:rsid w:val="63DC6668"/>
    <w:rsid w:val="63E47C68"/>
    <w:rsid w:val="640A55BC"/>
    <w:rsid w:val="64160B6F"/>
    <w:rsid w:val="643B7C00"/>
    <w:rsid w:val="645E38EF"/>
    <w:rsid w:val="64B06052"/>
    <w:rsid w:val="64D97241"/>
    <w:rsid w:val="653D026B"/>
    <w:rsid w:val="65554AF8"/>
    <w:rsid w:val="655B624A"/>
    <w:rsid w:val="6562503C"/>
    <w:rsid w:val="65801FC9"/>
    <w:rsid w:val="65837D2A"/>
    <w:rsid w:val="658D15C6"/>
    <w:rsid w:val="663661F4"/>
    <w:rsid w:val="66B30A47"/>
    <w:rsid w:val="66C92FC5"/>
    <w:rsid w:val="672364E3"/>
    <w:rsid w:val="67BB4BB4"/>
    <w:rsid w:val="67C23CFD"/>
    <w:rsid w:val="67F56318"/>
    <w:rsid w:val="682830F6"/>
    <w:rsid w:val="685724B4"/>
    <w:rsid w:val="68B25600"/>
    <w:rsid w:val="68B94891"/>
    <w:rsid w:val="69171787"/>
    <w:rsid w:val="691E58C2"/>
    <w:rsid w:val="696B58F9"/>
    <w:rsid w:val="698E5D0A"/>
    <w:rsid w:val="69B44063"/>
    <w:rsid w:val="69BA3040"/>
    <w:rsid w:val="69DF241C"/>
    <w:rsid w:val="69F11B9E"/>
    <w:rsid w:val="6A1B093C"/>
    <w:rsid w:val="6A2A7BEE"/>
    <w:rsid w:val="6A3740D9"/>
    <w:rsid w:val="6A397C93"/>
    <w:rsid w:val="6A55309E"/>
    <w:rsid w:val="6A9439E3"/>
    <w:rsid w:val="6AA4714D"/>
    <w:rsid w:val="6AB324D0"/>
    <w:rsid w:val="6AE03994"/>
    <w:rsid w:val="6AE102E7"/>
    <w:rsid w:val="6AED3335"/>
    <w:rsid w:val="6B040620"/>
    <w:rsid w:val="6B5A6656"/>
    <w:rsid w:val="6BB66668"/>
    <w:rsid w:val="6BD12DE0"/>
    <w:rsid w:val="6BFA27DF"/>
    <w:rsid w:val="6C040369"/>
    <w:rsid w:val="6D6F6101"/>
    <w:rsid w:val="6D9D5196"/>
    <w:rsid w:val="6DEE515A"/>
    <w:rsid w:val="6DFE0689"/>
    <w:rsid w:val="6E34121C"/>
    <w:rsid w:val="6E4A0772"/>
    <w:rsid w:val="6E5964F7"/>
    <w:rsid w:val="6E661859"/>
    <w:rsid w:val="6EC46A44"/>
    <w:rsid w:val="6F2156C2"/>
    <w:rsid w:val="6F24024B"/>
    <w:rsid w:val="6F377280"/>
    <w:rsid w:val="6F576353"/>
    <w:rsid w:val="6F5E47A3"/>
    <w:rsid w:val="6F5E7550"/>
    <w:rsid w:val="6F847349"/>
    <w:rsid w:val="6F984159"/>
    <w:rsid w:val="6F9A5386"/>
    <w:rsid w:val="6FFB1766"/>
    <w:rsid w:val="70916052"/>
    <w:rsid w:val="70DA5D42"/>
    <w:rsid w:val="716254FF"/>
    <w:rsid w:val="7173340D"/>
    <w:rsid w:val="71924BD7"/>
    <w:rsid w:val="71FF63E2"/>
    <w:rsid w:val="72157D35"/>
    <w:rsid w:val="721A11ED"/>
    <w:rsid w:val="72341ADA"/>
    <w:rsid w:val="72386BF0"/>
    <w:rsid w:val="72531D3B"/>
    <w:rsid w:val="726C5429"/>
    <w:rsid w:val="726D2C6D"/>
    <w:rsid w:val="72864218"/>
    <w:rsid w:val="72A42E14"/>
    <w:rsid w:val="72AE3511"/>
    <w:rsid w:val="72AE5A41"/>
    <w:rsid w:val="72DE4C6B"/>
    <w:rsid w:val="72E53E2F"/>
    <w:rsid w:val="72F40F1C"/>
    <w:rsid w:val="731E639B"/>
    <w:rsid w:val="73356877"/>
    <w:rsid w:val="7355596B"/>
    <w:rsid w:val="73572855"/>
    <w:rsid w:val="73A22312"/>
    <w:rsid w:val="73C02FFA"/>
    <w:rsid w:val="73D73946"/>
    <w:rsid w:val="744507A3"/>
    <w:rsid w:val="745D6C6C"/>
    <w:rsid w:val="745E1EE0"/>
    <w:rsid w:val="74602D6B"/>
    <w:rsid w:val="747704A8"/>
    <w:rsid w:val="7480205F"/>
    <w:rsid w:val="74C01B06"/>
    <w:rsid w:val="74E91ED0"/>
    <w:rsid w:val="74ED135C"/>
    <w:rsid w:val="750558C1"/>
    <w:rsid w:val="751378BC"/>
    <w:rsid w:val="751D7278"/>
    <w:rsid w:val="752628A8"/>
    <w:rsid w:val="75286F45"/>
    <w:rsid w:val="753C7738"/>
    <w:rsid w:val="756E608A"/>
    <w:rsid w:val="75726569"/>
    <w:rsid w:val="75917B29"/>
    <w:rsid w:val="75BA46FD"/>
    <w:rsid w:val="75C50B27"/>
    <w:rsid w:val="75D83E82"/>
    <w:rsid w:val="75DB2C86"/>
    <w:rsid w:val="75E841DD"/>
    <w:rsid w:val="76824B62"/>
    <w:rsid w:val="76856AB9"/>
    <w:rsid w:val="76984E3C"/>
    <w:rsid w:val="76AB4D9E"/>
    <w:rsid w:val="76F0263A"/>
    <w:rsid w:val="76F71901"/>
    <w:rsid w:val="770F2826"/>
    <w:rsid w:val="771626CB"/>
    <w:rsid w:val="776F7C8F"/>
    <w:rsid w:val="778C5D61"/>
    <w:rsid w:val="77E95D5A"/>
    <w:rsid w:val="77FA34D6"/>
    <w:rsid w:val="78102C95"/>
    <w:rsid w:val="782B52D3"/>
    <w:rsid w:val="784604CA"/>
    <w:rsid w:val="78704F38"/>
    <w:rsid w:val="78754C70"/>
    <w:rsid w:val="788938E9"/>
    <w:rsid w:val="788C2433"/>
    <w:rsid w:val="788F3D5B"/>
    <w:rsid w:val="78EC72C3"/>
    <w:rsid w:val="790B2D30"/>
    <w:rsid w:val="7945312C"/>
    <w:rsid w:val="794B335B"/>
    <w:rsid w:val="79747548"/>
    <w:rsid w:val="79CD0EA3"/>
    <w:rsid w:val="79F17F41"/>
    <w:rsid w:val="7A074284"/>
    <w:rsid w:val="7A0E5017"/>
    <w:rsid w:val="7A256144"/>
    <w:rsid w:val="7A546ECE"/>
    <w:rsid w:val="7A795A34"/>
    <w:rsid w:val="7B651CEA"/>
    <w:rsid w:val="7BC44B40"/>
    <w:rsid w:val="7BD90B19"/>
    <w:rsid w:val="7C5424EB"/>
    <w:rsid w:val="7C6B03A7"/>
    <w:rsid w:val="7CA86B72"/>
    <w:rsid w:val="7CF36C4D"/>
    <w:rsid w:val="7D2A03BA"/>
    <w:rsid w:val="7D3F5A44"/>
    <w:rsid w:val="7D6503AA"/>
    <w:rsid w:val="7D8666DC"/>
    <w:rsid w:val="7DC155AB"/>
    <w:rsid w:val="7DCB0FFB"/>
    <w:rsid w:val="7DD4348B"/>
    <w:rsid w:val="7DFD119D"/>
    <w:rsid w:val="7E3314F0"/>
    <w:rsid w:val="7E9C7C2C"/>
    <w:rsid w:val="7EA61CC2"/>
    <w:rsid w:val="7EE20ED9"/>
    <w:rsid w:val="7F0929D7"/>
    <w:rsid w:val="7F124114"/>
    <w:rsid w:val="7F273EB5"/>
    <w:rsid w:val="7F4C4883"/>
    <w:rsid w:val="7F6E7A26"/>
    <w:rsid w:val="7F79446D"/>
    <w:rsid w:val="B7F77256"/>
    <w:rsid w:val="D4E78E52"/>
    <w:rsid w:val="DBEA07B0"/>
    <w:rsid w:val="DDFFC099"/>
    <w:rsid w:val="FE3F77DF"/>
    <w:rsid w:val="FEAF1B98"/>
    <w:rsid w:val="FF272900"/>
    <w:rsid w:val="FFFE28A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99"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iPriority="99" w:semiHidden="0" w:name="HTML Sample"/>
    <w:lsdException w:qFormat="1" w:uiPriority="99" w:semiHidden="0" w:name="HTML Typewriter"/>
    <w:lsdException w:qFormat="1" w:uiPriority="99"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6"/>
    <w:autoRedefine/>
    <w:qFormat/>
    <w:uiPriority w:val="0"/>
    <w:pPr>
      <w:keepNext/>
      <w:jc w:val="center"/>
      <w:outlineLvl w:val="0"/>
    </w:pPr>
    <w:rPr>
      <w:b/>
      <w:bCs/>
      <w:sz w:val="24"/>
      <w:szCs w:val="20"/>
    </w:rPr>
  </w:style>
  <w:style w:type="paragraph" w:styleId="3">
    <w:name w:val="heading 2"/>
    <w:basedOn w:val="1"/>
    <w:next w:val="1"/>
    <w:link w:val="67"/>
    <w:autoRedefine/>
    <w:qFormat/>
    <w:uiPriority w:val="0"/>
    <w:pPr>
      <w:keepNext/>
      <w:keepLines/>
      <w:spacing w:line="360" w:lineRule="auto"/>
      <w:outlineLvl w:val="1"/>
    </w:pPr>
    <w:rPr>
      <w:rFonts w:ascii="Arial" w:hAnsi="Arial"/>
      <w:b/>
      <w:bCs/>
      <w:sz w:val="24"/>
      <w:szCs w:val="32"/>
    </w:rPr>
  </w:style>
  <w:style w:type="paragraph" w:styleId="4">
    <w:name w:val="heading 3"/>
    <w:basedOn w:val="1"/>
    <w:next w:val="1"/>
    <w:link w:val="68"/>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69"/>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70"/>
    <w:autoRedefine/>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71"/>
    <w:autoRedefine/>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72"/>
    <w:autoRedefine/>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73"/>
    <w:autoRedefine/>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4"/>
    <w:autoRedefine/>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ind w:left="2520" w:leftChars="1200"/>
    </w:pPr>
    <w:rPr>
      <w:rFonts w:asciiTheme="minorHAnsi" w:hAnsiTheme="minorHAnsi" w:eastAsiaTheme="minorEastAsia" w:cstheme="minorBidi"/>
      <w:szCs w:val="22"/>
    </w:rPr>
  </w:style>
  <w:style w:type="paragraph" w:styleId="12">
    <w:name w:val="Normal Indent"/>
    <w:basedOn w:val="1"/>
    <w:next w:val="13"/>
    <w:autoRedefine/>
    <w:qFormat/>
    <w:uiPriority w:val="0"/>
    <w:pPr>
      <w:widowControl/>
      <w:ind w:firstLine="420"/>
      <w:jc w:val="left"/>
    </w:pPr>
    <w:rPr>
      <w:kern w:val="0"/>
      <w:sz w:val="20"/>
      <w:szCs w:val="20"/>
    </w:rPr>
  </w:style>
  <w:style w:type="paragraph" w:customStyle="1" w:styleId="13">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4">
    <w:name w:val="Document Map"/>
    <w:basedOn w:val="1"/>
    <w:link w:val="98"/>
    <w:autoRedefine/>
    <w:semiHidden/>
    <w:qFormat/>
    <w:uiPriority w:val="0"/>
    <w:pPr>
      <w:shd w:val="clear" w:color="auto" w:fill="000080"/>
    </w:pPr>
  </w:style>
  <w:style w:type="paragraph" w:styleId="15">
    <w:name w:val="annotation text"/>
    <w:basedOn w:val="1"/>
    <w:link w:val="82"/>
    <w:autoRedefine/>
    <w:semiHidden/>
    <w:qFormat/>
    <w:uiPriority w:val="0"/>
    <w:pPr>
      <w:jc w:val="left"/>
    </w:pPr>
  </w:style>
  <w:style w:type="paragraph" w:styleId="16">
    <w:name w:val="Salutation"/>
    <w:basedOn w:val="1"/>
    <w:next w:val="1"/>
    <w:link w:val="87"/>
    <w:autoRedefine/>
    <w:qFormat/>
    <w:uiPriority w:val="0"/>
    <w:rPr>
      <w:rFonts w:ascii="仿宋_GB2312" w:eastAsia="仿宋_GB2312"/>
      <w:sz w:val="24"/>
    </w:rPr>
  </w:style>
  <w:style w:type="paragraph" w:styleId="17">
    <w:name w:val="Body Text"/>
    <w:basedOn w:val="1"/>
    <w:next w:val="18"/>
    <w:link w:val="76"/>
    <w:autoRedefine/>
    <w:qFormat/>
    <w:uiPriority w:val="0"/>
    <w:pPr>
      <w:spacing w:after="120"/>
    </w:pPr>
  </w:style>
  <w:style w:type="paragraph" w:styleId="18">
    <w:name w:val="Body Text First Indent"/>
    <w:basedOn w:val="17"/>
    <w:link w:val="134"/>
    <w:autoRedefine/>
    <w:qFormat/>
    <w:uiPriority w:val="99"/>
    <w:pPr>
      <w:ind w:firstLine="420" w:firstLineChars="100"/>
    </w:pPr>
  </w:style>
  <w:style w:type="paragraph" w:styleId="19">
    <w:name w:val="Body Text Indent"/>
    <w:basedOn w:val="1"/>
    <w:next w:val="1"/>
    <w:link w:val="79"/>
    <w:autoRedefine/>
    <w:qFormat/>
    <w:uiPriority w:val="0"/>
    <w:pPr>
      <w:spacing w:after="120"/>
      <w:ind w:left="420" w:leftChars="200"/>
    </w:pPr>
  </w:style>
  <w:style w:type="paragraph" w:styleId="20">
    <w:name w:val="Block Text"/>
    <w:basedOn w:val="1"/>
    <w:autoRedefine/>
    <w:qFormat/>
    <w:uiPriority w:val="0"/>
    <w:pPr>
      <w:ind w:left="1171" w:right="91" w:hanging="1080"/>
    </w:pPr>
    <w:rPr>
      <w:rFonts w:eastAsia="楷体_GB2312"/>
      <w:szCs w:val="20"/>
    </w:rPr>
  </w:style>
  <w:style w:type="paragraph" w:styleId="21">
    <w:name w:val="toc 5"/>
    <w:basedOn w:val="1"/>
    <w:next w:val="1"/>
    <w:autoRedefine/>
    <w:unhideWhenUsed/>
    <w:qFormat/>
    <w:uiPriority w:val="39"/>
    <w:pPr>
      <w:ind w:left="1680" w:leftChars="800"/>
    </w:pPr>
    <w:rPr>
      <w:rFonts w:asciiTheme="minorHAnsi" w:hAnsiTheme="minorHAnsi" w:eastAsiaTheme="minorEastAsia" w:cstheme="minorBidi"/>
      <w:szCs w:val="22"/>
    </w:rPr>
  </w:style>
  <w:style w:type="paragraph" w:styleId="22">
    <w:name w:val="toc 3"/>
    <w:basedOn w:val="1"/>
    <w:next w:val="1"/>
    <w:autoRedefine/>
    <w:unhideWhenUsed/>
    <w:qFormat/>
    <w:uiPriority w:val="39"/>
    <w:pPr>
      <w:adjustRightInd w:val="0"/>
      <w:snapToGrid w:val="0"/>
      <w:spacing w:line="360" w:lineRule="auto"/>
      <w:ind w:left="400" w:leftChars="400"/>
    </w:pPr>
    <w:rPr>
      <w:rFonts w:eastAsiaTheme="minorEastAsia"/>
      <w:b/>
    </w:rPr>
  </w:style>
  <w:style w:type="paragraph" w:styleId="23">
    <w:name w:val="Plain Text"/>
    <w:basedOn w:val="1"/>
    <w:link w:val="81"/>
    <w:autoRedefine/>
    <w:qFormat/>
    <w:uiPriority w:val="0"/>
    <w:rPr>
      <w:rFonts w:ascii="宋体" w:hAnsi="Courier New" w:cs="Courier New"/>
      <w:szCs w:val="21"/>
    </w:rPr>
  </w:style>
  <w:style w:type="paragraph" w:styleId="24">
    <w:name w:val="toc 8"/>
    <w:basedOn w:val="1"/>
    <w:next w:val="1"/>
    <w:autoRedefine/>
    <w:unhideWhenUsed/>
    <w:qFormat/>
    <w:uiPriority w:val="39"/>
    <w:pPr>
      <w:ind w:left="2940" w:leftChars="1400"/>
    </w:pPr>
    <w:rPr>
      <w:rFonts w:asciiTheme="minorHAnsi" w:hAnsiTheme="minorHAnsi" w:eastAsiaTheme="minorEastAsia" w:cstheme="minorBidi"/>
      <w:szCs w:val="22"/>
    </w:rPr>
  </w:style>
  <w:style w:type="paragraph" w:styleId="25">
    <w:name w:val="Date"/>
    <w:basedOn w:val="1"/>
    <w:next w:val="1"/>
    <w:link w:val="92"/>
    <w:autoRedefine/>
    <w:qFormat/>
    <w:uiPriority w:val="0"/>
    <w:rPr>
      <w:sz w:val="24"/>
      <w:szCs w:val="20"/>
    </w:rPr>
  </w:style>
  <w:style w:type="paragraph" w:styleId="26">
    <w:name w:val="Body Text Indent 2"/>
    <w:basedOn w:val="1"/>
    <w:link w:val="89"/>
    <w:autoRedefine/>
    <w:qFormat/>
    <w:uiPriority w:val="0"/>
    <w:pPr>
      <w:spacing w:after="120" w:line="480" w:lineRule="auto"/>
      <w:ind w:left="420" w:leftChars="200"/>
    </w:pPr>
  </w:style>
  <w:style w:type="paragraph" w:styleId="27">
    <w:name w:val="Balloon Text"/>
    <w:basedOn w:val="1"/>
    <w:link w:val="105"/>
    <w:autoRedefine/>
    <w:qFormat/>
    <w:uiPriority w:val="0"/>
    <w:rPr>
      <w:sz w:val="18"/>
      <w:szCs w:val="18"/>
    </w:rPr>
  </w:style>
  <w:style w:type="paragraph" w:styleId="28">
    <w:name w:val="footer"/>
    <w:basedOn w:val="1"/>
    <w:link w:val="77"/>
    <w:autoRedefine/>
    <w:qFormat/>
    <w:uiPriority w:val="99"/>
    <w:pPr>
      <w:tabs>
        <w:tab w:val="center" w:pos="4153"/>
        <w:tab w:val="right" w:pos="8306"/>
      </w:tabs>
      <w:snapToGrid w:val="0"/>
      <w:jc w:val="left"/>
    </w:pPr>
    <w:rPr>
      <w:sz w:val="18"/>
      <w:szCs w:val="18"/>
    </w:rPr>
  </w:style>
  <w:style w:type="paragraph" w:styleId="29">
    <w:name w:val="header"/>
    <w:basedOn w:val="1"/>
    <w:link w:val="78"/>
    <w:autoRedefine/>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autoRedefine/>
    <w:qFormat/>
    <w:uiPriority w:val="39"/>
    <w:pPr>
      <w:spacing w:line="360" w:lineRule="auto"/>
    </w:pPr>
    <w:rPr>
      <w:rFonts w:asciiTheme="minorEastAsia" w:hAnsiTheme="minorEastAsia" w:eastAsiaTheme="minorEastAsia"/>
      <w:b/>
      <w:sz w:val="24"/>
      <w:szCs w:val="21"/>
    </w:rPr>
  </w:style>
  <w:style w:type="paragraph" w:styleId="31">
    <w:name w:val="toc 4"/>
    <w:basedOn w:val="1"/>
    <w:next w:val="1"/>
    <w:autoRedefine/>
    <w:unhideWhenUsed/>
    <w:qFormat/>
    <w:uiPriority w:val="39"/>
    <w:pPr>
      <w:adjustRightInd w:val="0"/>
      <w:snapToGrid w:val="0"/>
      <w:spacing w:line="360" w:lineRule="auto"/>
      <w:ind w:left="600" w:leftChars="600"/>
    </w:pPr>
    <w:rPr>
      <w:rFonts w:asciiTheme="minorHAnsi" w:hAnsiTheme="minorHAnsi" w:eastAsiaTheme="minorEastAsia" w:cstheme="minorBidi"/>
      <w:b/>
      <w:szCs w:val="22"/>
    </w:rPr>
  </w:style>
  <w:style w:type="paragraph" w:styleId="32">
    <w:name w:val="footnote text"/>
    <w:basedOn w:val="1"/>
    <w:autoRedefine/>
    <w:semiHidden/>
    <w:qFormat/>
    <w:uiPriority w:val="99"/>
    <w:pPr>
      <w:snapToGrid w:val="0"/>
      <w:jc w:val="left"/>
    </w:pPr>
    <w:rPr>
      <w:sz w:val="18"/>
      <w:szCs w:val="18"/>
    </w:rPr>
  </w:style>
  <w:style w:type="paragraph" w:styleId="33">
    <w:name w:val="toc 6"/>
    <w:basedOn w:val="1"/>
    <w:next w:val="1"/>
    <w:autoRedefine/>
    <w:qFormat/>
    <w:uiPriority w:val="39"/>
    <w:pPr>
      <w:ind w:left="2100"/>
    </w:pPr>
    <w:rPr>
      <w:szCs w:val="20"/>
    </w:rPr>
  </w:style>
  <w:style w:type="paragraph" w:styleId="34">
    <w:name w:val="Body Text Indent 3"/>
    <w:basedOn w:val="1"/>
    <w:link w:val="91"/>
    <w:autoRedefine/>
    <w:qFormat/>
    <w:uiPriority w:val="0"/>
    <w:pPr>
      <w:spacing w:after="120"/>
      <w:ind w:left="420" w:leftChars="200"/>
    </w:pPr>
    <w:rPr>
      <w:sz w:val="16"/>
      <w:szCs w:val="16"/>
    </w:rPr>
  </w:style>
  <w:style w:type="paragraph" w:styleId="35">
    <w:name w:val="toc 2"/>
    <w:basedOn w:val="1"/>
    <w:next w:val="1"/>
    <w:autoRedefine/>
    <w:unhideWhenUsed/>
    <w:qFormat/>
    <w:uiPriority w:val="39"/>
    <w:pPr>
      <w:spacing w:line="360" w:lineRule="auto"/>
      <w:ind w:left="200" w:leftChars="200"/>
    </w:pPr>
    <w:rPr>
      <w:rFonts w:eastAsiaTheme="majorEastAsia"/>
      <w:b/>
    </w:rPr>
  </w:style>
  <w:style w:type="paragraph" w:styleId="36">
    <w:name w:val="toc 9"/>
    <w:basedOn w:val="1"/>
    <w:next w:val="1"/>
    <w:autoRedefine/>
    <w:unhideWhenUsed/>
    <w:qFormat/>
    <w:uiPriority w:val="39"/>
    <w:pPr>
      <w:ind w:left="3360" w:leftChars="1600"/>
    </w:pPr>
    <w:rPr>
      <w:rFonts w:asciiTheme="minorHAnsi" w:hAnsiTheme="minorHAnsi" w:eastAsiaTheme="minorEastAsia" w:cstheme="minorBidi"/>
      <w:szCs w:val="22"/>
    </w:rPr>
  </w:style>
  <w:style w:type="paragraph" w:styleId="37">
    <w:name w:val="Body Text 2"/>
    <w:basedOn w:val="1"/>
    <w:link w:val="88"/>
    <w:autoRedefine/>
    <w:qFormat/>
    <w:uiPriority w:val="0"/>
    <w:pPr>
      <w:spacing w:after="120" w:line="480" w:lineRule="auto"/>
    </w:pPr>
  </w:style>
  <w:style w:type="paragraph" w:styleId="38">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500" w:leftChars="500" w:hanging="1080" w:hangingChars="500"/>
    </w:pPr>
    <w:rPr>
      <w:rFonts w:ascii="Arial" w:hAnsi="Arial"/>
      <w:sz w:val="24"/>
    </w:rPr>
  </w:style>
  <w:style w:type="paragraph" w:styleId="39">
    <w:name w:val="HTML Preformatted"/>
    <w:basedOn w:val="1"/>
    <w:link w:val="86"/>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40">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41">
    <w:name w:val="index 1"/>
    <w:basedOn w:val="1"/>
    <w:next w:val="1"/>
    <w:autoRedefine/>
    <w:qFormat/>
    <w:uiPriority w:val="0"/>
    <w:pPr>
      <w:spacing w:line="220" w:lineRule="exact"/>
      <w:jc w:val="center"/>
    </w:pPr>
    <w:rPr>
      <w:rFonts w:ascii="仿宋_GB2312" w:eastAsia="仿宋_GB2312"/>
      <w:szCs w:val="20"/>
    </w:rPr>
  </w:style>
  <w:style w:type="paragraph" w:styleId="42">
    <w:name w:val="Title"/>
    <w:basedOn w:val="1"/>
    <w:link w:val="122"/>
    <w:autoRedefine/>
    <w:qFormat/>
    <w:uiPriority w:val="0"/>
    <w:pPr>
      <w:jc w:val="center"/>
      <w:outlineLvl w:val="0"/>
    </w:pPr>
    <w:rPr>
      <w:rFonts w:asciiTheme="minorHAnsi" w:hAnsiTheme="minorHAnsi" w:eastAsiaTheme="minorEastAsia" w:cstheme="minorBidi"/>
      <w:b/>
      <w:sz w:val="32"/>
      <w:szCs w:val="22"/>
    </w:rPr>
  </w:style>
  <w:style w:type="paragraph" w:styleId="43">
    <w:name w:val="annotation subject"/>
    <w:basedOn w:val="15"/>
    <w:next w:val="15"/>
    <w:link w:val="104"/>
    <w:autoRedefine/>
    <w:qFormat/>
    <w:uiPriority w:val="0"/>
    <w:rPr>
      <w:b/>
      <w:bCs/>
    </w:rPr>
  </w:style>
  <w:style w:type="paragraph" w:styleId="44">
    <w:name w:val="Body Text First Indent 2"/>
    <w:basedOn w:val="19"/>
    <w:next w:val="12"/>
    <w:link w:val="135"/>
    <w:autoRedefine/>
    <w:qFormat/>
    <w:uiPriority w:val="0"/>
    <w:pPr>
      <w:adjustRightInd w:val="0"/>
      <w:snapToGrid w:val="0"/>
      <w:spacing w:line="360" w:lineRule="auto"/>
      <w:ind w:firstLine="200" w:firstLineChars="200"/>
    </w:pPr>
    <w:rPr>
      <w:rFonts w:ascii="Arial" w:hAnsi="Arial"/>
      <w:sz w:val="24"/>
    </w:rPr>
  </w:style>
  <w:style w:type="table" w:styleId="46">
    <w:name w:val="Table Grid"/>
    <w:basedOn w:val="45"/>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autoRedefine/>
    <w:qFormat/>
    <w:uiPriority w:val="0"/>
    <w:rPr>
      <w:b/>
      <w:bCs/>
    </w:rPr>
  </w:style>
  <w:style w:type="character" w:styleId="49">
    <w:name w:val="page number"/>
    <w:basedOn w:val="47"/>
    <w:autoRedefine/>
    <w:qFormat/>
    <w:uiPriority w:val="0"/>
  </w:style>
  <w:style w:type="character" w:styleId="50">
    <w:name w:val="FollowedHyperlink"/>
    <w:basedOn w:val="47"/>
    <w:autoRedefine/>
    <w:qFormat/>
    <w:uiPriority w:val="0"/>
    <w:rPr>
      <w:color w:val="333333"/>
      <w:u w:val="none"/>
    </w:rPr>
  </w:style>
  <w:style w:type="character" w:styleId="51">
    <w:name w:val="Emphasis"/>
    <w:basedOn w:val="47"/>
    <w:autoRedefine/>
    <w:qFormat/>
    <w:uiPriority w:val="20"/>
    <w:rPr>
      <w:b/>
    </w:rPr>
  </w:style>
  <w:style w:type="character" w:styleId="52">
    <w:name w:val="HTML Definition"/>
    <w:basedOn w:val="47"/>
    <w:autoRedefine/>
    <w:unhideWhenUsed/>
    <w:qFormat/>
    <w:uiPriority w:val="99"/>
  </w:style>
  <w:style w:type="character" w:styleId="53">
    <w:name w:val="HTML Typewriter"/>
    <w:basedOn w:val="47"/>
    <w:autoRedefine/>
    <w:unhideWhenUsed/>
    <w:qFormat/>
    <w:uiPriority w:val="99"/>
    <w:rPr>
      <w:rFonts w:hint="default" w:ascii="monospace" w:hAnsi="monospace" w:eastAsia="monospace" w:cs="monospace"/>
      <w:sz w:val="20"/>
    </w:rPr>
  </w:style>
  <w:style w:type="character" w:styleId="54">
    <w:name w:val="HTML Acronym"/>
    <w:basedOn w:val="47"/>
    <w:autoRedefine/>
    <w:unhideWhenUsed/>
    <w:qFormat/>
    <w:uiPriority w:val="99"/>
  </w:style>
  <w:style w:type="character" w:styleId="55">
    <w:name w:val="HTML Variable"/>
    <w:basedOn w:val="47"/>
    <w:autoRedefine/>
    <w:unhideWhenUsed/>
    <w:qFormat/>
    <w:uiPriority w:val="99"/>
  </w:style>
  <w:style w:type="character" w:styleId="56">
    <w:name w:val="Hyperlink"/>
    <w:basedOn w:val="47"/>
    <w:autoRedefine/>
    <w:qFormat/>
    <w:uiPriority w:val="99"/>
    <w:rPr>
      <w:color w:val="136EC2"/>
      <w:u w:val="single"/>
    </w:rPr>
  </w:style>
  <w:style w:type="character" w:styleId="57">
    <w:name w:val="HTML Code"/>
    <w:basedOn w:val="47"/>
    <w:autoRedefine/>
    <w:unhideWhenUsed/>
    <w:qFormat/>
    <w:uiPriority w:val="99"/>
    <w:rPr>
      <w:rFonts w:hint="default" w:ascii="monospace" w:hAnsi="monospace" w:eastAsia="monospace" w:cs="monospace"/>
      <w:sz w:val="20"/>
    </w:rPr>
  </w:style>
  <w:style w:type="character" w:styleId="58">
    <w:name w:val="annotation reference"/>
    <w:autoRedefine/>
    <w:qFormat/>
    <w:uiPriority w:val="0"/>
    <w:rPr>
      <w:sz w:val="21"/>
      <w:szCs w:val="21"/>
    </w:rPr>
  </w:style>
  <w:style w:type="character" w:styleId="59">
    <w:name w:val="HTML Cite"/>
    <w:basedOn w:val="47"/>
    <w:autoRedefine/>
    <w:unhideWhenUsed/>
    <w:qFormat/>
    <w:uiPriority w:val="99"/>
  </w:style>
  <w:style w:type="character" w:styleId="60">
    <w:name w:val="HTML Keyboard"/>
    <w:basedOn w:val="47"/>
    <w:autoRedefine/>
    <w:unhideWhenUsed/>
    <w:qFormat/>
    <w:uiPriority w:val="99"/>
    <w:rPr>
      <w:rFonts w:ascii="monospace" w:hAnsi="monospace" w:eastAsia="monospace" w:cs="monospace"/>
      <w:sz w:val="20"/>
    </w:rPr>
  </w:style>
  <w:style w:type="character" w:styleId="61">
    <w:name w:val="HTML Sample"/>
    <w:basedOn w:val="47"/>
    <w:autoRedefine/>
    <w:unhideWhenUsed/>
    <w:qFormat/>
    <w:uiPriority w:val="99"/>
    <w:rPr>
      <w:rFonts w:hint="default" w:ascii="monospace" w:hAnsi="monospace" w:eastAsia="monospace" w:cs="monospace"/>
    </w:rPr>
  </w:style>
  <w:style w:type="paragraph" w:customStyle="1" w:styleId="62">
    <w:name w:val="正文 A"/>
    <w:qFormat/>
    <w:uiPriority w:val="0"/>
    <w:pPr>
      <w:widowControl w:val="0"/>
      <w:jc w:val="both"/>
    </w:pPr>
    <w:rPr>
      <w:rFonts w:hint="eastAsia" w:ascii="Arial Unicode MS" w:hAnsi="Arial Unicode MS" w:eastAsia="Arial Unicode MS" w:cs="Arial Unicode MS"/>
      <w:color w:val="000000"/>
      <w:kern w:val="2"/>
      <w:sz w:val="21"/>
      <w:szCs w:val="21"/>
      <w:lang w:val="en-US" w:eastAsia="zh-CN" w:bidi="ar-SA"/>
    </w:rPr>
  </w:style>
  <w:style w:type="paragraph" w:customStyle="1" w:styleId="63">
    <w:name w:val="font5"/>
    <w:basedOn w:val="1"/>
    <w:qFormat/>
    <w:uiPriority w:val="0"/>
    <w:pPr>
      <w:widowControl/>
      <w:spacing w:before="100" w:beforeAutospacing="1" w:after="100" w:afterAutospacing="1"/>
      <w:jc w:val="left"/>
    </w:pPr>
    <w:rPr>
      <w:rFonts w:hint="eastAsia" w:ascii="宋体" w:hAnsi="Calibri" w:eastAsia="微软雅黑"/>
      <w:kern w:val="0"/>
      <w:sz w:val="24"/>
    </w:rPr>
  </w:style>
  <w:style w:type="paragraph" w:customStyle="1" w:styleId="64">
    <w:name w:val="正文1"/>
    <w:basedOn w:val="1"/>
    <w:qFormat/>
    <w:uiPriority w:val="0"/>
    <w:pPr>
      <w:spacing w:line="360" w:lineRule="auto"/>
      <w:ind w:left="350" w:leftChars="350"/>
    </w:pPr>
    <w:rPr>
      <w:sz w:val="24"/>
    </w:rPr>
  </w:style>
  <w:style w:type="paragraph" w:customStyle="1" w:styleId="65">
    <w:name w:val="列出段落1"/>
    <w:basedOn w:val="1"/>
    <w:autoRedefine/>
    <w:qFormat/>
    <w:uiPriority w:val="0"/>
    <w:pPr>
      <w:ind w:firstLine="420" w:firstLineChars="200"/>
    </w:pPr>
  </w:style>
  <w:style w:type="character" w:customStyle="1" w:styleId="66">
    <w:name w:val="标题 1 Char"/>
    <w:basedOn w:val="47"/>
    <w:link w:val="2"/>
    <w:autoRedefine/>
    <w:qFormat/>
    <w:uiPriority w:val="0"/>
    <w:rPr>
      <w:rFonts w:ascii="Times New Roman" w:hAnsi="Times New Roman" w:eastAsia="宋体" w:cs="Times New Roman"/>
      <w:b/>
      <w:bCs/>
      <w:sz w:val="24"/>
      <w:szCs w:val="20"/>
    </w:rPr>
  </w:style>
  <w:style w:type="character" w:customStyle="1" w:styleId="67">
    <w:name w:val="标题 2 Char"/>
    <w:basedOn w:val="47"/>
    <w:link w:val="3"/>
    <w:autoRedefine/>
    <w:qFormat/>
    <w:uiPriority w:val="0"/>
    <w:rPr>
      <w:rFonts w:ascii="Arial" w:hAnsi="Arial" w:eastAsia="宋体" w:cs="Times New Roman"/>
      <w:b/>
      <w:bCs/>
      <w:sz w:val="24"/>
      <w:szCs w:val="32"/>
    </w:rPr>
  </w:style>
  <w:style w:type="character" w:customStyle="1" w:styleId="68">
    <w:name w:val="标题 3 Char"/>
    <w:basedOn w:val="47"/>
    <w:link w:val="4"/>
    <w:autoRedefine/>
    <w:qFormat/>
    <w:uiPriority w:val="0"/>
    <w:rPr>
      <w:rFonts w:ascii="Times New Roman" w:hAnsi="Times New Roman" w:eastAsia="宋体" w:cs="Times New Roman"/>
      <w:b/>
      <w:bCs/>
      <w:sz w:val="32"/>
      <w:szCs w:val="32"/>
    </w:rPr>
  </w:style>
  <w:style w:type="character" w:customStyle="1" w:styleId="69">
    <w:name w:val="标题 4 Char"/>
    <w:basedOn w:val="47"/>
    <w:link w:val="5"/>
    <w:autoRedefine/>
    <w:qFormat/>
    <w:uiPriority w:val="0"/>
    <w:rPr>
      <w:rFonts w:ascii="Arial" w:hAnsi="Arial" w:eastAsia="黑体" w:cs="Times New Roman"/>
      <w:b/>
      <w:bCs/>
      <w:sz w:val="28"/>
      <w:szCs w:val="28"/>
    </w:rPr>
  </w:style>
  <w:style w:type="character" w:customStyle="1" w:styleId="70">
    <w:name w:val="标题 5 Char"/>
    <w:basedOn w:val="47"/>
    <w:link w:val="6"/>
    <w:autoRedefine/>
    <w:qFormat/>
    <w:uiPriority w:val="0"/>
    <w:rPr>
      <w:rFonts w:ascii="Times New Roman" w:hAnsi="Times New Roman" w:eastAsia="宋体" w:cs="Times New Roman"/>
      <w:b/>
      <w:bCs/>
      <w:kern w:val="0"/>
      <w:sz w:val="28"/>
      <w:szCs w:val="28"/>
    </w:rPr>
  </w:style>
  <w:style w:type="character" w:customStyle="1" w:styleId="71">
    <w:name w:val="标题 6 Char"/>
    <w:basedOn w:val="47"/>
    <w:link w:val="7"/>
    <w:autoRedefine/>
    <w:qFormat/>
    <w:uiPriority w:val="0"/>
    <w:rPr>
      <w:rFonts w:ascii="Arial" w:hAnsi="Arial" w:eastAsia="黑体" w:cs="Times New Roman"/>
      <w:b/>
      <w:bCs/>
      <w:kern w:val="0"/>
      <w:sz w:val="24"/>
      <w:szCs w:val="24"/>
    </w:rPr>
  </w:style>
  <w:style w:type="character" w:customStyle="1" w:styleId="72">
    <w:name w:val="标题 7 Char"/>
    <w:basedOn w:val="47"/>
    <w:link w:val="8"/>
    <w:autoRedefine/>
    <w:qFormat/>
    <w:uiPriority w:val="0"/>
    <w:rPr>
      <w:rFonts w:ascii="Times New Roman" w:hAnsi="Times New Roman" w:eastAsia="宋体" w:cs="Times New Roman"/>
      <w:b/>
      <w:bCs/>
      <w:kern w:val="0"/>
      <w:sz w:val="24"/>
      <w:szCs w:val="24"/>
    </w:rPr>
  </w:style>
  <w:style w:type="character" w:customStyle="1" w:styleId="73">
    <w:name w:val="标题 8 Char"/>
    <w:basedOn w:val="47"/>
    <w:link w:val="9"/>
    <w:autoRedefine/>
    <w:qFormat/>
    <w:uiPriority w:val="0"/>
    <w:rPr>
      <w:rFonts w:ascii="Arial" w:hAnsi="Arial" w:eastAsia="黑体" w:cs="Times New Roman"/>
      <w:kern w:val="0"/>
      <w:sz w:val="24"/>
      <w:szCs w:val="24"/>
    </w:rPr>
  </w:style>
  <w:style w:type="character" w:customStyle="1" w:styleId="74">
    <w:name w:val="标题 9 Char"/>
    <w:basedOn w:val="47"/>
    <w:link w:val="10"/>
    <w:autoRedefine/>
    <w:qFormat/>
    <w:uiPriority w:val="0"/>
    <w:rPr>
      <w:rFonts w:ascii="Arial" w:hAnsi="Arial" w:eastAsia="黑体" w:cs="Times New Roman"/>
      <w:kern w:val="0"/>
      <w:szCs w:val="21"/>
    </w:rPr>
  </w:style>
  <w:style w:type="paragraph" w:customStyle="1" w:styleId="75">
    <w:name w:val="表格内容"/>
    <w:basedOn w:val="17"/>
    <w:autoRedefine/>
    <w:qFormat/>
    <w:uiPriority w:val="0"/>
    <w:pPr>
      <w:suppressLineNumbers/>
      <w:suppressAutoHyphens/>
      <w:jc w:val="left"/>
    </w:pPr>
    <w:rPr>
      <w:rFonts w:cs="Tahoma"/>
      <w:kern w:val="0"/>
      <w:sz w:val="24"/>
    </w:rPr>
  </w:style>
  <w:style w:type="character" w:customStyle="1" w:styleId="76">
    <w:name w:val="正文文本 Char"/>
    <w:basedOn w:val="47"/>
    <w:link w:val="17"/>
    <w:autoRedefine/>
    <w:qFormat/>
    <w:uiPriority w:val="0"/>
    <w:rPr>
      <w:rFonts w:ascii="Times New Roman" w:hAnsi="Times New Roman" w:eastAsia="宋体" w:cs="Times New Roman"/>
      <w:szCs w:val="24"/>
    </w:rPr>
  </w:style>
  <w:style w:type="character" w:customStyle="1" w:styleId="77">
    <w:name w:val="页脚 Char"/>
    <w:basedOn w:val="47"/>
    <w:link w:val="28"/>
    <w:autoRedefine/>
    <w:qFormat/>
    <w:uiPriority w:val="99"/>
    <w:rPr>
      <w:rFonts w:ascii="Times New Roman" w:hAnsi="Times New Roman" w:eastAsia="宋体" w:cs="Times New Roman"/>
      <w:sz w:val="18"/>
      <w:szCs w:val="18"/>
    </w:rPr>
  </w:style>
  <w:style w:type="character" w:customStyle="1" w:styleId="78">
    <w:name w:val="页眉 Char"/>
    <w:basedOn w:val="47"/>
    <w:link w:val="29"/>
    <w:autoRedefine/>
    <w:qFormat/>
    <w:uiPriority w:val="99"/>
    <w:rPr>
      <w:rFonts w:ascii="Times New Roman" w:hAnsi="Times New Roman" w:eastAsia="宋体" w:cs="Times New Roman"/>
      <w:sz w:val="18"/>
      <w:szCs w:val="18"/>
    </w:rPr>
  </w:style>
  <w:style w:type="character" w:customStyle="1" w:styleId="79">
    <w:name w:val="正文文本缩进 Char"/>
    <w:basedOn w:val="47"/>
    <w:link w:val="19"/>
    <w:autoRedefine/>
    <w:qFormat/>
    <w:uiPriority w:val="0"/>
    <w:rPr>
      <w:rFonts w:ascii="Times New Roman" w:hAnsi="Times New Roman" w:eastAsia="宋体" w:cs="Times New Roman"/>
      <w:szCs w:val="24"/>
    </w:rPr>
  </w:style>
  <w:style w:type="paragraph" w:customStyle="1" w:styleId="80">
    <w:name w:val="Char Char Char Char Char Char Char"/>
    <w:basedOn w:val="1"/>
    <w:autoRedefine/>
    <w:qFormat/>
    <w:uiPriority w:val="0"/>
    <w:pPr>
      <w:snapToGrid w:val="0"/>
      <w:spacing w:line="360" w:lineRule="auto"/>
      <w:ind w:firstLine="200" w:firstLineChars="200"/>
    </w:pPr>
    <w:rPr>
      <w:rFonts w:eastAsia="仿宋_GB2312"/>
      <w:sz w:val="24"/>
    </w:rPr>
  </w:style>
  <w:style w:type="character" w:customStyle="1" w:styleId="81">
    <w:name w:val="纯文本 Char"/>
    <w:basedOn w:val="47"/>
    <w:link w:val="23"/>
    <w:autoRedefine/>
    <w:qFormat/>
    <w:uiPriority w:val="0"/>
    <w:rPr>
      <w:rFonts w:ascii="宋体" w:hAnsi="Courier New" w:eastAsia="宋体" w:cs="Courier New"/>
      <w:szCs w:val="21"/>
    </w:rPr>
  </w:style>
  <w:style w:type="character" w:customStyle="1" w:styleId="82">
    <w:name w:val="批注文字 Char"/>
    <w:basedOn w:val="47"/>
    <w:link w:val="15"/>
    <w:autoRedefine/>
    <w:semiHidden/>
    <w:qFormat/>
    <w:uiPriority w:val="0"/>
    <w:rPr>
      <w:rFonts w:ascii="Times New Roman" w:hAnsi="Times New Roman" w:eastAsia="宋体" w:cs="Times New Roman"/>
      <w:szCs w:val="24"/>
    </w:rPr>
  </w:style>
  <w:style w:type="paragraph" w:customStyle="1" w:styleId="83">
    <w:name w:val="Char Char Char Char Char Char Char1"/>
    <w:basedOn w:val="1"/>
    <w:autoRedefine/>
    <w:qFormat/>
    <w:uiPriority w:val="0"/>
    <w:pPr>
      <w:snapToGrid w:val="0"/>
      <w:spacing w:line="360" w:lineRule="auto"/>
      <w:ind w:firstLine="200" w:firstLineChars="200"/>
    </w:pPr>
    <w:rPr>
      <w:rFonts w:eastAsia="仿宋_GB2312"/>
      <w:sz w:val="24"/>
    </w:rPr>
  </w:style>
  <w:style w:type="paragraph" w:customStyle="1" w:styleId="84">
    <w:name w:val="Char Char Char"/>
    <w:basedOn w:val="1"/>
    <w:autoRedefine/>
    <w:qFormat/>
    <w:uiPriority w:val="0"/>
    <w:rPr>
      <w:rFonts w:ascii="宋体" w:hAnsi="宋体"/>
      <w:b/>
      <w:sz w:val="28"/>
      <w:szCs w:val="28"/>
    </w:rPr>
  </w:style>
  <w:style w:type="paragraph" w:customStyle="1" w:styleId="85">
    <w:name w:val="Char Char1 Char Char Char Char Char Char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character" w:customStyle="1" w:styleId="86">
    <w:name w:val="HTML 预设格式 Char"/>
    <w:basedOn w:val="47"/>
    <w:link w:val="39"/>
    <w:autoRedefine/>
    <w:qFormat/>
    <w:uiPriority w:val="0"/>
    <w:rPr>
      <w:rFonts w:ascii="Arial" w:hAnsi="Arial" w:eastAsia="宋体" w:cs="Arial"/>
      <w:kern w:val="0"/>
      <w:sz w:val="24"/>
      <w:szCs w:val="24"/>
    </w:rPr>
  </w:style>
  <w:style w:type="character" w:customStyle="1" w:styleId="87">
    <w:name w:val="称呼 Char"/>
    <w:basedOn w:val="47"/>
    <w:link w:val="16"/>
    <w:autoRedefine/>
    <w:qFormat/>
    <w:uiPriority w:val="0"/>
    <w:rPr>
      <w:rFonts w:ascii="仿宋_GB2312" w:hAnsi="Times New Roman" w:eastAsia="仿宋_GB2312" w:cs="Times New Roman"/>
      <w:sz w:val="24"/>
      <w:szCs w:val="24"/>
    </w:rPr>
  </w:style>
  <w:style w:type="character" w:customStyle="1" w:styleId="88">
    <w:name w:val="正文文本 2 Char"/>
    <w:basedOn w:val="47"/>
    <w:link w:val="37"/>
    <w:autoRedefine/>
    <w:qFormat/>
    <w:uiPriority w:val="0"/>
    <w:rPr>
      <w:rFonts w:ascii="Times New Roman" w:hAnsi="Times New Roman" w:eastAsia="宋体" w:cs="Times New Roman"/>
      <w:szCs w:val="24"/>
    </w:rPr>
  </w:style>
  <w:style w:type="character" w:customStyle="1" w:styleId="89">
    <w:name w:val="正文文本缩进 2 Char"/>
    <w:basedOn w:val="47"/>
    <w:link w:val="26"/>
    <w:autoRedefine/>
    <w:qFormat/>
    <w:uiPriority w:val="0"/>
    <w:rPr>
      <w:rFonts w:ascii="Times New Roman" w:hAnsi="Times New Roman" w:eastAsia="宋体" w:cs="Times New Roman"/>
      <w:szCs w:val="24"/>
    </w:rPr>
  </w:style>
  <w:style w:type="paragraph" w:customStyle="1" w:styleId="90">
    <w:name w:val="Char"/>
    <w:basedOn w:val="1"/>
    <w:autoRedefine/>
    <w:qFormat/>
    <w:uiPriority w:val="0"/>
    <w:pPr>
      <w:tabs>
        <w:tab w:val="left" w:pos="360"/>
      </w:tabs>
      <w:ind w:left="360" w:hanging="360" w:hangingChars="200"/>
    </w:pPr>
    <w:rPr>
      <w:sz w:val="24"/>
    </w:rPr>
  </w:style>
  <w:style w:type="character" w:customStyle="1" w:styleId="91">
    <w:name w:val="正文文本缩进 3 Char"/>
    <w:basedOn w:val="47"/>
    <w:link w:val="34"/>
    <w:autoRedefine/>
    <w:qFormat/>
    <w:uiPriority w:val="0"/>
    <w:rPr>
      <w:rFonts w:ascii="Times New Roman" w:hAnsi="Times New Roman" w:eastAsia="宋体" w:cs="Times New Roman"/>
      <w:sz w:val="16"/>
      <w:szCs w:val="16"/>
    </w:rPr>
  </w:style>
  <w:style w:type="character" w:customStyle="1" w:styleId="92">
    <w:name w:val="日期 Char"/>
    <w:basedOn w:val="47"/>
    <w:link w:val="25"/>
    <w:autoRedefine/>
    <w:qFormat/>
    <w:uiPriority w:val="0"/>
    <w:rPr>
      <w:rFonts w:ascii="Times New Roman" w:hAnsi="Times New Roman" w:eastAsia="宋体" w:cs="Times New Roman"/>
      <w:sz w:val="24"/>
      <w:szCs w:val="20"/>
    </w:rPr>
  </w:style>
  <w:style w:type="paragraph" w:customStyle="1" w:styleId="93">
    <w:name w:val="样式1"/>
    <w:basedOn w:val="1"/>
    <w:link w:val="124"/>
    <w:autoRedefine/>
    <w:qFormat/>
    <w:uiPriority w:val="0"/>
    <w:pPr>
      <w:tabs>
        <w:tab w:val="left" w:pos="360"/>
      </w:tabs>
      <w:adjustRightInd w:val="0"/>
      <w:ind w:left="360" w:hanging="360"/>
      <w:textAlignment w:val="baseline"/>
    </w:pPr>
    <w:rPr>
      <w:rFonts w:ascii="宋体" w:hAnsi="宋体"/>
      <w:kern w:val="0"/>
      <w:szCs w:val="21"/>
    </w:rPr>
  </w:style>
  <w:style w:type="character" w:customStyle="1" w:styleId="94">
    <w:name w:val="p0 Char"/>
    <w:link w:val="95"/>
    <w:autoRedefine/>
    <w:qFormat/>
    <w:uiPriority w:val="0"/>
    <w:rPr>
      <w:rFonts w:eastAsia="宋体"/>
      <w:szCs w:val="21"/>
    </w:rPr>
  </w:style>
  <w:style w:type="paragraph" w:customStyle="1" w:styleId="95">
    <w:name w:val="p0"/>
    <w:basedOn w:val="1"/>
    <w:link w:val="94"/>
    <w:autoRedefine/>
    <w:qFormat/>
    <w:uiPriority w:val="0"/>
    <w:pPr>
      <w:widowControl/>
    </w:pPr>
    <w:rPr>
      <w:rFonts w:asciiTheme="minorHAnsi" w:hAnsiTheme="minorHAnsi" w:cstheme="minorBidi"/>
      <w:szCs w:val="21"/>
    </w:rPr>
  </w:style>
  <w:style w:type="paragraph" w:customStyle="1" w:styleId="96">
    <w:name w:val="Char1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97">
    <w:name w:val="Char Char1 Char Char Char Char Char1 Char Char Char Char"/>
    <w:basedOn w:val="14"/>
    <w:autoRedefine/>
    <w:qFormat/>
    <w:uiPriority w:val="0"/>
    <w:rPr>
      <w:rFonts w:ascii="Tahoma" w:hAnsi="Tahoma"/>
    </w:rPr>
  </w:style>
  <w:style w:type="character" w:customStyle="1" w:styleId="98">
    <w:name w:val="文档结构图 Char"/>
    <w:basedOn w:val="47"/>
    <w:link w:val="14"/>
    <w:autoRedefine/>
    <w:semiHidden/>
    <w:qFormat/>
    <w:uiPriority w:val="0"/>
    <w:rPr>
      <w:rFonts w:ascii="Times New Roman" w:hAnsi="Times New Roman" w:eastAsia="宋体" w:cs="Times New Roman"/>
      <w:szCs w:val="24"/>
      <w:shd w:val="clear" w:color="auto" w:fill="000080"/>
    </w:rPr>
  </w:style>
  <w:style w:type="paragraph" w:customStyle="1" w:styleId="99">
    <w:name w:val="样式 样式 样式 样式 标题 2 + 宋体 五号 非加粗 黑色 + 段前: 6 磅 段后: 0 磅 行距: 单倍行距 + 段前:..."/>
    <w:basedOn w:val="1"/>
    <w:autoRedefine/>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00">
    <w:name w:val="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01">
    <w:name w:val="1"/>
    <w:basedOn w:val="1"/>
    <w:autoRedefine/>
    <w:qFormat/>
    <w:uiPriority w:val="0"/>
    <w:pPr>
      <w:spacing w:afterLines="50" w:line="360" w:lineRule="auto"/>
    </w:pPr>
    <w:rPr>
      <w:rFonts w:ascii="宋体" w:hAnsi="宋体"/>
      <w:b/>
      <w:sz w:val="30"/>
      <w:szCs w:val="21"/>
    </w:rPr>
  </w:style>
  <w:style w:type="paragraph" w:customStyle="1" w:styleId="102">
    <w:name w:val="样式 标题 2 + 宋体 五号 行距: 单倍行距"/>
    <w:basedOn w:val="3"/>
    <w:autoRedefine/>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103">
    <w:name w:val="标题 1 +"/>
    <w:basedOn w:val="2"/>
    <w:next w:val="1"/>
    <w:autoRedefine/>
    <w:qFormat/>
    <w:uiPriority w:val="0"/>
    <w:pPr>
      <w:keepLines/>
      <w:spacing w:line="600" w:lineRule="auto"/>
    </w:pPr>
    <w:rPr>
      <w:rFonts w:eastAsia="黑体"/>
      <w:kern w:val="0"/>
      <w:sz w:val="32"/>
      <w:szCs w:val="32"/>
    </w:rPr>
  </w:style>
  <w:style w:type="character" w:customStyle="1" w:styleId="104">
    <w:name w:val="批注主题 Char"/>
    <w:basedOn w:val="82"/>
    <w:link w:val="43"/>
    <w:autoRedefine/>
    <w:qFormat/>
    <w:uiPriority w:val="0"/>
    <w:rPr>
      <w:rFonts w:ascii="Times New Roman" w:hAnsi="Times New Roman" w:eastAsia="宋体" w:cs="Times New Roman"/>
      <w:b/>
      <w:bCs/>
      <w:szCs w:val="24"/>
    </w:rPr>
  </w:style>
  <w:style w:type="character" w:customStyle="1" w:styleId="105">
    <w:name w:val="批注框文本 Char"/>
    <w:basedOn w:val="47"/>
    <w:link w:val="27"/>
    <w:autoRedefine/>
    <w:qFormat/>
    <w:uiPriority w:val="0"/>
    <w:rPr>
      <w:rFonts w:ascii="Times New Roman" w:hAnsi="Times New Roman" w:eastAsia="宋体" w:cs="Times New Roman"/>
      <w:sz w:val="18"/>
      <w:szCs w:val="18"/>
    </w:rPr>
  </w:style>
  <w:style w:type="paragraph" w:customStyle="1" w:styleId="106">
    <w:name w:val="样式 标题 2 + Times New Roman 四号 非加粗 段前: 5 磅 段后: 0 磅 行距: 固定值 20..."/>
    <w:basedOn w:val="3"/>
    <w:autoRedefine/>
    <w:qFormat/>
    <w:uiPriority w:val="0"/>
    <w:pPr>
      <w:spacing w:before="100" w:line="400" w:lineRule="exact"/>
    </w:pPr>
    <w:rPr>
      <w:rFonts w:ascii="Times New Roman" w:hAnsi="Times New Roman" w:eastAsia="黑体"/>
      <w:b w:val="0"/>
      <w:bCs w:val="0"/>
      <w:sz w:val="28"/>
      <w:szCs w:val="20"/>
    </w:rPr>
  </w:style>
  <w:style w:type="paragraph" w:customStyle="1" w:styleId="107">
    <w:name w:val="p15"/>
    <w:basedOn w:val="1"/>
    <w:autoRedefine/>
    <w:qFormat/>
    <w:uiPriority w:val="0"/>
    <w:pPr>
      <w:widowControl/>
      <w:spacing w:line="220" w:lineRule="atLeast"/>
      <w:jc w:val="center"/>
    </w:pPr>
    <w:rPr>
      <w:rFonts w:ascii="仿宋_GB2312" w:hAnsi="宋体" w:eastAsia="仿宋_GB2312" w:cs="宋体"/>
      <w:kern w:val="0"/>
      <w:szCs w:val="21"/>
    </w:rPr>
  </w:style>
  <w:style w:type="paragraph" w:customStyle="1" w:styleId="108">
    <w:name w:val="Char1 Char Char Char 字元 Char Char 字元 Char 字元 Char1 Char Char Char"/>
    <w:basedOn w:val="1"/>
    <w:autoRedefine/>
    <w:qFormat/>
    <w:uiPriority w:val="0"/>
    <w:rPr>
      <w:szCs w:val="20"/>
    </w:rPr>
  </w:style>
  <w:style w:type="paragraph" w:customStyle="1" w:styleId="109">
    <w:name w:val="p16"/>
    <w:basedOn w:val="1"/>
    <w:autoRedefine/>
    <w:qFormat/>
    <w:uiPriority w:val="0"/>
    <w:pPr>
      <w:widowControl/>
      <w:jc w:val="left"/>
    </w:pPr>
    <w:rPr>
      <w:kern w:val="0"/>
      <w:szCs w:val="21"/>
    </w:rPr>
  </w:style>
  <w:style w:type="paragraph" w:customStyle="1" w:styleId="110">
    <w:name w:val="xl31"/>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3">
    <w:name w:val="xl25"/>
    <w:basedOn w:val="1"/>
    <w:autoRedefine/>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14">
    <w:name w:val="Char Char Char1 Char"/>
    <w:basedOn w:val="1"/>
    <w:autoRedefine/>
    <w:qFormat/>
    <w:uiPriority w:val="0"/>
    <w:pPr>
      <w:tabs>
        <w:tab w:val="left" w:pos="360"/>
      </w:tabs>
      <w:snapToGrid w:val="0"/>
      <w:spacing w:line="360" w:lineRule="auto"/>
    </w:pPr>
    <w:rPr>
      <w:rFonts w:eastAsia="仿宋_GB2312" w:cs="宋体"/>
      <w:sz w:val="24"/>
    </w:rPr>
  </w:style>
  <w:style w:type="paragraph" w:customStyle="1" w:styleId="115">
    <w:name w:val="列表段落1"/>
    <w:basedOn w:val="1"/>
    <w:link w:val="121"/>
    <w:autoRedefine/>
    <w:qFormat/>
    <w:uiPriority w:val="0"/>
    <w:pPr>
      <w:ind w:firstLine="420" w:firstLineChars="200"/>
    </w:pPr>
  </w:style>
  <w:style w:type="character" w:customStyle="1" w:styleId="116">
    <w:name w:val="fontstyle01"/>
    <w:basedOn w:val="47"/>
    <w:autoRedefine/>
    <w:qFormat/>
    <w:uiPriority w:val="0"/>
    <w:rPr>
      <w:rFonts w:hint="eastAsia" w:ascii="宋体" w:hAnsi="宋体" w:eastAsia="宋体"/>
      <w:color w:val="000000"/>
      <w:sz w:val="24"/>
      <w:szCs w:val="24"/>
    </w:rPr>
  </w:style>
  <w:style w:type="character" w:customStyle="1" w:styleId="117">
    <w:name w:val="fontstyle11"/>
    <w:basedOn w:val="47"/>
    <w:autoRedefine/>
    <w:qFormat/>
    <w:uiPriority w:val="0"/>
    <w:rPr>
      <w:rFonts w:hint="default" w:ascii="TimesNewRomanPSMT" w:hAnsi="TimesNewRomanPSMT"/>
      <w:color w:val="000000"/>
      <w:sz w:val="24"/>
      <w:szCs w:val="24"/>
    </w:rPr>
  </w:style>
  <w:style w:type="paragraph" w:customStyle="1" w:styleId="118">
    <w:name w:val="TOC 标题1"/>
    <w:basedOn w:val="2"/>
    <w:next w:val="1"/>
    <w:autoRedefine/>
    <w:unhideWhenUsed/>
    <w:qFormat/>
    <w:uiPriority w:val="39"/>
    <w:pPr>
      <w:keepLines/>
      <w:widowControl/>
      <w:spacing w:before="48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19">
    <w:name w:val="fontstyle21"/>
    <w:basedOn w:val="47"/>
    <w:autoRedefine/>
    <w:qFormat/>
    <w:uiPriority w:val="0"/>
    <w:rPr>
      <w:rFonts w:hint="eastAsia" w:ascii="宋体" w:hAnsi="宋体" w:eastAsia="宋体"/>
      <w:color w:val="993300"/>
      <w:sz w:val="24"/>
      <w:szCs w:val="24"/>
    </w:rPr>
  </w:style>
  <w:style w:type="character" w:customStyle="1" w:styleId="120">
    <w:name w:val="fontstyle31"/>
    <w:basedOn w:val="47"/>
    <w:autoRedefine/>
    <w:qFormat/>
    <w:uiPriority w:val="0"/>
    <w:rPr>
      <w:rFonts w:hint="default" w:ascii="Arial" w:hAnsi="Arial" w:cs="Arial"/>
      <w:color w:val="993300"/>
      <w:sz w:val="24"/>
      <w:szCs w:val="24"/>
    </w:rPr>
  </w:style>
  <w:style w:type="character" w:customStyle="1" w:styleId="121">
    <w:name w:val="列出段落 Char"/>
    <w:link w:val="115"/>
    <w:autoRedefine/>
    <w:qFormat/>
    <w:uiPriority w:val="0"/>
    <w:rPr>
      <w:rFonts w:ascii="Times New Roman" w:hAnsi="Times New Roman" w:eastAsia="宋体" w:cs="Times New Roman"/>
      <w:szCs w:val="24"/>
    </w:rPr>
  </w:style>
  <w:style w:type="character" w:customStyle="1" w:styleId="122">
    <w:name w:val="标题 Char"/>
    <w:link w:val="42"/>
    <w:autoRedefine/>
    <w:qFormat/>
    <w:uiPriority w:val="0"/>
    <w:rPr>
      <w:b/>
      <w:sz w:val="32"/>
    </w:rPr>
  </w:style>
  <w:style w:type="character" w:customStyle="1" w:styleId="123">
    <w:name w:val="标题 Char1"/>
    <w:basedOn w:val="47"/>
    <w:autoRedefine/>
    <w:qFormat/>
    <w:uiPriority w:val="10"/>
    <w:rPr>
      <w:rFonts w:eastAsia="宋体" w:asciiTheme="majorHAnsi" w:hAnsiTheme="majorHAnsi" w:cstheme="majorBidi"/>
      <w:b/>
      <w:bCs/>
      <w:sz w:val="32"/>
      <w:szCs w:val="32"/>
    </w:rPr>
  </w:style>
  <w:style w:type="character" w:customStyle="1" w:styleId="124">
    <w:name w:val="样式1 Char Char"/>
    <w:link w:val="93"/>
    <w:autoRedefine/>
    <w:qFormat/>
    <w:uiPriority w:val="0"/>
    <w:rPr>
      <w:rFonts w:ascii="宋体" w:hAnsi="宋体" w:eastAsia="宋体" w:cs="Times New Roman"/>
      <w:kern w:val="0"/>
      <w:szCs w:val="21"/>
    </w:rPr>
  </w:style>
  <w:style w:type="paragraph" w:customStyle="1" w:styleId="125">
    <w:name w:val="Table Paragraph"/>
    <w:basedOn w:val="1"/>
    <w:autoRedefine/>
    <w:qFormat/>
    <w:uiPriority w:val="1"/>
    <w:rPr>
      <w:rFonts w:ascii="宋体" w:hAnsi="宋体" w:cs="宋体"/>
      <w:szCs w:val="21"/>
    </w:rPr>
  </w:style>
  <w:style w:type="paragraph" w:customStyle="1" w:styleId="126">
    <w:name w:val="Normal_24"/>
    <w:autoRedefine/>
    <w:qFormat/>
    <w:uiPriority w:val="0"/>
    <w:pPr>
      <w:spacing w:before="120" w:after="240"/>
      <w:jc w:val="both"/>
    </w:pPr>
    <w:rPr>
      <w:rFonts w:ascii="Calibri" w:hAnsi="Calibri" w:eastAsia="Calibri" w:cs="Times New Roman"/>
      <w:sz w:val="22"/>
      <w:szCs w:val="22"/>
      <w:lang w:val="ru-RU" w:eastAsia="en-US" w:bidi="ar-SA"/>
    </w:rPr>
  </w:style>
  <w:style w:type="character" w:customStyle="1" w:styleId="127">
    <w:name w:val="NormalCharacter"/>
    <w:autoRedefine/>
    <w:semiHidden/>
    <w:qFormat/>
    <w:uiPriority w:val="0"/>
    <w:rPr>
      <w:rFonts w:ascii="Times New Roman" w:hAnsi="Times New Roman" w:eastAsia="宋体" w:cs="Times New Roman"/>
      <w:kern w:val="2"/>
      <w:sz w:val="21"/>
      <w:szCs w:val="24"/>
      <w:lang w:val="en-US" w:eastAsia="zh-CN" w:bidi="ar-SA"/>
    </w:rPr>
  </w:style>
  <w:style w:type="paragraph" w:customStyle="1" w:styleId="128">
    <w:name w:val="179"/>
    <w:basedOn w:val="1"/>
    <w:autoRedefine/>
    <w:qFormat/>
    <w:uiPriority w:val="0"/>
    <w:pPr>
      <w:ind w:firstLine="420" w:firstLineChars="200"/>
    </w:pPr>
    <w:rPr>
      <w:rFonts w:ascii="Calibri" w:hAnsi="Calibri"/>
      <w:szCs w:val="22"/>
    </w:rPr>
  </w:style>
  <w:style w:type="character" w:customStyle="1" w:styleId="129">
    <w:name w:val="file"/>
    <w:basedOn w:val="47"/>
    <w:autoRedefine/>
    <w:qFormat/>
    <w:uiPriority w:val="0"/>
  </w:style>
  <w:style w:type="character" w:customStyle="1" w:styleId="130">
    <w:name w:val="folder"/>
    <w:basedOn w:val="47"/>
    <w:autoRedefine/>
    <w:qFormat/>
    <w:uiPriority w:val="0"/>
  </w:style>
  <w:style w:type="character" w:customStyle="1" w:styleId="131">
    <w:name w:val="l-open"/>
    <w:basedOn w:val="47"/>
    <w:autoRedefine/>
    <w:qFormat/>
    <w:uiPriority w:val="0"/>
  </w:style>
  <w:style w:type="character" w:customStyle="1" w:styleId="132">
    <w:name w:val="font21"/>
    <w:basedOn w:val="47"/>
    <w:autoRedefine/>
    <w:qFormat/>
    <w:uiPriority w:val="0"/>
    <w:rPr>
      <w:rFonts w:hint="eastAsia" w:ascii="宋体" w:hAnsi="宋体" w:eastAsia="宋体" w:cs="宋体"/>
      <w:color w:val="000000"/>
      <w:sz w:val="24"/>
      <w:szCs w:val="24"/>
      <w:u w:val="none"/>
    </w:rPr>
  </w:style>
  <w:style w:type="paragraph" w:customStyle="1" w:styleId="133">
    <w:name w:val="Normal_1"/>
    <w:autoRedefine/>
    <w:qFormat/>
    <w:uiPriority w:val="0"/>
    <w:rPr>
      <w:rFonts w:ascii="Times New Roman" w:hAnsi="Times New Roman" w:eastAsia="Times New Roman" w:cs="Times New Roman"/>
      <w:sz w:val="24"/>
      <w:szCs w:val="24"/>
      <w:lang w:val="en-US" w:eastAsia="zh-CN" w:bidi="ar-SA"/>
    </w:rPr>
  </w:style>
  <w:style w:type="character" w:customStyle="1" w:styleId="134">
    <w:name w:val="正文首行缩进 Char"/>
    <w:link w:val="18"/>
    <w:autoRedefine/>
    <w:qFormat/>
    <w:uiPriority w:val="0"/>
    <w:rPr>
      <w:rFonts w:hint="default" w:ascii="Calibri" w:hAnsi="Calibri" w:eastAsia="宋体" w:cs="Times New Roman"/>
      <w:kern w:val="2"/>
      <w:sz w:val="21"/>
      <w:szCs w:val="24"/>
    </w:rPr>
  </w:style>
  <w:style w:type="character" w:customStyle="1" w:styleId="135">
    <w:name w:val="正文首行缩进 2 Char"/>
    <w:link w:val="44"/>
    <w:autoRedefine/>
    <w:qFormat/>
    <w:uiPriority w:val="0"/>
    <w:rPr>
      <w:rFonts w:hint="default" w:ascii="Times New Roman" w:hAnsi="Times New Roman" w:cs="Times New Roman"/>
      <w:kern w:val="2"/>
      <w:sz w:val="21"/>
      <w:szCs w:val="24"/>
    </w:rPr>
  </w:style>
  <w:style w:type="paragraph" w:customStyle="1" w:styleId="136">
    <w:name w:val="列出段落2"/>
    <w:basedOn w:val="1"/>
    <w:autoRedefine/>
    <w:qFormat/>
    <w:uiPriority w:val="0"/>
    <w:pPr>
      <w:ind w:firstLine="420" w:firstLineChars="200"/>
    </w:pPr>
    <w:rPr>
      <w:rFonts w:ascii="Calibri" w:hAnsi="Calibri"/>
      <w:szCs w:val="22"/>
    </w:rPr>
  </w:style>
  <w:style w:type="character" w:customStyle="1" w:styleId="137">
    <w:name w:val="Body Text Indent Char"/>
    <w:link w:val="138"/>
    <w:autoRedefine/>
    <w:qFormat/>
    <w:uiPriority w:val="0"/>
    <w:rPr>
      <w:rFonts w:ascii="仿宋_GB2312" w:eastAsia="仿宋_GB2312"/>
      <w:sz w:val="32"/>
    </w:rPr>
  </w:style>
  <w:style w:type="paragraph" w:customStyle="1" w:styleId="138">
    <w:name w:val="正文文本缩进1"/>
    <w:basedOn w:val="1"/>
    <w:link w:val="137"/>
    <w:autoRedefine/>
    <w:qFormat/>
    <w:uiPriority w:val="0"/>
    <w:pPr>
      <w:ind w:firstLine="830" w:firstLineChars="352"/>
    </w:pPr>
    <w:rPr>
      <w:rFonts w:ascii="仿宋_GB2312" w:eastAsia="仿宋_GB2312"/>
      <w:sz w:val="32"/>
    </w:rPr>
  </w:style>
  <w:style w:type="character" w:customStyle="1" w:styleId="139">
    <w:name w:val="font11"/>
    <w:basedOn w:val="47"/>
    <w:autoRedefine/>
    <w:qFormat/>
    <w:uiPriority w:val="0"/>
    <w:rPr>
      <w:rFonts w:hint="eastAsia" w:ascii="仿宋" w:hAnsi="仿宋" w:eastAsia="仿宋" w:cs="仿宋"/>
      <w:b/>
      <w:bCs/>
      <w:color w:val="000000"/>
      <w:sz w:val="30"/>
      <w:szCs w:val="30"/>
      <w:u w:val="none"/>
    </w:rPr>
  </w:style>
  <w:style w:type="character" w:customStyle="1" w:styleId="140">
    <w:name w:val="hover24"/>
    <w:basedOn w:val="47"/>
    <w:qFormat/>
    <w:uiPriority w:val="0"/>
  </w:style>
  <w:style w:type="character" w:customStyle="1" w:styleId="141">
    <w:name w:val="hover25"/>
    <w:basedOn w:val="47"/>
    <w:qFormat/>
    <w:uiPriority w:val="0"/>
    <w:rPr>
      <w:color w:val="315EFB"/>
    </w:rPr>
  </w:style>
  <w:style w:type="character" w:customStyle="1" w:styleId="142">
    <w:name w:val="hover26"/>
    <w:basedOn w:val="47"/>
    <w:qFormat/>
    <w:uiPriority w:val="0"/>
    <w:rPr>
      <w:color w:val="315EFB"/>
    </w:rPr>
  </w:style>
  <w:style w:type="character" w:customStyle="1" w:styleId="143">
    <w:name w:val="c-icon28"/>
    <w:basedOn w:val="47"/>
    <w:qFormat/>
    <w:uiPriority w:val="0"/>
  </w:style>
  <w:style w:type="character" w:customStyle="1" w:styleId="144">
    <w:name w:val="hover"/>
    <w:basedOn w:val="47"/>
    <w:qFormat/>
    <w:uiPriority w:val="0"/>
    <w:rPr>
      <w:color w:val="315EFB"/>
    </w:rPr>
  </w:style>
  <w:style w:type="character" w:customStyle="1" w:styleId="145">
    <w:name w:val="hover1"/>
    <w:basedOn w:val="47"/>
    <w:qFormat/>
    <w:uiPriority w:val="0"/>
    <w:rPr>
      <w:color w:val="315EFB"/>
    </w:rPr>
  </w:style>
  <w:style w:type="character" w:customStyle="1" w:styleId="146">
    <w:name w:val="hover2"/>
    <w:basedOn w:val="47"/>
    <w:qFormat/>
    <w:uiPriority w:val="0"/>
  </w:style>
  <w:style w:type="character" w:customStyle="1" w:styleId="147">
    <w:name w:val="hover27"/>
    <w:basedOn w:val="47"/>
    <w:qFormat/>
    <w:uiPriority w:val="0"/>
  </w:style>
  <w:style w:type="character" w:customStyle="1" w:styleId="148">
    <w:name w:val="hover28"/>
    <w:basedOn w:val="47"/>
    <w:qFormat/>
    <w:uiPriority w:val="0"/>
    <w:rPr>
      <w:color w:val="335BFF"/>
    </w:rPr>
  </w:style>
  <w:style w:type="character" w:customStyle="1" w:styleId="149">
    <w:name w:val="hover29"/>
    <w:basedOn w:val="47"/>
    <w:qFormat/>
    <w:uiPriority w:val="0"/>
  </w:style>
  <w:style w:type="character" w:customStyle="1" w:styleId="150">
    <w:name w:val="name3"/>
    <w:basedOn w:val="47"/>
    <w:qFormat/>
    <w:uiPriority w:val="0"/>
    <w:rPr>
      <w:color w:val="1E1F24"/>
    </w:rPr>
  </w:style>
  <w:style w:type="character" w:customStyle="1" w:styleId="151">
    <w:name w:val="c-icon26"/>
    <w:basedOn w:val="47"/>
    <w:qFormat/>
    <w:uiPriority w:val="0"/>
  </w:style>
  <w:style w:type="character" w:customStyle="1" w:styleId="152">
    <w:name w:val="hover21"/>
    <w:basedOn w:val="47"/>
    <w:qFormat/>
    <w:uiPriority w:val="0"/>
    <w:rPr>
      <w:color w:val="335BFF"/>
    </w:rPr>
  </w:style>
  <w:style w:type="character" w:customStyle="1" w:styleId="153">
    <w:name w:val="hover22"/>
    <w:basedOn w:val="47"/>
    <w:qFormat/>
    <w:uiPriority w:val="0"/>
  </w:style>
  <w:style w:type="character" w:customStyle="1" w:styleId="154">
    <w:name w:val="hover23"/>
    <w:basedOn w:val="47"/>
    <w:qFormat/>
    <w:uiPriority w:val="0"/>
    <w:rPr>
      <w:color w:val="315EFB"/>
    </w:rPr>
  </w:style>
  <w:style w:type="character" w:customStyle="1" w:styleId="155">
    <w:name w:val="name4"/>
    <w:basedOn w:val="47"/>
    <w:qFormat/>
    <w:uiPriority w:val="0"/>
    <w:rPr>
      <w:color w:val="1E1F24"/>
    </w:rPr>
  </w:style>
  <w:style w:type="character" w:customStyle="1" w:styleId="156">
    <w:name w:val="font71"/>
    <w:autoRedefine/>
    <w:qFormat/>
    <w:uiPriority w:val="0"/>
    <w:rPr>
      <w:rFonts w:hint="eastAsia" w:ascii="宋体" w:hAnsi="宋体" w:eastAsia="宋体" w:cs="宋体"/>
      <w:color w:val="FF0000"/>
      <w:sz w:val="22"/>
      <w:szCs w:val="22"/>
      <w:u w:val="none"/>
    </w:rPr>
  </w:style>
  <w:style w:type="paragraph" w:customStyle="1" w:styleId="157">
    <w:name w:val="Normal_1_0"/>
    <w:qFormat/>
    <w:uiPriority w:val="0"/>
    <w:rPr>
      <w:rFonts w:ascii="Times New Roman" w:hAnsi="Times New Roman" w:eastAsia="Times New Roman" w:cs="Times New Roman"/>
      <w:sz w:val="24"/>
      <w:szCs w:val="24"/>
    </w:rPr>
  </w:style>
  <w:style w:type="paragraph" w:styleId="158">
    <w:name w:val="List Paragraph"/>
    <w:qFormat/>
    <w:uiPriority w:val="0"/>
    <w:pPr>
      <w:widowControl w:val="0"/>
      <w:ind w:firstLine="420" w:firstLineChars="200"/>
      <w:jc w:val="both"/>
    </w:pPr>
    <w:rPr>
      <w:rFonts w:ascii="Times New Roman" w:hAnsi="Times New Roman" w:eastAsia="宋体" w:cs="Times New Roman"/>
      <w:kern w:val="0"/>
      <w:sz w:val="24"/>
      <w:szCs w:val="20"/>
      <w:lang w:val="en-US" w:eastAsia="zh-CN" w:bidi="ar-SA"/>
    </w:rPr>
  </w:style>
  <w:style w:type="table" w:customStyle="1" w:styleId="159">
    <w:name w:val="Table Normal"/>
    <w:unhideWhenUsed/>
    <w:qFormat/>
    <w:uiPriority w:val="0"/>
    <w:tblPr>
      <w:tblCellMar>
        <w:top w:w="0" w:type="dxa"/>
        <w:left w:w="0" w:type="dxa"/>
        <w:bottom w:w="0" w:type="dxa"/>
        <w:right w:w="0" w:type="dxa"/>
      </w:tblCellMar>
    </w:tblPr>
  </w:style>
  <w:style w:type="paragraph" w:customStyle="1" w:styleId="160">
    <w:name w:val="Table Text"/>
    <w:semiHidden/>
    <w:qFormat/>
    <w:uiPriority w:val="0"/>
    <w:pPr>
      <w:widowControl w:val="0"/>
      <w:jc w:val="both"/>
    </w:pPr>
    <w:rPr>
      <w:rFonts w:ascii="宋体" w:hAnsi="宋体" w:eastAsia="宋体" w:cs="宋体"/>
      <w:kern w:val="2"/>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13C6725-C011-4FEB-9862-FC5E6073464F}">
  <ds:schemaRefs/>
</ds:datastoreItem>
</file>

<file path=docProps/app.xml><?xml version="1.0" encoding="utf-8"?>
<Properties xmlns="http://schemas.openxmlformats.org/officeDocument/2006/extended-properties" xmlns:vt="http://schemas.openxmlformats.org/officeDocument/2006/docPropsVTypes">
  <Template>Normal</Template>
  <Company>user</Company>
  <Pages>120</Pages>
  <Words>12494</Words>
  <Characters>13592</Characters>
  <Lines>363</Lines>
  <Paragraphs>102</Paragraphs>
  <TotalTime>1</TotalTime>
  <ScaleCrop>false</ScaleCrop>
  <LinksUpToDate>false</LinksUpToDate>
  <CharactersWithSpaces>13810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2024-03-04T03:26:00Z</dcterms:created>
  <dc:creator>admin</dc:creator>
  <cp:lastModifiedBy>Administrator</cp:lastModifiedBy>
  <cp:lastPrinted>2025-01-23T00:19:00Z</cp:lastPrinted>
  <dcterms:modified xsi:type="dcterms:W3CDTF">2026-08-17T02:09:46Z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F51032ACD6F94C5F82BD9B06178B3351_13</vt:lpwstr>
  </property>
  <property fmtid="{D5CDD505-2E9C-101B-9397-08002B2CF9AE}" pid="4" name="KSOTemplateDocerSaveRecord">
    <vt:lpwstr>eyJoZGlkIjoiMDJjOTdlYzNiZjlkMzU5MDZjYTFkMDIzYWRmNGM4YTkiLCJ1c2VySWQiOiI2MzY5NTI5OTQifQ==</vt:lpwstr>
  </property>
</Properties>
</file>