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162B7">
      <w:pPr>
        <w:pStyle w:val="12"/>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lang w:val="en-US" w:eastAsia="zh-CN"/>
        </w:rPr>
        <w:t xml:space="preserve"> </w:t>
      </w:r>
      <w:r>
        <w:rPr>
          <w:rFonts w:hint="eastAsia" w:ascii="宋体" w:hAnsi="宋体" w:eastAsia="宋体" w:cs="宋体"/>
          <w:b/>
          <w:color w:val="auto"/>
          <w:sz w:val="84"/>
          <w:szCs w:val="84"/>
          <w:highlight w:val="none"/>
        </w:rPr>
        <w:t xml:space="preserve">                                                                                                                                                                                                                                                                                         </w:t>
      </w:r>
    </w:p>
    <w:p w14:paraId="5AB805D0">
      <w:pPr>
        <w:pStyle w:val="12"/>
        <w:spacing w:line="360" w:lineRule="auto"/>
        <w:jc w:val="center"/>
        <w:rPr>
          <w:rFonts w:hint="eastAsia" w:ascii="宋体" w:hAnsi="宋体" w:eastAsia="宋体" w:cs="宋体"/>
          <w:b/>
          <w:bCs/>
          <w:color w:val="auto"/>
          <w:sz w:val="84"/>
          <w:szCs w:val="84"/>
          <w:highlight w:val="none"/>
        </w:rPr>
      </w:pPr>
      <w:r>
        <w:rPr>
          <w:rFonts w:hint="eastAsia" w:ascii="宋体" w:hAnsi="宋体" w:eastAsia="宋体" w:cs="宋体"/>
          <w:b/>
          <w:color w:val="auto"/>
          <w:sz w:val="84"/>
          <w:szCs w:val="84"/>
          <w:highlight w:val="none"/>
        </w:rPr>
        <w:t>政府采购</w:t>
      </w:r>
    </w:p>
    <w:p w14:paraId="3FED77E2">
      <w:pPr>
        <w:pStyle w:val="12"/>
        <w:adjustRightInd w:val="0"/>
        <w:snapToGrid w:val="0"/>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竞争性磋商文件</w:t>
      </w:r>
    </w:p>
    <w:p w14:paraId="7AEFFB0F">
      <w:pPr>
        <w:pStyle w:val="12"/>
        <w:adjustRightInd w:val="0"/>
        <w:snapToGrid w:val="0"/>
        <w:spacing w:before="156" w:beforeLines="50" w:line="360" w:lineRule="auto"/>
        <w:ind w:left="846" w:leftChars="403" w:firstLine="157" w:firstLineChars="49"/>
        <w:rPr>
          <w:rFonts w:hint="eastAsia" w:ascii="宋体" w:hAnsi="宋体" w:eastAsia="宋体" w:cs="宋体"/>
          <w:b/>
          <w:color w:val="auto"/>
          <w:sz w:val="32"/>
          <w:szCs w:val="32"/>
          <w:highlight w:val="none"/>
        </w:rPr>
      </w:pPr>
    </w:p>
    <w:p w14:paraId="297C8D6D">
      <w:pPr>
        <w:pStyle w:val="12"/>
        <w:adjustRightInd w:val="0"/>
        <w:snapToGrid w:val="0"/>
        <w:spacing w:before="156" w:beforeLines="50" w:line="360" w:lineRule="auto"/>
        <w:ind w:left="846" w:leftChars="403" w:firstLine="157" w:firstLineChars="49"/>
        <w:rPr>
          <w:rFonts w:hint="eastAsia" w:ascii="宋体" w:hAnsi="宋体" w:eastAsia="宋体" w:cs="宋体"/>
          <w:b/>
          <w:color w:val="auto"/>
          <w:sz w:val="32"/>
          <w:szCs w:val="32"/>
          <w:highlight w:val="none"/>
        </w:rPr>
      </w:pPr>
    </w:p>
    <w:p w14:paraId="550DA13D">
      <w:pPr>
        <w:pStyle w:val="12"/>
        <w:adjustRightInd w:val="0"/>
        <w:snapToGrid w:val="0"/>
        <w:spacing w:before="156" w:beforeLines="50" w:line="360" w:lineRule="auto"/>
        <w:ind w:left="846" w:leftChars="403" w:firstLine="157" w:firstLineChars="49"/>
        <w:rPr>
          <w:rFonts w:hint="eastAsia" w:ascii="宋体" w:hAnsi="宋体" w:eastAsia="宋体" w:cs="宋体"/>
          <w:b/>
          <w:color w:val="auto"/>
          <w:sz w:val="32"/>
          <w:szCs w:val="32"/>
          <w:highlight w:val="none"/>
        </w:rPr>
      </w:pPr>
    </w:p>
    <w:p w14:paraId="7BC6C147">
      <w:pPr>
        <w:pStyle w:val="12"/>
        <w:adjustRightInd w:val="0"/>
        <w:snapToGrid w:val="0"/>
        <w:spacing w:line="360" w:lineRule="auto"/>
        <w:ind w:left="3834" w:leftChars="200" w:hanging="3414" w:hangingChars="1067"/>
        <w:jc w:val="both"/>
        <w:rPr>
          <w:rFonts w:hint="eastAsia" w:hAnsi="宋体" w:cs="宋体"/>
          <w:color w:val="auto"/>
          <w:sz w:val="32"/>
          <w:szCs w:val="32"/>
          <w:highlight w:val="none"/>
          <w:u w:val="single"/>
          <w:lang w:eastAsia="zh-CN"/>
        </w:rPr>
      </w:pPr>
      <w:r>
        <w:rPr>
          <w:rFonts w:hint="eastAsia" w:ascii="宋体" w:hAnsi="宋体" w:eastAsia="宋体" w:cs="宋体"/>
          <w:color w:val="auto"/>
          <w:sz w:val="32"/>
          <w:szCs w:val="32"/>
          <w:highlight w:val="none"/>
        </w:rPr>
        <w:t>项目名称：</w:t>
      </w:r>
      <w:r>
        <w:rPr>
          <w:rFonts w:hint="eastAsia" w:hAnsi="宋体" w:cs="宋体"/>
          <w:color w:val="auto"/>
          <w:sz w:val="32"/>
          <w:szCs w:val="32"/>
          <w:highlight w:val="none"/>
          <w:u w:val="single"/>
          <w:lang w:eastAsia="zh-CN"/>
        </w:rPr>
        <w:t>华容县2026年第二批农村公路梅田湖镇</w:t>
      </w:r>
    </w:p>
    <w:p w14:paraId="56CEDCC9">
      <w:pPr>
        <w:pStyle w:val="12"/>
        <w:adjustRightInd w:val="0"/>
        <w:snapToGrid w:val="0"/>
        <w:spacing w:line="360" w:lineRule="auto"/>
        <w:ind w:left="3834" w:leftChars="200" w:hanging="3414" w:hangingChars="1067"/>
        <w:jc w:val="both"/>
        <w:rPr>
          <w:rFonts w:hint="default" w:ascii="宋体" w:hAnsi="宋体" w:eastAsia="宋体" w:cs="宋体"/>
          <w:color w:val="auto"/>
          <w:sz w:val="32"/>
          <w:szCs w:val="32"/>
          <w:highlight w:val="none"/>
          <w:lang w:val="en-US"/>
        </w:rPr>
      </w:pPr>
      <w:r>
        <w:rPr>
          <w:rFonts w:hint="eastAsia" w:hAnsi="宋体" w:cs="宋体"/>
          <w:color w:val="auto"/>
          <w:sz w:val="32"/>
          <w:szCs w:val="32"/>
          <w:highlight w:val="none"/>
          <w:u w:val="single"/>
          <w:lang w:eastAsia="zh-CN"/>
        </w:rPr>
        <w:t>（重要旅游资源产业路）建设项目</w:t>
      </w:r>
    </w:p>
    <w:p w14:paraId="1D3FA10F">
      <w:pPr>
        <w:pStyle w:val="12"/>
        <w:adjustRightInd w:val="0"/>
        <w:snapToGrid w:val="0"/>
        <w:spacing w:line="360" w:lineRule="auto"/>
        <w:ind w:left="3834" w:leftChars="200" w:hanging="3414" w:hangingChars="1067"/>
        <w:rPr>
          <w:rFonts w:hint="eastAsia" w:hAnsi="宋体" w:cs="宋体"/>
          <w:color w:val="auto"/>
          <w:sz w:val="32"/>
          <w:szCs w:val="32"/>
          <w:highlight w:val="none"/>
          <w:u w:val="single"/>
          <w:lang w:val="en-US" w:eastAsia="zh-CN"/>
        </w:rPr>
      </w:pPr>
      <w:r>
        <w:rPr>
          <w:rFonts w:hint="eastAsia" w:ascii="宋体" w:hAnsi="宋体" w:eastAsia="宋体" w:cs="宋体"/>
          <w:color w:val="auto"/>
          <w:sz w:val="32"/>
          <w:szCs w:val="32"/>
          <w:highlight w:val="none"/>
        </w:rPr>
        <w:t>政府采购编号:</w:t>
      </w:r>
      <w:r>
        <w:rPr>
          <w:rFonts w:hint="eastAsia" w:hAnsi="宋体" w:cs="宋体"/>
          <w:color w:val="auto"/>
          <w:sz w:val="32"/>
          <w:szCs w:val="32"/>
          <w:highlight w:val="none"/>
          <w:u w:val="single"/>
          <w:lang w:eastAsia="zh-CN"/>
        </w:rPr>
        <w:t>(2026)430623000048-1</w:t>
      </w:r>
    </w:p>
    <w:p w14:paraId="435277B5">
      <w:pPr>
        <w:pStyle w:val="12"/>
        <w:adjustRightInd w:val="0"/>
        <w:snapToGrid w:val="0"/>
        <w:spacing w:line="360" w:lineRule="auto"/>
        <w:ind w:left="3834" w:leftChars="200" w:hanging="3414" w:hangingChars="1067"/>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采 购 人：</w:t>
      </w:r>
      <w:r>
        <w:rPr>
          <w:rFonts w:hint="eastAsia" w:hAnsi="宋体" w:cs="宋体"/>
          <w:color w:val="auto"/>
          <w:sz w:val="32"/>
          <w:szCs w:val="32"/>
          <w:highlight w:val="none"/>
          <w:u w:val="single"/>
          <w:lang w:eastAsia="zh-CN"/>
        </w:rPr>
        <w:t>华容县梅田湖镇人民政府</w:t>
      </w:r>
    </w:p>
    <w:p w14:paraId="184EA057">
      <w:pPr>
        <w:pStyle w:val="12"/>
        <w:adjustRightInd w:val="0"/>
        <w:snapToGrid w:val="0"/>
        <w:spacing w:line="360" w:lineRule="auto"/>
        <w:ind w:left="3834" w:leftChars="200" w:hanging="3414" w:hangingChars="1067"/>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委托代理编号:</w:t>
      </w:r>
      <w:r>
        <w:rPr>
          <w:rFonts w:hint="eastAsia" w:hAnsi="宋体" w:cs="宋体"/>
          <w:color w:val="auto"/>
          <w:sz w:val="32"/>
          <w:szCs w:val="32"/>
          <w:highlight w:val="none"/>
          <w:u w:val="single"/>
          <w:lang w:eastAsia="zh-CN"/>
        </w:rPr>
        <w:t>HNTC2026ZB0920</w:t>
      </w:r>
    </w:p>
    <w:p w14:paraId="6617201D">
      <w:pPr>
        <w:pStyle w:val="12"/>
        <w:adjustRightInd w:val="0"/>
        <w:snapToGrid w:val="0"/>
        <w:spacing w:line="360" w:lineRule="auto"/>
        <w:ind w:left="3834" w:leftChars="200" w:hanging="3414" w:hangingChars="1067"/>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 xml:space="preserve">采购代理机构: </w:t>
      </w:r>
      <w:r>
        <w:rPr>
          <w:rFonts w:hint="eastAsia" w:hAnsi="宋体" w:cs="宋体"/>
          <w:color w:val="auto"/>
          <w:sz w:val="32"/>
          <w:szCs w:val="32"/>
          <w:highlight w:val="none"/>
          <w:u w:val="single"/>
          <w:lang w:eastAsia="zh-CN"/>
        </w:rPr>
        <w:t>湖南同创工程项目管理有限公司</w:t>
      </w:r>
    </w:p>
    <w:p w14:paraId="6DA97157">
      <w:pPr>
        <w:pStyle w:val="29"/>
        <w:ind w:firstLine="0" w:firstLineChars="0"/>
        <w:rPr>
          <w:rFonts w:hint="eastAsia" w:ascii="宋体" w:hAnsi="宋体" w:eastAsia="宋体" w:cs="宋体"/>
          <w:color w:val="auto"/>
          <w:highlight w:val="none"/>
        </w:rPr>
      </w:pPr>
    </w:p>
    <w:p w14:paraId="34726D5B">
      <w:pPr>
        <w:pStyle w:val="12"/>
        <w:adjustRightInd w:val="0"/>
        <w:snapToGrid w:val="0"/>
        <w:spacing w:line="360" w:lineRule="auto"/>
        <w:rPr>
          <w:rFonts w:hint="eastAsia" w:ascii="宋体" w:hAnsi="宋体" w:eastAsia="宋体" w:cs="宋体"/>
          <w:b/>
          <w:color w:val="auto"/>
          <w:sz w:val="32"/>
          <w:highlight w:val="none"/>
        </w:rPr>
      </w:pPr>
    </w:p>
    <w:p w14:paraId="4B8275D3">
      <w:pPr>
        <w:pStyle w:val="12"/>
        <w:adjustRightInd w:val="0"/>
        <w:snapToGrid w:val="0"/>
        <w:spacing w:line="360" w:lineRule="auto"/>
        <w:rPr>
          <w:rFonts w:hint="eastAsia" w:ascii="宋体" w:hAnsi="宋体" w:eastAsia="宋体" w:cs="宋体"/>
          <w:b/>
          <w:color w:val="auto"/>
          <w:sz w:val="32"/>
          <w:highlight w:val="none"/>
        </w:rPr>
      </w:pPr>
    </w:p>
    <w:p w14:paraId="49D85EA6">
      <w:pPr>
        <w:pStyle w:val="12"/>
        <w:adjustRightInd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u w:val="single"/>
        </w:rPr>
        <w:t>202</w:t>
      </w:r>
      <w:r>
        <w:rPr>
          <w:rFonts w:hint="eastAsia" w:ascii="宋体" w:hAnsi="宋体" w:eastAsia="宋体" w:cs="宋体"/>
          <w:b/>
          <w:color w:val="auto"/>
          <w:sz w:val="32"/>
          <w:highlight w:val="none"/>
          <w:u w:val="single"/>
          <w:lang w:val="en-US" w:eastAsia="zh-CN"/>
        </w:rPr>
        <w:t>6</w:t>
      </w:r>
      <w:r>
        <w:rPr>
          <w:rFonts w:hint="eastAsia" w:ascii="宋体" w:hAnsi="宋体" w:eastAsia="宋体" w:cs="宋体"/>
          <w:b/>
          <w:color w:val="auto"/>
          <w:sz w:val="32"/>
          <w:highlight w:val="none"/>
        </w:rPr>
        <w:t>年</w:t>
      </w:r>
      <w:r>
        <w:rPr>
          <w:rFonts w:hint="eastAsia" w:hAnsi="宋体" w:cs="宋体"/>
          <w:b/>
          <w:color w:val="auto"/>
          <w:sz w:val="32"/>
          <w:highlight w:val="none"/>
          <w:u w:val="single"/>
          <w:lang w:val="en-US" w:eastAsia="zh-CN"/>
        </w:rPr>
        <w:t>10</w:t>
      </w:r>
      <w:r>
        <w:rPr>
          <w:rFonts w:hint="eastAsia" w:ascii="宋体" w:hAnsi="宋体" w:eastAsia="宋体" w:cs="宋体"/>
          <w:b/>
          <w:color w:val="auto"/>
          <w:sz w:val="32"/>
          <w:highlight w:val="none"/>
        </w:rPr>
        <w:t>月</w:t>
      </w:r>
    </w:p>
    <w:p w14:paraId="3F1DC226">
      <w:pPr>
        <w:snapToGrid w:val="0"/>
        <w:spacing w:line="360" w:lineRule="auto"/>
        <w:jc w:val="center"/>
        <w:rPr>
          <w:rFonts w:hint="eastAsia" w:ascii="宋体" w:hAnsi="宋体" w:eastAsia="宋体" w:cs="宋体"/>
          <w:color w:val="auto"/>
          <w:spacing w:val="160"/>
          <w:sz w:val="36"/>
          <w:highlight w:val="none"/>
        </w:rPr>
      </w:pPr>
    </w:p>
    <w:p w14:paraId="64FC4317">
      <w:pPr>
        <w:snapToGrid w:val="0"/>
        <w:spacing w:line="360" w:lineRule="auto"/>
        <w:jc w:val="center"/>
        <w:rPr>
          <w:rFonts w:hint="eastAsia" w:ascii="宋体" w:hAnsi="宋体" w:eastAsia="宋体" w:cs="宋体"/>
          <w:color w:val="auto"/>
          <w:spacing w:val="160"/>
          <w:sz w:val="36"/>
          <w:highlight w:val="none"/>
        </w:rPr>
      </w:pPr>
    </w:p>
    <w:p w14:paraId="39A1DD59">
      <w:pPr>
        <w:pStyle w:val="7"/>
        <w:rPr>
          <w:rFonts w:hint="eastAsia" w:ascii="宋体" w:hAnsi="宋体" w:eastAsia="宋体" w:cs="宋体"/>
          <w:color w:val="auto"/>
          <w:highlight w:val="none"/>
        </w:rPr>
      </w:pPr>
    </w:p>
    <w:p w14:paraId="2F9F046A">
      <w:pPr>
        <w:snapToGrid w:val="0"/>
        <w:spacing w:line="360" w:lineRule="auto"/>
        <w:jc w:val="center"/>
        <w:rPr>
          <w:rFonts w:hint="eastAsia" w:ascii="宋体" w:hAnsi="宋体" w:eastAsia="宋体" w:cs="宋体"/>
          <w:color w:val="auto"/>
          <w:spacing w:val="160"/>
          <w:sz w:val="36"/>
          <w:highlight w:val="none"/>
        </w:rPr>
      </w:pPr>
      <w:r>
        <w:rPr>
          <w:rFonts w:hint="eastAsia" w:ascii="宋体" w:hAnsi="宋体" w:eastAsia="宋体" w:cs="宋体"/>
          <w:color w:val="auto"/>
          <w:spacing w:val="160"/>
          <w:sz w:val="36"/>
          <w:highlight w:val="none"/>
        </w:rPr>
        <w:t>目录</w:t>
      </w:r>
    </w:p>
    <w:p w14:paraId="25EF7DCD">
      <w:pPr>
        <w:snapToGrid w:val="0"/>
        <w:spacing w:line="360" w:lineRule="auto"/>
        <w:rPr>
          <w:rFonts w:hint="eastAsia" w:ascii="宋体" w:hAnsi="宋体" w:eastAsia="宋体" w:cs="宋体"/>
          <w:b/>
          <w:color w:val="auto"/>
          <w:sz w:val="24"/>
          <w:highlight w:val="none"/>
        </w:rPr>
      </w:pPr>
    </w:p>
    <w:p w14:paraId="3D492D8F">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TOC \o "1-3" \h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_Toc26420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第一章  磋商邀请</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_Toc26420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6286DC5F">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_Toc17789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第二章 磋商须知</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_Toc17789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7</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51F224AE">
      <w:pPr>
        <w:pStyle w:val="18"/>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_Toc5305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磋商须知前附表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_Toc5305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6948BE6">
      <w:pPr>
        <w:pStyle w:val="18"/>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_Toc30453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磋商须知正文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_Toc30453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90B58ED">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一、说明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C0D0E0B">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_Toc26660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二、磋商文件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_Toc26660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15F90E1">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_Toc25355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三、响应文件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_Toc25355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2C36B5D">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_Toc24824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四、响应文件的递交</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_Toc24824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3F9FB69">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_Toc20410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五、响应文件的磋商与评审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_Toc20410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481188C">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_Toc27784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六、成交结果信息公布与授予合同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_Toc27784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A3835DF">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_Toc13006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七、其他规定</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_Toc13006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1E8E87A">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_Toc16922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第三章  合同格式（工程）</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_Toc16922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32</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1A09D5CE">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_Toc25140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lang w:val="en-US" w:eastAsia="zh-CN"/>
        </w:rPr>
        <w:t>第四章</w:t>
      </w:r>
      <w:r>
        <w:rPr>
          <w:rFonts w:hint="eastAsia" w:ascii="宋体" w:hAnsi="宋体" w:eastAsia="宋体" w:cs="宋体"/>
          <w:b/>
          <w:bCs/>
          <w:color w:val="auto"/>
          <w:sz w:val="24"/>
          <w:szCs w:val="24"/>
          <w:highlight w:val="none"/>
        </w:rPr>
        <w:t xml:space="preserve"> 采购需求</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_Toc25140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38</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7C6E65D8">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_Toc11003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lang w:val="en-US" w:eastAsia="zh-CN"/>
        </w:rPr>
        <w:t>第五章 响应文件组成</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_Toc11003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40</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083E580D">
      <w:pPr>
        <w:snapToGrid w:val="0"/>
        <w:spacing w:line="480" w:lineRule="auto"/>
        <w:rPr>
          <w:rFonts w:hint="eastAsia" w:ascii="宋体" w:hAnsi="宋体" w:eastAsia="宋体" w:cs="宋体"/>
          <w:b/>
          <w:color w:val="auto"/>
          <w:sz w:val="24"/>
          <w:highlight w:val="none"/>
        </w:rPr>
      </w:pPr>
      <w:r>
        <w:rPr>
          <w:rFonts w:hint="eastAsia" w:ascii="宋体" w:hAnsi="宋体" w:eastAsia="宋体" w:cs="宋体"/>
          <w:color w:val="auto"/>
          <w:sz w:val="24"/>
          <w:szCs w:val="24"/>
          <w:highlight w:val="none"/>
        </w:rPr>
        <w:fldChar w:fldCharType="end"/>
      </w:r>
    </w:p>
    <w:p w14:paraId="76B33B7A">
      <w:pPr>
        <w:snapToGrid w:val="0"/>
        <w:spacing w:line="360" w:lineRule="auto"/>
        <w:rPr>
          <w:rFonts w:hint="eastAsia" w:ascii="宋体" w:hAnsi="宋体" w:eastAsia="宋体" w:cs="宋体"/>
          <w:b/>
          <w:color w:val="auto"/>
          <w:sz w:val="24"/>
          <w:highlight w:val="none"/>
        </w:rPr>
      </w:pPr>
    </w:p>
    <w:p w14:paraId="3B7729EE">
      <w:pPr>
        <w:pStyle w:val="26"/>
        <w:jc w:val="center"/>
        <w:rPr>
          <w:rFonts w:hint="eastAsia" w:ascii="宋体" w:hAnsi="宋体" w:eastAsia="宋体" w:cs="宋体"/>
          <w:color w:val="auto"/>
          <w:highlight w:val="none"/>
        </w:rPr>
        <w:sectPr>
          <w:footerReference r:id="rId3" w:type="default"/>
          <w:pgSz w:w="11906" w:h="16838"/>
          <w:pgMar w:top="1440" w:right="1800" w:bottom="1440" w:left="1800" w:header="851" w:footer="992" w:gutter="0"/>
          <w:pgNumType w:start="1"/>
          <w:cols w:space="425" w:num="1"/>
          <w:docGrid w:type="lines" w:linePitch="312" w:charSpace="0"/>
        </w:sectPr>
      </w:pPr>
    </w:p>
    <w:p w14:paraId="014F0818">
      <w:pPr>
        <w:pStyle w:val="2"/>
        <w:bidi w:val="0"/>
        <w:jc w:val="center"/>
        <w:rPr>
          <w:rFonts w:hint="eastAsia" w:ascii="宋体" w:hAnsi="宋体" w:eastAsia="宋体" w:cs="宋体"/>
          <w:color w:val="auto"/>
          <w:highlight w:val="none"/>
        </w:rPr>
      </w:pPr>
      <w:bookmarkStart w:id="0" w:name="_Toc27644"/>
      <w:bookmarkStart w:id="1" w:name="_Toc29371"/>
      <w:bookmarkStart w:id="2" w:name="_Toc28551"/>
      <w:bookmarkStart w:id="3" w:name="_Toc8337"/>
      <w:bookmarkStart w:id="4" w:name="_Toc5990"/>
      <w:bookmarkStart w:id="5" w:name="_Toc13487"/>
      <w:bookmarkStart w:id="6" w:name="_Toc5598"/>
      <w:bookmarkStart w:id="7" w:name="_Toc15031"/>
      <w:bookmarkStart w:id="8" w:name="_Toc26420"/>
      <w:r>
        <w:rPr>
          <w:rFonts w:hint="eastAsia" w:ascii="宋体" w:hAnsi="宋体" w:eastAsia="宋体" w:cs="宋体"/>
          <w:color w:val="auto"/>
          <w:highlight w:val="none"/>
        </w:rPr>
        <w:t>第一章  磋商邀请</w:t>
      </w:r>
      <w:bookmarkEnd w:id="0"/>
      <w:bookmarkEnd w:id="1"/>
      <w:bookmarkEnd w:id="2"/>
      <w:bookmarkEnd w:id="3"/>
      <w:bookmarkEnd w:id="4"/>
      <w:bookmarkEnd w:id="5"/>
      <w:bookmarkEnd w:id="6"/>
      <w:bookmarkEnd w:id="7"/>
      <w:bookmarkEnd w:id="8"/>
    </w:p>
    <w:p w14:paraId="366B539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u w:val="single"/>
          <w:lang w:eastAsia="zh-CN"/>
        </w:rPr>
        <w:t>湖南同创工程项目管理有限公司</w:t>
      </w:r>
      <w:r>
        <w:rPr>
          <w:rFonts w:hint="eastAsia" w:ascii="宋体" w:hAnsi="宋体" w:eastAsia="宋体" w:cs="宋体"/>
          <w:color w:val="auto"/>
          <w:szCs w:val="21"/>
          <w:highlight w:val="none"/>
        </w:rPr>
        <w:t>受</w:t>
      </w:r>
      <w:r>
        <w:rPr>
          <w:rFonts w:hint="eastAsia" w:ascii="宋体" w:hAnsi="宋体" w:cs="宋体"/>
          <w:color w:val="auto"/>
          <w:szCs w:val="21"/>
          <w:highlight w:val="none"/>
          <w:u w:val="single"/>
          <w:lang w:eastAsia="zh-CN"/>
        </w:rPr>
        <w:t>华容县梅田湖镇人民政府</w:t>
      </w:r>
      <w:r>
        <w:rPr>
          <w:rFonts w:hint="eastAsia" w:ascii="宋体" w:hAnsi="宋体" w:eastAsia="宋体" w:cs="宋体"/>
          <w:color w:val="auto"/>
          <w:szCs w:val="21"/>
          <w:highlight w:val="none"/>
        </w:rPr>
        <w:t>的委托，对</w:t>
      </w:r>
      <w:r>
        <w:rPr>
          <w:rFonts w:hint="eastAsia" w:ascii="宋体" w:hAnsi="宋体" w:cs="宋体"/>
          <w:color w:val="auto"/>
          <w:szCs w:val="21"/>
          <w:highlight w:val="none"/>
          <w:u w:val="single"/>
          <w:lang w:eastAsia="zh-CN"/>
        </w:rPr>
        <w:t>华容县2026年第二批农村公路梅田湖镇（重要旅游资源产业路）建设项目</w:t>
      </w:r>
      <w:r>
        <w:rPr>
          <w:rFonts w:hint="eastAsia" w:ascii="宋体" w:hAnsi="宋体" w:eastAsia="宋体" w:cs="宋体"/>
          <w:color w:val="auto"/>
          <w:szCs w:val="21"/>
          <w:highlight w:val="none"/>
        </w:rPr>
        <w:t>进行竞争性磋商采购，现采用发布公告方式，邀请符合资格条件的供应商参与竞争性磋商采购活动。</w:t>
      </w:r>
    </w:p>
    <w:p w14:paraId="1AF3A8E4">
      <w:pPr>
        <w:adjustRightInd w:val="0"/>
        <w:snapToGrid w:val="0"/>
        <w:spacing w:line="360" w:lineRule="auto"/>
        <w:ind w:firstLine="422" w:firstLineChars="200"/>
        <w:rPr>
          <w:rFonts w:hint="eastAsia" w:ascii="宋体" w:hAnsi="宋体" w:eastAsia="宋体" w:cs="宋体"/>
          <w:b/>
          <w:color w:val="auto"/>
          <w:szCs w:val="21"/>
          <w:highlight w:val="none"/>
        </w:rPr>
      </w:pPr>
      <w:bookmarkStart w:id="9" w:name="_Toc31847"/>
      <w:r>
        <w:rPr>
          <w:rFonts w:hint="eastAsia" w:ascii="宋体" w:hAnsi="宋体" w:eastAsia="宋体" w:cs="宋体"/>
          <w:b/>
          <w:color w:val="auto"/>
          <w:szCs w:val="21"/>
          <w:highlight w:val="none"/>
        </w:rPr>
        <w:t>一、采购项目基本概况</w:t>
      </w:r>
      <w:bookmarkEnd w:id="9"/>
    </w:p>
    <w:p w14:paraId="209E848D">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1、</w:t>
      </w:r>
      <w:r>
        <w:rPr>
          <w:rFonts w:hint="eastAsia" w:ascii="宋体" w:hAnsi="宋体" w:eastAsia="宋体" w:cs="宋体"/>
          <w:color w:val="auto"/>
          <w:szCs w:val="22"/>
          <w:highlight w:val="none"/>
        </w:rPr>
        <w:t>项目名称：</w:t>
      </w:r>
      <w:r>
        <w:rPr>
          <w:rFonts w:hint="eastAsia" w:ascii="宋体" w:hAnsi="宋体" w:cs="宋体"/>
          <w:color w:val="auto"/>
          <w:szCs w:val="21"/>
          <w:highlight w:val="none"/>
          <w:u w:val="single"/>
          <w:lang w:eastAsia="zh-CN"/>
        </w:rPr>
        <w:t>华容县2026年第二批农村公路梅田湖镇（重要旅游资源产业路）建设项目</w:t>
      </w:r>
    </w:p>
    <w:p w14:paraId="76574F27">
      <w:pPr>
        <w:snapToGrid w:val="0"/>
        <w:spacing w:line="360" w:lineRule="auto"/>
        <w:ind w:firstLine="420"/>
        <w:rPr>
          <w:rFonts w:hint="default"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2、</w:t>
      </w:r>
      <w:r>
        <w:rPr>
          <w:rFonts w:hint="eastAsia" w:ascii="宋体" w:hAnsi="宋体" w:eastAsia="宋体" w:cs="宋体"/>
          <w:color w:val="auto"/>
          <w:szCs w:val="22"/>
          <w:highlight w:val="none"/>
        </w:rPr>
        <w:t>政府采购计划编号</w:t>
      </w:r>
      <w:r>
        <w:rPr>
          <w:rFonts w:hint="eastAsia" w:ascii="宋体" w:hAnsi="宋体" w:cs="宋体"/>
          <w:color w:val="auto"/>
          <w:szCs w:val="22"/>
          <w:highlight w:val="none"/>
          <w:u w:val="single"/>
          <w:lang w:eastAsia="zh-CN"/>
        </w:rPr>
        <w:t>:(2026)430623000048-1</w:t>
      </w:r>
    </w:p>
    <w:p w14:paraId="7BD9A3EE">
      <w:pPr>
        <w:snapToGrid w:val="0"/>
        <w:spacing w:line="360" w:lineRule="auto"/>
        <w:ind w:firstLine="420" w:firstLineChars="200"/>
        <w:rPr>
          <w:rFonts w:hint="eastAsia" w:ascii="宋体" w:hAnsi="宋体" w:eastAsia="宋体" w:cs="宋体"/>
          <w:color w:val="auto"/>
          <w:szCs w:val="22"/>
          <w:highlight w:val="none"/>
          <w:u w:val="single"/>
          <w:lang w:eastAsia="zh-CN"/>
        </w:rPr>
      </w:pPr>
      <w:r>
        <w:rPr>
          <w:rFonts w:hint="eastAsia" w:ascii="宋体" w:hAnsi="宋体" w:eastAsia="宋体" w:cs="宋体"/>
          <w:color w:val="auto"/>
          <w:szCs w:val="22"/>
          <w:highlight w:val="none"/>
          <w:lang w:val="en-US" w:eastAsia="zh-CN"/>
        </w:rPr>
        <w:t>3、</w:t>
      </w:r>
      <w:r>
        <w:rPr>
          <w:rFonts w:hint="eastAsia" w:ascii="宋体" w:hAnsi="宋体" w:eastAsia="宋体" w:cs="宋体"/>
          <w:color w:val="auto"/>
          <w:szCs w:val="22"/>
          <w:highlight w:val="none"/>
        </w:rPr>
        <w:t>委托代理编号：</w:t>
      </w:r>
      <w:r>
        <w:rPr>
          <w:rFonts w:hint="eastAsia" w:ascii="宋体" w:hAnsi="宋体" w:cs="宋体"/>
          <w:color w:val="auto"/>
          <w:szCs w:val="22"/>
          <w:highlight w:val="none"/>
          <w:u w:val="single"/>
          <w:lang w:eastAsia="zh-CN"/>
        </w:rPr>
        <w:t>HNTC2026ZB0920</w:t>
      </w:r>
    </w:p>
    <w:p w14:paraId="7BC0CCE0">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4、</w:t>
      </w:r>
      <w:r>
        <w:rPr>
          <w:rFonts w:hint="eastAsia" w:ascii="宋体" w:hAnsi="宋体" w:eastAsia="宋体" w:cs="宋体"/>
          <w:color w:val="auto"/>
          <w:szCs w:val="22"/>
          <w:highlight w:val="none"/>
        </w:rPr>
        <w:t>采购预算：</w:t>
      </w:r>
      <w:bookmarkStart w:id="10" w:name="OLE_LINK3"/>
      <w:r>
        <w:rPr>
          <w:rFonts w:hint="eastAsia" w:ascii="宋体" w:hAnsi="宋体" w:cs="宋体"/>
          <w:color w:val="auto"/>
          <w:szCs w:val="22"/>
          <w:highlight w:val="none"/>
          <w:u w:val="single"/>
          <w:lang w:eastAsia="zh-CN"/>
        </w:rPr>
        <w:t>1548000.00</w:t>
      </w:r>
      <w:r>
        <w:rPr>
          <w:rFonts w:hint="eastAsia" w:ascii="宋体" w:hAnsi="宋体" w:eastAsia="宋体" w:cs="宋体"/>
          <w:color w:val="auto"/>
          <w:szCs w:val="22"/>
          <w:highlight w:val="none"/>
          <w:u w:val="single"/>
        </w:rPr>
        <w:t>元</w:t>
      </w:r>
      <w:bookmarkEnd w:id="10"/>
    </w:p>
    <w:p w14:paraId="7CC17B1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5、本项目</w:t>
      </w:r>
      <w:r>
        <w:rPr>
          <w:rFonts w:hint="eastAsia" w:ascii="宋体" w:hAnsi="宋体" w:eastAsia="宋体" w:cs="宋体"/>
          <w:color w:val="auto"/>
          <w:szCs w:val="21"/>
          <w:highlight w:val="none"/>
        </w:rPr>
        <w:t>对应的中小企业划分标准所属行业：</w:t>
      </w:r>
      <w:r>
        <w:rPr>
          <w:rFonts w:hint="eastAsia" w:ascii="宋体" w:hAnsi="宋体" w:eastAsia="宋体" w:cs="宋体"/>
          <w:color w:val="auto"/>
          <w:spacing w:val="6"/>
          <w:szCs w:val="22"/>
          <w:highlight w:val="none"/>
          <w:u w:val="single"/>
        </w:rPr>
        <w:t>建筑业</w:t>
      </w:r>
    </w:p>
    <w:p w14:paraId="4F8BF685">
      <w:pPr>
        <w:adjustRightInd w:val="0"/>
        <w:snapToGrid w:val="0"/>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6、合同定价方式：</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固定总价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固定单价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成本补偿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绩效激励</w:t>
      </w:r>
    </w:p>
    <w:p w14:paraId="722A7341">
      <w:pPr>
        <w:adjustRightInd w:val="0"/>
        <w:snapToGrid w:val="0"/>
        <w:spacing w:line="360" w:lineRule="auto"/>
        <w:ind w:firstLine="420" w:firstLineChars="200"/>
        <w:rPr>
          <w:rFonts w:hint="default" w:ascii="宋体" w:hAnsi="宋体" w:eastAsia="宋体" w:cs="宋体"/>
          <w:bCs/>
          <w:color w:val="auto"/>
          <w:szCs w:val="21"/>
          <w:highlight w:val="none"/>
          <w:u w:val="single"/>
          <w:lang w:val="en-US"/>
        </w:rPr>
      </w:pPr>
      <w:r>
        <w:rPr>
          <w:rFonts w:hint="eastAsia" w:ascii="宋体" w:hAnsi="宋体" w:eastAsia="宋体" w:cs="宋体"/>
          <w:bCs/>
          <w:color w:val="auto"/>
          <w:szCs w:val="21"/>
          <w:highlight w:val="none"/>
        </w:rPr>
        <w:t>7、合同履行期限：</w:t>
      </w:r>
      <w:r>
        <w:rPr>
          <w:rFonts w:hint="eastAsia" w:ascii="宋体" w:hAnsi="宋体" w:cs="宋体"/>
          <w:bCs/>
          <w:color w:val="auto"/>
          <w:szCs w:val="21"/>
          <w:highlight w:val="none"/>
          <w:u w:val="single"/>
          <w:lang w:val="en-US" w:eastAsia="zh-CN"/>
        </w:rPr>
        <w:t>自合同签订之日起90日历天内竣工完毕，达到验收合格标准。</w:t>
      </w:r>
    </w:p>
    <w:p w14:paraId="777825BD">
      <w:pPr>
        <w:pStyle w:val="27"/>
        <w:rPr>
          <w:rFonts w:hint="eastAsia" w:ascii="宋体" w:hAnsi="宋体" w:eastAsia="宋体" w:cs="宋体"/>
          <w:color w:val="auto"/>
          <w:highlight w:val="none"/>
        </w:rPr>
      </w:pPr>
      <w:r>
        <w:rPr>
          <w:rFonts w:hint="eastAsia" w:ascii="宋体" w:hAnsi="宋体" w:eastAsia="宋体" w:cs="宋体"/>
          <w:bCs/>
          <w:color w:val="auto"/>
          <w:highlight w:val="none"/>
        </w:rPr>
        <w:t>8、</w:t>
      </w:r>
      <w:r>
        <w:rPr>
          <w:rFonts w:hint="eastAsia" w:ascii="宋体" w:hAnsi="宋体" w:eastAsia="宋体" w:cs="宋体"/>
          <w:color w:val="auto"/>
          <w:highlight w:val="none"/>
        </w:rPr>
        <w:t>本项目分阶段要求供应商提供以下保证：</w:t>
      </w:r>
    </w:p>
    <w:p w14:paraId="2CB03D3F">
      <w:pPr>
        <w:pStyle w:val="27"/>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A8"/>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保证金：</w:t>
      </w:r>
      <w:r>
        <w:rPr>
          <w:rFonts w:hint="eastAsia" w:ascii="宋体" w:hAnsi="宋体" w:eastAsia="宋体" w:cs="宋体"/>
          <w:color w:val="auto"/>
          <w:highlight w:val="none"/>
          <w:lang w:val="en-US" w:eastAsia="zh-CN"/>
        </w:rPr>
        <w:t>不超过</w:t>
      </w:r>
      <w:r>
        <w:rPr>
          <w:rFonts w:hint="eastAsia" w:ascii="宋体" w:hAnsi="宋体" w:eastAsia="宋体" w:cs="宋体"/>
          <w:iCs/>
          <w:color w:val="auto"/>
          <w:highlight w:val="none"/>
        </w:rPr>
        <w:t>采购项目预算的</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u w:val="single"/>
          <w:lang w:val="en-US" w:eastAsia="zh-CN"/>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w:t>
      </w:r>
      <w:r>
        <w:rPr>
          <w:rFonts w:hint="eastAsia" w:ascii="宋体" w:hAnsi="宋体" w:eastAsia="宋体" w:cs="宋体"/>
          <w:color w:val="auto"/>
          <w:highlight w:val="none"/>
        </w:rPr>
        <w:t>；</w:t>
      </w:r>
    </w:p>
    <w:p w14:paraId="36A07200">
      <w:pPr>
        <w:pStyle w:val="27"/>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A8"/>
      </w:r>
      <w:r>
        <w:rPr>
          <w:rFonts w:hint="eastAsia" w:ascii="宋体" w:hAnsi="宋体" w:eastAsia="宋体" w:cs="宋体"/>
          <w:color w:val="auto"/>
          <w:highlight w:val="none"/>
        </w:rPr>
        <w:t>履约保证金：</w:t>
      </w:r>
      <w:r>
        <w:rPr>
          <w:rFonts w:hint="eastAsia" w:ascii="宋体" w:hAnsi="宋体" w:eastAsia="宋体" w:cs="宋体"/>
          <w:iCs/>
          <w:color w:val="auto"/>
          <w:highlight w:val="none"/>
        </w:rPr>
        <w:t>中标金额的</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u w:val="single"/>
          <w:lang w:val="en-US" w:eastAsia="zh-CN"/>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w:t>
      </w:r>
      <w:r>
        <w:rPr>
          <w:rFonts w:hint="eastAsia" w:ascii="宋体" w:hAnsi="宋体" w:eastAsia="宋体" w:cs="宋体"/>
          <w:color w:val="auto"/>
          <w:highlight w:val="none"/>
        </w:rPr>
        <w:t>；</w:t>
      </w:r>
    </w:p>
    <w:p w14:paraId="7FA78F7E">
      <w:pPr>
        <w:pStyle w:val="27"/>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A8"/>
      </w:r>
      <w:r>
        <w:rPr>
          <w:rFonts w:hint="eastAsia" w:ascii="宋体" w:hAnsi="宋体" w:eastAsia="宋体" w:cs="宋体"/>
          <w:iCs/>
          <w:color w:val="auto"/>
          <w:highlight w:val="none"/>
        </w:rPr>
        <w:t>预付款保证金：预付款的</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u w:val="single"/>
          <w:lang w:val="en-US" w:eastAsia="zh-CN"/>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w:t>
      </w:r>
    </w:p>
    <w:p w14:paraId="16D3F4FD">
      <w:pPr>
        <w:pStyle w:val="27"/>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A8"/>
      </w:r>
      <w:r>
        <w:rPr>
          <w:rFonts w:hint="eastAsia" w:ascii="宋体" w:hAnsi="宋体" w:eastAsia="宋体" w:cs="宋体"/>
          <w:iCs/>
          <w:color w:val="auto"/>
          <w:highlight w:val="none"/>
        </w:rPr>
        <w:t>质量保证金：</w:t>
      </w:r>
      <w:r>
        <w:rPr>
          <w:rFonts w:hint="eastAsia" w:ascii="宋体" w:hAnsi="宋体" w:eastAsia="宋体" w:cs="宋体"/>
          <w:iCs/>
          <w:color w:val="auto"/>
          <w:highlight w:val="none"/>
          <w:lang w:val="en-US" w:eastAsia="zh-CN"/>
        </w:rPr>
        <w:t>结算评审</w:t>
      </w:r>
      <w:r>
        <w:rPr>
          <w:rFonts w:hint="eastAsia" w:ascii="宋体" w:hAnsi="宋体" w:eastAsia="宋体" w:cs="宋体"/>
          <w:iCs/>
          <w:color w:val="auto"/>
          <w:highlight w:val="none"/>
        </w:rPr>
        <w:t>金额的</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u w:val="single"/>
          <w:lang w:val="en-US" w:eastAsia="zh-CN"/>
        </w:rPr>
        <w:t xml:space="preserve">/ </w:t>
      </w:r>
      <w:r>
        <w:rPr>
          <w:rFonts w:hint="eastAsia" w:ascii="宋体" w:hAnsi="宋体" w:eastAsia="宋体" w:cs="宋体"/>
          <w:iCs/>
          <w:color w:val="auto"/>
          <w:highlight w:val="none"/>
        </w:rPr>
        <w:t>%。</w:t>
      </w:r>
    </w:p>
    <w:p w14:paraId="40E50468">
      <w:pPr>
        <w:snapToGrid w:val="0"/>
        <w:spacing w:line="360" w:lineRule="auto"/>
        <w:ind w:firstLine="420"/>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lang w:val="en-US" w:eastAsia="zh-CN"/>
        </w:rPr>
        <w:t>二、</w:t>
      </w:r>
      <w:r>
        <w:rPr>
          <w:rFonts w:hint="eastAsia" w:ascii="宋体" w:hAnsi="宋体" w:eastAsia="宋体" w:cs="宋体"/>
          <w:b/>
          <w:bCs/>
          <w:color w:val="auto"/>
          <w:szCs w:val="22"/>
          <w:highlight w:val="none"/>
        </w:rPr>
        <w:t>采购项目内容与数量：</w:t>
      </w:r>
    </w:p>
    <w:tbl>
      <w:tblPr>
        <w:tblStyle w:val="21"/>
        <w:tblW w:w="5106"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8"/>
        <w:gridCol w:w="1394"/>
        <w:gridCol w:w="2013"/>
        <w:gridCol w:w="517"/>
        <w:gridCol w:w="490"/>
        <w:gridCol w:w="1235"/>
        <w:gridCol w:w="1150"/>
        <w:gridCol w:w="1076"/>
      </w:tblGrid>
      <w:tr w14:paraId="5692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tblCellSpacing w:w="0" w:type="dxa"/>
          <w:jc w:val="center"/>
        </w:trPr>
        <w:tc>
          <w:tcPr>
            <w:tcW w:w="369" w:type="pct"/>
            <w:vAlign w:val="center"/>
          </w:tcPr>
          <w:p w14:paraId="285DB24A">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包名</w:t>
            </w:r>
          </w:p>
        </w:tc>
        <w:tc>
          <w:tcPr>
            <w:tcW w:w="819" w:type="pct"/>
            <w:vAlign w:val="center"/>
          </w:tcPr>
          <w:p w14:paraId="3B734195">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品目分类</w:t>
            </w:r>
          </w:p>
        </w:tc>
        <w:tc>
          <w:tcPr>
            <w:tcW w:w="1183" w:type="pct"/>
            <w:vAlign w:val="center"/>
          </w:tcPr>
          <w:p w14:paraId="7102D45E">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品目名称</w:t>
            </w:r>
          </w:p>
        </w:tc>
        <w:tc>
          <w:tcPr>
            <w:tcW w:w="304" w:type="pct"/>
            <w:vAlign w:val="center"/>
          </w:tcPr>
          <w:p w14:paraId="0D13B2FE">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数量</w:t>
            </w:r>
          </w:p>
        </w:tc>
        <w:tc>
          <w:tcPr>
            <w:tcW w:w="288" w:type="pct"/>
            <w:vAlign w:val="center"/>
          </w:tcPr>
          <w:p w14:paraId="1A8FFCF3">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单位</w:t>
            </w:r>
          </w:p>
        </w:tc>
        <w:tc>
          <w:tcPr>
            <w:tcW w:w="726" w:type="pct"/>
            <w:vAlign w:val="center"/>
          </w:tcPr>
          <w:p w14:paraId="0146065B">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预算金额（元）</w:t>
            </w:r>
          </w:p>
        </w:tc>
        <w:tc>
          <w:tcPr>
            <w:tcW w:w="676" w:type="pct"/>
            <w:vAlign w:val="center"/>
          </w:tcPr>
          <w:p w14:paraId="279643EB">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最高限价（元）</w:t>
            </w:r>
          </w:p>
        </w:tc>
        <w:tc>
          <w:tcPr>
            <w:tcW w:w="632" w:type="pct"/>
            <w:vAlign w:val="center"/>
          </w:tcPr>
          <w:p w14:paraId="586ED1F2">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代理服务费限价（元）</w:t>
            </w:r>
          </w:p>
        </w:tc>
      </w:tr>
      <w:tr w14:paraId="570A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blCellSpacing w:w="0" w:type="dxa"/>
          <w:jc w:val="center"/>
        </w:trPr>
        <w:tc>
          <w:tcPr>
            <w:tcW w:w="369" w:type="pct"/>
            <w:vAlign w:val="center"/>
          </w:tcPr>
          <w:p w14:paraId="5B2C314E">
            <w:pPr>
              <w:adjustRightInd w:val="0"/>
              <w:snapToGrid w:val="0"/>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819" w:type="pct"/>
            <w:vAlign w:val="center"/>
          </w:tcPr>
          <w:p w14:paraId="537143B9">
            <w:pPr>
              <w:snapToGrid w:val="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B08990000-其他建筑物、构建物修缮</w:t>
            </w:r>
          </w:p>
        </w:tc>
        <w:tc>
          <w:tcPr>
            <w:tcW w:w="1183" w:type="pct"/>
            <w:vAlign w:val="center"/>
          </w:tcPr>
          <w:p w14:paraId="15A4C5BF">
            <w:pPr>
              <w:snapToGrid w:val="0"/>
              <w:jc w:val="center"/>
              <w:rPr>
                <w:rFonts w:hint="eastAsia" w:ascii="宋体" w:hAnsi="宋体" w:eastAsia="宋体" w:cs="宋体"/>
                <w:color w:val="auto"/>
                <w:szCs w:val="21"/>
                <w:highlight w:val="none"/>
                <w:lang w:eastAsia="zh-CN"/>
              </w:rPr>
            </w:pPr>
            <w:r>
              <w:rPr>
                <w:rFonts w:hint="eastAsia" w:ascii="宋体" w:hAnsi="宋体" w:cs="宋体"/>
                <w:color w:val="auto"/>
                <w:szCs w:val="22"/>
                <w:highlight w:val="none"/>
                <w:lang w:eastAsia="zh-CN"/>
              </w:rPr>
              <w:t>华容县2026年第二批农村公路梅田湖镇（重要旅游资源产业路）建设项目</w:t>
            </w:r>
          </w:p>
        </w:tc>
        <w:tc>
          <w:tcPr>
            <w:tcW w:w="304" w:type="pct"/>
            <w:vAlign w:val="center"/>
          </w:tcPr>
          <w:p w14:paraId="1B11E2DD">
            <w:pPr>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88" w:type="pct"/>
            <w:vAlign w:val="center"/>
          </w:tcPr>
          <w:p w14:paraId="28E3180B">
            <w:pPr>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726" w:type="pct"/>
            <w:vAlign w:val="center"/>
          </w:tcPr>
          <w:p w14:paraId="5BF07D33">
            <w:pPr>
              <w:snapToGrid w:val="0"/>
              <w:jc w:val="center"/>
              <w:rPr>
                <w:rFonts w:hint="eastAsia" w:ascii="宋体" w:hAnsi="宋体" w:eastAsia="宋体" w:cs="宋体"/>
                <w:color w:val="auto"/>
                <w:szCs w:val="21"/>
                <w:highlight w:val="none"/>
                <w:lang w:eastAsia="zh-CN"/>
              </w:rPr>
            </w:pPr>
            <w:r>
              <w:rPr>
                <w:rFonts w:hint="eastAsia" w:ascii="宋体" w:hAnsi="宋体" w:cs="宋体"/>
                <w:color w:val="auto"/>
                <w:szCs w:val="22"/>
                <w:highlight w:val="none"/>
                <w:lang w:eastAsia="zh-CN"/>
              </w:rPr>
              <w:t>1548000.00</w:t>
            </w:r>
          </w:p>
        </w:tc>
        <w:tc>
          <w:tcPr>
            <w:tcW w:w="676" w:type="pct"/>
            <w:vAlign w:val="center"/>
          </w:tcPr>
          <w:p w14:paraId="1A50C6C2">
            <w:pPr>
              <w:snapToGrid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2"/>
                <w:highlight w:val="none"/>
                <w:lang w:eastAsia="zh-CN"/>
              </w:rPr>
              <w:t>1548000.00</w:t>
            </w:r>
          </w:p>
        </w:tc>
        <w:tc>
          <w:tcPr>
            <w:tcW w:w="632" w:type="pct"/>
            <w:vAlign w:val="center"/>
          </w:tcPr>
          <w:p w14:paraId="2199F352">
            <w:pPr>
              <w:snapToGrid w:val="0"/>
              <w:jc w:val="center"/>
              <w:rPr>
                <w:rFonts w:hint="eastAsia" w:ascii="宋体" w:hAnsi="宋体" w:eastAsia="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13836.00</w:t>
            </w:r>
          </w:p>
        </w:tc>
      </w:tr>
    </w:tbl>
    <w:p w14:paraId="3C40EF0E">
      <w:pPr>
        <w:pStyle w:val="2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说明：</w:t>
      </w:r>
    </w:p>
    <w:p w14:paraId="3CC9086F">
      <w:pPr>
        <w:pStyle w:val="2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1.节能产品实行强制采购的，需提供国家认证机构出具的、处于有效期内的节能产品证书。</w:t>
      </w:r>
    </w:p>
    <w:p w14:paraId="18A7E389">
      <w:pPr>
        <w:pStyle w:val="2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2.同意购买进口产品的，不限制满足采购需求的国内产品参与投标。</w:t>
      </w:r>
    </w:p>
    <w:p w14:paraId="72143336">
      <w:pPr>
        <w:pStyle w:val="27"/>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三、采购项目需落实的政府采购政策：</w:t>
      </w:r>
    </w:p>
    <w:p w14:paraId="6ECCF9D8">
      <w:pPr>
        <w:pStyle w:val="2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1、优先采购：节能产品、环境标志产品享受加分或价格折扣。</w:t>
      </w:r>
    </w:p>
    <w:p w14:paraId="0BEBE710">
      <w:pPr>
        <w:pStyle w:val="2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2、支持中小企业：中小企业享受预留采购份额或价格折扣。</w:t>
      </w:r>
    </w:p>
    <w:p w14:paraId="436C4037">
      <w:pPr>
        <w:snapToGrid w:val="0"/>
        <w:spacing w:line="360" w:lineRule="auto"/>
        <w:ind w:firstLine="420"/>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lang w:val="en-US" w:eastAsia="zh-CN"/>
        </w:rPr>
        <w:t>四</w:t>
      </w:r>
      <w:r>
        <w:rPr>
          <w:rFonts w:hint="eastAsia" w:ascii="宋体" w:hAnsi="宋体" w:eastAsia="宋体" w:cs="宋体"/>
          <w:b/>
          <w:bCs/>
          <w:color w:val="auto"/>
          <w:szCs w:val="22"/>
          <w:highlight w:val="none"/>
        </w:rPr>
        <w:t>、供应商的资格要求</w:t>
      </w:r>
    </w:p>
    <w:p w14:paraId="41BFEFA4">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1.供应商基本资格条件：应当符合《政府采购法》第二十二条第一款的规定，即：</w:t>
      </w:r>
    </w:p>
    <w:p w14:paraId="2F719E52">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（1）具有独立承担民事责任的能力；</w:t>
      </w:r>
    </w:p>
    <w:p w14:paraId="6500F95D">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（2）具有良好的商业信誉和健全的财务会计制度；</w:t>
      </w:r>
    </w:p>
    <w:p w14:paraId="2E994AF1">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（3）具有履行合同所必需的设备和专业技术能力；</w:t>
      </w:r>
    </w:p>
    <w:p w14:paraId="26526210">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（4）有依法缴纳税收和社会保障资金的良好记录；</w:t>
      </w:r>
    </w:p>
    <w:p w14:paraId="212832CB">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（5）参加政府采购活动前三年内，在经营活动中没有重大违法记录；</w:t>
      </w:r>
    </w:p>
    <w:p w14:paraId="31595964">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（6）法律、行政法规规定的其他条件。</w:t>
      </w:r>
    </w:p>
    <w:p w14:paraId="776C465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01264DD2">
      <w:pPr>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专门面向</w:t>
      </w:r>
      <w:r>
        <w:rPr>
          <w:rFonts w:hint="eastAsia" w:ascii="宋体" w:hAnsi="宋体" w:eastAsia="宋体" w:cs="宋体"/>
          <w:bCs/>
          <w:color w:val="auto"/>
          <w:szCs w:val="21"/>
          <w:highlight w:val="none"/>
        </w:rPr>
        <w:t>：</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中小企业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小微企业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监狱企业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福利性单位。</w:t>
      </w:r>
    </w:p>
    <w:p w14:paraId="1F2CF6CB">
      <w:pPr>
        <w:adjustRightInd w:val="0"/>
        <w:snapToGrid w:val="0"/>
        <w:spacing w:line="360" w:lineRule="auto"/>
        <w:ind w:firstLine="630" w:firstLineChars="300"/>
        <w:rPr>
          <w:rFonts w:hint="eastAsia" w:ascii="宋体" w:hAnsi="宋体" w:eastAsia="宋体" w:cs="宋体"/>
          <w:color w:val="auto"/>
          <w:highlight w:val="none"/>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强制</w:t>
      </w:r>
      <w:r>
        <w:rPr>
          <w:rFonts w:hint="eastAsia" w:ascii="宋体" w:hAnsi="宋体" w:eastAsia="宋体" w:cs="宋体"/>
          <w:bCs/>
          <w:color w:val="auto"/>
          <w:szCs w:val="21"/>
          <w:highlight w:val="none"/>
        </w:rPr>
        <w:t>分包：大型企业应将采购份额的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%分包给中小企业。</w:t>
      </w:r>
    </w:p>
    <w:p w14:paraId="680506BD">
      <w:pPr>
        <w:snapToGrid w:val="0"/>
        <w:spacing w:line="360" w:lineRule="auto"/>
        <w:ind w:firstLine="420"/>
        <w:rPr>
          <w:rFonts w:hint="eastAsia" w:ascii="宋体" w:hAnsi="宋体" w:eastAsia="宋体" w:cs="宋体"/>
          <w:iCs/>
          <w:color w:val="auto"/>
          <w:szCs w:val="21"/>
          <w:highlight w:val="none"/>
          <w:lang w:val="en-US" w:eastAsia="zh-CN"/>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、供应商特定资格条件：</w:t>
      </w:r>
      <w:bookmarkStart w:id="11" w:name="OLE_LINK1"/>
      <w:r>
        <w:rPr>
          <w:rFonts w:hint="eastAsia" w:ascii="宋体" w:hAnsi="宋体" w:eastAsia="宋体" w:cs="宋体"/>
          <w:iCs/>
          <w:color w:val="auto"/>
          <w:szCs w:val="21"/>
          <w:highlight w:val="none"/>
        </w:rPr>
        <w:t>（1）投标人须满足以下资质条件之一，且安全生产许可证在有效期内：①具备交通运输主管部门颁发的有效期内路基路面养护乙级及以上资质和交通安全设施养护资质；②具备建设行政主管部门颁发的有效期内公路工程施工总承包叁级及以上资质。（2）拟任项目经理具有公路工程专业贰级及以上注册建造师，具有交通运输主管部门核发的B类安全生产考核合格证书。</w:t>
      </w:r>
    </w:p>
    <w:bookmarkEnd w:id="11"/>
    <w:p w14:paraId="3848C1D9">
      <w:pPr>
        <w:pStyle w:val="27"/>
        <w:spacing w:line="360" w:lineRule="auto"/>
        <w:rPr>
          <w:rFonts w:hint="eastAsia" w:ascii="宋体" w:hAnsi="宋体" w:eastAsia="宋体" w:cs="宋体"/>
          <w:color w:val="auto"/>
          <w:szCs w:val="22"/>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、单位负责人为同一人或者存在直接控</w:t>
      </w:r>
      <w:r>
        <w:rPr>
          <w:rFonts w:hint="eastAsia" w:ascii="宋体" w:hAnsi="宋体" w:eastAsia="宋体" w:cs="宋体"/>
          <w:color w:val="auto"/>
          <w:szCs w:val="22"/>
          <w:highlight w:val="none"/>
        </w:rPr>
        <w:t>股、管理关系的不同供应商，不得参加同一合同项下的政府采购活动。</w:t>
      </w:r>
    </w:p>
    <w:p w14:paraId="5233290A">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5</w:t>
      </w:r>
      <w:r>
        <w:rPr>
          <w:rFonts w:hint="eastAsia" w:ascii="宋体" w:hAnsi="宋体" w:eastAsia="宋体" w:cs="宋体"/>
          <w:color w:val="auto"/>
          <w:szCs w:val="22"/>
          <w:highlight w:val="none"/>
        </w:rPr>
        <w:t>、为本采购项目提供整体设计、规范编制或者项目管理、监理、检测等服务的，不得再参加此项目的其他招标采购活动。</w:t>
      </w:r>
    </w:p>
    <w:p w14:paraId="43C755E2">
      <w:pPr>
        <w:pStyle w:val="27"/>
        <w:spacing w:line="360" w:lineRule="auto"/>
        <w:rPr>
          <w:rFonts w:hint="eastAsia" w:ascii="宋体" w:hAnsi="宋体" w:eastAsia="宋体" w:cs="宋体"/>
          <w:color w:val="auto"/>
          <w:highlight w:val="none"/>
          <w:lang w:val="en-US" w:eastAsia="zh-CN"/>
        </w:rPr>
      </w:pPr>
      <w:bookmarkStart w:id="12" w:name="_Toc4305"/>
      <w:r>
        <w:rPr>
          <w:rFonts w:hint="eastAsia" w:ascii="宋体" w:hAnsi="宋体" w:eastAsia="宋体" w:cs="宋体"/>
          <w:color w:val="auto"/>
          <w:highlight w:val="none"/>
          <w:lang w:val="en-US" w:eastAsia="zh-CN"/>
        </w:rPr>
        <w:t>6、列入失信被执行人、重大税收违法案件当事人名单，列入政府采购严重违法失信行为记录名单的，拒绝其参与政府采购活动。</w:t>
      </w:r>
      <w:bookmarkEnd w:id="12"/>
    </w:p>
    <w:p w14:paraId="761DDD23">
      <w:pPr>
        <w:pStyle w:val="27"/>
        <w:spacing w:line="360" w:lineRule="auto"/>
        <w:rPr>
          <w:rFonts w:hint="eastAsia" w:ascii="宋体" w:hAnsi="宋体" w:eastAsia="宋体" w:cs="宋体"/>
          <w:color w:val="auto"/>
          <w:highlight w:val="none"/>
          <w:lang w:val="en-US" w:eastAsia="zh-CN"/>
        </w:rPr>
      </w:pPr>
      <w:bookmarkStart w:id="13" w:name="_Toc9352"/>
      <w:r>
        <w:rPr>
          <w:rFonts w:hint="eastAsia" w:ascii="宋体" w:hAnsi="宋体" w:eastAsia="宋体" w:cs="宋体"/>
          <w:color w:val="auto"/>
          <w:highlight w:val="none"/>
          <w:lang w:val="en-US" w:eastAsia="zh-CN"/>
        </w:rPr>
        <w:t>7、本次招标不接受联合体投标。</w:t>
      </w:r>
      <w:bookmarkEnd w:id="13"/>
    </w:p>
    <w:p w14:paraId="7110136B">
      <w:pPr>
        <w:pStyle w:val="2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注：根据湖南省财政厅关于政府采购促</w:t>
      </w:r>
      <w:r>
        <w:rPr>
          <w:rFonts w:hint="eastAsia" w:ascii="宋体" w:hAnsi="宋体" w:eastAsia="宋体" w:cs="宋体"/>
          <w:color w:val="auto"/>
          <w:szCs w:val="21"/>
          <w:highlight w:val="none"/>
        </w:rPr>
        <w:t>进中小企业发展有关措施的通知，符合法定条件的供应商凭《湖南省政府采购供应商资格承诺函》（格式见投标文件格式）参与政府采购活动，也可通过在金融机构办理电子增信取得对应信用星级参与政府采购活动和电子卖场交易，无需提供财务状况、缴纳税收和社会保障资金等资格证明材料。</w:t>
      </w:r>
    </w:p>
    <w:p w14:paraId="7A268893">
      <w:pPr>
        <w:adjustRightInd w:val="0"/>
        <w:snapToGrid w:val="0"/>
        <w:spacing w:line="360" w:lineRule="auto"/>
        <w:ind w:firstLine="422" w:firstLineChars="200"/>
        <w:outlineLvl w:val="0"/>
        <w:rPr>
          <w:rFonts w:hint="eastAsia" w:ascii="宋体" w:hAnsi="宋体" w:eastAsia="宋体" w:cs="宋体"/>
          <w:b/>
          <w:color w:val="auto"/>
          <w:szCs w:val="21"/>
          <w:highlight w:val="none"/>
          <w:lang w:val="en-US" w:eastAsia="zh-CN"/>
        </w:rPr>
      </w:pPr>
      <w:bookmarkStart w:id="14" w:name="_Toc29930"/>
      <w:r>
        <w:rPr>
          <w:rFonts w:hint="eastAsia" w:ascii="宋体" w:hAnsi="宋体" w:eastAsia="宋体" w:cs="宋体"/>
          <w:b/>
          <w:color w:val="auto"/>
          <w:szCs w:val="21"/>
          <w:highlight w:val="none"/>
          <w:lang w:val="en-US" w:eastAsia="zh-CN"/>
        </w:rPr>
        <w:t>五</w:t>
      </w:r>
      <w:r>
        <w:rPr>
          <w:rFonts w:hint="eastAsia" w:ascii="宋体" w:hAnsi="宋体" w:eastAsia="宋体" w:cs="宋体"/>
          <w:b/>
          <w:color w:val="auto"/>
          <w:szCs w:val="21"/>
          <w:highlight w:val="none"/>
        </w:rPr>
        <w:t>、获取磋商文件的</w:t>
      </w:r>
      <w:bookmarkEnd w:id="14"/>
      <w:r>
        <w:rPr>
          <w:rFonts w:hint="eastAsia" w:ascii="宋体" w:hAnsi="宋体" w:eastAsia="宋体" w:cs="宋体"/>
          <w:b/>
          <w:color w:val="auto"/>
          <w:szCs w:val="21"/>
          <w:highlight w:val="none"/>
          <w:lang w:val="en-US" w:eastAsia="zh-CN"/>
        </w:rPr>
        <w:t>获取</w:t>
      </w:r>
    </w:p>
    <w:p w14:paraId="040551DA">
      <w:pPr>
        <w:snapToGrid w:val="0"/>
        <w:spacing w:line="360" w:lineRule="auto"/>
        <w:ind w:firstLine="420"/>
        <w:rPr>
          <w:rFonts w:ascii="宋体"/>
          <w:color w:val="auto"/>
          <w:szCs w:val="22"/>
          <w:highlight w:val="none"/>
        </w:rPr>
      </w:pPr>
      <w:bookmarkStart w:id="15" w:name="_Toc27038"/>
      <w:r>
        <w:rPr>
          <w:rFonts w:hint="eastAsia" w:ascii="宋体"/>
          <w:color w:val="auto"/>
          <w:szCs w:val="22"/>
          <w:highlight w:val="none"/>
        </w:rPr>
        <w:t>获取磋商文件的时间：从</w:t>
      </w:r>
      <w:r>
        <w:rPr>
          <w:rFonts w:hint="eastAsia" w:ascii="宋体"/>
          <w:color w:val="auto"/>
          <w:szCs w:val="22"/>
          <w:highlight w:val="none"/>
          <w:u w:val="single"/>
        </w:rPr>
        <w:t>202</w:t>
      </w:r>
      <w:r>
        <w:rPr>
          <w:rFonts w:hint="eastAsia" w:ascii="宋体"/>
          <w:color w:val="auto"/>
          <w:szCs w:val="22"/>
          <w:highlight w:val="none"/>
          <w:u w:val="single"/>
          <w:lang w:val="en-US" w:eastAsia="zh-CN"/>
        </w:rPr>
        <w:t>6</w:t>
      </w:r>
      <w:r>
        <w:rPr>
          <w:rFonts w:hint="eastAsia" w:ascii="宋体"/>
          <w:color w:val="auto"/>
          <w:szCs w:val="22"/>
          <w:highlight w:val="none"/>
        </w:rPr>
        <w:t>年</w:t>
      </w:r>
      <w:r>
        <w:rPr>
          <w:rFonts w:hint="eastAsia" w:ascii="宋体"/>
          <w:color w:val="auto"/>
          <w:szCs w:val="22"/>
          <w:highlight w:val="none"/>
          <w:u w:val="single"/>
          <w:lang w:val="en-US" w:eastAsia="zh-CN"/>
        </w:rPr>
        <w:t xml:space="preserve"> 10  </w:t>
      </w:r>
      <w:r>
        <w:rPr>
          <w:rFonts w:hint="eastAsia" w:ascii="宋体"/>
          <w:color w:val="auto"/>
          <w:szCs w:val="22"/>
          <w:highlight w:val="none"/>
        </w:rPr>
        <w:t>月</w:t>
      </w:r>
      <w:r>
        <w:rPr>
          <w:rFonts w:hint="eastAsia" w:ascii="宋体"/>
          <w:color w:val="auto"/>
          <w:szCs w:val="22"/>
          <w:highlight w:val="none"/>
          <w:u w:val="single"/>
          <w:lang w:val="en-US" w:eastAsia="zh-CN"/>
        </w:rPr>
        <w:t xml:space="preserve"> 15 </w:t>
      </w:r>
      <w:r>
        <w:rPr>
          <w:rFonts w:hint="eastAsia" w:ascii="宋体"/>
          <w:color w:val="auto"/>
          <w:szCs w:val="22"/>
          <w:highlight w:val="none"/>
        </w:rPr>
        <w:t>日起至</w:t>
      </w:r>
      <w:r>
        <w:rPr>
          <w:rFonts w:hint="eastAsia" w:ascii="宋体"/>
          <w:color w:val="auto"/>
          <w:szCs w:val="22"/>
          <w:highlight w:val="none"/>
          <w:u w:val="single"/>
        </w:rPr>
        <w:t>202</w:t>
      </w:r>
      <w:r>
        <w:rPr>
          <w:rFonts w:hint="eastAsia" w:ascii="宋体"/>
          <w:color w:val="auto"/>
          <w:szCs w:val="22"/>
          <w:highlight w:val="none"/>
          <w:u w:val="single"/>
          <w:lang w:val="en-US" w:eastAsia="zh-CN"/>
        </w:rPr>
        <w:t>6</w:t>
      </w:r>
      <w:r>
        <w:rPr>
          <w:rFonts w:hint="eastAsia" w:ascii="宋体"/>
          <w:color w:val="auto"/>
          <w:szCs w:val="22"/>
          <w:highlight w:val="none"/>
        </w:rPr>
        <w:t>年</w:t>
      </w:r>
      <w:r>
        <w:rPr>
          <w:rFonts w:hint="eastAsia" w:ascii="宋体"/>
          <w:color w:val="auto"/>
          <w:szCs w:val="22"/>
          <w:highlight w:val="none"/>
          <w:u w:val="single"/>
          <w:lang w:val="en-US" w:eastAsia="zh-CN"/>
        </w:rPr>
        <w:t xml:space="preserve"> 10 </w:t>
      </w:r>
      <w:r>
        <w:rPr>
          <w:rFonts w:hint="eastAsia" w:ascii="宋体"/>
          <w:color w:val="auto"/>
          <w:szCs w:val="22"/>
          <w:highlight w:val="none"/>
        </w:rPr>
        <w:t>月</w:t>
      </w:r>
      <w:r>
        <w:rPr>
          <w:rFonts w:hint="eastAsia" w:ascii="宋体"/>
          <w:color w:val="auto"/>
          <w:szCs w:val="22"/>
          <w:highlight w:val="none"/>
          <w:u w:val="single"/>
          <w:lang w:val="en-US" w:eastAsia="zh-CN"/>
        </w:rPr>
        <w:t xml:space="preserve"> 21 </w:t>
      </w:r>
      <w:r>
        <w:rPr>
          <w:rFonts w:hint="eastAsia" w:ascii="宋体"/>
          <w:color w:val="auto"/>
          <w:szCs w:val="22"/>
          <w:highlight w:val="none"/>
        </w:rPr>
        <w:t>日止，每天上午9:00至12:00，下午14:00至17:00(北京时间)，双休日及节假日除外。</w:t>
      </w:r>
    </w:p>
    <w:p w14:paraId="5B610A08">
      <w:pPr>
        <w:snapToGrid w:val="0"/>
        <w:spacing w:line="360" w:lineRule="auto"/>
        <w:ind w:firstLine="420"/>
        <w:rPr>
          <w:rFonts w:ascii="宋体"/>
          <w:color w:val="auto"/>
          <w:szCs w:val="22"/>
          <w:highlight w:val="none"/>
        </w:rPr>
      </w:pPr>
      <w:r>
        <w:rPr>
          <w:rFonts w:hint="eastAsia" w:ascii="宋体"/>
          <w:color w:val="auto"/>
          <w:szCs w:val="22"/>
          <w:highlight w:val="none"/>
        </w:rPr>
        <w:t>获取磋商文件的地点：</w:t>
      </w:r>
      <w:r>
        <w:rPr>
          <w:rFonts w:hint="eastAsia" w:ascii="宋体"/>
          <w:color w:val="auto"/>
          <w:szCs w:val="22"/>
          <w:highlight w:val="none"/>
          <w:u w:val="single"/>
          <w:lang w:eastAsia="zh-CN"/>
        </w:rPr>
        <w:t>湖南同创工程项目管理有限公司</w:t>
      </w:r>
      <w:r>
        <w:rPr>
          <w:rFonts w:hint="eastAsia" w:ascii="宋体"/>
          <w:color w:val="auto"/>
          <w:szCs w:val="22"/>
          <w:highlight w:val="none"/>
          <w:u w:val="single"/>
        </w:rPr>
        <w:t>（</w:t>
      </w:r>
      <w:r>
        <w:rPr>
          <w:rFonts w:hint="eastAsia" w:ascii="宋体"/>
          <w:color w:val="auto"/>
          <w:szCs w:val="22"/>
          <w:highlight w:val="none"/>
          <w:u w:val="single"/>
          <w:lang w:eastAsia="zh-CN"/>
        </w:rPr>
        <w:t>岳阳市岳阳楼区五里牌第一世家110</w:t>
      </w:r>
      <w:r>
        <w:rPr>
          <w:rFonts w:hint="eastAsia" w:ascii="宋体"/>
          <w:color w:val="auto"/>
          <w:szCs w:val="22"/>
          <w:highlight w:val="none"/>
          <w:u w:val="single"/>
          <w:lang w:val="en-US" w:eastAsia="zh-CN"/>
        </w:rPr>
        <w:t>2</w:t>
      </w:r>
      <w:r>
        <w:rPr>
          <w:rFonts w:hint="eastAsia" w:ascii="宋体"/>
          <w:color w:val="auto"/>
          <w:szCs w:val="22"/>
          <w:highlight w:val="none"/>
          <w:u w:val="single"/>
          <w:lang w:eastAsia="zh-CN"/>
        </w:rPr>
        <w:t>室</w:t>
      </w:r>
      <w:r>
        <w:rPr>
          <w:rFonts w:hint="eastAsia" w:ascii="宋体"/>
          <w:color w:val="auto"/>
          <w:szCs w:val="22"/>
          <w:highlight w:val="none"/>
          <w:u w:val="single"/>
        </w:rPr>
        <w:t>）</w:t>
      </w:r>
      <w:r>
        <w:rPr>
          <w:rFonts w:hint="eastAsia" w:ascii="宋体"/>
          <w:color w:val="auto"/>
          <w:szCs w:val="22"/>
          <w:highlight w:val="none"/>
        </w:rPr>
        <w:t>。</w:t>
      </w:r>
    </w:p>
    <w:p w14:paraId="0F235536">
      <w:pPr>
        <w:snapToGrid w:val="0"/>
        <w:spacing w:line="360" w:lineRule="auto"/>
        <w:ind w:firstLine="420"/>
        <w:rPr>
          <w:rFonts w:ascii="宋体"/>
          <w:color w:val="auto"/>
          <w:szCs w:val="22"/>
          <w:highlight w:val="none"/>
        </w:rPr>
      </w:pPr>
      <w:r>
        <w:rPr>
          <w:rFonts w:hint="eastAsia" w:ascii="宋体"/>
          <w:color w:val="auto"/>
          <w:szCs w:val="22"/>
          <w:highlight w:val="none"/>
        </w:rPr>
        <w:t>磋商文件售价：</w:t>
      </w:r>
      <w:r>
        <w:rPr>
          <w:rFonts w:ascii="宋体"/>
          <w:color w:val="auto"/>
          <w:szCs w:val="22"/>
          <w:highlight w:val="none"/>
          <w:u w:val="single"/>
        </w:rPr>
        <w:t>0</w:t>
      </w:r>
      <w:r>
        <w:rPr>
          <w:rFonts w:hint="eastAsia" w:ascii="宋体"/>
          <w:color w:val="auto"/>
          <w:szCs w:val="22"/>
          <w:highlight w:val="none"/>
        </w:rPr>
        <w:t>元/份，获取磋商文件的材料要求：法定代表人身份证明（委托代理人购买磋商文件：授权委托书附法定代表人身份证明及授权委托人身份证明复印件)、本人身份证原件。</w:t>
      </w:r>
    </w:p>
    <w:p w14:paraId="6D07AA03">
      <w:pPr>
        <w:snapToGrid w:val="0"/>
        <w:spacing w:line="360" w:lineRule="auto"/>
        <w:ind w:firstLine="420"/>
        <w:rPr>
          <w:rFonts w:ascii="宋体"/>
          <w:color w:val="auto"/>
          <w:szCs w:val="22"/>
          <w:highlight w:val="none"/>
        </w:rPr>
      </w:pPr>
      <w:r>
        <w:rPr>
          <w:rFonts w:hint="eastAsia" w:ascii="宋体"/>
          <w:color w:val="auto"/>
          <w:szCs w:val="22"/>
          <w:highlight w:val="none"/>
        </w:rPr>
        <w:t>获取磋商文件的方式：指定地点购买。</w:t>
      </w:r>
    </w:p>
    <w:p w14:paraId="54634EE9">
      <w:pPr>
        <w:adjustRightInd w:val="0"/>
        <w:snapToGrid w:val="0"/>
        <w:spacing w:line="360" w:lineRule="auto"/>
        <w:ind w:firstLine="422" w:firstLineChars="200"/>
        <w:outlineLvl w:val="0"/>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六</w:t>
      </w:r>
      <w:r>
        <w:rPr>
          <w:rFonts w:hint="eastAsia" w:ascii="宋体" w:hAnsi="宋体" w:eastAsia="宋体" w:cs="宋体"/>
          <w:b/>
          <w:color w:val="auto"/>
          <w:szCs w:val="21"/>
          <w:highlight w:val="none"/>
        </w:rPr>
        <w:t>、响应文件提交的截止时间、开启时间及地点</w:t>
      </w:r>
      <w:bookmarkEnd w:id="15"/>
    </w:p>
    <w:p w14:paraId="03181080">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首次响应文件的提交截止时间：</w:t>
      </w:r>
      <w:r>
        <w:rPr>
          <w:rFonts w:hint="eastAsia" w:ascii="宋体" w:hAnsi="宋体" w:eastAsia="宋体" w:cs="宋体"/>
          <w:color w:val="auto"/>
          <w:szCs w:val="22"/>
          <w:highlight w:val="none"/>
          <w:u w:val="single"/>
        </w:rPr>
        <w:t>202</w:t>
      </w:r>
      <w:r>
        <w:rPr>
          <w:rFonts w:hint="eastAsia" w:ascii="宋体" w:hAnsi="宋体" w:eastAsia="宋体" w:cs="宋体"/>
          <w:color w:val="auto"/>
          <w:szCs w:val="22"/>
          <w:highlight w:val="none"/>
          <w:u w:val="single"/>
          <w:lang w:val="en-US" w:eastAsia="zh-CN"/>
        </w:rPr>
        <w:t>6</w:t>
      </w:r>
      <w:r>
        <w:rPr>
          <w:rFonts w:hint="eastAsia" w:ascii="宋体" w:hAnsi="宋体" w:eastAsia="宋体" w:cs="宋体"/>
          <w:color w:val="auto"/>
          <w:szCs w:val="22"/>
          <w:highlight w:val="none"/>
        </w:rPr>
        <w:t>年</w:t>
      </w:r>
      <w:r>
        <w:rPr>
          <w:rFonts w:hint="eastAsia" w:ascii="宋体" w:hAnsi="宋体" w:cs="宋体"/>
          <w:color w:val="auto"/>
          <w:szCs w:val="22"/>
          <w:highlight w:val="none"/>
          <w:u w:val="single"/>
          <w:lang w:val="en-US" w:eastAsia="zh-CN"/>
        </w:rPr>
        <w:t xml:space="preserve"> 10</w:t>
      </w:r>
      <w:r>
        <w:rPr>
          <w:rFonts w:hint="eastAsia" w:ascii="宋体" w:hAnsi="宋体" w:eastAsia="宋体" w:cs="宋体"/>
          <w:color w:val="auto"/>
          <w:szCs w:val="22"/>
          <w:highlight w:val="none"/>
        </w:rPr>
        <w:t>月</w:t>
      </w:r>
      <w:r>
        <w:rPr>
          <w:rFonts w:hint="eastAsia" w:ascii="宋体" w:hAnsi="宋体" w:cs="宋体"/>
          <w:color w:val="auto"/>
          <w:szCs w:val="22"/>
          <w:highlight w:val="none"/>
          <w:u w:val="single"/>
          <w:lang w:val="en-US" w:eastAsia="zh-CN"/>
        </w:rPr>
        <w:t xml:space="preserve">26 </w:t>
      </w:r>
      <w:r>
        <w:rPr>
          <w:rFonts w:hint="eastAsia" w:ascii="宋体" w:hAnsi="宋体" w:eastAsia="宋体" w:cs="宋体"/>
          <w:color w:val="auto"/>
          <w:szCs w:val="22"/>
          <w:highlight w:val="none"/>
        </w:rPr>
        <w:t>日</w:t>
      </w:r>
      <w:r>
        <w:rPr>
          <w:rFonts w:hint="eastAsia" w:ascii="宋体" w:hAnsi="宋体" w:cs="宋体"/>
          <w:color w:val="auto"/>
          <w:szCs w:val="22"/>
          <w:highlight w:val="none"/>
          <w:u w:val="single"/>
          <w:lang w:val="en-US" w:eastAsia="zh-CN"/>
        </w:rPr>
        <w:t>9</w:t>
      </w:r>
      <w:r>
        <w:rPr>
          <w:rFonts w:hint="eastAsia" w:ascii="宋体" w:hAnsi="宋体" w:eastAsia="宋体" w:cs="宋体"/>
          <w:color w:val="auto"/>
          <w:szCs w:val="22"/>
          <w:highlight w:val="none"/>
        </w:rPr>
        <w:t>时</w:t>
      </w:r>
      <w:r>
        <w:rPr>
          <w:rFonts w:hint="eastAsia" w:ascii="宋体" w:hAnsi="宋体" w:cs="宋体"/>
          <w:color w:val="auto"/>
          <w:szCs w:val="22"/>
          <w:highlight w:val="none"/>
          <w:u w:val="single"/>
          <w:lang w:val="en-US" w:eastAsia="zh-CN"/>
        </w:rPr>
        <w:t xml:space="preserve">30 </w:t>
      </w:r>
      <w:r>
        <w:rPr>
          <w:rFonts w:hint="eastAsia" w:ascii="宋体" w:hAnsi="宋体" w:eastAsia="宋体" w:cs="宋体"/>
          <w:color w:val="auto"/>
          <w:szCs w:val="22"/>
          <w:highlight w:val="none"/>
        </w:rPr>
        <w:t>分（北京时间）</w:t>
      </w:r>
    </w:p>
    <w:p w14:paraId="3C71E5D3">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首次响应文件的开启时间：</w:t>
      </w:r>
      <w:r>
        <w:rPr>
          <w:rFonts w:hint="eastAsia" w:ascii="宋体" w:hAnsi="宋体" w:eastAsia="宋体" w:cs="宋体"/>
          <w:color w:val="auto"/>
          <w:szCs w:val="22"/>
          <w:highlight w:val="none"/>
          <w:u w:val="single"/>
        </w:rPr>
        <w:t>202</w:t>
      </w:r>
      <w:r>
        <w:rPr>
          <w:rFonts w:hint="eastAsia" w:ascii="宋体" w:hAnsi="宋体" w:eastAsia="宋体" w:cs="宋体"/>
          <w:color w:val="auto"/>
          <w:szCs w:val="22"/>
          <w:highlight w:val="none"/>
          <w:u w:val="single"/>
          <w:lang w:val="en-US" w:eastAsia="zh-CN"/>
        </w:rPr>
        <w:t>6</w:t>
      </w:r>
      <w:r>
        <w:rPr>
          <w:rFonts w:hint="eastAsia" w:ascii="宋体" w:hAnsi="宋体" w:eastAsia="宋体" w:cs="宋体"/>
          <w:color w:val="auto"/>
          <w:szCs w:val="22"/>
          <w:highlight w:val="none"/>
        </w:rPr>
        <w:t>年</w:t>
      </w:r>
      <w:r>
        <w:rPr>
          <w:rFonts w:hint="eastAsia" w:ascii="宋体" w:hAnsi="宋体" w:cs="宋体"/>
          <w:color w:val="auto"/>
          <w:szCs w:val="22"/>
          <w:highlight w:val="none"/>
          <w:u w:val="single"/>
          <w:lang w:val="en-US" w:eastAsia="zh-CN"/>
        </w:rPr>
        <w:t xml:space="preserve"> 10</w:t>
      </w:r>
      <w:r>
        <w:rPr>
          <w:rFonts w:hint="eastAsia" w:ascii="宋体" w:hAnsi="宋体" w:eastAsia="宋体" w:cs="宋体"/>
          <w:color w:val="auto"/>
          <w:szCs w:val="22"/>
          <w:highlight w:val="none"/>
        </w:rPr>
        <w:t>月</w:t>
      </w:r>
      <w:r>
        <w:rPr>
          <w:rFonts w:hint="eastAsia" w:ascii="宋体" w:hAnsi="宋体" w:cs="宋体"/>
          <w:color w:val="auto"/>
          <w:szCs w:val="22"/>
          <w:highlight w:val="none"/>
          <w:u w:val="single"/>
          <w:lang w:val="en-US" w:eastAsia="zh-CN"/>
        </w:rPr>
        <w:t xml:space="preserve">26 </w:t>
      </w:r>
      <w:r>
        <w:rPr>
          <w:rFonts w:hint="eastAsia" w:ascii="宋体" w:hAnsi="宋体" w:eastAsia="宋体" w:cs="宋体"/>
          <w:color w:val="auto"/>
          <w:szCs w:val="22"/>
          <w:highlight w:val="none"/>
        </w:rPr>
        <w:t>日</w:t>
      </w:r>
      <w:r>
        <w:rPr>
          <w:rFonts w:hint="eastAsia" w:ascii="宋体" w:hAnsi="宋体" w:cs="宋体"/>
          <w:color w:val="auto"/>
          <w:szCs w:val="22"/>
          <w:highlight w:val="none"/>
          <w:u w:val="single"/>
          <w:lang w:val="en-US" w:eastAsia="zh-CN"/>
        </w:rPr>
        <w:t>9</w:t>
      </w:r>
      <w:r>
        <w:rPr>
          <w:rFonts w:hint="eastAsia" w:ascii="宋体" w:hAnsi="宋体" w:eastAsia="宋体" w:cs="宋体"/>
          <w:color w:val="auto"/>
          <w:szCs w:val="22"/>
          <w:highlight w:val="none"/>
        </w:rPr>
        <w:t>时</w:t>
      </w:r>
      <w:r>
        <w:rPr>
          <w:rFonts w:hint="eastAsia" w:ascii="宋体" w:hAnsi="宋体" w:cs="宋体"/>
          <w:color w:val="auto"/>
          <w:szCs w:val="22"/>
          <w:highlight w:val="none"/>
          <w:u w:val="single"/>
          <w:lang w:val="en-US" w:eastAsia="zh-CN"/>
        </w:rPr>
        <w:t xml:space="preserve">30 </w:t>
      </w:r>
      <w:r>
        <w:rPr>
          <w:rFonts w:hint="eastAsia" w:ascii="宋体" w:hAnsi="宋体" w:eastAsia="宋体" w:cs="宋体"/>
          <w:color w:val="auto"/>
          <w:szCs w:val="22"/>
          <w:highlight w:val="none"/>
        </w:rPr>
        <w:t>分北京时间）</w:t>
      </w:r>
    </w:p>
    <w:p w14:paraId="6603B4AC">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首次响应文件的开启地点：</w:t>
      </w:r>
      <w:r>
        <w:rPr>
          <w:rFonts w:hint="eastAsia" w:ascii="宋体" w:hAnsi="宋体" w:cs="宋体"/>
          <w:color w:val="auto"/>
          <w:highlight w:val="none"/>
          <w:u w:val="single"/>
          <w:lang w:eastAsia="zh-CN"/>
        </w:rPr>
        <w:t>湖南同创工程项目管理有限公司</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eastAsia="zh-CN"/>
        </w:rPr>
        <w:t>华容县九州汽车修理厂旁9楼901室</w:t>
      </w:r>
      <w:r>
        <w:rPr>
          <w:rFonts w:hint="eastAsia" w:ascii="宋体" w:hAnsi="宋体" w:eastAsia="宋体" w:cs="宋体"/>
          <w:color w:val="auto"/>
          <w:highlight w:val="none"/>
          <w:u w:val="single"/>
        </w:rPr>
        <w:t>）。</w:t>
      </w:r>
    </w:p>
    <w:p w14:paraId="5D3CBA47">
      <w:pPr>
        <w:adjustRightInd w:val="0"/>
        <w:snapToGrid w:val="0"/>
        <w:spacing w:line="360" w:lineRule="auto"/>
        <w:ind w:firstLine="422" w:firstLineChars="200"/>
        <w:outlineLvl w:val="0"/>
        <w:rPr>
          <w:rFonts w:hint="eastAsia" w:ascii="宋体" w:hAnsi="宋体" w:eastAsia="宋体" w:cs="宋体"/>
          <w:b/>
          <w:color w:val="auto"/>
          <w:szCs w:val="21"/>
          <w:highlight w:val="none"/>
        </w:rPr>
      </w:pPr>
      <w:bookmarkStart w:id="16" w:name="_Toc164"/>
      <w:r>
        <w:rPr>
          <w:rFonts w:hint="eastAsia" w:ascii="宋体" w:hAnsi="宋体" w:eastAsia="宋体" w:cs="宋体"/>
          <w:b/>
          <w:color w:val="auto"/>
          <w:szCs w:val="21"/>
          <w:highlight w:val="none"/>
          <w:lang w:val="en-US" w:eastAsia="zh-CN"/>
        </w:rPr>
        <w:t>七</w:t>
      </w:r>
      <w:r>
        <w:rPr>
          <w:rFonts w:hint="eastAsia" w:ascii="宋体" w:hAnsi="宋体" w:eastAsia="宋体" w:cs="宋体"/>
          <w:b/>
          <w:color w:val="auto"/>
          <w:szCs w:val="21"/>
          <w:highlight w:val="none"/>
        </w:rPr>
        <w:t>、公告期限</w:t>
      </w:r>
      <w:bookmarkEnd w:id="16"/>
    </w:p>
    <w:p w14:paraId="1EF9C56F">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7" w:name="_Toc10267"/>
      <w:r>
        <w:rPr>
          <w:rFonts w:hint="eastAsia" w:ascii="宋体" w:hAnsi="宋体" w:eastAsia="宋体" w:cs="宋体"/>
          <w:color w:val="auto"/>
          <w:szCs w:val="21"/>
          <w:highlight w:val="none"/>
        </w:rPr>
        <w:t>1、本招标公告在中国湖南政府采购网（http://www.ccgp-hunan.gov.cn/）发布。公告期限从本招标公告发布之日起5个工作日。</w:t>
      </w:r>
      <w:bookmarkEnd w:id="17"/>
    </w:p>
    <w:p w14:paraId="45C0D126">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8" w:name="_Toc18507"/>
      <w:r>
        <w:rPr>
          <w:rFonts w:hint="eastAsia" w:ascii="宋体" w:hAnsi="宋体" w:eastAsia="宋体" w:cs="宋体"/>
          <w:color w:val="auto"/>
          <w:szCs w:val="21"/>
          <w:highlight w:val="none"/>
        </w:rPr>
        <w:t>2、在其他媒体发布的招标公告，公告内容以本招标公告指定媒体发布的公告为准；公告期限自本招标公告指定媒体最先发布公告之日起算。</w:t>
      </w:r>
      <w:bookmarkEnd w:id="18"/>
    </w:p>
    <w:p w14:paraId="39AB9F0C">
      <w:pPr>
        <w:adjustRightInd w:val="0"/>
        <w:snapToGrid w:val="0"/>
        <w:spacing w:line="360" w:lineRule="auto"/>
        <w:ind w:firstLine="422" w:firstLineChars="200"/>
        <w:outlineLvl w:val="0"/>
        <w:rPr>
          <w:rFonts w:hint="eastAsia" w:ascii="宋体" w:hAnsi="宋体" w:eastAsia="宋体" w:cs="宋体"/>
          <w:b/>
          <w:color w:val="auto"/>
          <w:szCs w:val="21"/>
          <w:highlight w:val="none"/>
        </w:rPr>
      </w:pPr>
      <w:bookmarkStart w:id="19" w:name="_Toc20337"/>
      <w:r>
        <w:rPr>
          <w:rFonts w:hint="eastAsia" w:ascii="宋体" w:hAnsi="宋体" w:eastAsia="宋体" w:cs="宋体"/>
          <w:b/>
          <w:color w:val="auto"/>
          <w:szCs w:val="21"/>
          <w:highlight w:val="none"/>
          <w:lang w:val="en-US" w:eastAsia="zh-CN"/>
        </w:rPr>
        <w:t>八</w:t>
      </w:r>
      <w:r>
        <w:rPr>
          <w:rFonts w:hint="eastAsia" w:ascii="宋体" w:hAnsi="宋体" w:eastAsia="宋体" w:cs="宋体"/>
          <w:b/>
          <w:color w:val="auto"/>
          <w:szCs w:val="21"/>
          <w:highlight w:val="none"/>
        </w:rPr>
        <w:t>、疑问及质疑</w:t>
      </w:r>
      <w:bookmarkEnd w:id="19"/>
    </w:p>
    <w:p w14:paraId="399C38F0">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20" w:name="_Toc16531"/>
      <w:r>
        <w:rPr>
          <w:rFonts w:hint="eastAsia" w:ascii="宋体" w:hAnsi="宋体" w:eastAsia="宋体" w:cs="宋体"/>
          <w:color w:val="auto"/>
          <w:szCs w:val="21"/>
          <w:highlight w:val="none"/>
        </w:rPr>
        <w:t>1、潜在供应商对政府采购活动事项如有疑问的，可以向采购人或采购代理机构提出询问，采购人或采购代理机构将在3个工作日内作出答复。</w:t>
      </w:r>
      <w:bookmarkEnd w:id="20"/>
    </w:p>
    <w:p w14:paraId="52ECA3FC">
      <w:pPr>
        <w:adjustRightInd w:val="0"/>
        <w:snapToGrid w:val="0"/>
        <w:spacing w:line="360" w:lineRule="auto"/>
        <w:ind w:firstLine="420" w:firstLineChars="200"/>
        <w:outlineLvl w:val="0"/>
        <w:rPr>
          <w:rFonts w:hint="eastAsia" w:ascii="宋体" w:hAnsi="宋体" w:eastAsia="宋体" w:cs="宋体"/>
          <w:b/>
          <w:bCs/>
          <w:color w:val="auto"/>
          <w:szCs w:val="21"/>
          <w:highlight w:val="none"/>
        </w:rPr>
      </w:pPr>
      <w:bookmarkStart w:id="21" w:name="_Toc24670"/>
      <w:r>
        <w:rPr>
          <w:rFonts w:hint="eastAsia" w:ascii="宋体" w:hAnsi="宋体" w:eastAsia="宋体" w:cs="宋体"/>
          <w:color w:val="auto"/>
          <w:szCs w:val="21"/>
          <w:highlight w:val="none"/>
        </w:rPr>
        <w:t>2、潜在供应商认为竞争性磋商文件或招标公告使自己的合法权益受到损害的，可以在收到竞争性磋商文件之日或招标公告期限届满之日起7个工作日内，以书面形式向采购人、采购代理机构提出质疑。</w:t>
      </w:r>
      <w:r>
        <w:rPr>
          <w:rFonts w:hint="eastAsia" w:ascii="宋体" w:hAnsi="宋体" w:eastAsia="宋体" w:cs="宋体"/>
          <w:b/>
          <w:bCs/>
          <w:color w:val="auto"/>
          <w:szCs w:val="21"/>
          <w:highlight w:val="none"/>
        </w:rPr>
        <w:t>但对同一采购程序环节的质疑须一次性提出。</w:t>
      </w:r>
      <w:bookmarkEnd w:id="21"/>
    </w:p>
    <w:p w14:paraId="4DC577C1">
      <w:pPr>
        <w:adjustRightInd w:val="0"/>
        <w:snapToGrid w:val="0"/>
        <w:spacing w:line="360" w:lineRule="auto"/>
        <w:ind w:firstLine="482" w:firstLineChars="200"/>
        <w:rPr>
          <w:rFonts w:hint="eastAsia" w:ascii="宋体" w:hAnsi="宋体" w:eastAsia="宋体" w:cs="宋体"/>
          <w:b/>
          <w:bCs/>
          <w:color w:val="auto"/>
          <w:sz w:val="24"/>
          <w:szCs w:val="32"/>
          <w:highlight w:val="none"/>
          <w:lang w:eastAsia="zh-CN"/>
        </w:rPr>
      </w:pPr>
      <w:bookmarkStart w:id="22" w:name="_Toc13958"/>
      <w:r>
        <w:rPr>
          <w:rFonts w:hint="eastAsia" w:ascii="宋体" w:hAnsi="宋体" w:eastAsia="宋体" w:cs="宋体"/>
          <w:b/>
          <w:bCs/>
          <w:color w:val="auto"/>
          <w:sz w:val="24"/>
          <w:szCs w:val="32"/>
          <w:highlight w:val="none"/>
          <w:lang w:eastAsia="zh-CN"/>
        </w:rPr>
        <w:t>九、</w:t>
      </w:r>
      <w:r>
        <w:rPr>
          <w:rFonts w:hint="eastAsia" w:ascii="宋体" w:hAnsi="宋体" w:cs="宋体"/>
          <w:b/>
          <w:bCs/>
          <w:color w:val="auto"/>
          <w:sz w:val="24"/>
          <w:szCs w:val="32"/>
          <w:highlight w:val="none"/>
          <w:lang w:val="en-US" w:eastAsia="zh-CN"/>
        </w:rPr>
        <w:t>磋商</w:t>
      </w:r>
      <w:r>
        <w:rPr>
          <w:rFonts w:hint="eastAsia" w:ascii="宋体" w:hAnsi="宋体" w:eastAsia="宋体" w:cs="宋体"/>
          <w:b/>
          <w:bCs/>
          <w:color w:val="auto"/>
          <w:sz w:val="24"/>
          <w:szCs w:val="32"/>
          <w:highlight w:val="none"/>
          <w:lang w:val="en-US" w:eastAsia="zh-CN"/>
        </w:rPr>
        <w:t>说明</w:t>
      </w:r>
      <w:bookmarkEnd w:id="22"/>
    </w:p>
    <w:p w14:paraId="2EFC3AE3">
      <w:pPr>
        <w:adjustRightInd w:val="0"/>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1、磋商邀请选项：</w:t>
      </w:r>
      <w:r>
        <w:rPr>
          <w:rFonts w:hint="eastAsia" w:ascii="宋体" w:hAnsi="宋体" w:eastAsia="宋体" w:cs="宋体"/>
          <w:color w:val="auto"/>
          <w:szCs w:val="21"/>
          <w:highlight w:val="none"/>
          <w:lang w:val="en-US" w:eastAsia="zh-CN"/>
        </w:rPr>
        <w:sym w:font="Wingdings" w:char="00FE"/>
      </w:r>
      <w:r>
        <w:rPr>
          <w:rFonts w:hint="eastAsia" w:ascii="宋体" w:hAnsi="宋体" w:eastAsia="宋体" w:cs="宋体"/>
          <w:color w:val="auto"/>
          <w:szCs w:val="21"/>
          <w:highlight w:val="none"/>
          <w:lang w:val="en-US" w:eastAsia="zh-CN"/>
        </w:rPr>
        <w:t>表示选择，</w:t>
      </w: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表示未选择。</w:t>
      </w:r>
    </w:p>
    <w:p w14:paraId="7ABFD1E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2、供应商</w:t>
      </w:r>
      <w:r>
        <w:rPr>
          <w:rFonts w:hint="eastAsia" w:ascii="宋体" w:hAnsi="宋体" w:eastAsia="宋体" w:cs="宋体"/>
          <w:color w:val="auto"/>
          <w:szCs w:val="21"/>
          <w:highlight w:val="none"/>
        </w:rPr>
        <w:t>参与政府采购活动，无需向采购人、代理机构、交易平台缴纳任何费用。</w:t>
      </w:r>
    </w:p>
    <w:p w14:paraId="34096DEF">
      <w:pPr>
        <w:adjustRightInd w:val="0"/>
        <w:snapToGrid w:val="0"/>
        <w:spacing w:line="360" w:lineRule="auto"/>
        <w:ind w:firstLine="482" w:firstLineChars="200"/>
        <w:rPr>
          <w:rFonts w:hint="eastAsia" w:ascii="宋体" w:hAnsi="宋体" w:eastAsia="宋体" w:cs="宋体"/>
          <w:b/>
          <w:bCs/>
          <w:color w:val="auto"/>
          <w:sz w:val="24"/>
          <w:szCs w:val="32"/>
          <w:highlight w:val="none"/>
          <w:lang w:eastAsia="zh-CN"/>
        </w:rPr>
      </w:pPr>
      <w:bookmarkStart w:id="23" w:name="_Toc25650"/>
      <w:r>
        <w:rPr>
          <w:rFonts w:hint="eastAsia" w:ascii="宋体" w:hAnsi="宋体" w:eastAsia="宋体" w:cs="宋体"/>
          <w:b/>
          <w:bCs/>
          <w:color w:val="auto"/>
          <w:sz w:val="24"/>
          <w:szCs w:val="32"/>
          <w:highlight w:val="none"/>
          <w:lang w:eastAsia="zh-CN"/>
        </w:rPr>
        <w:t>十、采购项目联系人姓名和电话</w:t>
      </w:r>
      <w:bookmarkEnd w:id="23"/>
    </w:p>
    <w:p w14:paraId="171DA56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1、联系人姓名：</w:t>
      </w:r>
      <w:r>
        <w:rPr>
          <w:rFonts w:hint="eastAsia" w:ascii="宋体" w:hAnsi="宋体" w:cs="宋体"/>
          <w:color w:val="auto"/>
          <w:szCs w:val="21"/>
          <w:highlight w:val="none"/>
          <w:u w:val="single"/>
          <w:lang w:eastAsia="zh-CN"/>
        </w:rPr>
        <w:t>刘庆九</w:t>
      </w:r>
      <w:r>
        <w:rPr>
          <w:rFonts w:hint="eastAsia" w:ascii="宋体" w:hAnsi="宋体" w:eastAsia="宋体" w:cs="宋体"/>
          <w:color w:val="auto"/>
          <w:szCs w:val="21"/>
          <w:highlight w:val="none"/>
        </w:rPr>
        <w:t xml:space="preserve">      </w:t>
      </w:r>
    </w:p>
    <w:p w14:paraId="0B06B5A8">
      <w:pPr>
        <w:tabs>
          <w:tab w:val="left" w:pos="360"/>
        </w:tabs>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2、电话：</w:t>
      </w:r>
      <w:r>
        <w:rPr>
          <w:rFonts w:hint="eastAsia" w:ascii="宋体" w:hAnsi="宋体" w:cs="宋体"/>
          <w:color w:val="auto"/>
          <w:szCs w:val="21"/>
          <w:highlight w:val="none"/>
          <w:u w:val="single"/>
          <w:lang w:val="en-US" w:eastAsia="zh-CN"/>
        </w:rPr>
        <w:t>0730-8201199</w:t>
      </w:r>
    </w:p>
    <w:p w14:paraId="748DEE63">
      <w:pPr>
        <w:adjustRightInd w:val="0"/>
        <w:snapToGrid w:val="0"/>
        <w:spacing w:line="360" w:lineRule="auto"/>
        <w:ind w:firstLine="422" w:firstLineChars="200"/>
        <w:outlineLvl w:val="0"/>
        <w:rPr>
          <w:rFonts w:hint="eastAsia" w:ascii="宋体" w:hAnsi="宋体" w:eastAsia="宋体" w:cs="宋体"/>
          <w:b/>
          <w:color w:val="auto"/>
          <w:szCs w:val="21"/>
          <w:highlight w:val="none"/>
        </w:rPr>
      </w:pPr>
      <w:bookmarkStart w:id="24" w:name="_Toc21147"/>
      <w:r>
        <w:rPr>
          <w:rFonts w:hint="eastAsia" w:ascii="宋体" w:hAnsi="宋体" w:eastAsia="宋体" w:cs="宋体"/>
          <w:b/>
          <w:color w:val="auto"/>
          <w:szCs w:val="21"/>
          <w:highlight w:val="none"/>
          <w:lang w:val="en-US" w:eastAsia="zh-CN"/>
        </w:rPr>
        <w:t>十一</w:t>
      </w:r>
      <w:r>
        <w:rPr>
          <w:rFonts w:hint="eastAsia" w:ascii="宋体" w:hAnsi="宋体" w:eastAsia="宋体" w:cs="宋体"/>
          <w:b/>
          <w:color w:val="auto"/>
          <w:szCs w:val="21"/>
          <w:highlight w:val="none"/>
        </w:rPr>
        <w:t>、采购项目联系人姓名和电话</w:t>
      </w:r>
      <w:bookmarkEnd w:id="24"/>
    </w:p>
    <w:p w14:paraId="6AF27773">
      <w:pPr>
        <w:adjustRightInd w:val="0"/>
        <w:snapToGrid w:val="0"/>
        <w:spacing w:line="360" w:lineRule="auto"/>
        <w:ind w:firstLine="413" w:firstLineChars="196"/>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rPr>
        <w:t>采购人：</w:t>
      </w:r>
      <w:bookmarkStart w:id="264" w:name="_GoBack"/>
      <w:r>
        <w:rPr>
          <w:rFonts w:hint="eastAsia" w:ascii="宋体" w:hAnsi="宋体" w:cs="宋体"/>
          <w:b/>
          <w:bCs/>
          <w:color w:val="auto"/>
          <w:szCs w:val="21"/>
          <w:highlight w:val="none"/>
          <w:lang w:eastAsia="zh-CN"/>
        </w:rPr>
        <w:t>华容县梅田湖镇人民政府</w:t>
      </w:r>
      <w:bookmarkEnd w:id="264"/>
    </w:p>
    <w:p w14:paraId="5C3E916B">
      <w:pPr>
        <w:adjustRightInd w:val="0"/>
        <w:snapToGrid w:val="0"/>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联系人：</w:t>
      </w:r>
      <w:r>
        <w:rPr>
          <w:rFonts w:hint="eastAsia" w:ascii="宋体" w:hAnsi="宋体" w:cs="宋体"/>
          <w:bCs/>
          <w:color w:val="auto"/>
          <w:szCs w:val="21"/>
          <w:highlight w:val="none"/>
          <w:lang w:eastAsia="zh-CN"/>
        </w:rPr>
        <w:t>余新友</w:t>
      </w:r>
    </w:p>
    <w:p w14:paraId="5E1BC17F">
      <w:pPr>
        <w:adjustRightInd w:val="0"/>
        <w:snapToGrid w:val="0"/>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电  话：</w:t>
      </w:r>
      <w:r>
        <w:rPr>
          <w:rFonts w:hint="eastAsia" w:ascii="宋体" w:hAnsi="宋体" w:cs="宋体"/>
          <w:bCs/>
          <w:color w:val="auto"/>
          <w:szCs w:val="21"/>
          <w:highlight w:val="none"/>
          <w:lang w:eastAsia="zh-CN"/>
        </w:rPr>
        <w:t>0730-4440080</w:t>
      </w:r>
    </w:p>
    <w:p w14:paraId="13C49096">
      <w:pPr>
        <w:adjustRightInd w:val="0"/>
        <w:snapToGrid w:val="0"/>
        <w:spacing w:line="360" w:lineRule="auto"/>
        <w:ind w:firstLine="420" w:firstLineChars="200"/>
        <w:rPr>
          <w:rFonts w:hint="eastAsia" w:ascii="宋体" w:hAnsi="宋体" w:cs="宋体"/>
          <w:bCs/>
          <w:color w:val="auto"/>
          <w:szCs w:val="21"/>
          <w:highlight w:val="none"/>
          <w:lang w:eastAsia="zh-CN"/>
        </w:rPr>
      </w:pPr>
      <w:r>
        <w:rPr>
          <w:rFonts w:hint="eastAsia" w:ascii="宋体" w:hAnsi="宋体" w:cs="宋体"/>
          <w:bCs/>
          <w:color w:val="auto"/>
          <w:szCs w:val="21"/>
          <w:highlight w:val="none"/>
          <w:lang w:eastAsia="zh-CN"/>
        </w:rPr>
        <w:t>地  址：岳阳市华容县梅田湖镇082县道</w:t>
      </w:r>
    </w:p>
    <w:p w14:paraId="34466E35">
      <w:pPr>
        <w:adjustRightInd w:val="0"/>
        <w:snapToGrid w:val="0"/>
        <w:spacing w:line="360" w:lineRule="auto"/>
        <w:ind w:firstLine="413" w:firstLineChars="196"/>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rPr>
        <w:t>采购代理机构：</w:t>
      </w:r>
      <w:r>
        <w:rPr>
          <w:rFonts w:hint="eastAsia" w:ascii="宋体" w:hAnsi="宋体" w:cs="宋体"/>
          <w:b/>
          <w:bCs/>
          <w:color w:val="auto"/>
          <w:szCs w:val="21"/>
          <w:highlight w:val="none"/>
          <w:lang w:eastAsia="zh-CN"/>
        </w:rPr>
        <w:t>湖南同创工程项目管理有限公司</w:t>
      </w:r>
    </w:p>
    <w:p w14:paraId="2F8F61E5">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  址：</w:t>
      </w:r>
      <w:r>
        <w:rPr>
          <w:rFonts w:hint="eastAsia" w:ascii="宋体" w:hAnsi="宋体" w:cs="宋体"/>
          <w:color w:val="auto"/>
          <w:szCs w:val="21"/>
          <w:highlight w:val="none"/>
          <w:lang w:eastAsia="zh-CN"/>
        </w:rPr>
        <w:t>岳阳市岳阳楼区五里牌第一世家1102室</w:t>
      </w:r>
    </w:p>
    <w:p w14:paraId="7063A833">
      <w:pPr>
        <w:adjustRightInd w:val="0"/>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联系人：</w:t>
      </w:r>
      <w:r>
        <w:rPr>
          <w:rFonts w:hint="eastAsia" w:ascii="宋体" w:hAnsi="宋体" w:cs="宋体"/>
          <w:color w:val="auto"/>
          <w:szCs w:val="21"/>
          <w:highlight w:val="none"/>
          <w:lang w:eastAsia="zh-CN"/>
        </w:rPr>
        <w:t>刘庆九</w:t>
      </w:r>
      <w:r>
        <w:rPr>
          <w:rFonts w:hint="eastAsia" w:ascii="宋体" w:hAnsi="宋体" w:eastAsia="宋体" w:cs="宋体"/>
          <w:color w:val="auto"/>
          <w:szCs w:val="21"/>
          <w:highlight w:val="none"/>
        </w:rPr>
        <w:t xml:space="preserve">    </w:t>
      </w:r>
    </w:p>
    <w:p w14:paraId="50663D6E">
      <w:pPr>
        <w:tabs>
          <w:tab w:val="left" w:pos="360"/>
        </w:tabs>
        <w:adjustRightInd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电  话：</w:t>
      </w:r>
      <w:r>
        <w:rPr>
          <w:rFonts w:hint="eastAsia" w:ascii="宋体" w:hAnsi="宋体" w:cs="宋体"/>
          <w:color w:val="auto"/>
          <w:szCs w:val="21"/>
          <w:highlight w:val="none"/>
          <w:lang w:val="en-US" w:eastAsia="zh-CN"/>
        </w:rPr>
        <w:t>0730-8201199</w:t>
      </w:r>
    </w:p>
    <w:p w14:paraId="619AADEF">
      <w:pPr>
        <w:tabs>
          <w:tab w:val="left" w:pos="360"/>
        </w:tabs>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邮  箱：</w:t>
      </w:r>
      <w:r>
        <w:rPr>
          <w:rFonts w:hint="eastAsia" w:ascii="宋体" w:hAnsi="宋体" w:cs="宋体"/>
          <w:color w:val="auto"/>
          <w:szCs w:val="21"/>
          <w:highlight w:val="none"/>
          <w:u w:val="none"/>
          <w:lang w:eastAsia="zh-CN"/>
        </w:rPr>
        <w:t>3187439275@qq.com</w:t>
      </w:r>
    </w:p>
    <w:p w14:paraId="6B698CEF">
      <w:pPr>
        <w:pStyle w:val="2"/>
        <w:bidi w:val="0"/>
        <w:jc w:val="center"/>
        <w:rPr>
          <w:rFonts w:hint="eastAsia" w:ascii="宋体" w:hAnsi="宋体" w:eastAsia="宋体" w:cs="宋体"/>
          <w:color w:val="auto"/>
          <w:highlight w:val="none"/>
        </w:rPr>
      </w:pPr>
      <w:bookmarkStart w:id="25" w:name="_Toc17789"/>
      <w:r>
        <w:rPr>
          <w:rFonts w:hint="eastAsia" w:ascii="宋体" w:hAnsi="宋体" w:eastAsia="宋体" w:cs="宋体"/>
          <w:color w:val="auto"/>
          <w:highlight w:val="none"/>
        </w:rPr>
        <w:t>第二章 磋商须知</w:t>
      </w:r>
      <w:bookmarkEnd w:id="25"/>
    </w:p>
    <w:p w14:paraId="0CD34046">
      <w:pPr>
        <w:pStyle w:val="3"/>
        <w:bidi w:val="0"/>
        <w:rPr>
          <w:rFonts w:hint="eastAsia" w:ascii="宋体" w:hAnsi="宋体" w:eastAsia="宋体" w:cs="宋体"/>
          <w:color w:val="auto"/>
          <w:highlight w:val="none"/>
        </w:rPr>
      </w:pPr>
      <w:bookmarkStart w:id="26" w:name="_Toc5305"/>
      <w:r>
        <w:rPr>
          <w:rFonts w:hint="eastAsia" w:ascii="宋体" w:hAnsi="宋体" w:eastAsia="宋体" w:cs="宋体"/>
          <w:color w:val="auto"/>
          <w:highlight w:val="none"/>
        </w:rPr>
        <w:t>磋商须知前附表</w:t>
      </w:r>
      <w:bookmarkEnd w:id="26"/>
    </w:p>
    <w:p w14:paraId="24B50211">
      <w:pPr>
        <w:spacing w:line="360" w:lineRule="auto"/>
        <w:jc w:val="left"/>
        <w:rPr>
          <w:rFonts w:hint="eastAsia" w:ascii="宋体" w:hAnsi="宋体" w:eastAsia="宋体" w:cs="宋体"/>
          <w:b/>
          <w:color w:val="auto"/>
          <w:sz w:val="24"/>
          <w:highlight w:val="none"/>
        </w:rPr>
      </w:pPr>
      <w:r>
        <w:rPr>
          <w:rFonts w:hint="eastAsia" w:ascii="宋体" w:hAnsi="宋体" w:eastAsia="宋体" w:cs="宋体"/>
          <w:color w:val="auto"/>
          <w:szCs w:val="21"/>
          <w:highlight w:val="none"/>
        </w:rPr>
        <w:t>注： 请在方框□内划√选择，在“条款号”内限选一项。（本项目采用的条款用“■”标示）</w:t>
      </w:r>
    </w:p>
    <w:tbl>
      <w:tblPr>
        <w:tblStyle w:val="21"/>
        <w:tblW w:w="1001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54"/>
        <w:gridCol w:w="6315"/>
      </w:tblGrid>
      <w:tr w14:paraId="0CFB35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55" w:hRule="atLeast"/>
          <w:tblHeader/>
          <w:jc w:val="center"/>
        </w:trPr>
        <w:tc>
          <w:tcPr>
            <w:tcW w:w="1844" w:type="dxa"/>
            <w:vAlign w:val="center"/>
          </w:tcPr>
          <w:p w14:paraId="2CFB9D81">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854" w:type="dxa"/>
            <w:vAlign w:val="center"/>
          </w:tcPr>
          <w:p w14:paraId="1A3618F1">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6315" w:type="dxa"/>
            <w:vAlign w:val="center"/>
          </w:tcPr>
          <w:p w14:paraId="3754C5C2">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编列内容规定</w:t>
            </w:r>
          </w:p>
        </w:tc>
      </w:tr>
      <w:tr w14:paraId="10D991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10013" w:type="dxa"/>
            <w:gridSpan w:val="3"/>
            <w:vAlign w:val="center"/>
          </w:tcPr>
          <w:p w14:paraId="50443F4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一、说明</w:t>
            </w:r>
          </w:p>
        </w:tc>
      </w:tr>
      <w:tr w14:paraId="3BDE46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1844" w:type="dxa"/>
            <w:vAlign w:val="center"/>
          </w:tcPr>
          <w:p w14:paraId="05023500">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第二章第1.1款</w:t>
            </w:r>
          </w:p>
        </w:tc>
        <w:tc>
          <w:tcPr>
            <w:tcW w:w="1854" w:type="dxa"/>
            <w:vAlign w:val="center"/>
          </w:tcPr>
          <w:p w14:paraId="3672C14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6315" w:type="dxa"/>
            <w:vAlign w:val="center"/>
          </w:tcPr>
          <w:p w14:paraId="5ED2BE17">
            <w:pPr>
              <w:adjustRightInd w:val="0"/>
              <w:snapToGrid w:val="0"/>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华容县2026年第二批农村公路梅田湖镇（重要旅游资源产业路）建设项目</w:t>
            </w:r>
          </w:p>
        </w:tc>
      </w:tr>
      <w:tr w14:paraId="5A4942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5FCB986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第二章第2.1款</w:t>
            </w:r>
          </w:p>
        </w:tc>
        <w:tc>
          <w:tcPr>
            <w:tcW w:w="1854" w:type="dxa"/>
            <w:vAlign w:val="center"/>
          </w:tcPr>
          <w:p w14:paraId="126EED0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6315" w:type="dxa"/>
            <w:vAlign w:val="center"/>
          </w:tcPr>
          <w:p w14:paraId="6FAF86D1">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采购人：</w:t>
            </w:r>
            <w:r>
              <w:rPr>
                <w:rFonts w:hint="eastAsia" w:ascii="宋体" w:hAnsi="宋体" w:cs="宋体"/>
                <w:color w:val="auto"/>
                <w:szCs w:val="21"/>
                <w:highlight w:val="none"/>
                <w:lang w:eastAsia="zh-CN"/>
              </w:rPr>
              <w:t>华容县梅田湖镇人民政府</w:t>
            </w:r>
          </w:p>
          <w:p w14:paraId="031616E4">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cs="宋体"/>
                <w:color w:val="auto"/>
                <w:szCs w:val="21"/>
                <w:highlight w:val="none"/>
                <w:lang w:eastAsia="zh-CN"/>
              </w:rPr>
              <w:t>岳阳市华容县梅田湖镇082县道</w:t>
            </w:r>
          </w:p>
          <w:p w14:paraId="6B103B3E">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lang w:eastAsia="zh-CN"/>
              </w:rPr>
              <w:t xml:space="preserve"> </w:t>
            </w:r>
            <w:r>
              <w:rPr>
                <w:rFonts w:hint="eastAsia" w:ascii="宋体" w:hAnsi="宋体" w:cs="宋体"/>
                <w:color w:val="auto"/>
                <w:szCs w:val="21"/>
                <w:highlight w:val="none"/>
                <w:lang w:eastAsia="zh-CN"/>
              </w:rPr>
              <w:t>余新友</w:t>
            </w:r>
          </w:p>
          <w:p w14:paraId="58522948">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w:t>
            </w:r>
            <w:r>
              <w:rPr>
                <w:rFonts w:hint="eastAsia" w:ascii="宋体" w:hAnsi="宋体" w:cs="宋体"/>
                <w:bCs/>
                <w:color w:val="auto"/>
                <w:szCs w:val="21"/>
                <w:highlight w:val="none"/>
                <w:lang w:eastAsia="zh-CN"/>
              </w:rPr>
              <w:t>0730-4440080</w:t>
            </w:r>
          </w:p>
        </w:tc>
      </w:tr>
      <w:tr w14:paraId="33BD82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1844" w:type="dxa"/>
            <w:vAlign w:val="center"/>
          </w:tcPr>
          <w:p w14:paraId="6B70124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第二章第2.2款</w:t>
            </w:r>
          </w:p>
        </w:tc>
        <w:tc>
          <w:tcPr>
            <w:tcW w:w="1854" w:type="dxa"/>
            <w:vAlign w:val="center"/>
          </w:tcPr>
          <w:p w14:paraId="17C0A2B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w:t>
            </w:r>
          </w:p>
        </w:tc>
        <w:tc>
          <w:tcPr>
            <w:tcW w:w="6315" w:type="dxa"/>
            <w:vAlign w:val="center"/>
          </w:tcPr>
          <w:p w14:paraId="2037F614">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名称：</w:t>
            </w:r>
            <w:r>
              <w:rPr>
                <w:rFonts w:hint="eastAsia" w:ascii="宋体" w:hAnsi="宋体" w:cs="宋体"/>
                <w:color w:val="auto"/>
                <w:szCs w:val="21"/>
                <w:highlight w:val="none"/>
                <w:lang w:eastAsia="zh-CN"/>
              </w:rPr>
              <w:t>湖南同创工程项目管理有限公司</w:t>
            </w:r>
          </w:p>
          <w:p w14:paraId="00F7D22B">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cs="宋体"/>
                <w:color w:val="auto"/>
                <w:szCs w:val="21"/>
                <w:highlight w:val="none"/>
                <w:lang w:eastAsia="zh-CN"/>
              </w:rPr>
              <w:t>岳阳市岳阳楼区五里牌第一世家1102、1103室</w:t>
            </w:r>
          </w:p>
          <w:p w14:paraId="71286812">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cs="宋体"/>
                <w:color w:val="auto"/>
                <w:szCs w:val="21"/>
                <w:highlight w:val="none"/>
                <w:lang w:val="en-US" w:eastAsia="zh-CN"/>
              </w:rPr>
              <w:t>0730-8201199</w:t>
            </w:r>
          </w:p>
          <w:p w14:paraId="752AABF8">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w:t>
            </w:r>
            <w:r>
              <w:rPr>
                <w:rFonts w:hint="eastAsia" w:ascii="宋体" w:hAnsi="宋体" w:cs="宋体"/>
                <w:color w:val="auto"/>
                <w:szCs w:val="21"/>
                <w:highlight w:val="none"/>
                <w:lang w:eastAsia="zh-CN"/>
              </w:rPr>
              <w:t>刘庆九</w:t>
            </w:r>
          </w:p>
        </w:tc>
      </w:tr>
      <w:tr w14:paraId="56C244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EDE25A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第二章第2.3款</w:t>
            </w:r>
          </w:p>
        </w:tc>
        <w:tc>
          <w:tcPr>
            <w:tcW w:w="1854" w:type="dxa"/>
            <w:vAlign w:val="center"/>
          </w:tcPr>
          <w:p w14:paraId="147F813B">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供应商的邀请方式</w:t>
            </w:r>
          </w:p>
        </w:tc>
        <w:tc>
          <w:tcPr>
            <w:tcW w:w="6315" w:type="dxa"/>
            <w:vAlign w:val="center"/>
          </w:tcPr>
          <w:p w14:paraId="43CE5DE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 xml:space="preserve"> 发布公告</w:t>
            </w:r>
          </w:p>
          <w:p w14:paraId="38BBF27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从省级以上财政部门建立的供应商库中随机抽取</w:t>
            </w:r>
          </w:p>
          <w:p w14:paraId="417BF55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采购人和评审专家分别书面推荐的方式</w:t>
            </w:r>
          </w:p>
        </w:tc>
      </w:tr>
      <w:tr w14:paraId="79885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844" w:type="dxa"/>
            <w:vAlign w:val="center"/>
          </w:tcPr>
          <w:p w14:paraId="1147384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第二章第3.1款</w:t>
            </w:r>
          </w:p>
        </w:tc>
        <w:tc>
          <w:tcPr>
            <w:tcW w:w="1854" w:type="dxa"/>
            <w:vAlign w:val="center"/>
          </w:tcPr>
          <w:p w14:paraId="1A8748D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资格条件</w:t>
            </w:r>
          </w:p>
        </w:tc>
        <w:tc>
          <w:tcPr>
            <w:tcW w:w="6315" w:type="dxa"/>
            <w:vAlign w:val="center"/>
          </w:tcPr>
          <w:p w14:paraId="4EB875EB">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1.供应商基本资格条件：应当符合《政府采购法》第二十二条第一款的规定，即：</w:t>
            </w:r>
          </w:p>
          <w:p w14:paraId="0473653E">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（1）具有独立承担民事责任的能力；</w:t>
            </w:r>
          </w:p>
          <w:p w14:paraId="5ABE381A">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（2）具有良好的商业信誉和健全的财务会计制度；</w:t>
            </w:r>
          </w:p>
          <w:p w14:paraId="5495EDF0">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（3）具有履行合同所必需的设备和专业技术能力；</w:t>
            </w:r>
          </w:p>
          <w:p w14:paraId="2DD8D8B1">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（4）有依法缴纳税收和社会保障资金的良好记录；</w:t>
            </w:r>
          </w:p>
          <w:p w14:paraId="3BF5BA35">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（5）参加政府采购活动前三年内，在经营活动中没有重大违法记录；</w:t>
            </w:r>
          </w:p>
          <w:p w14:paraId="000E6818">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（6）法律、行政法规规定的其他条件。</w:t>
            </w:r>
          </w:p>
          <w:p w14:paraId="02447BE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49160C75">
            <w:pPr>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专门面向</w:t>
            </w:r>
            <w:r>
              <w:rPr>
                <w:rFonts w:hint="eastAsia" w:ascii="宋体" w:hAnsi="宋体" w:eastAsia="宋体" w:cs="宋体"/>
                <w:bCs/>
                <w:color w:val="auto"/>
                <w:szCs w:val="21"/>
                <w:highlight w:val="none"/>
              </w:rPr>
              <w:t>：</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中小企业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小微企业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监狱企业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福利性单位。</w:t>
            </w:r>
          </w:p>
          <w:p w14:paraId="334C6223">
            <w:pPr>
              <w:adjustRightInd w:val="0"/>
              <w:snapToGrid w:val="0"/>
              <w:spacing w:line="360" w:lineRule="auto"/>
              <w:ind w:firstLine="630" w:firstLineChars="300"/>
              <w:rPr>
                <w:rFonts w:hint="eastAsia" w:ascii="宋体" w:hAnsi="宋体" w:eastAsia="宋体" w:cs="宋体"/>
                <w:color w:val="auto"/>
                <w:highlight w:val="none"/>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强制</w:t>
            </w:r>
            <w:r>
              <w:rPr>
                <w:rFonts w:hint="eastAsia" w:ascii="宋体" w:hAnsi="宋体" w:eastAsia="宋体" w:cs="宋体"/>
                <w:bCs/>
                <w:color w:val="auto"/>
                <w:szCs w:val="21"/>
                <w:highlight w:val="none"/>
              </w:rPr>
              <w:t>分包：大型企业应将采购份额的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%分包给中小企业。</w:t>
            </w:r>
          </w:p>
          <w:p w14:paraId="5C5E761F">
            <w:pPr>
              <w:numPr>
                <w:ilvl w:val="0"/>
                <w:numId w:val="2"/>
              </w:numPr>
              <w:snapToGrid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供应商特定资格条件：（1）投标人须满足以下资质条件之一，且安全生产许可证在有效期内：①具备交通运输主管部门颁发的有效期内路基路面养护乙级及以上资质和交通安全设施养护资质；②具备建设行政主管部门颁发的有效期内公路工程施工总承包叁级及以上资质。（2）拟任项目经理具有公路工程专业贰级及以上注册建造师，具有交通运输主管部门核发的B类安全生产考核合格证书。</w:t>
            </w:r>
          </w:p>
          <w:p w14:paraId="591E7B61">
            <w:pPr>
              <w:numPr>
                <w:ilvl w:val="0"/>
                <w:numId w:val="0"/>
              </w:numPr>
              <w:snapToGrid w:val="0"/>
              <w:spacing w:line="360" w:lineRule="auto"/>
              <w:ind w:firstLine="420" w:firstLineChars="20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4</w:t>
            </w:r>
            <w:r>
              <w:rPr>
                <w:rFonts w:hint="eastAsia" w:ascii="宋体" w:hAnsi="宋体" w:eastAsia="宋体" w:cs="宋体"/>
                <w:color w:val="auto"/>
                <w:szCs w:val="22"/>
                <w:highlight w:val="none"/>
              </w:rPr>
              <w:t>、单位负责人为同一人或者存在直接控股、管理关系的不同供应商，不得参加同一合同项下的政府采购活动。</w:t>
            </w:r>
          </w:p>
          <w:p w14:paraId="4CE30EA3">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5</w:t>
            </w:r>
            <w:r>
              <w:rPr>
                <w:rFonts w:hint="eastAsia" w:ascii="宋体" w:hAnsi="宋体" w:eastAsia="宋体" w:cs="宋体"/>
                <w:color w:val="auto"/>
                <w:szCs w:val="22"/>
                <w:highlight w:val="none"/>
              </w:rPr>
              <w:t>、为本采购项目提供整体设计、规范编制或者项目管理、监理、检测等服务的，不得再参加此项目的其他招标采购活动。</w:t>
            </w:r>
          </w:p>
          <w:p w14:paraId="5530448A">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27" w:name="_Toc24907"/>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、列入失信被执行人、重大税收违法案件当事人名单，列入政府采购严重违法失信行为记录名单的，拒绝其参与政府采购活动。</w:t>
            </w:r>
            <w:bookmarkEnd w:id="27"/>
          </w:p>
          <w:p w14:paraId="01486F2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2"/>
                <w:highlight w:val="none"/>
              </w:rPr>
              <w:t>注：</w:t>
            </w:r>
            <w:r>
              <w:rPr>
                <w:rFonts w:hint="eastAsia" w:ascii="宋体" w:hAnsi="宋体" w:eastAsia="宋体" w:cs="宋体"/>
                <w:color w:val="auto"/>
                <w:szCs w:val="21"/>
                <w:highlight w:val="none"/>
              </w:rPr>
              <w:t>符合法定条件的供应商凭《湖南省政府采购供应商资格承诺函》参与政府采购活动，无需提供财务状况、缴纳税收和社会保障资金等资格证明材料。</w:t>
            </w:r>
          </w:p>
        </w:tc>
      </w:tr>
      <w:tr w14:paraId="30618C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907256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第二章第6.1款</w:t>
            </w:r>
          </w:p>
        </w:tc>
        <w:tc>
          <w:tcPr>
            <w:tcW w:w="1854" w:type="dxa"/>
            <w:vAlign w:val="center"/>
          </w:tcPr>
          <w:p w14:paraId="0A6CDA6C">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联合体形式</w:t>
            </w:r>
          </w:p>
        </w:tc>
        <w:tc>
          <w:tcPr>
            <w:tcW w:w="6315" w:type="dxa"/>
            <w:vAlign w:val="center"/>
          </w:tcPr>
          <w:p w14:paraId="337B89D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 xml:space="preserve"> 不接受</w:t>
            </w:r>
          </w:p>
          <w:p w14:paraId="0E5ACD2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接受</w:t>
            </w:r>
          </w:p>
        </w:tc>
      </w:tr>
      <w:tr w14:paraId="7BF033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4613DE8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第二章第6.2款</w:t>
            </w:r>
          </w:p>
        </w:tc>
        <w:tc>
          <w:tcPr>
            <w:tcW w:w="1854" w:type="dxa"/>
            <w:vAlign w:val="center"/>
          </w:tcPr>
          <w:p w14:paraId="38DEC3D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对联合体各方的要求</w:t>
            </w:r>
          </w:p>
        </w:tc>
        <w:tc>
          <w:tcPr>
            <w:tcW w:w="6315" w:type="dxa"/>
            <w:vAlign w:val="center"/>
          </w:tcPr>
          <w:p w14:paraId="4BDD30D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14:paraId="16B877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5" w:hRule="atLeast"/>
          <w:jc w:val="center"/>
        </w:trPr>
        <w:tc>
          <w:tcPr>
            <w:tcW w:w="1844" w:type="dxa"/>
            <w:vAlign w:val="center"/>
          </w:tcPr>
          <w:p w14:paraId="28D8393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第二章第7.1款</w:t>
            </w:r>
          </w:p>
        </w:tc>
        <w:tc>
          <w:tcPr>
            <w:tcW w:w="1854" w:type="dxa"/>
            <w:vAlign w:val="center"/>
          </w:tcPr>
          <w:p w14:paraId="299D46F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现场考察</w:t>
            </w:r>
          </w:p>
        </w:tc>
        <w:tc>
          <w:tcPr>
            <w:tcW w:w="6315" w:type="dxa"/>
            <w:vAlign w:val="center"/>
          </w:tcPr>
          <w:p w14:paraId="062C706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供应商自行现场考察，有关费用自理，考察踏勘期间发生的意外自负。</w:t>
            </w:r>
          </w:p>
        </w:tc>
      </w:tr>
      <w:tr w14:paraId="305F79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4" w:type="dxa"/>
            <w:vAlign w:val="center"/>
          </w:tcPr>
          <w:p w14:paraId="5737765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第二章第8.1款</w:t>
            </w:r>
          </w:p>
        </w:tc>
        <w:tc>
          <w:tcPr>
            <w:tcW w:w="1854" w:type="dxa"/>
            <w:vAlign w:val="center"/>
          </w:tcPr>
          <w:p w14:paraId="5A7A5FC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采购进口产品</w:t>
            </w:r>
          </w:p>
        </w:tc>
        <w:tc>
          <w:tcPr>
            <w:tcW w:w="6315" w:type="dxa"/>
            <w:vAlign w:val="center"/>
          </w:tcPr>
          <w:p w14:paraId="2056BA6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本项目拒绝采购进口产品</w:t>
            </w:r>
          </w:p>
          <w:p w14:paraId="4B2F650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本项目已经财政部门审核同意购买进口产品</w:t>
            </w:r>
          </w:p>
        </w:tc>
      </w:tr>
      <w:tr w14:paraId="288BC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1844" w:type="dxa"/>
            <w:vAlign w:val="center"/>
          </w:tcPr>
          <w:p w14:paraId="2870EBB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第二章第9.1款</w:t>
            </w:r>
          </w:p>
        </w:tc>
        <w:tc>
          <w:tcPr>
            <w:tcW w:w="1854" w:type="dxa"/>
            <w:vAlign w:val="center"/>
          </w:tcPr>
          <w:p w14:paraId="4802869A">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政府采购强制采购：</w:t>
            </w:r>
          </w:p>
          <w:p w14:paraId="697F67A8">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1、强制采购的节能产品；</w:t>
            </w:r>
          </w:p>
          <w:p w14:paraId="68C0398D">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2、其他。</w:t>
            </w:r>
          </w:p>
        </w:tc>
        <w:tc>
          <w:tcPr>
            <w:tcW w:w="6315" w:type="dxa"/>
            <w:vAlign w:val="center"/>
          </w:tcPr>
          <w:p w14:paraId="28BD4EF1">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否</w:t>
            </w:r>
          </w:p>
          <w:p w14:paraId="6865843B">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 是，采购《节能产品政府采购清单》（第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期）内标记★符号的节能产品。</w:t>
            </w:r>
          </w:p>
        </w:tc>
      </w:tr>
      <w:tr w14:paraId="051F3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844" w:type="dxa"/>
            <w:vAlign w:val="center"/>
          </w:tcPr>
          <w:p w14:paraId="078072F3">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第二章第9.2款</w:t>
            </w:r>
          </w:p>
        </w:tc>
        <w:tc>
          <w:tcPr>
            <w:tcW w:w="1854" w:type="dxa"/>
            <w:vAlign w:val="center"/>
          </w:tcPr>
          <w:p w14:paraId="1AE987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政府采购优先采购：</w:t>
            </w:r>
          </w:p>
          <w:p w14:paraId="10C9EBA3">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1、非强制采购的节能产品；</w:t>
            </w:r>
          </w:p>
          <w:p w14:paraId="146BEEC9">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2、环境标志产品；</w:t>
            </w:r>
          </w:p>
          <w:p w14:paraId="271E1CCC">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、支持小微企业发展；</w:t>
            </w:r>
          </w:p>
          <w:p w14:paraId="70D34F05">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、其他。</w:t>
            </w:r>
          </w:p>
        </w:tc>
        <w:tc>
          <w:tcPr>
            <w:tcW w:w="6315" w:type="dxa"/>
            <w:vAlign w:val="center"/>
          </w:tcPr>
          <w:p w14:paraId="107C2B5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1、采购产品为</w:t>
            </w:r>
            <w:r>
              <w:rPr>
                <w:rFonts w:hint="eastAsia" w:ascii="宋体" w:hAnsi="宋体" w:eastAsia="宋体" w:cs="宋体"/>
                <w:b/>
                <w:color w:val="auto"/>
                <w:szCs w:val="21"/>
                <w:highlight w:val="none"/>
              </w:rPr>
              <w:t>《节能产品政府采购品目清单》</w:t>
            </w:r>
            <w:r>
              <w:rPr>
                <w:rFonts w:hint="eastAsia" w:ascii="宋体" w:hAnsi="宋体" w:eastAsia="宋体" w:cs="宋体"/>
                <w:color w:val="auto"/>
                <w:szCs w:val="21"/>
                <w:highlight w:val="none"/>
              </w:rPr>
              <w:t>(财库〔2019〕19号)内非标记★符号的： (1)采用综合评分法时，对于技术和价格分，应分别给予总分值4%-8%的加分。本项目具体加分比例分别为：技术</w:t>
            </w:r>
            <w:r>
              <w:rPr>
                <w:rFonts w:hint="eastAsia" w:ascii="宋体" w:hAnsi="宋体" w:cs="宋体"/>
                <w:color w:val="auto"/>
                <w:szCs w:val="21"/>
                <w:highlight w:val="none"/>
                <w:u w:val="single"/>
                <w:lang w:val="en-US" w:eastAsia="zh-CN"/>
              </w:rPr>
              <w:t>4</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%、价格</w:t>
            </w:r>
            <w:r>
              <w:rPr>
                <w:rFonts w:hint="eastAsia" w:ascii="宋体" w:hAnsi="宋体" w:cs="宋体"/>
                <w:color w:val="auto"/>
                <w:szCs w:val="21"/>
                <w:highlight w:val="none"/>
                <w:u w:val="single"/>
                <w:lang w:val="en-US" w:eastAsia="zh-CN"/>
              </w:rPr>
              <w:t>4</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41F4C4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2、采购产品为</w:t>
            </w:r>
            <w:r>
              <w:rPr>
                <w:rFonts w:hint="eastAsia" w:ascii="宋体" w:hAnsi="宋体" w:eastAsia="宋体" w:cs="宋体"/>
                <w:b/>
                <w:color w:val="auto"/>
                <w:szCs w:val="21"/>
                <w:highlight w:val="none"/>
              </w:rPr>
              <w:t>《环境标志产品政府采购品目清单》</w:t>
            </w:r>
            <w:r>
              <w:rPr>
                <w:rFonts w:hint="eastAsia" w:ascii="宋体" w:hAnsi="宋体" w:eastAsia="宋体" w:cs="宋体"/>
                <w:color w:val="auto"/>
                <w:szCs w:val="21"/>
                <w:highlight w:val="none"/>
              </w:rPr>
              <w:t>(财库〔2019〕18号)内的：(1)采用综合评分法时，对于技术和价格分，应分别给予总分值4%-8%的加分。本项目具体加分比例分别为 ：技术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%、价格</w:t>
            </w:r>
            <w:r>
              <w:rPr>
                <w:rFonts w:hint="eastAsia" w:ascii="宋体" w:hAnsi="宋体" w:cs="宋体"/>
                <w:color w:val="auto"/>
                <w:szCs w:val="21"/>
                <w:highlight w:val="none"/>
                <w:u w:val="single"/>
                <w:lang w:val="en-US" w:eastAsia="zh-CN"/>
              </w:rPr>
              <w:t>4</w:t>
            </w:r>
            <w:r>
              <w:rPr>
                <w:rFonts w:hint="eastAsia" w:ascii="宋体" w:hAnsi="宋体" w:eastAsia="宋体" w:cs="宋体"/>
                <w:color w:val="auto"/>
                <w:szCs w:val="21"/>
                <w:highlight w:val="none"/>
              </w:rPr>
              <w:t>%。</w:t>
            </w:r>
          </w:p>
          <w:p w14:paraId="3D972972">
            <w:pPr>
              <w:pStyle w:val="7"/>
              <w:spacing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、同时为节能、环境标志的，由供应商选择其一享受评审优惠。</w:t>
            </w:r>
          </w:p>
          <w:p w14:paraId="013DBF1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、非专门面向中小企业采购，且符合政府采购促进中小企业发展相关规定的：</w:t>
            </w:r>
          </w:p>
          <w:p w14:paraId="2F8F3AD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（1）给予小型和微型企业工程项目6%-10%的扣除，用扣除后的价格参与评审，本项目具体扣除比例为</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p>
          <w:p w14:paraId="4530E0F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（2）给予联合体2%-3%的价格扣除，用扣除后的价格参与评审，本项目具体扣除比例为/％。</w:t>
            </w:r>
          </w:p>
          <w:p w14:paraId="458A0CF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6"/>
                <w:kern w:val="0"/>
                <w:highlight w:val="none"/>
              </w:rPr>
              <w:t>（3）监狱企业、残疾人福利性单位视同小型、微型企业。</w:t>
            </w:r>
          </w:p>
        </w:tc>
      </w:tr>
      <w:tr w14:paraId="56D49E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Merge w:val="restart"/>
            <w:vAlign w:val="center"/>
          </w:tcPr>
          <w:p w14:paraId="3F7B6266">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第二章第9.6款</w:t>
            </w:r>
          </w:p>
        </w:tc>
        <w:tc>
          <w:tcPr>
            <w:tcW w:w="1854" w:type="dxa"/>
            <w:vAlign w:val="center"/>
          </w:tcPr>
          <w:p w14:paraId="534517D7">
            <w:pPr>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政府采购支持小微企业融资</w:t>
            </w:r>
          </w:p>
        </w:tc>
        <w:tc>
          <w:tcPr>
            <w:tcW w:w="6315" w:type="dxa"/>
            <w:vAlign w:val="center"/>
          </w:tcPr>
          <w:p w14:paraId="01B41B4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有融资需求的，可向本附表附页1所列银行咨询或登陆中国湖南政府采购网查询。</w:t>
            </w:r>
          </w:p>
        </w:tc>
      </w:tr>
      <w:tr w14:paraId="666350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Merge w:val="continue"/>
            <w:vAlign w:val="center"/>
          </w:tcPr>
          <w:p w14:paraId="44C19BA3">
            <w:pPr>
              <w:spacing w:line="360" w:lineRule="auto"/>
              <w:rPr>
                <w:rFonts w:hint="eastAsia" w:ascii="宋体" w:hAnsi="宋体" w:eastAsia="宋体" w:cs="宋体"/>
                <w:color w:val="auto"/>
                <w:highlight w:val="none"/>
              </w:rPr>
            </w:pPr>
          </w:p>
        </w:tc>
        <w:tc>
          <w:tcPr>
            <w:tcW w:w="1854" w:type="dxa"/>
            <w:vAlign w:val="center"/>
          </w:tcPr>
          <w:p w14:paraId="4FEA2209">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政府采购信用担保</w:t>
            </w:r>
          </w:p>
        </w:tc>
        <w:tc>
          <w:tcPr>
            <w:tcW w:w="6315" w:type="dxa"/>
            <w:vAlign w:val="center"/>
          </w:tcPr>
          <w:p w14:paraId="20D7570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有履约担保或融资担保需求的，可向本附表附页2所列担保机构咨询或登陆中国湖南政府采购网查询，格式见附页3。</w:t>
            </w:r>
          </w:p>
        </w:tc>
      </w:tr>
      <w:tr w14:paraId="49B96D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13" w:type="dxa"/>
            <w:gridSpan w:val="3"/>
            <w:vAlign w:val="center"/>
          </w:tcPr>
          <w:p w14:paraId="18E31E63">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二、磋商文件</w:t>
            </w:r>
          </w:p>
        </w:tc>
      </w:tr>
      <w:tr w14:paraId="737DC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70780F20">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第二章第10.2款</w:t>
            </w:r>
          </w:p>
        </w:tc>
        <w:tc>
          <w:tcPr>
            <w:tcW w:w="1854" w:type="dxa"/>
            <w:vAlign w:val="center"/>
          </w:tcPr>
          <w:p w14:paraId="4637B0B9">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磋商文件的可能实质性变动内容</w:t>
            </w:r>
          </w:p>
        </w:tc>
        <w:tc>
          <w:tcPr>
            <w:tcW w:w="6315" w:type="dxa"/>
            <w:vAlign w:val="center"/>
          </w:tcPr>
          <w:p w14:paraId="716848D2">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技术、服务要求以及合同草案</w:t>
            </w:r>
          </w:p>
        </w:tc>
      </w:tr>
      <w:tr w14:paraId="6437F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7D81AA8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第二章第11.2款</w:t>
            </w:r>
          </w:p>
        </w:tc>
        <w:tc>
          <w:tcPr>
            <w:tcW w:w="1854" w:type="dxa"/>
            <w:vAlign w:val="center"/>
          </w:tcPr>
          <w:p w14:paraId="33DE81BA">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领取或购买磋商文件时应提供的资料</w:t>
            </w:r>
          </w:p>
        </w:tc>
        <w:tc>
          <w:tcPr>
            <w:tcW w:w="6315" w:type="dxa"/>
            <w:vAlign w:val="center"/>
          </w:tcPr>
          <w:p w14:paraId="735E014D">
            <w:pPr>
              <w:snapToGrid w:val="0"/>
              <w:spacing w:line="360" w:lineRule="auto"/>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供应商营业执照副本复印件、法定代表人身份证明（委托代理人购买磋商文件：授权委托书附法定代表人身份证明及授权委托人身份证明复印件)、本人身份证原件及邀请公告供应商的资格要求中的相关资料复印件加盖单位公章。</w:t>
            </w:r>
          </w:p>
        </w:tc>
      </w:tr>
      <w:tr w14:paraId="72F575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08BA74D7">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第二章第12.1款</w:t>
            </w:r>
          </w:p>
        </w:tc>
        <w:tc>
          <w:tcPr>
            <w:tcW w:w="1854" w:type="dxa"/>
            <w:vAlign w:val="center"/>
          </w:tcPr>
          <w:p w14:paraId="63E7DEEF">
            <w:pPr>
              <w:adjustRightInd w:val="0"/>
              <w:snapToGrid w:val="0"/>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提交首次响应文件的截止时间</w:t>
            </w:r>
          </w:p>
        </w:tc>
        <w:tc>
          <w:tcPr>
            <w:tcW w:w="6315" w:type="dxa"/>
            <w:vAlign w:val="center"/>
          </w:tcPr>
          <w:p w14:paraId="25AC2D18">
            <w:pPr>
              <w:pStyle w:val="30"/>
              <w:spacing w:line="360" w:lineRule="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详见第一章</w:t>
            </w:r>
          </w:p>
        </w:tc>
      </w:tr>
      <w:tr w14:paraId="6D49C5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013" w:type="dxa"/>
            <w:gridSpan w:val="3"/>
            <w:vAlign w:val="center"/>
          </w:tcPr>
          <w:p w14:paraId="0A7AF5C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三、响应文件的编写</w:t>
            </w:r>
          </w:p>
        </w:tc>
      </w:tr>
      <w:tr w14:paraId="36A95C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1844" w:type="dxa"/>
            <w:vAlign w:val="center"/>
          </w:tcPr>
          <w:p w14:paraId="56FC739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第二章第16.4款</w:t>
            </w:r>
          </w:p>
        </w:tc>
        <w:tc>
          <w:tcPr>
            <w:tcW w:w="1854" w:type="dxa"/>
            <w:vAlign w:val="center"/>
          </w:tcPr>
          <w:p w14:paraId="341A713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采购项目预算</w:t>
            </w:r>
          </w:p>
        </w:tc>
        <w:tc>
          <w:tcPr>
            <w:tcW w:w="6315" w:type="dxa"/>
            <w:vAlign w:val="center"/>
          </w:tcPr>
          <w:p w14:paraId="7D15F0CE">
            <w:pPr>
              <w:numPr>
                <w:ilvl w:val="0"/>
                <w:numId w:val="0"/>
              </w:numPr>
              <w:adjustRightInd w:val="0"/>
              <w:snapToGrid w:val="0"/>
              <w:spacing w:before="50" w:line="360" w:lineRule="exact"/>
              <w:jc w:val="left"/>
              <w:rPr>
                <w:rFonts w:hint="default" w:ascii="宋体" w:hAnsi="宋体" w:eastAsia="宋体" w:cs="宋体"/>
                <w:b/>
                <w:bCs/>
                <w:color w:val="auto"/>
                <w:sz w:val="21"/>
                <w:highlight w:val="none"/>
                <w:lang w:val="en-US" w:eastAsia="zh-CN"/>
              </w:rPr>
            </w:pPr>
            <w:r>
              <w:rPr>
                <w:rFonts w:hint="eastAsia" w:ascii="宋体" w:hAnsi="宋体" w:cs="宋体"/>
                <w:color w:val="auto"/>
                <w:highlight w:val="none"/>
                <w:lang w:eastAsia="zh-CN"/>
              </w:rPr>
              <w:t>1548000.00</w:t>
            </w:r>
            <w:r>
              <w:rPr>
                <w:rFonts w:hint="eastAsia" w:ascii="宋体" w:hAnsi="宋体" w:eastAsia="宋体" w:cs="宋体"/>
                <w:color w:val="auto"/>
                <w:highlight w:val="none"/>
              </w:rPr>
              <w:t>元</w:t>
            </w:r>
            <w:r>
              <w:rPr>
                <w:rFonts w:hint="eastAsia" w:ascii="宋体" w:hAnsi="宋体" w:eastAsia="宋体" w:cs="宋体"/>
                <w:color w:val="auto"/>
                <w:highlight w:val="none"/>
                <w:lang w:eastAsia="zh-CN"/>
              </w:rPr>
              <w:t>，</w:t>
            </w:r>
            <w:r>
              <w:rPr>
                <w:rFonts w:hint="eastAsia" w:ascii="宋体" w:hAnsi="宋体" w:eastAsia="宋体" w:cs="宋体"/>
                <w:color w:val="auto"/>
                <w:sz w:val="21"/>
                <w:szCs w:val="21"/>
                <w:highlight w:val="none"/>
              </w:rPr>
              <w:t>详见工程量清单</w:t>
            </w:r>
            <w:r>
              <w:rPr>
                <w:rFonts w:hint="eastAsia" w:ascii="宋体" w:hAnsi="宋体" w:cs="宋体"/>
                <w:color w:val="auto"/>
                <w:sz w:val="21"/>
                <w:szCs w:val="21"/>
                <w:highlight w:val="none"/>
                <w:lang w:eastAsia="zh-CN"/>
              </w:rPr>
              <w:t>，</w:t>
            </w:r>
            <w:r>
              <w:rPr>
                <w:rFonts w:hint="eastAsia" w:ascii="宋体" w:hAnsi="宋体" w:cs="宋体"/>
                <w:b/>
                <w:bCs/>
                <w:color w:val="auto"/>
                <w:sz w:val="21"/>
                <w:szCs w:val="21"/>
                <w:highlight w:val="none"/>
                <w:lang w:val="en-US" w:eastAsia="zh-CN"/>
              </w:rPr>
              <w:t>其中暂列金额50081.17元，为固定报价。</w:t>
            </w:r>
          </w:p>
          <w:p w14:paraId="76E50FD1">
            <w:pPr>
              <w:pStyle w:val="26"/>
              <w:rPr>
                <w:rFonts w:hint="eastAsia" w:ascii="宋体" w:hAnsi="宋体" w:eastAsia="宋体" w:cs="宋体"/>
                <w:color w:val="auto"/>
                <w:sz w:val="18"/>
                <w:szCs w:val="18"/>
                <w:highlight w:val="none"/>
              </w:rPr>
            </w:pPr>
            <w:r>
              <w:rPr>
                <w:rFonts w:hint="eastAsia" w:ascii="宋体" w:hAnsi="宋体" w:eastAsia="宋体" w:cs="宋体"/>
                <w:color w:val="auto"/>
                <w:sz w:val="21"/>
                <w:highlight w:val="none"/>
              </w:rPr>
              <w:t>供应商的响应报价不得超过最高限价</w:t>
            </w:r>
            <w:r>
              <w:rPr>
                <w:rFonts w:hint="eastAsia" w:ascii="宋体" w:hAnsi="宋体" w:cs="宋体"/>
                <w:color w:val="auto"/>
                <w:sz w:val="21"/>
                <w:highlight w:val="none"/>
                <w:lang w:eastAsia="zh-CN"/>
              </w:rPr>
              <w:t>：</w:t>
            </w:r>
            <w:r>
              <w:rPr>
                <w:rFonts w:hint="eastAsia" w:ascii="宋体" w:hAnsi="宋体" w:cs="宋体"/>
                <w:color w:val="auto"/>
                <w:highlight w:val="none"/>
                <w:lang w:eastAsia="zh-CN"/>
              </w:rPr>
              <w:t>1548000.00</w:t>
            </w:r>
            <w:r>
              <w:rPr>
                <w:rFonts w:hint="eastAsia" w:ascii="宋体" w:hAnsi="宋体" w:eastAsia="宋体" w:cs="宋体"/>
                <w:color w:val="auto"/>
                <w:highlight w:val="none"/>
              </w:rPr>
              <w:t>元</w:t>
            </w:r>
            <w:r>
              <w:rPr>
                <w:rFonts w:hint="eastAsia" w:ascii="宋体" w:hAnsi="宋体" w:eastAsia="宋体" w:cs="宋体"/>
                <w:color w:val="auto"/>
                <w:sz w:val="21"/>
                <w:highlight w:val="none"/>
              </w:rPr>
              <w:t>，否则其响应无效。</w:t>
            </w:r>
          </w:p>
        </w:tc>
      </w:tr>
      <w:tr w14:paraId="58EC2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1844" w:type="dxa"/>
            <w:vAlign w:val="center"/>
          </w:tcPr>
          <w:p w14:paraId="67C5172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第二章第16.4</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款</w:t>
            </w:r>
          </w:p>
        </w:tc>
        <w:tc>
          <w:tcPr>
            <w:tcW w:w="1854" w:type="dxa"/>
            <w:vAlign w:val="center"/>
          </w:tcPr>
          <w:p w14:paraId="44462CB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报价的其他要求</w:t>
            </w:r>
          </w:p>
        </w:tc>
        <w:tc>
          <w:tcPr>
            <w:tcW w:w="6315" w:type="dxa"/>
            <w:vAlign w:val="center"/>
          </w:tcPr>
          <w:p w14:paraId="24AA73F4">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（一）在评标过程中，出现下列情形之一的，评审委员会应当启动异常低价投标（响应）审查程序：</w:t>
            </w:r>
          </w:p>
          <w:p w14:paraId="2AFB91E0">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1.投标（响应）报价低于全部通过符合性审查供应商投标（响应）报价平均值</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%的，即投标（响应）报价&lt;全部通过符合性审查供应商投标（响应）报价平均值×</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w:t>
            </w:r>
          </w:p>
          <w:p w14:paraId="6E787A6C">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2.投标（响应）报价低于通过符合性审查的次低报价供应商投标（响应）报价</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%的，即投标（响应）报价&lt;通过符合性审查的次低报价供应商投标（响应）报价×</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w:t>
            </w:r>
          </w:p>
          <w:p w14:paraId="73410B87">
            <w:pPr>
              <w:adjustRightInd w:val="0"/>
              <w:snapToGrid w:val="0"/>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t>3.投标（响应）报价低于采购项目最高限价</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%的，即投标（响应）报价&lt;采购项目最高限价×</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w:t>
            </w:r>
          </w:p>
          <w:p w14:paraId="742D244C">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4.评审委员会基于专业判断，认为供应商报价过低，有可能影响产品质量或者不能诚信履约的其他情形。</w:t>
            </w:r>
          </w:p>
          <w:p w14:paraId="0A4732AC">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w:t>
            </w:r>
          </w:p>
          <w:p w14:paraId="37E09071">
            <w:pPr>
              <w:pStyle w:val="26"/>
              <w:spacing w:line="240" w:lineRule="auto"/>
              <w:rPr>
                <w:rFonts w:hint="eastAsia" w:ascii="宋体" w:hAnsi="宋体" w:eastAsia="宋体" w:cs="宋体"/>
                <w:color w:val="auto"/>
                <w:sz w:val="21"/>
                <w:highlight w:val="none"/>
              </w:rPr>
            </w:pPr>
            <w:r>
              <w:rPr>
                <w:rFonts w:hint="eastAsia" w:ascii="宋体" w:hAnsi="宋体" w:eastAsia="宋体" w:cs="宋体"/>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3CCE6F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844" w:type="dxa"/>
            <w:vAlign w:val="center"/>
          </w:tcPr>
          <w:p w14:paraId="4A104B9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第二章第19.1款</w:t>
            </w:r>
          </w:p>
        </w:tc>
        <w:tc>
          <w:tcPr>
            <w:tcW w:w="1854" w:type="dxa"/>
            <w:vAlign w:val="center"/>
          </w:tcPr>
          <w:p w14:paraId="78525838">
            <w:pPr>
              <w:adjustRightInd w:val="0"/>
              <w:snapToGrid w:val="0"/>
              <w:spacing w:line="360" w:lineRule="auto"/>
              <w:ind w:left="-533" w:leftChars="-254" w:firstLine="533" w:firstLineChars="254"/>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315" w:type="dxa"/>
            <w:vAlign w:val="center"/>
          </w:tcPr>
          <w:p w14:paraId="5E5DE8EA">
            <w:pPr>
              <w:snapToGrid w:val="0"/>
              <w:spacing w:line="360" w:lineRule="auto"/>
              <w:rPr>
                <w:rFonts w:hint="eastAsia" w:ascii="宋体" w:hAnsi="宋体" w:eastAsia="宋体" w:cs="宋体"/>
                <w:color w:val="auto"/>
                <w:highlight w:val="none"/>
              </w:rPr>
            </w:pPr>
            <w:r>
              <w:rPr>
                <w:rFonts w:hint="eastAsia" w:ascii="宋体" w:hAnsi="宋体" w:eastAsia="宋体" w:cs="宋体"/>
                <w:bCs/>
                <w:color w:val="auto"/>
                <w:szCs w:val="21"/>
                <w:highlight w:val="none"/>
              </w:rPr>
              <w:t>☑</w:t>
            </w:r>
            <w:r>
              <w:rPr>
                <w:rFonts w:hint="eastAsia" w:ascii="宋体" w:hAnsi="宋体" w:eastAsia="宋体" w:cs="宋体"/>
                <w:color w:val="auto"/>
                <w:highlight w:val="none"/>
              </w:rPr>
              <w:t>不要求提供</w:t>
            </w:r>
          </w:p>
          <w:p w14:paraId="6C40569C">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□要求提供</w:t>
            </w:r>
          </w:p>
          <w:p w14:paraId="131731F3">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1、保证金数额：0 元（人民币）</w:t>
            </w:r>
          </w:p>
          <w:p w14:paraId="07A96B21">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2、缴纳方式：银行转账、银行电汇或银行汇票，从各投标单位账户缴入到如下账户，并在转账票据用途栏或备注栏中注明所投项目简称或项目编号。</w:t>
            </w:r>
          </w:p>
          <w:p w14:paraId="514F6A12">
            <w:pPr>
              <w:snapToGrid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开户名称：</w:t>
            </w:r>
            <w:r>
              <w:rPr>
                <w:rFonts w:hint="eastAsia" w:ascii="宋体" w:hAnsi="宋体" w:cs="宋体"/>
                <w:color w:val="auto"/>
                <w:highlight w:val="none"/>
                <w:lang w:eastAsia="zh-CN"/>
              </w:rPr>
              <w:t>湖南同创工程项目管理有限公司</w:t>
            </w:r>
          </w:p>
          <w:p w14:paraId="64303EC3">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开户银行：/</w:t>
            </w:r>
          </w:p>
          <w:p w14:paraId="0996E11A">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银行账号：/</w:t>
            </w:r>
          </w:p>
          <w:p w14:paraId="56D5C1B5">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3、缴纳截止时间：同投标截止时间，以银行到账回单为准。</w:t>
            </w:r>
          </w:p>
          <w:p w14:paraId="7C7604DE">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4、未按时足额缴纳保证金的，其响应文件将被拒绝。</w:t>
            </w:r>
          </w:p>
        </w:tc>
      </w:tr>
      <w:tr w14:paraId="40FD97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2F41475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第二章第20.1款</w:t>
            </w:r>
          </w:p>
        </w:tc>
        <w:tc>
          <w:tcPr>
            <w:tcW w:w="1854" w:type="dxa"/>
            <w:vAlign w:val="center"/>
          </w:tcPr>
          <w:p w14:paraId="3A6DE85B">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响应文件有效期</w:t>
            </w:r>
          </w:p>
        </w:tc>
        <w:tc>
          <w:tcPr>
            <w:tcW w:w="6315" w:type="dxa"/>
            <w:vAlign w:val="center"/>
          </w:tcPr>
          <w:p w14:paraId="31F2DE72">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u w:val="single"/>
              </w:rPr>
              <w:t xml:space="preserve"> 90 </w:t>
            </w:r>
            <w:r>
              <w:rPr>
                <w:rFonts w:hint="eastAsia" w:ascii="宋体" w:hAnsi="宋体" w:eastAsia="宋体" w:cs="宋体"/>
                <w:color w:val="auto"/>
                <w:szCs w:val="21"/>
                <w:highlight w:val="none"/>
              </w:rPr>
              <w:t>日（日历日）</w:t>
            </w:r>
          </w:p>
        </w:tc>
      </w:tr>
      <w:tr w14:paraId="004328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7" w:hRule="atLeast"/>
          <w:jc w:val="center"/>
        </w:trPr>
        <w:tc>
          <w:tcPr>
            <w:tcW w:w="1844" w:type="dxa"/>
            <w:vAlign w:val="center"/>
          </w:tcPr>
          <w:p w14:paraId="4CBB2B87">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第二章第21.1款</w:t>
            </w:r>
          </w:p>
        </w:tc>
        <w:tc>
          <w:tcPr>
            <w:tcW w:w="1854" w:type="dxa"/>
            <w:vAlign w:val="center"/>
          </w:tcPr>
          <w:p w14:paraId="0A63E19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w:t>
            </w:r>
            <w:r>
              <w:rPr>
                <w:rFonts w:hint="eastAsia" w:ascii="宋体" w:hAnsi="宋体" w:eastAsia="宋体" w:cs="宋体"/>
                <w:color w:val="auto"/>
                <w:szCs w:val="21"/>
                <w:highlight w:val="none"/>
              </w:rPr>
              <w:t>文件副本份数</w:t>
            </w:r>
          </w:p>
        </w:tc>
        <w:tc>
          <w:tcPr>
            <w:tcW w:w="6315" w:type="dxa"/>
            <w:vAlign w:val="center"/>
          </w:tcPr>
          <w:p w14:paraId="3B9CC47C">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正本壹份，副本贰份，电子档壹份（word和PDF格式，U盘密封包装，须注明电子文件和单位名称，与响应文件一起封存，未提交响应文件电子档的，视为无效响应）</w:t>
            </w:r>
          </w:p>
        </w:tc>
      </w:tr>
      <w:tr w14:paraId="69277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013" w:type="dxa"/>
            <w:gridSpan w:val="3"/>
            <w:vAlign w:val="center"/>
          </w:tcPr>
          <w:p w14:paraId="47928477">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四、响应文件的递交</w:t>
            </w:r>
          </w:p>
        </w:tc>
      </w:tr>
      <w:tr w14:paraId="2F4ADE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844" w:type="dxa"/>
            <w:vAlign w:val="center"/>
          </w:tcPr>
          <w:p w14:paraId="3D8F3A1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第二章第22.2款</w:t>
            </w:r>
          </w:p>
        </w:tc>
        <w:tc>
          <w:tcPr>
            <w:tcW w:w="1854" w:type="dxa"/>
            <w:vAlign w:val="center"/>
          </w:tcPr>
          <w:p w14:paraId="73D31BFC">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封套上应载明的信息</w:t>
            </w:r>
          </w:p>
        </w:tc>
        <w:tc>
          <w:tcPr>
            <w:tcW w:w="6315" w:type="dxa"/>
            <w:vAlign w:val="center"/>
          </w:tcPr>
          <w:p w14:paraId="5F8978A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采购项目响应文件</w:t>
            </w:r>
          </w:p>
          <w:p w14:paraId="1FE19BF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政府采购计划编号：</w:t>
            </w:r>
            <w:r>
              <w:rPr>
                <w:rFonts w:hint="eastAsia" w:ascii="宋体" w:hAnsi="宋体" w:eastAsia="宋体" w:cs="宋体"/>
                <w:color w:val="auto"/>
                <w:szCs w:val="21"/>
                <w:highlight w:val="none"/>
                <w:u w:val="single"/>
              </w:rPr>
              <w:t xml:space="preserve">            </w:t>
            </w:r>
          </w:p>
          <w:p w14:paraId="75DE2C7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77929C1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日（星期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分之前不得启封</w:t>
            </w:r>
          </w:p>
        </w:tc>
      </w:tr>
      <w:tr w14:paraId="5F1E9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69B570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第二章第24.1款</w:t>
            </w:r>
          </w:p>
        </w:tc>
        <w:tc>
          <w:tcPr>
            <w:tcW w:w="1854" w:type="dxa"/>
            <w:vAlign w:val="center"/>
          </w:tcPr>
          <w:p w14:paraId="00487CE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响应文件的递交地点</w:t>
            </w:r>
          </w:p>
        </w:tc>
        <w:tc>
          <w:tcPr>
            <w:tcW w:w="6315" w:type="dxa"/>
            <w:vAlign w:val="center"/>
          </w:tcPr>
          <w:p w14:paraId="60AC02E5">
            <w:pPr>
              <w:adjustRightInd w:val="0"/>
              <w:snapToGrid w:val="0"/>
              <w:spacing w:line="360" w:lineRule="auto"/>
              <w:rPr>
                <w:rFonts w:hint="eastAsia" w:ascii="宋体" w:hAnsi="宋体" w:eastAsia="宋体" w:cs="宋体"/>
                <w:bCs/>
                <w:color w:val="auto"/>
                <w:szCs w:val="21"/>
                <w:highlight w:val="none"/>
              </w:rPr>
            </w:pPr>
            <w:r>
              <w:rPr>
                <w:rFonts w:hint="eastAsia" w:ascii="宋体" w:hAnsi="宋体" w:cs="宋体"/>
                <w:color w:val="auto"/>
                <w:szCs w:val="21"/>
                <w:highlight w:val="none"/>
                <w:lang w:eastAsia="zh-CN"/>
              </w:rPr>
              <w:t>湖南同创工程项目管理有限公司</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岳阳市岳阳楼区五里牌第一世家1103室</w:t>
            </w:r>
            <w:r>
              <w:rPr>
                <w:rFonts w:hint="eastAsia" w:ascii="宋体" w:hAnsi="宋体" w:cs="宋体"/>
                <w:color w:val="auto"/>
                <w:szCs w:val="21"/>
                <w:highlight w:val="none"/>
                <w:lang w:val="en-US" w:eastAsia="zh-CN"/>
              </w:rPr>
              <w:t>开标室</w:t>
            </w:r>
            <w:r>
              <w:rPr>
                <w:rFonts w:hint="eastAsia" w:ascii="宋体" w:hAnsi="宋体" w:eastAsia="宋体" w:cs="宋体"/>
                <w:color w:val="auto"/>
                <w:szCs w:val="21"/>
                <w:highlight w:val="none"/>
              </w:rPr>
              <w:t>）</w:t>
            </w:r>
          </w:p>
        </w:tc>
      </w:tr>
      <w:tr w14:paraId="53D3C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13" w:type="dxa"/>
            <w:gridSpan w:val="3"/>
            <w:vAlign w:val="center"/>
          </w:tcPr>
          <w:p w14:paraId="36948C67">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五、响应文件的磋商与评审</w:t>
            </w:r>
          </w:p>
        </w:tc>
      </w:tr>
      <w:tr w14:paraId="5B7F20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4CB6109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第二章第31.2款</w:t>
            </w:r>
          </w:p>
        </w:tc>
        <w:tc>
          <w:tcPr>
            <w:tcW w:w="1854" w:type="dxa"/>
            <w:vAlign w:val="center"/>
          </w:tcPr>
          <w:p w14:paraId="20AD0C1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评审因素和标准</w:t>
            </w:r>
          </w:p>
        </w:tc>
        <w:tc>
          <w:tcPr>
            <w:tcW w:w="6315" w:type="dxa"/>
            <w:vAlign w:val="center"/>
          </w:tcPr>
          <w:p w14:paraId="5E433F31">
            <w:pPr>
              <w:spacing w:line="360" w:lineRule="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见附页4</w:t>
            </w:r>
          </w:p>
        </w:tc>
      </w:tr>
      <w:tr w14:paraId="4E4F2D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1844" w:type="dxa"/>
            <w:vAlign w:val="center"/>
          </w:tcPr>
          <w:p w14:paraId="4EFD0FF8">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第二章第31.3款</w:t>
            </w:r>
          </w:p>
        </w:tc>
        <w:tc>
          <w:tcPr>
            <w:tcW w:w="1854" w:type="dxa"/>
            <w:vAlign w:val="center"/>
          </w:tcPr>
          <w:p w14:paraId="34143C07">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最后报价调整</w:t>
            </w:r>
          </w:p>
        </w:tc>
        <w:tc>
          <w:tcPr>
            <w:tcW w:w="6315" w:type="dxa"/>
            <w:vAlign w:val="center"/>
          </w:tcPr>
          <w:p w14:paraId="2C51212D">
            <w:pPr>
              <w:adjustRightInd w:val="0"/>
              <w:snapToGrid w:val="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r>
      <w:tr w14:paraId="0D1ACA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463B18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第二章第31.5款</w:t>
            </w:r>
          </w:p>
        </w:tc>
        <w:tc>
          <w:tcPr>
            <w:tcW w:w="1854" w:type="dxa"/>
            <w:vAlign w:val="center"/>
          </w:tcPr>
          <w:p w14:paraId="3C6D402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技术、商务、价格得分或总得分调整</w:t>
            </w:r>
          </w:p>
        </w:tc>
        <w:tc>
          <w:tcPr>
            <w:tcW w:w="6315" w:type="dxa"/>
            <w:vAlign w:val="center"/>
          </w:tcPr>
          <w:p w14:paraId="1B12803E">
            <w:pPr>
              <w:spacing w:line="36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必需提供节能或环境标志产品认证证书复印件，未按以上要求提供认证证书复印件或不是清单内的产品，评审时不予优先采购： </w:t>
            </w:r>
          </w:p>
          <w:p w14:paraId="46A4A9F8">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采用综合评分法时，对于技术和价格分，应分别给予总分值4%-8%的加分。本项目具体加分比例分别为：技术部分</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%、价格部分</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p>
        </w:tc>
      </w:tr>
      <w:tr w14:paraId="00B50D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48B5E37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第二章第31.6款</w:t>
            </w:r>
          </w:p>
        </w:tc>
        <w:tc>
          <w:tcPr>
            <w:tcW w:w="1854" w:type="dxa"/>
            <w:vAlign w:val="center"/>
          </w:tcPr>
          <w:p w14:paraId="09CFF918">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多处或部分获得政府采购政策优惠的计算方法</w:t>
            </w:r>
          </w:p>
        </w:tc>
        <w:tc>
          <w:tcPr>
            <w:tcW w:w="6315" w:type="dxa"/>
            <w:vAlign w:val="center"/>
          </w:tcPr>
          <w:p w14:paraId="1E2A412C">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1、符合政府采购优先采购政策的，产品只能享受节能产品、环境标志产品等产品优惠中的一项(由供应商在响应文件中选择并填报政策功能编码，评审时进行加分)。</w:t>
            </w:r>
          </w:p>
          <w:p w14:paraId="7BB5BEF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2、供应商享受支持小微企业发展政策优惠的，可以与同时享受节能产品、环境标志产品等产品优惠中的一项累加。</w:t>
            </w:r>
          </w:p>
          <w:p w14:paraId="6849918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3、同一项目中部分产品属于优先采购政策的，评审时只对该部分产品的报价实行价格扣除或加分（按该部分产品的报价占总报价的百分比调整）。</w:t>
            </w:r>
          </w:p>
        </w:tc>
      </w:tr>
      <w:tr w14:paraId="0D978D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13" w:type="dxa"/>
            <w:gridSpan w:val="3"/>
            <w:vAlign w:val="center"/>
          </w:tcPr>
          <w:p w14:paraId="376DF31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六、成交结果信息公布与授予合同</w:t>
            </w:r>
          </w:p>
        </w:tc>
      </w:tr>
      <w:tr w14:paraId="2C201D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1844" w:type="dxa"/>
            <w:vAlign w:val="center"/>
          </w:tcPr>
          <w:p w14:paraId="52F3CDF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第二章第37.1款</w:t>
            </w:r>
          </w:p>
        </w:tc>
        <w:tc>
          <w:tcPr>
            <w:tcW w:w="1854" w:type="dxa"/>
            <w:vAlign w:val="center"/>
          </w:tcPr>
          <w:p w14:paraId="1FA747C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财政部门指定的媒体</w:t>
            </w:r>
          </w:p>
        </w:tc>
        <w:tc>
          <w:tcPr>
            <w:tcW w:w="6315" w:type="dxa"/>
            <w:vAlign w:val="center"/>
          </w:tcPr>
          <w:p w14:paraId="799C6106">
            <w:pPr>
              <w:adjustRightInd w:val="0"/>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highlight w:val="none"/>
              </w:rPr>
              <w:t>中国湖南政府采购网（http://www.ccgp-hunan.gov.cn/）</w:t>
            </w:r>
          </w:p>
        </w:tc>
      </w:tr>
      <w:tr w14:paraId="62042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60AD408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第二章第39.3款</w:t>
            </w:r>
          </w:p>
        </w:tc>
        <w:tc>
          <w:tcPr>
            <w:tcW w:w="1854" w:type="dxa"/>
            <w:vAlign w:val="center"/>
          </w:tcPr>
          <w:p w14:paraId="792C1EB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6315" w:type="dxa"/>
            <w:vAlign w:val="center"/>
          </w:tcPr>
          <w:p w14:paraId="439CEC8F">
            <w:pPr>
              <w:keepNext w:val="0"/>
              <w:keepLines w:val="0"/>
              <w:pageBreakBefore w:val="0"/>
              <w:kinsoku/>
              <w:wordWrap/>
              <w:overflowPunct/>
              <w:topLinePunct w:val="0"/>
              <w:autoSpaceDE/>
              <w:autoSpaceDN/>
              <w:bidi w:val="0"/>
              <w:adjustRightInd w:val="0"/>
              <w:snapToGrid w:val="0"/>
              <w:spacing w:beforeLines="50" w:line="320" w:lineRule="exac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不要求提供</w:t>
            </w:r>
          </w:p>
          <w:p w14:paraId="52B7AE59">
            <w:pPr>
              <w:pStyle w:val="26"/>
              <w:numPr>
                <w:ilvl w:val="0"/>
                <w:numId w:val="0"/>
              </w:numPr>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要求提供，履约担保的金额为：中标金额的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p>
          <w:p w14:paraId="7FC9DDFC">
            <w:pPr>
              <w:pStyle w:val="26"/>
              <w:numPr>
                <w:ilvl w:val="0"/>
                <w:numId w:val="0"/>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递交形式：以支票、汇票、本票、银行转账或者金融机构出具的保函等非现金形式提交。</w:t>
            </w:r>
          </w:p>
          <w:p w14:paraId="4040B0C4">
            <w:pPr>
              <w:pStyle w:val="26"/>
              <w:numPr>
                <w:ilvl w:val="0"/>
                <w:numId w:val="0"/>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退还方式：项目经采购人验收合格，履约保证金不计息一次性退还给成交供应商。</w:t>
            </w:r>
          </w:p>
          <w:p w14:paraId="1A684012">
            <w:pPr>
              <w:pStyle w:val="26"/>
              <w:numPr>
                <w:ilvl w:val="0"/>
                <w:numId w:val="0"/>
              </w:numPr>
              <w:rPr>
                <w:rFonts w:hint="eastAsia" w:ascii="宋体" w:hAnsi="宋体" w:eastAsia="宋体" w:cs="宋体"/>
                <w:color w:val="auto"/>
                <w:highlight w:val="none"/>
              </w:rPr>
            </w:pPr>
            <w:r>
              <w:rPr>
                <w:rFonts w:hint="eastAsia" w:ascii="宋体" w:hAnsi="宋体" w:eastAsia="宋体" w:cs="宋体"/>
                <w:color w:val="auto"/>
                <w:szCs w:val="21"/>
                <w:highlight w:val="none"/>
              </w:rPr>
              <w:t>说明：成交供应商须在本项目合同签订前向采购人缴纳履约保证金，逾期未缴纳的视为自动放弃成交资格，采购人可以按照评审报告推荐的成交候选人名单排序，确定下一候选人为本项目的成交供应商，也可以重新开展采购活动。</w:t>
            </w:r>
          </w:p>
        </w:tc>
      </w:tr>
      <w:tr w14:paraId="23A994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0013" w:type="dxa"/>
            <w:gridSpan w:val="3"/>
            <w:vAlign w:val="center"/>
          </w:tcPr>
          <w:p w14:paraId="0C125A31">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七、其他规定</w:t>
            </w:r>
          </w:p>
        </w:tc>
      </w:tr>
      <w:tr w14:paraId="6737A4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92B5267">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第二章第41.1款</w:t>
            </w:r>
          </w:p>
        </w:tc>
        <w:tc>
          <w:tcPr>
            <w:tcW w:w="1854" w:type="dxa"/>
            <w:vAlign w:val="center"/>
          </w:tcPr>
          <w:p w14:paraId="34C555F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采购代理服务费</w:t>
            </w:r>
          </w:p>
        </w:tc>
        <w:tc>
          <w:tcPr>
            <w:tcW w:w="6315" w:type="dxa"/>
            <w:vAlign w:val="center"/>
          </w:tcPr>
          <w:p w14:paraId="652E886D">
            <w:pPr>
              <w:pStyle w:val="26"/>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采购代理服务费不超过</w:t>
            </w:r>
            <w:r>
              <w:rPr>
                <w:rFonts w:hint="eastAsia" w:ascii="宋体" w:hAnsi="宋体" w:cs="宋体"/>
                <w:color w:val="auto"/>
                <w:kern w:val="2"/>
                <w:sz w:val="21"/>
                <w:szCs w:val="21"/>
                <w:highlight w:val="none"/>
                <w:lang w:val="en-US" w:eastAsia="zh-CN" w:bidi="ar-SA"/>
              </w:rPr>
              <w:t>13836.00</w:t>
            </w:r>
            <w:r>
              <w:rPr>
                <w:rFonts w:hint="eastAsia" w:ascii="宋体" w:hAnsi="宋体" w:eastAsia="宋体" w:cs="宋体"/>
                <w:color w:val="auto"/>
                <w:kern w:val="2"/>
                <w:sz w:val="21"/>
                <w:szCs w:val="21"/>
                <w:highlight w:val="none"/>
                <w:lang w:val="en-US" w:eastAsia="zh-CN" w:bidi="ar-SA"/>
              </w:rPr>
              <w:t>元，由采购人支付。</w:t>
            </w:r>
          </w:p>
        </w:tc>
      </w:tr>
      <w:tr w14:paraId="012E9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0DC69F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第二章第42.1款</w:t>
            </w:r>
          </w:p>
        </w:tc>
        <w:tc>
          <w:tcPr>
            <w:tcW w:w="1854" w:type="dxa"/>
            <w:vAlign w:val="center"/>
          </w:tcPr>
          <w:p w14:paraId="1F5AEDE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其他规定</w:t>
            </w:r>
          </w:p>
        </w:tc>
        <w:tc>
          <w:tcPr>
            <w:tcW w:w="6315" w:type="dxa"/>
            <w:vAlign w:val="center"/>
          </w:tcPr>
          <w:p w14:paraId="7B3DFA7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相关文件要求，对列入失信被执行人、重大税收违法案件当事人名单、政府采购严重违法失信行为记录名单及其他不符合《中华人民共和国政府采购法》第二十二条规定条件的供应商，应当拒绝其参与政府采购活动。</w:t>
            </w:r>
          </w:p>
          <w:p w14:paraId="7EAD09C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9871E96">
            <w:pPr>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1、信用信息查询的查询渠道：“信用中国”网站（www.creditchina.gov.cn）、中国政府采购网（www.ccgp.gov.cn）、信用湖南网（www.hncredit.gov.cn）。</w:t>
            </w:r>
          </w:p>
          <w:p w14:paraId="6F198116">
            <w:pPr>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2、信用信息查询的截止时点：至本项目投标截止时间止。</w:t>
            </w:r>
          </w:p>
          <w:p w14:paraId="49A5A2F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3、信用信息查询记录的具体方式：由采购人或采购代理机构在规定的查询渠道进行查询。</w:t>
            </w:r>
          </w:p>
          <w:p w14:paraId="66497E0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4、信用信息查询记录证据留存的具体方式：查询记录的网上打印件。</w:t>
            </w:r>
          </w:p>
          <w:p w14:paraId="50384A6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5、信用信息的使用规则：留存备查。</w:t>
            </w:r>
          </w:p>
        </w:tc>
      </w:tr>
      <w:tr w14:paraId="5276F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3698" w:type="dxa"/>
            <w:gridSpan w:val="2"/>
            <w:vAlign w:val="center"/>
          </w:tcPr>
          <w:p w14:paraId="53EA2C52">
            <w:pPr>
              <w:adjustRightInd w:val="0"/>
              <w:snapToGrid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付款方式</w:t>
            </w:r>
          </w:p>
        </w:tc>
        <w:tc>
          <w:tcPr>
            <w:tcW w:w="6315" w:type="dxa"/>
            <w:vAlign w:val="center"/>
          </w:tcPr>
          <w:p w14:paraId="5646ED03">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b/>
                <w:bCs/>
                <w:color w:val="auto"/>
                <w:lang w:val="en-US" w:eastAsia="zh-CN"/>
              </w:rPr>
              <w:t>工程竣工验收合格、资料移交完成后支付合同总价50%；竣工验收合格满1年，缺陷责任履行到位，支付至合同总价80%；竣工验收合格满2年，缺陷责任期满、竣工结算经财政评审审定完成后，支付至结算审定总价100%。所有款项支付前承包人须提供合规增值税发票，如存在质量缺陷，采购人可暂缓付款。</w:t>
            </w:r>
          </w:p>
        </w:tc>
      </w:tr>
    </w:tbl>
    <w:p w14:paraId="1A9EFE36">
      <w:pPr>
        <w:pStyle w:val="7"/>
        <w:spacing w:line="360" w:lineRule="auto"/>
        <w:rPr>
          <w:rFonts w:hint="eastAsia" w:ascii="宋体" w:hAnsi="宋体" w:eastAsia="宋体" w:cs="宋体"/>
          <w:color w:val="auto"/>
          <w:highlight w:val="none"/>
        </w:rPr>
        <w:sectPr>
          <w:pgSz w:w="11906" w:h="16838"/>
          <w:pgMar w:top="1440" w:right="1800" w:bottom="1440" w:left="1800" w:header="851" w:footer="992" w:gutter="0"/>
          <w:cols w:space="425" w:num="1"/>
          <w:docGrid w:type="lines" w:linePitch="312" w:charSpace="0"/>
        </w:sectPr>
      </w:pPr>
    </w:p>
    <w:p w14:paraId="0C1E4465">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附页1</w:t>
      </w:r>
    </w:p>
    <w:p w14:paraId="388C3192">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湖南省政府采购支持中小企业融资合作银行及联系人名单</w:t>
      </w:r>
    </w:p>
    <w:tbl>
      <w:tblPr>
        <w:tblStyle w:val="21"/>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2BDD9E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7EF2A6F9">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银行名称</w:t>
            </w:r>
          </w:p>
        </w:tc>
        <w:tc>
          <w:tcPr>
            <w:tcW w:w="1080" w:type="dxa"/>
            <w:vAlign w:val="center"/>
          </w:tcPr>
          <w:p w14:paraId="65C694CA">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联系人</w:t>
            </w:r>
          </w:p>
        </w:tc>
        <w:tc>
          <w:tcPr>
            <w:tcW w:w="3060" w:type="dxa"/>
            <w:vAlign w:val="center"/>
          </w:tcPr>
          <w:p w14:paraId="5B830AAA">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职 务</w:t>
            </w:r>
          </w:p>
        </w:tc>
        <w:tc>
          <w:tcPr>
            <w:tcW w:w="2340" w:type="dxa"/>
            <w:vAlign w:val="center"/>
          </w:tcPr>
          <w:p w14:paraId="738B45A8">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联系电话</w:t>
            </w:r>
          </w:p>
        </w:tc>
      </w:tr>
      <w:tr w14:paraId="2C0FA1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07318FCA">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交通银行湖南省分行</w:t>
            </w:r>
          </w:p>
        </w:tc>
        <w:tc>
          <w:tcPr>
            <w:tcW w:w="1080" w:type="dxa"/>
            <w:vAlign w:val="center"/>
          </w:tcPr>
          <w:p w14:paraId="457F9F0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刘  波</w:t>
            </w:r>
          </w:p>
        </w:tc>
        <w:tc>
          <w:tcPr>
            <w:tcW w:w="3060" w:type="dxa"/>
            <w:vAlign w:val="center"/>
          </w:tcPr>
          <w:p w14:paraId="6582666B">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名城支行客户经理</w:t>
            </w:r>
          </w:p>
        </w:tc>
        <w:tc>
          <w:tcPr>
            <w:tcW w:w="2340" w:type="dxa"/>
            <w:vAlign w:val="center"/>
          </w:tcPr>
          <w:p w14:paraId="27E578F2">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13874998873</w:t>
            </w:r>
          </w:p>
        </w:tc>
      </w:tr>
      <w:tr w14:paraId="24C198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729ACDAA">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交通银行湖南省分行</w:t>
            </w:r>
          </w:p>
        </w:tc>
        <w:tc>
          <w:tcPr>
            <w:tcW w:w="1080" w:type="dxa"/>
            <w:vAlign w:val="center"/>
          </w:tcPr>
          <w:p w14:paraId="4E7405FC">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肖勇光</w:t>
            </w:r>
          </w:p>
        </w:tc>
        <w:tc>
          <w:tcPr>
            <w:tcW w:w="3060" w:type="dxa"/>
            <w:vAlign w:val="center"/>
          </w:tcPr>
          <w:p w14:paraId="0901B13F">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分行高级经理</w:t>
            </w:r>
          </w:p>
        </w:tc>
        <w:tc>
          <w:tcPr>
            <w:tcW w:w="2340" w:type="dxa"/>
            <w:vAlign w:val="center"/>
          </w:tcPr>
          <w:p w14:paraId="2663A6D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13755192647</w:t>
            </w:r>
          </w:p>
        </w:tc>
      </w:tr>
      <w:tr w14:paraId="46A741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9A4CACB">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中国民生银行长沙分行</w:t>
            </w:r>
          </w:p>
        </w:tc>
        <w:tc>
          <w:tcPr>
            <w:tcW w:w="1080" w:type="dxa"/>
            <w:vAlign w:val="center"/>
          </w:tcPr>
          <w:p w14:paraId="3CCE5210">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黄飞燕</w:t>
            </w:r>
          </w:p>
        </w:tc>
        <w:tc>
          <w:tcPr>
            <w:tcW w:w="3060" w:type="dxa"/>
            <w:vAlign w:val="center"/>
          </w:tcPr>
          <w:p w14:paraId="14ED241B">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营业部总经理</w:t>
            </w:r>
          </w:p>
        </w:tc>
        <w:tc>
          <w:tcPr>
            <w:tcW w:w="2340" w:type="dxa"/>
            <w:vAlign w:val="center"/>
          </w:tcPr>
          <w:p w14:paraId="37B0314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13308463468</w:t>
            </w:r>
          </w:p>
        </w:tc>
      </w:tr>
      <w:tr w14:paraId="2F729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27F47FF9">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中国民生银行长沙分行</w:t>
            </w:r>
          </w:p>
        </w:tc>
        <w:tc>
          <w:tcPr>
            <w:tcW w:w="1080" w:type="dxa"/>
            <w:vAlign w:val="center"/>
          </w:tcPr>
          <w:p w14:paraId="1458049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蒋寒奇</w:t>
            </w:r>
          </w:p>
        </w:tc>
        <w:tc>
          <w:tcPr>
            <w:tcW w:w="3060" w:type="dxa"/>
            <w:vAlign w:val="center"/>
          </w:tcPr>
          <w:p w14:paraId="3360D0C3">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营业部中小企业客户经理</w:t>
            </w:r>
          </w:p>
        </w:tc>
        <w:tc>
          <w:tcPr>
            <w:tcW w:w="2340" w:type="dxa"/>
            <w:vAlign w:val="center"/>
          </w:tcPr>
          <w:p w14:paraId="276C96F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13548982975</w:t>
            </w:r>
          </w:p>
        </w:tc>
      </w:tr>
      <w:tr w14:paraId="209F16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07E3BEBB">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兴业银行长沙分行</w:t>
            </w:r>
          </w:p>
        </w:tc>
        <w:tc>
          <w:tcPr>
            <w:tcW w:w="1080" w:type="dxa"/>
            <w:vAlign w:val="center"/>
          </w:tcPr>
          <w:p w14:paraId="0C15BC1F">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刘栅延</w:t>
            </w:r>
          </w:p>
        </w:tc>
        <w:tc>
          <w:tcPr>
            <w:tcW w:w="3060" w:type="dxa"/>
            <w:vAlign w:val="center"/>
          </w:tcPr>
          <w:p w14:paraId="48682FAA">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支行行长</w:t>
            </w:r>
          </w:p>
        </w:tc>
        <w:tc>
          <w:tcPr>
            <w:tcW w:w="2340" w:type="dxa"/>
            <w:vAlign w:val="center"/>
          </w:tcPr>
          <w:p w14:paraId="5B50EBB2">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13337316405</w:t>
            </w:r>
          </w:p>
        </w:tc>
      </w:tr>
      <w:tr w14:paraId="239955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107723C">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兴业银行长沙分行</w:t>
            </w:r>
          </w:p>
        </w:tc>
        <w:tc>
          <w:tcPr>
            <w:tcW w:w="1080" w:type="dxa"/>
            <w:vAlign w:val="center"/>
          </w:tcPr>
          <w:p w14:paraId="4B9483C7">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蒋修远</w:t>
            </w:r>
          </w:p>
        </w:tc>
        <w:tc>
          <w:tcPr>
            <w:tcW w:w="3060" w:type="dxa"/>
            <w:vAlign w:val="center"/>
          </w:tcPr>
          <w:p w14:paraId="06A21C39">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支行客户经理</w:t>
            </w:r>
          </w:p>
        </w:tc>
        <w:tc>
          <w:tcPr>
            <w:tcW w:w="2340" w:type="dxa"/>
            <w:vAlign w:val="center"/>
          </w:tcPr>
          <w:p w14:paraId="743A30E0">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18607310422</w:t>
            </w:r>
          </w:p>
        </w:tc>
      </w:tr>
      <w:tr w14:paraId="46F06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47D3571D">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中国光大银行长沙分行</w:t>
            </w:r>
          </w:p>
        </w:tc>
        <w:tc>
          <w:tcPr>
            <w:tcW w:w="1080" w:type="dxa"/>
            <w:vAlign w:val="center"/>
          </w:tcPr>
          <w:p w14:paraId="41F7466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邓永胜</w:t>
            </w:r>
          </w:p>
        </w:tc>
        <w:tc>
          <w:tcPr>
            <w:tcW w:w="3060" w:type="dxa"/>
            <w:vAlign w:val="center"/>
          </w:tcPr>
          <w:p w14:paraId="211B3F61">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岳麓支行副行长</w:t>
            </w:r>
          </w:p>
        </w:tc>
        <w:tc>
          <w:tcPr>
            <w:tcW w:w="2340" w:type="dxa"/>
            <w:vAlign w:val="center"/>
          </w:tcPr>
          <w:p w14:paraId="376230F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13617319650</w:t>
            </w:r>
          </w:p>
        </w:tc>
      </w:tr>
      <w:tr w14:paraId="7FB5AE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55A71B30">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中信银行长沙分行</w:t>
            </w:r>
          </w:p>
        </w:tc>
        <w:tc>
          <w:tcPr>
            <w:tcW w:w="1080" w:type="dxa"/>
            <w:vAlign w:val="center"/>
          </w:tcPr>
          <w:p w14:paraId="667FE102">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蔡学军</w:t>
            </w:r>
          </w:p>
        </w:tc>
        <w:tc>
          <w:tcPr>
            <w:tcW w:w="3060" w:type="dxa"/>
            <w:vAlign w:val="center"/>
          </w:tcPr>
          <w:p w14:paraId="17AE7565">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公司银行部负责人</w:t>
            </w:r>
          </w:p>
        </w:tc>
        <w:tc>
          <w:tcPr>
            <w:tcW w:w="2340" w:type="dxa"/>
            <w:vAlign w:val="center"/>
          </w:tcPr>
          <w:p w14:paraId="3EE2A8C7">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13055167195</w:t>
            </w:r>
          </w:p>
        </w:tc>
      </w:tr>
      <w:tr w14:paraId="7A21B4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4E0ADA55">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中信银行长沙分行</w:t>
            </w:r>
          </w:p>
        </w:tc>
        <w:tc>
          <w:tcPr>
            <w:tcW w:w="1080" w:type="dxa"/>
            <w:vAlign w:val="center"/>
          </w:tcPr>
          <w:p w14:paraId="051F6F4A">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宋学农</w:t>
            </w:r>
          </w:p>
        </w:tc>
        <w:tc>
          <w:tcPr>
            <w:tcW w:w="3060" w:type="dxa"/>
            <w:vAlign w:val="center"/>
          </w:tcPr>
          <w:p w14:paraId="2256E8BF">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银行部综合管理部副总经理</w:t>
            </w:r>
          </w:p>
        </w:tc>
        <w:tc>
          <w:tcPr>
            <w:tcW w:w="2340" w:type="dxa"/>
            <w:vAlign w:val="center"/>
          </w:tcPr>
          <w:p w14:paraId="5E6259BD">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0731-845822141</w:t>
            </w:r>
          </w:p>
        </w:tc>
      </w:tr>
    </w:tbl>
    <w:p w14:paraId="0CD05169">
      <w:pPr>
        <w:adjustRightInd w:val="0"/>
        <w:snapToGrid w:val="0"/>
        <w:spacing w:line="360" w:lineRule="auto"/>
        <w:rPr>
          <w:rFonts w:hint="eastAsia" w:ascii="宋体" w:hAnsi="宋体" w:eastAsia="宋体" w:cs="宋体"/>
          <w:b/>
          <w:bCs/>
          <w:color w:val="auto"/>
          <w:szCs w:val="21"/>
          <w:highlight w:val="none"/>
        </w:rPr>
      </w:pPr>
    </w:p>
    <w:p w14:paraId="356896BF">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附页2</w:t>
      </w:r>
    </w:p>
    <w:p w14:paraId="3F02BCF9">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湖南省政府采购信用担保试点工作的</w:t>
      </w:r>
      <w:r>
        <w:rPr>
          <w:rFonts w:hint="eastAsia" w:ascii="宋体" w:hAnsi="宋体" w:eastAsia="宋体" w:cs="宋体"/>
          <w:b/>
          <w:color w:val="auto"/>
          <w:sz w:val="28"/>
          <w:szCs w:val="28"/>
          <w:highlight w:val="none"/>
        </w:rPr>
        <w:t>信用担保机构名单</w:t>
      </w:r>
    </w:p>
    <w:tbl>
      <w:tblPr>
        <w:tblStyle w:val="21"/>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7E36E7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1A9A4DDB">
            <w:pPr>
              <w:adjustRightInd w:val="0"/>
              <w:snapToGrid w:val="0"/>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信用担保机构</w:t>
            </w:r>
          </w:p>
        </w:tc>
        <w:tc>
          <w:tcPr>
            <w:tcW w:w="1080" w:type="dxa"/>
            <w:vAlign w:val="center"/>
          </w:tcPr>
          <w:p w14:paraId="1C939845">
            <w:pPr>
              <w:adjustRightInd w:val="0"/>
              <w:snapToGrid w:val="0"/>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联系人</w:t>
            </w:r>
          </w:p>
        </w:tc>
        <w:tc>
          <w:tcPr>
            <w:tcW w:w="3780" w:type="dxa"/>
            <w:vAlign w:val="center"/>
          </w:tcPr>
          <w:p w14:paraId="2C654B06">
            <w:pPr>
              <w:adjustRightInd w:val="0"/>
              <w:snapToGrid w:val="0"/>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联系电话</w:t>
            </w:r>
          </w:p>
        </w:tc>
      </w:tr>
      <w:tr w14:paraId="0FF008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5DA2D262">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中国投资担保公司</w:t>
            </w:r>
          </w:p>
        </w:tc>
        <w:tc>
          <w:tcPr>
            <w:tcW w:w="1080" w:type="dxa"/>
            <w:vAlign w:val="center"/>
          </w:tcPr>
          <w:p w14:paraId="4A8ABA6A">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何  嘉</w:t>
            </w:r>
          </w:p>
        </w:tc>
        <w:tc>
          <w:tcPr>
            <w:tcW w:w="3780" w:type="dxa"/>
            <w:vAlign w:val="center"/>
          </w:tcPr>
          <w:p w14:paraId="6CE7524D">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010-88822659/13718642233</w:t>
            </w:r>
          </w:p>
        </w:tc>
      </w:tr>
      <w:tr w14:paraId="05919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581D6452">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湖南省中小企业信用担保有限责任公司</w:t>
            </w:r>
          </w:p>
        </w:tc>
        <w:tc>
          <w:tcPr>
            <w:tcW w:w="1080" w:type="dxa"/>
            <w:vAlign w:val="center"/>
          </w:tcPr>
          <w:p w14:paraId="0529D789">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蔡建雄</w:t>
            </w:r>
          </w:p>
        </w:tc>
        <w:tc>
          <w:tcPr>
            <w:tcW w:w="3780" w:type="dxa"/>
            <w:vAlign w:val="center"/>
          </w:tcPr>
          <w:p w14:paraId="15CEB97E">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0731-84172390-201/15573193555</w:t>
            </w:r>
          </w:p>
        </w:tc>
      </w:tr>
      <w:tr w14:paraId="1BAB1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8" w:hRule="atLeast"/>
        </w:trPr>
        <w:tc>
          <w:tcPr>
            <w:tcW w:w="4320" w:type="dxa"/>
            <w:vAlign w:val="center"/>
          </w:tcPr>
          <w:p w14:paraId="276BB8D9">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湖南农业信用担保有限公司</w:t>
            </w:r>
          </w:p>
        </w:tc>
        <w:tc>
          <w:tcPr>
            <w:tcW w:w="1080" w:type="dxa"/>
            <w:vAlign w:val="center"/>
          </w:tcPr>
          <w:p w14:paraId="755BCF9D">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彭  球</w:t>
            </w:r>
          </w:p>
          <w:p w14:paraId="06A5A25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邓霞英</w:t>
            </w:r>
          </w:p>
        </w:tc>
        <w:tc>
          <w:tcPr>
            <w:tcW w:w="3780" w:type="dxa"/>
            <w:vAlign w:val="center"/>
          </w:tcPr>
          <w:p w14:paraId="14C65452">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0731-89761702/13875980906 0731-89761706/13574125851</w:t>
            </w:r>
          </w:p>
        </w:tc>
      </w:tr>
    </w:tbl>
    <w:p w14:paraId="2467EF76">
      <w:pPr>
        <w:adjustRightInd w:val="0"/>
        <w:snapToGrid w:val="0"/>
        <w:spacing w:line="360" w:lineRule="auto"/>
        <w:rPr>
          <w:rFonts w:hint="eastAsia" w:ascii="宋体" w:hAnsi="宋体" w:eastAsia="宋体" w:cs="宋体"/>
          <w:b/>
          <w:color w:val="auto"/>
          <w:szCs w:val="21"/>
          <w:highlight w:val="none"/>
        </w:rPr>
        <w:sectPr>
          <w:pgSz w:w="11906" w:h="16838"/>
          <w:pgMar w:top="1417" w:right="1417" w:bottom="1417" w:left="1417" w:header="851" w:footer="992" w:gutter="0"/>
          <w:cols w:space="720" w:num="1"/>
          <w:docGrid w:type="lines" w:linePitch="312" w:charSpace="0"/>
        </w:sectPr>
      </w:pPr>
    </w:p>
    <w:p w14:paraId="718F509E">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附页3</w:t>
      </w:r>
    </w:p>
    <w:p w14:paraId="76DCF711">
      <w:pPr>
        <w:adjustRightInd w:val="0"/>
        <w:snapToGrid w:val="0"/>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政府采购履约担保函</w:t>
      </w:r>
    </w:p>
    <w:p w14:paraId="2A3757A8">
      <w:pPr>
        <w:adjustRightInd w:val="0"/>
        <w:snapToGrid w:val="0"/>
        <w:spacing w:line="360" w:lineRule="auto"/>
        <w:ind w:firstLine="6510" w:firstLineChars="31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编号：</w:t>
      </w:r>
      <w:r>
        <w:rPr>
          <w:rFonts w:hint="eastAsia" w:ascii="宋体" w:hAnsi="宋体" w:eastAsia="宋体" w:cs="宋体"/>
          <w:color w:val="auto"/>
          <w:kern w:val="0"/>
          <w:szCs w:val="21"/>
          <w:highlight w:val="none"/>
          <w:u w:val="single"/>
        </w:rPr>
        <w:t xml:space="preserve">              </w:t>
      </w:r>
    </w:p>
    <w:p w14:paraId="6943538F">
      <w:pPr>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（采购人）： </w:t>
      </w:r>
    </w:p>
    <w:p w14:paraId="42AFFCD3">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鉴于你方与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（以下简称供应商）于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日签定编号为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政府采购合同》（以下简称主合同），且依据该合同的约定，供应商应在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日前向你方交纳履约保证金，且可以履约担保函的形式交纳履约保证金。应供应商的申请，我方以保证的方式向你方提供如下履约保证金担保：</w:t>
      </w:r>
    </w:p>
    <w:p w14:paraId="11B2A0E8">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一、保证责任的情形及保证金额</w:t>
      </w:r>
    </w:p>
    <w:p w14:paraId="5FF9F20B">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（一）在供应商出现下列情形之一时，我方承担保证责任：</w:t>
      </w:r>
    </w:p>
    <w:p w14:paraId="6A58AE0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1．将中标项目转让给他人，或者在投标文件中未说明，且未经采购人同意，将中标项目分包给他人的；</w:t>
      </w:r>
    </w:p>
    <w:p w14:paraId="5E2670A5">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2．主合同约定的应当缴纳履约保证金的情形: </w:t>
      </w:r>
    </w:p>
    <w:p w14:paraId="59CABD34">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（1）未按主合同约定的质量、数量和期限供应货物/提供服务/完成工程的； </w:t>
      </w:r>
    </w:p>
    <w:p w14:paraId="03A1A6A4">
      <w:pPr>
        <w:adjustRightInd w:val="0"/>
        <w:snapToGrid w:val="0"/>
        <w:spacing w:line="360" w:lineRule="auto"/>
        <w:ind w:firstLine="420" w:firstLineChars="2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3942B14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（二）我方的保证范围是主合同约定的合同价款总额的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%数额为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），币种为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。（即主合同履约保证金金额）</w:t>
      </w:r>
    </w:p>
    <w:p w14:paraId="4E5418D8">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二、保证的方式及保证期间 </w:t>
      </w:r>
    </w:p>
    <w:p w14:paraId="486D389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我方保证的方式为：连带责任保证。 </w:t>
      </w:r>
    </w:p>
    <w:p w14:paraId="170612A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我方保证的期间为：自本合同生效之日起至供应商按照主合同约定的供货/完工期限届满后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日内。</w:t>
      </w:r>
    </w:p>
    <w:p w14:paraId="5640AB2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如果供应商未按主合同约定向贵方供应货物/提供服务/完成工程的，由我方在保证金额内向你方支付上述款项。 </w:t>
      </w:r>
    </w:p>
    <w:p w14:paraId="2EDFEC16">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三、承担保证责任的程序</w:t>
      </w:r>
    </w:p>
    <w:p w14:paraId="74505F13">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45E5E80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如果你方与供应商因货物质量问题产生争议，你方还需同时提供</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部门出具的质量检测报告，或经诉讼（仲裁）程序裁决后的裁决书、调解书，本保证人即按照检测结果或裁决书、调解书决定是否承担保证责任。</w:t>
      </w:r>
    </w:p>
    <w:p w14:paraId="5E92920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2．我方收到你方的书面索赔通知及相应证明材料，在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工作日内进行核定后按照本保函的承诺承担保证责任。</w:t>
      </w:r>
    </w:p>
    <w:p w14:paraId="36F3979C">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四、保证责任的终止</w:t>
      </w:r>
    </w:p>
    <w:p w14:paraId="5247E49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18B5F33">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2．我方按照本保函向你方履行了保证责任后，自我方向你方支付款项（支付款项从我方账户划出）之日起，保证责任即终止。</w:t>
      </w:r>
    </w:p>
    <w:p w14:paraId="10AC7F6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3．按照法律法规的规定或出现应终止我方保证责任的其它情形的，我方在本保函项下的保证责任亦终止。</w:t>
      </w:r>
    </w:p>
    <w:p w14:paraId="43763CF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55F3A4D7">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五、免责条款</w:t>
      </w:r>
    </w:p>
    <w:p w14:paraId="44C49EC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1．因你方违反主合同约定致使供应商不能履行义务的，我方不承担保证责任。</w:t>
      </w:r>
    </w:p>
    <w:p w14:paraId="6CF6075F">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2．依照法律法规的规定或你方与供应商的另行约定，全部或者部分免除供应商应缴纳的保证金义务的，我方亦免除相应的保证责任。</w:t>
      </w:r>
    </w:p>
    <w:p w14:paraId="13412B1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3．因不可抗力造成供应商不能履行供货义务的，我方不承担保证责任。</w:t>
      </w:r>
    </w:p>
    <w:p w14:paraId="51757911">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六、争议的解决</w:t>
      </w:r>
    </w:p>
    <w:p w14:paraId="7910A0E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因本保函发生的纠纷，由你我双方协商解决，协商不成的，通过诉讼程序解决，诉讼管辖地法院为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法院。</w:t>
      </w:r>
    </w:p>
    <w:p w14:paraId="541CF434">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七、保函的生效 </w:t>
      </w:r>
    </w:p>
    <w:p w14:paraId="1A058A2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本保函自我方加盖公章之日起生效。 </w:t>
      </w:r>
    </w:p>
    <w:p w14:paraId="77B7CDC5">
      <w:pPr>
        <w:tabs>
          <w:tab w:val="left" w:pos="2850"/>
        </w:tabs>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 xml:space="preserve">                            保证人：（公章） </w:t>
      </w:r>
    </w:p>
    <w:p w14:paraId="13E6F78E">
      <w:pPr>
        <w:adjustRightInd w:val="0"/>
        <w:snapToGrid w:val="0"/>
        <w:spacing w:line="360" w:lineRule="auto"/>
        <w:rPr>
          <w:rFonts w:hint="eastAsia" w:ascii="宋体" w:hAnsi="宋体" w:eastAsia="宋体" w:cs="宋体"/>
          <w:color w:val="auto"/>
          <w:kern w:val="0"/>
          <w:szCs w:val="21"/>
          <w:highlight w:val="none"/>
        </w:rPr>
        <w:sectPr>
          <w:pgSz w:w="11906" w:h="16838"/>
          <w:pgMar w:top="1440" w:right="1531" w:bottom="1440" w:left="1531" w:header="851" w:footer="992" w:gutter="0"/>
          <w:cols w:space="720" w:num="1"/>
          <w:docGrid w:type="lines" w:linePitch="312" w:charSpace="0"/>
        </w:sect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日</w:t>
      </w:r>
    </w:p>
    <w:p w14:paraId="7B8A507C">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附页4</w:t>
      </w:r>
    </w:p>
    <w:p w14:paraId="573C636A">
      <w:pPr>
        <w:adjustRightInd w:val="0"/>
        <w:snapToGrid w:val="0"/>
        <w:spacing w:line="360" w:lineRule="auto"/>
        <w:jc w:val="center"/>
        <w:rPr>
          <w:rFonts w:hint="eastAsia"/>
          <w:color w:val="auto"/>
          <w:highlight w:val="none"/>
        </w:rPr>
      </w:pPr>
      <w:r>
        <w:rPr>
          <w:rFonts w:hint="eastAsia" w:ascii="宋体" w:hAnsi="宋体" w:eastAsia="宋体" w:cs="宋体"/>
          <w:b/>
          <w:color w:val="auto"/>
          <w:kern w:val="0"/>
          <w:sz w:val="28"/>
          <w:szCs w:val="28"/>
          <w:highlight w:val="none"/>
        </w:rPr>
        <w:t>评审因素和标准</w:t>
      </w:r>
    </w:p>
    <w:tbl>
      <w:tblPr>
        <w:tblStyle w:val="21"/>
        <w:tblpPr w:leftFromText="180" w:rightFromText="180" w:vertAnchor="text" w:horzAnchor="page" w:tblpX="1698" w:tblpY="535"/>
        <w:tblOverlap w:val="never"/>
        <w:tblW w:w="8962" w:type="dxa"/>
        <w:tblInd w:w="0" w:type="dxa"/>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80"/>
        <w:gridCol w:w="1032"/>
        <w:gridCol w:w="888"/>
        <w:gridCol w:w="540"/>
        <w:gridCol w:w="6022"/>
      </w:tblGrid>
      <w:tr w14:paraId="519238D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40" w:hRule="atLeast"/>
        </w:trPr>
        <w:tc>
          <w:tcPr>
            <w:tcW w:w="480" w:type="dxa"/>
            <w:tcBorders>
              <w:tl2br w:val="nil"/>
              <w:tr2bl w:val="nil"/>
            </w:tcBorders>
            <w:shd w:val="clear" w:color="auto" w:fill="auto"/>
            <w:vAlign w:val="center"/>
          </w:tcPr>
          <w:p w14:paraId="675B100D">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bookmarkStart w:id="28" w:name="_Toc17929"/>
            <w:bookmarkStart w:id="29" w:name="_Toc485821379"/>
            <w:r>
              <w:rPr>
                <w:rFonts w:hint="eastAsia" w:ascii="宋体" w:hAnsi="宋体" w:eastAsia="宋体" w:cs="宋体"/>
                <w:b/>
                <w:bCs/>
                <w:i w:val="0"/>
                <w:iCs w:val="0"/>
                <w:color w:val="auto"/>
                <w:kern w:val="0"/>
                <w:sz w:val="21"/>
                <w:szCs w:val="21"/>
                <w:highlight w:val="none"/>
                <w:u w:val="none"/>
                <w:lang w:val="en-US" w:eastAsia="zh-CN" w:bidi="ar"/>
              </w:rPr>
              <w:t>序号</w:t>
            </w:r>
          </w:p>
        </w:tc>
        <w:tc>
          <w:tcPr>
            <w:tcW w:w="2460" w:type="dxa"/>
            <w:gridSpan w:val="3"/>
            <w:tcBorders>
              <w:tl2br w:val="nil"/>
              <w:tr2bl w:val="nil"/>
            </w:tcBorders>
            <w:shd w:val="clear" w:color="auto" w:fill="auto"/>
            <w:vAlign w:val="center"/>
          </w:tcPr>
          <w:p w14:paraId="3B9F21A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评审因素（权重分）</w:t>
            </w:r>
          </w:p>
        </w:tc>
        <w:tc>
          <w:tcPr>
            <w:tcW w:w="6022" w:type="dxa"/>
            <w:tcBorders>
              <w:tl2br w:val="nil"/>
              <w:tr2bl w:val="nil"/>
            </w:tcBorders>
            <w:shd w:val="clear" w:color="auto" w:fill="auto"/>
            <w:vAlign w:val="center"/>
          </w:tcPr>
          <w:p w14:paraId="60AFCDB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r>
      <w:tr w14:paraId="580C245C">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480" w:type="dxa"/>
            <w:tcBorders>
              <w:tl2br w:val="nil"/>
              <w:tr2bl w:val="nil"/>
            </w:tcBorders>
            <w:shd w:val="clear" w:color="auto" w:fill="auto"/>
            <w:vAlign w:val="center"/>
          </w:tcPr>
          <w:p w14:paraId="096DB8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920" w:type="dxa"/>
            <w:gridSpan w:val="2"/>
            <w:tcBorders>
              <w:tl2br w:val="nil"/>
              <w:tr2bl w:val="nil"/>
            </w:tcBorders>
            <w:shd w:val="clear" w:color="auto" w:fill="auto"/>
            <w:vAlign w:val="center"/>
          </w:tcPr>
          <w:p w14:paraId="4388630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A.价格评价</w:t>
            </w:r>
          </w:p>
          <w:p w14:paraId="019C733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（30分）</w:t>
            </w:r>
          </w:p>
        </w:tc>
        <w:tc>
          <w:tcPr>
            <w:tcW w:w="540" w:type="dxa"/>
            <w:tcBorders>
              <w:tl2br w:val="nil"/>
              <w:tr2bl w:val="nil"/>
            </w:tcBorders>
            <w:shd w:val="clear" w:color="auto" w:fill="auto"/>
            <w:vAlign w:val="center"/>
          </w:tcPr>
          <w:p w14:paraId="12A7FA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top"/>
          </w:tcPr>
          <w:p w14:paraId="414323DC">
            <w:pPr>
              <w:keepNext w:val="0"/>
              <w:keepLines w:val="0"/>
              <w:widowControl/>
              <w:suppressLineNumbers w:val="0"/>
              <w:jc w:val="both"/>
              <w:textAlignment w:val="top"/>
              <w:rPr>
                <w:rStyle w:val="43"/>
                <w:rFonts w:hint="eastAsia" w:ascii="宋体" w:hAnsi="宋体" w:eastAsia="宋体" w:cs="宋体"/>
                <w:color w:val="auto"/>
                <w:sz w:val="21"/>
                <w:szCs w:val="21"/>
                <w:highlight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经评委会一致认定满足招标文件要求且</w:t>
            </w:r>
            <w:r>
              <w:rPr>
                <w:rStyle w:val="43"/>
                <w:rFonts w:hint="eastAsia" w:ascii="宋体" w:hAnsi="宋体" w:eastAsia="宋体" w:cs="宋体"/>
                <w:color w:val="auto"/>
                <w:sz w:val="21"/>
                <w:szCs w:val="21"/>
                <w:highlight w:val="none"/>
                <w:lang w:val="en-US" w:eastAsia="zh-CN" w:bidi="ar"/>
              </w:rPr>
              <w:t>投标</w:t>
            </w:r>
            <w:r>
              <w:rPr>
                <w:rFonts w:hint="eastAsia" w:ascii="宋体" w:hAnsi="宋体" w:eastAsia="宋体" w:cs="宋体"/>
                <w:i w:val="0"/>
                <w:iCs w:val="0"/>
                <w:color w:val="auto"/>
                <w:kern w:val="0"/>
                <w:sz w:val="21"/>
                <w:szCs w:val="21"/>
                <w:highlight w:val="none"/>
                <w:u w:val="none"/>
                <w:lang w:val="en-US" w:eastAsia="zh-CN" w:bidi="ar"/>
              </w:rPr>
              <w:t>报价</w:t>
            </w:r>
            <w:r>
              <w:rPr>
                <w:rStyle w:val="43"/>
                <w:rFonts w:hint="eastAsia" w:ascii="宋体" w:hAnsi="宋体" w:eastAsia="宋体" w:cs="宋体"/>
                <w:color w:val="auto"/>
                <w:sz w:val="21"/>
                <w:szCs w:val="21"/>
                <w:highlight w:val="none"/>
                <w:lang w:val="en-US" w:eastAsia="zh-CN" w:bidi="ar"/>
              </w:rPr>
              <w:t>最低为评标基准价，其价格得分计满分</w:t>
            </w:r>
            <w:r>
              <w:rPr>
                <w:rStyle w:val="42"/>
                <w:rFonts w:hint="eastAsia" w:ascii="宋体" w:hAnsi="宋体" w:eastAsia="宋体" w:cs="宋体"/>
                <w:color w:val="auto"/>
                <w:sz w:val="21"/>
                <w:szCs w:val="21"/>
                <w:highlight w:val="none"/>
                <w:lang w:val="en-US" w:eastAsia="zh-CN" w:bidi="ar"/>
              </w:rPr>
              <w:t>(30</w:t>
            </w:r>
            <w:r>
              <w:rPr>
                <w:rStyle w:val="43"/>
                <w:rFonts w:hint="eastAsia" w:ascii="宋体" w:hAnsi="宋体" w:eastAsia="宋体" w:cs="宋体"/>
                <w:color w:val="auto"/>
                <w:sz w:val="21"/>
                <w:szCs w:val="21"/>
                <w:highlight w:val="none"/>
                <w:lang w:val="en-US" w:eastAsia="zh-CN" w:bidi="ar"/>
              </w:rPr>
              <w:t>分</w:t>
            </w:r>
            <w:r>
              <w:rPr>
                <w:rStyle w:val="42"/>
                <w:rFonts w:hint="eastAsia" w:ascii="宋体" w:hAnsi="宋体" w:eastAsia="宋体" w:cs="宋体"/>
                <w:color w:val="auto"/>
                <w:sz w:val="21"/>
                <w:szCs w:val="21"/>
                <w:highlight w:val="none"/>
                <w:lang w:val="en-US" w:eastAsia="zh-CN" w:bidi="ar"/>
              </w:rPr>
              <w:t>)</w:t>
            </w:r>
            <w:r>
              <w:rPr>
                <w:rStyle w:val="43"/>
                <w:rFonts w:hint="eastAsia" w:ascii="宋体" w:hAnsi="宋体" w:eastAsia="宋体" w:cs="宋体"/>
                <w:color w:val="auto"/>
                <w:sz w:val="21"/>
                <w:szCs w:val="21"/>
                <w:highlight w:val="none"/>
                <w:lang w:val="en-US" w:eastAsia="zh-CN" w:bidi="ar"/>
              </w:rPr>
              <w:t>，其他投标人的价格得分统一按公式计算：</w:t>
            </w:r>
          </w:p>
          <w:p w14:paraId="6EC8E66F">
            <w:pPr>
              <w:keepNext w:val="0"/>
              <w:keepLines w:val="0"/>
              <w:widowControl/>
              <w:suppressLineNumbers w:val="0"/>
              <w:jc w:val="both"/>
              <w:textAlignment w:val="top"/>
              <w:rPr>
                <w:rFonts w:hint="eastAsia" w:ascii="宋体" w:hAnsi="宋体" w:eastAsia="宋体" w:cs="宋体"/>
                <w:i w:val="0"/>
                <w:iCs w:val="0"/>
                <w:color w:val="auto"/>
                <w:sz w:val="21"/>
                <w:szCs w:val="21"/>
                <w:highlight w:val="none"/>
                <w:u w:val="none"/>
                <w:lang w:val="en-US"/>
              </w:rPr>
            </w:pPr>
            <w:r>
              <w:rPr>
                <w:rStyle w:val="43"/>
                <w:rFonts w:hint="eastAsia" w:ascii="宋体" w:hAnsi="宋体" w:eastAsia="宋体" w:cs="宋体"/>
                <w:color w:val="auto"/>
                <w:sz w:val="21"/>
                <w:szCs w:val="21"/>
                <w:highlight w:val="none"/>
                <w:lang w:val="en-US" w:eastAsia="zh-CN" w:bidi="ar"/>
              </w:rPr>
              <w:t>投标报价得分</w:t>
            </w:r>
            <w:r>
              <w:rPr>
                <w:rStyle w:val="42"/>
                <w:rFonts w:hint="eastAsia" w:ascii="宋体" w:hAnsi="宋体" w:eastAsia="宋体" w:cs="宋体"/>
                <w:color w:val="auto"/>
                <w:sz w:val="21"/>
                <w:szCs w:val="21"/>
                <w:highlight w:val="none"/>
                <w:lang w:val="en-US" w:eastAsia="zh-CN" w:bidi="ar"/>
              </w:rPr>
              <w:t>=</w:t>
            </w:r>
            <w:r>
              <w:rPr>
                <w:rStyle w:val="43"/>
                <w:rFonts w:hint="eastAsia" w:ascii="宋体" w:hAnsi="宋体" w:eastAsia="宋体" w:cs="宋体"/>
                <w:color w:val="auto"/>
                <w:sz w:val="21"/>
                <w:szCs w:val="21"/>
                <w:highlight w:val="none"/>
                <w:lang w:val="en-US" w:eastAsia="zh-CN" w:bidi="ar"/>
              </w:rPr>
              <w:t>（评标基准价／投标报价）</w:t>
            </w:r>
            <w:r>
              <w:rPr>
                <w:rStyle w:val="42"/>
                <w:rFonts w:hint="eastAsia" w:ascii="宋体" w:hAnsi="宋体" w:eastAsia="宋体" w:cs="宋体"/>
                <w:color w:val="auto"/>
                <w:sz w:val="21"/>
                <w:szCs w:val="21"/>
                <w:highlight w:val="none"/>
                <w:lang w:val="en-US" w:eastAsia="zh-CN" w:bidi="ar"/>
              </w:rPr>
              <w:t>×30</w:t>
            </w:r>
          </w:p>
          <w:p w14:paraId="03F6AB24">
            <w:pPr>
              <w:keepNext w:val="0"/>
              <w:keepLines w:val="0"/>
              <w:widowControl/>
              <w:suppressLineNumbers w:val="0"/>
              <w:jc w:val="both"/>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w:t>
            </w:r>
            <w:r>
              <w:rPr>
                <w:rStyle w:val="42"/>
                <w:rFonts w:hint="eastAsia" w:ascii="宋体" w:hAnsi="宋体" w:eastAsia="宋体" w:cs="宋体"/>
                <w:color w:val="auto"/>
                <w:sz w:val="21"/>
                <w:szCs w:val="21"/>
                <w:highlight w:val="none"/>
                <w:lang w:val="en-US" w:eastAsia="zh-CN" w:bidi="ar"/>
              </w:rPr>
              <w:t>1</w:t>
            </w:r>
            <w:r>
              <w:rPr>
                <w:rStyle w:val="43"/>
                <w:rFonts w:hint="eastAsia" w:ascii="宋体" w:hAnsi="宋体" w:eastAsia="宋体" w:cs="宋体"/>
                <w:color w:val="auto"/>
                <w:sz w:val="21"/>
                <w:szCs w:val="21"/>
                <w:highlight w:val="none"/>
                <w:lang w:val="en-US" w:eastAsia="zh-CN" w:bidi="ar"/>
              </w:rPr>
              <w:t>）若投标人的报价超过招标控制价，则为无效报价，按无效投标处理；（</w:t>
            </w:r>
            <w:r>
              <w:rPr>
                <w:rStyle w:val="42"/>
                <w:rFonts w:hint="eastAsia" w:ascii="宋体" w:hAnsi="宋体" w:eastAsia="宋体" w:cs="宋体"/>
                <w:color w:val="auto"/>
                <w:sz w:val="21"/>
                <w:szCs w:val="21"/>
                <w:highlight w:val="none"/>
                <w:lang w:val="en-US" w:eastAsia="zh-CN" w:bidi="ar"/>
              </w:rPr>
              <w:t>2</w:t>
            </w:r>
            <w:r>
              <w:rPr>
                <w:rStyle w:val="43"/>
                <w:rFonts w:hint="eastAsia" w:ascii="宋体" w:hAnsi="宋体" w:eastAsia="宋体" w:cs="宋体"/>
                <w:color w:val="auto"/>
                <w:sz w:val="21"/>
                <w:szCs w:val="21"/>
                <w:highlight w:val="none"/>
                <w:lang w:val="en-US" w:eastAsia="zh-CN" w:bidi="ar"/>
              </w:rPr>
              <w:t>）评标委员会认为投标人的投标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tc>
      </w:tr>
      <w:tr w14:paraId="0D69309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7" w:hRule="atLeast"/>
        </w:trPr>
        <w:tc>
          <w:tcPr>
            <w:tcW w:w="480" w:type="dxa"/>
            <w:tcBorders>
              <w:tl2br w:val="nil"/>
              <w:tr2bl w:val="nil"/>
            </w:tcBorders>
            <w:shd w:val="clear" w:color="auto" w:fill="auto"/>
            <w:vAlign w:val="center"/>
          </w:tcPr>
          <w:p w14:paraId="6E5FBF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32" w:type="dxa"/>
            <w:tcBorders>
              <w:tl2br w:val="nil"/>
              <w:tr2bl w:val="nil"/>
            </w:tcBorders>
            <w:shd w:val="clear" w:color="auto" w:fill="auto"/>
            <w:vAlign w:val="center"/>
          </w:tcPr>
          <w:p w14:paraId="6B2616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B.商务评价</w:t>
            </w:r>
          </w:p>
          <w:p w14:paraId="6927E9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r>
              <w:rPr>
                <w:rStyle w:val="42"/>
                <w:rFonts w:hint="eastAsia" w:ascii="宋体" w:hAnsi="宋体" w:eastAsia="宋体" w:cs="宋体"/>
                <w:color w:val="auto"/>
                <w:sz w:val="21"/>
                <w:szCs w:val="21"/>
                <w:highlight w:val="none"/>
                <w:lang w:val="en-US" w:eastAsia="zh-CN" w:bidi="ar"/>
              </w:rPr>
              <w:t>20</w:t>
            </w:r>
            <w:r>
              <w:rPr>
                <w:rStyle w:val="43"/>
                <w:rFonts w:hint="eastAsia" w:ascii="宋体" w:hAnsi="宋体" w:eastAsia="宋体" w:cs="宋体"/>
                <w:color w:val="auto"/>
                <w:sz w:val="21"/>
                <w:szCs w:val="21"/>
                <w:highlight w:val="none"/>
                <w:lang w:val="en-US" w:eastAsia="zh-CN" w:bidi="ar"/>
              </w:rPr>
              <w:t>分</w:t>
            </w:r>
            <w:r>
              <w:rPr>
                <w:rFonts w:hint="eastAsia" w:ascii="宋体" w:hAnsi="宋体" w:eastAsia="宋体" w:cs="宋体"/>
                <w:i w:val="0"/>
                <w:iCs w:val="0"/>
                <w:color w:val="auto"/>
                <w:kern w:val="0"/>
                <w:sz w:val="21"/>
                <w:szCs w:val="21"/>
                <w:highlight w:val="none"/>
                <w:u w:val="none"/>
                <w:lang w:val="en-US" w:eastAsia="zh-CN" w:bidi="ar"/>
              </w:rPr>
              <w:t>）</w:t>
            </w:r>
          </w:p>
        </w:tc>
        <w:tc>
          <w:tcPr>
            <w:tcW w:w="888" w:type="dxa"/>
            <w:tcBorders>
              <w:tl2br w:val="nil"/>
              <w:tr2bl w:val="nil"/>
            </w:tcBorders>
            <w:shd w:val="clear" w:color="auto" w:fill="auto"/>
            <w:vAlign w:val="center"/>
          </w:tcPr>
          <w:p w14:paraId="206738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类似 业绩</w:t>
            </w:r>
          </w:p>
        </w:tc>
        <w:tc>
          <w:tcPr>
            <w:tcW w:w="540" w:type="dxa"/>
            <w:tcBorders>
              <w:tl2br w:val="nil"/>
              <w:tr2bl w:val="nil"/>
            </w:tcBorders>
            <w:shd w:val="clear" w:color="auto" w:fill="auto"/>
            <w:vAlign w:val="center"/>
          </w:tcPr>
          <w:p w14:paraId="68EC73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center"/>
          </w:tcPr>
          <w:p w14:paraId="1AF41AF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自</w:t>
            </w:r>
            <w:r>
              <w:rPr>
                <w:rStyle w:val="42"/>
                <w:rFonts w:hint="eastAsia" w:ascii="宋体" w:hAnsi="宋体" w:eastAsia="宋体" w:cs="宋体"/>
                <w:color w:val="auto"/>
                <w:sz w:val="21"/>
                <w:szCs w:val="21"/>
                <w:highlight w:val="none"/>
                <w:lang w:val="en-US" w:eastAsia="zh-CN" w:bidi="ar"/>
              </w:rPr>
              <w:t>202</w:t>
            </w:r>
            <w:r>
              <w:rPr>
                <w:rStyle w:val="42"/>
                <w:rFonts w:hint="eastAsia" w:ascii="宋体" w:hAnsi="宋体" w:cs="宋体"/>
                <w:color w:val="auto"/>
                <w:sz w:val="21"/>
                <w:szCs w:val="21"/>
                <w:highlight w:val="none"/>
                <w:lang w:val="en-US" w:eastAsia="zh-CN" w:bidi="ar"/>
              </w:rPr>
              <w:t>4</w:t>
            </w:r>
            <w:r>
              <w:rPr>
                <w:rStyle w:val="43"/>
                <w:rFonts w:hint="eastAsia" w:ascii="宋体" w:hAnsi="宋体" w:eastAsia="宋体" w:cs="宋体"/>
                <w:color w:val="auto"/>
                <w:sz w:val="21"/>
                <w:szCs w:val="21"/>
                <w:highlight w:val="none"/>
                <w:lang w:val="en-US" w:eastAsia="zh-CN" w:bidi="ar"/>
              </w:rPr>
              <w:t>年</w:t>
            </w:r>
            <w:r>
              <w:rPr>
                <w:rStyle w:val="42"/>
                <w:rFonts w:hint="eastAsia" w:ascii="宋体" w:hAnsi="宋体" w:cs="宋体"/>
                <w:color w:val="auto"/>
                <w:sz w:val="21"/>
                <w:szCs w:val="21"/>
                <w:highlight w:val="none"/>
                <w:lang w:val="en-US" w:eastAsia="zh-CN" w:bidi="ar"/>
              </w:rPr>
              <w:t>9</w:t>
            </w:r>
            <w:r>
              <w:rPr>
                <w:rStyle w:val="43"/>
                <w:rFonts w:hint="eastAsia" w:ascii="宋体" w:hAnsi="宋体" w:eastAsia="宋体" w:cs="宋体"/>
                <w:color w:val="auto"/>
                <w:sz w:val="21"/>
                <w:szCs w:val="21"/>
                <w:highlight w:val="none"/>
                <w:lang w:val="en-US" w:eastAsia="zh-CN" w:bidi="ar"/>
              </w:rPr>
              <w:t>月</w:t>
            </w:r>
            <w:r>
              <w:rPr>
                <w:rStyle w:val="42"/>
                <w:rFonts w:hint="eastAsia" w:ascii="宋体" w:hAnsi="宋体" w:eastAsia="宋体" w:cs="宋体"/>
                <w:color w:val="auto"/>
                <w:sz w:val="21"/>
                <w:szCs w:val="21"/>
                <w:highlight w:val="none"/>
                <w:lang w:val="en-US" w:eastAsia="zh-CN" w:bidi="ar"/>
              </w:rPr>
              <w:t>1</w:t>
            </w:r>
            <w:r>
              <w:rPr>
                <w:rStyle w:val="43"/>
                <w:rFonts w:hint="eastAsia" w:ascii="宋体" w:hAnsi="宋体" w:eastAsia="宋体" w:cs="宋体"/>
                <w:color w:val="auto"/>
                <w:sz w:val="21"/>
                <w:szCs w:val="21"/>
                <w:highlight w:val="none"/>
                <w:lang w:val="en-US" w:eastAsia="zh-CN" w:bidi="ar"/>
              </w:rPr>
              <w:t>至提交投标文件截止时间止（以合同签订日期为准），每提供一项类似项目业绩计</w:t>
            </w:r>
            <w:r>
              <w:rPr>
                <w:rStyle w:val="42"/>
                <w:rFonts w:hint="eastAsia" w:ascii="宋体" w:hAnsi="宋体" w:eastAsia="宋体" w:cs="宋体"/>
                <w:color w:val="auto"/>
                <w:sz w:val="21"/>
                <w:szCs w:val="21"/>
                <w:highlight w:val="none"/>
                <w:lang w:val="en-US" w:eastAsia="zh-CN" w:bidi="ar"/>
              </w:rPr>
              <w:t>10</w:t>
            </w:r>
            <w:r>
              <w:rPr>
                <w:rStyle w:val="43"/>
                <w:rFonts w:hint="eastAsia" w:ascii="宋体" w:hAnsi="宋体" w:eastAsia="宋体" w:cs="宋体"/>
                <w:color w:val="auto"/>
                <w:sz w:val="21"/>
                <w:szCs w:val="21"/>
                <w:highlight w:val="none"/>
                <w:lang w:val="en-US" w:eastAsia="zh-CN" w:bidi="ar"/>
              </w:rPr>
              <w:t>分，满分</w:t>
            </w:r>
            <w:r>
              <w:rPr>
                <w:rStyle w:val="42"/>
                <w:rFonts w:hint="eastAsia" w:ascii="宋体" w:hAnsi="宋体" w:eastAsia="宋体" w:cs="宋体"/>
                <w:color w:val="auto"/>
                <w:sz w:val="21"/>
                <w:szCs w:val="21"/>
                <w:highlight w:val="none"/>
                <w:lang w:val="en-US" w:eastAsia="zh-CN" w:bidi="ar"/>
              </w:rPr>
              <w:t>20</w:t>
            </w:r>
            <w:r>
              <w:rPr>
                <w:rStyle w:val="43"/>
                <w:rFonts w:hint="eastAsia" w:ascii="宋体" w:hAnsi="宋体" w:eastAsia="宋体" w:cs="宋体"/>
                <w:color w:val="auto"/>
                <w:sz w:val="21"/>
                <w:szCs w:val="21"/>
                <w:highlight w:val="none"/>
                <w:lang w:val="en-US" w:eastAsia="zh-CN" w:bidi="ar"/>
              </w:rPr>
              <w:t>分。</w:t>
            </w:r>
          </w:p>
          <w:p w14:paraId="5D13BEC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注：投标文件中需提供合同协议书复印件加盖公章，否则不计分。</w:t>
            </w:r>
          </w:p>
        </w:tc>
      </w:tr>
      <w:tr w14:paraId="3AFBF947">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5" w:hRule="atLeast"/>
        </w:trPr>
        <w:tc>
          <w:tcPr>
            <w:tcW w:w="480" w:type="dxa"/>
            <w:vMerge w:val="restart"/>
            <w:tcBorders>
              <w:tl2br w:val="nil"/>
              <w:tr2bl w:val="nil"/>
            </w:tcBorders>
            <w:shd w:val="clear" w:color="auto" w:fill="auto"/>
            <w:vAlign w:val="center"/>
          </w:tcPr>
          <w:p w14:paraId="605B41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32" w:type="dxa"/>
            <w:vMerge w:val="restart"/>
            <w:tcBorders>
              <w:tl2br w:val="nil"/>
              <w:tr2bl w:val="nil"/>
            </w:tcBorders>
            <w:shd w:val="clear" w:color="auto" w:fill="auto"/>
            <w:vAlign w:val="center"/>
          </w:tcPr>
          <w:p w14:paraId="62B904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C技术评价项（5</w:t>
            </w:r>
            <w:r>
              <w:rPr>
                <w:rStyle w:val="42"/>
                <w:rFonts w:hint="eastAsia" w:ascii="宋体" w:hAnsi="宋体" w:eastAsia="宋体" w:cs="宋体"/>
                <w:color w:val="auto"/>
                <w:sz w:val="21"/>
                <w:szCs w:val="21"/>
                <w:highlight w:val="none"/>
                <w:lang w:val="en-US" w:eastAsia="zh-CN" w:bidi="ar"/>
              </w:rPr>
              <w:t>0</w:t>
            </w:r>
            <w:r>
              <w:rPr>
                <w:rStyle w:val="43"/>
                <w:rFonts w:hint="eastAsia" w:ascii="宋体" w:hAnsi="宋体" w:eastAsia="宋体" w:cs="宋体"/>
                <w:color w:val="auto"/>
                <w:sz w:val="21"/>
                <w:szCs w:val="21"/>
                <w:highlight w:val="none"/>
                <w:lang w:val="en-US" w:eastAsia="zh-CN" w:bidi="ar"/>
              </w:rPr>
              <w:t>分</w:t>
            </w:r>
            <w:r>
              <w:rPr>
                <w:rFonts w:hint="eastAsia" w:ascii="宋体" w:hAnsi="宋体" w:eastAsia="宋体" w:cs="宋体"/>
                <w:i w:val="0"/>
                <w:iCs w:val="0"/>
                <w:color w:val="auto"/>
                <w:kern w:val="0"/>
                <w:sz w:val="21"/>
                <w:szCs w:val="21"/>
                <w:highlight w:val="none"/>
                <w:u w:val="none"/>
                <w:lang w:val="en-US" w:eastAsia="zh-CN" w:bidi="ar"/>
              </w:rPr>
              <w:t>）</w:t>
            </w:r>
          </w:p>
        </w:tc>
        <w:tc>
          <w:tcPr>
            <w:tcW w:w="888" w:type="dxa"/>
            <w:tcBorders>
              <w:tl2br w:val="nil"/>
              <w:tr2bl w:val="nil"/>
            </w:tcBorders>
            <w:shd w:val="clear" w:color="auto" w:fill="auto"/>
            <w:vAlign w:val="center"/>
          </w:tcPr>
          <w:p w14:paraId="555ADB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施工方案与技术措施</w:t>
            </w:r>
          </w:p>
        </w:tc>
        <w:tc>
          <w:tcPr>
            <w:tcW w:w="540" w:type="dxa"/>
            <w:tcBorders>
              <w:tl2br w:val="nil"/>
              <w:tr2bl w:val="nil"/>
            </w:tcBorders>
            <w:shd w:val="clear" w:color="auto" w:fill="auto"/>
            <w:vAlign w:val="center"/>
          </w:tcPr>
          <w:p w14:paraId="64A3C0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center"/>
          </w:tcPr>
          <w:p w14:paraId="674A9EE7">
            <w:p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根据投标人提供的施工方案与技术措施进行计分，完全满足以下要求的计</w:t>
            </w:r>
            <w:r>
              <w:rPr>
                <w:rFonts w:hint="eastAsia" w:ascii="宋体" w:hAnsi="宋体" w:eastAsia="宋体" w:cs="宋体"/>
                <w:i w:val="0"/>
                <w:iCs w:val="0"/>
                <w:color w:val="auto"/>
                <w:kern w:val="0"/>
                <w:sz w:val="21"/>
                <w:szCs w:val="21"/>
                <w:highlight w:val="none"/>
                <w:u w:val="none"/>
                <w:lang w:val="en-US" w:eastAsia="zh-CN" w:bidi="ar"/>
              </w:rPr>
              <w:t>10</w:t>
            </w:r>
            <w:r>
              <w:rPr>
                <w:rFonts w:hint="eastAsia" w:ascii="宋体" w:hAnsi="宋体" w:eastAsia="宋体" w:cs="宋体"/>
                <w:color w:val="auto"/>
                <w:kern w:val="0"/>
                <w:sz w:val="21"/>
                <w:szCs w:val="21"/>
                <w:highlight w:val="none"/>
              </w:rPr>
              <w:t>分：</w:t>
            </w:r>
          </w:p>
          <w:p w14:paraId="41F53346">
            <w:pPr>
              <w:numPr>
                <w:ilvl w:val="0"/>
                <w:numId w:val="3"/>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对项目总体概况表述清晰、完整；</w:t>
            </w:r>
          </w:p>
          <w:p w14:paraId="4EDAAC15">
            <w:pPr>
              <w:numPr>
                <w:ilvl w:val="0"/>
                <w:numId w:val="3"/>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项目部署及措施先进、可靠；</w:t>
            </w:r>
          </w:p>
          <w:p w14:paraId="581611C9">
            <w:pPr>
              <w:numPr>
                <w:ilvl w:val="0"/>
                <w:numId w:val="3"/>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对项目主要及关键方案有深入的表述，对重点、难点事项分析透彻；</w:t>
            </w:r>
          </w:p>
          <w:p w14:paraId="1CE0B359">
            <w:pPr>
              <w:numPr>
                <w:ilvl w:val="0"/>
                <w:numId w:val="3"/>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施工平面布置满足施工需要，符合安全、文明生产要求</w:t>
            </w:r>
            <w:r>
              <w:rPr>
                <w:rFonts w:hint="eastAsia" w:ascii="宋体" w:hAnsi="宋体" w:eastAsia="宋体" w:cs="宋体"/>
                <w:color w:val="auto"/>
                <w:kern w:val="0"/>
                <w:sz w:val="21"/>
                <w:szCs w:val="21"/>
                <w:highlight w:val="none"/>
                <w:lang w:eastAsia="zh-CN"/>
              </w:rPr>
              <w:t>；</w:t>
            </w:r>
          </w:p>
          <w:p w14:paraId="6175DA43">
            <w:pPr>
              <w:keepNext w:val="0"/>
              <w:keepLines w:val="0"/>
              <w:widowControl/>
              <w:suppressLineNumbers w:val="0"/>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上述内容，1、方案缺漏项或针对性欠缺的每项扣2.5分，上述扣分扣完为止；2、方案欠完善或不合理的每项扣1分，上述扣分扣完为止；3、未提供的不计分。</w:t>
            </w:r>
          </w:p>
          <w:p w14:paraId="2EF1E45A">
            <w:pPr>
              <w:keepNext w:val="0"/>
              <w:keepLines w:val="0"/>
              <w:widowControl/>
              <w:suppressLineNumbers w:val="0"/>
              <w:jc w:val="both"/>
              <w:textAlignment w:val="center"/>
              <w:rPr>
                <w:rStyle w:val="43"/>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事项说明：</w:t>
            </w:r>
            <w:r>
              <w:rPr>
                <w:rFonts w:hint="eastAsia" w:ascii="宋体" w:hAnsi="宋体" w:eastAsia="宋体" w:cs="宋体"/>
                <w:bCs/>
                <w:color w:val="auto"/>
                <w:kern w:val="0"/>
                <w:sz w:val="21"/>
                <w:szCs w:val="21"/>
                <w:highlight w:val="none"/>
              </w:rPr>
              <w:t>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w:t>
            </w:r>
            <w:r>
              <w:rPr>
                <w:rFonts w:hint="eastAsia" w:ascii="宋体" w:hAnsi="宋体" w:eastAsia="宋体" w:cs="宋体"/>
                <w:bCs/>
                <w:color w:val="auto"/>
                <w:kern w:val="0"/>
                <w:sz w:val="21"/>
                <w:szCs w:val="21"/>
                <w:highlight w:val="none"/>
                <w:lang w:eastAsia="zh-CN"/>
              </w:rPr>
              <w:t xml:space="preserve"> </w:t>
            </w:r>
            <w:r>
              <w:rPr>
                <w:rFonts w:hint="eastAsia" w:ascii="宋体" w:hAnsi="宋体" w:eastAsia="宋体" w:cs="宋体"/>
                <w:bCs/>
                <w:color w:val="auto"/>
                <w:kern w:val="0"/>
                <w:sz w:val="21"/>
                <w:szCs w:val="21"/>
                <w:highlight w:val="none"/>
              </w:rPr>
              <w:t>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r>
              <w:rPr>
                <w:rFonts w:hint="eastAsia" w:ascii="宋体" w:hAnsi="宋体" w:eastAsia="宋体" w:cs="宋体"/>
                <w:color w:val="auto"/>
                <w:sz w:val="21"/>
                <w:szCs w:val="21"/>
                <w:highlight w:val="none"/>
                <w:lang w:eastAsia="zh-CN"/>
              </w:rPr>
              <w:t>）</w:t>
            </w:r>
          </w:p>
        </w:tc>
      </w:tr>
      <w:tr w14:paraId="2D9C0F1A">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90" w:hRule="atLeast"/>
        </w:trPr>
        <w:tc>
          <w:tcPr>
            <w:tcW w:w="480" w:type="dxa"/>
            <w:vMerge w:val="continue"/>
            <w:tcBorders>
              <w:tl2br w:val="nil"/>
              <w:tr2bl w:val="nil"/>
            </w:tcBorders>
            <w:shd w:val="clear" w:color="auto" w:fill="auto"/>
            <w:vAlign w:val="center"/>
          </w:tcPr>
          <w:p w14:paraId="3FBCBD47">
            <w:pPr>
              <w:jc w:val="center"/>
              <w:rPr>
                <w:rFonts w:hint="eastAsia" w:ascii="宋体" w:hAnsi="宋体" w:eastAsia="宋体" w:cs="宋体"/>
                <w:i w:val="0"/>
                <w:iCs w:val="0"/>
                <w:color w:val="auto"/>
                <w:sz w:val="21"/>
                <w:szCs w:val="21"/>
                <w:highlight w:val="none"/>
                <w:u w:val="none"/>
              </w:rPr>
            </w:pPr>
          </w:p>
        </w:tc>
        <w:tc>
          <w:tcPr>
            <w:tcW w:w="1032" w:type="dxa"/>
            <w:vMerge w:val="continue"/>
            <w:tcBorders>
              <w:tl2br w:val="nil"/>
              <w:tr2bl w:val="nil"/>
            </w:tcBorders>
            <w:shd w:val="clear" w:color="auto" w:fill="auto"/>
            <w:vAlign w:val="center"/>
          </w:tcPr>
          <w:p w14:paraId="1CEA7787">
            <w:pPr>
              <w:jc w:val="center"/>
              <w:rPr>
                <w:rFonts w:hint="eastAsia" w:ascii="宋体" w:hAnsi="宋体" w:eastAsia="宋体" w:cs="宋体"/>
                <w:i w:val="0"/>
                <w:iCs w:val="0"/>
                <w:color w:val="auto"/>
                <w:sz w:val="21"/>
                <w:szCs w:val="21"/>
                <w:highlight w:val="none"/>
                <w:u w:val="none"/>
              </w:rPr>
            </w:pPr>
          </w:p>
        </w:tc>
        <w:tc>
          <w:tcPr>
            <w:tcW w:w="888" w:type="dxa"/>
            <w:tcBorders>
              <w:tl2br w:val="nil"/>
              <w:tr2bl w:val="nil"/>
            </w:tcBorders>
            <w:shd w:val="clear" w:color="auto" w:fill="auto"/>
            <w:vAlign w:val="center"/>
          </w:tcPr>
          <w:p w14:paraId="744886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质量管理体系与措施</w:t>
            </w:r>
          </w:p>
        </w:tc>
        <w:tc>
          <w:tcPr>
            <w:tcW w:w="540" w:type="dxa"/>
            <w:tcBorders>
              <w:tl2br w:val="nil"/>
              <w:tr2bl w:val="nil"/>
            </w:tcBorders>
            <w:shd w:val="clear" w:color="auto" w:fill="auto"/>
            <w:vAlign w:val="center"/>
          </w:tcPr>
          <w:p w14:paraId="5851F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center"/>
          </w:tcPr>
          <w:p w14:paraId="73E146CD">
            <w:p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根据投标人提供的质量管理体系与措施进行计分，完全满足以下要求的计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0154DC7F">
            <w:pPr>
              <w:numPr>
                <w:ilvl w:val="0"/>
                <w:numId w:val="4"/>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质量目标明确，优于招标采购文件的要求；</w:t>
            </w:r>
          </w:p>
          <w:p w14:paraId="2214CD18">
            <w:pPr>
              <w:numPr>
                <w:ilvl w:val="0"/>
                <w:numId w:val="4"/>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管理机构健全，职责分工明确；</w:t>
            </w:r>
          </w:p>
          <w:p w14:paraId="7A638BDB">
            <w:pPr>
              <w:numPr>
                <w:ilvl w:val="0"/>
                <w:numId w:val="4"/>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管理制度齐全；</w:t>
            </w:r>
          </w:p>
          <w:p w14:paraId="1A7143F8">
            <w:pPr>
              <w:numPr>
                <w:ilvl w:val="0"/>
                <w:numId w:val="4"/>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实施与监控措施全面、有效。</w:t>
            </w:r>
          </w:p>
          <w:p w14:paraId="3E5254F8">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上述内容，1、方案缺漏项或针对性欠缺的每项扣2.5分，上述扣分扣完为止；2、方案欠完善或不合理的每项扣1分，上述扣分扣完为止；3、未提供的不计分。</w:t>
            </w:r>
          </w:p>
          <w:p w14:paraId="20865260">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事项说明：</w:t>
            </w:r>
            <w:r>
              <w:rPr>
                <w:rFonts w:hint="eastAsia" w:ascii="宋体" w:hAnsi="宋体" w:eastAsia="宋体" w:cs="宋体"/>
                <w:bCs/>
                <w:color w:val="auto"/>
                <w:kern w:val="0"/>
                <w:sz w:val="21"/>
                <w:szCs w:val="21"/>
                <w:highlight w:val="none"/>
              </w:rPr>
              <w:t>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w:t>
            </w:r>
            <w:r>
              <w:rPr>
                <w:rFonts w:hint="eastAsia" w:ascii="宋体" w:hAnsi="宋体" w:eastAsia="宋体" w:cs="宋体"/>
                <w:bCs/>
                <w:color w:val="auto"/>
                <w:kern w:val="0"/>
                <w:sz w:val="21"/>
                <w:szCs w:val="21"/>
                <w:highlight w:val="none"/>
                <w:lang w:eastAsia="zh-CN"/>
              </w:rPr>
              <w:t xml:space="preserve"> </w:t>
            </w:r>
            <w:r>
              <w:rPr>
                <w:rFonts w:hint="eastAsia" w:ascii="宋体" w:hAnsi="宋体" w:eastAsia="宋体" w:cs="宋体"/>
                <w:bCs/>
                <w:color w:val="auto"/>
                <w:kern w:val="0"/>
                <w:sz w:val="21"/>
                <w:szCs w:val="21"/>
                <w:highlight w:val="none"/>
              </w:rPr>
              <w:t>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r>
              <w:rPr>
                <w:rFonts w:hint="eastAsia" w:ascii="宋体" w:hAnsi="宋体" w:eastAsia="宋体" w:cs="宋体"/>
                <w:color w:val="auto"/>
                <w:sz w:val="21"/>
                <w:szCs w:val="21"/>
                <w:highlight w:val="none"/>
                <w:lang w:eastAsia="zh-CN"/>
              </w:rPr>
              <w:t>）</w:t>
            </w:r>
          </w:p>
        </w:tc>
      </w:tr>
      <w:tr w14:paraId="6D6FF88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1" w:hRule="atLeast"/>
        </w:trPr>
        <w:tc>
          <w:tcPr>
            <w:tcW w:w="480" w:type="dxa"/>
            <w:vMerge w:val="continue"/>
            <w:tcBorders>
              <w:tl2br w:val="nil"/>
              <w:tr2bl w:val="nil"/>
            </w:tcBorders>
            <w:shd w:val="clear" w:color="auto" w:fill="auto"/>
            <w:vAlign w:val="center"/>
          </w:tcPr>
          <w:p w14:paraId="1ED9AB1C">
            <w:pPr>
              <w:jc w:val="center"/>
              <w:rPr>
                <w:rFonts w:hint="eastAsia" w:ascii="宋体" w:hAnsi="宋体" w:eastAsia="宋体" w:cs="宋体"/>
                <w:i w:val="0"/>
                <w:iCs w:val="0"/>
                <w:color w:val="auto"/>
                <w:sz w:val="21"/>
                <w:szCs w:val="21"/>
                <w:highlight w:val="none"/>
                <w:u w:val="none"/>
              </w:rPr>
            </w:pPr>
          </w:p>
        </w:tc>
        <w:tc>
          <w:tcPr>
            <w:tcW w:w="1032" w:type="dxa"/>
            <w:vMerge w:val="continue"/>
            <w:tcBorders>
              <w:tl2br w:val="nil"/>
              <w:tr2bl w:val="nil"/>
            </w:tcBorders>
            <w:shd w:val="clear" w:color="auto" w:fill="auto"/>
            <w:vAlign w:val="center"/>
          </w:tcPr>
          <w:p w14:paraId="0EAFD444">
            <w:pPr>
              <w:jc w:val="center"/>
              <w:rPr>
                <w:rFonts w:hint="eastAsia" w:ascii="宋体" w:hAnsi="宋体" w:eastAsia="宋体" w:cs="宋体"/>
                <w:i w:val="0"/>
                <w:iCs w:val="0"/>
                <w:color w:val="auto"/>
                <w:sz w:val="21"/>
                <w:szCs w:val="21"/>
                <w:highlight w:val="none"/>
                <w:u w:val="none"/>
              </w:rPr>
            </w:pPr>
          </w:p>
        </w:tc>
        <w:tc>
          <w:tcPr>
            <w:tcW w:w="888" w:type="dxa"/>
            <w:tcBorders>
              <w:tl2br w:val="nil"/>
              <w:tr2bl w:val="nil"/>
            </w:tcBorders>
            <w:shd w:val="clear" w:color="auto" w:fill="auto"/>
            <w:vAlign w:val="center"/>
          </w:tcPr>
          <w:p w14:paraId="30C822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安全管理体系与措施</w:t>
            </w:r>
          </w:p>
        </w:tc>
        <w:tc>
          <w:tcPr>
            <w:tcW w:w="540" w:type="dxa"/>
            <w:tcBorders>
              <w:tl2br w:val="nil"/>
              <w:tr2bl w:val="nil"/>
            </w:tcBorders>
            <w:shd w:val="clear" w:color="auto" w:fill="auto"/>
            <w:vAlign w:val="center"/>
          </w:tcPr>
          <w:p w14:paraId="3A6EBB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center"/>
          </w:tcPr>
          <w:p w14:paraId="5E14DB59">
            <w:p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根据投标人提供的安全管理体系与措施进行计分，完全满足以下要求的计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7B335E4E">
            <w:pPr>
              <w:numPr>
                <w:ilvl w:val="0"/>
                <w:numId w:val="5"/>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安全目标明确，优于招标采购文件的要求；</w:t>
            </w:r>
          </w:p>
          <w:p w14:paraId="51E51826">
            <w:pPr>
              <w:numPr>
                <w:ilvl w:val="0"/>
                <w:numId w:val="5"/>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管理机构健全，职责分工明确；</w:t>
            </w:r>
          </w:p>
          <w:p w14:paraId="2550EF7D">
            <w:pPr>
              <w:numPr>
                <w:ilvl w:val="0"/>
                <w:numId w:val="5"/>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管理制度齐全；</w:t>
            </w:r>
          </w:p>
          <w:p w14:paraId="176CF058">
            <w:pPr>
              <w:numPr>
                <w:ilvl w:val="0"/>
                <w:numId w:val="5"/>
              </w:numPr>
              <w:adjustRightInd w:val="0"/>
              <w:snapToGrid w:val="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实施与监控措施全面、有效。</w:t>
            </w:r>
          </w:p>
          <w:p w14:paraId="532B6620">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上述内容，1、方案缺漏项或针对性欠缺的每项扣2.5分，上述扣分扣完为止；2、方案欠完善或不合理的每项扣1分，上述扣分扣完为止；3、未提供的不计分。</w:t>
            </w:r>
          </w:p>
          <w:p w14:paraId="15E65204">
            <w:pPr>
              <w:pStyle w:val="46"/>
              <w:jc w:val="left"/>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事项说明：</w:t>
            </w:r>
            <w:r>
              <w:rPr>
                <w:rFonts w:hint="eastAsia" w:ascii="宋体" w:hAnsi="宋体" w:eastAsia="宋体" w:cs="宋体"/>
                <w:bCs/>
                <w:color w:val="auto"/>
                <w:kern w:val="0"/>
                <w:sz w:val="21"/>
                <w:szCs w:val="21"/>
                <w:highlight w:val="none"/>
              </w:rPr>
              <w:t>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w:t>
            </w:r>
            <w:r>
              <w:rPr>
                <w:rFonts w:hint="eastAsia" w:ascii="宋体" w:hAnsi="宋体" w:eastAsia="宋体" w:cs="宋体"/>
                <w:bCs/>
                <w:color w:val="auto"/>
                <w:kern w:val="0"/>
                <w:sz w:val="21"/>
                <w:szCs w:val="21"/>
                <w:highlight w:val="none"/>
                <w:lang w:eastAsia="zh-CN"/>
              </w:rPr>
              <w:t xml:space="preserve"> </w:t>
            </w:r>
            <w:r>
              <w:rPr>
                <w:rFonts w:hint="eastAsia" w:ascii="宋体" w:hAnsi="宋体" w:eastAsia="宋体" w:cs="宋体"/>
                <w:bCs/>
                <w:color w:val="auto"/>
                <w:kern w:val="0"/>
                <w:sz w:val="21"/>
                <w:szCs w:val="21"/>
                <w:highlight w:val="none"/>
              </w:rPr>
              <w:t>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r>
              <w:rPr>
                <w:rFonts w:hint="eastAsia" w:ascii="宋体" w:hAnsi="宋体" w:eastAsia="宋体" w:cs="宋体"/>
                <w:color w:val="auto"/>
                <w:sz w:val="21"/>
                <w:szCs w:val="21"/>
                <w:highlight w:val="none"/>
                <w:lang w:eastAsia="zh-CN"/>
              </w:rPr>
              <w:t>）</w:t>
            </w:r>
          </w:p>
        </w:tc>
      </w:tr>
      <w:tr w14:paraId="1CB0A6A4">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480" w:type="dxa"/>
            <w:vMerge w:val="continue"/>
            <w:tcBorders>
              <w:tl2br w:val="nil"/>
              <w:tr2bl w:val="nil"/>
            </w:tcBorders>
            <w:shd w:val="clear" w:color="auto" w:fill="auto"/>
            <w:vAlign w:val="center"/>
          </w:tcPr>
          <w:p w14:paraId="5071A033">
            <w:pPr>
              <w:jc w:val="center"/>
              <w:rPr>
                <w:rFonts w:hint="eastAsia" w:ascii="宋体" w:hAnsi="宋体" w:eastAsia="宋体" w:cs="宋体"/>
                <w:i w:val="0"/>
                <w:iCs w:val="0"/>
                <w:color w:val="auto"/>
                <w:sz w:val="21"/>
                <w:szCs w:val="21"/>
                <w:highlight w:val="none"/>
                <w:u w:val="none"/>
              </w:rPr>
            </w:pPr>
          </w:p>
        </w:tc>
        <w:tc>
          <w:tcPr>
            <w:tcW w:w="1032" w:type="dxa"/>
            <w:vMerge w:val="continue"/>
            <w:tcBorders>
              <w:tl2br w:val="nil"/>
              <w:tr2bl w:val="nil"/>
            </w:tcBorders>
            <w:shd w:val="clear" w:color="auto" w:fill="auto"/>
            <w:vAlign w:val="center"/>
          </w:tcPr>
          <w:p w14:paraId="4E2CB673">
            <w:pPr>
              <w:jc w:val="center"/>
              <w:rPr>
                <w:rFonts w:hint="eastAsia" w:ascii="宋体" w:hAnsi="宋体" w:eastAsia="宋体" w:cs="宋体"/>
                <w:i w:val="0"/>
                <w:iCs w:val="0"/>
                <w:color w:val="auto"/>
                <w:sz w:val="21"/>
                <w:szCs w:val="21"/>
                <w:highlight w:val="none"/>
                <w:u w:val="none"/>
              </w:rPr>
            </w:pPr>
          </w:p>
        </w:tc>
        <w:tc>
          <w:tcPr>
            <w:tcW w:w="888" w:type="dxa"/>
            <w:tcBorders>
              <w:tl2br w:val="nil"/>
              <w:tr2bl w:val="nil"/>
            </w:tcBorders>
            <w:shd w:val="clear" w:color="auto" w:fill="auto"/>
            <w:vAlign w:val="center"/>
          </w:tcPr>
          <w:p w14:paraId="2C6E99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环境保护管理体系与措施</w:t>
            </w:r>
          </w:p>
        </w:tc>
        <w:tc>
          <w:tcPr>
            <w:tcW w:w="540" w:type="dxa"/>
            <w:tcBorders>
              <w:tl2br w:val="nil"/>
              <w:tr2bl w:val="nil"/>
            </w:tcBorders>
            <w:shd w:val="clear" w:color="auto" w:fill="auto"/>
            <w:vAlign w:val="center"/>
          </w:tcPr>
          <w:p w14:paraId="167E80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center"/>
          </w:tcPr>
          <w:p w14:paraId="71B4A2E5">
            <w:p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根据投标人提供的环境保护管理体系与措施进行计分，完全满足以下要求的计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41BF43E1">
            <w:pPr>
              <w:numPr>
                <w:ilvl w:val="0"/>
                <w:numId w:val="6"/>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环境目标明确，优于招标采购文件的要求；</w:t>
            </w:r>
          </w:p>
          <w:p w14:paraId="6971A60D">
            <w:pPr>
              <w:numPr>
                <w:ilvl w:val="0"/>
                <w:numId w:val="6"/>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管理机构健全，职责分工明确；</w:t>
            </w:r>
          </w:p>
          <w:p w14:paraId="11B29CC9">
            <w:pPr>
              <w:numPr>
                <w:ilvl w:val="0"/>
                <w:numId w:val="6"/>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管理制度齐全；</w:t>
            </w:r>
          </w:p>
          <w:p w14:paraId="17E9F835">
            <w:pPr>
              <w:numPr>
                <w:ilvl w:val="0"/>
                <w:numId w:val="6"/>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实施与监控措施全面、有效。</w:t>
            </w:r>
          </w:p>
          <w:p w14:paraId="14F6BFDA">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上述内容，1、方案缺漏项或针对性欠缺的每项扣2.5分，上述扣分扣完为止；2、方案欠完善或不合理的每项扣1分，上述扣分扣完为止；3、未提供的不计分。</w:t>
            </w:r>
          </w:p>
          <w:p w14:paraId="4DCF9947">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事项说明：</w:t>
            </w:r>
            <w:r>
              <w:rPr>
                <w:rFonts w:hint="eastAsia" w:ascii="宋体" w:hAnsi="宋体" w:eastAsia="宋体" w:cs="宋体"/>
                <w:bCs/>
                <w:color w:val="auto"/>
                <w:kern w:val="0"/>
                <w:sz w:val="21"/>
                <w:szCs w:val="21"/>
                <w:highlight w:val="none"/>
              </w:rPr>
              <w:t>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w:t>
            </w:r>
            <w:r>
              <w:rPr>
                <w:rFonts w:hint="eastAsia" w:ascii="宋体" w:hAnsi="宋体" w:eastAsia="宋体" w:cs="宋体"/>
                <w:bCs/>
                <w:color w:val="auto"/>
                <w:kern w:val="0"/>
                <w:sz w:val="21"/>
                <w:szCs w:val="21"/>
                <w:highlight w:val="none"/>
                <w:lang w:eastAsia="zh-CN"/>
              </w:rPr>
              <w:t xml:space="preserve"> </w:t>
            </w:r>
            <w:r>
              <w:rPr>
                <w:rFonts w:hint="eastAsia" w:ascii="宋体" w:hAnsi="宋体" w:eastAsia="宋体" w:cs="宋体"/>
                <w:bCs/>
                <w:color w:val="auto"/>
                <w:kern w:val="0"/>
                <w:sz w:val="21"/>
                <w:szCs w:val="21"/>
                <w:highlight w:val="none"/>
              </w:rPr>
              <w:t>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r>
              <w:rPr>
                <w:rFonts w:hint="eastAsia" w:ascii="宋体" w:hAnsi="宋体" w:eastAsia="宋体" w:cs="宋体"/>
                <w:color w:val="auto"/>
                <w:sz w:val="21"/>
                <w:szCs w:val="21"/>
                <w:highlight w:val="none"/>
                <w:lang w:eastAsia="zh-CN"/>
              </w:rPr>
              <w:t>）</w:t>
            </w:r>
          </w:p>
        </w:tc>
      </w:tr>
      <w:tr w14:paraId="6DA2BAF8">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4" w:hRule="atLeast"/>
        </w:trPr>
        <w:tc>
          <w:tcPr>
            <w:tcW w:w="480" w:type="dxa"/>
            <w:vMerge w:val="continue"/>
            <w:tcBorders>
              <w:tl2br w:val="nil"/>
              <w:tr2bl w:val="nil"/>
            </w:tcBorders>
            <w:shd w:val="clear" w:color="auto" w:fill="auto"/>
            <w:vAlign w:val="center"/>
          </w:tcPr>
          <w:p w14:paraId="5C350C5D">
            <w:pPr>
              <w:jc w:val="center"/>
              <w:rPr>
                <w:rFonts w:hint="eastAsia" w:ascii="宋体" w:hAnsi="宋体" w:eastAsia="宋体" w:cs="宋体"/>
                <w:i w:val="0"/>
                <w:iCs w:val="0"/>
                <w:color w:val="auto"/>
                <w:sz w:val="21"/>
                <w:szCs w:val="21"/>
                <w:highlight w:val="none"/>
                <w:u w:val="none"/>
              </w:rPr>
            </w:pPr>
          </w:p>
        </w:tc>
        <w:tc>
          <w:tcPr>
            <w:tcW w:w="1032" w:type="dxa"/>
            <w:vMerge w:val="continue"/>
            <w:tcBorders>
              <w:tl2br w:val="nil"/>
              <w:tr2bl w:val="nil"/>
            </w:tcBorders>
            <w:shd w:val="clear" w:color="auto" w:fill="auto"/>
            <w:vAlign w:val="center"/>
          </w:tcPr>
          <w:p w14:paraId="0972EA95">
            <w:pPr>
              <w:jc w:val="center"/>
              <w:rPr>
                <w:rFonts w:hint="eastAsia" w:ascii="宋体" w:hAnsi="宋体" w:eastAsia="宋体" w:cs="宋体"/>
                <w:i w:val="0"/>
                <w:iCs w:val="0"/>
                <w:color w:val="auto"/>
                <w:sz w:val="21"/>
                <w:szCs w:val="21"/>
                <w:highlight w:val="none"/>
                <w:u w:val="none"/>
              </w:rPr>
            </w:pPr>
          </w:p>
        </w:tc>
        <w:tc>
          <w:tcPr>
            <w:tcW w:w="888" w:type="dxa"/>
            <w:tcBorders>
              <w:tl2br w:val="nil"/>
              <w:tr2bl w:val="nil"/>
            </w:tcBorders>
            <w:shd w:val="clear" w:color="auto" w:fill="auto"/>
            <w:vAlign w:val="center"/>
          </w:tcPr>
          <w:p w14:paraId="6E626B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资源配备计划</w:t>
            </w:r>
          </w:p>
        </w:tc>
        <w:tc>
          <w:tcPr>
            <w:tcW w:w="540" w:type="dxa"/>
            <w:tcBorders>
              <w:tl2br w:val="nil"/>
              <w:tr2bl w:val="nil"/>
            </w:tcBorders>
            <w:shd w:val="clear" w:color="auto" w:fill="auto"/>
            <w:vAlign w:val="center"/>
          </w:tcPr>
          <w:p w14:paraId="6B39AA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43"/>
                <w:rFonts w:hint="eastAsia" w:ascii="宋体" w:hAnsi="宋体" w:eastAsia="宋体" w:cs="宋体"/>
                <w:color w:val="auto"/>
                <w:sz w:val="21"/>
                <w:szCs w:val="21"/>
                <w:highlight w:val="none"/>
                <w:lang w:val="en-US" w:eastAsia="zh-CN" w:bidi="ar"/>
              </w:rPr>
              <w:t>分</w:t>
            </w:r>
          </w:p>
        </w:tc>
        <w:tc>
          <w:tcPr>
            <w:tcW w:w="6022" w:type="dxa"/>
            <w:tcBorders>
              <w:tl2br w:val="nil"/>
              <w:tr2bl w:val="nil"/>
            </w:tcBorders>
            <w:shd w:val="clear" w:color="auto" w:fill="auto"/>
            <w:vAlign w:val="center"/>
          </w:tcPr>
          <w:p w14:paraId="268B8EF2">
            <w:p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根据投标人提供的资源配备计划进行计分，完全满足以下要求的计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5DB37FAE">
            <w:pPr>
              <w:numPr>
                <w:ilvl w:val="0"/>
                <w:numId w:val="7"/>
              </w:num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资源投入计划与施工部署、施工方法及进度计划呼应；</w:t>
            </w:r>
          </w:p>
          <w:p w14:paraId="21B0F11D">
            <w:pPr>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2、资源调配投入计划合理、准确。</w:t>
            </w:r>
          </w:p>
          <w:p w14:paraId="2939AF18">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上述内容，1、方案缺漏项或针对性欠缺的每项扣2.5分，上述扣分扣完为止；2、方案欠完善或不合理的每项扣1分，上述扣分扣完为止；3、未提供的不计分。</w:t>
            </w:r>
          </w:p>
          <w:p w14:paraId="1952DF54">
            <w:pPr>
              <w:pStyle w:val="4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事项说明：</w:t>
            </w:r>
            <w:r>
              <w:rPr>
                <w:rFonts w:hint="eastAsia" w:ascii="宋体" w:hAnsi="宋体" w:eastAsia="宋体" w:cs="宋体"/>
                <w:bCs/>
                <w:color w:val="auto"/>
                <w:kern w:val="0"/>
                <w:sz w:val="21"/>
                <w:szCs w:val="21"/>
                <w:highlight w:val="none"/>
              </w:rPr>
              <w:t>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w:t>
            </w:r>
            <w:r>
              <w:rPr>
                <w:rFonts w:hint="eastAsia" w:ascii="宋体" w:hAnsi="宋体" w:eastAsia="宋体" w:cs="宋体"/>
                <w:bCs/>
                <w:color w:val="auto"/>
                <w:kern w:val="0"/>
                <w:sz w:val="21"/>
                <w:szCs w:val="21"/>
                <w:highlight w:val="none"/>
                <w:lang w:eastAsia="zh-CN"/>
              </w:rPr>
              <w:t xml:space="preserve"> </w:t>
            </w:r>
            <w:r>
              <w:rPr>
                <w:rFonts w:hint="eastAsia" w:ascii="宋体" w:hAnsi="宋体" w:eastAsia="宋体" w:cs="宋体"/>
                <w:bCs/>
                <w:color w:val="auto"/>
                <w:kern w:val="0"/>
                <w:sz w:val="21"/>
                <w:szCs w:val="21"/>
                <w:highlight w:val="none"/>
              </w:rPr>
              <w:t>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r>
              <w:rPr>
                <w:rFonts w:hint="eastAsia" w:ascii="宋体" w:hAnsi="宋体" w:eastAsia="宋体" w:cs="宋体"/>
                <w:color w:val="auto"/>
                <w:sz w:val="21"/>
                <w:szCs w:val="21"/>
                <w:highlight w:val="none"/>
                <w:lang w:eastAsia="zh-CN"/>
              </w:rPr>
              <w:t>）</w:t>
            </w:r>
          </w:p>
        </w:tc>
      </w:tr>
      <w:tr w14:paraId="09E2517F">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9" w:hRule="atLeast"/>
        </w:trPr>
        <w:tc>
          <w:tcPr>
            <w:tcW w:w="2400" w:type="dxa"/>
            <w:gridSpan w:val="3"/>
            <w:tcBorders>
              <w:tl2br w:val="nil"/>
              <w:tr2bl w:val="nil"/>
            </w:tcBorders>
            <w:shd w:val="clear" w:color="auto" w:fill="auto"/>
            <w:vAlign w:val="center"/>
          </w:tcPr>
          <w:p w14:paraId="2F56A106">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合计</w:t>
            </w:r>
          </w:p>
        </w:tc>
        <w:tc>
          <w:tcPr>
            <w:tcW w:w="6562" w:type="dxa"/>
            <w:gridSpan w:val="2"/>
            <w:tcBorders>
              <w:tl2br w:val="nil"/>
              <w:tr2bl w:val="nil"/>
            </w:tcBorders>
            <w:shd w:val="clear" w:color="auto" w:fill="auto"/>
            <w:vAlign w:val="center"/>
          </w:tcPr>
          <w:p w14:paraId="6285AB55">
            <w:pPr>
              <w:keepNext w:val="0"/>
              <w:keepLines w:val="0"/>
              <w:widowControl/>
              <w:suppressLineNumbers w:val="0"/>
              <w:jc w:val="center"/>
              <w:textAlignment w:val="top"/>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100分</w:t>
            </w:r>
          </w:p>
        </w:tc>
      </w:tr>
      <w:bookmarkEnd w:id="28"/>
      <w:bookmarkEnd w:id="29"/>
    </w:tbl>
    <w:p w14:paraId="1131DBFC">
      <w:pPr>
        <w:bidi w:val="0"/>
        <w:rPr>
          <w:rFonts w:hint="eastAsia" w:ascii="宋体" w:hAnsi="宋体" w:eastAsia="宋体" w:cs="宋体"/>
          <w:color w:val="auto"/>
          <w:highlight w:val="none"/>
        </w:rPr>
      </w:pPr>
      <w:bookmarkStart w:id="30" w:name="_Toc30453"/>
    </w:p>
    <w:p w14:paraId="3BBE524F">
      <w:pPr>
        <w:pStyle w:val="3"/>
        <w:bidi w:val="0"/>
        <w:jc w:val="center"/>
        <w:rPr>
          <w:rFonts w:hint="eastAsia" w:ascii="宋体" w:hAnsi="宋体" w:eastAsia="宋体" w:cs="宋体"/>
          <w:color w:val="auto"/>
          <w:highlight w:val="none"/>
        </w:rPr>
      </w:pPr>
    </w:p>
    <w:p w14:paraId="30D0063B">
      <w:pPr>
        <w:rPr>
          <w:rFonts w:hint="eastAsia" w:ascii="宋体" w:hAnsi="宋体" w:eastAsia="宋体" w:cs="宋体"/>
          <w:color w:val="auto"/>
          <w:highlight w:val="none"/>
        </w:rPr>
      </w:pPr>
    </w:p>
    <w:p w14:paraId="0305FA19">
      <w:pPr>
        <w:rPr>
          <w:rFonts w:hint="eastAsia"/>
          <w:color w:val="auto"/>
          <w:highlight w:val="none"/>
        </w:rPr>
      </w:pPr>
    </w:p>
    <w:p w14:paraId="383D2452">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FE53249">
      <w:pPr>
        <w:pStyle w:val="3"/>
        <w:bidi w:val="0"/>
        <w:jc w:val="center"/>
        <w:rPr>
          <w:rFonts w:hint="eastAsia" w:ascii="宋体" w:hAnsi="宋体" w:eastAsia="宋体" w:cs="宋体"/>
          <w:color w:val="auto"/>
          <w:highlight w:val="none"/>
        </w:rPr>
      </w:pPr>
      <w:r>
        <w:rPr>
          <w:rFonts w:hint="eastAsia" w:ascii="宋体" w:hAnsi="宋体" w:eastAsia="宋体" w:cs="宋体"/>
          <w:color w:val="auto"/>
          <w:highlight w:val="none"/>
        </w:rPr>
        <w:t>磋商须知正文</w:t>
      </w:r>
      <w:bookmarkEnd w:id="30"/>
    </w:p>
    <w:p w14:paraId="211ECADA">
      <w:pPr>
        <w:pStyle w:val="4"/>
        <w:bidi w:val="0"/>
        <w:rPr>
          <w:rFonts w:hint="eastAsia" w:ascii="宋体" w:hAnsi="宋体" w:eastAsia="宋体" w:cs="宋体"/>
          <w:color w:val="auto"/>
          <w:highlight w:val="none"/>
        </w:rPr>
      </w:pPr>
      <w:bookmarkStart w:id="31" w:name="_Toc26612"/>
      <w:bookmarkStart w:id="32" w:name="_Toc2070"/>
      <w:bookmarkStart w:id="33" w:name="_Toc17196"/>
      <w:bookmarkStart w:id="34" w:name="_Toc1348"/>
      <w:bookmarkStart w:id="35" w:name="_Toc4072"/>
      <w:bookmarkStart w:id="36" w:name="_Toc18838"/>
      <w:bookmarkStart w:id="37" w:name="_Toc16878"/>
      <w:bookmarkStart w:id="38" w:name="_Toc10313"/>
      <w:bookmarkStart w:id="39" w:name="_Toc22001"/>
      <w:bookmarkStart w:id="40" w:name="_Toc53489354"/>
      <w:bookmarkStart w:id="41" w:name="_Toc19722"/>
      <w:r>
        <w:rPr>
          <w:rFonts w:hint="eastAsia" w:ascii="宋体" w:hAnsi="宋体" w:eastAsia="宋体" w:cs="宋体"/>
          <w:color w:val="auto"/>
          <w:highlight w:val="none"/>
        </w:rPr>
        <w:t>一、说明</w:t>
      </w:r>
      <w:bookmarkEnd w:id="31"/>
      <w:bookmarkEnd w:id="32"/>
      <w:bookmarkEnd w:id="33"/>
      <w:bookmarkEnd w:id="34"/>
      <w:bookmarkEnd w:id="35"/>
      <w:bookmarkEnd w:id="36"/>
      <w:bookmarkEnd w:id="37"/>
      <w:bookmarkEnd w:id="38"/>
      <w:bookmarkEnd w:id="39"/>
      <w:bookmarkEnd w:id="40"/>
      <w:bookmarkEnd w:id="41"/>
    </w:p>
    <w:p w14:paraId="2CB44BC1">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1.适用范围</w:t>
      </w:r>
    </w:p>
    <w:p w14:paraId="45EFEAE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本磋商文件仅适用于磋商须知前附表(以下简称</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中所叙述的采购项目。</w:t>
      </w:r>
    </w:p>
    <w:p w14:paraId="569F5642">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2.定义</w:t>
      </w:r>
    </w:p>
    <w:p w14:paraId="2C73ECC6">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2.1 “采购人”是指依法进行政府采购的国家机关、事业单位、团体组织。本次政府采购的采购人名称、地址、电话、联系人见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4EB02563">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zCs w:val="21"/>
          <w:highlight w:val="none"/>
        </w:rPr>
        <w:t>磋商须知前附表。</w:t>
      </w:r>
    </w:p>
    <w:p w14:paraId="774F2B07">
      <w:pPr>
        <w:adjustRightInd w:val="0"/>
        <w:snapToGrid w:val="0"/>
        <w:spacing w:line="360" w:lineRule="auto"/>
        <w:ind w:firstLine="420" w:firstLineChars="200"/>
        <w:rPr>
          <w:rFonts w:hint="eastAsia" w:ascii="宋体" w:hAnsi="宋体" w:eastAsia="宋体" w:cs="宋体"/>
          <w:bCs/>
          <w:color w:val="auto"/>
          <w:kern w:val="36"/>
          <w:szCs w:val="21"/>
          <w:highlight w:val="none"/>
        </w:rPr>
      </w:pPr>
      <w:r>
        <w:rPr>
          <w:rFonts w:hint="eastAsia" w:ascii="宋体" w:hAnsi="宋体" w:eastAsia="宋体" w:cs="宋体"/>
          <w:color w:val="auto"/>
          <w:szCs w:val="21"/>
          <w:highlight w:val="none"/>
        </w:rPr>
        <w:t>2.3 “供应商”是指响应磋商文件要求、参加竞争性磋商采购的法人、其他组织或者自然人。本次政府采购项目</w:t>
      </w:r>
      <w:r>
        <w:rPr>
          <w:rFonts w:hint="eastAsia" w:ascii="宋体" w:hAnsi="宋体" w:eastAsia="宋体" w:cs="宋体"/>
          <w:color w:val="auto"/>
          <w:kern w:val="0"/>
          <w:szCs w:val="21"/>
          <w:highlight w:val="none"/>
        </w:rPr>
        <w:t>邀请</w:t>
      </w:r>
      <w:r>
        <w:rPr>
          <w:rFonts w:hint="eastAsia" w:ascii="宋体" w:hAnsi="宋体" w:eastAsia="宋体" w:cs="宋体"/>
          <w:color w:val="auto"/>
          <w:szCs w:val="21"/>
          <w:highlight w:val="none"/>
        </w:rPr>
        <w:t>的</w:t>
      </w:r>
      <w:r>
        <w:rPr>
          <w:rFonts w:hint="eastAsia" w:ascii="宋体" w:hAnsi="宋体" w:eastAsia="宋体" w:cs="宋体"/>
          <w:color w:val="auto"/>
          <w:kern w:val="0"/>
          <w:szCs w:val="21"/>
          <w:highlight w:val="none"/>
        </w:rPr>
        <w:t>供应商通过</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所述方式</w:t>
      </w:r>
      <w:r>
        <w:rPr>
          <w:rFonts w:hint="eastAsia" w:ascii="宋体" w:hAnsi="宋体" w:eastAsia="宋体" w:cs="宋体"/>
          <w:color w:val="auto"/>
          <w:kern w:val="0"/>
          <w:szCs w:val="21"/>
          <w:highlight w:val="none"/>
        </w:rPr>
        <w:t>，邀请符合资格条件的供应商提交响应文件（含资格证明资料），参与竞争性磋商采购活动。</w:t>
      </w:r>
    </w:p>
    <w:p w14:paraId="0721011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2.4 “磋商小组”是指</w:t>
      </w:r>
      <w:r>
        <w:rPr>
          <w:rFonts w:hint="eastAsia" w:ascii="宋体" w:hAnsi="宋体" w:eastAsia="宋体" w:cs="宋体"/>
          <w:color w:val="auto"/>
          <w:kern w:val="0"/>
          <w:szCs w:val="21"/>
          <w:highlight w:val="none"/>
        </w:rPr>
        <w:t>依据财政部</w:t>
      </w:r>
      <w:r>
        <w:rPr>
          <w:rFonts w:hint="eastAsia" w:ascii="宋体" w:hAnsi="宋体" w:eastAsia="宋体" w:cs="宋体"/>
          <w:bCs/>
          <w:color w:val="auto"/>
          <w:kern w:val="36"/>
          <w:szCs w:val="21"/>
          <w:highlight w:val="none"/>
        </w:rPr>
        <w:t>《政府采购竞争性磋商采购方式管理暂行办法》有关规定组建，依法依规</w:t>
      </w:r>
      <w:r>
        <w:rPr>
          <w:rFonts w:hint="eastAsia" w:ascii="宋体" w:hAnsi="宋体" w:eastAsia="宋体" w:cs="宋体"/>
          <w:color w:val="auto"/>
          <w:kern w:val="0"/>
          <w:szCs w:val="21"/>
          <w:highlight w:val="none"/>
        </w:rPr>
        <w:t>履行其职责和义务的机构。</w:t>
      </w:r>
    </w:p>
    <w:p w14:paraId="544EB58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 “货物”是指各种形态和种类的物品，包括原资料、燃料、设备、产品等，详见《政府采购品目分类目录》(</w:t>
      </w:r>
      <w:r>
        <w:rPr>
          <w:rFonts w:hint="eastAsia" w:ascii="宋体" w:hAnsi="宋体" w:eastAsia="宋体" w:cs="宋体"/>
          <w:bCs/>
          <w:color w:val="auto"/>
          <w:highlight w:val="none"/>
        </w:rPr>
        <w:t>财库[2013]189号</w:t>
      </w:r>
      <w:r>
        <w:rPr>
          <w:rFonts w:hint="eastAsia" w:ascii="宋体" w:hAnsi="宋体" w:eastAsia="宋体" w:cs="宋体"/>
          <w:color w:val="auto"/>
          <w:szCs w:val="21"/>
          <w:highlight w:val="none"/>
        </w:rPr>
        <w:t>)。</w:t>
      </w:r>
    </w:p>
    <w:p w14:paraId="2FDC042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 “工程”是指建设工程，包括建筑物和构筑物的新建、改建、扩建、装修、拆除、修缮等，详见《政府采购品目分类目录》(</w:t>
      </w:r>
      <w:r>
        <w:rPr>
          <w:rFonts w:hint="eastAsia" w:ascii="宋体" w:hAnsi="宋体" w:eastAsia="宋体" w:cs="宋体"/>
          <w:bCs/>
          <w:color w:val="auto"/>
          <w:highlight w:val="none"/>
        </w:rPr>
        <w:t>财库[2013]189号</w:t>
      </w:r>
      <w:r>
        <w:rPr>
          <w:rFonts w:hint="eastAsia" w:ascii="宋体" w:hAnsi="宋体" w:eastAsia="宋体" w:cs="宋体"/>
          <w:color w:val="auto"/>
          <w:szCs w:val="21"/>
          <w:highlight w:val="none"/>
        </w:rPr>
        <w:t>)。</w:t>
      </w:r>
    </w:p>
    <w:p w14:paraId="1B41889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 “服务”是指除货物和工程以外的其他政府采购对象，详见《政府采购品目分类目录》(</w:t>
      </w:r>
      <w:r>
        <w:rPr>
          <w:rFonts w:hint="eastAsia" w:ascii="宋体" w:hAnsi="宋体" w:eastAsia="宋体" w:cs="宋体"/>
          <w:bCs/>
          <w:color w:val="auto"/>
          <w:highlight w:val="none"/>
        </w:rPr>
        <w:t>财库[2013]189号</w:t>
      </w:r>
      <w:r>
        <w:rPr>
          <w:rFonts w:hint="eastAsia" w:ascii="宋体" w:hAnsi="宋体" w:eastAsia="宋体" w:cs="宋体"/>
          <w:color w:val="auto"/>
          <w:szCs w:val="21"/>
          <w:highlight w:val="none"/>
        </w:rPr>
        <w:t>)。</w:t>
      </w:r>
    </w:p>
    <w:p w14:paraId="00B3189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2.8</w:t>
      </w:r>
      <w:r>
        <w:rPr>
          <w:rFonts w:hint="eastAsia" w:ascii="宋体" w:hAnsi="宋体" w:eastAsia="宋体" w:cs="宋体"/>
          <w:color w:val="auto"/>
          <w:szCs w:val="21"/>
          <w:highlight w:val="none"/>
        </w:rPr>
        <w:t xml:space="preserve"> “节能产品”或者“环保产品”是指财政部发布的《节能产品政府采购清单》或者《环境标志产品政府采购清单》的产品。</w:t>
      </w:r>
    </w:p>
    <w:p w14:paraId="6615440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2.9</w:t>
      </w:r>
      <w:r>
        <w:rPr>
          <w:rFonts w:hint="eastAsia" w:ascii="宋体" w:hAnsi="宋体" w:eastAsia="宋体" w:cs="宋体"/>
          <w:color w:val="auto"/>
          <w:kern w:val="0"/>
          <w:szCs w:val="21"/>
          <w:highlight w:val="none"/>
        </w:rPr>
        <w:t xml:space="preserve"> “进口产品”是指通过中国海关报关验放进入中国境内且产自关境外的产品，详见《关于政府采购进口产品管理有关问题的通知》(财库[2007]119号)。</w:t>
      </w:r>
    </w:p>
    <w:p w14:paraId="563D8A52">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3.供应商的资格要求</w:t>
      </w:r>
    </w:p>
    <w:p w14:paraId="5D7BDFA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供应商应当符合</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中规定的资格条件要求。</w:t>
      </w:r>
    </w:p>
    <w:p w14:paraId="3F56376B">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3.2供应商</w:t>
      </w:r>
      <w:r>
        <w:rPr>
          <w:rFonts w:hint="eastAsia" w:ascii="宋体" w:hAnsi="宋体" w:eastAsia="宋体" w:cs="宋体"/>
          <w:color w:val="auto"/>
          <w:highlight w:val="none"/>
        </w:rPr>
        <w:t>为联合体形式的</w:t>
      </w:r>
      <w:r>
        <w:rPr>
          <w:rFonts w:hint="eastAsia" w:ascii="宋体" w:hAnsi="宋体" w:eastAsia="宋体" w:cs="宋体"/>
          <w:color w:val="auto"/>
          <w:szCs w:val="21"/>
          <w:highlight w:val="none"/>
        </w:rPr>
        <w:t xml:space="preserve">，除应满足本章第3.1款资格条件要求及第3.3款规定外，还应遵守以下规定： </w:t>
      </w:r>
    </w:p>
    <w:p w14:paraId="4A471704">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（1）联合体各方应按磋商文件提供的格式签订联合体协议书，明确联合体牵头人和各方权利义务(含承担工作及工作量比例)；</w:t>
      </w:r>
    </w:p>
    <w:p w14:paraId="57BF520F">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（2）联合体中有同类资质的供应商按照联合体分工承担相同工作的，应当按照资质等级较低的供应商确定资质等级；</w:t>
      </w:r>
    </w:p>
    <w:p w14:paraId="202DD66C">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796AD1A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供应商不得存在下列情形之一：</w:t>
      </w:r>
    </w:p>
    <w:p w14:paraId="4BB9FB8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（l）与采购人、采购代理机构存在</w:t>
      </w:r>
      <w:r>
        <w:rPr>
          <w:rFonts w:hint="eastAsia" w:ascii="宋体" w:hAnsi="宋体" w:eastAsia="宋体" w:cs="宋体"/>
          <w:bCs/>
          <w:color w:val="auto"/>
          <w:szCs w:val="21"/>
          <w:highlight w:val="none"/>
        </w:rPr>
        <w:t>隶属关系或者其他利害关系</w:t>
      </w:r>
      <w:r>
        <w:rPr>
          <w:rFonts w:hint="eastAsia" w:ascii="宋体" w:hAnsi="宋体" w:eastAsia="宋体" w:cs="宋体"/>
          <w:color w:val="auto"/>
          <w:szCs w:val="21"/>
          <w:highlight w:val="none"/>
        </w:rPr>
        <w:t>。</w:t>
      </w:r>
    </w:p>
    <w:p w14:paraId="1D7F20A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（2）与其他供应商的法定代表人（或者负责人）为同一人，或者与其他供应商存在直接控股、管理关系。</w:t>
      </w:r>
    </w:p>
    <w:p w14:paraId="4A3A362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bCs/>
          <w:color w:val="auto"/>
          <w:szCs w:val="21"/>
          <w:highlight w:val="none"/>
        </w:rPr>
        <w:t>受到刑事处罚，或者受到200万元以上的罚款、责令停产停业、在一至三年内禁止参加政府采购活动、暂扣或者吊销许可证、暂扣或者吊销执照等情形之一的行政处罚，或者存在</w:t>
      </w:r>
      <w:r>
        <w:rPr>
          <w:rFonts w:hint="eastAsia" w:ascii="宋体" w:hAnsi="宋体" w:eastAsia="宋体" w:cs="宋体"/>
          <w:color w:val="auto"/>
          <w:szCs w:val="21"/>
          <w:highlight w:val="none"/>
        </w:rPr>
        <w:t>财政部门认定的其他重大违法记录。</w:t>
      </w:r>
    </w:p>
    <w:p w14:paraId="7D0C12C9">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4.参与磋商的费用 </w:t>
      </w:r>
    </w:p>
    <w:p w14:paraId="5454129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无论磋商的结果如何，供应商应自行承担所有与竞争性磋商采购活动有关的全部费用。</w:t>
      </w:r>
    </w:p>
    <w:p w14:paraId="5DD9618C">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5．</w:t>
      </w:r>
      <w:r>
        <w:rPr>
          <w:rFonts w:hint="eastAsia" w:ascii="宋体" w:hAnsi="宋体" w:eastAsia="宋体" w:cs="宋体"/>
          <w:b/>
          <w:bCs/>
          <w:color w:val="auto"/>
          <w:szCs w:val="21"/>
          <w:highlight w:val="none"/>
        </w:rPr>
        <w:t>授权委托</w:t>
      </w:r>
    </w:p>
    <w:p w14:paraId="7DF0D2B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5.1供应商代表为供应商法定代表人的，应持有法定代表人身份证明。供应商代表不是供应商法定代表人的，应持有法定代表人授权书，并附法定代表人身份证明。</w:t>
      </w:r>
    </w:p>
    <w:p w14:paraId="5301E570">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6．联合体形式</w:t>
      </w:r>
    </w:p>
    <w:p w14:paraId="149F0FE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6.1除</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中另有规定，本次</w:t>
      </w:r>
      <w:r>
        <w:rPr>
          <w:rFonts w:hint="eastAsia" w:ascii="宋体" w:hAnsi="宋体" w:cs="宋体"/>
          <w:bCs/>
          <w:color w:val="auto"/>
          <w:sz w:val="21"/>
          <w:szCs w:val="21"/>
          <w:highlight w:val="none"/>
          <w:lang w:val="en-US" w:eastAsia="zh-CN"/>
        </w:rPr>
        <w:t>磋商</w:t>
      </w:r>
      <w:r>
        <w:rPr>
          <w:rFonts w:hint="eastAsia" w:ascii="宋体" w:hAnsi="宋体" w:eastAsia="宋体" w:cs="宋体"/>
          <w:color w:val="auto"/>
          <w:szCs w:val="21"/>
          <w:highlight w:val="none"/>
        </w:rPr>
        <w:t>采购不接受为联合体形式的供应商。</w:t>
      </w:r>
    </w:p>
    <w:p w14:paraId="71A030D5">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6.2供应商</w:t>
      </w:r>
      <w:r>
        <w:rPr>
          <w:rFonts w:hint="eastAsia" w:ascii="宋体" w:hAnsi="宋体" w:eastAsia="宋体" w:cs="宋体"/>
          <w:color w:val="auto"/>
          <w:highlight w:val="none"/>
        </w:rPr>
        <w:t>为联合体形式的</w:t>
      </w:r>
      <w:r>
        <w:rPr>
          <w:rFonts w:hint="eastAsia" w:ascii="宋体" w:hAnsi="宋体" w:eastAsia="宋体" w:cs="宋体"/>
          <w:color w:val="auto"/>
          <w:szCs w:val="21"/>
          <w:highlight w:val="none"/>
        </w:rPr>
        <w:t>，除应符合本章第3条规定外，还应遵守以下规定：</w:t>
      </w:r>
    </w:p>
    <w:p w14:paraId="1A341D03">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（l）联合体各方必须签订联合体协议书，明确联合体牵头人和各方的义务、工作、合同工作量比例；</w:t>
      </w:r>
    </w:p>
    <w:p w14:paraId="77CCB04B">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（2）联合体各方均应当符合本章第3.1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规定的供应商基本资格条件；</w:t>
      </w:r>
    </w:p>
    <w:p w14:paraId="0AA05B3D">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除</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中另有规定，</w:t>
      </w:r>
      <w:r>
        <w:rPr>
          <w:rFonts w:hint="eastAsia" w:ascii="宋体" w:hAnsi="宋体" w:eastAsia="宋体" w:cs="宋体"/>
          <w:color w:val="auto"/>
          <w:szCs w:val="21"/>
          <w:highlight w:val="none"/>
        </w:rPr>
        <w:t>联合体各方中至少有一方应当符合本章第3.1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规定的供应商特定资格条件；</w:t>
      </w:r>
    </w:p>
    <w:p w14:paraId="697A23B0">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kern w:val="0"/>
          <w:szCs w:val="21"/>
          <w:highlight w:val="none"/>
          <w:lang w:val="zh-CN"/>
        </w:rPr>
        <w:t>联合体各方不得再单独或与其他供应商组成新的联合体参加同一项目的采购活动。</w:t>
      </w:r>
    </w:p>
    <w:p w14:paraId="6E48B816">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7.现场勘察</w:t>
      </w:r>
    </w:p>
    <w:p w14:paraId="7AEE8AA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7.1供应商应按</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中规定</w:t>
      </w:r>
      <w:r>
        <w:rPr>
          <w:rFonts w:hint="eastAsia" w:ascii="宋体" w:hAnsi="宋体" w:eastAsia="宋体" w:cs="宋体"/>
          <w:color w:val="auto"/>
          <w:szCs w:val="21"/>
          <w:highlight w:val="none"/>
        </w:rPr>
        <w:t>对采购项目现场和周围环境的现场考察。</w:t>
      </w:r>
    </w:p>
    <w:p w14:paraId="0E20366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7.2勘察现场的费用由供应商自己承担，勘察期间所发生的人身伤害及财产损失由供应商自己负责。</w:t>
      </w:r>
    </w:p>
    <w:p w14:paraId="656E3820">
      <w:pPr>
        <w:adjustRightInd w:val="0"/>
        <w:snapToGrid w:val="0"/>
        <w:spacing w:line="360" w:lineRule="auto"/>
        <w:ind w:firstLine="420" w:firstLineChars="20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7.3采购人不对供应商据此而做出的推论、理解和结论负责。一旦成交，供应商不得以任何借口，提出额外补偿，或延长合同期限的要求。</w:t>
      </w:r>
    </w:p>
    <w:p w14:paraId="070D5D5E">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8.采购进口产品</w:t>
      </w:r>
    </w:p>
    <w:p w14:paraId="3F2722C9">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8.1除</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另有规定外，本项目</w:t>
      </w:r>
      <w:r>
        <w:rPr>
          <w:rFonts w:hint="eastAsia" w:ascii="宋体" w:hAnsi="宋体" w:eastAsia="宋体" w:cs="宋体"/>
          <w:color w:val="auto"/>
          <w:kern w:val="0"/>
          <w:szCs w:val="21"/>
          <w:highlight w:val="none"/>
        </w:rPr>
        <w:t>拒绝进口产品参加</w:t>
      </w:r>
      <w:r>
        <w:rPr>
          <w:rFonts w:hint="eastAsia" w:ascii="宋体" w:hAnsi="宋体" w:eastAsia="宋体" w:cs="宋体"/>
          <w:color w:val="auto"/>
          <w:szCs w:val="21"/>
          <w:highlight w:val="none"/>
        </w:rPr>
        <w:t>竞争性磋商采购活动</w:t>
      </w:r>
      <w:r>
        <w:rPr>
          <w:rFonts w:hint="eastAsia" w:ascii="宋体" w:hAnsi="宋体" w:eastAsia="宋体" w:cs="宋体"/>
          <w:color w:val="auto"/>
          <w:kern w:val="0"/>
          <w:szCs w:val="21"/>
          <w:highlight w:val="none"/>
        </w:rPr>
        <w:t>。</w:t>
      </w:r>
    </w:p>
    <w:p w14:paraId="2D4D0800">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8.2</w:t>
      </w:r>
      <w:r>
        <w:rPr>
          <w:rFonts w:hint="eastAsia" w:ascii="宋体" w:hAnsi="宋体" w:eastAsia="宋体" w:cs="宋体"/>
          <w:color w:val="auto"/>
          <w:szCs w:val="21"/>
          <w:highlight w:val="none"/>
        </w:rPr>
        <w:t>本章第7.1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w:t>
      </w:r>
      <w:r>
        <w:rPr>
          <w:rFonts w:hint="eastAsia" w:ascii="宋体" w:hAnsi="宋体" w:eastAsia="宋体" w:cs="宋体"/>
          <w:color w:val="auto"/>
          <w:kern w:val="0"/>
          <w:szCs w:val="21"/>
          <w:highlight w:val="none"/>
        </w:rPr>
        <w:t>同意购买进口产品的，</w:t>
      </w:r>
      <w:r>
        <w:rPr>
          <w:rFonts w:hint="eastAsia" w:ascii="宋体" w:hAnsi="宋体" w:eastAsia="宋体" w:cs="宋体"/>
          <w:color w:val="auto"/>
          <w:szCs w:val="21"/>
          <w:highlight w:val="none"/>
        </w:rPr>
        <w:t>本项目</w:t>
      </w:r>
      <w:r>
        <w:rPr>
          <w:rFonts w:hint="eastAsia" w:ascii="宋体" w:hAnsi="宋体" w:eastAsia="宋体" w:cs="宋体"/>
          <w:color w:val="auto"/>
          <w:kern w:val="0"/>
          <w:szCs w:val="21"/>
          <w:highlight w:val="none"/>
          <w:lang w:val="zh-CN"/>
        </w:rPr>
        <w:t>采购活动</w:t>
      </w:r>
      <w:r>
        <w:rPr>
          <w:rFonts w:hint="eastAsia" w:ascii="宋体" w:hAnsi="宋体" w:eastAsia="宋体" w:cs="宋体"/>
          <w:color w:val="auto"/>
          <w:kern w:val="0"/>
          <w:szCs w:val="21"/>
          <w:highlight w:val="none"/>
        </w:rPr>
        <w:t>不限制满足</w:t>
      </w:r>
      <w:r>
        <w:rPr>
          <w:rFonts w:hint="eastAsia" w:ascii="宋体" w:hAnsi="宋体" w:eastAsia="宋体" w:cs="宋体"/>
          <w:color w:val="auto"/>
          <w:szCs w:val="21"/>
          <w:highlight w:val="none"/>
        </w:rPr>
        <w:t>磋商文件要求</w:t>
      </w:r>
      <w:r>
        <w:rPr>
          <w:rFonts w:hint="eastAsia" w:ascii="宋体" w:hAnsi="宋体" w:eastAsia="宋体" w:cs="宋体"/>
          <w:color w:val="auto"/>
          <w:kern w:val="0"/>
          <w:szCs w:val="21"/>
          <w:highlight w:val="none"/>
        </w:rPr>
        <w:t>的国内产品参与</w:t>
      </w:r>
      <w:r>
        <w:rPr>
          <w:rFonts w:hint="eastAsia" w:ascii="宋体" w:hAnsi="宋体" w:eastAsia="宋体" w:cs="宋体"/>
          <w:color w:val="auto"/>
          <w:szCs w:val="21"/>
          <w:highlight w:val="none"/>
        </w:rPr>
        <w:t>竞争性磋商</w:t>
      </w:r>
      <w:r>
        <w:rPr>
          <w:rFonts w:hint="eastAsia" w:ascii="宋体" w:hAnsi="宋体" w:eastAsia="宋体" w:cs="宋体"/>
          <w:color w:val="auto"/>
          <w:kern w:val="0"/>
          <w:szCs w:val="21"/>
          <w:highlight w:val="none"/>
        </w:rPr>
        <w:t>。</w:t>
      </w:r>
    </w:p>
    <w:p w14:paraId="191DF19B">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9.</w:t>
      </w:r>
      <w:r>
        <w:rPr>
          <w:rFonts w:hint="eastAsia" w:ascii="宋体" w:hAnsi="宋体" w:eastAsia="宋体" w:cs="宋体"/>
          <w:b/>
          <w:color w:val="auto"/>
          <w:szCs w:val="21"/>
          <w:highlight w:val="none"/>
        </w:rPr>
        <w:t xml:space="preserve"> 政府采购政策支持</w:t>
      </w:r>
    </w:p>
    <w:p w14:paraId="0CD60657">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kern w:val="0"/>
          <w:szCs w:val="21"/>
          <w:highlight w:val="none"/>
        </w:rPr>
        <w:t>磋商文件前附表。</w:t>
      </w:r>
    </w:p>
    <w:p w14:paraId="175CA1C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auto"/>
          <w:kern w:val="0"/>
          <w:szCs w:val="21"/>
          <w:highlight w:val="none"/>
        </w:rPr>
        <w:t>磋商文件前附表。</w:t>
      </w:r>
    </w:p>
    <w:p w14:paraId="0569FE5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9.3产品同时属于“非强制采购节能产品”、“环境标志产品”，评审时只有其中一项能享受优先待遇(供应商自行选择，并在报价文件中并填报相关信息及数据)；中小企业可以与同时属于“非强制采购节能产品”、“环境标志产品”中的一项重复计算。</w:t>
      </w:r>
    </w:p>
    <w:p w14:paraId="240A5ADE">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9.4同一项目中部分产品属于优先采购政策的，评审时只对该部分产品的报价实行价格扣除及加分。</w:t>
      </w:r>
    </w:p>
    <w:p w14:paraId="4F5955FD">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9.5符合本章第9.1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第9.2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规定的，应提供相关证明资料。</w:t>
      </w:r>
    </w:p>
    <w:p w14:paraId="5BA9829D">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9.6供应商有融资、担保需求的，具体办理流程可向</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所列金融机构和担保机构询问。</w:t>
      </w:r>
    </w:p>
    <w:p w14:paraId="333118B4">
      <w:pPr>
        <w:pStyle w:val="4"/>
        <w:bidi w:val="0"/>
        <w:rPr>
          <w:rFonts w:hint="eastAsia" w:ascii="宋体" w:hAnsi="宋体" w:eastAsia="宋体" w:cs="宋体"/>
          <w:color w:val="auto"/>
          <w:highlight w:val="none"/>
        </w:rPr>
      </w:pPr>
      <w:bookmarkStart w:id="42" w:name="_Toc26660"/>
      <w:bookmarkStart w:id="43" w:name="_Toc31473"/>
      <w:bookmarkStart w:id="44" w:name="_Toc29737"/>
      <w:bookmarkStart w:id="45" w:name="_Toc23810"/>
      <w:bookmarkStart w:id="46" w:name="_Toc5808"/>
      <w:bookmarkStart w:id="47" w:name="_Toc28799"/>
      <w:bookmarkStart w:id="48" w:name="_Toc4772"/>
      <w:bookmarkStart w:id="49" w:name="_Toc18382"/>
      <w:bookmarkStart w:id="50" w:name="_Toc53489355"/>
      <w:bookmarkStart w:id="51" w:name="_Toc24713"/>
      <w:bookmarkStart w:id="52" w:name="_Toc8783"/>
      <w:r>
        <w:rPr>
          <w:rFonts w:hint="eastAsia" w:ascii="宋体" w:hAnsi="宋体" w:eastAsia="宋体" w:cs="宋体"/>
          <w:color w:val="auto"/>
          <w:highlight w:val="none"/>
        </w:rPr>
        <w:t>二、磋商文件</w:t>
      </w:r>
      <w:bookmarkEnd w:id="42"/>
      <w:bookmarkEnd w:id="43"/>
      <w:bookmarkEnd w:id="44"/>
      <w:bookmarkEnd w:id="45"/>
      <w:bookmarkEnd w:id="46"/>
      <w:bookmarkEnd w:id="47"/>
      <w:bookmarkEnd w:id="48"/>
      <w:bookmarkEnd w:id="49"/>
      <w:bookmarkEnd w:id="50"/>
      <w:bookmarkEnd w:id="51"/>
      <w:bookmarkEnd w:id="52"/>
    </w:p>
    <w:p w14:paraId="41CE5945">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10．磋商文件的组成</w:t>
      </w:r>
    </w:p>
    <w:p w14:paraId="214F717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 磋商文件由下列文件组成：</w:t>
      </w:r>
    </w:p>
    <w:p w14:paraId="7637EAC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磋商邀请</w:t>
      </w:r>
    </w:p>
    <w:p w14:paraId="11AE835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磋商须知</w:t>
      </w:r>
    </w:p>
    <w:p w14:paraId="3C0797D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政府采购合同格式</w:t>
      </w:r>
    </w:p>
    <w:p w14:paraId="75F46A2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采购需求</w:t>
      </w:r>
    </w:p>
    <w:p w14:paraId="289E01C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响应文件组成</w:t>
      </w:r>
    </w:p>
    <w:p w14:paraId="6A47283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10.2</w:t>
      </w:r>
      <w:r>
        <w:rPr>
          <w:rFonts w:hint="eastAsia" w:ascii="宋体" w:hAnsi="宋体" w:eastAsia="宋体" w:cs="宋体"/>
          <w:color w:val="auto"/>
          <w:kern w:val="0"/>
          <w:szCs w:val="21"/>
          <w:highlight w:val="none"/>
        </w:rPr>
        <w:t>磋商小组根据与供应商磋商情况可能实质性变动的内容，包括采购需求中的技术、服务要求以及合同条款，</w:t>
      </w:r>
      <w:r>
        <w:rPr>
          <w:rFonts w:hint="eastAsia" w:ascii="宋体" w:hAnsi="宋体" w:eastAsia="宋体" w:cs="宋体"/>
          <w:color w:val="auto"/>
          <w:szCs w:val="21"/>
          <w:highlight w:val="none"/>
        </w:rPr>
        <w:t>在</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中明确。</w:t>
      </w:r>
    </w:p>
    <w:p w14:paraId="14518E7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10.3</w:t>
      </w:r>
      <w:r>
        <w:rPr>
          <w:rFonts w:hint="eastAsia" w:ascii="宋体" w:hAnsi="宋体" w:eastAsia="宋体" w:cs="宋体"/>
          <w:color w:val="auto"/>
          <w:szCs w:val="21"/>
          <w:highlight w:val="none"/>
        </w:rPr>
        <w:t>供应商应仔细阅读</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文件的全部内容，按照</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文件要求编制响应文件。任何对</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文件的忽略或误解不能作为响应文件存在缺陷或瑕疵的理由，其风险由供应商承担。</w:t>
      </w:r>
    </w:p>
    <w:p w14:paraId="31FB0BFC">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w:t>
      </w:r>
      <w:r>
        <w:rPr>
          <w:rFonts w:hint="eastAsia" w:ascii="宋体" w:hAnsi="宋体" w:eastAsia="宋体" w:cs="宋体"/>
          <w:b/>
          <w:color w:val="auto"/>
          <w:highlight w:val="none"/>
        </w:rPr>
        <w:t xml:space="preserve"> </w:t>
      </w:r>
      <w:r>
        <w:rPr>
          <w:rFonts w:hint="eastAsia" w:ascii="宋体" w:hAnsi="宋体" w:eastAsia="宋体" w:cs="宋体"/>
          <w:b/>
          <w:color w:val="auto"/>
          <w:szCs w:val="21"/>
          <w:highlight w:val="none"/>
        </w:rPr>
        <w:t>磋商文件的提供期限</w:t>
      </w:r>
    </w:p>
    <w:p w14:paraId="55BAB65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11.1磋商文件的提供期限自开始发出之日起不得少于五个工作日。具体提供期限见</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w:t>
      </w:r>
    </w:p>
    <w:p w14:paraId="6C05884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11.2供应商应持</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规定的资料领取或购买磋商文件。</w:t>
      </w:r>
    </w:p>
    <w:p w14:paraId="4CC1978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12.</w:t>
      </w:r>
      <w:r>
        <w:rPr>
          <w:rFonts w:hint="eastAsia" w:ascii="宋体" w:hAnsi="宋体" w:eastAsia="宋体" w:cs="宋体"/>
          <w:b/>
          <w:color w:val="auto"/>
          <w:kern w:val="0"/>
          <w:szCs w:val="21"/>
          <w:highlight w:val="none"/>
        </w:rPr>
        <w:t>提交首次响应文件</w:t>
      </w:r>
      <w:r>
        <w:rPr>
          <w:rFonts w:hint="eastAsia" w:ascii="宋体" w:hAnsi="宋体" w:eastAsia="宋体" w:cs="宋体"/>
          <w:b/>
          <w:color w:val="auto"/>
          <w:szCs w:val="21"/>
          <w:highlight w:val="none"/>
        </w:rPr>
        <w:t>的</w:t>
      </w:r>
      <w:r>
        <w:rPr>
          <w:rFonts w:hint="eastAsia" w:ascii="宋体" w:hAnsi="宋体" w:eastAsia="宋体" w:cs="宋体"/>
          <w:b/>
          <w:color w:val="auto"/>
          <w:kern w:val="0"/>
          <w:szCs w:val="21"/>
          <w:highlight w:val="none"/>
        </w:rPr>
        <w:t>截止</w:t>
      </w:r>
      <w:r>
        <w:rPr>
          <w:rFonts w:hint="eastAsia" w:ascii="宋体" w:hAnsi="宋体" w:eastAsia="宋体" w:cs="宋体"/>
          <w:b/>
          <w:color w:val="auto"/>
          <w:szCs w:val="21"/>
          <w:highlight w:val="none"/>
        </w:rPr>
        <w:t>时间</w:t>
      </w:r>
    </w:p>
    <w:p w14:paraId="0050BB2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w:t>
      </w:r>
      <w:r>
        <w:rPr>
          <w:rFonts w:hint="eastAsia" w:ascii="宋体" w:hAnsi="宋体" w:eastAsia="宋体" w:cs="宋体"/>
          <w:color w:val="auto"/>
          <w:kern w:val="0"/>
          <w:szCs w:val="21"/>
          <w:highlight w:val="none"/>
        </w:rPr>
        <w:t>供应商提交首次响应文件截止</w:t>
      </w:r>
      <w:r>
        <w:rPr>
          <w:rFonts w:hint="eastAsia" w:ascii="宋体" w:hAnsi="宋体" w:eastAsia="宋体" w:cs="宋体"/>
          <w:color w:val="auto"/>
          <w:szCs w:val="21"/>
          <w:highlight w:val="none"/>
        </w:rPr>
        <w:t>时间见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6F2B0A45">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13.磋商文件的澄清</w:t>
      </w:r>
      <w:r>
        <w:rPr>
          <w:rFonts w:hint="eastAsia" w:ascii="宋体" w:hAnsi="宋体" w:eastAsia="宋体" w:cs="宋体"/>
          <w:b/>
          <w:color w:val="auto"/>
          <w:kern w:val="0"/>
          <w:szCs w:val="21"/>
          <w:highlight w:val="none"/>
          <w:lang w:val="zh-CN"/>
        </w:rPr>
        <w:t>或者</w:t>
      </w:r>
      <w:r>
        <w:rPr>
          <w:rFonts w:hint="eastAsia" w:ascii="宋体" w:hAnsi="宋体" w:eastAsia="宋体" w:cs="宋体"/>
          <w:b/>
          <w:bCs/>
          <w:color w:val="auto"/>
          <w:szCs w:val="21"/>
          <w:highlight w:val="none"/>
        </w:rPr>
        <w:t>修改</w:t>
      </w:r>
    </w:p>
    <w:p w14:paraId="508A2649">
      <w:pPr>
        <w:adjustRightInd w:val="0"/>
        <w:snapToGrid w:val="0"/>
        <w:spacing w:line="360" w:lineRule="auto"/>
        <w:ind w:right="-105" w:rightChars="-50"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13.1在</w:t>
      </w:r>
      <w:r>
        <w:rPr>
          <w:rFonts w:hint="eastAsia" w:ascii="宋体" w:hAnsi="宋体" w:eastAsia="宋体" w:cs="宋体"/>
          <w:color w:val="auto"/>
          <w:kern w:val="0"/>
          <w:szCs w:val="21"/>
          <w:highlight w:val="none"/>
        </w:rPr>
        <w:t xml:space="preserve">提交首次响应文件截止之日前，采购人、采购代理机构可以对已发出的磋商文件进行必要的澄清或者修改。 </w:t>
      </w:r>
    </w:p>
    <w:p w14:paraId="1AC6F24D">
      <w:pPr>
        <w:adjustRightInd w:val="0"/>
        <w:snapToGrid w:val="0"/>
        <w:spacing w:line="360" w:lineRule="auto"/>
        <w:ind w:right="-105" w:rightChars="-50"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714E9F2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kern w:val="0"/>
          <w:szCs w:val="21"/>
          <w:highlight w:val="none"/>
        </w:rPr>
        <w:t>提交首次响应文件截止时间前对磋商文件澄清或者修改内容，为磋商文件的组成部分。</w:t>
      </w:r>
    </w:p>
    <w:p w14:paraId="02DDD326">
      <w:pPr>
        <w:pStyle w:val="4"/>
        <w:bidi w:val="0"/>
        <w:rPr>
          <w:rFonts w:hint="eastAsia" w:ascii="宋体" w:hAnsi="宋体" w:eastAsia="宋体" w:cs="宋体"/>
          <w:color w:val="auto"/>
          <w:highlight w:val="none"/>
        </w:rPr>
      </w:pPr>
      <w:bookmarkStart w:id="53" w:name="_Toc19711"/>
      <w:bookmarkStart w:id="54" w:name="_Toc13883"/>
      <w:bookmarkStart w:id="55" w:name="_Toc53489356"/>
      <w:bookmarkStart w:id="56" w:name="_Toc31189"/>
      <w:bookmarkStart w:id="57" w:name="_Toc7850"/>
      <w:bookmarkStart w:id="58" w:name="_Toc18977"/>
      <w:bookmarkStart w:id="59" w:name="_Toc25355"/>
      <w:bookmarkStart w:id="60" w:name="_Toc15009"/>
      <w:bookmarkStart w:id="61" w:name="_Toc17508"/>
      <w:bookmarkStart w:id="62" w:name="_Toc2305"/>
      <w:bookmarkStart w:id="63" w:name="_Toc27369"/>
      <w:r>
        <w:rPr>
          <w:rFonts w:hint="eastAsia" w:ascii="宋体" w:hAnsi="宋体" w:eastAsia="宋体" w:cs="宋体"/>
          <w:color w:val="auto"/>
          <w:highlight w:val="none"/>
        </w:rPr>
        <w:t>三、响应文件</w:t>
      </w:r>
      <w:bookmarkEnd w:id="53"/>
      <w:bookmarkEnd w:id="54"/>
      <w:bookmarkEnd w:id="55"/>
      <w:bookmarkEnd w:id="56"/>
      <w:bookmarkEnd w:id="57"/>
      <w:bookmarkEnd w:id="58"/>
      <w:bookmarkEnd w:id="59"/>
      <w:bookmarkEnd w:id="60"/>
      <w:bookmarkEnd w:id="61"/>
      <w:bookmarkEnd w:id="62"/>
      <w:bookmarkEnd w:id="63"/>
    </w:p>
    <w:p w14:paraId="4725B56E">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14.一般要求</w:t>
      </w:r>
    </w:p>
    <w:p w14:paraId="6F0FDAF6">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3EABCC89">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14.2 </w:t>
      </w:r>
      <w:r>
        <w:rPr>
          <w:rFonts w:hint="eastAsia" w:ascii="宋体" w:hAnsi="宋体" w:eastAsia="宋体" w:cs="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0E732C5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 xml:space="preserve">14.3 </w:t>
      </w:r>
      <w:r>
        <w:rPr>
          <w:rFonts w:hint="eastAsia" w:ascii="宋体" w:hAnsi="宋体" w:eastAsia="宋体" w:cs="宋体"/>
          <w:color w:val="auto"/>
          <w:szCs w:val="21"/>
          <w:highlight w:val="none"/>
        </w:rPr>
        <w:t>计量单位应使用我国法定计量单位，未列明时应默认为我国法定计量单位。</w:t>
      </w:r>
    </w:p>
    <w:p w14:paraId="1D09960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 响应文件应采用书面形式，电报、传真、电子邮件形式的响应文件概不接受。</w:t>
      </w:r>
    </w:p>
    <w:p w14:paraId="633920D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14.5 供应商应按磋商文件中提供的响应文件格式填写。</w:t>
      </w:r>
    </w:p>
    <w:p w14:paraId="630CF7CD">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w:t>
      </w:r>
      <w:r>
        <w:rPr>
          <w:rFonts w:hint="eastAsia" w:ascii="宋体" w:hAnsi="宋体" w:eastAsia="宋体" w:cs="宋体"/>
          <w:b/>
          <w:color w:val="auto"/>
          <w:szCs w:val="21"/>
          <w:highlight w:val="none"/>
        </w:rPr>
        <w:t>响应文件</w:t>
      </w:r>
      <w:r>
        <w:rPr>
          <w:rFonts w:hint="eastAsia" w:ascii="宋体" w:hAnsi="宋体" w:eastAsia="宋体" w:cs="宋体"/>
          <w:b/>
          <w:bCs/>
          <w:color w:val="auto"/>
          <w:szCs w:val="21"/>
          <w:highlight w:val="none"/>
        </w:rPr>
        <w:t>的组成</w:t>
      </w:r>
    </w:p>
    <w:p w14:paraId="5A9D425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15.1 响</w:t>
      </w:r>
      <w:r>
        <w:rPr>
          <w:rFonts w:hint="eastAsia" w:ascii="宋体" w:hAnsi="宋体" w:eastAsia="宋体" w:cs="宋体"/>
          <w:color w:val="auto"/>
          <w:szCs w:val="21"/>
          <w:highlight w:val="none"/>
        </w:rPr>
        <w:t xml:space="preserve">应文件包括下列内容： </w:t>
      </w:r>
    </w:p>
    <w:p w14:paraId="5897959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（1）磋商响应声明</w:t>
      </w:r>
    </w:p>
    <w:p w14:paraId="7A0FD8A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（2）保证金</w:t>
      </w:r>
    </w:p>
    <w:p w14:paraId="2BD50AD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（3）供应商的资格证明资料</w:t>
      </w:r>
    </w:p>
    <w:p w14:paraId="442163C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（4）施工方案说明</w:t>
      </w:r>
    </w:p>
    <w:p w14:paraId="04800C1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（5）技术/商务响应与偏离表</w:t>
      </w:r>
    </w:p>
    <w:p w14:paraId="2615C40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（6）报价一览表及报价文件</w:t>
      </w:r>
    </w:p>
    <w:p w14:paraId="7C9C091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（7）提供享受政府采购政策优惠的证明资料和清单表</w:t>
      </w:r>
    </w:p>
    <w:p w14:paraId="7D3F61B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（8）供应商认为需提供的其它资料</w:t>
      </w:r>
    </w:p>
    <w:p w14:paraId="1A89648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（9）最后报价</w:t>
      </w:r>
    </w:p>
    <w:p w14:paraId="00C1DFB4">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15.2在磋商过程中，</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根据</w:t>
      </w:r>
      <w:r>
        <w:rPr>
          <w:rFonts w:hint="eastAsia" w:ascii="宋体" w:hAnsi="宋体" w:eastAsia="宋体" w:cs="宋体"/>
          <w:color w:val="auto"/>
          <w:kern w:val="0"/>
          <w:szCs w:val="21"/>
          <w:highlight w:val="none"/>
        </w:rPr>
        <w:t>磋商小组</w:t>
      </w:r>
      <w:r>
        <w:rPr>
          <w:rFonts w:hint="eastAsia" w:ascii="宋体" w:hAnsi="宋体" w:eastAsia="宋体" w:cs="宋体"/>
          <w:bCs/>
          <w:color w:val="auto"/>
          <w:szCs w:val="21"/>
          <w:highlight w:val="none"/>
        </w:rPr>
        <w:t>书面形式要求</w:t>
      </w:r>
      <w:r>
        <w:rPr>
          <w:rFonts w:hint="eastAsia" w:ascii="宋体" w:hAnsi="宋体" w:eastAsia="宋体" w:cs="宋体"/>
          <w:color w:val="auto"/>
          <w:kern w:val="0"/>
          <w:szCs w:val="21"/>
          <w:highlight w:val="none"/>
        </w:rPr>
        <w:t>提交的</w:t>
      </w:r>
      <w:r>
        <w:rPr>
          <w:rFonts w:hint="eastAsia" w:ascii="宋体" w:hAnsi="宋体" w:eastAsia="宋体" w:cs="宋体"/>
          <w:color w:val="auto"/>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宋体" w:hAnsi="宋体" w:eastAsia="宋体" w:cs="宋体"/>
          <w:color w:val="auto"/>
          <w:highlight w:val="none"/>
        </w:rPr>
        <w:t>最后报价)是</w:t>
      </w:r>
      <w:r>
        <w:rPr>
          <w:rFonts w:hint="eastAsia" w:ascii="宋体" w:hAnsi="宋体" w:eastAsia="宋体" w:cs="宋体"/>
          <w:color w:val="auto"/>
          <w:szCs w:val="21"/>
          <w:highlight w:val="none"/>
        </w:rPr>
        <w:t>响应文件</w:t>
      </w:r>
      <w:r>
        <w:rPr>
          <w:rFonts w:hint="eastAsia" w:ascii="宋体" w:hAnsi="宋体" w:eastAsia="宋体" w:cs="宋体"/>
          <w:color w:val="auto"/>
          <w:highlight w:val="none"/>
        </w:rPr>
        <w:t>的有效组成部分。</w:t>
      </w:r>
    </w:p>
    <w:p w14:paraId="06E1ACC3">
      <w:pPr>
        <w:adjustRightInd w:val="0"/>
        <w:snapToGrid w:val="0"/>
        <w:spacing w:line="360" w:lineRule="auto"/>
        <w:ind w:firstLine="420" w:firstLineChars="200"/>
        <w:rPr>
          <w:rFonts w:hint="eastAsia" w:ascii="宋体" w:hAnsi="宋体" w:eastAsia="宋体" w:cs="宋体"/>
          <w:b/>
          <w:color w:val="auto"/>
          <w:highlight w:val="none"/>
        </w:rPr>
      </w:pPr>
      <w:r>
        <w:rPr>
          <w:rFonts w:hint="eastAsia" w:ascii="宋体" w:hAnsi="宋体" w:eastAsia="宋体" w:cs="宋体"/>
          <w:color w:val="auto"/>
          <w:highlight w:val="none"/>
        </w:rPr>
        <w:t>15.3</w:t>
      </w:r>
      <w:r>
        <w:rPr>
          <w:rFonts w:hint="eastAsia" w:ascii="宋体" w:hAnsi="宋体" w:eastAsia="宋体" w:cs="宋体"/>
          <w:color w:val="auto"/>
          <w:kern w:val="0"/>
          <w:szCs w:val="21"/>
          <w:highlight w:val="none"/>
        </w:rPr>
        <w:t>磋商文件规定可能发生实质性变动的，供应商应当在</w:t>
      </w:r>
      <w:r>
        <w:rPr>
          <w:rFonts w:hint="eastAsia" w:ascii="宋体" w:hAnsi="宋体" w:eastAsia="宋体" w:cs="宋体"/>
          <w:color w:val="auto"/>
          <w:highlight w:val="none"/>
        </w:rPr>
        <w:t>《技术/商务响应与偏离表》中对应内容注明。</w:t>
      </w:r>
    </w:p>
    <w:p w14:paraId="15B6900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15.4</w:t>
      </w:r>
      <w:r>
        <w:rPr>
          <w:rFonts w:hint="eastAsia" w:ascii="宋体" w:hAnsi="宋体" w:eastAsia="宋体" w:cs="宋体"/>
          <w:color w:val="auto"/>
          <w:szCs w:val="21"/>
          <w:highlight w:val="none"/>
        </w:rPr>
        <w:t>根据《政府采购法》第四十二条的规定，供应商无论成交与否，其响应文件不予退还。</w:t>
      </w:r>
    </w:p>
    <w:p w14:paraId="32678B1D">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16.报价</w:t>
      </w:r>
    </w:p>
    <w:p w14:paraId="2750F75B">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16.1供应商应当根据磋商文件要求和范围，以人民币报价，以元为单位，保留小数点后两位。</w:t>
      </w:r>
    </w:p>
    <w:p w14:paraId="4CC398A6">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16.2供应商应按第五章 响应文件组成格式填写。</w:t>
      </w:r>
    </w:p>
    <w:p w14:paraId="135067D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16.3响应文件中标明的价格在合同执行过程中是固定不变的，不得以任何理由予以变更。以可变动价格提交的报价将被认为是非实质响应而被拒绝。</w:t>
      </w:r>
    </w:p>
    <w:p w14:paraId="437F9F95">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16.4供应商的报价不得超过采购项目预算，采购项目预算或其计算方法见</w:t>
      </w:r>
      <w:r>
        <w:rPr>
          <w:rFonts w:hint="eastAsia" w:ascii="宋体" w:hAnsi="宋体" w:eastAsia="宋体" w:cs="宋体"/>
          <w:b/>
          <w:bCs/>
          <w:color w:val="auto"/>
          <w:kern w:val="0"/>
          <w:szCs w:val="21"/>
          <w:highlight w:val="none"/>
        </w:rPr>
        <w:t>磋商须知前附表</w:t>
      </w:r>
      <w:r>
        <w:rPr>
          <w:rFonts w:hint="eastAsia" w:ascii="宋体" w:hAnsi="宋体" w:eastAsia="宋体" w:cs="宋体"/>
          <w:color w:val="auto"/>
          <w:kern w:val="0"/>
          <w:szCs w:val="21"/>
          <w:highlight w:val="none"/>
        </w:rPr>
        <w:t>。</w:t>
      </w:r>
    </w:p>
    <w:p w14:paraId="73A3A1FF">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17.供应商符合磋商文件规定的证明文件</w:t>
      </w:r>
    </w:p>
    <w:p w14:paraId="3F5EE7FC">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17.1供应商应提交满足本章第3.1款规定的资格条件要求的证明文件,该证明文件作为响应文件的一部分。</w:t>
      </w:r>
    </w:p>
    <w:p w14:paraId="76EFC0EA">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17.2如果供应商为联合体，则应提交联合体各方资格证明文件、联合体协议。否则，在评审时将其视为无效响应。</w:t>
      </w:r>
    </w:p>
    <w:p w14:paraId="6E49D1F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 除</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另有规定外，供应商提供的货物及服务不是供应商制造或拥有的，则必须提供经销、或代理采购货物、或采购货物提供售后服务的证明文件。</w:t>
      </w:r>
    </w:p>
    <w:p w14:paraId="468CB162">
      <w:pPr>
        <w:adjustRightInd w:val="0"/>
        <w:snapToGrid w:val="0"/>
        <w:spacing w:before="156" w:beforeLines="50"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18．样品提供</w:t>
      </w:r>
      <w:r>
        <w:rPr>
          <w:rFonts w:hint="eastAsia" w:ascii="宋体" w:hAnsi="宋体" w:eastAsia="宋体" w:cs="宋体"/>
          <w:color w:val="auto"/>
          <w:szCs w:val="21"/>
          <w:highlight w:val="none"/>
        </w:rPr>
        <w:t>（本条不适用于本次采购）</w:t>
      </w:r>
    </w:p>
    <w:p w14:paraId="1E20F13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18.1 </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规定</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在</w:t>
      </w:r>
      <w:r>
        <w:rPr>
          <w:rFonts w:hint="eastAsia" w:ascii="宋体" w:hAnsi="宋体" w:eastAsia="宋体" w:cs="宋体"/>
          <w:color w:val="auto"/>
          <w:highlight w:val="none"/>
        </w:rPr>
        <w:t>磋商</w:t>
      </w:r>
      <w:r>
        <w:rPr>
          <w:rFonts w:hint="eastAsia" w:ascii="宋体" w:hAnsi="宋体" w:eastAsia="宋体" w:cs="宋体"/>
          <w:color w:val="auto"/>
          <w:szCs w:val="21"/>
          <w:highlight w:val="none"/>
        </w:rPr>
        <w:t>时提供样品的，</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有以下情形之一的，在评审时将其视为无效响应。</w:t>
      </w:r>
    </w:p>
    <w:p w14:paraId="52F98B1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（1）未在</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规定的提交时间、地点提交的；</w:t>
      </w:r>
    </w:p>
    <w:p w14:paraId="722A991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提供的样品与响应文件中提供样品的型号、规格不一致的。</w:t>
      </w:r>
    </w:p>
    <w:p w14:paraId="30AA9B16">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19.</w:t>
      </w:r>
      <w:r>
        <w:rPr>
          <w:rFonts w:hint="eastAsia" w:ascii="宋体" w:hAnsi="宋体" w:eastAsia="宋体" w:cs="宋体"/>
          <w:color w:val="auto"/>
          <w:highlight w:val="none"/>
        </w:rPr>
        <w:t xml:space="preserve"> </w:t>
      </w:r>
      <w:r>
        <w:rPr>
          <w:rFonts w:hint="eastAsia" w:ascii="宋体" w:hAnsi="宋体" w:eastAsia="宋体" w:cs="宋体"/>
          <w:b/>
          <w:bCs/>
          <w:color w:val="auto"/>
          <w:szCs w:val="21"/>
          <w:highlight w:val="none"/>
        </w:rPr>
        <w:t>磋商保证金</w:t>
      </w:r>
    </w:p>
    <w:p w14:paraId="3BC92BD4">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19.1</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规定交纳磋商</w:t>
      </w:r>
      <w:r>
        <w:rPr>
          <w:rFonts w:hint="eastAsia" w:ascii="宋体" w:hAnsi="宋体" w:eastAsia="宋体" w:cs="宋体"/>
          <w:bCs/>
          <w:color w:val="auto"/>
          <w:szCs w:val="21"/>
          <w:highlight w:val="none"/>
        </w:rPr>
        <w:t>保证金的</w:t>
      </w:r>
      <w:r>
        <w:rPr>
          <w:rFonts w:hint="eastAsia" w:ascii="宋体" w:hAnsi="宋体" w:eastAsia="宋体" w:cs="宋体"/>
          <w:color w:val="auto"/>
          <w:szCs w:val="21"/>
          <w:highlight w:val="none"/>
        </w:rPr>
        <w:t>，应按</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规定的磋商</w:t>
      </w:r>
      <w:r>
        <w:rPr>
          <w:rFonts w:hint="eastAsia" w:ascii="宋体" w:hAnsi="宋体" w:eastAsia="宋体" w:cs="宋体"/>
          <w:bCs/>
          <w:color w:val="auto"/>
          <w:szCs w:val="21"/>
          <w:highlight w:val="none"/>
        </w:rPr>
        <w:t>保证金形式交纳，不得以现金方式交纳</w:t>
      </w:r>
      <w:r>
        <w:rPr>
          <w:rFonts w:hint="eastAsia" w:ascii="宋体" w:hAnsi="宋体" w:eastAsia="宋体" w:cs="宋体"/>
          <w:color w:val="auto"/>
          <w:szCs w:val="21"/>
          <w:highlight w:val="none"/>
        </w:rPr>
        <w:t>，在</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szCs w:val="21"/>
          <w:highlight w:val="none"/>
        </w:rPr>
        <w:t>前，</w:t>
      </w:r>
      <w:r>
        <w:rPr>
          <w:rFonts w:hint="eastAsia" w:ascii="宋体" w:hAnsi="宋体" w:eastAsia="宋体" w:cs="宋体"/>
          <w:bCs/>
          <w:color w:val="auto"/>
          <w:szCs w:val="21"/>
          <w:highlight w:val="none"/>
        </w:rPr>
        <w:t>向采购代理机构交纳不超过</w:t>
      </w:r>
      <w:r>
        <w:rPr>
          <w:rFonts w:hint="eastAsia" w:ascii="宋体" w:hAnsi="宋体" w:eastAsia="宋体" w:cs="宋体"/>
          <w:color w:val="auto"/>
          <w:kern w:val="0"/>
          <w:szCs w:val="21"/>
          <w:highlight w:val="none"/>
          <w:lang w:val="zh-CN"/>
        </w:rPr>
        <w:t>采购项目预算2﹪</w:t>
      </w:r>
      <w:r>
        <w:rPr>
          <w:rFonts w:hint="eastAsia" w:ascii="宋体" w:hAnsi="宋体" w:eastAsia="宋体" w:cs="宋体"/>
          <w:bCs/>
          <w:color w:val="auto"/>
          <w:szCs w:val="21"/>
          <w:highlight w:val="none"/>
        </w:rPr>
        <w:t>的磋商保证金(数额采用四舍五入，计算至元)</w:t>
      </w:r>
      <w:r>
        <w:rPr>
          <w:rFonts w:hint="eastAsia" w:ascii="宋体" w:hAnsi="宋体" w:eastAsia="宋体" w:cs="宋体"/>
          <w:color w:val="auto"/>
          <w:szCs w:val="21"/>
          <w:highlight w:val="none"/>
        </w:rPr>
        <w:t>。磋商</w:t>
      </w:r>
      <w:r>
        <w:rPr>
          <w:rFonts w:hint="eastAsia" w:ascii="宋体" w:hAnsi="宋体" w:eastAsia="宋体" w:cs="宋体"/>
          <w:bCs/>
          <w:color w:val="auto"/>
          <w:szCs w:val="21"/>
          <w:highlight w:val="none"/>
        </w:rPr>
        <w:t>保证金有效期应当与</w:t>
      </w:r>
      <w:r>
        <w:rPr>
          <w:rFonts w:hint="eastAsia" w:ascii="宋体" w:hAnsi="宋体" w:eastAsia="宋体" w:cs="宋体"/>
          <w:color w:val="auto"/>
          <w:szCs w:val="21"/>
          <w:highlight w:val="none"/>
        </w:rPr>
        <w:t>本章第20.1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w:t>
      </w:r>
      <w:r>
        <w:rPr>
          <w:rFonts w:hint="eastAsia" w:ascii="宋体" w:hAnsi="宋体" w:eastAsia="宋体" w:cs="宋体"/>
          <w:bCs/>
          <w:color w:val="auto"/>
          <w:szCs w:val="21"/>
          <w:highlight w:val="none"/>
        </w:rPr>
        <w:t>响应文件有效期一致。</w:t>
      </w:r>
    </w:p>
    <w:p w14:paraId="646692DB">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19.2</w:t>
      </w:r>
      <w:r>
        <w:rPr>
          <w:rFonts w:hint="eastAsia" w:ascii="宋体" w:hAnsi="宋体" w:eastAsia="宋体" w:cs="宋体"/>
          <w:color w:val="auto"/>
          <w:kern w:val="0"/>
          <w:szCs w:val="21"/>
          <w:highlight w:val="none"/>
          <w:lang w:val="zh-CN"/>
        </w:rPr>
        <w:t>供应商为联合体的，可以由联合体中的一方或者共同交纳磋商保证金，其交纳的磋商保证金，对联合体各方均具有约束力。</w:t>
      </w:r>
    </w:p>
    <w:p w14:paraId="401A112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19.3供应商未按照磋商文件要求提交磋商保证金的，响应无效。</w:t>
      </w:r>
    </w:p>
    <w:p w14:paraId="735F97E2">
      <w:pPr>
        <w:tabs>
          <w:tab w:val="left" w:pos="630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06A2032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19.5 </w:t>
      </w:r>
      <w:r>
        <w:rPr>
          <w:rFonts w:hint="eastAsia" w:ascii="宋体" w:hAnsi="宋体" w:eastAsia="宋体" w:cs="宋体"/>
          <w:color w:val="auto"/>
          <w:kern w:val="0"/>
          <w:szCs w:val="21"/>
          <w:highlight w:val="none"/>
        </w:rPr>
        <w:t>有下列情形之一的，磋商保证金不予退还，并上缴本级财政国库：</w:t>
      </w:r>
    </w:p>
    <w:p w14:paraId="325F3638">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（1）供应商在提交首次响应文件截止时间后撤回响应文件的；</w:t>
      </w:r>
    </w:p>
    <w:p w14:paraId="72DA0F68">
      <w:pPr>
        <w:widowControl/>
        <w:adjustRightInd w:val="0"/>
        <w:snapToGrid w:val="0"/>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（2）供应商在响应文件中提供虚假资料的；</w:t>
      </w:r>
    </w:p>
    <w:p w14:paraId="4F7628BD">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rPr>
        <w:t>确定成交结果后，无正当理由放弃成交资格的；</w:t>
      </w:r>
    </w:p>
    <w:p w14:paraId="7DC9D6AF">
      <w:pPr>
        <w:widowControl/>
        <w:adjustRightInd w:val="0"/>
        <w:snapToGrid w:val="0"/>
        <w:spacing w:line="360" w:lineRule="auto"/>
        <w:ind w:firstLine="525" w:firstLineChars="2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 除因不可抗力或磋商文件认可的情形以外，成交供应商不与采购人签订合同的；</w:t>
      </w:r>
    </w:p>
    <w:p w14:paraId="43728F73">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（5）供应商与采购人、其他供应商或者采购代理机构恶意串通的；</w:t>
      </w:r>
    </w:p>
    <w:p w14:paraId="275D70AF">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（6）磋商文件规定的其他情形。</w:t>
      </w:r>
    </w:p>
    <w:p w14:paraId="3377F05A">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20.</w:t>
      </w:r>
      <w:r>
        <w:rPr>
          <w:rFonts w:hint="eastAsia" w:ascii="宋体" w:hAnsi="宋体" w:eastAsia="宋体" w:cs="宋体"/>
          <w:color w:val="auto"/>
          <w:szCs w:val="21"/>
          <w:highlight w:val="none"/>
        </w:rPr>
        <w:t xml:space="preserve"> </w:t>
      </w:r>
      <w:r>
        <w:rPr>
          <w:rFonts w:hint="eastAsia" w:ascii="宋体" w:hAnsi="宋体" w:eastAsia="宋体" w:cs="宋体"/>
          <w:b/>
          <w:color w:val="auto"/>
          <w:highlight w:val="none"/>
        </w:rPr>
        <w:t>响应文件</w:t>
      </w:r>
      <w:r>
        <w:rPr>
          <w:rFonts w:hint="eastAsia" w:ascii="宋体" w:hAnsi="宋体" w:eastAsia="宋体" w:cs="宋体"/>
          <w:b/>
          <w:color w:val="auto"/>
          <w:szCs w:val="21"/>
          <w:highlight w:val="none"/>
        </w:rPr>
        <w:t>有效期</w:t>
      </w:r>
    </w:p>
    <w:p w14:paraId="1459BAB7">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20.1响应文件</w:t>
      </w:r>
      <w:r>
        <w:rPr>
          <w:rFonts w:hint="eastAsia" w:ascii="宋体" w:hAnsi="宋体" w:eastAsia="宋体" w:cs="宋体"/>
          <w:color w:val="auto"/>
          <w:szCs w:val="21"/>
          <w:highlight w:val="none"/>
        </w:rPr>
        <w:t>有效期见</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，在此期间</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文件对供应商具有法律约束力，</w:t>
      </w:r>
      <w:r>
        <w:rPr>
          <w:rFonts w:hint="eastAsia" w:ascii="宋体" w:hAnsi="宋体" w:eastAsia="宋体" w:cs="宋体"/>
          <w:color w:val="auto"/>
          <w:highlight w:val="none"/>
        </w:rPr>
        <w:t>从</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highlight w:val="none"/>
        </w:rPr>
        <w:t>之日起计算。响应文件有效期不足的将被视为无效响应。</w:t>
      </w:r>
    </w:p>
    <w:p w14:paraId="0BAC0D5E">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21.响应文件的签署及规定</w:t>
      </w:r>
    </w:p>
    <w:p w14:paraId="4D2A92B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21.1响应文件的正本和副本应装订成册，正本一份，副本份数见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。正本和副本的封面上应标记“正本”或“副本”的字样，当正本和副本有差异时，以正本为准。</w:t>
      </w:r>
    </w:p>
    <w:p w14:paraId="41C64A3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3B619A5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 在磋商过程中，供应商按磋商文件规定和磋商小组要求</w:t>
      </w:r>
      <w:r>
        <w:rPr>
          <w:rFonts w:hint="eastAsia" w:ascii="宋体" w:hAnsi="宋体" w:eastAsia="宋体" w:cs="宋体"/>
          <w:color w:val="auto"/>
          <w:kern w:val="0"/>
          <w:szCs w:val="21"/>
          <w:highlight w:val="none"/>
        </w:rPr>
        <w:t>提交的</w:t>
      </w:r>
      <w:r>
        <w:rPr>
          <w:rFonts w:hint="eastAsia" w:ascii="宋体" w:hAnsi="宋体" w:eastAsia="宋体" w:cs="宋体"/>
          <w:color w:val="auto"/>
          <w:szCs w:val="21"/>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宋体" w:hAnsi="宋体" w:eastAsia="宋体" w:cs="宋体"/>
          <w:color w:val="auto"/>
          <w:szCs w:val="21"/>
          <w:highlight w:val="none"/>
        </w:rPr>
        <w:t>最后报价)，一式两份，可打印或用不退色墨水书写，但需经法定代表人或其委托代理人签字，</w:t>
      </w:r>
      <w:r>
        <w:rPr>
          <w:rFonts w:hint="eastAsia" w:ascii="宋体" w:hAnsi="宋体" w:eastAsia="宋体" w:cs="宋体"/>
          <w:color w:val="auto"/>
          <w:kern w:val="0"/>
          <w:szCs w:val="21"/>
          <w:highlight w:val="none"/>
        </w:rPr>
        <w:t>或者加盖供应商单位章</w:t>
      </w:r>
      <w:r>
        <w:rPr>
          <w:rFonts w:hint="eastAsia" w:ascii="宋体" w:hAnsi="宋体" w:eastAsia="宋体" w:cs="宋体"/>
          <w:color w:val="auto"/>
          <w:szCs w:val="21"/>
          <w:highlight w:val="none"/>
        </w:rPr>
        <w:t>。否则，将导致响应文件无效。</w:t>
      </w:r>
    </w:p>
    <w:p w14:paraId="75184792">
      <w:pPr>
        <w:pStyle w:val="4"/>
        <w:bidi w:val="0"/>
        <w:rPr>
          <w:rFonts w:hint="eastAsia" w:ascii="宋体" w:hAnsi="宋体" w:eastAsia="宋体" w:cs="宋体"/>
          <w:color w:val="auto"/>
          <w:highlight w:val="none"/>
        </w:rPr>
      </w:pPr>
      <w:bookmarkStart w:id="64" w:name="_Toc16149"/>
      <w:bookmarkStart w:id="65" w:name="_Toc20260"/>
      <w:bookmarkStart w:id="66" w:name="_Toc8148"/>
      <w:bookmarkStart w:id="67" w:name="_Toc32310"/>
      <w:bookmarkStart w:id="68" w:name="_Toc19603"/>
      <w:bookmarkStart w:id="69" w:name="_Toc31685"/>
      <w:bookmarkStart w:id="70" w:name="_Toc4143"/>
      <w:bookmarkStart w:id="71" w:name="_Toc32583"/>
      <w:bookmarkStart w:id="72" w:name="_Toc53489357"/>
      <w:bookmarkStart w:id="73" w:name="_Toc24824"/>
      <w:bookmarkStart w:id="74" w:name="_Toc6780"/>
      <w:r>
        <w:rPr>
          <w:rFonts w:hint="eastAsia" w:ascii="宋体" w:hAnsi="宋体" w:eastAsia="宋体" w:cs="宋体"/>
          <w:color w:val="auto"/>
          <w:highlight w:val="none"/>
        </w:rPr>
        <w:t>四、响应文件的递交</w:t>
      </w:r>
      <w:bookmarkEnd w:id="64"/>
      <w:bookmarkEnd w:id="65"/>
      <w:bookmarkEnd w:id="66"/>
      <w:bookmarkEnd w:id="67"/>
      <w:bookmarkEnd w:id="68"/>
      <w:bookmarkEnd w:id="69"/>
      <w:bookmarkEnd w:id="70"/>
      <w:bookmarkEnd w:id="71"/>
      <w:bookmarkEnd w:id="72"/>
      <w:bookmarkEnd w:id="73"/>
      <w:bookmarkEnd w:id="74"/>
    </w:p>
    <w:p w14:paraId="497A6B36">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22.</w:t>
      </w:r>
      <w:r>
        <w:rPr>
          <w:rFonts w:hint="eastAsia" w:ascii="宋体" w:hAnsi="宋体" w:eastAsia="宋体" w:cs="宋体"/>
          <w:b/>
          <w:color w:val="auto"/>
          <w:szCs w:val="21"/>
          <w:highlight w:val="none"/>
        </w:rPr>
        <w:t>响应文件</w:t>
      </w:r>
      <w:r>
        <w:rPr>
          <w:rFonts w:hint="eastAsia" w:ascii="宋体" w:hAnsi="宋体" w:eastAsia="宋体" w:cs="宋体"/>
          <w:b/>
          <w:bCs/>
          <w:color w:val="auto"/>
          <w:szCs w:val="21"/>
          <w:highlight w:val="none"/>
        </w:rPr>
        <w:t>的密封和标记</w:t>
      </w:r>
    </w:p>
    <w:p w14:paraId="2BDEB41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22.1响应文件应密封包装，加贴封条，并在封套的封口处盖供应商单位章或者由法定代表人或其委托代理人签字。</w:t>
      </w:r>
    </w:p>
    <w:p w14:paraId="39EE98D2">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22.2响应文件封套上应写明的内容见</w:t>
      </w:r>
      <w:r>
        <w:rPr>
          <w:rFonts w:hint="eastAsia" w:ascii="宋体" w:hAnsi="宋体" w:eastAsia="宋体" w:cs="宋体"/>
          <w:b/>
          <w:color w:val="auto"/>
          <w:szCs w:val="21"/>
          <w:highlight w:val="none"/>
        </w:rPr>
        <w:t>磋商须知前附表。</w:t>
      </w:r>
    </w:p>
    <w:p w14:paraId="2B921AB7">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22.3响应文件如果未按上述规定密封和加写标记，采购人或采购代理机构将拒绝接收。</w:t>
      </w:r>
    </w:p>
    <w:p w14:paraId="4F662323">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23.响应文件的</w:t>
      </w:r>
      <w:r>
        <w:rPr>
          <w:rFonts w:hint="eastAsia" w:ascii="宋体" w:hAnsi="宋体" w:eastAsia="宋体" w:cs="宋体"/>
          <w:b/>
          <w:color w:val="auto"/>
          <w:kern w:val="0"/>
          <w:szCs w:val="21"/>
          <w:highlight w:val="none"/>
          <w:lang w:val="zh-CN"/>
        </w:rPr>
        <w:t>补充、修改或者撤回</w:t>
      </w:r>
    </w:p>
    <w:p w14:paraId="4AAC740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w:t>
      </w:r>
      <w:r>
        <w:rPr>
          <w:rFonts w:hint="eastAsia" w:ascii="宋体" w:hAnsi="宋体" w:eastAsia="宋体" w:cs="宋体"/>
          <w:color w:val="auto"/>
          <w:kern w:val="0"/>
          <w:szCs w:val="21"/>
          <w:highlight w:val="none"/>
        </w:rPr>
        <w:t>供应商在提交首次响应文件截止时间前，可以对所提交的首次响应文件进行补充、修改或者撤回，并书面通知采购人、采购代理机构。</w:t>
      </w:r>
      <w:r>
        <w:rPr>
          <w:rFonts w:hint="eastAsia" w:ascii="宋体" w:hAnsi="宋体" w:eastAsia="宋体" w:cs="宋体"/>
          <w:color w:val="auto"/>
          <w:szCs w:val="21"/>
          <w:highlight w:val="none"/>
        </w:rPr>
        <w:t>该通知应有供应商法定代表人或其委托代理人签字。</w:t>
      </w:r>
    </w:p>
    <w:p w14:paraId="391DA61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w:t>
      </w:r>
      <w:r>
        <w:rPr>
          <w:rFonts w:hint="eastAsia" w:ascii="宋体" w:hAnsi="宋体" w:eastAsia="宋体" w:cs="宋体"/>
          <w:color w:val="auto"/>
          <w:kern w:val="0"/>
          <w:szCs w:val="21"/>
          <w:highlight w:val="none"/>
          <w:lang w:val="zh-CN"/>
        </w:rPr>
        <w:t>补充、修改的内容与响应文件不一致时，以补充、修改的内容为准。</w:t>
      </w:r>
    </w:p>
    <w:p w14:paraId="1671E7E1">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24.响应文件的递交与接收</w:t>
      </w:r>
    </w:p>
    <w:p w14:paraId="3AD21E8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 供应商应在</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szCs w:val="21"/>
          <w:highlight w:val="none"/>
        </w:rPr>
        <w:t>前，将响应文件送达</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中指定的地点。</w:t>
      </w:r>
      <w:r>
        <w:rPr>
          <w:rFonts w:hint="eastAsia" w:ascii="宋体" w:hAnsi="宋体" w:eastAsia="宋体" w:cs="宋体"/>
          <w:color w:val="auto"/>
          <w:kern w:val="0"/>
          <w:highlight w:val="none"/>
        </w:rPr>
        <w:t>在截止时间后送达的响应文件，采购人、采购代理机构或者磋商小组应当拒收。</w:t>
      </w:r>
    </w:p>
    <w:p w14:paraId="535A4FF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w:t>
      </w:r>
      <w:r>
        <w:rPr>
          <w:rFonts w:hint="eastAsia" w:ascii="宋体" w:hAnsi="宋体" w:eastAsia="宋体" w:cs="宋体"/>
          <w:color w:val="auto"/>
          <w:kern w:val="0"/>
          <w:szCs w:val="21"/>
          <w:highlight w:val="none"/>
        </w:rPr>
        <w:t>在提交首次响应文件截止时间后，</w:t>
      </w:r>
      <w:r>
        <w:rPr>
          <w:rFonts w:hint="eastAsia" w:ascii="宋体" w:hAnsi="宋体" w:eastAsia="宋体" w:cs="宋体"/>
          <w:color w:val="auto"/>
          <w:szCs w:val="21"/>
          <w:highlight w:val="none"/>
        </w:rPr>
        <w:t>由</w:t>
      </w:r>
      <w:r>
        <w:rPr>
          <w:rFonts w:hint="eastAsia" w:ascii="宋体" w:hAnsi="宋体" w:eastAsia="宋体" w:cs="宋体"/>
          <w:bCs/>
          <w:color w:val="auto"/>
          <w:szCs w:val="21"/>
          <w:highlight w:val="none"/>
        </w:rPr>
        <w:t>供应商代表</w:t>
      </w:r>
      <w:r>
        <w:rPr>
          <w:rFonts w:hint="eastAsia" w:ascii="宋体" w:hAnsi="宋体" w:eastAsia="宋体" w:cs="宋体"/>
          <w:color w:val="auto"/>
          <w:szCs w:val="21"/>
          <w:highlight w:val="none"/>
        </w:rPr>
        <w:t>当场查验</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的密封状况，采购人或</w:t>
      </w:r>
      <w:r>
        <w:rPr>
          <w:rFonts w:hint="eastAsia" w:ascii="宋体" w:hAnsi="宋体" w:eastAsia="宋体" w:cs="宋体"/>
          <w:bCs/>
          <w:color w:val="auto"/>
          <w:szCs w:val="21"/>
          <w:highlight w:val="none"/>
        </w:rPr>
        <w:t>采购代理机构</w:t>
      </w:r>
      <w:r>
        <w:rPr>
          <w:rFonts w:hint="eastAsia" w:ascii="宋体" w:hAnsi="宋体" w:eastAsia="宋体" w:cs="宋体"/>
          <w:color w:val="auto"/>
          <w:szCs w:val="21"/>
          <w:highlight w:val="none"/>
        </w:rPr>
        <w:t>不当场拆封</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w:t>
      </w:r>
    </w:p>
    <w:p w14:paraId="014524A4">
      <w:pPr>
        <w:pStyle w:val="4"/>
        <w:bidi w:val="0"/>
        <w:rPr>
          <w:rFonts w:hint="eastAsia" w:ascii="宋体" w:hAnsi="宋体" w:eastAsia="宋体" w:cs="宋体"/>
          <w:color w:val="auto"/>
          <w:highlight w:val="none"/>
        </w:rPr>
      </w:pPr>
      <w:bookmarkStart w:id="75" w:name="_Toc25011"/>
      <w:bookmarkStart w:id="76" w:name="_Toc5022"/>
      <w:bookmarkStart w:id="77" w:name="_Toc25884"/>
      <w:bookmarkStart w:id="78" w:name="_Toc15602"/>
      <w:bookmarkStart w:id="79" w:name="_Toc29471"/>
      <w:bookmarkStart w:id="80" w:name="_Toc18462"/>
      <w:bookmarkStart w:id="81" w:name="_Toc19332"/>
      <w:bookmarkStart w:id="82" w:name="_Toc53489358"/>
      <w:bookmarkStart w:id="83" w:name="_Toc19895"/>
      <w:bookmarkStart w:id="84" w:name="_Toc23756"/>
      <w:bookmarkStart w:id="85" w:name="_Toc20410"/>
      <w:r>
        <w:rPr>
          <w:rFonts w:hint="eastAsia" w:ascii="宋体" w:hAnsi="宋体" w:eastAsia="宋体" w:cs="宋体"/>
          <w:color w:val="auto"/>
          <w:highlight w:val="none"/>
        </w:rPr>
        <w:t>五、响应文件的磋商与评审</w:t>
      </w:r>
      <w:bookmarkEnd w:id="75"/>
      <w:bookmarkEnd w:id="76"/>
      <w:bookmarkEnd w:id="77"/>
      <w:bookmarkEnd w:id="78"/>
      <w:bookmarkEnd w:id="79"/>
      <w:bookmarkEnd w:id="80"/>
      <w:bookmarkEnd w:id="81"/>
      <w:bookmarkEnd w:id="82"/>
      <w:bookmarkEnd w:id="83"/>
      <w:bookmarkEnd w:id="84"/>
      <w:bookmarkEnd w:id="85"/>
    </w:p>
    <w:p w14:paraId="4424766F">
      <w:pPr>
        <w:tabs>
          <w:tab w:val="left" w:pos="0"/>
        </w:tabs>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25.磋商程序</w:t>
      </w:r>
    </w:p>
    <w:p w14:paraId="5AE85EF0">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25.1磋商程序：响应文件审查、磋商（包括澄清）、响应文件评审、</w:t>
      </w:r>
      <w:r>
        <w:rPr>
          <w:rFonts w:hint="eastAsia" w:ascii="宋体" w:hAnsi="宋体" w:eastAsia="宋体" w:cs="宋体"/>
          <w:bCs/>
          <w:color w:val="auto"/>
          <w:szCs w:val="21"/>
          <w:highlight w:val="none"/>
        </w:rPr>
        <w:t>提出成交供应商。其中，</w:t>
      </w:r>
      <w:r>
        <w:rPr>
          <w:rFonts w:hint="eastAsia" w:ascii="宋体" w:hAnsi="宋体" w:eastAsia="宋体" w:cs="宋体"/>
          <w:color w:val="auto"/>
          <w:kern w:val="0"/>
          <w:szCs w:val="21"/>
          <w:highlight w:val="none"/>
        </w:rPr>
        <w:t>磋商按</w:t>
      </w:r>
      <w:r>
        <w:rPr>
          <w:rFonts w:hint="eastAsia" w:ascii="宋体" w:hAnsi="宋体" w:eastAsia="宋体" w:cs="宋体"/>
          <w:color w:val="auto"/>
          <w:szCs w:val="21"/>
          <w:highlight w:val="none"/>
        </w:rPr>
        <w:t>本章</w:t>
      </w:r>
      <w:r>
        <w:rPr>
          <w:rFonts w:hint="eastAsia" w:ascii="宋体" w:hAnsi="宋体" w:eastAsia="宋体" w:cs="宋体"/>
          <w:color w:val="auto"/>
          <w:highlight w:val="none"/>
        </w:rPr>
        <w:t>第30.1</w:t>
      </w:r>
      <w:r>
        <w:rPr>
          <w:rFonts w:hint="eastAsia" w:ascii="宋体" w:hAnsi="宋体" w:eastAsia="宋体" w:cs="宋体"/>
          <w:color w:val="auto"/>
          <w:kern w:val="0"/>
          <w:szCs w:val="21"/>
          <w:highlight w:val="none"/>
          <w:lang w:val="zh-CN"/>
        </w:rPr>
        <w:t>款或者</w:t>
      </w:r>
      <w:r>
        <w:rPr>
          <w:rFonts w:hint="eastAsia" w:ascii="宋体" w:hAnsi="宋体" w:eastAsia="宋体" w:cs="宋体"/>
          <w:color w:val="auto"/>
          <w:highlight w:val="none"/>
        </w:rPr>
        <w:t>第30.2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情形</w:t>
      </w:r>
      <w:r>
        <w:rPr>
          <w:rFonts w:hint="eastAsia" w:ascii="宋体" w:hAnsi="宋体" w:eastAsia="宋体" w:cs="宋体"/>
          <w:bCs/>
          <w:color w:val="auto"/>
          <w:szCs w:val="21"/>
          <w:highlight w:val="none"/>
        </w:rPr>
        <w:t>进行。</w:t>
      </w:r>
    </w:p>
    <w:p w14:paraId="5BE5B445">
      <w:pPr>
        <w:widowControl/>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26.</w:t>
      </w:r>
      <w:r>
        <w:rPr>
          <w:rFonts w:hint="eastAsia" w:ascii="宋体" w:hAnsi="宋体" w:eastAsia="宋体" w:cs="宋体"/>
          <w:color w:val="auto"/>
          <w:highlight w:val="none"/>
        </w:rPr>
        <w:t xml:space="preserve"> </w:t>
      </w:r>
      <w:r>
        <w:rPr>
          <w:rFonts w:hint="eastAsia" w:ascii="宋体" w:hAnsi="宋体" w:eastAsia="宋体" w:cs="宋体"/>
          <w:b/>
          <w:color w:val="auto"/>
          <w:kern w:val="0"/>
          <w:szCs w:val="21"/>
          <w:highlight w:val="none"/>
        </w:rPr>
        <w:t>响应文件审查</w:t>
      </w:r>
      <w:r>
        <w:rPr>
          <w:rFonts w:hint="eastAsia" w:ascii="宋体" w:hAnsi="宋体" w:eastAsia="宋体" w:cs="宋体"/>
          <w:b/>
          <w:color w:val="auto"/>
          <w:szCs w:val="21"/>
          <w:highlight w:val="none"/>
        </w:rPr>
        <w:t xml:space="preserve"> </w:t>
      </w:r>
    </w:p>
    <w:p w14:paraId="5AC388E6">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 资格性审查：根据本章第3.1项规定的供应商资格条件要求，对</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文件的资格证明等进行审查，以确定供应商是否具备磋商资格条件。</w:t>
      </w:r>
    </w:p>
    <w:p w14:paraId="1FCEC7F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3100A5A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1E955746">
      <w:pPr>
        <w:adjustRightInd w:val="0"/>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27.实质性响应</w:t>
      </w:r>
    </w:p>
    <w:p w14:paraId="04CF1C0A">
      <w:pPr>
        <w:adjustRightInd w:val="0"/>
        <w:snapToGrid w:val="0"/>
        <w:spacing w:line="360" w:lineRule="auto"/>
        <w:ind w:firstLine="420" w:firstLineChars="2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27.1</w:t>
      </w:r>
      <w:r>
        <w:rPr>
          <w:rFonts w:hint="eastAsia" w:ascii="宋体" w:hAnsi="宋体" w:eastAsia="宋体" w:cs="宋体"/>
          <w:color w:val="auto"/>
          <w:szCs w:val="21"/>
          <w:highlight w:val="none"/>
        </w:rPr>
        <w:t>实质性响应是指响应文件(包括首次响应文件、重新提交的响应文件)与磋商文件要求的所有条款、条件和规格相符，没有偏离。偏离指不满足、或不响应磋商文件的要求。</w:t>
      </w:r>
    </w:p>
    <w:p w14:paraId="7470FADA">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w:t>
      </w:r>
      <w:r>
        <w:rPr>
          <w:rFonts w:hint="eastAsia" w:ascii="宋体" w:hAnsi="宋体" w:eastAsia="宋体" w:cs="宋体"/>
          <w:color w:val="auto"/>
          <w:highlight w:val="none"/>
        </w:rPr>
        <w:t>响应文件是否实质性响应磋商文件要求由磋商小组依据磋商文件规定认定。</w:t>
      </w:r>
      <w:r>
        <w:rPr>
          <w:rFonts w:hint="eastAsia" w:ascii="宋体" w:hAnsi="宋体" w:eastAsia="宋体" w:cs="宋体"/>
          <w:color w:val="auto"/>
          <w:kern w:val="0"/>
          <w:szCs w:val="21"/>
          <w:highlight w:val="none"/>
        </w:rPr>
        <w:t>磋商小组</w:t>
      </w:r>
      <w:r>
        <w:rPr>
          <w:rFonts w:hint="eastAsia" w:ascii="宋体" w:hAnsi="宋体" w:eastAsia="宋体" w:cs="宋体"/>
          <w:color w:val="auto"/>
          <w:szCs w:val="21"/>
          <w:highlight w:val="none"/>
        </w:rPr>
        <w:t>决定</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的响应性只根据</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本身的真实无误的内容，而不依据外部的证据。</w:t>
      </w:r>
    </w:p>
    <w:p w14:paraId="6B3E2775">
      <w:pPr>
        <w:adjustRightInd w:val="0"/>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28.无效响应 </w:t>
      </w:r>
    </w:p>
    <w:p w14:paraId="5E9DBDFB">
      <w:pPr>
        <w:adjustRightInd w:val="0"/>
        <w:snapToGrid w:val="0"/>
        <w:spacing w:line="360" w:lineRule="auto"/>
        <w:ind w:firstLine="411" w:firstLineChars="196"/>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28.1</w:t>
      </w:r>
      <w:r>
        <w:rPr>
          <w:rFonts w:hint="eastAsia" w:ascii="宋体" w:hAnsi="宋体" w:eastAsia="宋体" w:cs="宋体"/>
          <w:color w:val="auto"/>
          <w:szCs w:val="21"/>
          <w:highlight w:val="none"/>
        </w:rPr>
        <w:t>磋商小组在对资格性和符合性进行审查时，有下列情况之一的，属无效响应，</w:t>
      </w:r>
      <w:r>
        <w:rPr>
          <w:rFonts w:hint="eastAsia" w:ascii="宋体" w:hAnsi="宋体" w:eastAsia="宋体" w:cs="宋体"/>
          <w:color w:val="auto"/>
          <w:kern w:val="0"/>
          <w:szCs w:val="21"/>
          <w:highlight w:val="none"/>
        </w:rPr>
        <w:t>磋商小组应当告知有关供应商</w:t>
      </w:r>
      <w:r>
        <w:rPr>
          <w:rFonts w:hint="eastAsia" w:ascii="宋体" w:hAnsi="宋体" w:eastAsia="宋体" w:cs="宋体"/>
          <w:color w:val="auto"/>
          <w:szCs w:val="21"/>
          <w:highlight w:val="none"/>
        </w:rPr>
        <w:t>：</w:t>
      </w:r>
    </w:p>
    <w:p w14:paraId="49F1C33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（1）供应商不具备本章第3.1款规定的供应商资格条件要求，或存在本章第3.3款情形的；</w:t>
      </w:r>
    </w:p>
    <w:p w14:paraId="4FED13E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（2）联合体不符合本章第3.2款规定的；</w:t>
      </w:r>
    </w:p>
    <w:p w14:paraId="4CAA4BC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（3）应交未交磋商保证金或金额不足、磋商保证金缴纳形式不符合磋商文件要求的；</w:t>
      </w:r>
    </w:p>
    <w:p w14:paraId="06B15AE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（4）响应文件未按照磋商文件要求签署、盖章的；</w:t>
      </w:r>
    </w:p>
    <w:p w14:paraId="365C2CD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（4）响应文件不满足本章第27.1款规定的实质性要求的；</w:t>
      </w:r>
    </w:p>
    <w:p w14:paraId="2D39F56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（5）报价超过采购项目预算的；</w:t>
      </w:r>
    </w:p>
    <w:p w14:paraId="2C434FD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（6）响应文件有效期不足的；</w:t>
      </w:r>
    </w:p>
    <w:p w14:paraId="51F9691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（7）响应文件不符合法律、规章、规范性文件和磋商文件规定及要求的。</w:t>
      </w:r>
    </w:p>
    <w:p w14:paraId="430D082F">
      <w:pPr>
        <w:widowControl/>
        <w:adjustRightInd w:val="0"/>
        <w:snapToGrid w:val="0"/>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29.澄清</w:t>
      </w:r>
    </w:p>
    <w:p w14:paraId="58AF38F9">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68905915">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1369D0D9">
      <w:pPr>
        <w:widowControl/>
        <w:adjustRightInd w:val="0"/>
        <w:snapToGrid w:val="0"/>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30.磋商</w:t>
      </w:r>
    </w:p>
    <w:p w14:paraId="4F92146C">
      <w:pPr>
        <w:widowControl/>
        <w:adjustRightInd w:val="0"/>
        <w:snapToGrid w:val="0"/>
        <w:spacing w:line="360" w:lineRule="auto"/>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30.1</w:t>
      </w:r>
      <w:r>
        <w:rPr>
          <w:rFonts w:hint="eastAsia" w:ascii="宋体" w:hAnsi="宋体" w:eastAsia="宋体" w:cs="宋体"/>
          <w:color w:val="auto"/>
          <w:highlight w:val="none"/>
        </w:rPr>
        <w:t>本章第10.2项</w:t>
      </w:r>
      <w:r>
        <w:rPr>
          <w:rFonts w:hint="eastAsia" w:ascii="宋体" w:hAnsi="宋体" w:eastAsia="宋体" w:cs="宋体"/>
          <w:color w:val="auto"/>
          <w:kern w:val="0"/>
          <w:szCs w:val="21"/>
          <w:highlight w:val="none"/>
        </w:rPr>
        <w:t>未明确磋商文件实质性变动内容的，或者磋商文件明确了可能发生实质性变动内容，但在磋商过程中，</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根据磋商情况</w:t>
      </w:r>
      <w:r>
        <w:rPr>
          <w:rFonts w:hint="eastAsia" w:ascii="宋体" w:hAnsi="宋体" w:eastAsia="宋体" w:cs="宋体"/>
          <w:bCs/>
          <w:color w:val="auto"/>
          <w:szCs w:val="21"/>
          <w:highlight w:val="none"/>
        </w:rPr>
        <w:t>认为</w:t>
      </w:r>
      <w:r>
        <w:rPr>
          <w:rFonts w:hint="eastAsia" w:ascii="宋体" w:hAnsi="宋体" w:eastAsia="宋体" w:cs="宋体"/>
          <w:color w:val="auto"/>
          <w:kern w:val="0"/>
          <w:szCs w:val="21"/>
          <w:highlight w:val="none"/>
        </w:rPr>
        <w:t>磋商文件无需发生实质性变动的，磋商小组应当直接与响应文件审查合格的供应商就价格组织多轮磋商。</w:t>
      </w:r>
    </w:p>
    <w:p w14:paraId="01DAE774">
      <w:pPr>
        <w:widowControl/>
        <w:tabs>
          <w:tab w:val="left" w:pos="1080"/>
          <w:tab w:val="left" w:pos="1260"/>
        </w:tabs>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（1）磋商结束后，磋商小组应当要求所有继续参加磋商的供应商在磋商小组规定时间内提交最后报价。</w:t>
      </w:r>
    </w:p>
    <w:p w14:paraId="359CFE60">
      <w:pPr>
        <w:widowControl/>
        <w:tabs>
          <w:tab w:val="left" w:pos="1080"/>
          <w:tab w:val="left" w:pos="1260"/>
        </w:tabs>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（2）磋商文件明确可能发生实质性变动，但在磋商过程中</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根据磋商情况</w:t>
      </w:r>
      <w:r>
        <w:rPr>
          <w:rFonts w:hint="eastAsia" w:ascii="宋体" w:hAnsi="宋体" w:eastAsia="宋体" w:cs="宋体"/>
          <w:bCs/>
          <w:color w:val="auto"/>
          <w:szCs w:val="21"/>
          <w:highlight w:val="none"/>
        </w:rPr>
        <w:t>认为</w:t>
      </w:r>
      <w:r>
        <w:rPr>
          <w:rFonts w:hint="eastAsia" w:ascii="宋体" w:hAnsi="宋体" w:eastAsia="宋体" w:cs="宋体"/>
          <w:color w:val="auto"/>
          <w:kern w:val="0"/>
          <w:szCs w:val="21"/>
          <w:highlight w:val="none"/>
        </w:rPr>
        <w:t>磋商文件无需发生实质性变动的，磋商小组不另行通知。</w:t>
      </w:r>
    </w:p>
    <w:p w14:paraId="3D073B44">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30.2</w:t>
      </w:r>
      <w:r>
        <w:rPr>
          <w:rFonts w:hint="eastAsia" w:ascii="宋体" w:hAnsi="宋体" w:eastAsia="宋体" w:cs="宋体"/>
          <w:color w:val="auto"/>
          <w:highlight w:val="none"/>
        </w:rPr>
        <w:t>本章第10.2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kern w:val="0"/>
          <w:szCs w:val="21"/>
          <w:highlight w:val="none"/>
        </w:rPr>
        <w:t>明确磋商文件实质性变动内容的，</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可以组织多轮磋商。</w:t>
      </w:r>
      <w:r>
        <w:rPr>
          <w:rFonts w:hint="eastAsia" w:ascii="宋体" w:hAnsi="宋体" w:eastAsia="宋体" w:cs="宋体"/>
          <w:bCs/>
          <w:color w:val="auto"/>
          <w:szCs w:val="21"/>
          <w:highlight w:val="none"/>
        </w:rPr>
        <w:t>在每一轮磋商中，磋商小组</w:t>
      </w:r>
      <w:r>
        <w:rPr>
          <w:rFonts w:hint="eastAsia" w:ascii="宋体" w:hAnsi="宋体" w:eastAsia="宋体" w:cs="宋体"/>
          <w:color w:val="auto"/>
          <w:kern w:val="0"/>
          <w:szCs w:val="21"/>
          <w:highlight w:val="none"/>
        </w:rPr>
        <w:t>可以根据磋商文件规定和磋商情况，</w:t>
      </w:r>
      <w:r>
        <w:rPr>
          <w:rFonts w:hint="eastAsia" w:ascii="宋体" w:hAnsi="宋体" w:eastAsia="宋体" w:cs="宋体"/>
          <w:bCs/>
          <w:color w:val="auto"/>
          <w:szCs w:val="21"/>
          <w:highlight w:val="none"/>
        </w:rPr>
        <w:t>对磋商文件的</w:t>
      </w:r>
      <w:r>
        <w:rPr>
          <w:rFonts w:hint="eastAsia" w:ascii="宋体" w:hAnsi="宋体" w:eastAsia="宋体" w:cs="宋体"/>
          <w:color w:val="auto"/>
          <w:kern w:val="0"/>
          <w:szCs w:val="21"/>
          <w:highlight w:val="none"/>
        </w:rPr>
        <w:t>采购需求中的技术、服务要求以及合同草案条款</w:t>
      </w:r>
      <w:r>
        <w:rPr>
          <w:rFonts w:hint="eastAsia" w:ascii="宋体" w:hAnsi="宋体" w:eastAsia="宋体" w:cs="宋体"/>
          <w:bCs/>
          <w:color w:val="auto"/>
          <w:szCs w:val="21"/>
          <w:highlight w:val="none"/>
        </w:rPr>
        <w:t>作实质性变动(磋商文件的实质性变动内容为磋商文件的组成部分)，并以书面形式要求</w:t>
      </w:r>
      <w:r>
        <w:rPr>
          <w:rFonts w:hint="eastAsia" w:ascii="宋体" w:hAnsi="宋体" w:eastAsia="宋体" w:cs="宋体"/>
          <w:color w:val="auto"/>
          <w:kern w:val="0"/>
          <w:szCs w:val="21"/>
          <w:highlight w:val="none"/>
        </w:rPr>
        <w:t>响应文件审查合格</w:t>
      </w:r>
      <w:r>
        <w:rPr>
          <w:rFonts w:hint="eastAsia" w:ascii="宋体" w:hAnsi="宋体" w:eastAsia="宋体" w:cs="宋体"/>
          <w:bCs/>
          <w:color w:val="auto"/>
          <w:szCs w:val="21"/>
          <w:highlight w:val="none"/>
        </w:rPr>
        <w:t>的供应商，在规定的</w:t>
      </w:r>
      <w:r>
        <w:rPr>
          <w:rFonts w:hint="eastAsia" w:ascii="宋体" w:hAnsi="宋体" w:eastAsia="宋体" w:cs="宋体"/>
          <w:color w:val="auto"/>
          <w:kern w:val="0"/>
          <w:szCs w:val="21"/>
          <w:highlight w:val="none"/>
        </w:rPr>
        <w:t>截止时间前</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新提交响应文件</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磋商小组应当</w:t>
      </w:r>
      <w:r>
        <w:rPr>
          <w:rFonts w:hint="eastAsia" w:ascii="宋体" w:hAnsi="宋体" w:eastAsia="宋体" w:cs="宋体"/>
          <w:color w:val="auto"/>
          <w:szCs w:val="21"/>
          <w:highlight w:val="none"/>
        </w:rPr>
        <w:t>根据本章第26.2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w:t>
      </w:r>
      <w:r>
        <w:rPr>
          <w:rFonts w:hint="eastAsia" w:ascii="宋体" w:hAnsi="宋体" w:eastAsia="宋体" w:cs="宋体"/>
          <w:color w:val="auto"/>
          <w:kern w:val="0"/>
          <w:szCs w:val="21"/>
          <w:highlight w:val="none"/>
        </w:rPr>
        <w:t>对供应商重新提交的响应文件进行审查。供应商重新提交的响应文件审查不合格的，不得进入下一轮磋商，也不得要求提交最后报价。</w:t>
      </w:r>
    </w:p>
    <w:p w14:paraId="6A61880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52E7A38C">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A15D922">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30.3</w:t>
      </w:r>
      <w:r>
        <w:rPr>
          <w:rFonts w:hint="eastAsia" w:ascii="宋体" w:hAnsi="宋体" w:eastAsia="宋体" w:cs="宋体"/>
          <w:color w:val="auto"/>
          <w:highlight w:val="none"/>
        </w:rPr>
        <w:t xml:space="preserve"> </w:t>
      </w:r>
      <w:r>
        <w:rPr>
          <w:rFonts w:hint="eastAsia" w:ascii="宋体" w:hAnsi="宋体" w:eastAsia="宋体" w:cs="宋体"/>
          <w:bCs/>
          <w:color w:val="auto"/>
          <w:highlight w:val="none"/>
        </w:rPr>
        <w:t>重</w:t>
      </w:r>
      <w:r>
        <w:rPr>
          <w:rFonts w:hint="eastAsia" w:ascii="宋体" w:hAnsi="宋体" w:eastAsia="宋体" w:cs="宋体"/>
          <w:color w:val="auto"/>
          <w:kern w:val="0"/>
          <w:highlight w:val="none"/>
        </w:rPr>
        <w:t>新提交的响应文件</w:t>
      </w:r>
      <w:r>
        <w:rPr>
          <w:rFonts w:hint="eastAsia" w:ascii="宋体" w:hAnsi="宋体" w:eastAsia="宋体" w:cs="宋体"/>
          <w:color w:val="auto"/>
          <w:highlight w:val="none"/>
        </w:rPr>
        <w:t>或者最后报价应按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21.3</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由其法定代表人或其委托代理人签字或者加盖</w:t>
      </w:r>
      <w:r>
        <w:rPr>
          <w:rFonts w:hint="eastAsia" w:ascii="宋体" w:hAnsi="宋体" w:eastAsia="宋体" w:cs="宋体"/>
          <w:color w:val="auto"/>
          <w:kern w:val="0"/>
          <w:highlight w:val="none"/>
        </w:rPr>
        <w:t>供应商单位</w:t>
      </w:r>
      <w:r>
        <w:rPr>
          <w:rFonts w:hint="eastAsia" w:ascii="宋体" w:hAnsi="宋体" w:eastAsia="宋体" w:cs="宋体"/>
          <w:color w:val="auto"/>
          <w:kern w:val="0"/>
          <w:szCs w:val="21"/>
          <w:highlight w:val="none"/>
        </w:rPr>
        <w:t>章，在规定时间内密封递交给磋商小组</w:t>
      </w:r>
      <w:r>
        <w:rPr>
          <w:rFonts w:hint="eastAsia" w:ascii="宋体" w:hAnsi="宋体" w:eastAsia="宋体" w:cs="宋体"/>
          <w:bCs/>
          <w:color w:val="auto"/>
          <w:szCs w:val="21"/>
          <w:highlight w:val="none"/>
        </w:rPr>
        <w:t>。</w:t>
      </w:r>
    </w:p>
    <w:p w14:paraId="472AFBA7">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30.4</w:t>
      </w:r>
      <w:r>
        <w:rPr>
          <w:rFonts w:hint="eastAsia" w:ascii="宋体" w:hAnsi="宋体" w:eastAsia="宋体" w:cs="宋体"/>
          <w:color w:val="auto"/>
          <w:kern w:val="0"/>
          <w:szCs w:val="21"/>
          <w:highlight w:val="none"/>
          <w:lang w:val="zh-CN"/>
        </w:rPr>
        <w:t>供应商的</w:t>
      </w:r>
      <w:r>
        <w:rPr>
          <w:rFonts w:hint="eastAsia" w:ascii="宋体" w:hAnsi="宋体" w:eastAsia="宋体" w:cs="宋体"/>
          <w:bCs/>
          <w:color w:val="auto"/>
          <w:szCs w:val="21"/>
          <w:highlight w:val="none"/>
        </w:rPr>
        <w:t>最</w:t>
      </w:r>
      <w:r>
        <w:rPr>
          <w:rFonts w:hint="eastAsia" w:ascii="宋体" w:hAnsi="宋体" w:eastAsia="宋体" w:cs="宋体"/>
          <w:color w:val="auto"/>
          <w:kern w:val="0"/>
          <w:szCs w:val="21"/>
          <w:highlight w:val="none"/>
          <w:lang w:val="zh-CN"/>
        </w:rPr>
        <w:t>后</w:t>
      </w:r>
      <w:r>
        <w:rPr>
          <w:rFonts w:hint="eastAsia" w:ascii="宋体" w:hAnsi="宋体" w:eastAsia="宋体" w:cs="宋体"/>
          <w:bCs/>
          <w:color w:val="auto"/>
          <w:szCs w:val="21"/>
          <w:highlight w:val="none"/>
        </w:rPr>
        <w:t>报价及</w:t>
      </w:r>
      <w:r>
        <w:rPr>
          <w:rFonts w:hint="eastAsia" w:ascii="宋体" w:hAnsi="宋体" w:eastAsia="宋体" w:cs="宋体"/>
          <w:color w:val="auto"/>
          <w:kern w:val="0"/>
          <w:szCs w:val="21"/>
          <w:highlight w:val="none"/>
        </w:rPr>
        <w:t>政府采购政策规定的价格扣除情况，磋商小组应召集所有参加最后报价的供应商当场开封</w:t>
      </w:r>
      <w:r>
        <w:rPr>
          <w:rFonts w:hint="eastAsia" w:ascii="宋体" w:hAnsi="宋体" w:eastAsia="宋体" w:cs="宋体"/>
          <w:bCs/>
          <w:color w:val="auto"/>
          <w:szCs w:val="21"/>
          <w:highlight w:val="none"/>
        </w:rPr>
        <w:t>公布，并由供应商代表签字确认。</w:t>
      </w:r>
    </w:p>
    <w:p w14:paraId="20F975DE">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30.5提交首次响应文件的供应商，在提交最后报价之前，可以根据磋商情况退出磋商，</w:t>
      </w:r>
      <w:r>
        <w:rPr>
          <w:rFonts w:hint="eastAsia" w:ascii="宋体" w:hAnsi="宋体" w:eastAsia="宋体" w:cs="宋体"/>
          <w:color w:val="auto"/>
          <w:kern w:val="0"/>
          <w:highlight w:val="none"/>
        </w:rPr>
        <w:t>并书面通知采购代理机构或者磋商小组。</w:t>
      </w:r>
      <w:r>
        <w:rPr>
          <w:rFonts w:hint="eastAsia" w:ascii="宋体" w:hAnsi="宋体" w:eastAsia="宋体" w:cs="宋体"/>
          <w:color w:val="auto"/>
          <w:highlight w:val="none"/>
        </w:rPr>
        <w:t>该通知由供应商法定代表人或其委托代理人签字。</w:t>
      </w:r>
      <w:r>
        <w:rPr>
          <w:rFonts w:hint="eastAsia" w:ascii="宋体" w:hAnsi="宋体" w:eastAsia="宋体" w:cs="宋体"/>
          <w:color w:val="auto"/>
          <w:kern w:val="0"/>
          <w:szCs w:val="21"/>
          <w:highlight w:val="none"/>
        </w:rPr>
        <w:t>采购代理机构</w:t>
      </w:r>
      <w:r>
        <w:rPr>
          <w:rFonts w:hint="eastAsia" w:ascii="宋体" w:hAnsi="宋体" w:eastAsia="宋体" w:cs="宋体"/>
          <w:color w:val="auto"/>
          <w:kern w:val="0"/>
          <w:highlight w:val="none"/>
        </w:rPr>
        <w:t>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19.4</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退还退出磋商的供应商的磋商保证金。</w:t>
      </w:r>
    </w:p>
    <w:p w14:paraId="0282FC7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30.6</w:t>
      </w:r>
      <w:r>
        <w:rPr>
          <w:rFonts w:hint="eastAsia" w:ascii="宋体" w:hAnsi="宋体" w:eastAsia="宋体" w:cs="宋体"/>
          <w:color w:val="auto"/>
          <w:kern w:val="0"/>
          <w:szCs w:val="21"/>
          <w:highlight w:val="none"/>
        </w:rPr>
        <w:t>提交首次响应文件的供应商，未按磋商文件规定及磋商小组要求提交最后报价(或者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新提交的响应文件和最后报价)，且又</w:t>
      </w:r>
      <w:r>
        <w:rPr>
          <w:rFonts w:hint="eastAsia" w:ascii="宋体" w:hAnsi="宋体" w:eastAsia="宋体" w:cs="宋体"/>
          <w:color w:val="auto"/>
          <w:kern w:val="0"/>
          <w:highlight w:val="none"/>
        </w:rPr>
        <w:t>未按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30.5</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退出磋商的，供应商的磋商保证金不予退还。</w:t>
      </w:r>
    </w:p>
    <w:p w14:paraId="0E324F5A">
      <w:pPr>
        <w:widowControl/>
        <w:adjustRightInd w:val="0"/>
        <w:snapToGri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b/>
          <w:color w:val="auto"/>
          <w:kern w:val="0"/>
          <w:szCs w:val="21"/>
          <w:highlight w:val="none"/>
        </w:rPr>
        <w:t>31.响应文件评审</w:t>
      </w:r>
    </w:p>
    <w:p w14:paraId="38A801EF">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31.1经磋商确定最终采购需求和提交最后报价的供应商后，由磋商小组采用综合评分法对提交最后报价的供应商的响应文件和最后报价进行综合评价。</w:t>
      </w:r>
    </w:p>
    <w:p w14:paraId="3EE92F00">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color w:val="auto"/>
          <w:szCs w:val="21"/>
          <w:highlight w:val="none"/>
        </w:rPr>
        <w:t>磋商须知前附表。</w:t>
      </w:r>
    </w:p>
    <w:p w14:paraId="13D732F3">
      <w:pPr>
        <w:widowControl/>
        <w:adjustRightInd w:val="0"/>
        <w:snapToGrid w:val="0"/>
        <w:spacing w:before="156" w:beforeLines="50"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31.3</w:t>
      </w:r>
      <w:r>
        <w:rPr>
          <w:rFonts w:hint="eastAsia" w:ascii="宋体" w:hAnsi="宋体" w:eastAsia="宋体" w:cs="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4E85CF51">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67914D59">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磋商报价得分=（磋商基准价/最后磋商报价）×价格权值</w:t>
      </w:r>
    </w:p>
    <w:p w14:paraId="5CA1C006">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项目评审过程中，不得去掉最后报价中的最高报价和最低报价。</w:t>
      </w:r>
    </w:p>
    <w:p w14:paraId="45575C77">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31.5</w:t>
      </w:r>
      <w:r>
        <w:rPr>
          <w:rFonts w:hint="eastAsia" w:ascii="宋体" w:hAnsi="宋体" w:eastAsia="宋体" w:cs="宋体"/>
          <w:color w:val="auto"/>
          <w:szCs w:val="21"/>
          <w:highlight w:val="none"/>
        </w:rPr>
        <w:t>涉及政府采购政策优惠对供应商分值进行调整的，</w:t>
      </w:r>
      <w:r>
        <w:rPr>
          <w:rFonts w:hint="eastAsia" w:ascii="宋体" w:hAnsi="宋体" w:eastAsia="宋体" w:cs="宋体"/>
          <w:bCs/>
          <w:color w:val="auto"/>
          <w:szCs w:val="21"/>
          <w:highlight w:val="none"/>
        </w:rPr>
        <w:t>按</w:t>
      </w:r>
      <w:r>
        <w:rPr>
          <w:rFonts w:hint="eastAsia" w:ascii="宋体" w:hAnsi="宋体" w:eastAsia="宋体" w:cs="宋体"/>
          <w:b/>
          <w:color w:val="auto"/>
          <w:szCs w:val="21"/>
          <w:highlight w:val="none"/>
        </w:rPr>
        <w:t>磋商须知前附表</w:t>
      </w:r>
      <w:r>
        <w:rPr>
          <w:rFonts w:hint="eastAsia" w:ascii="宋体" w:hAnsi="宋体" w:eastAsia="宋体" w:cs="宋体"/>
          <w:bCs/>
          <w:color w:val="auto"/>
          <w:szCs w:val="21"/>
          <w:highlight w:val="none"/>
        </w:rPr>
        <w:t>规定</w:t>
      </w:r>
      <w:r>
        <w:rPr>
          <w:rFonts w:hint="eastAsia" w:ascii="宋体" w:hAnsi="宋体" w:eastAsia="宋体" w:cs="宋体"/>
          <w:color w:val="auto"/>
          <w:szCs w:val="21"/>
          <w:highlight w:val="none"/>
        </w:rPr>
        <w:t>调整供应商的技术、商务、价格</w:t>
      </w:r>
      <w:r>
        <w:rPr>
          <w:rFonts w:hint="eastAsia" w:ascii="宋体" w:hAnsi="宋体" w:eastAsia="宋体" w:cs="宋体"/>
          <w:color w:val="auto"/>
          <w:kern w:val="0"/>
          <w:szCs w:val="21"/>
          <w:highlight w:val="none"/>
        </w:rPr>
        <w:t>得分或总得分</w:t>
      </w:r>
      <w:r>
        <w:rPr>
          <w:rFonts w:hint="eastAsia" w:ascii="宋体" w:hAnsi="宋体" w:eastAsia="宋体" w:cs="宋体"/>
          <w:color w:val="auto"/>
          <w:szCs w:val="21"/>
          <w:highlight w:val="none"/>
        </w:rPr>
        <w:t>。</w:t>
      </w:r>
    </w:p>
    <w:p w14:paraId="4E35EE02">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31.6涉及多处或部分获得政府采购政策优惠的，其多处或部分享受政府采购优惠政策的计算方法见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相关规定。</w:t>
      </w:r>
    </w:p>
    <w:p w14:paraId="7F6F25FE">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31.7</w:t>
      </w:r>
      <w:r>
        <w:rPr>
          <w:rFonts w:hint="eastAsia" w:ascii="宋体" w:hAnsi="宋体" w:eastAsia="宋体" w:cs="宋体"/>
          <w:color w:val="auto"/>
          <w:szCs w:val="21"/>
          <w:highlight w:val="none"/>
        </w:rPr>
        <w:t>评审时，磋商小组各成员应当独立对每个供应商的</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进行评价、评分，并按照政府采购优惠政策对最后报价进行价格扣除和技术、商务、价格加分后，汇总各供应商的总得分。</w:t>
      </w:r>
    </w:p>
    <w:p w14:paraId="6C27A1E8">
      <w:pPr>
        <w:widowControl/>
        <w:adjustRightInd w:val="0"/>
        <w:snapToGri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32</w:t>
      </w:r>
      <w:r>
        <w:rPr>
          <w:rFonts w:hint="eastAsia" w:ascii="宋体" w:hAnsi="宋体" w:eastAsia="宋体" w:cs="宋体"/>
          <w:b/>
          <w:color w:val="auto"/>
          <w:kern w:val="0"/>
          <w:szCs w:val="21"/>
          <w:highlight w:val="none"/>
        </w:rPr>
        <w:t>.</w:t>
      </w:r>
      <w:r>
        <w:rPr>
          <w:rFonts w:hint="eastAsia" w:ascii="宋体" w:hAnsi="宋体" w:eastAsia="宋体" w:cs="宋体"/>
          <w:b/>
          <w:bCs/>
          <w:color w:val="auto"/>
          <w:szCs w:val="21"/>
          <w:highlight w:val="none"/>
        </w:rPr>
        <w:t>提出成交供应商</w:t>
      </w:r>
    </w:p>
    <w:p w14:paraId="068BD4A4">
      <w:pPr>
        <w:widowControl/>
        <w:spacing w:line="420" w:lineRule="atLeast"/>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 xml:space="preserve">    32.1</w:t>
      </w:r>
      <w:r>
        <w:rPr>
          <w:rFonts w:hint="eastAsia" w:ascii="宋体" w:hAnsi="宋体" w:eastAsia="宋体" w:cs="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得分、报价、技术均相同，有磋商小组随机抽取确定</w:t>
      </w:r>
      <w:r>
        <w:rPr>
          <w:rFonts w:hint="eastAsia" w:ascii="宋体" w:hAnsi="宋体" w:eastAsia="宋体" w:cs="宋体"/>
          <w:bCs/>
          <w:color w:val="auto"/>
          <w:szCs w:val="21"/>
          <w:highlight w:val="none"/>
        </w:rPr>
        <w:t>。符合《政府采购竞争性磋商采购方式管理暂行办法》(财库〔2014〕214号)</w:t>
      </w:r>
      <w:r>
        <w:rPr>
          <w:rFonts w:hint="eastAsia" w:ascii="宋体" w:hAnsi="宋体" w:eastAsia="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color w:val="auto"/>
          <w:szCs w:val="21"/>
          <w:highlight w:val="none"/>
        </w:rPr>
        <w:t>可以推荐2家成交候选供应商。</w:t>
      </w:r>
    </w:p>
    <w:p w14:paraId="30047308">
      <w:pPr>
        <w:widowControl/>
        <w:spacing w:line="420" w:lineRule="atLeast"/>
        <w:rPr>
          <w:rFonts w:hint="eastAsia" w:ascii="宋体" w:hAnsi="宋体" w:eastAsia="宋体" w:cs="宋体"/>
          <w:color w:val="auto"/>
          <w:kern w:val="0"/>
          <w:szCs w:val="21"/>
          <w:highlight w:val="none"/>
        </w:rPr>
      </w:pPr>
    </w:p>
    <w:p w14:paraId="0441778C">
      <w:pPr>
        <w:tabs>
          <w:tab w:val="left" w:pos="0"/>
        </w:tabs>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33.确定成交供应商</w:t>
      </w:r>
    </w:p>
    <w:p w14:paraId="38B68D4B">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33.1采购代理机构应当在评审结束后2个工作日内将评审报告送采购人确认。</w:t>
      </w:r>
    </w:p>
    <w:p w14:paraId="4BC22071">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6256823C">
      <w:pPr>
        <w:adjustRightInd w:val="0"/>
        <w:snapToGrid w:val="0"/>
        <w:spacing w:line="360" w:lineRule="auto"/>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34.磋商终止</w:t>
      </w:r>
    </w:p>
    <w:p w14:paraId="16E2C148">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34.1</w:t>
      </w:r>
      <w:r>
        <w:rPr>
          <w:rFonts w:hint="eastAsia" w:ascii="宋体" w:hAnsi="宋体" w:eastAsia="宋体" w:cs="宋体"/>
          <w:color w:val="auto"/>
          <w:kern w:val="0"/>
          <w:szCs w:val="21"/>
          <w:highlight w:val="none"/>
        </w:rPr>
        <w:t>出现下列情形之一的，采购人或者采购代理机构应当终止竞争性磋商采购活动，</w:t>
      </w:r>
      <w:r>
        <w:rPr>
          <w:rFonts w:hint="eastAsia" w:ascii="宋体" w:hAnsi="宋体" w:eastAsia="宋体" w:cs="宋体"/>
          <w:color w:val="auto"/>
          <w:highlight w:val="none"/>
        </w:rPr>
        <w:t>在本章第37.1款指定的媒体上</w:t>
      </w:r>
      <w:r>
        <w:rPr>
          <w:rFonts w:hint="eastAsia" w:ascii="宋体" w:hAnsi="宋体" w:eastAsia="宋体" w:cs="宋体"/>
          <w:color w:val="auto"/>
          <w:kern w:val="0"/>
          <w:szCs w:val="21"/>
          <w:highlight w:val="none"/>
        </w:rPr>
        <w:t xml:space="preserve">发布项目终止公告并说明原因，重新开展采购活动： </w:t>
      </w:r>
    </w:p>
    <w:p w14:paraId="57EC8771">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（1）因情况变化，不再符合规定的竞争性磋商采购方式适用情形的；</w:t>
      </w:r>
    </w:p>
    <w:p w14:paraId="2D1BA374">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7EBC44E7">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bCs/>
          <w:color w:val="auto"/>
          <w:szCs w:val="21"/>
          <w:highlight w:val="none"/>
        </w:rPr>
        <w:t>除《政府采购竞争性磋商采购方式管理暂行办法》(财库〔2014〕214号)</w:t>
      </w:r>
      <w:r>
        <w:rPr>
          <w:rFonts w:hint="eastAsia" w:ascii="宋体" w:hAnsi="宋体" w:eastAsia="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color w:val="auto"/>
          <w:szCs w:val="21"/>
          <w:highlight w:val="none"/>
        </w:rPr>
        <w:t>情形外，在采购过程中符合要求的供应商或者报价未超过采购预算的供应商不足3家的；</w:t>
      </w:r>
    </w:p>
    <w:p w14:paraId="7189B326">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（4）因重大变故，采购任务取消的。</w:t>
      </w:r>
    </w:p>
    <w:p w14:paraId="38FA0FD7">
      <w:pPr>
        <w:widowControl/>
        <w:adjustRightInd w:val="0"/>
        <w:snapToGrid w:val="0"/>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35．重新评审</w:t>
      </w:r>
    </w:p>
    <w:p w14:paraId="08EB8164">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092C3D07">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36.保密及串通行为</w:t>
      </w:r>
    </w:p>
    <w:p w14:paraId="59754DA5">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36.1磋商小组成员以及与评审工作有关的人员不得泄露评审情况以及评审过程中获悉的国家秘密、商业秘密。</w:t>
      </w:r>
    </w:p>
    <w:p w14:paraId="0AFDAF5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w:t>
      </w:r>
      <w:r>
        <w:rPr>
          <w:rFonts w:hint="eastAsia" w:ascii="宋体" w:hAnsi="宋体" w:eastAsia="宋体" w:cs="宋体"/>
          <w:color w:val="auto"/>
          <w:kern w:val="0"/>
          <w:szCs w:val="21"/>
          <w:highlight w:val="none"/>
        </w:rPr>
        <w:t>供应商</w:t>
      </w:r>
      <w:r>
        <w:rPr>
          <w:rFonts w:hint="eastAsia" w:ascii="宋体" w:hAnsi="宋体" w:eastAsia="宋体" w:cs="宋体"/>
          <w:color w:val="auto"/>
          <w:szCs w:val="21"/>
          <w:highlight w:val="none"/>
        </w:rPr>
        <w:t>不得与</w:t>
      </w:r>
      <w:r>
        <w:rPr>
          <w:rFonts w:hint="eastAsia" w:ascii="宋体" w:hAnsi="宋体" w:eastAsia="宋体" w:cs="宋体"/>
          <w:color w:val="auto"/>
          <w:kern w:val="0"/>
          <w:szCs w:val="21"/>
          <w:highlight w:val="none"/>
        </w:rPr>
        <w:t>采购人、采购代理机构、其他供应商恶意</w:t>
      </w:r>
      <w:r>
        <w:rPr>
          <w:rFonts w:hint="eastAsia" w:ascii="宋体" w:hAnsi="宋体" w:eastAsia="宋体" w:cs="宋体"/>
          <w:color w:val="auto"/>
          <w:szCs w:val="21"/>
          <w:highlight w:val="none"/>
        </w:rPr>
        <w:t>串通；不得向</w:t>
      </w:r>
      <w:r>
        <w:rPr>
          <w:rFonts w:hint="eastAsia" w:ascii="宋体" w:hAnsi="宋体" w:eastAsia="宋体" w:cs="宋体"/>
          <w:color w:val="auto"/>
          <w:kern w:val="0"/>
          <w:szCs w:val="21"/>
          <w:highlight w:val="none"/>
        </w:rPr>
        <w:t>采购人、采购代理机构</w:t>
      </w:r>
      <w:r>
        <w:rPr>
          <w:rFonts w:hint="eastAsia" w:ascii="宋体" w:hAnsi="宋体" w:eastAsia="宋体" w:cs="宋体"/>
          <w:color w:val="auto"/>
          <w:szCs w:val="21"/>
          <w:highlight w:val="none"/>
        </w:rPr>
        <w:t>或者磋商小组成员行贿或者提供其他不正当利益；不得提供虚假资料谋取成交；不得以任何方式干扰、影响采购工作。</w:t>
      </w:r>
    </w:p>
    <w:p w14:paraId="7C1F320A">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36.3</w:t>
      </w:r>
      <w:r>
        <w:rPr>
          <w:rFonts w:hint="eastAsia" w:ascii="宋体" w:hAnsi="宋体" w:eastAsia="宋体" w:cs="宋体"/>
          <w:color w:val="auto"/>
          <w:sz w:val="21"/>
          <w:szCs w:val="21"/>
          <w:highlight w:val="none"/>
          <w:lang w:val="zh-CN"/>
        </w:rPr>
        <w:t>有下列情形之一的，属于恶意串通，对供应商依照政府采购法第七十七条第一款的规定追究法律责任：</w:t>
      </w:r>
    </w:p>
    <w:p w14:paraId="1654311E">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（一）供应商直接或者间接从采购人或者采购代理机构处获得其他供应商的相关情况并修改其投标文件或者响应文件；</w:t>
      </w:r>
    </w:p>
    <w:p w14:paraId="4BF76C4E">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（二）供应商按照采购人或者采购代理机构的授意撤换、修改投标文件或者响应文件；</w:t>
      </w:r>
    </w:p>
    <w:p w14:paraId="334F65F3">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（三）供应商之间协商报价、技术方案等投标文件或者响应文件的实质性内容；</w:t>
      </w:r>
    </w:p>
    <w:p w14:paraId="105356C5">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（四）属于同一集团、协会、商会等组织成员的供应商按照该组织要求协同参加政府采购活动；</w:t>
      </w:r>
    </w:p>
    <w:p w14:paraId="017F7D6F">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（五）供应商之间事先约定由某一特定供应商中标、成交；</w:t>
      </w:r>
    </w:p>
    <w:p w14:paraId="6374E064">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（六）供应商之间商定部分供应商放弃参加政府采购活动或者放弃中标、成交；</w:t>
      </w:r>
    </w:p>
    <w:p w14:paraId="464828E1">
      <w:pPr>
        <w:pStyle w:val="19"/>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（七）供应商与采购人或者采购代理机构之间、供应商相互之间，为谋求特定供应商中标、成交或者排斥其他供应商的其他串通行为。</w:t>
      </w:r>
    </w:p>
    <w:p w14:paraId="03E2146B">
      <w:pPr>
        <w:pStyle w:val="4"/>
        <w:bidi w:val="0"/>
        <w:rPr>
          <w:rFonts w:hint="eastAsia" w:ascii="宋体" w:hAnsi="宋体" w:eastAsia="宋体" w:cs="宋体"/>
          <w:color w:val="auto"/>
          <w:highlight w:val="none"/>
        </w:rPr>
      </w:pPr>
      <w:bookmarkStart w:id="86" w:name="_Toc1796"/>
      <w:bookmarkStart w:id="87" w:name="_Toc27432"/>
      <w:bookmarkStart w:id="88" w:name="_Toc16825"/>
      <w:bookmarkStart w:id="89" w:name="_Toc53489359"/>
      <w:bookmarkStart w:id="90" w:name="_Toc1526"/>
      <w:bookmarkStart w:id="91" w:name="_Toc27784"/>
      <w:bookmarkStart w:id="92" w:name="_Toc25155"/>
      <w:bookmarkStart w:id="93" w:name="_Toc1111"/>
      <w:bookmarkStart w:id="94" w:name="_Toc28457"/>
      <w:bookmarkStart w:id="95" w:name="_Toc972"/>
      <w:bookmarkStart w:id="96" w:name="_Toc24964"/>
      <w:r>
        <w:rPr>
          <w:rFonts w:hint="eastAsia" w:ascii="宋体" w:hAnsi="宋体" w:eastAsia="宋体" w:cs="宋体"/>
          <w:color w:val="auto"/>
          <w:highlight w:val="none"/>
        </w:rPr>
        <w:t>六、成交结果信息公布与授予合同</w:t>
      </w:r>
      <w:bookmarkEnd w:id="86"/>
      <w:bookmarkEnd w:id="87"/>
      <w:bookmarkEnd w:id="88"/>
      <w:bookmarkEnd w:id="89"/>
      <w:bookmarkEnd w:id="90"/>
      <w:bookmarkEnd w:id="91"/>
      <w:bookmarkEnd w:id="92"/>
      <w:bookmarkEnd w:id="93"/>
      <w:bookmarkEnd w:id="94"/>
      <w:bookmarkEnd w:id="95"/>
      <w:bookmarkEnd w:id="96"/>
    </w:p>
    <w:p w14:paraId="124166DC">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37.成交信息的公布</w:t>
      </w:r>
    </w:p>
    <w:p w14:paraId="5B8FDAA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37.1成交供应商确定后2个工作日内，成交结果信息将在</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指定的媒体上公布。</w:t>
      </w:r>
    </w:p>
    <w:p w14:paraId="14228C5D">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38.询问及质疑</w:t>
      </w:r>
    </w:p>
    <w:p w14:paraId="792A8A04">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szCs w:val="21"/>
          <w:highlight w:val="none"/>
        </w:rPr>
        <w:t>38.1供应商对政府采购活动事项有疑问的，可以向采购人或采购代理机构提出询问。</w:t>
      </w:r>
    </w:p>
    <w:p w14:paraId="14D1E847">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17DCA9BB">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39.成交通知</w:t>
      </w:r>
    </w:p>
    <w:p w14:paraId="03A2E26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39.1成交供应商确定后，采购人或采购代理机构将以书面形式向成交供应商发出成交通知书。成交通知书对采购人和成交供应商具有同等法律效力。</w:t>
      </w:r>
    </w:p>
    <w:p w14:paraId="45E06CE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39.2 成交通知书是合同文件的组成部分。</w:t>
      </w:r>
    </w:p>
    <w:p w14:paraId="6494BCB7">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39.3 </w:t>
      </w:r>
      <w:r>
        <w:rPr>
          <w:rFonts w:hint="eastAsia" w:ascii="宋体" w:hAnsi="宋体" w:eastAsia="宋体" w:cs="宋体"/>
          <w:color w:val="auto"/>
          <w:szCs w:val="21"/>
          <w:highlight w:val="none"/>
        </w:rPr>
        <w:t>成交供应商在收到采购代理机构的成交通知书后10日内，应按照</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的规定，向采购人提交履约担保。联合体成交的，履约担保由联合体各方或联合体中牵头人的名义提交。</w:t>
      </w:r>
    </w:p>
    <w:p w14:paraId="2FB36F6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39.4 成交供应商</w:t>
      </w:r>
      <w:r>
        <w:rPr>
          <w:rFonts w:hint="eastAsia" w:ascii="宋体" w:hAnsi="宋体" w:eastAsia="宋体" w:cs="宋体"/>
          <w:color w:val="auto"/>
          <w:spacing w:val="4"/>
          <w:szCs w:val="21"/>
          <w:highlight w:val="none"/>
        </w:rPr>
        <w:t>没有按照本章第39.3</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pacing w:val="4"/>
          <w:szCs w:val="21"/>
          <w:highlight w:val="none"/>
        </w:rPr>
        <w:t>规定</w:t>
      </w:r>
      <w:r>
        <w:rPr>
          <w:rFonts w:hint="eastAsia" w:ascii="宋体" w:hAnsi="宋体" w:eastAsia="宋体" w:cs="宋体"/>
          <w:color w:val="auto"/>
          <w:szCs w:val="21"/>
          <w:highlight w:val="none"/>
        </w:rPr>
        <w:t>提交履约担保的</w:t>
      </w:r>
      <w:r>
        <w:rPr>
          <w:rFonts w:hint="eastAsia" w:ascii="宋体" w:hAnsi="宋体" w:eastAsia="宋体" w:cs="宋体"/>
          <w:color w:val="auto"/>
          <w:spacing w:val="4"/>
          <w:szCs w:val="21"/>
          <w:highlight w:val="none"/>
        </w:rPr>
        <w:t>，视为放弃</w:t>
      </w:r>
      <w:r>
        <w:rPr>
          <w:rFonts w:hint="eastAsia" w:ascii="宋体" w:hAnsi="宋体" w:eastAsia="宋体" w:cs="宋体"/>
          <w:color w:val="auto"/>
          <w:szCs w:val="21"/>
          <w:highlight w:val="none"/>
        </w:rPr>
        <w:t>成交资格</w:t>
      </w:r>
      <w:r>
        <w:rPr>
          <w:rFonts w:hint="eastAsia" w:ascii="宋体" w:hAnsi="宋体" w:eastAsia="宋体" w:cs="宋体"/>
          <w:color w:val="auto"/>
          <w:spacing w:val="4"/>
          <w:szCs w:val="21"/>
          <w:highlight w:val="none"/>
        </w:rPr>
        <w:t>，</w:t>
      </w:r>
      <w:r>
        <w:rPr>
          <w:rFonts w:hint="eastAsia" w:ascii="宋体" w:hAnsi="宋体" w:eastAsia="宋体" w:cs="宋体"/>
          <w:color w:val="auto"/>
          <w:spacing w:val="2"/>
          <w:szCs w:val="21"/>
          <w:highlight w:val="none"/>
        </w:rPr>
        <w:t>其保证金不予退还。</w:t>
      </w:r>
    </w:p>
    <w:p w14:paraId="4E432244">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40.签订合同</w:t>
      </w:r>
    </w:p>
    <w:p w14:paraId="5F173B0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40.1成交供应商应当在成交通知书发出之日起30日内与采购人签订政府采购合同。</w:t>
      </w:r>
    </w:p>
    <w:p w14:paraId="51FB657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40.2磋商文件、成交供应商的响应文件等均为签订政府采购合同的依据。</w:t>
      </w:r>
    </w:p>
    <w:p w14:paraId="34000CB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40.3 成交供应商应当按照合同约定履行义务。成交供应商不得向他人转让成交项目，也不得将成交项目分包后分别向他人转让。</w:t>
      </w:r>
    </w:p>
    <w:p w14:paraId="3327E51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40.4 成交供应商有下列情形之一的，责令限期改正，情节严重的，列入不良行为记录名单，在1至3年内禁止参加政府采购活动，并予以通报：</w:t>
      </w:r>
    </w:p>
    <w:p w14:paraId="2D2B856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（一）成交后无正当理由不与采购人签订合同的；</w:t>
      </w:r>
    </w:p>
    <w:p w14:paraId="4473889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（二）未按照采购文件确定的事项签订政府采购合同，或者与采购人另行订立背离合同实质性内容的协议的；</w:t>
      </w:r>
    </w:p>
    <w:p w14:paraId="63BB744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（三）拒绝履行合同义务的；</w:t>
      </w:r>
    </w:p>
    <w:p w14:paraId="1B609797">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（四）</w:t>
      </w:r>
      <w:r>
        <w:rPr>
          <w:rFonts w:hint="eastAsia" w:ascii="宋体" w:hAnsi="宋体" w:eastAsia="宋体" w:cs="宋体"/>
          <w:color w:val="auto"/>
          <w:kern w:val="0"/>
          <w:szCs w:val="21"/>
          <w:highlight w:val="none"/>
        </w:rPr>
        <w:t>违反法律、规章、规范性文件规定的。</w:t>
      </w:r>
    </w:p>
    <w:p w14:paraId="3769BC52">
      <w:pPr>
        <w:pStyle w:val="4"/>
        <w:bidi w:val="0"/>
        <w:rPr>
          <w:rFonts w:hint="eastAsia" w:ascii="宋体" w:hAnsi="宋体" w:eastAsia="宋体" w:cs="宋体"/>
          <w:color w:val="auto"/>
          <w:highlight w:val="none"/>
        </w:rPr>
      </w:pPr>
      <w:bookmarkStart w:id="97" w:name="_Toc27882"/>
      <w:bookmarkStart w:id="98" w:name="_Toc16045"/>
      <w:bookmarkStart w:id="99" w:name="_Toc5329"/>
      <w:bookmarkStart w:id="100" w:name="_Toc25618"/>
      <w:bookmarkStart w:id="101" w:name="_Toc761"/>
      <w:bookmarkStart w:id="102" w:name="_Toc13006"/>
      <w:bookmarkStart w:id="103" w:name="_Toc22705"/>
      <w:bookmarkStart w:id="104" w:name="_Toc10778"/>
      <w:bookmarkStart w:id="105" w:name="_Toc53489360"/>
      <w:bookmarkStart w:id="106" w:name="_Toc9411"/>
      <w:bookmarkStart w:id="107" w:name="_Toc2889"/>
      <w:r>
        <w:rPr>
          <w:rFonts w:hint="eastAsia" w:ascii="宋体" w:hAnsi="宋体" w:eastAsia="宋体" w:cs="宋体"/>
          <w:color w:val="auto"/>
          <w:highlight w:val="none"/>
        </w:rPr>
        <w:t>七、其他规定</w:t>
      </w:r>
      <w:bookmarkEnd w:id="97"/>
      <w:bookmarkEnd w:id="98"/>
      <w:bookmarkEnd w:id="99"/>
      <w:bookmarkEnd w:id="100"/>
      <w:bookmarkEnd w:id="101"/>
      <w:bookmarkEnd w:id="102"/>
      <w:bookmarkEnd w:id="103"/>
      <w:bookmarkEnd w:id="104"/>
      <w:bookmarkEnd w:id="105"/>
      <w:bookmarkEnd w:id="106"/>
      <w:bookmarkEnd w:id="107"/>
    </w:p>
    <w:p w14:paraId="2ADABF37">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41.1采购代理服务费</w:t>
      </w:r>
    </w:p>
    <w:p w14:paraId="2E656921">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41.1采购代理机构应按</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规定收取采购代理服务费。</w:t>
      </w:r>
    </w:p>
    <w:p w14:paraId="2CB56791">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41.2集中采购机构不得收取采购代理服务费。</w:t>
      </w:r>
    </w:p>
    <w:p w14:paraId="79938D54">
      <w:pPr>
        <w:tabs>
          <w:tab w:val="left" w:pos="420"/>
          <w:tab w:val="left" w:pos="7560"/>
          <w:tab w:val="left" w:pos="7740"/>
          <w:tab w:val="left" w:pos="7920"/>
        </w:tabs>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szCs w:val="21"/>
          <w:highlight w:val="none"/>
        </w:rPr>
        <w:t>42.</w:t>
      </w:r>
      <w:r>
        <w:rPr>
          <w:rFonts w:hint="eastAsia" w:ascii="宋体" w:hAnsi="宋体" w:eastAsia="宋体" w:cs="宋体"/>
          <w:b/>
          <w:color w:val="auto"/>
          <w:highlight w:val="none"/>
        </w:rPr>
        <w:t xml:space="preserve"> 其他规定</w:t>
      </w:r>
    </w:p>
    <w:p w14:paraId="61A8D69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42.1</w:t>
      </w:r>
      <w:r>
        <w:rPr>
          <w:rFonts w:hint="eastAsia" w:ascii="宋体" w:hAnsi="宋体" w:eastAsia="宋体" w:cs="宋体"/>
          <w:color w:val="auto"/>
          <w:szCs w:val="21"/>
          <w:highlight w:val="none"/>
        </w:rPr>
        <w:t>磋商文件</w:t>
      </w:r>
      <w:r>
        <w:rPr>
          <w:rFonts w:hint="eastAsia" w:ascii="宋体" w:hAnsi="宋体" w:eastAsia="宋体" w:cs="宋体"/>
          <w:color w:val="auto"/>
          <w:highlight w:val="none"/>
        </w:rPr>
        <w:t>的其他规定</w:t>
      </w:r>
      <w:r>
        <w:rPr>
          <w:rFonts w:hint="eastAsia" w:ascii="宋体" w:hAnsi="宋体" w:eastAsia="宋体" w:cs="宋体"/>
          <w:color w:val="auto"/>
          <w:szCs w:val="21"/>
          <w:highlight w:val="none"/>
        </w:rPr>
        <w:t>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4DFC35E9">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列入失信被执行人、重大税收违法案件当事人名单、政府采购严重违法失信行为记录名单及其他不符合《中华人民共和国政府采购法》第二十二条规定条件的供应商，将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AACE23F">
      <w:pPr>
        <w:tabs>
          <w:tab w:val="left" w:pos="420"/>
          <w:tab w:val="left" w:pos="7560"/>
          <w:tab w:val="left" w:pos="7740"/>
          <w:tab w:val="left" w:pos="7920"/>
        </w:tabs>
        <w:wordWrap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2、信用信息查询的查询渠道：“信用中国”网站（www.creditchina.gov.cn）、中国政府采购网（www.ccgp.gov.cn）、信用湖南网（www.hncredit.gov.cn）和湖南省政府采购网（www.ccgp-hunan.gov.cn）。</w:t>
      </w:r>
    </w:p>
    <w:p w14:paraId="17E2C04A">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3、信用信息查询的截止时点：至本项目投标截止时间止（或至本项目响应文件提交截止时间止）。</w:t>
      </w:r>
    </w:p>
    <w:p w14:paraId="72540245">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4、信用信息查询记录证据留存的具体方式：查询记录的网页打印件。</w:t>
      </w:r>
    </w:p>
    <w:p w14:paraId="2837CDD2">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信用信息的使用规则：对列入失信被执行人、重大税收违法案件当事人名单、政府采购严重违法失信行为记录名单及其他不符合《中华人民共和国政府采购法》第二十二条规定条件的供应商，将拒绝其参与政府采购活动。</w:t>
      </w:r>
    </w:p>
    <w:p w14:paraId="6D151E25">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应保持公开、公平的原则进行投标，如磋商小组认为供应商提交的报价有恶意中标的嫌疑，磋商小组有权让供应商提交成本价的组成，如在规定时间内供应商不能提交成本价的组成或提交的成本价明显低于市场平均值，磋商小组有权认为供应商属于恶性竞争，有权认定其为无效响应。</w:t>
      </w:r>
    </w:p>
    <w:p w14:paraId="259ED13E">
      <w:pPr>
        <w:pStyle w:val="27"/>
        <w:rPr>
          <w:rFonts w:hint="eastAsia" w:ascii="宋体" w:hAnsi="宋体" w:eastAsia="宋体" w:cs="宋体"/>
          <w:color w:val="auto"/>
          <w:highlight w:val="none"/>
        </w:rPr>
      </w:pPr>
    </w:p>
    <w:p w14:paraId="3FCB3791">
      <w:pPr>
        <w:rPr>
          <w:rFonts w:hint="eastAsia" w:ascii="宋体" w:hAnsi="宋体" w:eastAsia="宋体" w:cs="宋体"/>
          <w:color w:val="auto"/>
          <w:highlight w:val="none"/>
        </w:rPr>
        <w:sectPr>
          <w:pgSz w:w="11906" w:h="16838"/>
          <w:pgMar w:top="1440" w:right="1800" w:bottom="1440" w:left="1800" w:header="851" w:footer="992" w:gutter="0"/>
          <w:cols w:space="425" w:num="1"/>
          <w:docGrid w:type="lines" w:linePitch="312" w:charSpace="0"/>
        </w:sectPr>
      </w:pPr>
    </w:p>
    <w:p w14:paraId="58B9163D">
      <w:pPr>
        <w:shd w:val="clear"/>
        <w:spacing w:line="240" w:lineRule="auto"/>
        <w:ind w:firstLine="964" w:firstLineChars="300"/>
        <w:jc w:val="center"/>
        <w:rPr>
          <w:rFonts w:hint="eastAsia" w:ascii="宋体" w:hAnsi="宋体" w:eastAsia="宋体" w:cs="宋体"/>
          <w:b/>
          <w:bCs/>
          <w:color w:val="auto"/>
          <w:kern w:val="32"/>
          <w:sz w:val="32"/>
          <w:szCs w:val="32"/>
          <w:highlight w:val="none"/>
          <w:lang w:val="en-US" w:eastAsia="zh-CN" w:bidi="ar-SA"/>
        </w:rPr>
      </w:pPr>
      <w:bookmarkStart w:id="108" w:name="_Toc16922"/>
      <w:r>
        <w:rPr>
          <w:rFonts w:hint="eastAsia" w:ascii="宋体" w:hAnsi="宋体" w:eastAsia="宋体" w:cs="宋体"/>
          <w:b/>
          <w:bCs/>
          <w:color w:val="auto"/>
          <w:kern w:val="32"/>
          <w:sz w:val="32"/>
          <w:szCs w:val="32"/>
          <w:highlight w:val="none"/>
          <w:lang w:val="en-US" w:eastAsia="zh-CN" w:bidi="ar-SA"/>
        </w:rPr>
        <w:t>第三章  合同格式</w:t>
      </w:r>
      <w:bookmarkEnd w:id="108"/>
      <w:bookmarkStart w:id="109" w:name="_Toc24739"/>
      <w:bookmarkStart w:id="110" w:name="_Toc19628646"/>
    </w:p>
    <w:p w14:paraId="11CCCD06">
      <w:pPr>
        <w:jc w:val="center"/>
        <w:rPr>
          <w:rFonts w:hint="eastAsia" w:ascii="宋体" w:hAnsi="宋体" w:cs="宋体"/>
          <w:b/>
          <w:bCs/>
          <w:color w:val="auto"/>
          <w:sz w:val="30"/>
          <w:szCs w:val="30"/>
          <w:highlight w:val="none"/>
          <w:lang w:val="en-US" w:eastAsia="zh-CN"/>
        </w:rPr>
      </w:pPr>
    </w:p>
    <w:p w14:paraId="4A71F056">
      <w:pPr>
        <w:jc w:val="center"/>
        <w:rPr>
          <w:rFonts w:hint="eastAsia" w:eastAsia="宋体"/>
          <w:b/>
          <w:bCs/>
          <w:color w:val="auto"/>
          <w:sz w:val="30"/>
          <w:szCs w:val="30"/>
          <w:highlight w:val="none"/>
          <w:lang w:eastAsia="zh-CN"/>
        </w:rPr>
      </w:pPr>
      <w:r>
        <w:rPr>
          <w:rFonts w:hint="eastAsia" w:ascii="宋体" w:hAnsi="宋体" w:cs="宋体"/>
          <w:b/>
          <w:bCs/>
          <w:color w:val="auto"/>
          <w:sz w:val="30"/>
          <w:szCs w:val="30"/>
          <w:highlight w:val="none"/>
          <w:lang w:val="en-US" w:eastAsia="zh-CN"/>
        </w:rPr>
        <w:t>合同</w:t>
      </w:r>
      <w:r>
        <w:rPr>
          <w:rFonts w:hint="eastAsia"/>
          <w:b/>
          <w:bCs/>
          <w:color w:val="auto"/>
          <w:sz w:val="30"/>
          <w:szCs w:val="30"/>
          <w:highlight w:val="none"/>
          <w:lang w:val="en-US" w:eastAsia="zh-CN"/>
        </w:rPr>
        <w:t>根据项目自拟格式。</w:t>
      </w:r>
    </w:p>
    <w:p w14:paraId="6DF40704">
      <w:pPr>
        <w:shd w:val="clear"/>
        <w:spacing w:line="360" w:lineRule="exact"/>
        <w:jc w:val="center"/>
        <w:rPr>
          <w:rFonts w:hint="eastAsia" w:ascii="宋体" w:hAnsi="宋体" w:eastAsia="宋体" w:cs="宋体"/>
          <w:color w:val="auto"/>
          <w:highlight w:val="none"/>
          <w:lang w:val="en-US" w:eastAsia="zh-CN"/>
        </w:rPr>
      </w:pPr>
      <w:r>
        <w:rPr>
          <w:rFonts w:hint="eastAsia" w:ascii="宋体" w:hAnsi="宋体" w:eastAsia="宋体" w:cs="宋体"/>
          <w:b w:val="0"/>
          <w:bCs w:val="0"/>
          <w:color w:val="auto"/>
          <w:sz w:val="21"/>
          <w:szCs w:val="21"/>
          <w:highlight w:val="none"/>
        </w:rPr>
        <w:br w:type="page"/>
      </w:r>
      <w:bookmarkEnd w:id="109"/>
      <w:bookmarkEnd w:id="110"/>
      <w:bookmarkStart w:id="111" w:name="_Toc25140"/>
    </w:p>
    <w:p w14:paraId="5AB69684">
      <w:pPr>
        <w:pStyle w:val="2"/>
        <w:bidi w:val="0"/>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第四章</w:t>
      </w:r>
      <w:r>
        <w:rPr>
          <w:rFonts w:hint="eastAsia" w:ascii="宋体" w:hAnsi="宋体" w:eastAsia="宋体" w:cs="宋体"/>
          <w:color w:val="auto"/>
          <w:highlight w:val="none"/>
        </w:rPr>
        <w:t xml:space="preserve"> 采购需求</w:t>
      </w:r>
      <w:bookmarkEnd w:id="111"/>
    </w:p>
    <w:p w14:paraId="05894DD7">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一、项目基本情况</w:t>
      </w:r>
    </w:p>
    <w:p w14:paraId="0174FD4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Cs/>
          <w:color w:val="auto"/>
          <w:sz w:val="21"/>
          <w:szCs w:val="21"/>
          <w:highlight w:val="none"/>
        </w:rPr>
        <w:t xml:space="preserve">1.采购项目名称: </w:t>
      </w:r>
      <w:r>
        <w:rPr>
          <w:rFonts w:hint="eastAsia" w:ascii="宋体" w:hAnsi="宋体" w:cs="宋体"/>
          <w:b w:val="0"/>
          <w:bCs/>
          <w:color w:val="auto"/>
          <w:sz w:val="21"/>
          <w:szCs w:val="21"/>
          <w:highlight w:val="none"/>
          <w:lang w:eastAsia="zh-CN"/>
        </w:rPr>
        <w:t>华容县2026年第二批农村公路梅田湖镇（重要旅游资源产业路）建设项目</w:t>
      </w:r>
    </w:p>
    <w:p w14:paraId="6151ECD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rPr>
        <w:t>2.建设地点：</w:t>
      </w:r>
      <w:r>
        <w:rPr>
          <w:rFonts w:hint="eastAsia" w:ascii="宋体" w:hAnsi="宋体" w:cs="宋体"/>
          <w:bCs/>
          <w:color w:val="auto"/>
          <w:sz w:val="21"/>
          <w:szCs w:val="21"/>
          <w:highlight w:val="none"/>
          <w:lang w:eastAsia="zh-CN"/>
        </w:rPr>
        <w:t>华容县梅田湖镇</w:t>
      </w:r>
    </w:p>
    <w:p w14:paraId="3B64AB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3.招标控制价</w:t>
      </w: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1548000.00</w:t>
      </w:r>
      <w:r>
        <w:rPr>
          <w:rFonts w:hint="eastAsia" w:ascii="宋体" w:hAnsi="宋体" w:eastAsia="宋体" w:cs="宋体"/>
          <w:bCs/>
          <w:color w:val="auto"/>
          <w:sz w:val="21"/>
          <w:szCs w:val="21"/>
          <w:highlight w:val="none"/>
        </w:rPr>
        <w:t>元。</w:t>
      </w:r>
    </w:p>
    <w:p w14:paraId="77F3657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工程承包内容：Y080华容县梅田湖镇S217至永吉村金穗子水稻种植专业合作社公路改造里程6.72公里，按四级公路标准建设。主要开展路面病害处置、路面铺筑、路基修整，完善涵洞排水设施，增设安防防护设施，更新标志标线，同步实施路灯、电线杆迁改等配套工程。改善农村公路通行条件，服务沿线产业发展，助力乡村振兴。具体内容详见清单。</w:t>
      </w:r>
    </w:p>
    <w:p w14:paraId="3B93D004">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二、</w:t>
      </w:r>
      <w:r>
        <w:rPr>
          <w:rFonts w:hint="eastAsia" w:ascii="宋体" w:hAnsi="宋体" w:eastAsia="宋体" w:cs="宋体"/>
          <w:b/>
          <w:color w:val="auto"/>
          <w:sz w:val="21"/>
          <w:szCs w:val="21"/>
          <w:highlight w:val="none"/>
          <w:lang w:val="en-US" w:eastAsia="zh-CN"/>
        </w:rPr>
        <w:t>技术要求</w:t>
      </w:r>
    </w:p>
    <w:p w14:paraId="053E09D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1.建筑材料运输、保管及保险</w:t>
      </w:r>
    </w:p>
    <w:p w14:paraId="3DDCBA2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1)成交供应商负责建筑材料到施工地点的全部运输，包括装卸及现场搬运等。</w:t>
      </w:r>
    </w:p>
    <w:p w14:paraId="429731A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2)成交供应商负责建筑材料在施工地点的保管，直至项目验收合格。</w:t>
      </w:r>
    </w:p>
    <w:p w14:paraId="45A177C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3)成交供应商负责其派出的施工人员的人身意外保险。</w:t>
      </w:r>
    </w:p>
    <w:p w14:paraId="10D7BC9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2、施工要求：</w:t>
      </w:r>
    </w:p>
    <w:p w14:paraId="19C347E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（1）成交供应商须加强施工的组织管理，所有施工人员须遵守文明安全施工的有关规章制度，持证上岗。</w:t>
      </w:r>
    </w:p>
    <w:p w14:paraId="2ED4C8B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（2）本项目主要项目管理人员不得有在建项目。</w:t>
      </w:r>
    </w:p>
    <w:p w14:paraId="6390E56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（3）拟任本次投标的项目</w:t>
      </w:r>
      <w:r>
        <w:rPr>
          <w:rFonts w:hint="eastAsia" w:ascii="宋体" w:hAnsi="宋体" w:cs="宋体"/>
          <w:bCs/>
          <w:color w:val="auto"/>
          <w:sz w:val="21"/>
          <w:szCs w:val="21"/>
          <w:highlight w:val="none"/>
          <w:lang w:val="en-US" w:eastAsia="zh-CN"/>
        </w:rPr>
        <w:t>团队人员</w:t>
      </w:r>
      <w:r>
        <w:rPr>
          <w:rFonts w:hint="eastAsia" w:ascii="宋体" w:hAnsi="宋体" w:eastAsia="宋体" w:cs="宋体"/>
          <w:bCs/>
          <w:color w:val="auto"/>
          <w:sz w:val="21"/>
          <w:szCs w:val="21"/>
          <w:highlight w:val="none"/>
          <w:lang w:val="en-US" w:eastAsia="zh-CN"/>
        </w:rPr>
        <w:t>是本企业在职人员（提供投标截止时间前近3个月依法缴纳社会保险的证明）。</w:t>
      </w:r>
    </w:p>
    <w:p w14:paraId="3C7719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成交供应商在参与本项目的全部过程中，应负责其所有工作人员的人身意外保险以及承担人身意外事故引发的责任、损失和所有费用。采购人不承担成交供应商工作人员因意外（包括但不限于：在施工现场工作中发生的意外以及抵达施工现场途中及返程中发生的意外）所致的任何责任。在施工现场由于成交供应商的原因导致给采购人带来的损失，由成交供应商承担。</w:t>
      </w:r>
    </w:p>
    <w:p w14:paraId="6E9C2E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3、验收要求</w:t>
      </w:r>
    </w:p>
    <w:p w14:paraId="5BCA231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（1）项目验收国家有强制性规定的，按国家规定执行，验收费用由中标供应商承担，验收报告作为申请付款的凭证之一。</w:t>
      </w:r>
    </w:p>
    <w:p w14:paraId="6056D8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（2）验收标准:符合现行国家有关工程施工验收规范，达到质量检验合格标准。</w:t>
      </w:r>
    </w:p>
    <w:p w14:paraId="014C4BA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（3）验收过程中产生纠纷的，由质量技术监督部门认定的检测机构检测,如为中标供应商原因造成的，由中标供应商承担检测费用；否则，由采购人承担。</w:t>
      </w:r>
    </w:p>
    <w:p w14:paraId="702C3FB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注：项目验收不合格，由中标供应商返工直至合格，有关返工、再行验收，以及给采购人造成的损失等费用由中标供应商承担。连续两次项目验收不合格的，采购人可终止合同，另行按规定选择其他供应商采购，由此带来的一切损失由中标供应商承担。</w:t>
      </w:r>
    </w:p>
    <w:p w14:paraId="1E1FB1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4、质量保证</w:t>
      </w:r>
      <w:bookmarkStart w:id="112" w:name="_Toc523438633"/>
      <w:bookmarkStart w:id="113" w:name="_Toc41478065"/>
    </w:p>
    <w:p w14:paraId="2A9253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（1）工程质量验收按国家现行行业有关施工质量验收规范和标准及《公路工程质量检验评定标准》执行，并达到合格标准。</w:t>
      </w:r>
    </w:p>
    <w:p w14:paraId="5446C24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（2）工程保修：</w:t>
      </w:r>
      <w:r>
        <w:rPr>
          <w:rFonts w:hint="default" w:ascii="宋体" w:hAnsi="宋体" w:eastAsia="宋体" w:cs="宋体"/>
          <w:bCs/>
          <w:color w:val="auto"/>
          <w:sz w:val="21"/>
          <w:szCs w:val="21"/>
          <w:highlight w:val="none"/>
          <w:lang w:val="en-US" w:eastAsia="zh-CN"/>
        </w:rPr>
        <w:t>按照国家建设部第279号令保修规定进行保修内容及期限，由供应商承担其责任与义务。</w:t>
      </w:r>
    </w:p>
    <w:bookmarkEnd w:id="112"/>
    <w:bookmarkEnd w:id="113"/>
    <w:p w14:paraId="6C5EC3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本项目最终结算价以相关审计部门审核的为准。投标人应根据项目要求和现场情况，详细列明项目所需的设备、材料以及所有人工、管理、财务等所有费用，如投标人遗漏磋商文件所列工程量清单内容，均由成交人自负，采购人不再支付任何费用。</w:t>
      </w:r>
    </w:p>
    <w:p w14:paraId="0A986B8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bookmarkStart w:id="114" w:name="_Toc73617573"/>
      <w:r>
        <w:rPr>
          <w:rFonts w:hint="eastAsia" w:ascii="宋体" w:hAnsi="宋体" w:eastAsia="宋体" w:cs="宋体"/>
          <w:bCs/>
          <w:color w:val="auto"/>
          <w:sz w:val="21"/>
          <w:szCs w:val="21"/>
          <w:highlight w:val="none"/>
          <w:lang w:val="en-US" w:eastAsia="zh-CN"/>
        </w:rPr>
        <w:t>6、其他要求</w:t>
      </w:r>
      <w:bookmarkEnd w:id="114"/>
    </w:p>
    <w:p w14:paraId="52034B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（1）供应商在投标前，如需踏勘现场，有关费用自理，踏勘期间发生的意外自负。</w:t>
      </w:r>
    </w:p>
    <w:p w14:paraId="28D90B0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（2）对于上述项目要求，供应商应在响应文件中进行回应，作出承诺及说明。</w:t>
      </w:r>
    </w:p>
    <w:p w14:paraId="6837C6B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三、商务要求</w:t>
      </w:r>
    </w:p>
    <w:p w14:paraId="6D182F0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1、履行合同的时间与地点：</w:t>
      </w:r>
    </w:p>
    <w:p w14:paraId="21FFAF9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（1）合同履约时间：</w:t>
      </w:r>
      <w:r>
        <w:rPr>
          <w:rFonts w:hint="eastAsia" w:ascii="宋体" w:hAnsi="宋体" w:cs="宋体"/>
          <w:bCs/>
          <w:color w:val="auto"/>
          <w:sz w:val="21"/>
          <w:szCs w:val="21"/>
          <w:highlight w:val="none"/>
          <w:lang w:val="en-US" w:eastAsia="zh-CN"/>
        </w:rPr>
        <w:t>自合同签订之日起90日历天内竣工完毕，达到验收合格标准。</w:t>
      </w:r>
    </w:p>
    <w:p w14:paraId="6B4A3F1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（2）合同履约地点：</w:t>
      </w:r>
      <w:r>
        <w:rPr>
          <w:rFonts w:hint="eastAsia" w:ascii="宋体" w:hAnsi="宋体" w:cs="宋体"/>
          <w:bCs/>
          <w:color w:val="auto"/>
          <w:sz w:val="21"/>
          <w:szCs w:val="21"/>
          <w:highlight w:val="none"/>
          <w:lang w:eastAsia="zh-CN"/>
        </w:rPr>
        <w:t>华容县梅田湖镇</w:t>
      </w:r>
    </w:p>
    <w:p w14:paraId="5D60D740">
      <w:pPr>
        <w:spacing w:line="360" w:lineRule="auto"/>
        <w:ind w:firstLine="420" w:firstLineChars="200"/>
        <w:rPr>
          <w:rFonts w:hint="eastAsia" w:ascii="宋体" w:hAnsi="宋体" w:eastAsia="宋体" w:cs="宋体"/>
          <w:b/>
          <w:bCs/>
          <w:color w:val="auto"/>
          <w:lang w:val="en-US" w:eastAsia="zh-CN"/>
        </w:rPr>
      </w:pPr>
      <w:r>
        <w:rPr>
          <w:rFonts w:hint="eastAsia" w:ascii="宋体" w:hAnsi="宋体" w:eastAsia="宋体" w:cs="宋体"/>
          <w:bCs/>
          <w:color w:val="auto"/>
          <w:sz w:val="21"/>
          <w:szCs w:val="21"/>
          <w:highlight w:val="none"/>
          <w:lang w:val="en-US" w:eastAsia="zh-CN"/>
        </w:rPr>
        <w:t>2、付款方式：</w:t>
      </w:r>
      <w:r>
        <w:rPr>
          <w:rFonts w:hint="eastAsia" w:ascii="宋体" w:hAnsi="宋体" w:eastAsia="宋体" w:cs="宋体"/>
          <w:b/>
          <w:bCs/>
          <w:color w:val="auto"/>
          <w:lang w:val="en-US" w:eastAsia="zh-CN"/>
        </w:rPr>
        <w:t>工程竣工验收合格、资料移交完成后支付合同总价50%；竣工验收合格满1年，缺陷责任履行到位，支付至合同总价80%；竣工验收合格满2年，缺陷责任期满、竣工结算经财政评审审定完成后，支付至结算审定总价100%。所有款项支付前承包人须提供合规增值税发票，如存在质量缺陷，采购人可暂缓付款。</w:t>
      </w:r>
    </w:p>
    <w:p w14:paraId="01BB336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、采购标的的数量、招标项目交付或者实施的时间和地点：</w:t>
      </w:r>
    </w:p>
    <w:p w14:paraId="7B493FB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（1）施工要求：</w:t>
      </w:r>
      <w:r>
        <w:rPr>
          <w:rFonts w:hint="eastAsia" w:ascii="宋体" w:hAnsi="宋体" w:cs="宋体"/>
          <w:bCs/>
          <w:color w:val="auto"/>
          <w:sz w:val="21"/>
          <w:szCs w:val="21"/>
          <w:highlight w:val="none"/>
          <w:lang w:val="en-US" w:eastAsia="zh-CN"/>
        </w:rPr>
        <w:t>自合同签订之日起90日历天内竣工完毕，达到验收合格标准。</w:t>
      </w:r>
    </w:p>
    <w:p w14:paraId="4B5B4F2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（2）投标人应负责自行解决正常施工所需要的进入施工现场的交通条件。</w:t>
      </w:r>
    </w:p>
    <w:p w14:paraId="575C4A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（3）施工手续办理：投标人需要办理施工过程中的所有手续包括但不限于城管、卫生、环保、治安、劳动、保险、安监等手续，由投标人负责，需缴纳的相关费用由投标人自行承担。</w:t>
      </w:r>
    </w:p>
    <w:p w14:paraId="66E7443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、其他未尽事宜由采购人和成交人双方在采购合同中详细约定。</w:t>
      </w:r>
    </w:p>
    <w:p w14:paraId="2762B9F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四、工程量清单及图纸：电子版附件形式。</w:t>
      </w:r>
    </w:p>
    <w:p w14:paraId="29D1E0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对于上述项目要求，供应商应在响应文件中进行回应，并作出承诺及说明。</w:t>
      </w:r>
    </w:p>
    <w:p w14:paraId="5DB12F9B">
      <w:pPr>
        <w:widowControl/>
        <w:jc w:val="left"/>
        <w:rPr>
          <w:rFonts w:hint="eastAsia" w:ascii="宋体" w:hAnsi="宋体" w:eastAsia="宋体" w:cs="宋体"/>
          <w:b/>
          <w:bCs/>
          <w:color w:val="auto"/>
          <w:szCs w:val="21"/>
          <w:highlight w:val="none"/>
        </w:rPr>
      </w:pPr>
    </w:p>
    <w:p w14:paraId="7307A48E">
      <w:pPr>
        <w:rPr>
          <w:rFonts w:hint="eastAsia" w:ascii="宋体" w:hAnsi="宋体" w:eastAsia="宋体" w:cs="宋体"/>
          <w:color w:val="auto"/>
          <w:highlight w:val="none"/>
        </w:rPr>
      </w:pPr>
    </w:p>
    <w:p w14:paraId="04FB4C77">
      <w:pPr>
        <w:rPr>
          <w:rFonts w:hint="eastAsia" w:ascii="宋体" w:hAnsi="宋体" w:eastAsia="宋体" w:cs="宋体"/>
          <w:color w:val="auto"/>
          <w:highlight w:val="none"/>
        </w:rPr>
      </w:pPr>
    </w:p>
    <w:p w14:paraId="5116BDB7">
      <w:pPr>
        <w:rPr>
          <w:rFonts w:hint="eastAsia" w:ascii="宋体" w:hAnsi="宋体" w:eastAsia="宋体" w:cs="宋体"/>
          <w:color w:val="auto"/>
          <w:highlight w:val="none"/>
        </w:rPr>
      </w:pPr>
    </w:p>
    <w:p w14:paraId="601E8F63">
      <w:pPr>
        <w:pStyle w:val="26"/>
        <w:rPr>
          <w:rFonts w:hint="eastAsia" w:ascii="宋体" w:hAnsi="宋体" w:eastAsia="宋体" w:cs="宋体"/>
          <w:color w:val="auto"/>
          <w:highlight w:val="none"/>
        </w:rPr>
      </w:pPr>
    </w:p>
    <w:p w14:paraId="062967C3">
      <w:pPr>
        <w:rPr>
          <w:rFonts w:hint="eastAsia" w:ascii="宋体" w:hAnsi="宋体" w:eastAsia="宋体" w:cs="宋体"/>
          <w:color w:val="auto"/>
          <w:highlight w:val="none"/>
          <w:lang w:val="en-US" w:eastAsia="zh-CN"/>
        </w:rPr>
      </w:pPr>
      <w:bookmarkStart w:id="115" w:name="_Toc5323_WPSOffice_Level1"/>
      <w:bookmarkStart w:id="116" w:name="_Toc18732_WPSOffice_Level1"/>
      <w:bookmarkStart w:id="117" w:name="_Toc11003"/>
      <w:bookmarkStart w:id="118" w:name="_Toc10966_WPSOffice_Level1"/>
      <w:r>
        <w:rPr>
          <w:rFonts w:hint="eastAsia" w:ascii="宋体" w:hAnsi="宋体" w:eastAsia="宋体" w:cs="宋体"/>
          <w:color w:val="auto"/>
          <w:highlight w:val="none"/>
          <w:lang w:val="en-US" w:eastAsia="zh-CN"/>
        </w:rPr>
        <w:br w:type="page"/>
      </w:r>
    </w:p>
    <w:p w14:paraId="61DF4907">
      <w:pPr>
        <w:pStyle w:val="2"/>
        <w:bidi w:val="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第五章 响应文件组成</w:t>
      </w:r>
      <w:bookmarkEnd w:id="115"/>
      <w:bookmarkEnd w:id="116"/>
      <w:bookmarkEnd w:id="117"/>
      <w:bookmarkEnd w:id="118"/>
    </w:p>
    <w:p w14:paraId="1337419F">
      <w:pPr>
        <w:spacing w:line="360" w:lineRule="auto"/>
        <w:rPr>
          <w:rFonts w:hint="eastAsia" w:ascii="宋体" w:hAnsi="宋体" w:eastAsia="宋体" w:cs="宋体"/>
          <w:color w:val="auto"/>
          <w:highlight w:val="none"/>
        </w:rPr>
      </w:pPr>
    </w:p>
    <w:p w14:paraId="1F6880A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供应商的响应文件应包含以下部分：</w:t>
      </w:r>
    </w:p>
    <w:p w14:paraId="23C71157">
      <w:pPr>
        <w:adjustRightInd w:val="0"/>
        <w:snapToGrid w:val="0"/>
        <w:spacing w:line="360" w:lineRule="auto"/>
        <w:jc w:val="left"/>
        <w:outlineLvl w:val="0"/>
        <w:rPr>
          <w:rFonts w:hint="eastAsia" w:ascii="宋体" w:hAnsi="宋体" w:eastAsia="宋体" w:cs="宋体"/>
          <w:b/>
          <w:color w:val="auto"/>
          <w:szCs w:val="21"/>
          <w:highlight w:val="none"/>
        </w:rPr>
      </w:pPr>
      <w:bookmarkStart w:id="119" w:name="_Toc31040"/>
      <w:r>
        <w:rPr>
          <w:rFonts w:hint="eastAsia" w:ascii="宋体" w:hAnsi="宋体" w:eastAsia="宋体" w:cs="宋体"/>
          <w:b/>
          <w:color w:val="auto"/>
          <w:szCs w:val="21"/>
          <w:highlight w:val="none"/>
        </w:rPr>
        <w:t>一、磋商响应声明</w:t>
      </w:r>
      <w:bookmarkEnd w:id="119"/>
    </w:p>
    <w:p w14:paraId="02BCB677">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0" w:name="_Toc32536"/>
      <w:r>
        <w:rPr>
          <w:rFonts w:hint="eastAsia" w:ascii="宋体" w:hAnsi="宋体" w:eastAsia="宋体" w:cs="宋体"/>
          <w:color w:val="auto"/>
          <w:szCs w:val="21"/>
          <w:highlight w:val="none"/>
        </w:rPr>
        <w:t>附件1-1 法定代表人身份证明</w:t>
      </w:r>
      <w:bookmarkEnd w:id="120"/>
    </w:p>
    <w:p w14:paraId="798C50F8">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1" w:name="_Toc7238"/>
      <w:r>
        <w:rPr>
          <w:rFonts w:hint="eastAsia" w:ascii="宋体" w:hAnsi="宋体" w:eastAsia="宋体" w:cs="宋体"/>
          <w:color w:val="auto"/>
          <w:szCs w:val="21"/>
          <w:highlight w:val="none"/>
        </w:rPr>
        <w:t>附件1-2 法定代表人授权委托书</w:t>
      </w:r>
      <w:bookmarkEnd w:id="121"/>
    </w:p>
    <w:p w14:paraId="136919A6">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2" w:name="_Toc30345"/>
      <w:r>
        <w:rPr>
          <w:rFonts w:hint="eastAsia" w:ascii="宋体" w:hAnsi="宋体" w:eastAsia="宋体" w:cs="宋体"/>
          <w:color w:val="auto"/>
          <w:szCs w:val="21"/>
          <w:highlight w:val="none"/>
        </w:rPr>
        <w:t>附件2：工程质量保修书</w:t>
      </w:r>
      <w:bookmarkEnd w:id="122"/>
    </w:p>
    <w:p w14:paraId="7DE7A158">
      <w:pPr>
        <w:adjustRightInd w:val="0"/>
        <w:snapToGrid w:val="0"/>
        <w:spacing w:line="360" w:lineRule="auto"/>
        <w:jc w:val="left"/>
        <w:outlineLvl w:val="0"/>
        <w:rPr>
          <w:rFonts w:hint="eastAsia" w:ascii="宋体" w:hAnsi="宋体" w:eastAsia="宋体" w:cs="宋体"/>
          <w:b/>
          <w:color w:val="auto"/>
          <w:szCs w:val="21"/>
          <w:highlight w:val="none"/>
        </w:rPr>
      </w:pPr>
      <w:bookmarkStart w:id="123" w:name="_Toc22668"/>
      <w:r>
        <w:rPr>
          <w:rFonts w:hint="eastAsia" w:ascii="宋体" w:hAnsi="宋体" w:eastAsia="宋体" w:cs="宋体"/>
          <w:b/>
          <w:color w:val="auto"/>
          <w:szCs w:val="21"/>
          <w:highlight w:val="none"/>
        </w:rPr>
        <w:t>二、保证金</w:t>
      </w:r>
      <w:bookmarkEnd w:id="123"/>
    </w:p>
    <w:p w14:paraId="42FFF1B0">
      <w:pPr>
        <w:adjustRightInd w:val="0"/>
        <w:snapToGrid w:val="0"/>
        <w:spacing w:line="360" w:lineRule="auto"/>
        <w:jc w:val="left"/>
        <w:outlineLvl w:val="0"/>
        <w:rPr>
          <w:rFonts w:hint="eastAsia" w:ascii="宋体" w:hAnsi="宋体" w:eastAsia="宋体" w:cs="宋体"/>
          <w:b/>
          <w:color w:val="auto"/>
          <w:szCs w:val="21"/>
          <w:highlight w:val="none"/>
        </w:rPr>
      </w:pPr>
      <w:bookmarkStart w:id="124" w:name="_Toc3469"/>
      <w:r>
        <w:rPr>
          <w:rFonts w:hint="eastAsia" w:ascii="宋体" w:hAnsi="宋体" w:eastAsia="宋体" w:cs="宋体"/>
          <w:b/>
          <w:color w:val="auto"/>
          <w:szCs w:val="21"/>
          <w:highlight w:val="none"/>
        </w:rPr>
        <w:t>三、供应商的资格证明资料</w:t>
      </w:r>
      <w:bookmarkEnd w:id="124"/>
    </w:p>
    <w:p w14:paraId="327FBBC6">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5" w:name="_Toc5403"/>
      <w:r>
        <w:rPr>
          <w:rFonts w:hint="eastAsia" w:ascii="宋体" w:hAnsi="宋体" w:eastAsia="宋体" w:cs="宋体"/>
          <w:color w:val="auto"/>
          <w:szCs w:val="21"/>
          <w:highlight w:val="none"/>
        </w:rPr>
        <w:t>附件3-1 供应商基本情况表</w:t>
      </w:r>
      <w:bookmarkEnd w:id="125"/>
    </w:p>
    <w:p w14:paraId="0F223FB8">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26" w:name="_Toc9132"/>
      <w:r>
        <w:rPr>
          <w:rFonts w:hint="eastAsia" w:ascii="宋体" w:hAnsi="宋体" w:eastAsia="宋体" w:cs="宋体"/>
          <w:color w:val="auto"/>
          <w:szCs w:val="21"/>
          <w:highlight w:val="none"/>
        </w:rPr>
        <w:t>附件3-2 磋商文件规定的基本资格条件证明资料</w:t>
      </w:r>
      <w:bookmarkEnd w:id="126"/>
    </w:p>
    <w:p w14:paraId="7A5794CD">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27" w:name="_Toc32118"/>
      <w:r>
        <w:rPr>
          <w:rFonts w:hint="eastAsia" w:ascii="宋体" w:hAnsi="宋体" w:eastAsia="宋体" w:cs="宋体"/>
          <w:color w:val="auto"/>
          <w:szCs w:val="21"/>
          <w:highlight w:val="none"/>
        </w:rPr>
        <w:t>附件3-3 磋商文件规定的特定资格条件证明资料</w:t>
      </w:r>
      <w:bookmarkEnd w:id="127"/>
    </w:p>
    <w:p w14:paraId="672DDF6E">
      <w:pPr>
        <w:adjustRightInd w:val="0"/>
        <w:snapToGrid w:val="0"/>
        <w:spacing w:line="360" w:lineRule="auto"/>
        <w:ind w:firstLine="420" w:firstLineChars="200"/>
        <w:outlineLvl w:val="0"/>
        <w:rPr>
          <w:rFonts w:hint="eastAsia" w:ascii="宋体" w:hAnsi="宋体" w:eastAsia="宋体" w:cs="宋体"/>
          <w:bCs/>
          <w:color w:val="auto"/>
          <w:szCs w:val="21"/>
          <w:highlight w:val="none"/>
        </w:rPr>
      </w:pPr>
      <w:bookmarkStart w:id="128" w:name="_Toc16401"/>
      <w:r>
        <w:rPr>
          <w:rFonts w:hint="eastAsia" w:ascii="宋体" w:hAnsi="宋体" w:eastAsia="宋体" w:cs="宋体"/>
          <w:bCs/>
          <w:color w:val="auto"/>
          <w:szCs w:val="21"/>
          <w:highlight w:val="none"/>
        </w:rPr>
        <w:t>附件3-</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 xml:space="preserve"> </w:t>
      </w:r>
      <w:r>
        <w:rPr>
          <w:rFonts w:hint="eastAsia" w:ascii="宋体" w:hAnsi="宋体" w:eastAsia="宋体" w:cs="宋体"/>
          <w:bCs/>
          <w:color w:val="auto"/>
          <w:szCs w:val="21"/>
          <w:highlight w:val="none"/>
          <w:lang w:val="en-US" w:eastAsia="zh-CN"/>
        </w:rPr>
        <w:t>承诺函</w:t>
      </w:r>
      <w:bookmarkEnd w:id="128"/>
    </w:p>
    <w:p w14:paraId="7FA6549F">
      <w:pPr>
        <w:adjustRightInd w:val="0"/>
        <w:snapToGrid w:val="0"/>
        <w:spacing w:line="360" w:lineRule="auto"/>
        <w:ind w:firstLine="420" w:firstLineChars="200"/>
        <w:outlineLvl w:val="0"/>
        <w:rPr>
          <w:rFonts w:hint="eastAsia" w:ascii="宋体" w:hAnsi="宋体" w:eastAsia="宋体" w:cs="宋体"/>
          <w:color w:val="auto"/>
          <w:highlight w:val="none"/>
        </w:rPr>
      </w:pPr>
      <w:bookmarkStart w:id="129" w:name="_Toc9994"/>
      <w:r>
        <w:rPr>
          <w:rFonts w:hint="eastAsia" w:ascii="宋体" w:hAnsi="宋体" w:eastAsia="宋体" w:cs="宋体"/>
          <w:bCs/>
          <w:color w:val="auto"/>
          <w:szCs w:val="21"/>
          <w:highlight w:val="none"/>
        </w:rPr>
        <w:t>附件3-</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 xml:space="preserve"> 其他说明</w:t>
      </w:r>
      <w:bookmarkEnd w:id="129"/>
    </w:p>
    <w:p w14:paraId="45B54EE8">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四、施工方案说明</w:t>
      </w:r>
    </w:p>
    <w:p w14:paraId="54B3113D">
      <w:pPr>
        <w:pStyle w:val="12"/>
        <w:adjustRightInd w:val="0"/>
        <w:snapToGrid w:val="0"/>
        <w:spacing w:line="360" w:lineRule="auto"/>
        <w:ind w:firstLine="435"/>
        <w:rPr>
          <w:rFonts w:hint="eastAsia" w:ascii="宋体" w:hAnsi="宋体" w:eastAsia="宋体" w:cs="宋体"/>
          <w:color w:val="auto"/>
          <w:highlight w:val="none"/>
        </w:rPr>
      </w:pPr>
      <w:r>
        <w:rPr>
          <w:rFonts w:hint="eastAsia" w:ascii="宋体" w:hAnsi="宋体" w:eastAsia="宋体" w:cs="宋体"/>
          <w:color w:val="auto"/>
          <w:highlight w:val="none"/>
        </w:rPr>
        <w:t>附件4-1 施工方案说明</w:t>
      </w:r>
    </w:p>
    <w:p w14:paraId="3F1440F5">
      <w:pPr>
        <w:pStyle w:val="12"/>
        <w:adjustRightInd w:val="0"/>
        <w:snapToGrid w:val="0"/>
        <w:spacing w:line="360" w:lineRule="auto"/>
        <w:ind w:firstLine="435"/>
        <w:rPr>
          <w:rFonts w:hint="eastAsia" w:ascii="宋体" w:hAnsi="宋体" w:eastAsia="宋体" w:cs="宋体"/>
          <w:b/>
          <w:color w:val="auto"/>
          <w:highlight w:val="none"/>
        </w:rPr>
      </w:pPr>
      <w:r>
        <w:rPr>
          <w:rFonts w:hint="eastAsia" w:ascii="宋体" w:hAnsi="宋体" w:eastAsia="宋体" w:cs="宋体"/>
          <w:color w:val="auto"/>
          <w:highlight w:val="none"/>
        </w:rPr>
        <w:t>附件4-2 主要人员简历表</w:t>
      </w:r>
    </w:p>
    <w:p w14:paraId="503649FC">
      <w:pPr>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五、技术/商务响应与偏离表</w:t>
      </w:r>
    </w:p>
    <w:p w14:paraId="74E29CC3">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六、报价一览表及报价文件</w:t>
      </w:r>
    </w:p>
    <w:p w14:paraId="4BC06FEA">
      <w:pPr>
        <w:pStyle w:val="12"/>
        <w:adjustRightInd w:val="0"/>
        <w:snapToGrid w:val="0"/>
        <w:spacing w:line="360" w:lineRule="auto"/>
        <w:ind w:firstLine="435"/>
        <w:rPr>
          <w:rFonts w:hint="eastAsia" w:ascii="宋体" w:hAnsi="宋体" w:eastAsia="宋体" w:cs="宋体"/>
          <w:color w:val="auto"/>
          <w:highlight w:val="none"/>
        </w:rPr>
      </w:pPr>
      <w:r>
        <w:rPr>
          <w:rFonts w:hint="eastAsia" w:ascii="宋体" w:hAnsi="宋体" w:eastAsia="宋体" w:cs="宋体"/>
          <w:color w:val="auto"/>
          <w:highlight w:val="none"/>
        </w:rPr>
        <w:t>附件4-1 报价一览表</w:t>
      </w:r>
    </w:p>
    <w:p w14:paraId="5387A150">
      <w:pPr>
        <w:pStyle w:val="12"/>
        <w:adjustRightInd w:val="0"/>
        <w:snapToGrid w:val="0"/>
        <w:spacing w:line="360" w:lineRule="auto"/>
        <w:ind w:firstLine="435"/>
        <w:rPr>
          <w:rFonts w:hint="eastAsia" w:ascii="宋体" w:hAnsi="宋体" w:eastAsia="宋体" w:cs="宋体"/>
          <w:b/>
          <w:color w:val="auto"/>
          <w:highlight w:val="none"/>
        </w:rPr>
      </w:pPr>
      <w:r>
        <w:rPr>
          <w:rFonts w:hint="eastAsia" w:ascii="宋体" w:hAnsi="宋体" w:eastAsia="宋体" w:cs="宋体"/>
          <w:color w:val="auto"/>
          <w:highlight w:val="none"/>
        </w:rPr>
        <w:t>附件4-2 分项报价表</w:t>
      </w:r>
    </w:p>
    <w:p w14:paraId="464CDA9B">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七、提供享受政府采购政策优惠的证明资料和清单表</w:t>
      </w:r>
    </w:p>
    <w:p w14:paraId="2FD1038D">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30" w:name="_Toc18869"/>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1中小企业</w:t>
      </w:r>
      <w:r>
        <w:rPr>
          <w:rFonts w:hint="eastAsia" w:ascii="宋体" w:hAnsi="宋体" w:eastAsia="宋体" w:cs="宋体"/>
          <w:color w:val="auto"/>
          <w:szCs w:val="21"/>
          <w:highlight w:val="none"/>
        </w:rPr>
        <w:t>声明函</w:t>
      </w:r>
    </w:p>
    <w:p w14:paraId="07C372BB">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 xml:space="preserve"> 残疾人福利性单位声明函</w:t>
      </w:r>
      <w:bookmarkEnd w:id="130"/>
    </w:p>
    <w:p w14:paraId="1235EDB7">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31" w:name="_Toc28447"/>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监狱企业证明资料</w:t>
      </w:r>
      <w:bookmarkEnd w:id="131"/>
    </w:p>
    <w:p w14:paraId="748D7B5F">
      <w:pPr>
        <w:adjustRightInd w:val="0"/>
        <w:snapToGrid w:val="0"/>
        <w:spacing w:line="360" w:lineRule="auto"/>
        <w:ind w:firstLine="420" w:firstLineChars="200"/>
        <w:jc w:val="left"/>
        <w:outlineLvl w:val="0"/>
        <w:rPr>
          <w:rFonts w:hint="eastAsia" w:ascii="宋体" w:hAnsi="宋体" w:eastAsia="宋体" w:cs="宋体"/>
          <w:b/>
          <w:color w:val="auto"/>
          <w:szCs w:val="21"/>
          <w:highlight w:val="none"/>
        </w:rPr>
      </w:pPr>
      <w:bookmarkStart w:id="132" w:name="_Toc23059"/>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 </w:t>
      </w:r>
      <w:bookmarkEnd w:id="132"/>
      <w:bookmarkStart w:id="133" w:name="_Toc15698"/>
      <w:r>
        <w:rPr>
          <w:rFonts w:hint="eastAsia" w:ascii="宋体" w:hAnsi="宋体" w:eastAsia="宋体" w:cs="宋体"/>
          <w:color w:val="auto"/>
          <w:szCs w:val="21"/>
          <w:highlight w:val="none"/>
        </w:rPr>
        <w:t>提供节能产品、环境标志产品清单</w:t>
      </w:r>
      <w:bookmarkEnd w:id="133"/>
    </w:p>
    <w:p w14:paraId="30328D48">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八、供应商认为需提供的其它资料</w:t>
      </w:r>
    </w:p>
    <w:p w14:paraId="2B891819">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九、最后报价</w:t>
      </w:r>
    </w:p>
    <w:p w14:paraId="4B39B418">
      <w:pPr>
        <w:pStyle w:val="12"/>
        <w:adjustRightInd w:val="0"/>
        <w:snapToGrid w:val="0"/>
        <w:spacing w:line="360" w:lineRule="auto"/>
        <w:ind w:firstLine="435"/>
        <w:rPr>
          <w:rFonts w:hint="eastAsia" w:ascii="宋体" w:hAnsi="宋体" w:eastAsia="宋体" w:cs="宋体"/>
          <w:color w:val="auto"/>
          <w:highlight w:val="none"/>
        </w:rPr>
      </w:pPr>
      <w:r>
        <w:rPr>
          <w:rFonts w:hint="eastAsia" w:ascii="宋体" w:hAnsi="宋体" w:eastAsia="宋体" w:cs="宋体"/>
          <w:color w:val="auto"/>
          <w:highlight w:val="none"/>
        </w:rPr>
        <w:t>附件9-1 最后报价一览表</w:t>
      </w:r>
    </w:p>
    <w:p w14:paraId="75D34EE0">
      <w:pPr>
        <w:pStyle w:val="12"/>
        <w:adjustRightInd w:val="0"/>
        <w:snapToGrid w:val="0"/>
        <w:spacing w:line="360" w:lineRule="auto"/>
        <w:ind w:firstLine="435"/>
        <w:rPr>
          <w:rFonts w:hint="eastAsia" w:ascii="宋体" w:hAnsi="宋体" w:eastAsia="宋体" w:cs="宋体"/>
          <w:b/>
          <w:color w:val="auto"/>
          <w:highlight w:val="none"/>
        </w:rPr>
      </w:pPr>
      <w:r>
        <w:rPr>
          <w:rFonts w:hint="eastAsia" w:ascii="宋体" w:hAnsi="宋体" w:eastAsia="宋体" w:cs="宋体"/>
          <w:color w:val="auto"/>
          <w:highlight w:val="none"/>
        </w:rPr>
        <w:t>附件9-2 分项报价表</w:t>
      </w:r>
    </w:p>
    <w:p w14:paraId="14B073D8">
      <w:pPr>
        <w:adjustRightInd w:val="0"/>
        <w:snapToGrid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color w:val="auto"/>
          <w:sz w:val="32"/>
          <w:highlight w:val="none"/>
        </w:rPr>
        <w:br w:type="page"/>
      </w:r>
      <w:r>
        <w:rPr>
          <w:rFonts w:hint="eastAsia" w:ascii="宋体" w:hAnsi="宋体" w:eastAsia="宋体" w:cs="宋体"/>
          <w:b/>
          <w:color w:val="auto"/>
          <w:sz w:val="28"/>
          <w:szCs w:val="28"/>
          <w:highlight w:val="none"/>
        </w:rPr>
        <w:t>一、磋商响应声明</w:t>
      </w:r>
    </w:p>
    <w:p w14:paraId="28029C36">
      <w:pPr>
        <w:adjustRightInd w:val="0"/>
        <w:snapToGrid w:val="0"/>
        <w:spacing w:line="360" w:lineRule="auto"/>
        <w:rPr>
          <w:rFonts w:hint="eastAsia" w:ascii="宋体" w:hAnsi="宋体" w:eastAsia="宋体" w:cs="宋体"/>
          <w:color w:val="auto"/>
          <w:szCs w:val="21"/>
          <w:highlight w:val="none"/>
        </w:rPr>
      </w:pPr>
    </w:p>
    <w:p w14:paraId="4AEBCA7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 (采购人或采购代理机构)：</w:t>
      </w:r>
    </w:p>
    <w:p w14:paraId="1BC3801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我方已仔细研究了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项目名称)的竞争性磋商文件（政府采购编号：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；采购代理编号：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）的全部内容，</w:t>
      </w:r>
      <w:r>
        <w:rPr>
          <w:rFonts w:hint="eastAsia" w:ascii="宋体" w:hAnsi="宋体" w:eastAsia="宋体" w:cs="宋体"/>
          <w:color w:val="auto"/>
          <w:highlight w:val="none"/>
        </w:rPr>
        <w:t>知悉参加竞争性磋商的风险，我方承诺接受磋商文件的全部条款且无任何异议。</w:t>
      </w:r>
    </w:p>
    <w:p w14:paraId="7F7A9571">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一、我方同意在磋商文件中规定的提交首次响应文件截止时间起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日内(响应文件有效期)遵守本响应文件中的承诺且在此期限期满之前均具有法律约束力。</w:t>
      </w:r>
    </w:p>
    <w:p w14:paraId="6ECE3140">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二、我方提交响应文件正本一份和副本一式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份，并保证响应文件提供的数据和资料全部内容真实、合法、准确和完整，我们对此负责，并愿承担由此引起的法律责任。</w:t>
      </w:r>
    </w:p>
    <w:p w14:paraId="4A88F280">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三、我方愿意向贵方提供任何与本项采购有关的数据、情况和技术资料。若贵方需要，我方愿意提供我方作出的一切承诺的证明资料。</w:t>
      </w:r>
    </w:p>
    <w:p w14:paraId="280121A3">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四、我方愿意按磋商文件规定和磋商小组要求重新提交响应文件和最后报价。</w:t>
      </w:r>
    </w:p>
    <w:p w14:paraId="519C967E">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五、我方承诺遵守《中华人民共和国政府采购法》的有关规定，保证在获得成交资格后，按照磋商文件确定的事项签订政府采购合同，履行双方所签订的合同，并承担合同规定的责任和义务。</w:t>
      </w:r>
    </w:p>
    <w:p w14:paraId="4626CCE0">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六、我方在此声明： </w:t>
      </w:r>
    </w:p>
    <w:p w14:paraId="24E20282">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（一）我方与采购人或采购代理机构不存在隶属关系或者其他利害关系。</w:t>
      </w:r>
    </w:p>
    <w:p w14:paraId="032FBEDF">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（二）我方与参加本项目的其他供应商不存在直接控股、管理关系，或者与其他供应商法定代表人（或者负责人）为同一人。</w:t>
      </w:r>
    </w:p>
    <w:p w14:paraId="36C8F2CA">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（三）我方未为本项目前期准备提供设计或咨询服务。</w:t>
      </w:r>
    </w:p>
    <w:p w14:paraId="3CD455ED">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（四）我方承诺（承诺期：成立三年以上的，为提交首次响应文件截止时间前三年内；成立不足三年的，为实际时间）：</w:t>
      </w:r>
    </w:p>
    <w:p w14:paraId="37F93C7B">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1、我方依法缴纳了各项税费及各项社会保障资金，没有偷税、漏税及欠缴行为。</w:t>
      </w:r>
    </w:p>
    <w:p w14:paraId="2321C84C">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2、我方在经营活动中没有存在下列重大违法记录：</w:t>
      </w:r>
    </w:p>
    <w:p w14:paraId="56C4F73B">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(1)受到刑事处罚；</w:t>
      </w:r>
    </w:p>
    <w:p w14:paraId="10B0241E">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(2)受到200万元以上的罚款、责令停产停业、在一至三年内禁止参加政府采购活动、暂扣或者吊销许可证、暂扣或者吊销执照的行政处罚。</w:t>
      </w:r>
    </w:p>
    <w:p w14:paraId="64BDDEF2">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附件1：</w:t>
      </w:r>
      <w:r>
        <w:rPr>
          <w:rFonts w:hint="eastAsia" w:ascii="宋体" w:hAnsi="宋体" w:eastAsia="宋体" w:cs="宋体"/>
          <w:color w:val="auto"/>
          <w:szCs w:val="21"/>
          <w:highlight w:val="none"/>
        </w:rPr>
        <w:t>法定代表人身份证明</w:t>
      </w:r>
    </w:p>
    <w:p w14:paraId="6044700E">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附件2</w:t>
      </w:r>
      <w:r>
        <w:rPr>
          <w:rFonts w:hint="eastAsia" w:ascii="宋体" w:hAnsi="宋体" w:eastAsia="宋体" w:cs="宋体"/>
          <w:color w:val="auto"/>
          <w:szCs w:val="21"/>
          <w:highlight w:val="none"/>
        </w:rPr>
        <w:t>：法定代表人授权书</w:t>
      </w:r>
    </w:p>
    <w:p w14:paraId="4BDB523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附件3</w:t>
      </w:r>
      <w:r>
        <w:rPr>
          <w:rFonts w:hint="eastAsia" w:ascii="宋体" w:hAnsi="宋体" w:eastAsia="宋体" w:cs="宋体"/>
          <w:color w:val="auto"/>
          <w:szCs w:val="21"/>
          <w:highlight w:val="none"/>
        </w:rPr>
        <w:t>：工程质量保修书(工程类项目适用)</w:t>
      </w:r>
    </w:p>
    <w:p w14:paraId="64CABC38">
      <w:pPr>
        <w:pStyle w:val="12"/>
        <w:adjustRightInd w:val="0"/>
        <w:snapToGrid w:val="0"/>
        <w:spacing w:line="360" w:lineRule="auto"/>
        <w:ind w:right="420" w:firstLine="630" w:firstLineChars="300"/>
        <w:jc w:val="center"/>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供应商名称(盖单位章)：</w:t>
      </w:r>
      <w:r>
        <w:rPr>
          <w:rFonts w:hint="eastAsia" w:ascii="宋体" w:hAnsi="宋体" w:eastAsia="宋体" w:cs="宋体"/>
          <w:color w:val="auto"/>
          <w:highlight w:val="none"/>
          <w:u w:val="single"/>
        </w:rPr>
        <w:t xml:space="preserve">       </w:t>
      </w:r>
    </w:p>
    <w:p w14:paraId="4EFC5D02">
      <w:pPr>
        <w:wordWrap w:val="0"/>
        <w:adjustRightInd w:val="0"/>
        <w:snapToGrid w:val="0"/>
        <w:spacing w:line="360" w:lineRule="auto"/>
        <w:ind w:right="10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法定代表人或其委托代理人 (签字或盖章)： </w:t>
      </w:r>
      <w:r>
        <w:rPr>
          <w:rFonts w:hint="eastAsia" w:ascii="宋体" w:hAnsi="宋体" w:eastAsia="宋体" w:cs="宋体"/>
          <w:color w:val="auto"/>
          <w:highlight w:val="none"/>
          <w:u w:val="single"/>
        </w:rPr>
        <w:t xml:space="preserve">       </w:t>
      </w:r>
    </w:p>
    <w:p w14:paraId="26F88407">
      <w:pPr>
        <w:adjustRightInd w:val="0"/>
        <w:snapToGrid w:val="0"/>
        <w:spacing w:line="360" w:lineRule="auto"/>
        <w:ind w:right="525" w:firstLine="4200" w:firstLineChars="20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日</w:t>
      </w:r>
    </w:p>
    <w:p w14:paraId="3F6787E4">
      <w:pPr>
        <w:adjustRightInd w:val="0"/>
        <w:snapToGrid w:val="0"/>
        <w:spacing w:line="360" w:lineRule="auto"/>
        <w:ind w:right="525" w:firstLine="5250" w:firstLineChars="2500"/>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C95AB9C">
      <w:pPr>
        <w:widowControl/>
        <w:spacing w:line="360" w:lineRule="auto"/>
        <w:jc w:val="left"/>
        <w:rPr>
          <w:rFonts w:hint="eastAsia" w:ascii="宋体" w:hAnsi="宋体" w:eastAsia="宋体" w:cs="宋体"/>
          <w:b/>
          <w:color w:val="auto"/>
          <w:sz w:val="28"/>
          <w:szCs w:val="28"/>
          <w:highlight w:val="none"/>
        </w:rPr>
      </w:pPr>
      <w:bookmarkStart w:id="134" w:name="_Toc18315_WPSOffice_Level1"/>
      <w:bookmarkStart w:id="135" w:name="_Toc24789_WPSOffice_Level1"/>
      <w:r>
        <w:rPr>
          <w:rFonts w:hint="eastAsia" w:ascii="宋体" w:hAnsi="宋体" w:eastAsia="宋体" w:cs="宋体"/>
          <w:b/>
          <w:color w:val="auto"/>
          <w:sz w:val="28"/>
          <w:szCs w:val="28"/>
          <w:highlight w:val="none"/>
        </w:rPr>
        <w:t>附件1-1</w:t>
      </w:r>
      <w:bookmarkEnd w:id="134"/>
      <w:bookmarkEnd w:id="135"/>
    </w:p>
    <w:p w14:paraId="01D5BF4F">
      <w:pPr>
        <w:adjustRightInd w:val="0"/>
        <w:snapToGrid w:val="0"/>
        <w:spacing w:line="360" w:lineRule="auto"/>
        <w:jc w:val="center"/>
        <w:rPr>
          <w:rFonts w:hint="eastAsia" w:ascii="宋体" w:hAnsi="宋体" w:eastAsia="宋体" w:cs="宋体"/>
          <w:b/>
          <w:color w:val="auto"/>
          <w:sz w:val="28"/>
          <w:szCs w:val="28"/>
          <w:highlight w:val="none"/>
        </w:rPr>
      </w:pPr>
      <w:bookmarkStart w:id="136" w:name="_Toc2549_WPSOffice_Level1"/>
      <w:bookmarkStart w:id="137" w:name="_Toc10861_WPSOffice_Level1"/>
      <w:bookmarkStart w:id="138" w:name="_Toc5620_WPSOffice_Level1"/>
      <w:r>
        <w:rPr>
          <w:rFonts w:hint="eastAsia" w:ascii="宋体" w:hAnsi="宋体" w:eastAsia="宋体" w:cs="宋体"/>
          <w:b/>
          <w:color w:val="auto"/>
          <w:sz w:val="28"/>
          <w:szCs w:val="28"/>
          <w:highlight w:val="none"/>
        </w:rPr>
        <w:t>法定代表人身份证明</w:t>
      </w:r>
      <w:bookmarkEnd w:id="136"/>
      <w:bookmarkEnd w:id="137"/>
      <w:bookmarkEnd w:id="138"/>
    </w:p>
    <w:p w14:paraId="5E57FB65">
      <w:pPr>
        <w:tabs>
          <w:tab w:val="left" w:pos="388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position w:val="-4"/>
          <w:szCs w:val="21"/>
          <w:highlight w:val="none"/>
        </w:rPr>
      </w:pPr>
    </w:p>
    <w:p w14:paraId="292EBA88">
      <w:pPr>
        <w:tabs>
          <w:tab w:val="left" w:pos="388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供应商名</w:t>
      </w:r>
      <w:r>
        <w:rPr>
          <w:rFonts w:hint="eastAsia" w:ascii="宋体" w:hAnsi="宋体" w:eastAsia="宋体" w:cs="宋体"/>
          <w:color w:val="auto"/>
          <w:spacing w:val="-2"/>
          <w:kern w:val="0"/>
          <w:position w:val="-4"/>
          <w:szCs w:val="21"/>
          <w:highlight w:val="none"/>
        </w:rPr>
        <w:t>称</w:t>
      </w:r>
      <w:r>
        <w:rPr>
          <w:rFonts w:hint="eastAsia" w:ascii="宋体" w:hAnsi="宋体" w:eastAsia="宋体" w:cs="宋体"/>
          <w:color w:val="auto"/>
          <w:kern w:val="0"/>
          <w:position w:val="-4"/>
          <w:szCs w:val="21"/>
          <w:highlight w:val="none"/>
        </w:rPr>
        <w:t>：</w:t>
      </w:r>
      <w:r>
        <w:rPr>
          <w:rFonts w:hint="eastAsia" w:ascii="宋体" w:hAnsi="宋体" w:eastAsia="宋体" w:cs="宋体"/>
          <w:color w:val="auto"/>
          <w:szCs w:val="21"/>
          <w:highlight w:val="none"/>
          <w:u w:val="single"/>
        </w:rPr>
        <w:t xml:space="preserve">                 </w:t>
      </w:r>
    </w:p>
    <w:p w14:paraId="1D002C6A">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统一社会信用代码：</w:t>
      </w:r>
      <w:r>
        <w:rPr>
          <w:rFonts w:hint="eastAsia" w:ascii="宋体" w:hAnsi="宋体" w:eastAsia="宋体" w:cs="宋体"/>
          <w:color w:val="auto"/>
          <w:szCs w:val="21"/>
          <w:highlight w:val="none"/>
          <w:u w:val="single"/>
        </w:rPr>
        <w:t xml:space="preserve">                 </w:t>
      </w:r>
    </w:p>
    <w:p w14:paraId="5C16D864">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注册地址：</w:t>
      </w:r>
      <w:r>
        <w:rPr>
          <w:rFonts w:hint="eastAsia" w:ascii="宋体" w:hAnsi="宋体" w:eastAsia="宋体" w:cs="宋体"/>
          <w:color w:val="auto"/>
          <w:szCs w:val="21"/>
          <w:highlight w:val="none"/>
          <w:u w:val="single"/>
        </w:rPr>
        <w:t xml:space="preserve">                 </w:t>
      </w:r>
    </w:p>
    <w:p w14:paraId="3A523C2D">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姓名</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性别</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年</w:t>
      </w:r>
      <w:r>
        <w:rPr>
          <w:rFonts w:hint="eastAsia" w:ascii="宋体" w:hAnsi="宋体" w:eastAsia="宋体" w:cs="宋体"/>
          <w:color w:val="auto"/>
          <w:spacing w:val="-2"/>
          <w:kern w:val="0"/>
          <w:position w:val="-2"/>
          <w:szCs w:val="21"/>
          <w:highlight w:val="none"/>
        </w:rPr>
        <w:t>龄</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职</w:t>
      </w:r>
      <w:r>
        <w:rPr>
          <w:rFonts w:hint="eastAsia" w:ascii="宋体" w:hAnsi="宋体" w:eastAsia="宋体" w:cs="宋体"/>
          <w:color w:val="auto"/>
          <w:spacing w:val="-2"/>
          <w:kern w:val="0"/>
          <w:position w:val="-2"/>
          <w:szCs w:val="21"/>
          <w:highlight w:val="none"/>
        </w:rPr>
        <w:t>务</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供应商</w:t>
      </w:r>
      <w:r>
        <w:rPr>
          <w:rFonts w:hint="eastAsia" w:ascii="宋体" w:hAnsi="宋体" w:eastAsia="宋体" w:cs="宋体"/>
          <w:color w:val="auto"/>
          <w:spacing w:val="-2"/>
          <w:kern w:val="0"/>
          <w:position w:val="-2"/>
          <w:szCs w:val="21"/>
          <w:highlight w:val="none"/>
        </w:rPr>
        <w:t>名</w:t>
      </w:r>
      <w:r>
        <w:rPr>
          <w:rFonts w:hint="eastAsia" w:ascii="宋体" w:hAnsi="宋体" w:eastAsia="宋体" w:cs="宋体"/>
          <w:color w:val="auto"/>
          <w:kern w:val="0"/>
          <w:position w:val="-2"/>
          <w:szCs w:val="21"/>
          <w:highlight w:val="none"/>
        </w:rPr>
        <w:t>称</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的</w:t>
      </w:r>
      <w:r>
        <w:rPr>
          <w:rFonts w:hint="eastAsia" w:ascii="宋体" w:hAnsi="宋体" w:eastAsia="宋体" w:cs="宋体"/>
          <w:color w:val="auto"/>
          <w:spacing w:val="-2"/>
          <w:kern w:val="0"/>
          <w:position w:val="-2"/>
          <w:szCs w:val="21"/>
          <w:highlight w:val="none"/>
        </w:rPr>
        <w:t>法定</w:t>
      </w:r>
      <w:r>
        <w:rPr>
          <w:rFonts w:hint="eastAsia" w:ascii="宋体" w:hAnsi="宋体" w:eastAsia="宋体" w:cs="宋体"/>
          <w:color w:val="auto"/>
          <w:kern w:val="0"/>
          <w:position w:val="-2"/>
          <w:szCs w:val="21"/>
          <w:highlight w:val="none"/>
        </w:rPr>
        <w:t>代表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单</w:t>
      </w:r>
      <w:r>
        <w:rPr>
          <w:rFonts w:hint="eastAsia" w:ascii="宋体" w:hAnsi="宋体" w:eastAsia="宋体" w:cs="宋体"/>
          <w:color w:val="auto"/>
          <w:kern w:val="0"/>
          <w:position w:val="-2"/>
          <w:szCs w:val="21"/>
          <w:highlight w:val="none"/>
        </w:rPr>
        <w:t>位</w:t>
      </w:r>
      <w:r>
        <w:rPr>
          <w:rFonts w:hint="eastAsia" w:ascii="宋体" w:hAnsi="宋体" w:eastAsia="宋体" w:cs="宋体"/>
          <w:color w:val="auto"/>
          <w:spacing w:val="-2"/>
          <w:kern w:val="0"/>
          <w:position w:val="-2"/>
          <w:szCs w:val="21"/>
          <w:highlight w:val="none"/>
        </w:rPr>
        <w:t>负</w:t>
      </w:r>
      <w:r>
        <w:rPr>
          <w:rFonts w:hint="eastAsia" w:ascii="宋体" w:hAnsi="宋体" w:eastAsia="宋体" w:cs="宋体"/>
          <w:color w:val="auto"/>
          <w:kern w:val="0"/>
          <w:position w:val="-2"/>
          <w:szCs w:val="21"/>
          <w:highlight w:val="none"/>
        </w:rPr>
        <w:t>责</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spacing w:val="-106"/>
          <w:kern w:val="0"/>
          <w:position w:val="-2"/>
          <w:szCs w:val="21"/>
          <w:highlight w:val="none"/>
        </w:rPr>
        <w:t>）</w:t>
      </w:r>
      <w:r>
        <w:rPr>
          <w:rFonts w:hint="eastAsia" w:ascii="宋体" w:hAnsi="宋体" w:eastAsia="宋体" w:cs="宋体"/>
          <w:color w:val="auto"/>
          <w:kern w:val="0"/>
          <w:position w:val="-2"/>
          <w:szCs w:val="21"/>
          <w:highlight w:val="none"/>
        </w:rPr>
        <w:t>。</w:t>
      </w:r>
    </w:p>
    <w:p w14:paraId="7FCADC48">
      <w:pPr>
        <w:autoSpaceDE w:val="0"/>
        <w:autoSpaceDN w:val="0"/>
        <w:adjustRightInd w:val="0"/>
        <w:snapToGrid w:val="0"/>
        <w:spacing w:before="156" w:beforeLines="50"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明。</w:t>
      </w:r>
    </w:p>
    <w:p w14:paraId="53FB4809">
      <w:pPr>
        <w:autoSpaceDE w:val="0"/>
        <w:autoSpaceDN w:val="0"/>
        <w:adjustRightInd w:val="0"/>
        <w:snapToGrid w:val="0"/>
        <w:spacing w:before="156" w:beforeLines="50" w:line="360" w:lineRule="auto"/>
        <w:ind w:left="100" w:right="423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附：</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身</w:t>
      </w:r>
      <w:r>
        <w:rPr>
          <w:rFonts w:hint="eastAsia" w:ascii="宋体" w:hAnsi="宋体" w:eastAsia="宋体" w:cs="宋体"/>
          <w:color w:val="auto"/>
          <w:spacing w:val="-2"/>
          <w:kern w:val="0"/>
          <w:szCs w:val="21"/>
          <w:highlight w:val="none"/>
        </w:rPr>
        <w:t>份</w:t>
      </w:r>
      <w:r>
        <w:rPr>
          <w:rFonts w:hint="eastAsia" w:ascii="宋体" w:hAnsi="宋体" w:eastAsia="宋体" w:cs="宋体"/>
          <w:color w:val="auto"/>
          <w:kern w:val="0"/>
          <w:szCs w:val="21"/>
          <w:highlight w:val="none"/>
        </w:rPr>
        <w:t>证</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w:t>
      </w:r>
    </w:p>
    <w:p w14:paraId="02F2F345">
      <w:pPr>
        <w:adjustRightInd w:val="0"/>
        <w:snapToGrid w:val="0"/>
        <w:spacing w:before="156" w:beforeLines="50" w:line="360" w:lineRule="auto"/>
        <w:rPr>
          <w:rFonts w:hint="eastAsia" w:ascii="宋体" w:hAnsi="宋体" w:eastAsia="宋体" w:cs="宋体"/>
          <w:color w:val="auto"/>
          <w:szCs w:val="21"/>
          <w:highlight w:val="none"/>
        </w:rPr>
      </w:pPr>
    </w:p>
    <w:p w14:paraId="500A50B7">
      <w:pPr>
        <w:pStyle w:val="10"/>
        <w:ind w:left="0" w:leftChars="0" w:firstLine="0"/>
        <w:jc w:val="left"/>
        <w:rPr>
          <w:rFonts w:hint="eastAsia" w:ascii="宋体" w:hAnsi="宋体" w:eastAsia="宋体" w:cs="宋体"/>
          <w:color w:val="auto"/>
          <w:szCs w:val="21"/>
          <w:highlight w:val="none"/>
        </w:rPr>
      </w:pPr>
    </w:p>
    <w:p w14:paraId="3BC08D09">
      <w:pPr>
        <w:pStyle w:val="10"/>
        <w:ind w:left="0" w:leftChars="0" w:firstLine="0"/>
        <w:jc w:val="left"/>
        <w:rPr>
          <w:rFonts w:hint="eastAsia" w:ascii="宋体" w:hAnsi="宋体" w:eastAsia="宋体" w:cs="宋体"/>
          <w:color w:val="auto"/>
          <w:szCs w:val="21"/>
          <w:highlight w:val="none"/>
        </w:rPr>
      </w:pPr>
    </w:p>
    <w:p w14:paraId="7678AF9C">
      <w:pPr>
        <w:pStyle w:val="10"/>
        <w:ind w:left="0" w:leftChars="0" w:firstLine="0"/>
        <w:jc w:val="left"/>
        <w:rPr>
          <w:rFonts w:hint="eastAsia" w:ascii="宋体" w:hAnsi="宋体" w:eastAsia="宋体" w:cs="宋体"/>
          <w:color w:val="auto"/>
          <w:szCs w:val="21"/>
          <w:highlight w:val="none"/>
        </w:rPr>
      </w:pPr>
    </w:p>
    <w:p w14:paraId="6B1E5818">
      <w:pPr>
        <w:pStyle w:val="10"/>
        <w:ind w:left="0" w:leftChars="0" w:firstLine="0"/>
        <w:jc w:val="left"/>
        <w:rPr>
          <w:rFonts w:hint="eastAsia" w:ascii="宋体" w:hAnsi="宋体" w:eastAsia="宋体" w:cs="宋体"/>
          <w:color w:val="auto"/>
          <w:szCs w:val="21"/>
          <w:highlight w:val="none"/>
        </w:rPr>
      </w:pPr>
    </w:p>
    <w:p w14:paraId="0036D673">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注：供应商代表为法定代表人（单位负责人）的提供。供应商为自然人的无需提供。</w:t>
      </w:r>
    </w:p>
    <w:p w14:paraId="3DBDFC64">
      <w:pPr>
        <w:adjustRightInd w:val="0"/>
        <w:snapToGrid w:val="0"/>
        <w:spacing w:before="156" w:beforeLines="50" w:line="360" w:lineRule="auto"/>
        <w:rPr>
          <w:rFonts w:hint="eastAsia" w:ascii="宋体" w:hAnsi="宋体" w:eastAsia="宋体" w:cs="宋体"/>
          <w:color w:val="auto"/>
          <w:szCs w:val="21"/>
          <w:highlight w:val="none"/>
        </w:rPr>
      </w:pPr>
    </w:p>
    <w:p w14:paraId="3992F8A7">
      <w:pPr>
        <w:pStyle w:val="12"/>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供应商名称(盖单位公章)：</w:t>
      </w:r>
    </w:p>
    <w:p w14:paraId="3D10CDDA">
      <w:pPr>
        <w:adjustRightInd w:val="0"/>
        <w:snapToGrid w:val="0"/>
        <w:spacing w:before="156" w:beforeLines="50" w:line="360" w:lineRule="auto"/>
        <w:ind w:right="24"/>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86C27E3">
      <w:pPr>
        <w:adjustRightInd w:val="0"/>
        <w:snapToGrid w:val="0"/>
        <w:spacing w:before="156" w:beforeLines="50" w:line="360" w:lineRule="auto"/>
        <w:rPr>
          <w:rFonts w:hint="eastAsia" w:ascii="宋体" w:hAnsi="宋体" w:eastAsia="宋体" w:cs="宋体"/>
          <w:color w:val="auto"/>
          <w:szCs w:val="21"/>
          <w:highlight w:val="none"/>
        </w:rPr>
      </w:pPr>
    </w:p>
    <w:p w14:paraId="4619E89A">
      <w:pPr>
        <w:adjustRightInd w:val="0"/>
        <w:snapToGrid w:val="0"/>
        <w:spacing w:line="360" w:lineRule="auto"/>
        <w:ind w:right="42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ACDDF90">
      <w:pPr>
        <w:widowControl/>
        <w:spacing w:line="360" w:lineRule="auto"/>
        <w:jc w:val="left"/>
        <w:rPr>
          <w:rFonts w:hint="eastAsia" w:ascii="宋体" w:hAnsi="宋体" w:eastAsia="宋体" w:cs="宋体"/>
          <w:color w:val="auto"/>
          <w:sz w:val="30"/>
          <w:szCs w:val="30"/>
          <w:highlight w:val="none"/>
        </w:rPr>
      </w:pPr>
      <w:r>
        <w:rPr>
          <w:rFonts w:hint="eastAsia" w:ascii="宋体" w:hAnsi="宋体" w:eastAsia="宋体" w:cs="宋体"/>
          <w:color w:val="auto"/>
          <w:szCs w:val="21"/>
          <w:highlight w:val="none"/>
        </w:rPr>
        <w:br w:type="page"/>
      </w:r>
      <w:bookmarkStart w:id="139" w:name="_Toc18773_WPSOffice_Level1"/>
      <w:bookmarkStart w:id="140" w:name="_Toc20008_WPSOffice_Level1"/>
      <w:bookmarkStart w:id="141" w:name="_Toc6144_WPSOffice_Level1"/>
      <w:bookmarkStart w:id="142" w:name="_Toc30934_WPSOffice_Level1"/>
      <w:r>
        <w:rPr>
          <w:rFonts w:hint="eastAsia" w:ascii="宋体" w:hAnsi="宋体" w:eastAsia="宋体" w:cs="宋体"/>
          <w:b/>
          <w:color w:val="auto"/>
          <w:sz w:val="28"/>
          <w:szCs w:val="28"/>
          <w:highlight w:val="none"/>
        </w:rPr>
        <w:t>附件1-2</w:t>
      </w:r>
      <w:bookmarkEnd w:id="139"/>
      <w:bookmarkEnd w:id="140"/>
      <w:bookmarkEnd w:id="141"/>
      <w:bookmarkEnd w:id="142"/>
    </w:p>
    <w:p w14:paraId="32ADC91A">
      <w:pPr>
        <w:adjustRightInd w:val="0"/>
        <w:snapToGrid w:val="0"/>
        <w:spacing w:line="360" w:lineRule="auto"/>
        <w:jc w:val="center"/>
        <w:rPr>
          <w:rFonts w:hint="eastAsia" w:ascii="宋体" w:hAnsi="宋体" w:eastAsia="宋体" w:cs="宋体"/>
          <w:b/>
          <w:color w:val="auto"/>
          <w:sz w:val="28"/>
          <w:szCs w:val="28"/>
          <w:highlight w:val="none"/>
        </w:rPr>
      </w:pPr>
      <w:bookmarkStart w:id="143" w:name="_Toc31180_WPSOffice_Level1"/>
      <w:bookmarkStart w:id="144" w:name="_Toc20526_WPSOffice_Level1"/>
      <w:bookmarkStart w:id="145" w:name="_Toc24304_WPSOffice_Level1"/>
      <w:bookmarkStart w:id="146" w:name="_Toc8095_WPSOffice_Level1"/>
      <w:r>
        <w:rPr>
          <w:rFonts w:hint="eastAsia" w:ascii="宋体" w:hAnsi="宋体" w:eastAsia="宋体" w:cs="宋体"/>
          <w:b/>
          <w:color w:val="auto"/>
          <w:sz w:val="28"/>
          <w:szCs w:val="28"/>
          <w:highlight w:val="none"/>
        </w:rPr>
        <w:t>法定代表人授权委托书</w:t>
      </w:r>
      <w:bookmarkEnd w:id="143"/>
      <w:bookmarkEnd w:id="144"/>
      <w:bookmarkEnd w:id="145"/>
      <w:bookmarkEnd w:id="146"/>
    </w:p>
    <w:p w14:paraId="4498F6F7">
      <w:pPr>
        <w:adjustRightInd w:val="0"/>
        <w:snapToGrid w:val="0"/>
        <w:spacing w:line="360" w:lineRule="auto"/>
        <w:jc w:val="center"/>
        <w:rPr>
          <w:rFonts w:hint="eastAsia" w:ascii="宋体" w:hAnsi="宋体" w:eastAsia="宋体" w:cs="宋体"/>
          <w:b/>
          <w:color w:val="auto"/>
          <w:sz w:val="28"/>
          <w:szCs w:val="28"/>
          <w:highlight w:val="none"/>
        </w:rPr>
      </w:pPr>
    </w:p>
    <w:p w14:paraId="63C00D82">
      <w:pPr>
        <w:autoSpaceDE w:val="0"/>
        <w:autoSpaceDN w:val="0"/>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名称）的法定代表人（</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（姓名、职务）为我方代理人。代理人根据授权，以我方名义：(1)签署、澄清、补正、修改、撤回、提交</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w:t>
      </w:r>
      <w:r>
        <w:rPr>
          <w:rFonts w:hint="eastAsia" w:ascii="宋体" w:hAnsi="宋体" w:eastAsia="宋体" w:cs="宋体"/>
          <w:color w:val="auto"/>
          <w:szCs w:val="21"/>
          <w:highlight w:val="none"/>
        </w:rPr>
        <w:t>政府</w:t>
      </w:r>
      <w:r>
        <w:rPr>
          <w:rFonts w:hint="eastAsia" w:ascii="宋体" w:hAnsi="宋体" w:eastAsia="宋体" w:cs="宋体"/>
          <w:color w:val="auto"/>
          <w:kern w:val="0"/>
          <w:szCs w:val="21"/>
          <w:highlight w:val="none"/>
        </w:rPr>
        <w:t>采购编号、委托代理编号）响应文件；(2)签署并重新提交响应文件及最后报价；(3)退出</w:t>
      </w:r>
      <w:r>
        <w:rPr>
          <w:rFonts w:hint="eastAsia" w:ascii="宋体" w:hAnsi="宋体" w:cs="宋体"/>
          <w:bCs/>
          <w:color w:val="auto"/>
          <w:sz w:val="21"/>
          <w:szCs w:val="21"/>
          <w:highlight w:val="none"/>
          <w:lang w:val="en-US" w:eastAsia="zh-CN"/>
        </w:rPr>
        <w:t>磋商</w:t>
      </w:r>
      <w:r>
        <w:rPr>
          <w:rFonts w:hint="eastAsia" w:ascii="宋体" w:hAnsi="宋体" w:eastAsia="宋体" w:cs="宋体"/>
          <w:color w:val="auto"/>
          <w:kern w:val="0"/>
          <w:szCs w:val="21"/>
          <w:highlight w:val="none"/>
        </w:rPr>
        <w:t>（如可能）；(4)签订合同和处理有关事宜，其法律后果由我方承担。</w:t>
      </w:r>
    </w:p>
    <w:p w14:paraId="44E715D0">
      <w:pPr>
        <w:autoSpaceDE w:val="0"/>
        <w:autoSpaceDN w:val="0"/>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6001A229">
      <w:pPr>
        <w:adjustRightInd w:val="0"/>
        <w:snapToGrid w:val="0"/>
        <w:spacing w:before="156" w:beforeLines="50"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434B9EE6">
      <w:pPr>
        <w:adjustRightInd w:val="0"/>
        <w:snapToGrid w:val="0"/>
        <w:spacing w:before="156" w:beforeLines="50"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日签字生效，特此声明。</w:t>
      </w:r>
    </w:p>
    <w:p w14:paraId="18F55B76">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附：委托代理人身份证复印件及法定代表人身份证明(附件1，原件)</w:t>
      </w:r>
    </w:p>
    <w:p w14:paraId="43ADD4CE">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7ABC93A1">
      <w:pPr>
        <w:pStyle w:val="10"/>
        <w:rPr>
          <w:rFonts w:hint="eastAsia" w:ascii="宋体" w:hAnsi="宋体" w:eastAsia="宋体" w:cs="宋体"/>
          <w:color w:val="auto"/>
          <w:highlight w:val="none"/>
        </w:rPr>
      </w:pPr>
    </w:p>
    <w:p w14:paraId="6F9817C9">
      <w:pPr>
        <w:pStyle w:val="10"/>
        <w:rPr>
          <w:rFonts w:hint="eastAsia" w:ascii="宋体" w:hAnsi="宋体" w:eastAsia="宋体" w:cs="宋体"/>
          <w:color w:val="auto"/>
          <w:szCs w:val="21"/>
          <w:highlight w:val="none"/>
        </w:rPr>
      </w:pPr>
    </w:p>
    <w:p w14:paraId="3131CCCD">
      <w:pPr>
        <w:pStyle w:val="10"/>
        <w:rPr>
          <w:rFonts w:hint="eastAsia" w:ascii="宋体" w:hAnsi="宋体" w:eastAsia="宋体" w:cs="宋体"/>
          <w:color w:val="auto"/>
          <w:szCs w:val="21"/>
          <w:highlight w:val="none"/>
        </w:rPr>
      </w:pPr>
    </w:p>
    <w:p w14:paraId="19463F83">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4F591B14">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注：供应商代表不是供应商的法定代表人（单位负责人）的提供。供应商为自然人的无需提供。</w:t>
      </w:r>
    </w:p>
    <w:p w14:paraId="13C65643">
      <w:pPr>
        <w:adjustRightInd w:val="0"/>
        <w:snapToGrid w:val="0"/>
        <w:spacing w:line="360" w:lineRule="auto"/>
        <w:ind w:right="420"/>
        <w:rPr>
          <w:rFonts w:hint="eastAsia" w:ascii="宋体" w:hAnsi="宋体" w:eastAsia="宋体" w:cs="宋体"/>
          <w:color w:val="auto"/>
          <w:szCs w:val="21"/>
          <w:highlight w:val="none"/>
        </w:rPr>
      </w:pPr>
    </w:p>
    <w:p w14:paraId="33754251">
      <w:pPr>
        <w:adjustRightInd w:val="0"/>
        <w:snapToGrid w:val="0"/>
        <w:spacing w:line="360" w:lineRule="auto"/>
        <w:ind w:right="420"/>
        <w:rPr>
          <w:rFonts w:hint="eastAsia" w:ascii="宋体" w:hAnsi="宋体" w:eastAsia="宋体" w:cs="宋体"/>
          <w:color w:val="auto"/>
          <w:szCs w:val="21"/>
          <w:highlight w:val="none"/>
        </w:rPr>
      </w:pPr>
    </w:p>
    <w:p w14:paraId="2D5DA558">
      <w:pPr>
        <w:adjustRightInd w:val="0"/>
        <w:snapToGrid w:val="0"/>
        <w:spacing w:line="360" w:lineRule="auto"/>
        <w:ind w:right="420"/>
        <w:rPr>
          <w:rFonts w:hint="eastAsia" w:ascii="宋体" w:hAnsi="宋体" w:eastAsia="宋体" w:cs="宋体"/>
          <w:color w:val="auto"/>
          <w:szCs w:val="21"/>
          <w:highlight w:val="none"/>
        </w:rPr>
      </w:pPr>
    </w:p>
    <w:p w14:paraId="71DF18B2">
      <w:pPr>
        <w:adjustRightInd w:val="0"/>
        <w:snapToGrid w:val="0"/>
        <w:spacing w:line="360" w:lineRule="auto"/>
        <w:ind w:right="420"/>
        <w:rPr>
          <w:rFonts w:hint="eastAsia" w:ascii="宋体" w:hAnsi="宋体" w:eastAsia="宋体" w:cs="宋体"/>
          <w:color w:val="auto"/>
          <w:szCs w:val="21"/>
          <w:highlight w:val="none"/>
        </w:rPr>
      </w:pPr>
    </w:p>
    <w:p w14:paraId="15F25BF8">
      <w:pPr>
        <w:adjustRightInd w:val="0"/>
        <w:snapToGrid w:val="0"/>
        <w:spacing w:line="360" w:lineRule="auto"/>
        <w:ind w:right="420"/>
        <w:rPr>
          <w:rFonts w:hint="eastAsia" w:ascii="宋体" w:hAnsi="宋体" w:eastAsia="宋体" w:cs="宋体"/>
          <w:color w:val="auto"/>
          <w:szCs w:val="21"/>
          <w:highlight w:val="none"/>
        </w:rPr>
      </w:pPr>
    </w:p>
    <w:p w14:paraId="71BCB053">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法定代表人（签字）：</w:t>
      </w:r>
      <w:r>
        <w:rPr>
          <w:rFonts w:hint="eastAsia" w:ascii="宋体" w:hAnsi="宋体" w:eastAsia="宋体" w:cs="宋体"/>
          <w:color w:val="auto"/>
          <w:szCs w:val="21"/>
          <w:highlight w:val="none"/>
          <w:u w:val="single"/>
        </w:rPr>
        <w:t xml:space="preserve">                     </w:t>
      </w:r>
    </w:p>
    <w:p w14:paraId="3AD8593A">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委托代理人（签字）：</w:t>
      </w:r>
      <w:r>
        <w:rPr>
          <w:rFonts w:hint="eastAsia" w:ascii="宋体" w:hAnsi="宋体" w:eastAsia="宋体" w:cs="宋体"/>
          <w:color w:val="auto"/>
          <w:szCs w:val="21"/>
          <w:highlight w:val="none"/>
          <w:u w:val="single"/>
        </w:rPr>
        <w:t xml:space="preserve">                     </w:t>
      </w:r>
    </w:p>
    <w:p w14:paraId="234136E8">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9577977">
      <w:pPr>
        <w:adjustRightInd w:val="0"/>
        <w:snapToGrid w:val="0"/>
        <w:spacing w:line="360" w:lineRule="auto"/>
        <w:ind w:right="420" w:firstLine="5355" w:firstLineChars="2550"/>
        <w:jc w:val="left"/>
        <w:rPr>
          <w:rFonts w:hint="eastAsia" w:ascii="宋体" w:hAnsi="宋体" w:eastAsia="宋体" w:cs="宋体"/>
          <w:color w:val="auto"/>
          <w:szCs w:val="21"/>
          <w:highlight w:val="none"/>
        </w:rPr>
      </w:pPr>
    </w:p>
    <w:p w14:paraId="3F73EBC0">
      <w:pPr>
        <w:spacing w:line="360" w:lineRule="auto"/>
        <w:rPr>
          <w:rFonts w:hint="eastAsia" w:ascii="宋体" w:hAnsi="宋体" w:eastAsia="宋体" w:cs="宋体"/>
          <w:b/>
          <w:color w:val="auto"/>
          <w:highlight w:val="none"/>
        </w:rPr>
      </w:pPr>
    </w:p>
    <w:p w14:paraId="751D6694">
      <w:pPr>
        <w:spacing w:line="360" w:lineRule="auto"/>
        <w:rPr>
          <w:rFonts w:hint="eastAsia" w:ascii="宋体" w:hAnsi="宋体" w:eastAsia="宋体" w:cs="宋体"/>
          <w:color w:val="auto"/>
          <w:sz w:val="28"/>
          <w:szCs w:val="28"/>
          <w:highlight w:val="none"/>
        </w:rPr>
      </w:pPr>
      <w:r>
        <w:rPr>
          <w:rFonts w:hint="eastAsia" w:ascii="宋体" w:hAnsi="宋体" w:eastAsia="宋体" w:cs="宋体"/>
          <w:b/>
          <w:color w:val="auto"/>
          <w:highlight w:val="none"/>
        </w:rPr>
        <w:br w:type="page"/>
      </w:r>
      <w:r>
        <w:rPr>
          <w:rFonts w:hint="eastAsia" w:ascii="宋体" w:hAnsi="宋体" w:eastAsia="宋体" w:cs="宋体"/>
          <w:b/>
          <w:color w:val="auto"/>
          <w:sz w:val="28"/>
          <w:szCs w:val="28"/>
          <w:highlight w:val="none"/>
        </w:rPr>
        <w:t>附件2</w:t>
      </w:r>
    </w:p>
    <w:p w14:paraId="51F4A6DC">
      <w:pPr>
        <w:adjustRightInd w:val="0"/>
        <w:snapToGrid w:val="0"/>
        <w:spacing w:line="360" w:lineRule="auto"/>
        <w:jc w:val="center"/>
        <w:rPr>
          <w:rFonts w:hint="eastAsia" w:ascii="宋体" w:hAnsi="宋体" w:eastAsia="宋体" w:cs="宋体"/>
          <w:b/>
          <w:color w:val="auto"/>
          <w:sz w:val="28"/>
          <w:szCs w:val="28"/>
          <w:highlight w:val="none"/>
        </w:rPr>
      </w:pPr>
      <w:bookmarkStart w:id="147" w:name="_Toc31331_WPSOffice_Level1"/>
      <w:bookmarkStart w:id="148" w:name="_Toc21845_WPSOffice_Level1"/>
      <w:bookmarkStart w:id="149" w:name="_Toc31857_WPSOffice_Level1"/>
      <w:bookmarkStart w:id="150" w:name="_Toc4898_WPSOffice_Level1"/>
      <w:r>
        <w:rPr>
          <w:rFonts w:hint="eastAsia" w:ascii="宋体" w:hAnsi="宋体" w:eastAsia="宋体" w:cs="宋体"/>
          <w:b/>
          <w:color w:val="auto"/>
          <w:sz w:val="28"/>
          <w:szCs w:val="28"/>
          <w:highlight w:val="none"/>
        </w:rPr>
        <w:t>工程质量保修书</w:t>
      </w:r>
      <w:bookmarkEnd w:id="147"/>
      <w:bookmarkEnd w:id="148"/>
      <w:bookmarkEnd w:id="149"/>
      <w:bookmarkEnd w:id="150"/>
    </w:p>
    <w:p w14:paraId="5811136A">
      <w:pPr>
        <w:adjustRightInd w:val="0"/>
        <w:snapToGrid w:val="0"/>
        <w:spacing w:line="360" w:lineRule="auto"/>
        <w:rPr>
          <w:rFonts w:hint="eastAsia" w:ascii="宋体" w:hAnsi="宋体" w:eastAsia="宋体" w:cs="宋体"/>
          <w:color w:val="auto"/>
          <w:sz w:val="24"/>
          <w:szCs w:val="18"/>
          <w:highlight w:val="none"/>
        </w:rPr>
      </w:pPr>
    </w:p>
    <w:p w14:paraId="3ACAF6A6">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发包人：（全称）</w:t>
      </w:r>
    </w:p>
    <w:p w14:paraId="0784CE14">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承包人：（全称）</w:t>
      </w:r>
    </w:p>
    <w:p w14:paraId="2F7E5E63">
      <w:pPr>
        <w:adjustRightInd w:val="0"/>
        <w:snapToGrid w:val="0"/>
        <w:spacing w:line="360" w:lineRule="auto"/>
        <w:ind w:firstLine="480"/>
        <w:rPr>
          <w:rFonts w:hint="eastAsia" w:ascii="宋体" w:hAnsi="宋体" w:eastAsia="宋体" w:cs="宋体"/>
          <w:color w:val="auto"/>
          <w:szCs w:val="21"/>
          <w:highlight w:val="none"/>
          <w:u w:val="single"/>
        </w:rPr>
      </w:pPr>
    </w:p>
    <w:p w14:paraId="4C93D20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保证（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4E5A2FE6">
      <w:pPr>
        <w:adjustRightInd w:val="0"/>
        <w:snapToGrid w:val="0"/>
        <w:spacing w:line="360" w:lineRule="auto"/>
        <w:ind w:firstLine="422" w:firstLineChars="200"/>
        <w:rPr>
          <w:rFonts w:hint="eastAsia" w:ascii="宋体" w:hAnsi="宋体" w:eastAsia="宋体" w:cs="宋体"/>
          <w:b/>
          <w:color w:val="auto"/>
          <w:szCs w:val="21"/>
          <w:highlight w:val="none"/>
        </w:rPr>
      </w:pPr>
      <w:bookmarkStart w:id="151" w:name="_Toc32058_WPSOffice_Level1"/>
      <w:bookmarkStart w:id="152" w:name="_Toc1233_WPSOffice_Level1"/>
      <w:bookmarkStart w:id="153" w:name="_Toc4579_WPSOffice_Level1"/>
      <w:bookmarkStart w:id="154" w:name="_Toc1134_WPSOffice_Level1"/>
      <w:r>
        <w:rPr>
          <w:rFonts w:hint="eastAsia" w:ascii="宋体" w:hAnsi="宋体" w:eastAsia="宋体" w:cs="宋体"/>
          <w:b/>
          <w:color w:val="auto"/>
          <w:szCs w:val="21"/>
          <w:highlight w:val="none"/>
        </w:rPr>
        <w:t>1 质量保修范围</w:t>
      </w:r>
      <w:bookmarkEnd w:id="151"/>
      <w:bookmarkEnd w:id="152"/>
      <w:bookmarkEnd w:id="153"/>
      <w:bookmarkEnd w:id="154"/>
    </w:p>
    <w:p w14:paraId="77AC25F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修范围包括地基基础工程、主体结构工程、屋面防水工程、有防水要求的卫生间、房间、外墙面的防渗漏工程、电气管线工程、给排水管道工程、设备安装工程、供热、供冷系统工程、装饰装修工程以及双方约定其他项目。具体质量保修范围，双方约定如下：</w:t>
      </w:r>
    </w:p>
    <w:p w14:paraId="3780A585">
      <w:pPr>
        <w:adjustRightInd w:val="0"/>
        <w:snapToGrid w:val="0"/>
        <w:spacing w:line="360" w:lineRule="auto"/>
        <w:ind w:firstLine="420" w:firstLineChars="200"/>
        <w:rPr>
          <w:rFonts w:hint="eastAsia" w:ascii="宋体" w:hAnsi="宋体" w:eastAsia="宋体" w:cs="宋体"/>
          <w:color w:val="auto"/>
          <w:szCs w:val="21"/>
          <w:highlight w:val="none"/>
        </w:rPr>
      </w:pPr>
      <w:bookmarkStart w:id="155" w:name="_Toc16443_WPSOffice_Level1"/>
      <w:bookmarkStart w:id="156" w:name="_Toc1477_WPSOffice_Level1"/>
      <w:bookmarkStart w:id="157" w:name="_Toc27884_WPSOffice_Level1"/>
      <w:bookmarkStart w:id="158" w:name="_Toc6069_WPSOffice_Level1"/>
      <w:r>
        <w:rPr>
          <w:rFonts w:hint="eastAsia" w:ascii="宋体" w:hAnsi="宋体" w:eastAsia="宋体" w:cs="宋体"/>
          <w:color w:val="auto"/>
          <w:szCs w:val="21"/>
          <w:highlight w:val="none"/>
        </w:rPr>
        <w:t>（1）施工现场全部配套附属工程，包含室外地坪、散水、排水沟、围墙、道路、台阶、坡道、绿化配套土建、场地硬化及所有配套附属构筑物，均纳入整体质量保修范围。</w:t>
      </w:r>
    </w:p>
    <w:p w14:paraId="164073F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（2）项目整体成品保护及配套功能性设施，包含工程完工后所有安装配套辅材、固定构件、配套收口、细部处理、成品修复及现场整改完善内容，全部纳入保修范围。</w:t>
      </w:r>
    </w:p>
    <w:p w14:paraId="6E62751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（3）投标人投标文件、施工方案中承诺实施的所有施工内容、优化措施及增设配套工程，无论是否列入图纸及清单，均属于承包人保修范围，保修期内出现质量缺陷均由承包人无偿维修、更换、整改。</w:t>
      </w:r>
    </w:p>
    <w:p w14:paraId="37D718F5">
      <w:pPr>
        <w:adjustRightInd w:val="0"/>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 质量保修期</w:t>
      </w:r>
      <w:bookmarkEnd w:id="155"/>
      <w:bookmarkEnd w:id="156"/>
      <w:bookmarkEnd w:id="157"/>
      <w:bookmarkEnd w:id="158"/>
    </w:p>
    <w:p w14:paraId="227BFF9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质量保修期从工程实际竣工验收合格之日起计算。单项竣工验收的工程，按单项工程分别计算质量保修期。</w:t>
      </w:r>
    </w:p>
    <w:p w14:paraId="5162B2B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 双方根据《建设工程质量管理条例》及有关规定，约定本工程质量保修期如下：</w:t>
      </w:r>
    </w:p>
    <w:p w14:paraId="75D728C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（1）地基基础工程、主体结构工程为设计文件规定的合理使用年限；</w:t>
      </w:r>
    </w:p>
    <w:p w14:paraId="073F35B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（2）屋面防水工程、有防水要求的卫生间、房间和外墙面的防渗漏工程为：</w:t>
      </w:r>
      <w:r>
        <w:rPr>
          <w:rFonts w:hint="eastAsia" w:ascii="宋体" w:hAnsi="宋体" w:eastAsia="宋体" w:cs="宋体"/>
          <w:color w:val="auto"/>
          <w:szCs w:val="21"/>
          <w:highlight w:val="none"/>
          <w:u w:val="single"/>
          <w:lang w:val="en-US" w:eastAsia="zh-CN"/>
        </w:rPr>
        <w:t>5</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p>
    <w:p w14:paraId="7C0C20E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（3）电气管线工程、给排水管道、设备安装工程为：</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rPr>
        <w:t>年；</w:t>
      </w:r>
    </w:p>
    <w:p w14:paraId="7A34FE2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（4）供热、供冷系统工程为：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个采暖期、供冷期；</w:t>
      </w:r>
    </w:p>
    <w:p w14:paraId="7C36F25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（5）装饰装修工程为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rPr>
        <w:t>年；</w:t>
      </w:r>
    </w:p>
    <w:p w14:paraId="00694EE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（6）其他项目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rPr>
        <w:t>年。</w:t>
      </w:r>
    </w:p>
    <w:p w14:paraId="0FFDA994">
      <w:pPr>
        <w:adjustRightInd w:val="0"/>
        <w:snapToGrid w:val="0"/>
        <w:spacing w:line="360" w:lineRule="auto"/>
        <w:ind w:firstLine="422" w:firstLineChars="200"/>
        <w:rPr>
          <w:rFonts w:hint="eastAsia" w:ascii="宋体" w:hAnsi="宋体" w:eastAsia="宋体" w:cs="宋体"/>
          <w:b/>
          <w:color w:val="auto"/>
          <w:szCs w:val="21"/>
          <w:highlight w:val="none"/>
        </w:rPr>
      </w:pPr>
      <w:bookmarkStart w:id="159" w:name="_Toc14491_WPSOffice_Level1"/>
      <w:bookmarkStart w:id="160" w:name="_Toc28457_WPSOffice_Level1"/>
      <w:bookmarkStart w:id="161" w:name="_Toc17463_WPSOffice_Level1"/>
      <w:bookmarkStart w:id="162" w:name="_Toc12014_WPSOffice_Level1"/>
      <w:r>
        <w:rPr>
          <w:rFonts w:hint="eastAsia" w:ascii="宋体" w:hAnsi="宋体" w:eastAsia="宋体" w:cs="宋体"/>
          <w:b/>
          <w:color w:val="auto"/>
          <w:szCs w:val="21"/>
          <w:highlight w:val="none"/>
        </w:rPr>
        <w:t>3 质量保修责任</w:t>
      </w:r>
      <w:bookmarkEnd w:id="159"/>
      <w:bookmarkEnd w:id="160"/>
      <w:bookmarkEnd w:id="161"/>
      <w:bookmarkEnd w:id="162"/>
    </w:p>
    <w:p w14:paraId="3F5388B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属于保修范围的项目，承包人应在接到通知后的7天内派人保修，承包人不在约定期限内派人保修，发包人可自行或指派第三方保修。</w:t>
      </w:r>
    </w:p>
    <w:p w14:paraId="0224E9A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 发生紧急抢修事故的，承包人在接到通知后，应立即到达事故现场抢修。</w:t>
      </w:r>
    </w:p>
    <w:p w14:paraId="3C1CAB6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在国家规定的工程合理使用期限内，承包人应确保地基基础工程和主体结构的安全和质量。凡出现其质量问题，应立即报告当地建设行政主管部门，由设计单位提出保修方案，承包人应立即实施保修。</w:t>
      </w:r>
    </w:p>
    <w:p w14:paraId="5F872DF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 质量保修完成后，由发包人组织验收。</w:t>
      </w:r>
    </w:p>
    <w:p w14:paraId="766D488E">
      <w:pPr>
        <w:adjustRightInd w:val="0"/>
        <w:snapToGrid w:val="0"/>
        <w:spacing w:line="360" w:lineRule="auto"/>
        <w:ind w:firstLine="422" w:firstLineChars="200"/>
        <w:rPr>
          <w:rFonts w:hint="eastAsia" w:ascii="宋体" w:hAnsi="宋体" w:eastAsia="宋体" w:cs="宋体"/>
          <w:b/>
          <w:color w:val="auto"/>
          <w:szCs w:val="21"/>
          <w:highlight w:val="none"/>
        </w:rPr>
      </w:pPr>
      <w:bookmarkStart w:id="163" w:name="_Toc7703_WPSOffice_Level1"/>
      <w:bookmarkStart w:id="164" w:name="_Toc15815_WPSOffice_Level1"/>
      <w:bookmarkStart w:id="165" w:name="_Toc654_WPSOffice_Level1"/>
      <w:bookmarkStart w:id="166" w:name="_Toc6121_WPSOffice_Level1"/>
      <w:r>
        <w:rPr>
          <w:rFonts w:hint="eastAsia" w:ascii="宋体" w:hAnsi="宋体" w:eastAsia="宋体" w:cs="宋体"/>
          <w:b/>
          <w:color w:val="auto"/>
          <w:szCs w:val="21"/>
          <w:highlight w:val="none"/>
        </w:rPr>
        <w:t>4 质量保修费用</w:t>
      </w:r>
      <w:bookmarkEnd w:id="163"/>
      <w:bookmarkEnd w:id="164"/>
      <w:bookmarkEnd w:id="165"/>
      <w:bookmarkEnd w:id="166"/>
    </w:p>
    <w:p w14:paraId="654AD5E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质量保修费用及相关的损害赔偿费，由造成质量缺陷的责任方承担。</w:t>
      </w:r>
    </w:p>
    <w:p w14:paraId="575BE1CB">
      <w:pPr>
        <w:adjustRightInd w:val="0"/>
        <w:snapToGrid w:val="0"/>
        <w:spacing w:line="360" w:lineRule="auto"/>
        <w:ind w:firstLine="422" w:firstLineChars="200"/>
        <w:rPr>
          <w:rFonts w:hint="eastAsia" w:ascii="宋体" w:hAnsi="宋体" w:eastAsia="宋体" w:cs="宋体"/>
          <w:b/>
          <w:color w:val="auto"/>
          <w:szCs w:val="21"/>
          <w:highlight w:val="none"/>
        </w:rPr>
      </w:pPr>
      <w:bookmarkStart w:id="167" w:name="_Toc15103_WPSOffice_Level1"/>
      <w:bookmarkStart w:id="168" w:name="_Toc1819_WPSOffice_Level1"/>
      <w:bookmarkStart w:id="169" w:name="_Toc24904_WPSOffice_Level1"/>
      <w:bookmarkStart w:id="170" w:name="_Toc22358_WPSOffice_Level1"/>
      <w:r>
        <w:rPr>
          <w:rFonts w:hint="eastAsia" w:ascii="宋体" w:hAnsi="宋体" w:eastAsia="宋体" w:cs="宋体"/>
          <w:b/>
          <w:color w:val="auto"/>
          <w:szCs w:val="21"/>
          <w:highlight w:val="none"/>
        </w:rPr>
        <w:t>5 质量保证金</w:t>
      </w:r>
      <w:bookmarkEnd w:id="167"/>
      <w:bookmarkEnd w:id="168"/>
      <w:bookmarkEnd w:id="169"/>
      <w:bookmarkEnd w:id="170"/>
    </w:p>
    <w:p w14:paraId="1A6F7AE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质量保证金的使用、约定、支付、返还与本合同的质量保证金赋予的约定一致。</w:t>
      </w:r>
    </w:p>
    <w:p w14:paraId="6A631B7A">
      <w:pPr>
        <w:adjustRightInd w:val="0"/>
        <w:snapToGrid w:val="0"/>
        <w:spacing w:line="360" w:lineRule="auto"/>
        <w:ind w:firstLine="422" w:firstLineChars="200"/>
        <w:rPr>
          <w:rFonts w:hint="eastAsia" w:ascii="宋体" w:hAnsi="宋体" w:eastAsia="宋体" w:cs="宋体"/>
          <w:b/>
          <w:color w:val="auto"/>
          <w:szCs w:val="21"/>
          <w:highlight w:val="none"/>
        </w:rPr>
      </w:pPr>
      <w:bookmarkStart w:id="171" w:name="_Toc12087_WPSOffice_Level1"/>
      <w:bookmarkStart w:id="172" w:name="_Toc5370_WPSOffice_Level1"/>
      <w:bookmarkStart w:id="173" w:name="_Toc21863_WPSOffice_Level1"/>
      <w:bookmarkStart w:id="174" w:name="_Toc7561_WPSOffice_Level1"/>
      <w:r>
        <w:rPr>
          <w:rFonts w:hint="eastAsia" w:ascii="宋体" w:hAnsi="宋体" w:eastAsia="宋体" w:cs="宋体"/>
          <w:b/>
          <w:color w:val="auto"/>
          <w:szCs w:val="21"/>
          <w:highlight w:val="none"/>
        </w:rPr>
        <w:t>6 其他</w:t>
      </w:r>
      <w:bookmarkEnd w:id="171"/>
      <w:bookmarkEnd w:id="172"/>
      <w:bookmarkEnd w:id="173"/>
      <w:bookmarkEnd w:id="174"/>
    </w:p>
    <w:p w14:paraId="18AA6470">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6.1 双方约定的其它工程质量保修事项：</w:t>
      </w:r>
    </w:p>
    <w:p w14:paraId="0DDF21D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 本工程质量保修书，由发包人承包人在工程竣工验收前签署，作为合同附件，其有效期限至保修期满。</w:t>
      </w:r>
    </w:p>
    <w:p w14:paraId="6A453047">
      <w:pPr>
        <w:adjustRightInd w:val="0"/>
        <w:snapToGrid w:val="0"/>
        <w:spacing w:line="360" w:lineRule="auto"/>
        <w:ind w:firstLine="480"/>
        <w:rPr>
          <w:rFonts w:hint="eastAsia" w:ascii="宋体" w:hAnsi="宋体" w:eastAsia="宋体" w:cs="宋体"/>
          <w:color w:val="auto"/>
          <w:szCs w:val="21"/>
          <w:highlight w:val="none"/>
        </w:rPr>
      </w:pPr>
    </w:p>
    <w:p w14:paraId="18D7E622">
      <w:pPr>
        <w:adjustRightInd w:val="0"/>
        <w:snapToGrid w:val="0"/>
        <w:spacing w:line="360" w:lineRule="auto"/>
        <w:ind w:firstLine="480"/>
        <w:rPr>
          <w:rFonts w:hint="eastAsia" w:ascii="宋体" w:hAnsi="宋体" w:eastAsia="宋体" w:cs="宋体"/>
          <w:color w:val="auto"/>
          <w:szCs w:val="21"/>
          <w:highlight w:val="none"/>
        </w:rPr>
      </w:pPr>
    </w:p>
    <w:p w14:paraId="681BE4B6">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发包人（公章）：承包人（公章）：</w:t>
      </w:r>
    </w:p>
    <w:p w14:paraId="6313A4B5">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法定代表人（签字或盖章）：法定代表人（签字或盖章）：</w:t>
      </w:r>
    </w:p>
    <w:p w14:paraId="5298EC1E">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年月日            年月日</w:t>
      </w:r>
    </w:p>
    <w:p w14:paraId="1D27CF1A">
      <w:pPr>
        <w:spacing w:line="360" w:lineRule="auto"/>
        <w:rPr>
          <w:rFonts w:hint="eastAsia" w:ascii="宋体" w:hAnsi="宋体" w:eastAsia="宋体" w:cs="宋体"/>
          <w:b/>
          <w:color w:val="auto"/>
          <w:highlight w:val="none"/>
        </w:rPr>
      </w:pPr>
    </w:p>
    <w:p w14:paraId="2DC3DC3E">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highlight w:val="none"/>
        </w:rPr>
        <w:br w:type="page"/>
      </w:r>
      <w:r>
        <w:rPr>
          <w:rFonts w:hint="eastAsia" w:ascii="宋体" w:hAnsi="宋体" w:eastAsia="宋体" w:cs="宋体"/>
          <w:b/>
          <w:color w:val="auto"/>
          <w:sz w:val="28"/>
          <w:szCs w:val="28"/>
          <w:highlight w:val="none"/>
        </w:rPr>
        <w:t>二、磋商保证金缴纳证明材料</w:t>
      </w:r>
    </w:p>
    <w:p w14:paraId="545E367A">
      <w:pPr>
        <w:pStyle w:val="12"/>
        <w:adjustRightInd w:val="0"/>
        <w:snapToGrid w:val="0"/>
        <w:spacing w:before="156" w:beforeLines="50" w:line="360" w:lineRule="auto"/>
        <w:rPr>
          <w:rFonts w:hint="eastAsia" w:ascii="宋体" w:hAnsi="宋体" w:eastAsia="宋体" w:cs="宋体"/>
          <w:color w:val="auto"/>
          <w:highlight w:val="none"/>
        </w:rPr>
      </w:pPr>
    </w:p>
    <w:p w14:paraId="1BC71F80">
      <w:pPr>
        <w:jc w:val="center"/>
        <w:textAlignment w:val="center"/>
        <w:rPr>
          <w:rFonts w:hint="eastAsia" w:ascii="宋体" w:hAnsi="宋体" w:eastAsia="宋体" w:cs="宋体"/>
          <w:color w:val="auto"/>
          <w:sz w:val="32"/>
          <w:highlight w:val="none"/>
        </w:rPr>
      </w:pPr>
      <w:r>
        <w:rPr>
          <w:rFonts w:hint="eastAsia" w:ascii="宋体" w:hAnsi="宋体" w:eastAsia="宋体" w:cs="宋体"/>
          <w:color w:val="auto"/>
          <w:sz w:val="32"/>
          <w:highlight w:val="none"/>
        </w:rPr>
        <w:t>免交投标保证金承诺书</w:t>
      </w:r>
    </w:p>
    <w:p w14:paraId="2CBDB6C5">
      <w:pPr>
        <w:jc w:val="left"/>
        <w:textAlignment w:val="center"/>
        <w:rPr>
          <w:rFonts w:hint="eastAsia" w:ascii="宋体" w:hAnsi="宋体" w:eastAsia="宋体" w:cs="宋体"/>
          <w:color w:val="auto"/>
          <w:szCs w:val="21"/>
          <w:highlight w:val="none"/>
        </w:rPr>
      </w:pPr>
    </w:p>
    <w:p w14:paraId="782F9783">
      <w:pPr>
        <w:spacing w:line="360" w:lineRule="auto"/>
        <w:jc w:val="left"/>
        <w:textAlignment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14:paraId="78D1522D">
      <w:pPr>
        <w:spacing w:line="360" w:lineRule="auto"/>
        <w:ind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因本项目不收取保证金，我公司承诺，如有下列情形之一的，同意向采购人缴纳采购项目预算金额2%（相当于应收投标保证金的标准）的违约金，并承担相关法律责任、接受财政部门的相关处罚。</w:t>
      </w:r>
    </w:p>
    <w:p w14:paraId="77542F56">
      <w:pPr>
        <w:numPr>
          <w:ilvl w:val="0"/>
          <w:numId w:val="8"/>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中标、成交后无正当理由不与采购人签订合同的；</w:t>
      </w:r>
    </w:p>
    <w:p w14:paraId="4F2A456D">
      <w:pPr>
        <w:numPr>
          <w:ilvl w:val="0"/>
          <w:numId w:val="8"/>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未经采购人同意，将中标、成交项目分包方式履行合同的；</w:t>
      </w:r>
    </w:p>
    <w:p w14:paraId="4206F98B">
      <w:pPr>
        <w:numPr>
          <w:ilvl w:val="0"/>
          <w:numId w:val="8"/>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在提交投标（响应）文件截止时间后撤回投标（响应）文件的；</w:t>
      </w:r>
    </w:p>
    <w:p w14:paraId="75A0F04C">
      <w:pPr>
        <w:numPr>
          <w:ilvl w:val="0"/>
          <w:numId w:val="8"/>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在投标（响应）文件中提交虚假材料的</w:t>
      </w:r>
    </w:p>
    <w:p w14:paraId="2CEE4181">
      <w:pPr>
        <w:numPr>
          <w:ilvl w:val="0"/>
          <w:numId w:val="8"/>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与采购人、其他供应商或者采购代理机构恶意串通的；</w:t>
      </w:r>
    </w:p>
    <w:p w14:paraId="29A7E815">
      <w:pPr>
        <w:numPr>
          <w:ilvl w:val="0"/>
          <w:numId w:val="8"/>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法律法规或者采购文件规定的其他情形的。</w:t>
      </w:r>
    </w:p>
    <w:p w14:paraId="3E1B0B40">
      <w:pPr>
        <w:spacing w:line="360" w:lineRule="auto"/>
        <w:ind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0BB5AC93">
      <w:pPr>
        <w:jc w:val="left"/>
        <w:textAlignment w:val="center"/>
        <w:rPr>
          <w:rFonts w:hint="eastAsia" w:ascii="宋体" w:hAnsi="宋体" w:eastAsia="宋体" w:cs="宋体"/>
          <w:color w:val="auto"/>
          <w:szCs w:val="21"/>
          <w:highlight w:val="none"/>
        </w:rPr>
      </w:pPr>
    </w:p>
    <w:p w14:paraId="495968FF">
      <w:pPr>
        <w:ind w:firstLine="440" w:firstLineChars="200"/>
        <w:jc w:val="left"/>
        <w:textAlignment w:val="center"/>
        <w:rPr>
          <w:rFonts w:hint="eastAsia" w:ascii="宋体" w:hAnsi="宋体" w:eastAsia="宋体" w:cs="宋体"/>
          <w:color w:val="auto"/>
          <w:sz w:val="22"/>
          <w:szCs w:val="21"/>
          <w:highlight w:val="none"/>
          <w:u w:val="single"/>
        </w:rPr>
      </w:pPr>
      <w:r>
        <w:rPr>
          <w:rFonts w:hint="eastAsia" w:ascii="宋体" w:hAnsi="宋体" w:eastAsia="宋体" w:cs="宋体"/>
          <w:color w:val="auto"/>
          <w:sz w:val="22"/>
          <w:szCs w:val="21"/>
          <w:highlight w:val="none"/>
        </w:rPr>
        <w:t>供应商名称（单位盖章）：</w:t>
      </w:r>
      <w:r>
        <w:rPr>
          <w:rFonts w:hint="eastAsia" w:ascii="宋体" w:hAnsi="宋体" w:eastAsia="宋体" w:cs="宋体"/>
          <w:color w:val="auto"/>
          <w:sz w:val="22"/>
          <w:szCs w:val="21"/>
          <w:highlight w:val="none"/>
          <w:u w:val="single"/>
        </w:rPr>
        <w:t xml:space="preserve">                            </w:t>
      </w:r>
    </w:p>
    <w:p w14:paraId="687A0B11">
      <w:pPr>
        <w:ind w:firstLine="420" w:firstLineChars="200"/>
        <w:jc w:val="left"/>
        <w:textAlignment w:val="center"/>
        <w:rPr>
          <w:rFonts w:hint="eastAsia" w:ascii="宋体" w:hAnsi="宋体" w:eastAsia="宋体" w:cs="宋体"/>
          <w:color w:val="auto"/>
          <w:szCs w:val="21"/>
          <w:highlight w:val="none"/>
          <w:u w:val="single"/>
        </w:rPr>
      </w:pPr>
    </w:p>
    <w:p w14:paraId="5219E9C2">
      <w:pPr>
        <w:ind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6012BEC">
      <w:pPr>
        <w:pStyle w:val="26"/>
        <w:rPr>
          <w:rFonts w:hint="eastAsia" w:ascii="宋体" w:hAnsi="宋体" w:eastAsia="宋体" w:cs="宋体"/>
          <w:color w:val="auto"/>
          <w:highlight w:val="none"/>
        </w:rPr>
      </w:pPr>
    </w:p>
    <w:p w14:paraId="10FE7A8A">
      <w:pPr>
        <w:pStyle w:val="26"/>
        <w:rPr>
          <w:rFonts w:hint="eastAsia" w:ascii="宋体" w:hAnsi="宋体" w:eastAsia="宋体" w:cs="宋体"/>
          <w:color w:val="auto"/>
          <w:highlight w:val="none"/>
        </w:rPr>
      </w:pPr>
    </w:p>
    <w:p w14:paraId="04644781">
      <w:pPr>
        <w:pStyle w:val="26"/>
        <w:rPr>
          <w:rFonts w:hint="eastAsia" w:ascii="宋体" w:hAnsi="宋体" w:eastAsia="宋体" w:cs="宋体"/>
          <w:color w:val="auto"/>
          <w:highlight w:val="none"/>
        </w:rPr>
      </w:pPr>
    </w:p>
    <w:p w14:paraId="7D51891A">
      <w:pPr>
        <w:adjustRightInd w:val="0"/>
        <w:snapToGrid w:val="0"/>
        <w:spacing w:line="360" w:lineRule="auto"/>
        <w:jc w:val="center"/>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br w:type="page"/>
      </w:r>
      <w:bookmarkStart w:id="175" w:name="_Toc17971"/>
      <w:r>
        <w:rPr>
          <w:rFonts w:hint="eastAsia" w:ascii="宋体" w:hAnsi="宋体" w:eastAsia="宋体" w:cs="宋体"/>
          <w:b/>
          <w:color w:val="auto"/>
          <w:sz w:val="28"/>
          <w:szCs w:val="28"/>
          <w:highlight w:val="none"/>
        </w:rPr>
        <w:t>三、供应商的资格证明资料</w:t>
      </w:r>
      <w:bookmarkEnd w:id="175"/>
    </w:p>
    <w:p w14:paraId="1849CD69">
      <w:pPr>
        <w:adjustRightInd w:val="0"/>
        <w:snapToGrid w:val="0"/>
        <w:spacing w:line="360" w:lineRule="auto"/>
        <w:rPr>
          <w:rFonts w:hint="eastAsia" w:ascii="宋体" w:hAnsi="宋体" w:eastAsia="宋体" w:cs="宋体"/>
          <w:b/>
          <w:color w:val="auto"/>
          <w:sz w:val="28"/>
          <w:szCs w:val="28"/>
          <w:highlight w:val="none"/>
        </w:rPr>
      </w:pPr>
      <w:bookmarkStart w:id="176" w:name="_Toc24959_WPSOffice_Level1"/>
      <w:bookmarkStart w:id="177" w:name="_Toc31369_WPSOffice_Level1"/>
      <w:r>
        <w:rPr>
          <w:rFonts w:hint="eastAsia" w:ascii="宋体" w:hAnsi="宋体" w:eastAsia="宋体" w:cs="宋体"/>
          <w:b/>
          <w:color w:val="auto"/>
          <w:sz w:val="28"/>
          <w:szCs w:val="28"/>
          <w:highlight w:val="none"/>
        </w:rPr>
        <w:t>附件3-1</w:t>
      </w:r>
      <w:bookmarkEnd w:id="176"/>
      <w:bookmarkEnd w:id="177"/>
    </w:p>
    <w:p w14:paraId="0230690E">
      <w:pPr>
        <w:adjustRightInd w:val="0"/>
        <w:snapToGrid w:val="0"/>
        <w:spacing w:line="360" w:lineRule="auto"/>
        <w:jc w:val="center"/>
        <w:rPr>
          <w:rFonts w:hint="eastAsia" w:ascii="宋体" w:hAnsi="宋体" w:eastAsia="宋体" w:cs="宋体"/>
          <w:b/>
          <w:color w:val="auto"/>
          <w:sz w:val="28"/>
          <w:szCs w:val="28"/>
          <w:highlight w:val="none"/>
        </w:rPr>
      </w:pPr>
      <w:bookmarkStart w:id="178" w:name="_Toc14734_WPSOffice_Level1"/>
      <w:bookmarkStart w:id="179" w:name="_Toc25954_WPSOffice_Level1"/>
      <w:bookmarkStart w:id="180" w:name="_Toc7833_WPSOffice_Level1"/>
      <w:bookmarkStart w:id="181" w:name="_Toc26400_WPSOffice_Level1"/>
      <w:r>
        <w:rPr>
          <w:rFonts w:hint="eastAsia" w:ascii="宋体" w:hAnsi="宋体" w:eastAsia="宋体" w:cs="宋体"/>
          <w:b/>
          <w:color w:val="auto"/>
          <w:sz w:val="28"/>
          <w:szCs w:val="28"/>
          <w:highlight w:val="none"/>
        </w:rPr>
        <w:t>供应商基本情况表</w:t>
      </w:r>
      <w:bookmarkEnd w:id="178"/>
      <w:bookmarkEnd w:id="179"/>
      <w:bookmarkEnd w:id="180"/>
      <w:bookmarkEnd w:id="181"/>
    </w:p>
    <w:p w14:paraId="5442937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盖供应商单位章</w:t>
      </w:r>
    </w:p>
    <w:tbl>
      <w:tblPr>
        <w:tblStyle w:val="2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49"/>
        <w:gridCol w:w="299"/>
        <w:gridCol w:w="1713"/>
        <w:gridCol w:w="1345"/>
        <w:gridCol w:w="915"/>
        <w:gridCol w:w="38"/>
        <w:gridCol w:w="908"/>
        <w:gridCol w:w="422"/>
        <w:gridCol w:w="117"/>
        <w:gridCol w:w="2350"/>
      </w:tblGrid>
      <w:tr w14:paraId="5A785F65">
        <w:tblPrEx>
          <w:tblCellMar>
            <w:top w:w="0" w:type="dxa"/>
            <w:left w:w="108" w:type="dxa"/>
            <w:bottom w:w="0" w:type="dxa"/>
            <w:right w:w="108" w:type="dxa"/>
          </w:tblCellMar>
        </w:tblPrEx>
        <w:trPr>
          <w:trHeight w:val="496" w:hRule="atLeast"/>
        </w:trPr>
        <w:tc>
          <w:tcPr>
            <w:tcW w:w="1548" w:type="dxa"/>
            <w:gridSpan w:val="2"/>
            <w:tcBorders>
              <w:top w:val="double" w:color="auto" w:sz="4" w:space="0"/>
              <w:left w:val="double" w:color="auto" w:sz="4" w:space="0"/>
              <w:bottom w:val="single" w:color="auto" w:sz="6" w:space="0"/>
              <w:right w:val="single" w:color="auto" w:sz="6" w:space="0"/>
            </w:tcBorders>
            <w:vAlign w:val="center"/>
          </w:tcPr>
          <w:p w14:paraId="1E5997B5">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p>
        </w:tc>
        <w:tc>
          <w:tcPr>
            <w:tcW w:w="4011" w:type="dxa"/>
            <w:gridSpan w:val="4"/>
            <w:tcBorders>
              <w:top w:val="double" w:color="auto" w:sz="4" w:space="0"/>
              <w:left w:val="single" w:color="auto" w:sz="6" w:space="0"/>
              <w:bottom w:val="single" w:color="auto" w:sz="6" w:space="0"/>
              <w:right w:val="single" w:color="auto" w:sz="6" w:space="0"/>
            </w:tcBorders>
            <w:vAlign w:val="center"/>
          </w:tcPr>
          <w:p w14:paraId="6AB2CF8B">
            <w:pPr>
              <w:topLinePunct/>
              <w:spacing w:line="360" w:lineRule="auto"/>
              <w:jc w:val="center"/>
              <w:rPr>
                <w:rFonts w:hint="eastAsia" w:ascii="宋体" w:hAnsi="宋体" w:eastAsia="宋体" w:cs="宋体"/>
                <w:color w:val="auto"/>
                <w:szCs w:val="21"/>
                <w:highlight w:val="none"/>
              </w:rPr>
            </w:pPr>
          </w:p>
        </w:tc>
        <w:tc>
          <w:tcPr>
            <w:tcW w:w="1330" w:type="dxa"/>
            <w:gridSpan w:val="2"/>
            <w:tcBorders>
              <w:top w:val="double" w:color="auto" w:sz="4" w:space="0"/>
              <w:left w:val="single" w:color="auto" w:sz="6" w:space="0"/>
              <w:bottom w:val="single" w:color="auto" w:sz="6" w:space="0"/>
              <w:right w:val="single" w:color="auto" w:sz="6" w:space="0"/>
            </w:tcBorders>
            <w:vAlign w:val="center"/>
          </w:tcPr>
          <w:p w14:paraId="050F943E">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467" w:type="dxa"/>
            <w:gridSpan w:val="2"/>
            <w:tcBorders>
              <w:top w:val="double" w:color="auto" w:sz="4" w:space="0"/>
              <w:left w:val="single" w:color="auto" w:sz="6" w:space="0"/>
              <w:bottom w:val="single" w:color="auto" w:sz="6" w:space="0"/>
              <w:right w:val="double" w:color="auto" w:sz="4" w:space="0"/>
            </w:tcBorders>
            <w:vAlign w:val="center"/>
          </w:tcPr>
          <w:p w14:paraId="031E13BA">
            <w:pPr>
              <w:topLinePunct/>
              <w:spacing w:line="360" w:lineRule="auto"/>
              <w:jc w:val="center"/>
              <w:rPr>
                <w:rFonts w:hint="eastAsia" w:ascii="宋体" w:hAnsi="宋体" w:eastAsia="宋体" w:cs="宋体"/>
                <w:color w:val="auto"/>
                <w:szCs w:val="21"/>
                <w:highlight w:val="none"/>
              </w:rPr>
            </w:pPr>
          </w:p>
        </w:tc>
      </w:tr>
      <w:tr w14:paraId="0A5D1C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1548" w:type="dxa"/>
            <w:gridSpan w:val="2"/>
            <w:vMerge w:val="restart"/>
            <w:tcBorders>
              <w:top w:val="single" w:color="auto" w:sz="6" w:space="0"/>
              <w:left w:val="double" w:color="auto" w:sz="4" w:space="0"/>
              <w:bottom w:val="single" w:color="auto" w:sz="6" w:space="0"/>
              <w:right w:val="single" w:color="auto" w:sz="6" w:space="0"/>
            </w:tcBorders>
            <w:vAlign w:val="center"/>
          </w:tcPr>
          <w:p w14:paraId="7820D745">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联系方式</w:t>
            </w:r>
          </w:p>
        </w:tc>
        <w:tc>
          <w:tcPr>
            <w:tcW w:w="1713" w:type="dxa"/>
            <w:tcBorders>
              <w:top w:val="single" w:color="auto" w:sz="6" w:space="0"/>
              <w:left w:val="single" w:color="auto" w:sz="6" w:space="0"/>
              <w:bottom w:val="single" w:color="auto" w:sz="6" w:space="0"/>
              <w:right w:val="single" w:color="auto" w:sz="6" w:space="0"/>
            </w:tcBorders>
            <w:vAlign w:val="center"/>
          </w:tcPr>
          <w:p w14:paraId="4D495191">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联系人</w:t>
            </w:r>
          </w:p>
        </w:tc>
        <w:tc>
          <w:tcPr>
            <w:tcW w:w="2298" w:type="dxa"/>
            <w:gridSpan w:val="3"/>
            <w:tcBorders>
              <w:top w:val="single" w:color="auto" w:sz="6" w:space="0"/>
              <w:left w:val="single" w:color="auto" w:sz="6" w:space="0"/>
              <w:bottom w:val="single" w:color="auto" w:sz="6" w:space="0"/>
              <w:right w:val="single" w:color="auto" w:sz="6" w:space="0"/>
            </w:tcBorders>
            <w:vAlign w:val="center"/>
          </w:tcPr>
          <w:p w14:paraId="6C64551F">
            <w:pPr>
              <w:topLinePunct/>
              <w:spacing w:line="360" w:lineRule="auto"/>
              <w:jc w:val="center"/>
              <w:rPr>
                <w:rFonts w:hint="eastAsia" w:ascii="宋体" w:hAnsi="宋体" w:eastAsia="宋体" w:cs="宋体"/>
                <w:color w:val="auto"/>
                <w:szCs w:val="21"/>
                <w:highlight w:val="none"/>
              </w:rPr>
            </w:pPr>
          </w:p>
        </w:tc>
        <w:tc>
          <w:tcPr>
            <w:tcW w:w="1330" w:type="dxa"/>
            <w:gridSpan w:val="2"/>
            <w:tcBorders>
              <w:top w:val="single" w:color="auto" w:sz="6" w:space="0"/>
              <w:left w:val="single" w:color="auto" w:sz="6" w:space="0"/>
              <w:bottom w:val="single" w:color="auto" w:sz="6" w:space="0"/>
              <w:right w:val="single" w:color="auto" w:sz="6" w:space="0"/>
            </w:tcBorders>
            <w:vAlign w:val="center"/>
          </w:tcPr>
          <w:p w14:paraId="35C9D012">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电    话</w:t>
            </w:r>
          </w:p>
        </w:tc>
        <w:tc>
          <w:tcPr>
            <w:tcW w:w="2467" w:type="dxa"/>
            <w:gridSpan w:val="2"/>
            <w:tcBorders>
              <w:top w:val="single" w:color="auto" w:sz="6" w:space="0"/>
              <w:left w:val="single" w:color="auto" w:sz="6" w:space="0"/>
              <w:bottom w:val="single" w:color="auto" w:sz="6" w:space="0"/>
              <w:right w:val="double" w:color="auto" w:sz="4" w:space="0"/>
            </w:tcBorders>
            <w:vAlign w:val="center"/>
          </w:tcPr>
          <w:p w14:paraId="4849B3E9">
            <w:pPr>
              <w:topLinePunct/>
              <w:spacing w:line="360" w:lineRule="auto"/>
              <w:jc w:val="center"/>
              <w:rPr>
                <w:rFonts w:hint="eastAsia" w:ascii="宋体" w:hAnsi="宋体" w:eastAsia="宋体" w:cs="宋体"/>
                <w:color w:val="auto"/>
                <w:szCs w:val="21"/>
                <w:highlight w:val="none"/>
              </w:rPr>
            </w:pPr>
          </w:p>
        </w:tc>
      </w:tr>
      <w:tr w14:paraId="79005F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1548" w:type="dxa"/>
            <w:gridSpan w:val="2"/>
            <w:vMerge w:val="continue"/>
            <w:tcBorders>
              <w:top w:val="single" w:color="auto" w:sz="6" w:space="0"/>
              <w:left w:val="double" w:color="auto" w:sz="4" w:space="0"/>
              <w:bottom w:val="single" w:color="auto" w:sz="6" w:space="0"/>
              <w:right w:val="single" w:color="auto" w:sz="6" w:space="0"/>
            </w:tcBorders>
            <w:vAlign w:val="center"/>
          </w:tcPr>
          <w:p w14:paraId="781174B1">
            <w:pPr>
              <w:topLinePunct/>
              <w:spacing w:line="360" w:lineRule="auto"/>
              <w:jc w:val="center"/>
              <w:rPr>
                <w:rFonts w:hint="eastAsia" w:ascii="宋体" w:hAnsi="宋体" w:eastAsia="宋体" w:cs="宋体"/>
                <w:color w:val="auto"/>
                <w:szCs w:val="21"/>
                <w:highlight w:val="none"/>
              </w:rPr>
            </w:pPr>
          </w:p>
        </w:tc>
        <w:tc>
          <w:tcPr>
            <w:tcW w:w="1713" w:type="dxa"/>
            <w:tcBorders>
              <w:top w:val="single" w:color="auto" w:sz="6" w:space="0"/>
              <w:left w:val="single" w:color="auto" w:sz="6" w:space="0"/>
              <w:bottom w:val="single" w:color="auto" w:sz="6" w:space="0"/>
              <w:right w:val="single" w:color="auto" w:sz="6" w:space="0"/>
            </w:tcBorders>
            <w:vAlign w:val="center"/>
          </w:tcPr>
          <w:p w14:paraId="63F834C9">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传  真</w:t>
            </w:r>
          </w:p>
        </w:tc>
        <w:tc>
          <w:tcPr>
            <w:tcW w:w="2298" w:type="dxa"/>
            <w:gridSpan w:val="3"/>
            <w:tcBorders>
              <w:top w:val="single" w:color="auto" w:sz="6" w:space="0"/>
              <w:left w:val="single" w:color="auto" w:sz="6" w:space="0"/>
              <w:bottom w:val="single" w:color="auto" w:sz="6" w:space="0"/>
              <w:right w:val="single" w:color="auto" w:sz="6" w:space="0"/>
            </w:tcBorders>
            <w:vAlign w:val="center"/>
          </w:tcPr>
          <w:p w14:paraId="5322BE84">
            <w:pPr>
              <w:topLinePunct/>
              <w:spacing w:line="360" w:lineRule="auto"/>
              <w:jc w:val="center"/>
              <w:rPr>
                <w:rFonts w:hint="eastAsia" w:ascii="宋体" w:hAnsi="宋体" w:eastAsia="宋体" w:cs="宋体"/>
                <w:color w:val="auto"/>
                <w:szCs w:val="21"/>
                <w:highlight w:val="none"/>
              </w:rPr>
            </w:pPr>
          </w:p>
        </w:tc>
        <w:tc>
          <w:tcPr>
            <w:tcW w:w="1330" w:type="dxa"/>
            <w:gridSpan w:val="2"/>
            <w:tcBorders>
              <w:top w:val="single" w:color="auto" w:sz="6" w:space="0"/>
              <w:left w:val="single" w:color="auto" w:sz="6" w:space="0"/>
              <w:bottom w:val="single" w:color="auto" w:sz="6" w:space="0"/>
              <w:right w:val="single" w:color="auto" w:sz="6" w:space="0"/>
            </w:tcBorders>
            <w:vAlign w:val="center"/>
          </w:tcPr>
          <w:p w14:paraId="0DAE3F8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w:t>
            </w:r>
          </w:p>
        </w:tc>
        <w:tc>
          <w:tcPr>
            <w:tcW w:w="2467" w:type="dxa"/>
            <w:gridSpan w:val="2"/>
            <w:tcBorders>
              <w:top w:val="single" w:color="auto" w:sz="6" w:space="0"/>
              <w:left w:val="single" w:color="auto" w:sz="6" w:space="0"/>
              <w:bottom w:val="single" w:color="auto" w:sz="6" w:space="0"/>
              <w:right w:val="double" w:color="auto" w:sz="4" w:space="0"/>
            </w:tcBorders>
            <w:vAlign w:val="center"/>
          </w:tcPr>
          <w:p w14:paraId="0117BEC3">
            <w:pPr>
              <w:topLinePunct/>
              <w:spacing w:line="360" w:lineRule="auto"/>
              <w:jc w:val="center"/>
              <w:rPr>
                <w:rFonts w:hint="eastAsia" w:ascii="宋体" w:hAnsi="宋体" w:eastAsia="宋体" w:cs="宋体"/>
                <w:color w:val="auto"/>
                <w:szCs w:val="21"/>
                <w:highlight w:val="none"/>
              </w:rPr>
            </w:pPr>
          </w:p>
        </w:tc>
      </w:tr>
      <w:tr w14:paraId="617D2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restart"/>
            <w:tcBorders>
              <w:top w:val="single" w:color="auto" w:sz="6" w:space="0"/>
              <w:left w:val="double" w:color="auto" w:sz="4" w:space="0"/>
              <w:bottom w:val="single" w:color="auto" w:sz="6" w:space="0"/>
              <w:right w:val="single" w:color="auto" w:sz="6" w:space="0"/>
            </w:tcBorders>
            <w:vAlign w:val="center"/>
          </w:tcPr>
          <w:p w14:paraId="310C704F">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4011" w:type="dxa"/>
            <w:gridSpan w:val="4"/>
            <w:tcBorders>
              <w:top w:val="single" w:color="auto" w:sz="6" w:space="0"/>
              <w:left w:val="single" w:color="auto" w:sz="6" w:space="0"/>
              <w:bottom w:val="single" w:color="auto" w:sz="6" w:space="0"/>
              <w:right w:val="single" w:color="auto" w:sz="6" w:space="0"/>
            </w:tcBorders>
            <w:vAlign w:val="center"/>
          </w:tcPr>
          <w:p w14:paraId="1D1677D8">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统一社会信用代码或注册号</w:t>
            </w:r>
          </w:p>
        </w:tc>
        <w:tc>
          <w:tcPr>
            <w:tcW w:w="3797" w:type="dxa"/>
            <w:gridSpan w:val="4"/>
            <w:tcBorders>
              <w:top w:val="single" w:color="auto" w:sz="6" w:space="0"/>
              <w:left w:val="single" w:color="auto" w:sz="6" w:space="0"/>
              <w:bottom w:val="single" w:color="auto" w:sz="6" w:space="0"/>
              <w:right w:val="double" w:color="auto" w:sz="4" w:space="0"/>
            </w:tcBorders>
            <w:vAlign w:val="center"/>
          </w:tcPr>
          <w:p w14:paraId="3E9FEC47">
            <w:pPr>
              <w:topLinePunct/>
              <w:spacing w:line="360" w:lineRule="auto"/>
              <w:ind w:firstLine="105" w:firstLineChars="50"/>
              <w:jc w:val="center"/>
              <w:rPr>
                <w:rFonts w:hint="eastAsia" w:ascii="宋体" w:hAnsi="宋体" w:eastAsia="宋体" w:cs="宋体"/>
                <w:color w:val="auto"/>
                <w:szCs w:val="21"/>
                <w:highlight w:val="none"/>
              </w:rPr>
            </w:pPr>
          </w:p>
        </w:tc>
      </w:tr>
      <w:tr w14:paraId="3A4567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continue"/>
            <w:tcBorders>
              <w:top w:val="single" w:color="auto" w:sz="6" w:space="0"/>
              <w:left w:val="double" w:color="auto" w:sz="4" w:space="0"/>
              <w:bottom w:val="single" w:color="auto" w:sz="6" w:space="0"/>
              <w:right w:val="single" w:color="auto" w:sz="6" w:space="0"/>
            </w:tcBorders>
            <w:vAlign w:val="center"/>
          </w:tcPr>
          <w:p w14:paraId="246406E1">
            <w:pPr>
              <w:topLinePunct/>
              <w:spacing w:line="360" w:lineRule="auto"/>
              <w:jc w:val="center"/>
              <w:rPr>
                <w:rFonts w:hint="eastAsia" w:ascii="宋体" w:hAnsi="宋体" w:eastAsia="宋体" w:cs="宋体"/>
                <w:color w:val="auto"/>
                <w:szCs w:val="21"/>
                <w:highlight w:val="none"/>
              </w:rPr>
            </w:pPr>
          </w:p>
        </w:tc>
        <w:tc>
          <w:tcPr>
            <w:tcW w:w="1713" w:type="dxa"/>
            <w:tcBorders>
              <w:top w:val="single" w:color="auto" w:sz="6" w:space="0"/>
              <w:left w:val="single" w:color="auto" w:sz="6" w:space="0"/>
              <w:bottom w:val="single" w:color="auto" w:sz="6" w:space="0"/>
              <w:right w:val="single" w:color="auto" w:sz="6" w:space="0"/>
            </w:tcBorders>
            <w:vAlign w:val="center"/>
          </w:tcPr>
          <w:p w14:paraId="6E0D2E85">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住所</w:t>
            </w:r>
          </w:p>
        </w:tc>
        <w:tc>
          <w:tcPr>
            <w:tcW w:w="6095" w:type="dxa"/>
            <w:gridSpan w:val="7"/>
            <w:tcBorders>
              <w:top w:val="single" w:color="auto" w:sz="6" w:space="0"/>
              <w:left w:val="single" w:color="auto" w:sz="6" w:space="0"/>
              <w:bottom w:val="single" w:color="auto" w:sz="6" w:space="0"/>
              <w:right w:val="double" w:color="auto" w:sz="4" w:space="0"/>
            </w:tcBorders>
            <w:vAlign w:val="center"/>
          </w:tcPr>
          <w:p w14:paraId="7FE58160">
            <w:pPr>
              <w:topLinePunct/>
              <w:spacing w:line="360" w:lineRule="auto"/>
              <w:ind w:firstLine="105" w:firstLineChars="50"/>
              <w:jc w:val="center"/>
              <w:rPr>
                <w:rFonts w:hint="eastAsia" w:ascii="宋体" w:hAnsi="宋体" w:eastAsia="宋体" w:cs="宋体"/>
                <w:color w:val="auto"/>
                <w:szCs w:val="21"/>
                <w:highlight w:val="none"/>
              </w:rPr>
            </w:pPr>
          </w:p>
        </w:tc>
      </w:tr>
      <w:tr w14:paraId="404B49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continue"/>
            <w:tcBorders>
              <w:top w:val="single" w:color="auto" w:sz="6" w:space="0"/>
              <w:left w:val="double" w:color="auto" w:sz="4" w:space="0"/>
              <w:bottom w:val="single" w:color="auto" w:sz="6" w:space="0"/>
              <w:right w:val="single" w:color="auto" w:sz="6" w:space="0"/>
            </w:tcBorders>
            <w:vAlign w:val="center"/>
          </w:tcPr>
          <w:p w14:paraId="5D17C78A">
            <w:pPr>
              <w:topLinePunct/>
              <w:spacing w:line="360" w:lineRule="auto"/>
              <w:jc w:val="center"/>
              <w:rPr>
                <w:rFonts w:hint="eastAsia" w:ascii="宋体" w:hAnsi="宋体" w:eastAsia="宋体" w:cs="宋体"/>
                <w:color w:val="auto"/>
                <w:szCs w:val="21"/>
                <w:highlight w:val="none"/>
              </w:rPr>
            </w:pPr>
          </w:p>
        </w:tc>
        <w:tc>
          <w:tcPr>
            <w:tcW w:w="1713" w:type="dxa"/>
            <w:tcBorders>
              <w:top w:val="single" w:color="auto" w:sz="6" w:space="0"/>
              <w:left w:val="single" w:color="auto" w:sz="6" w:space="0"/>
              <w:bottom w:val="single" w:color="auto" w:sz="6" w:space="0"/>
              <w:right w:val="single" w:color="auto" w:sz="6" w:space="0"/>
            </w:tcBorders>
            <w:vAlign w:val="center"/>
          </w:tcPr>
          <w:p w14:paraId="573AA5C0">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2298" w:type="dxa"/>
            <w:gridSpan w:val="3"/>
            <w:tcBorders>
              <w:top w:val="single" w:color="auto" w:sz="6" w:space="0"/>
              <w:left w:val="single" w:color="auto" w:sz="6" w:space="0"/>
              <w:bottom w:val="single" w:color="auto" w:sz="6" w:space="0"/>
              <w:right w:val="single" w:color="auto" w:sz="6" w:space="0"/>
            </w:tcBorders>
            <w:vAlign w:val="center"/>
          </w:tcPr>
          <w:p w14:paraId="61C67089">
            <w:pPr>
              <w:topLinePunct/>
              <w:spacing w:line="360" w:lineRule="auto"/>
              <w:ind w:firstLine="105" w:firstLineChars="50"/>
              <w:jc w:val="center"/>
              <w:rPr>
                <w:rFonts w:hint="eastAsia" w:ascii="宋体" w:hAnsi="宋体" w:eastAsia="宋体" w:cs="宋体"/>
                <w:color w:val="auto"/>
                <w:szCs w:val="21"/>
                <w:highlight w:val="none"/>
              </w:rPr>
            </w:pPr>
          </w:p>
        </w:tc>
        <w:tc>
          <w:tcPr>
            <w:tcW w:w="1330" w:type="dxa"/>
            <w:gridSpan w:val="2"/>
            <w:tcBorders>
              <w:top w:val="single" w:color="auto" w:sz="6" w:space="0"/>
              <w:left w:val="single" w:color="auto" w:sz="6" w:space="0"/>
              <w:bottom w:val="single" w:color="auto" w:sz="6" w:space="0"/>
              <w:right w:val="single" w:color="auto" w:sz="6" w:space="0"/>
            </w:tcBorders>
            <w:vAlign w:val="center"/>
          </w:tcPr>
          <w:p w14:paraId="47E7EAA2">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tc>
        <w:tc>
          <w:tcPr>
            <w:tcW w:w="2467" w:type="dxa"/>
            <w:gridSpan w:val="2"/>
            <w:tcBorders>
              <w:top w:val="single" w:color="auto" w:sz="6" w:space="0"/>
              <w:left w:val="single" w:color="auto" w:sz="6" w:space="0"/>
              <w:bottom w:val="single" w:color="auto" w:sz="6" w:space="0"/>
              <w:right w:val="double" w:color="auto" w:sz="4" w:space="0"/>
            </w:tcBorders>
            <w:vAlign w:val="center"/>
          </w:tcPr>
          <w:p w14:paraId="310720B6">
            <w:pPr>
              <w:topLinePunct/>
              <w:spacing w:line="360" w:lineRule="auto"/>
              <w:ind w:firstLine="105" w:firstLineChars="50"/>
              <w:jc w:val="center"/>
              <w:rPr>
                <w:rFonts w:hint="eastAsia" w:ascii="宋体" w:hAnsi="宋体" w:eastAsia="宋体" w:cs="宋体"/>
                <w:color w:val="auto"/>
                <w:szCs w:val="21"/>
                <w:highlight w:val="none"/>
              </w:rPr>
            </w:pPr>
          </w:p>
        </w:tc>
      </w:tr>
      <w:tr w14:paraId="44F2AF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continue"/>
            <w:tcBorders>
              <w:top w:val="single" w:color="auto" w:sz="6" w:space="0"/>
              <w:left w:val="double" w:color="auto" w:sz="4" w:space="0"/>
              <w:bottom w:val="single" w:color="auto" w:sz="6" w:space="0"/>
              <w:right w:val="single" w:color="auto" w:sz="6" w:space="0"/>
            </w:tcBorders>
            <w:vAlign w:val="center"/>
          </w:tcPr>
          <w:p w14:paraId="34C86778">
            <w:pPr>
              <w:topLinePunct/>
              <w:spacing w:line="360" w:lineRule="auto"/>
              <w:jc w:val="center"/>
              <w:rPr>
                <w:rFonts w:hint="eastAsia" w:ascii="宋体" w:hAnsi="宋体" w:eastAsia="宋体" w:cs="宋体"/>
                <w:color w:val="auto"/>
                <w:szCs w:val="21"/>
                <w:highlight w:val="none"/>
              </w:rPr>
            </w:pPr>
          </w:p>
        </w:tc>
        <w:tc>
          <w:tcPr>
            <w:tcW w:w="1713" w:type="dxa"/>
            <w:tcBorders>
              <w:top w:val="single" w:color="auto" w:sz="6" w:space="0"/>
              <w:left w:val="single" w:color="auto" w:sz="6" w:space="0"/>
              <w:bottom w:val="single" w:color="auto" w:sz="6" w:space="0"/>
              <w:right w:val="single" w:color="auto" w:sz="6" w:space="0"/>
            </w:tcBorders>
            <w:vAlign w:val="center"/>
          </w:tcPr>
          <w:p w14:paraId="3389C26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c>
          <w:tcPr>
            <w:tcW w:w="2298" w:type="dxa"/>
            <w:gridSpan w:val="3"/>
            <w:tcBorders>
              <w:top w:val="single" w:color="auto" w:sz="6" w:space="0"/>
              <w:left w:val="single" w:color="auto" w:sz="6" w:space="0"/>
              <w:bottom w:val="single" w:color="auto" w:sz="6" w:space="0"/>
              <w:right w:val="single" w:color="auto" w:sz="6" w:space="0"/>
            </w:tcBorders>
            <w:vAlign w:val="center"/>
          </w:tcPr>
          <w:p w14:paraId="0E0094B4">
            <w:pPr>
              <w:topLinePunct/>
              <w:spacing w:line="360" w:lineRule="auto"/>
              <w:ind w:firstLine="105" w:firstLineChars="50"/>
              <w:jc w:val="center"/>
              <w:rPr>
                <w:rFonts w:hint="eastAsia" w:ascii="宋体" w:hAnsi="宋体" w:eastAsia="宋体" w:cs="宋体"/>
                <w:color w:val="auto"/>
                <w:szCs w:val="21"/>
                <w:highlight w:val="none"/>
              </w:rPr>
            </w:pPr>
          </w:p>
        </w:tc>
        <w:tc>
          <w:tcPr>
            <w:tcW w:w="1330" w:type="dxa"/>
            <w:gridSpan w:val="2"/>
            <w:tcBorders>
              <w:top w:val="single" w:color="auto" w:sz="6" w:space="0"/>
              <w:left w:val="single" w:color="auto" w:sz="6" w:space="0"/>
              <w:bottom w:val="single" w:color="auto" w:sz="6" w:space="0"/>
              <w:right w:val="single" w:color="auto" w:sz="6" w:space="0"/>
            </w:tcBorders>
            <w:vAlign w:val="center"/>
          </w:tcPr>
          <w:p w14:paraId="61561102">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2467" w:type="dxa"/>
            <w:gridSpan w:val="2"/>
            <w:tcBorders>
              <w:top w:val="single" w:color="auto" w:sz="6" w:space="0"/>
              <w:left w:val="single" w:color="auto" w:sz="6" w:space="0"/>
              <w:bottom w:val="single" w:color="auto" w:sz="6" w:space="0"/>
              <w:right w:val="double" w:color="auto" w:sz="4" w:space="0"/>
            </w:tcBorders>
            <w:vAlign w:val="center"/>
          </w:tcPr>
          <w:p w14:paraId="7B046AFB">
            <w:pPr>
              <w:topLinePunct/>
              <w:spacing w:line="360" w:lineRule="auto"/>
              <w:ind w:firstLine="105" w:firstLineChars="50"/>
              <w:jc w:val="center"/>
              <w:rPr>
                <w:rFonts w:hint="eastAsia" w:ascii="宋体" w:hAnsi="宋体" w:eastAsia="宋体" w:cs="宋体"/>
                <w:color w:val="auto"/>
                <w:szCs w:val="21"/>
                <w:highlight w:val="none"/>
              </w:rPr>
            </w:pPr>
          </w:p>
        </w:tc>
      </w:tr>
      <w:tr w14:paraId="4E9A1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1548" w:type="dxa"/>
            <w:gridSpan w:val="2"/>
            <w:vMerge w:val="continue"/>
            <w:tcBorders>
              <w:top w:val="single" w:color="auto" w:sz="6" w:space="0"/>
              <w:left w:val="double" w:color="auto" w:sz="4" w:space="0"/>
              <w:bottom w:val="single" w:color="auto" w:sz="6" w:space="0"/>
              <w:right w:val="single" w:color="auto" w:sz="6" w:space="0"/>
            </w:tcBorders>
            <w:vAlign w:val="center"/>
          </w:tcPr>
          <w:p w14:paraId="62056FB8">
            <w:pPr>
              <w:topLinePunct/>
              <w:spacing w:line="360" w:lineRule="auto"/>
              <w:jc w:val="center"/>
              <w:rPr>
                <w:rFonts w:hint="eastAsia" w:ascii="宋体" w:hAnsi="宋体" w:eastAsia="宋体" w:cs="宋体"/>
                <w:color w:val="auto"/>
                <w:szCs w:val="21"/>
                <w:highlight w:val="none"/>
              </w:rPr>
            </w:pPr>
          </w:p>
        </w:tc>
        <w:tc>
          <w:tcPr>
            <w:tcW w:w="1713" w:type="dxa"/>
            <w:tcBorders>
              <w:top w:val="single" w:color="auto" w:sz="6" w:space="0"/>
              <w:left w:val="single" w:color="auto" w:sz="6" w:space="0"/>
              <w:bottom w:val="single" w:color="auto" w:sz="6" w:space="0"/>
              <w:right w:val="single" w:color="auto" w:sz="6" w:space="0"/>
            </w:tcBorders>
            <w:vAlign w:val="center"/>
          </w:tcPr>
          <w:p w14:paraId="62064F9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营业范围</w:t>
            </w:r>
          </w:p>
        </w:tc>
        <w:tc>
          <w:tcPr>
            <w:tcW w:w="6095" w:type="dxa"/>
            <w:gridSpan w:val="7"/>
            <w:tcBorders>
              <w:top w:val="single" w:color="auto" w:sz="6" w:space="0"/>
              <w:left w:val="single" w:color="auto" w:sz="6" w:space="0"/>
              <w:bottom w:val="single" w:color="auto" w:sz="6" w:space="0"/>
              <w:right w:val="double" w:color="auto" w:sz="4" w:space="0"/>
            </w:tcBorders>
            <w:vAlign w:val="center"/>
          </w:tcPr>
          <w:p w14:paraId="62F893E4">
            <w:pPr>
              <w:topLinePunct/>
              <w:spacing w:line="360" w:lineRule="auto"/>
              <w:ind w:firstLine="105" w:firstLineChars="50"/>
              <w:jc w:val="center"/>
              <w:rPr>
                <w:rFonts w:hint="eastAsia" w:ascii="宋体" w:hAnsi="宋体" w:eastAsia="宋体" w:cs="宋体"/>
                <w:color w:val="auto"/>
                <w:szCs w:val="21"/>
                <w:highlight w:val="none"/>
              </w:rPr>
            </w:pPr>
          </w:p>
        </w:tc>
      </w:tr>
      <w:tr w14:paraId="32BD3C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6" w:space="0"/>
              <w:left w:val="double" w:color="auto" w:sz="4" w:space="0"/>
              <w:bottom w:val="single" w:color="auto" w:sz="6" w:space="0"/>
              <w:right w:val="single" w:color="auto" w:sz="6" w:space="0"/>
            </w:tcBorders>
            <w:vAlign w:val="center"/>
          </w:tcPr>
          <w:p w14:paraId="48999F5C">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基本账户开户行</w:t>
            </w:r>
          </w:p>
        </w:tc>
        <w:tc>
          <w:tcPr>
            <w:tcW w:w="2260" w:type="dxa"/>
            <w:gridSpan w:val="2"/>
            <w:tcBorders>
              <w:top w:val="single" w:color="auto" w:sz="6" w:space="0"/>
              <w:left w:val="single" w:color="auto" w:sz="6" w:space="0"/>
              <w:bottom w:val="single" w:color="auto" w:sz="6" w:space="0"/>
              <w:right w:val="single" w:color="auto" w:sz="6" w:space="0"/>
            </w:tcBorders>
            <w:vAlign w:val="center"/>
          </w:tcPr>
          <w:p w14:paraId="349F3850">
            <w:pPr>
              <w:topLinePunct/>
              <w:spacing w:line="360" w:lineRule="auto"/>
              <w:jc w:val="center"/>
              <w:rPr>
                <w:rFonts w:hint="eastAsia" w:ascii="宋体" w:hAnsi="宋体" w:eastAsia="宋体" w:cs="宋体"/>
                <w:color w:val="auto"/>
                <w:szCs w:val="21"/>
                <w:highlight w:val="none"/>
              </w:rPr>
            </w:pPr>
          </w:p>
        </w:tc>
        <w:tc>
          <w:tcPr>
            <w:tcW w:w="1485" w:type="dxa"/>
            <w:gridSpan w:val="4"/>
            <w:tcBorders>
              <w:top w:val="single" w:color="auto" w:sz="6" w:space="0"/>
              <w:left w:val="single" w:color="auto" w:sz="6" w:space="0"/>
              <w:bottom w:val="single" w:color="auto" w:sz="6" w:space="0"/>
              <w:right w:val="single" w:color="auto" w:sz="6" w:space="0"/>
            </w:tcBorders>
            <w:vAlign w:val="center"/>
          </w:tcPr>
          <w:p w14:paraId="307F74E8">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2350" w:type="dxa"/>
            <w:tcBorders>
              <w:top w:val="single" w:color="auto" w:sz="6" w:space="0"/>
              <w:left w:val="single" w:color="auto" w:sz="6" w:space="0"/>
              <w:bottom w:val="single" w:color="auto" w:sz="6" w:space="0"/>
              <w:right w:val="double" w:color="auto" w:sz="4" w:space="0"/>
            </w:tcBorders>
            <w:vAlign w:val="center"/>
          </w:tcPr>
          <w:p w14:paraId="4E637C0E">
            <w:pPr>
              <w:topLinePunct/>
              <w:spacing w:line="360" w:lineRule="auto"/>
              <w:jc w:val="center"/>
              <w:rPr>
                <w:rFonts w:hint="eastAsia" w:ascii="宋体" w:hAnsi="宋体" w:eastAsia="宋体" w:cs="宋体"/>
                <w:color w:val="auto"/>
                <w:szCs w:val="21"/>
                <w:highlight w:val="none"/>
              </w:rPr>
            </w:pPr>
          </w:p>
        </w:tc>
      </w:tr>
      <w:tr w14:paraId="1F97A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6" w:space="0"/>
              <w:left w:val="double" w:color="auto" w:sz="4" w:space="0"/>
              <w:bottom w:val="single" w:color="auto" w:sz="6" w:space="0"/>
              <w:right w:val="single" w:color="auto" w:sz="6" w:space="0"/>
            </w:tcBorders>
            <w:vAlign w:val="center"/>
          </w:tcPr>
          <w:p w14:paraId="1B7B0155">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税务登记机关</w:t>
            </w:r>
          </w:p>
        </w:tc>
        <w:tc>
          <w:tcPr>
            <w:tcW w:w="6095" w:type="dxa"/>
            <w:gridSpan w:val="7"/>
            <w:tcBorders>
              <w:top w:val="single" w:color="auto" w:sz="6" w:space="0"/>
              <w:left w:val="single" w:color="auto" w:sz="6" w:space="0"/>
              <w:bottom w:val="single" w:color="auto" w:sz="6" w:space="0"/>
              <w:right w:val="double" w:color="auto" w:sz="4" w:space="0"/>
            </w:tcBorders>
            <w:vAlign w:val="center"/>
          </w:tcPr>
          <w:p w14:paraId="017BB772">
            <w:pPr>
              <w:topLinePunct/>
              <w:spacing w:line="360" w:lineRule="auto"/>
              <w:jc w:val="center"/>
              <w:rPr>
                <w:rFonts w:hint="eastAsia" w:ascii="宋体" w:hAnsi="宋体" w:eastAsia="宋体" w:cs="宋体"/>
                <w:color w:val="auto"/>
                <w:szCs w:val="21"/>
                <w:highlight w:val="none"/>
              </w:rPr>
            </w:pPr>
          </w:p>
        </w:tc>
      </w:tr>
      <w:tr w14:paraId="56B59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6" w:space="0"/>
              <w:left w:val="double" w:color="auto" w:sz="4" w:space="0"/>
              <w:bottom w:val="single" w:color="auto" w:sz="4" w:space="0"/>
              <w:right w:val="single" w:color="auto" w:sz="6" w:space="0"/>
            </w:tcBorders>
            <w:vAlign w:val="center"/>
          </w:tcPr>
          <w:p w14:paraId="3A0BA9E5">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资质名称</w:t>
            </w:r>
          </w:p>
        </w:tc>
        <w:tc>
          <w:tcPr>
            <w:tcW w:w="1345" w:type="dxa"/>
            <w:tcBorders>
              <w:top w:val="single" w:color="auto" w:sz="6" w:space="0"/>
              <w:left w:val="single" w:color="auto" w:sz="6" w:space="0"/>
              <w:bottom w:val="single" w:color="auto" w:sz="4" w:space="0"/>
              <w:right w:val="single" w:color="auto" w:sz="4" w:space="0"/>
            </w:tcBorders>
            <w:vAlign w:val="center"/>
          </w:tcPr>
          <w:p w14:paraId="236CC73B">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等级</w:t>
            </w:r>
          </w:p>
        </w:tc>
        <w:tc>
          <w:tcPr>
            <w:tcW w:w="1861" w:type="dxa"/>
            <w:gridSpan w:val="3"/>
            <w:tcBorders>
              <w:top w:val="single" w:color="auto" w:sz="6" w:space="0"/>
              <w:left w:val="single" w:color="auto" w:sz="4" w:space="0"/>
              <w:bottom w:val="single" w:color="auto" w:sz="6" w:space="0"/>
              <w:right w:val="single" w:color="auto" w:sz="4" w:space="0"/>
            </w:tcBorders>
            <w:vAlign w:val="center"/>
          </w:tcPr>
          <w:p w14:paraId="256D60F3">
            <w:pPr>
              <w:topLinePunct/>
              <w:spacing w:line="360" w:lineRule="auto"/>
              <w:ind w:left="34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证书号</w:t>
            </w:r>
          </w:p>
        </w:tc>
        <w:tc>
          <w:tcPr>
            <w:tcW w:w="2889" w:type="dxa"/>
            <w:gridSpan w:val="3"/>
            <w:tcBorders>
              <w:top w:val="single" w:color="auto" w:sz="6" w:space="0"/>
              <w:left w:val="single" w:color="auto" w:sz="4" w:space="0"/>
              <w:bottom w:val="single" w:color="auto" w:sz="6" w:space="0"/>
              <w:right w:val="double" w:color="auto" w:sz="4" w:space="0"/>
            </w:tcBorders>
            <w:vAlign w:val="center"/>
          </w:tcPr>
          <w:p w14:paraId="64A10C39">
            <w:pPr>
              <w:topLinePunct/>
              <w:spacing w:line="360" w:lineRule="auto"/>
              <w:ind w:left="39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r>
      <w:tr w14:paraId="3F8D5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4" w:space="0"/>
              <w:left w:val="double" w:color="auto" w:sz="4" w:space="0"/>
              <w:bottom w:val="single" w:color="auto" w:sz="4" w:space="0"/>
              <w:right w:val="single" w:color="auto" w:sz="6" w:space="0"/>
            </w:tcBorders>
            <w:vAlign w:val="center"/>
          </w:tcPr>
          <w:p w14:paraId="647F01E0">
            <w:pPr>
              <w:topLinePunct/>
              <w:spacing w:line="360" w:lineRule="auto"/>
              <w:jc w:val="center"/>
              <w:rPr>
                <w:rFonts w:hint="eastAsia" w:ascii="宋体" w:hAnsi="宋体" w:eastAsia="宋体" w:cs="宋体"/>
                <w:color w:val="auto"/>
                <w:szCs w:val="21"/>
                <w:highlight w:val="none"/>
              </w:rPr>
            </w:pPr>
          </w:p>
        </w:tc>
        <w:tc>
          <w:tcPr>
            <w:tcW w:w="1345" w:type="dxa"/>
            <w:tcBorders>
              <w:top w:val="single" w:color="auto" w:sz="4" w:space="0"/>
              <w:left w:val="single" w:color="auto" w:sz="6" w:space="0"/>
              <w:bottom w:val="single" w:color="auto" w:sz="4" w:space="0"/>
              <w:right w:val="single" w:color="auto" w:sz="4" w:space="0"/>
            </w:tcBorders>
            <w:vAlign w:val="center"/>
          </w:tcPr>
          <w:p w14:paraId="7D8B528D">
            <w:pPr>
              <w:topLinePunct/>
              <w:spacing w:line="360" w:lineRule="auto"/>
              <w:jc w:val="center"/>
              <w:rPr>
                <w:rFonts w:hint="eastAsia" w:ascii="宋体" w:hAnsi="宋体" w:eastAsia="宋体" w:cs="宋体"/>
                <w:color w:val="auto"/>
                <w:szCs w:val="21"/>
                <w:highlight w:val="none"/>
              </w:rPr>
            </w:pPr>
          </w:p>
        </w:tc>
        <w:tc>
          <w:tcPr>
            <w:tcW w:w="1861" w:type="dxa"/>
            <w:gridSpan w:val="3"/>
            <w:tcBorders>
              <w:top w:val="single" w:color="auto" w:sz="6" w:space="0"/>
              <w:left w:val="single" w:color="auto" w:sz="4" w:space="0"/>
              <w:bottom w:val="single" w:color="auto" w:sz="6" w:space="0"/>
              <w:right w:val="single" w:color="auto" w:sz="4" w:space="0"/>
            </w:tcBorders>
            <w:vAlign w:val="center"/>
          </w:tcPr>
          <w:p w14:paraId="028539E5">
            <w:pPr>
              <w:topLinePunct/>
              <w:spacing w:line="360" w:lineRule="auto"/>
              <w:jc w:val="center"/>
              <w:rPr>
                <w:rFonts w:hint="eastAsia" w:ascii="宋体" w:hAnsi="宋体" w:eastAsia="宋体" w:cs="宋体"/>
                <w:color w:val="auto"/>
                <w:szCs w:val="21"/>
                <w:highlight w:val="none"/>
              </w:rPr>
            </w:pPr>
          </w:p>
        </w:tc>
        <w:tc>
          <w:tcPr>
            <w:tcW w:w="2889" w:type="dxa"/>
            <w:gridSpan w:val="3"/>
            <w:tcBorders>
              <w:top w:val="single" w:color="auto" w:sz="6" w:space="0"/>
              <w:left w:val="single" w:color="auto" w:sz="4" w:space="0"/>
              <w:bottom w:val="single" w:color="auto" w:sz="6" w:space="0"/>
              <w:right w:val="double" w:color="auto" w:sz="4" w:space="0"/>
            </w:tcBorders>
            <w:vAlign w:val="center"/>
          </w:tcPr>
          <w:p w14:paraId="779232BB">
            <w:pPr>
              <w:topLinePunct/>
              <w:spacing w:line="360" w:lineRule="auto"/>
              <w:jc w:val="center"/>
              <w:rPr>
                <w:rFonts w:hint="eastAsia" w:ascii="宋体" w:hAnsi="宋体" w:eastAsia="宋体" w:cs="宋体"/>
                <w:color w:val="auto"/>
                <w:szCs w:val="21"/>
                <w:highlight w:val="none"/>
              </w:rPr>
            </w:pPr>
          </w:p>
        </w:tc>
      </w:tr>
      <w:tr w14:paraId="48698662">
        <w:tblPrEx>
          <w:tblCellMar>
            <w:top w:w="0" w:type="dxa"/>
            <w:left w:w="108" w:type="dxa"/>
            <w:bottom w:w="0" w:type="dxa"/>
            <w:right w:w="108" w:type="dxa"/>
          </w:tblCellMar>
        </w:tblPrEx>
        <w:trPr>
          <w:cantSplit/>
          <w:trHeight w:val="534" w:hRule="atLeast"/>
        </w:trPr>
        <w:tc>
          <w:tcPr>
            <w:tcW w:w="3261" w:type="dxa"/>
            <w:gridSpan w:val="3"/>
            <w:tcBorders>
              <w:top w:val="single" w:color="auto" w:sz="4" w:space="0"/>
              <w:left w:val="double" w:color="auto" w:sz="4" w:space="0"/>
              <w:bottom w:val="single" w:color="auto" w:sz="6" w:space="0"/>
              <w:right w:val="single" w:color="auto" w:sz="6" w:space="0"/>
            </w:tcBorders>
            <w:vAlign w:val="center"/>
          </w:tcPr>
          <w:p w14:paraId="006AC9CD">
            <w:pPr>
              <w:topLinePunct/>
              <w:spacing w:line="360" w:lineRule="auto"/>
              <w:jc w:val="center"/>
              <w:rPr>
                <w:rFonts w:hint="eastAsia" w:ascii="宋体" w:hAnsi="宋体" w:eastAsia="宋体" w:cs="宋体"/>
                <w:color w:val="auto"/>
                <w:szCs w:val="21"/>
                <w:highlight w:val="none"/>
              </w:rPr>
            </w:pPr>
          </w:p>
        </w:tc>
        <w:tc>
          <w:tcPr>
            <w:tcW w:w="1345" w:type="dxa"/>
            <w:tcBorders>
              <w:top w:val="single" w:color="auto" w:sz="4" w:space="0"/>
              <w:left w:val="single" w:color="auto" w:sz="6" w:space="0"/>
              <w:bottom w:val="single" w:color="auto" w:sz="6" w:space="0"/>
              <w:right w:val="single" w:color="auto" w:sz="4" w:space="0"/>
            </w:tcBorders>
            <w:vAlign w:val="center"/>
          </w:tcPr>
          <w:p w14:paraId="1385E899">
            <w:pPr>
              <w:topLinePunct/>
              <w:spacing w:line="360" w:lineRule="auto"/>
              <w:jc w:val="center"/>
              <w:rPr>
                <w:rFonts w:hint="eastAsia" w:ascii="宋体" w:hAnsi="宋体" w:eastAsia="宋体" w:cs="宋体"/>
                <w:color w:val="auto"/>
                <w:szCs w:val="21"/>
                <w:highlight w:val="none"/>
              </w:rPr>
            </w:pPr>
          </w:p>
        </w:tc>
        <w:tc>
          <w:tcPr>
            <w:tcW w:w="1861" w:type="dxa"/>
            <w:gridSpan w:val="3"/>
            <w:tcBorders>
              <w:top w:val="single" w:color="auto" w:sz="6" w:space="0"/>
              <w:left w:val="single" w:color="auto" w:sz="4" w:space="0"/>
              <w:bottom w:val="single" w:color="auto" w:sz="6" w:space="0"/>
              <w:right w:val="single" w:color="auto" w:sz="4" w:space="0"/>
            </w:tcBorders>
            <w:vAlign w:val="center"/>
          </w:tcPr>
          <w:p w14:paraId="355AD56E">
            <w:pPr>
              <w:topLinePunct/>
              <w:spacing w:line="360" w:lineRule="auto"/>
              <w:jc w:val="center"/>
              <w:rPr>
                <w:rFonts w:hint="eastAsia" w:ascii="宋体" w:hAnsi="宋体" w:eastAsia="宋体" w:cs="宋体"/>
                <w:color w:val="auto"/>
                <w:szCs w:val="21"/>
                <w:highlight w:val="none"/>
              </w:rPr>
            </w:pPr>
          </w:p>
        </w:tc>
        <w:tc>
          <w:tcPr>
            <w:tcW w:w="2889" w:type="dxa"/>
            <w:gridSpan w:val="3"/>
            <w:tcBorders>
              <w:top w:val="single" w:color="auto" w:sz="6" w:space="0"/>
              <w:left w:val="single" w:color="auto" w:sz="4" w:space="0"/>
              <w:bottom w:val="single" w:color="auto" w:sz="6" w:space="0"/>
              <w:right w:val="double" w:color="auto" w:sz="4" w:space="0"/>
            </w:tcBorders>
            <w:vAlign w:val="center"/>
          </w:tcPr>
          <w:p w14:paraId="321411FC">
            <w:pPr>
              <w:topLinePunct/>
              <w:spacing w:line="360" w:lineRule="auto"/>
              <w:jc w:val="center"/>
              <w:rPr>
                <w:rFonts w:hint="eastAsia" w:ascii="宋体" w:hAnsi="宋体" w:eastAsia="宋体" w:cs="宋体"/>
                <w:color w:val="auto"/>
                <w:szCs w:val="21"/>
                <w:highlight w:val="none"/>
              </w:rPr>
            </w:pPr>
          </w:p>
        </w:tc>
      </w:tr>
      <w:tr w14:paraId="443F20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6" w:space="0"/>
              <w:left w:val="double" w:color="auto" w:sz="4" w:space="0"/>
              <w:bottom w:val="single" w:color="auto" w:sz="6" w:space="0"/>
              <w:right w:val="single" w:color="auto" w:sz="6" w:space="0"/>
            </w:tcBorders>
            <w:vAlign w:val="center"/>
          </w:tcPr>
          <w:p w14:paraId="4446B70C">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体系认证名称</w:t>
            </w:r>
          </w:p>
        </w:tc>
        <w:tc>
          <w:tcPr>
            <w:tcW w:w="1345" w:type="dxa"/>
            <w:tcBorders>
              <w:top w:val="single" w:color="auto" w:sz="6" w:space="0"/>
              <w:left w:val="single" w:color="auto" w:sz="6" w:space="0"/>
              <w:right w:val="single" w:color="auto" w:sz="4" w:space="0"/>
            </w:tcBorders>
            <w:vAlign w:val="center"/>
          </w:tcPr>
          <w:p w14:paraId="7DE64BA0">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1861" w:type="dxa"/>
            <w:gridSpan w:val="3"/>
            <w:tcBorders>
              <w:top w:val="single" w:color="auto" w:sz="6" w:space="0"/>
              <w:left w:val="single" w:color="auto" w:sz="4" w:space="0"/>
              <w:right w:val="single" w:color="auto" w:sz="4" w:space="0"/>
            </w:tcBorders>
            <w:vAlign w:val="center"/>
          </w:tcPr>
          <w:p w14:paraId="6534BBC1">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证书号</w:t>
            </w:r>
          </w:p>
        </w:tc>
        <w:tc>
          <w:tcPr>
            <w:tcW w:w="2889" w:type="dxa"/>
            <w:gridSpan w:val="3"/>
            <w:tcBorders>
              <w:top w:val="single" w:color="auto" w:sz="6" w:space="0"/>
              <w:left w:val="single" w:color="auto" w:sz="4" w:space="0"/>
              <w:right w:val="double" w:color="auto" w:sz="4" w:space="0"/>
            </w:tcBorders>
            <w:vAlign w:val="center"/>
          </w:tcPr>
          <w:p w14:paraId="2DE8323E">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发证单位</w:t>
            </w:r>
          </w:p>
        </w:tc>
      </w:tr>
      <w:tr w14:paraId="098097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6" w:space="0"/>
              <w:left w:val="double" w:color="auto" w:sz="4" w:space="0"/>
              <w:bottom w:val="single" w:color="auto" w:sz="6" w:space="0"/>
              <w:right w:val="single" w:color="auto" w:sz="6" w:space="0"/>
            </w:tcBorders>
            <w:vAlign w:val="center"/>
          </w:tcPr>
          <w:p w14:paraId="1281F1C7">
            <w:pPr>
              <w:topLinePunct/>
              <w:spacing w:line="360" w:lineRule="auto"/>
              <w:jc w:val="center"/>
              <w:rPr>
                <w:rFonts w:hint="eastAsia" w:ascii="宋体" w:hAnsi="宋体" w:eastAsia="宋体" w:cs="宋体"/>
                <w:color w:val="auto"/>
                <w:szCs w:val="21"/>
                <w:highlight w:val="none"/>
              </w:rPr>
            </w:pPr>
          </w:p>
        </w:tc>
        <w:tc>
          <w:tcPr>
            <w:tcW w:w="1345" w:type="dxa"/>
            <w:tcBorders>
              <w:top w:val="single" w:color="auto" w:sz="6" w:space="0"/>
              <w:left w:val="single" w:color="auto" w:sz="6" w:space="0"/>
              <w:right w:val="single" w:color="auto" w:sz="4" w:space="0"/>
            </w:tcBorders>
            <w:vAlign w:val="center"/>
          </w:tcPr>
          <w:p w14:paraId="38BED28B">
            <w:pPr>
              <w:topLinePunct/>
              <w:spacing w:line="360" w:lineRule="auto"/>
              <w:jc w:val="center"/>
              <w:rPr>
                <w:rFonts w:hint="eastAsia" w:ascii="宋体" w:hAnsi="宋体" w:eastAsia="宋体" w:cs="宋体"/>
                <w:color w:val="auto"/>
                <w:szCs w:val="21"/>
                <w:highlight w:val="none"/>
              </w:rPr>
            </w:pPr>
          </w:p>
        </w:tc>
        <w:tc>
          <w:tcPr>
            <w:tcW w:w="1861" w:type="dxa"/>
            <w:gridSpan w:val="3"/>
            <w:tcBorders>
              <w:top w:val="single" w:color="auto" w:sz="6" w:space="0"/>
              <w:left w:val="single" w:color="auto" w:sz="4" w:space="0"/>
              <w:right w:val="single" w:color="auto" w:sz="4" w:space="0"/>
            </w:tcBorders>
            <w:vAlign w:val="center"/>
          </w:tcPr>
          <w:p w14:paraId="283588D3">
            <w:pPr>
              <w:topLinePunct/>
              <w:spacing w:line="360" w:lineRule="auto"/>
              <w:jc w:val="center"/>
              <w:rPr>
                <w:rFonts w:hint="eastAsia" w:ascii="宋体" w:hAnsi="宋体" w:eastAsia="宋体" w:cs="宋体"/>
                <w:color w:val="auto"/>
                <w:szCs w:val="21"/>
                <w:highlight w:val="none"/>
              </w:rPr>
            </w:pPr>
          </w:p>
        </w:tc>
        <w:tc>
          <w:tcPr>
            <w:tcW w:w="2889" w:type="dxa"/>
            <w:gridSpan w:val="3"/>
            <w:tcBorders>
              <w:top w:val="single" w:color="auto" w:sz="6" w:space="0"/>
              <w:left w:val="single" w:color="auto" w:sz="4" w:space="0"/>
              <w:right w:val="double" w:color="auto" w:sz="4" w:space="0"/>
            </w:tcBorders>
            <w:vAlign w:val="center"/>
          </w:tcPr>
          <w:p w14:paraId="1501CA53">
            <w:pPr>
              <w:topLinePunct/>
              <w:spacing w:line="360" w:lineRule="auto"/>
              <w:jc w:val="center"/>
              <w:rPr>
                <w:rFonts w:hint="eastAsia" w:ascii="宋体" w:hAnsi="宋体" w:eastAsia="宋体" w:cs="宋体"/>
                <w:color w:val="auto"/>
                <w:szCs w:val="21"/>
                <w:highlight w:val="none"/>
              </w:rPr>
            </w:pPr>
          </w:p>
        </w:tc>
      </w:tr>
      <w:tr w14:paraId="0C812F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62" w:hRule="atLeast"/>
        </w:trPr>
        <w:tc>
          <w:tcPr>
            <w:tcW w:w="1249" w:type="dxa"/>
            <w:tcBorders>
              <w:top w:val="single" w:color="auto" w:sz="6" w:space="0"/>
              <w:left w:val="double" w:color="auto" w:sz="4" w:space="0"/>
              <w:bottom w:val="double" w:color="auto" w:sz="4" w:space="0"/>
              <w:right w:val="single" w:color="auto" w:sz="6" w:space="0"/>
            </w:tcBorders>
            <w:vAlign w:val="center"/>
          </w:tcPr>
          <w:p w14:paraId="548240BC">
            <w:pPr>
              <w:topLinePunct/>
              <w:spacing w:line="360" w:lineRule="auto"/>
              <w:ind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8107" w:type="dxa"/>
            <w:gridSpan w:val="9"/>
            <w:tcBorders>
              <w:top w:val="single" w:color="auto" w:sz="6" w:space="0"/>
              <w:left w:val="single" w:color="auto" w:sz="6" w:space="0"/>
              <w:bottom w:val="double" w:color="auto" w:sz="4" w:space="0"/>
              <w:right w:val="double" w:color="auto" w:sz="4" w:space="0"/>
            </w:tcBorders>
            <w:vAlign w:val="center"/>
          </w:tcPr>
          <w:p w14:paraId="7C2C760C">
            <w:pPr>
              <w:spacing w:line="360" w:lineRule="auto"/>
              <w:rPr>
                <w:rFonts w:hint="eastAsia" w:ascii="宋体" w:hAnsi="宋体" w:eastAsia="宋体" w:cs="宋体"/>
                <w:color w:val="auto"/>
                <w:szCs w:val="21"/>
                <w:highlight w:val="none"/>
              </w:rPr>
            </w:pPr>
          </w:p>
        </w:tc>
      </w:tr>
    </w:tbl>
    <w:p w14:paraId="6313CBE6">
      <w:pPr>
        <w:topLinePunct/>
        <w:adjustRightInd w:val="0"/>
        <w:snapToGrid w:val="0"/>
        <w:spacing w:line="360" w:lineRule="auto"/>
        <w:rPr>
          <w:rFonts w:hint="eastAsia" w:ascii="宋体" w:hAnsi="宋体" w:eastAsia="宋体" w:cs="宋体"/>
          <w:color w:val="auto"/>
          <w:szCs w:val="21"/>
          <w:highlight w:val="none"/>
        </w:rPr>
      </w:pPr>
    </w:p>
    <w:p w14:paraId="3BDBCF18">
      <w:pPr>
        <w:spacing w:line="360" w:lineRule="auto"/>
        <w:rPr>
          <w:rFonts w:hint="eastAsia" w:ascii="宋体" w:hAnsi="宋体" w:eastAsia="宋体" w:cs="宋体"/>
          <w:color w:val="auto"/>
          <w:sz w:val="30"/>
          <w:szCs w:val="30"/>
          <w:highlight w:val="none"/>
        </w:rPr>
      </w:pPr>
    </w:p>
    <w:p w14:paraId="27C75ABB">
      <w:pPr>
        <w:spacing w:line="360" w:lineRule="auto"/>
        <w:rPr>
          <w:rFonts w:hint="eastAsia" w:ascii="宋体" w:hAnsi="宋体" w:eastAsia="宋体" w:cs="宋体"/>
          <w:color w:val="auto"/>
          <w:sz w:val="30"/>
          <w:szCs w:val="30"/>
          <w:highlight w:val="none"/>
        </w:rPr>
      </w:pPr>
    </w:p>
    <w:p w14:paraId="3F73A24E">
      <w:pPr>
        <w:spacing w:line="360" w:lineRule="auto"/>
        <w:rPr>
          <w:rFonts w:hint="eastAsia" w:ascii="宋体" w:hAnsi="宋体" w:eastAsia="宋体" w:cs="宋体"/>
          <w:color w:val="auto"/>
          <w:sz w:val="30"/>
          <w:szCs w:val="30"/>
          <w:highlight w:val="none"/>
        </w:rPr>
      </w:pPr>
    </w:p>
    <w:p w14:paraId="39D73EFA">
      <w:pPr>
        <w:adjustRightInd w:val="0"/>
        <w:snapToGrid w:val="0"/>
        <w:spacing w:line="360" w:lineRule="auto"/>
        <w:rPr>
          <w:rFonts w:hint="eastAsia" w:ascii="宋体" w:hAnsi="宋体" w:eastAsia="宋体" w:cs="宋体"/>
          <w:b/>
          <w:color w:val="auto"/>
          <w:sz w:val="28"/>
          <w:szCs w:val="28"/>
          <w:highlight w:val="none"/>
        </w:rPr>
      </w:pPr>
      <w:bookmarkStart w:id="182" w:name="_Toc28694_WPSOffice_Level1"/>
      <w:bookmarkStart w:id="183" w:name="_Toc28701_WPSOffice_Level1"/>
      <w:r>
        <w:rPr>
          <w:rFonts w:hint="eastAsia" w:ascii="宋体" w:hAnsi="宋体" w:eastAsia="宋体" w:cs="宋体"/>
          <w:b/>
          <w:color w:val="auto"/>
          <w:sz w:val="28"/>
          <w:szCs w:val="28"/>
          <w:highlight w:val="none"/>
        </w:rPr>
        <w:t>附件3-2</w:t>
      </w:r>
      <w:bookmarkEnd w:id="182"/>
      <w:bookmarkEnd w:id="183"/>
    </w:p>
    <w:p w14:paraId="2136DEA9">
      <w:pPr>
        <w:adjustRightInd w:val="0"/>
        <w:snapToGrid w:val="0"/>
        <w:spacing w:line="360" w:lineRule="auto"/>
        <w:jc w:val="center"/>
        <w:rPr>
          <w:rFonts w:hint="eastAsia" w:ascii="宋体" w:hAnsi="宋体" w:eastAsia="宋体" w:cs="宋体"/>
          <w:color w:val="auto"/>
          <w:sz w:val="30"/>
          <w:szCs w:val="30"/>
          <w:highlight w:val="none"/>
        </w:rPr>
      </w:pPr>
      <w:bookmarkStart w:id="184" w:name="_Toc9654_WPSOffice_Level1"/>
      <w:bookmarkStart w:id="185" w:name="_Toc2897_WPSOffice_Level1"/>
      <w:bookmarkStart w:id="186" w:name="_Toc20130_WPSOffice_Level1"/>
      <w:bookmarkStart w:id="187" w:name="_Toc15310_WPSOffice_Level1"/>
      <w:r>
        <w:rPr>
          <w:rFonts w:hint="eastAsia" w:ascii="宋体" w:hAnsi="宋体" w:eastAsia="宋体" w:cs="宋体"/>
          <w:b/>
          <w:color w:val="auto"/>
          <w:sz w:val="28"/>
          <w:szCs w:val="28"/>
          <w:highlight w:val="none"/>
        </w:rPr>
        <w:t>磋商文件规定的基本资格条件证明资料</w:t>
      </w:r>
      <w:bookmarkEnd w:id="184"/>
      <w:bookmarkEnd w:id="185"/>
      <w:bookmarkEnd w:id="186"/>
      <w:bookmarkEnd w:id="187"/>
    </w:p>
    <w:p w14:paraId="183F4EEE">
      <w:pPr>
        <w:autoSpaceDE w:val="0"/>
        <w:autoSpaceDN w:val="0"/>
        <w:adjustRightIn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3A74BFD5">
      <w:pPr>
        <w:autoSpaceDE w:val="0"/>
        <w:autoSpaceDN w:val="0"/>
        <w:adjustRightInd w:val="0"/>
        <w:jc w:val="center"/>
        <w:rPr>
          <w:rFonts w:hint="eastAsia" w:ascii="宋体" w:hAnsi="宋体" w:eastAsia="宋体" w:cs="宋体"/>
          <w:color w:val="auto"/>
          <w:kern w:val="0"/>
          <w:sz w:val="30"/>
          <w:szCs w:val="30"/>
          <w:highlight w:val="none"/>
        </w:rPr>
      </w:pPr>
    </w:p>
    <w:p w14:paraId="0F377991">
      <w:pPr>
        <w:autoSpaceDE w:val="0"/>
        <w:autoSpaceDN w:val="0"/>
        <w:adjustRightInd w:val="0"/>
        <w:jc w:val="center"/>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湖南省政府采购供应商资格承诺函</w:t>
      </w:r>
    </w:p>
    <w:p w14:paraId="7955DE59">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0EDBD00">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按照《政府采购促进中小企业发展管理办法》（ 财库〔2020〕46 号），本公司企业规模为：□大型  □中型  □小型  □微型</w:t>
      </w:r>
    </w:p>
    <w:p w14:paraId="6D3CDFFE">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公司（单位）名称（盖章）：</w:t>
      </w:r>
      <w:r>
        <w:rPr>
          <w:rFonts w:hint="eastAsia" w:ascii="宋体" w:hAnsi="宋体" w:eastAsia="宋体" w:cs="宋体"/>
          <w:bCs/>
          <w:color w:val="auto"/>
          <w:szCs w:val="21"/>
          <w:highlight w:val="none"/>
          <w:u w:val="single"/>
        </w:rPr>
        <w:t xml:space="preserve">       </w:t>
      </w:r>
    </w:p>
    <w:p w14:paraId="4C37E3C1">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w:t>
      </w:r>
    </w:p>
    <w:p w14:paraId="118F1AE4">
      <w:pPr>
        <w:autoSpaceDE w:val="0"/>
        <w:autoSpaceDN w:val="0"/>
        <w:adjustRightInd w:val="0"/>
        <w:spacing w:line="360" w:lineRule="auto"/>
        <w:jc w:val="left"/>
        <w:rPr>
          <w:rFonts w:hint="eastAsia" w:ascii="宋体" w:hAnsi="宋体" w:eastAsia="宋体" w:cs="宋体"/>
          <w:bCs/>
          <w:color w:val="auto"/>
          <w:szCs w:val="21"/>
          <w:highlight w:val="none"/>
        </w:rPr>
      </w:pPr>
    </w:p>
    <w:p w14:paraId="18DB7ADB">
      <w:pPr>
        <w:autoSpaceDE w:val="0"/>
        <w:autoSpaceDN w:val="0"/>
        <w:adjustRightInd w:val="0"/>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机构代码：</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、注册登记机构：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、日期：</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、有效期：</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、注册资本：</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、地址：</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、经济行业：</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、经济性质：</w:t>
      </w:r>
      <w:r>
        <w:rPr>
          <w:rFonts w:hint="eastAsia" w:ascii="宋体" w:hAnsi="宋体" w:eastAsia="宋体" w:cs="宋体"/>
          <w:bCs/>
          <w:color w:val="auto"/>
          <w:szCs w:val="21"/>
          <w:highlight w:val="none"/>
          <w:u w:val="single"/>
        </w:rPr>
        <w:t xml:space="preserve">       </w:t>
      </w:r>
    </w:p>
    <w:p w14:paraId="1A73B68E">
      <w:pPr>
        <w:autoSpaceDE w:val="0"/>
        <w:autoSpaceDN w:val="0"/>
        <w:adjustRightInd w:val="0"/>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法定代表人（负责人）姓名（签字）、身份证号、手机号：</w:t>
      </w:r>
      <w:r>
        <w:rPr>
          <w:rFonts w:hint="eastAsia" w:ascii="宋体" w:hAnsi="宋体" w:eastAsia="宋体" w:cs="宋体"/>
          <w:bCs/>
          <w:color w:val="auto"/>
          <w:szCs w:val="21"/>
          <w:highlight w:val="none"/>
          <w:u w:val="single"/>
        </w:rPr>
        <w:t xml:space="preserve">       </w:t>
      </w:r>
    </w:p>
    <w:p w14:paraId="389D1165">
      <w:pPr>
        <w:spacing w:line="360" w:lineRule="auto"/>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授权代表人姓名（签字）、身份证号、手机号：</w:t>
      </w:r>
      <w:r>
        <w:rPr>
          <w:rFonts w:hint="eastAsia" w:ascii="宋体" w:hAnsi="宋体" w:eastAsia="宋体" w:cs="宋体"/>
          <w:bCs/>
          <w:color w:val="auto"/>
          <w:szCs w:val="21"/>
          <w:highlight w:val="none"/>
          <w:u w:val="single"/>
        </w:rPr>
        <w:t xml:space="preserve">     </w:t>
      </w:r>
    </w:p>
    <w:p w14:paraId="70CF7756">
      <w:pPr>
        <w:pStyle w:val="26"/>
        <w:rPr>
          <w:rFonts w:hint="eastAsia" w:ascii="宋体" w:hAnsi="宋体" w:eastAsia="宋体" w:cs="宋体"/>
          <w:color w:val="auto"/>
          <w:highlight w:val="none"/>
        </w:rPr>
      </w:pPr>
    </w:p>
    <w:p w14:paraId="72181B23">
      <w:pPr>
        <w:pStyle w:val="26"/>
        <w:rPr>
          <w:rFonts w:hint="eastAsia" w:ascii="宋体" w:hAnsi="宋体" w:eastAsia="宋体" w:cs="宋体"/>
          <w:color w:val="auto"/>
          <w:highlight w:val="none"/>
        </w:rPr>
      </w:pPr>
    </w:p>
    <w:p w14:paraId="482B0440">
      <w:pPr>
        <w:pStyle w:val="26"/>
        <w:rPr>
          <w:rFonts w:hint="eastAsia" w:ascii="宋体" w:hAnsi="宋体" w:eastAsia="宋体" w:cs="宋体"/>
          <w:color w:val="auto"/>
          <w:highlight w:val="none"/>
        </w:rPr>
      </w:pPr>
    </w:p>
    <w:p w14:paraId="28A1B2FE">
      <w:pPr>
        <w:pStyle w:val="26"/>
        <w:rPr>
          <w:rFonts w:hint="eastAsia" w:ascii="宋体" w:hAnsi="宋体" w:eastAsia="宋体" w:cs="宋体"/>
          <w:color w:val="auto"/>
          <w:highlight w:val="none"/>
        </w:rPr>
      </w:pPr>
    </w:p>
    <w:p w14:paraId="725D609F">
      <w:pPr>
        <w:pStyle w:val="26"/>
        <w:rPr>
          <w:rFonts w:hint="eastAsia" w:ascii="宋体" w:hAnsi="宋体" w:eastAsia="宋体" w:cs="宋体"/>
          <w:color w:val="auto"/>
          <w:highlight w:val="none"/>
        </w:rPr>
      </w:pPr>
    </w:p>
    <w:p w14:paraId="1C2A61BB">
      <w:pPr>
        <w:spacing w:line="360" w:lineRule="auto"/>
        <w:rPr>
          <w:rFonts w:hint="eastAsia" w:ascii="宋体" w:hAnsi="宋体" w:eastAsia="宋体" w:cs="宋体"/>
          <w:bCs/>
          <w:color w:val="auto"/>
          <w:szCs w:val="21"/>
          <w:highlight w:val="none"/>
        </w:rPr>
        <w:sectPr>
          <w:headerReference r:id="rId4" w:type="default"/>
          <w:footerReference r:id="rId5" w:type="default"/>
          <w:pgSz w:w="11906" w:h="16838"/>
          <w:pgMar w:top="1134" w:right="1361" w:bottom="1134" w:left="1361" w:header="680" w:footer="992" w:gutter="0"/>
          <w:cols w:space="720" w:num="1"/>
          <w:docGrid w:type="lines" w:linePitch="312" w:charSpace="0"/>
        </w:sectPr>
      </w:pPr>
    </w:p>
    <w:p w14:paraId="6571FADF">
      <w:pPr>
        <w:adjustRightInd w:val="0"/>
        <w:snapToGrid w:val="0"/>
        <w:spacing w:line="360" w:lineRule="auto"/>
        <w:rPr>
          <w:rFonts w:hint="eastAsia" w:ascii="宋体" w:hAnsi="宋体" w:eastAsia="宋体" w:cs="宋体"/>
          <w:b/>
          <w:color w:val="auto"/>
          <w:sz w:val="28"/>
          <w:szCs w:val="28"/>
          <w:highlight w:val="none"/>
        </w:rPr>
      </w:pPr>
      <w:bookmarkStart w:id="188" w:name="_Toc31224_WPSOffice_Level1"/>
      <w:bookmarkStart w:id="189" w:name="_Toc18477_WPSOffice_Level1"/>
      <w:bookmarkStart w:id="190" w:name="_Toc25311_WPSOffice_Level1"/>
      <w:bookmarkStart w:id="191" w:name="_Toc1373_WPSOffice_Level1"/>
      <w:r>
        <w:rPr>
          <w:rFonts w:hint="eastAsia" w:ascii="宋体" w:hAnsi="宋体" w:eastAsia="宋体" w:cs="宋体"/>
          <w:b/>
          <w:color w:val="auto"/>
          <w:sz w:val="28"/>
          <w:szCs w:val="28"/>
          <w:highlight w:val="none"/>
        </w:rPr>
        <w:t>附件3-3</w:t>
      </w:r>
      <w:bookmarkEnd w:id="188"/>
      <w:bookmarkEnd w:id="189"/>
      <w:bookmarkEnd w:id="190"/>
      <w:bookmarkEnd w:id="191"/>
    </w:p>
    <w:p w14:paraId="6B74F2D5">
      <w:pPr>
        <w:adjustRightInd w:val="0"/>
        <w:snapToGrid w:val="0"/>
        <w:spacing w:line="360" w:lineRule="auto"/>
        <w:jc w:val="center"/>
        <w:rPr>
          <w:rFonts w:hint="eastAsia" w:ascii="宋体" w:hAnsi="宋体" w:eastAsia="宋体" w:cs="宋体"/>
          <w:b/>
          <w:color w:val="auto"/>
          <w:sz w:val="28"/>
          <w:szCs w:val="28"/>
          <w:highlight w:val="none"/>
        </w:rPr>
      </w:pPr>
      <w:bookmarkStart w:id="192" w:name="_Toc19594_WPSOffice_Level1"/>
      <w:bookmarkStart w:id="193" w:name="_Toc22447_WPSOffice_Level1"/>
      <w:bookmarkStart w:id="194" w:name="_Toc11257_WPSOffice_Level1"/>
      <w:bookmarkStart w:id="195" w:name="_Toc20928_WPSOffice_Level1"/>
      <w:r>
        <w:rPr>
          <w:rFonts w:hint="eastAsia" w:ascii="宋体" w:hAnsi="宋体" w:eastAsia="宋体" w:cs="宋体"/>
          <w:b/>
          <w:color w:val="auto"/>
          <w:sz w:val="28"/>
          <w:szCs w:val="28"/>
          <w:highlight w:val="none"/>
        </w:rPr>
        <w:t>磋商文件规定的特定资格条件证明资料</w:t>
      </w:r>
      <w:bookmarkEnd w:id="192"/>
      <w:bookmarkEnd w:id="193"/>
      <w:bookmarkEnd w:id="194"/>
      <w:bookmarkEnd w:id="195"/>
    </w:p>
    <w:p w14:paraId="117BC8D7">
      <w:pPr>
        <w:spacing w:line="360" w:lineRule="auto"/>
        <w:rPr>
          <w:rFonts w:hint="eastAsia" w:ascii="宋体" w:hAnsi="宋体" w:eastAsia="宋体" w:cs="宋体"/>
          <w:color w:val="auto"/>
          <w:szCs w:val="21"/>
          <w:highlight w:val="none"/>
        </w:rPr>
      </w:pPr>
    </w:p>
    <w:p w14:paraId="55488F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备注：1、提供第二章 磋商须知第3.1款供应商特定资格条件证明资料的复印件。</w:t>
      </w:r>
    </w:p>
    <w:p w14:paraId="1B19FF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2、项目负责人无在建工程，由供应商自行承诺，并对真实性负责。格式自拟。</w:t>
      </w:r>
    </w:p>
    <w:p w14:paraId="78623F12">
      <w:pPr>
        <w:pStyle w:val="26"/>
        <w:rPr>
          <w:rFonts w:hint="eastAsia" w:ascii="宋体" w:hAnsi="宋体" w:eastAsia="宋体" w:cs="宋体"/>
          <w:color w:val="auto"/>
          <w:highlight w:val="none"/>
        </w:rPr>
      </w:pPr>
    </w:p>
    <w:p w14:paraId="20D64C27">
      <w:pPr>
        <w:pStyle w:val="26"/>
        <w:rPr>
          <w:rFonts w:hint="eastAsia" w:ascii="宋体" w:hAnsi="宋体" w:eastAsia="宋体" w:cs="宋体"/>
          <w:color w:val="auto"/>
          <w:highlight w:val="none"/>
        </w:rPr>
      </w:pPr>
    </w:p>
    <w:p w14:paraId="2AB17893">
      <w:pPr>
        <w:pStyle w:val="26"/>
        <w:rPr>
          <w:rFonts w:hint="eastAsia" w:ascii="宋体" w:hAnsi="宋体" w:eastAsia="宋体" w:cs="宋体"/>
          <w:color w:val="auto"/>
          <w:highlight w:val="none"/>
        </w:rPr>
      </w:pPr>
    </w:p>
    <w:p w14:paraId="783B770F">
      <w:pPr>
        <w:spacing w:line="360" w:lineRule="auto"/>
        <w:rPr>
          <w:rFonts w:hint="eastAsia" w:ascii="宋体" w:hAnsi="宋体" w:eastAsia="宋体" w:cs="宋体"/>
          <w:color w:val="auto"/>
          <w:szCs w:val="21"/>
          <w:highlight w:val="none"/>
        </w:rPr>
      </w:pPr>
    </w:p>
    <w:p w14:paraId="1597B88A">
      <w:pPr>
        <w:spacing w:line="360" w:lineRule="auto"/>
        <w:rPr>
          <w:rFonts w:hint="eastAsia" w:ascii="宋体" w:hAnsi="宋体" w:eastAsia="宋体" w:cs="宋体"/>
          <w:color w:val="auto"/>
          <w:sz w:val="30"/>
          <w:szCs w:val="30"/>
          <w:highlight w:val="none"/>
        </w:rPr>
        <w:sectPr>
          <w:pgSz w:w="11906" w:h="16838"/>
          <w:pgMar w:top="1418" w:right="1134" w:bottom="1134" w:left="1418" w:header="851" w:footer="850" w:gutter="0"/>
          <w:cols w:space="720" w:num="1"/>
          <w:docGrid w:type="lines" w:linePitch="312" w:charSpace="0"/>
        </w:sectPr>
      </w:pPr>
    </w:p>
    <w:p w14:paraId="46E52ABD">
      <w:pPr>
        <w:adjustRightInd w:val="0"/>
        <w:snapToGrid w:val="0"/>
        <w:spacing w:line="360" w:lineRule="auto"/>
        <w:rPr>
          <w:rFonts w:hint="eastAsia" w:ascii="宋体" w:hAnsi="宋体" w:eastAsia="宋体" w:cs="宋体"/>
          <w:b/>
          <w:color w:val="auto"/>
          <w:sz w:val="28"/>
          <w:szCs w:val="28"/>
          <w:highlight w:val="none"/>
        </w:rPr>
      </w:pPr>
      <w:bookmarkStart w:id="196" w:name="_Toc27106_WPSOffice_Level1"/>
      <w:bookmarkStart w:id="197" w:name="_Toc7036_WPSOffice_Level1"/>
      <w:bookmarkStart w:id="198" w:name="_Toc25117_WPSOffice_Level1"/>
      <w:bookmarkStart w:id="199" w:name="_Toc21405_WPSOffice_Level1"/>
      <w:r>
        <w:rPr>
          <w:rFonts w:hint="eastAsia" w:ascii="宋体" w:hAnsi="宋体" w:eastAsia="宋体" w:cs="宋体"/>
          <w:b/>
          <w:color w:val="auto"/>
          <w:sz w:val="28"/>
          <w:szCs w:val="28"/>
          <w:highlight w:val="none"/>
        </w:rPr>
        <w:t>附件3-4</w:t>
      </w:r>
      <w:bookmarkEnd w:id="196"/>
      <w:bookmarkEnd w:id="197"/>
      <w:bookmarkEnd w:id="198"/>
      <w:bookmarkEnd w:id="199"/>
    </w:p>
    <w:p w14:paraId="53FBF575">
      <w:pPr>
        <w:pStyle w:val="3"/>
        <w:spacing w:before="0" w:after="0" w:line="360" w:lineRule="auto"/>
        <w:jc w:val="center"/>
        <w:rPr>
          <w:rFonts w:hint="eastAsia" w:ascii="宋体" w:hAnsi="宋体" w:eastAsia="宋体" w:cs="宋体"/>
          <w:b/>
          <w:bCs/>
          <w:color w:val="auto"/>
          <w:sz w:val="28"/>
          <w:szCs w:val="28"/>
          <w:highlight w:val="none"/>
        </w:rPr>
      </w:pPr>
      <w:bookmarkStart w:id="200" w:name="_Toc30433"/>
      <w:r>
        <w:rPr>
          <w:rFonts w:hint="eastAsia" w:ascii="宋体" w:hAnsi="宋体" w:eastAsia="宋体" w:cs="宋体"/>
          <w:b/>
          <w:bCs/>
          <w:color w:val="auto"/>
          <w:sz w:val="28"/>
          <w:szCs w:val="28"/>
          <w:highlight w:val="none"/>
        </w:rPr>
        <w:t>承 诺 书</w:t>
      </w:r>
      <w:bookmarkEnd w:id="200"/>
    </w:p>
    <w:p w14:paraId="3D618A0D">
      <w:pPr>
        <w:snapToGrid w:val="0"/>
        <w:spacing w:line="360" w:lineRule="auto"/>
        <w:rPr>
          <w:rFonts w:hint="eastAsia" w:ascii="宋体" w:hAnsi="宋体" w:eastAsia="宋体" w:cs="宋体"/>
          <w:color w:val="auto"/>
          <w:highlight w:val="none"/>
        </w:rPr>
      </w:pPr>
    </w:p>
    <w:p w14:paraId="24BD7D8F">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人名称）：</w:t>
      </w:r>
    </w:p>
    <w:p w14:paraId="1BD52D87">
      <w:pPr>
        <w:snapToGrid w:val="0"/>
        <w:spacing w:line="360" w:lineRule="auto"/>
        <w:rPr>
          <w:rFonts w:hint="eastAsia" w:ascii="宋体" w:hAnsi="宋体" w:eastAsia="宋体" w:cs="宋体"/>
          <w:color w:val="auto"/>
          <w:highlight w:val="none"/>
        </w:rPr>
      </w:pPr>
    </w:p>
    <w:p w14:paraId="3AE8D219">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我方在此声明：</w:t>
      </w:r>
    </w:p>
    <w:p w14:paraId="2D189287">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1.我方拟派往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采购</w:t>
      </w:r>
      <w:r>
        <w:rPr>
          <w:rFonts w:hint="eastAsia" w:ascii="宋体" w:hAnsi="宋体" w:eastAsia="宋体" w:cs="宋体"/>
          <w:color w:val="auto"/>
          <w:highlight w:val="none"/>
          <w:u w:val="single"/>
        </w:rPr>
        <w:t xml:space="preserve">项目及标段       </w:t>
      </w:r>
      <w:r>
        <w:rPr>
          <w:rFonts w:hint="eastAsia" w:ascii="宋体" w:hAnsi="宋体" w:eastAsia="宋体" w:cs="宋体"/>
          <w:color w:val="auto"/>
          <w:highlight w:val="none"/>
        </w:rPr>
        <w:t xml:space="preserve"> 的项目</w:t>
      </w:r>
      <w:r>
        <w:rPr>
          <w:rFonts w:hint="eastAsia" w:ascii="宋体" w:hAnsi="宋体" w:eastAsia="宋体" w:cs="宋体"/>
          <w:color w:val="auto"/>
          <w:highlight w:val="none"/>
          <w:lang w:val="en-US" w:eastAsia="zh-CN"/>
        </w:rPr>
        <w:t>负责人</w:t>
      </w:r>
      <w:r>
        <w:rPr>
          <w:rFonts w:hint="eastAsia" w:ascii="宋体" w:hAnsi="宋体" w:eastAsia="宋体" w:cs="宋体"/>
          <w:color w:val="auto"/>
          <w:highlight w:val="none"/>
        </w:rPr>
        <w:t>能够到位履行职责，如不能到位，我方自愿接受处罚和被予不良行为记录。</w:t>
      </w:r>
    </w:p>
    <w:p w14:paraId="17F3571E">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val="sq-AL"/>
        </w:rPr>
        <w:t>.我方严格遵守相关法律法规规定，没有串通投标、资质挂靠等违法、违规行为，</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sq-AL"/>
        </w:rPr>
        <w:t>文件所投入的管理、技术人员均为我公司正式在职人员。</w:t>
      </w:r>
    </w:p>
    <w:p w14:paraId="2087D36A">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val="sq-AL"/>
        </w:rPr>
        <w:t>.我方保证提供的资质、业绩等证明材料真实、合法、有效，</w:t>
      </w:r>
      <w:r>
        <w:rPr>
          <w:rFonts w:hint="eastAsia" w:ascii="宋体" w:hAnsi="宋体" w:eastAsia="宋体" w:cs="宋体"/>
          <w:color w:val="auto"/>
          <w:highlight w:val="none"/>
        </w:rPr>
        <w:t>并愿意承担因我方就此弄虚作假所引起的一切后果。</w:t>
      </w:r>
    </w:p>
    <w:p w14:paraId="3439898F">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val="sq-AL"/>
        </w:rPr>
        <w:t>.我方不参与不正当竞争，不向</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val="sq-AL"/>
        </w:rPr>
        <w:t>人、</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val="sq-AL"/>
        </w:rPr>
        <w:t>代理机构、交易中心、评标专家以及行业监督部门行贿以谋取不正当利益。</w:t>
      </w:r>
    </w:p>
    <w:p w14:paraId="6F2E7452">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sq-AL"/>
        </w:rPr>
        <w:t>6.我方严格按照</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val="sq-AL"/>
        </w:rPr>
        <w:t>、</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sq-AL"/>
        </w:rPr>
        <w:t>文件约定签订合同，不将中标项目转包或违法分包。</w:t>
      </w:r>
    </w:p>
    <w:p w14:paraId="48E5DD55">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sq-AL"/>
        </w:rPr>
        <w:t>7.</w:t>
      </w:r>
      <w:r>
        <w:rPr>
          <w:rFonts w:hint="eastAsia" w:ascii="宋体" w:hAnsi="宋体" w:eastAsia="宋体" w:cs="宋体"/>
          <w:color w:val="auto"/>
          <w:highlight w:val="none"/>
        </w:rPr>
        <w:t>一旦我方中标，坚决维护农民工的合法权益，按时足额支付农民工工资，绝不拖欠。</w:t>
      </w:r>
    </w:p>
    <w:p w14:paraId="60065178">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特此承诺！</w:t>
      </w:r>
    </w:p>
    <w:p w14:paraId="0DD660DE">
      <w:pPr>
        <w:snapToGrid w:val="0"/>
        <w:spacing w:line="360" w:lineRule="auto"/>
        <w:ind w:firstLine="420" w:firstLineChars="200"/>
        <w:rPr>
          <w:rFonts w:hint="eastAsia" w:ascii="宋体" w:hAnsi="宋体" w:eastAsia="宋体" w:cs="宋体"/>
          <w:color w:val="auto"/>
          <w:highlight w:val="none"/>
        </w:rPr>
      </w:pPr>
    </w:p>
    <w:p w14:paraId="7388904E">
      <w:pPr>
        <w:snapToGrid w:val="0"/>
        <w:spacing w:line="360" w:lineRule="auto"/>
        <w:ind w:firstLine="420" w:firstLineChars="200"/>
        <w:rPr>
          <w:rFonts w:hint="eastAsia" w:ascii="宋体" w:hAnsi="宋体" w:eastAsia="宋体" w:cs="宋体"/>
          <w:color w:val="auto"/>
          <w:highlight w:val="none"/>
        </w:rPr>
      </w:pPr>
    </w:p>
    <w:p w14:paraId="71ED0370">
      <w:pPr>
        <w:snapToGrid w:val="0"/>
        <w:spacing w:line="360" w:lineRule="auto"/>
        <w:ind w:firstLine="420" w:firstLineChars="200"/>
        <w:jc w:val="righ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人：（盖单位章）</w:t>
      </w:r>
    </w:p>
    <w:p w14:paraId="748EA7CF">
      <w:pPr>
        <w:snapToGrid w:val="0"/>
        <w:spacing w:line="360" w:lineRule="auto"/>
        <w:ind w:firstLine="420" w:firstLineChars="200"/>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法定代表人或其委托代理人：（签字或盖章）</w:t>
      </w:r>
    </w:p>
    <w:p w14:paraId="38653633">
      <w:pPr>
        <w:snapToGrid w:val="0"/>
        <w:spacing w:line="360" w:lineRule="auto"/>
        <w:ind w:firstLine="420" w:firstLineChars="200"/>
        <w:jc w:val="right"/>
        <w:rPr>
          <w:rFonts w:hint="eastAsia" w:ascii="宋体" w:hAnsi="宋体" w:eastAsia="宋体" w:cs="宋体"/>
          <w:color w:val="auto"/>
          <w:highlight w:val="none"/>
        </w:rPr>
        <w:sectPr>
          <w:pgSz w:w="11906" w:h="16838"/>
          <w:pgMar w:top="1418" w:right="1134" w:bottom="1134" w:left="1418" w:header="851" w:footer="850" w:gutter="0"/>
          <w:cols w:space="720" w:num="1"/>
          <w:docGrid w:type="lines" w:linePitch="312" w:charSpace="0"/>
        </w:sectPr>
      </w:pPr>
      <w:r>
        <w:rPr>
          <w:rFonts w:hint="eastAsia" w:ascii="宋体" w:hAnsi="宋体" w:eastAsia="宋体" w:cs="宋体"/>
          <w:color w:val="auto"/>
          <w:highlight w:val="none"/>
        </w:rPr>
        <w:t xml:space="preserve">   年   月  日</w:t>
      </w:r>
    </w:p>
    <w:p w14:paraId="760E0B28">
      <w:pPr>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附件3-4</w:t>
      </w:r>
    </w:p>
    <w:p w14:paraId="689118DC">
      <w:pPr>
        <w:pStyle w:val="7"/>
        <w:jc w:val="center"/>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rPr>
        <w:t>其他说明</w:t>
      </w:r>
    </w:p>
    <w:p w14:paraId="51E43B4A">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供应商认为需要提供的评审资料及其他说明</w:t>
      </w:r>
    </w:p>
    <w:p w14:paraId="3F3A817C">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color w:val="auto"/>
          <w:kern w:val="0"/>
          <w:szCs w:val="21"/>
          <w:highlight w:val="none"/>
        </w:rPr>
        <w:br w:type="page"/>
      </w:r>
      <w:bookmarkStart w:id="201" w:name="_Toc11956_WPSOffice_Level1"/>
      <w:bookmarkStart w:id="202" w:name="_Toc14837_WPSOffice_Level1"/>
      <w:bookmarkStart w:id="203" w:name="_Toc24547_WPSOffice_Level1"/>
      <w:bookmarkStart w:id="204" w:name="_Toc17176_WPSOffice_Level1"/>
      <w:r>
        <w:rPr>
          <w:rFonts w:hint="eastAsia" w:ascii="宋体" w:hAnsi="宋体" w:eastAsia="宋体" w:cs="宋体"/>
          <w:b/>
          <w:color w:val="auto"/>
          <w:sz w:val="28"/>
          <w:szCs w:val="28"/>
          <w:highlight w:val="none"/>
        </w:rPr>
        <w:t>四、施工方案说明</w:t>
      </w:r>
      <w:bookmarkEnd w:id="201"/>
      <w:bookmarkEnd w:id="202"/>
      <w:bookmarkEnd w:id="203"/>
      <w:bookmarkEnd w:id="204"/>
    </w:p>
    <w:p w14:paraId="1049A0ED">
      <w:pPr>
        <w:adjustRightInd w:val="0"/>
        <w:snapToGrid w:val="0"/>
        <w:spacing w:line="360" w:lineRule="auto"/>
        <w:rPr>
          <w:rFonts w:hint="eastAsia" w:ascii="宋体" w:hAnsi="宋体" w:eastAsia="宋体" w:cs="宋体"/>
          <w:b/>
          <w:color w:val="auto"/>
          <w:sz w:val="28"/>
          <w:szCs w:val="28"/>
          <w:highlight w:val="none"/>
        </w:rPr>
      </w:pPr>
      <w:bookmarkStart w:id="205" w:name="_Toc16954_WPSOffice_Level1"/>
      <w:bookmarkStart w:id="206" w:name="_Toc26447_WPSOffice_Level1"/>
      <w:bookmarkStart w:id="207" w:name="_Toc19866_WPSOffice_Level1"/>
      <w:bookmarkStart w:id="208" w:name="_Toc17702_WPSOffice_Level1"/>
      <w:r>
        <w:rPr>
          <w:rFonts w:hint="eastAsia" w:ascii="宋体" w:hAnsi="宋体" w:eastAsia="宋体" w:cs="宋体"/>
          <w:b/>
          <w:color w:val="auto"/>
          <w:sz w:val="28"/>
          <w:szCs w:val="28"/>
          <w:highlight w:val="none"/>
        </w:rPr>
        <w:t>附件4-1</w:t>
      </w:r>
      <w:bookmarkEnd w:id="205"/>
      <w:bookmarkEnd w:id="206"/>
      <w:bookmarkEnd w:id="207"/>
      <w:bookmarkEnd w:id="208"/>
    </w:p>
    <w:p w14:paraId="59359CFF">
      <w:pPr>
        <w:pStyle w:val="13"/>
        <w:adjustRightInd w:val="0"/>
        <w:snapToGrid w:val="0"/>
        <w:spacing w:line="360" w:lineRule="auto"/>
        <w:ind w:firstLine="420" w:firstLineChars="200"/>
        <w:outlineLvl w:val="0"/>
        <w:rPr>
          <w:rFonts w:hint="eastAsia" w:ascii="宋体" w:hAnsi="宋体" w:eastAsia="宋体" w:cs="宋体"/>
          <w:bCs/>
          <w:color w:val="auto"/>
          <w:sz w:val="21"/>
          <w:szCs w:val="21"/>
          <w:highlight w:val="none"/>
        </w:rPr>
      </w:pPr>
    </w:p>
    <w:p w14:paraId="7D2BAAED">
      <w:pPr>
        <w:pStyle w:val="13"/>
        <w:adjustRightInd w:val="0"/>
        <w:snapToGrid w:val="0"/>
        <w:spacing w:line="360" w:lineRule="auto"/>
        <w:ind w:firstLine="420" w:firstLineChars="200"/>
        <w:outlineLvl w:val="0"/>
        <w:rPr>
          <w:rFonts w:hint="eastAsia" w:ascii="宋体" w:hAnsi="宋体" w:eastAsia="宋体" w:cs="宋体"/>
          <w:color w:val="auto"/>
          <w:sz w:val="21"/>
          <w:szCs w:val="21"/>
          <w:highlight w:val="none"/>
        </w:rPr>
      </w:pPr>
      <w:bookmarkStart w:id="209" w:name="_Toc6479"/>
      <w:r>
        <w:rPr>
          <w:rFonts w:hint="eastAsia" w:ascii="宋体" w:hAnsi="宋体" w:eastAsia="宋体" w:cs="宋体"/>
          <w:bCs/>
          <w:color w:val="auto"/>
          <w:sz w:val="21"/>
          <w:szCs w:val="21"/>
          <w:highlight w:val="none"/>
        </w:rPr>
        <w:t>说明：投标供应商须根据项目特点编写技术标（施工组织设计）。技术标为明标，内容包括但不限于：</w:t>
      </w:r>
      <w:r>
        <w:rPr>
          <w:rFonts w:hint="eastAsia" w:ascii="宋体" w:hAnsi="宋体" w:eastAsia="宋体" w:cs="宋体"/>
          <w:color w:val="auto"/>
          <w:sz w:val="21"/>
          <w:szCs w:val="21"/>
          <w:highlight w:val="none"/>
        </w:rPr>
        <w:t>⑴施工方案与技术措施、⑵工程进度计划与保证措施、⑶质量管理体系与措施、⑷安全管理体系与措施、⑸文明施工现场措施。</w:t>
      </w:r>
      <w:bookmarkEnd w:id="209"/>
    </w:p>
    <w:p w14:paraId="15756070">
      <w:pPr>
        <w:spacing w:line="360" w:lineRule="auto"/>
        <w:rPr>
          <w:rFonts w:hint="eastAsia" w:ascii="宋体" w:hAnsi="宋体" w:eastAsia="宋体" w:cs="宋体"/>
          <w:color w:val="auto"/>
          <w:szCs w:val="21"/>
          <w:highlight w:val="none"/>
        </w:rPr>
      </w:pPr>
    </w:p>
    <w:p w14:paraId="11E1A1D6">
      <w:pPr>
        <w:spacing w:line="360" w:lineRule="auto"/>
        <w:rPr>
          <w:rFonts w:hint="eastAsia" w:ascii="宋体" w:hAnsi="宋体" w:eastAsia="宋体" w:cs="宋体"/>
          <w:color w:val="auto"/>
          <w:szCs w:val="21"/>
          <w:highlight w:val="none"/>
        </w:rPr>
      </w:pPr>
    </w:p>
    <w:p w14:paraId="7612336B">
      <w:pPr>
        <w:adjustRightInd w:val="0"/>
        <w:snapToGrid w:val="0"/>
        <w:spacing w:line="360" w:lineRule="auto"/>
        <w:rPr>
          <w:rFonts w:hint="eastAsia" w:ascii="宋体" w:hAnsi="宋体" w:eastAsia="宋体" w:cs="宋体"/>
          <w:b/>
          <w:color w:val="auto"/>
          <w:sz w:val="28"/>
          <w:szCs w:val="28"/>
          <w:highlight w:val="none"/>
        </w:rPr>
      </w:pPr>
      <w:bookmarkStart w:id="210" w:name="_Toc9744_WPSOffice_Level1"/>
      <w:bookmarkStart w:id="211" w:name="_Toc18430_WPSOffice_Level1"/>
      <w:bookmarkStart w:id="212" w:name="_Toc29288_WPSOffice_Level1"/>
      <w:bookmarkStart w:id="213" w:name="_Toc10050_WPSOffice_Level1"/>
      <w:r>
        <w:rPr>
          <w:rFonts w:hint="eastAsia" w:ascii="宋体" w:hAnsi="宋体" w:eastAsia="宋体" w:cs="宋体"/>
          <w:b/>
          <w:color w:val="auto"/>
          <w:sz w:val="28"/>
          <w:szCs w:val="28"/>
          <w:highlight w:val="none"/>
        </w:rPr>
        <w:t>附件4-2</w:t>
      </w:r>
      <w:bookmarkEnd w:id="210"/>
      <w:bookmarkEnd w:id="211"/>
      <w:bookmarkEnd w:id="212"/>
      <w:bookmarkEnd w:id="213"/>
    </w:p>
    <w:p w14:paraId="1BC468F2">
      <w:pPr>
        <w:spacing w:line="360" w:lineRule="auto"/>
        <w:jc w:val="center"/>
        <w:rPr>
          <w:rFonts w:hint="eastAsia" w:ascii="宋体" w:hAnsi="宋体" w:eastAsia="宋体" w:cs="宋体"/>
          <w:color w:val="auto"/>
          <w:szCs w:val="21"/>
          <w:highlight w:val="none"/>
        </w:rPr>
      </w:pPr>
      <w:bookmarkStart w:id="214" w:name="_Toc3329_WPSOffice_Level1"/>
      <w:bookmarkStart w:id="215" w:name="_Toc3751_WPSOffice_Level1"/>
      <w:bookmarkStart w:id="216" w:name="_Toc17324_WPSOffice_Level1"/>
      <w:bookmarkStart w:id="217" w:name="_Toc7795_WPSOffice_Level1"/>
      <w:r>
        <w:rPr>
          <w:rFonts w:hint="eastAsia" w:ascii="宋体" w:hAnsi="宋体" w:eastAsia="宋体" w:cs="宋体"/>
          <w:b/>
          <w:color w:val="auto"/>
          <w:sz w:val="28"/>
          <w:szCs w:val="28"/>
          <w:highlight w:val="none"/>
        </w:rPr>
        <w:t>主要人员简历表</w:t>
      </w:r>
      <w:bookmarkEnd w:id="214"/>
      <w:bookmarkEnd w:id="215"/>
      <w:bookmarkEnd w:id="216"/>
      <w:bookmarkEnd w:id="217"/>
    </w:p>
    <w:tbl>
      <w:tblPr>
        <w:tblStyle w:val="21"/>
        <w:tblW w:w="0" w:type="auto"/>
        <w:tblInd w:w="96"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833"/>
        <w:gridCol w:w="2664"/>
        <w:gridCol w:w="428"/>
        <w:gridCol w:w="1515"/>
        <w:gridCol w:w="583"/>
        <w:gridCol w:w="1795"/>
      </w:tblGrid>
      <w:tr w14:paraId="3D8163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2097" w:type="dxa"/>
            <w:gridSpan w:val="2"/>
            <w:vAlign w:val="center"/>
          </w:tcPr>
          <w:p w14:paraId="2F5B2F9C">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664" w:type="dxa"/>
            <w:vAlign w:val="center"/>
          </w:tcPr>
          <w:p w14:paraId="1D18FE17">
            <w:pPr>
              <w:spacing w:line="360" w:lineRule="auto"/>
              <w:jc w:val="center"/>
              <w:rPr>
                <w:rFonts w:hint="eastAsia" w:ascii="宋体" w:hAnsi="宋体" w:eastAsia="宋体" w:cs="宋体"/>
                <w:color w:val="auto"/>
                <w:highlight w:val="none"/>
              </w:rPr>
            </w:pPr>
          </w:p>
        </w:tc>
        <w:tc>
          <w:tcPr>
            <w:tcW w:w="2526" w:type="dxa"/>
            <w:gridSpan w:val="3"/>
            <w:vAlign w:val="center"/>
          </w:tcPr>
          <w:p w14:paraId="0E6AC71F">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795" w:type="dxa"/>
            <w:vAlign w:val="center"/>
          </w:tcPr>
          <w:p w14:paraId="1D0CB28E">
            <w:pPr>
              <w:spacing w:line="360" w:lineRule="auto"/>
              <w:jc w:val="center"/>
              <w:rPr>
                <w:rFonts w:hint="eastAsia" w:ascii="宋体" w:hAnsi="宋体" w:eastAsia="宋体" w:cs="宋体"/>
                <w:color w:val="auto"/>
                <w:highlight w:val="none"/>
              </w:rPr>
            </w:pPr>
          </w:p>
        </w:tc>
      </w:tr>
      <w:tr w14:paraId="28C6B4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6" w:hRule="exact"/>
        </w:trPr>
        <w:tc>
          <w:tcPr>
            <w:tcW w:w="2097" w:type="dxa"/>
            <w:gridSpan w:val="2"/>
            <w:vAlign w:val="center"/>
          </w:tcPr>
          <w:p w14:paraId="66BEB33D">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2664" w:type="dxa"/>
            <w:vAlign w:val="center"/>
          </w:tcPr>
          <w:p w14:paraId="0555B83F">
            <w:pPr>
              <w:spacing w:line="360" w:lineRule="auto"/>
              <w:jc w:val="center"/>
              <w:rPr>
                <w:rFonts w:hint="eastAsia" w:ascii="宋体" w:hAnsi="宋体" w:eastAsia="宋体" w:cs="宋体"/>
                <w:color w:val="auto"/>
                <w:highlight w:val="none"/>
              </w:rPr>
            </w:pPr>
          </w:p>
        </w:tc>
        <w:tc>
          <w:tcPr>
            <w:tcW w:w="2526" w:type="dxa"/>
            <w:gridSpan w:val="3"/>
            <w:vAlign w:val="center"/>
          </w:tcPr>
          <w:p w14:paraId="3E2A6E15">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795" w:type="dxa"/>
            <w:vAlign w:val="center"/>
          </w:tcPr>
          <w:p w14:paraId="1A427AB9">
            <w:pPr>
              <w:spacing w:line="360" w:lineRule="auto"/>
              <w:jc w:val="center"/>
              <w:rPr>
                <w:rFonts w:hint="eastAsia" w:ascii="宋体" w:hAnsi="宋体" w:eastAsia="宋体" w:cs="宋体"/>
                <w:color w:val="auto"/>
                <w:highlight w:val="none"/>
              </w:rPr>
            </w:pPr>
          </w:p>
        </w:tc>
      </w:tr>
      <w:tr w14:paraId="0CAE99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exact"/>
        </w:trPr>
        <w:tc>
          <w:tcPr>
            <w:tcW w:w="2097" w:type="dxa"/>
            <w:gridSpan w:val="2"/>
            <w:vAlign w:val="center"/>
          </w:tcPr>
          <w:p w14:paraId="5104CE3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毕业学校、专业</w:t>
            </w:r>
          </w:p>
        </w:tc>
        <w:tc>
          <w:tcPr>
            <w:tcW w:w="6985" w:type="dxa"/>
            <w:gridSpan w:val="5"/>
            <w:vAlign w:val="center"/>
          </w:tcPr>
          <w:p w14:paraId="46C48B48">
            <w:pPr>
              <w:spacing w:line="360" w:lineRule="auto"/>
              <w:jc w:val="center"/>
              <w:rPr>
                <w:rFonts w:hint="eastAsia" w:ascii="宋体" w:hAnsi="宋体" w:eastAsia="宋体" w:cs="宋体"/>
                <w:color w:val="auto"/>
                <w:highlight w:val="none"/>
              </w:rPr>
            </w:pPr>
          </w:p>
        </w:tc>
      </w:tr>
      <w:tr w14:paraId="0ADC6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5" w:hRule="exact"/>
        </w:trPr>
        <w:tc>
          <w:tcPr>
            <w:tcW w:w="2097" w:type="dxa"/>
            <w:gridSpan w:val="2"/>
            <w:vAlign w:val="center"/>
          </w:tcPr>
          <w:p w14:paraId="6A5A6998">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身份证号</w:t>
            </w:r>
          </w:p>
        </w:tc>
        <w:tc>
          <w:tcPr>
            <w:tcW w:w="2664" w:type="dxa"/>
            <w:vAlign w:val="center"/>
          </w:tcPr>
          <w:p w14:paraId="256094DA">
            <w:pPr>
              <w:spacing w:line="360" w:lineRule="auto"/>
              <w:jc w:val="center"/>
              <w:rPr>
                <w:rFonts w:hint="eastAsia" w:ascii="宋体" w:hAnsi="宋体" w:eastAsia="宋体" w:cs="宋体"/>
                <w:color w:val="auto"/>
                <w:highlight w:val="none"/>
              </w:rPr>
            </w:pPr>
          </w:p>
        </w:tc>
        <w:tc>
          <w:tcPr>
            <w:tcW w:w="2526" w:type="dxa"/>
            <w:gridSpan w:val="3"/>
            <w:vAlign w:val="center"/>
          </w:tcPr>
          <w:p w14:paraId="13B2028D">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拟在本合同任职</w:t>
            </w:r>
          </w:p>
        </w:tc>
        <w:tc>
          <w:tcPr>
            <w:tcW w:w="1795" w:type="dxa"/>
            <w:vAlign w:val="center"/>
          </w:tcPr>
          <w:p w14:paraId="6BC90DAC">
            <w:pPr>
              <w:spacing w:line="360" w:lineRule="auto"/>
              <w:ind w:right="-105" w:rightChars="-50"/>
              <w:jc w:val="center"/>
              <w:rPr>
                <w:rFonts w:hint="eastAsia" w:ascii="宋体" w:hAnsi="宋体" w:eastAsia="宋体" w:cs="宋体"/>
                <w:color w:val="auto"/>
                <w:highlight w:val="none"/>
              </w:rPr>
            </w:pPr>
          </w:p>
        </w:tc>
      </w:tr>
      <w:tr w14:paraId="6B352E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5" w:hRule="exact"/>
        </w:trPr>
        <w:tc>
          <w:tcPr>
            <w:tcW w:w="2097" w:type="dxa"/>
            <w:gridSpan w:val="2"/>
            <w:vAlign w:val="center"/>
          </w:tcPr>
          <w:p w14:paraId="037C3D3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执业资格证</w:t>
            </w:r>
          </w:p>
        </w:tc>
        <w:tc>
          <w:tcPr>
            <w:tcW w:w="2664" w:type="dxa"/>
            <w:vAlign w:val="center"/>
          </w:tcPr>
          <w:p w14:paraId="08B10C24">
            <w:pPr>
              <w:spacing w:line="360" w:lineRule="auto"/>
              <w:jc w:val="center"/>
              <w:rPr>
                <w:rFonts w:hint="eastAsia" w:ascii="宋体" w:hAnsi="宋体" w:eastAsia="宋体" w:cs="宋体"/>
                <w:color w:val="auto"/>
                <w:highlight w:val="none"/>
              </w:rPr>
            </w:pPr>
          </w:p>
        </w:tc>
        <w:tc>
          <w:tcPr>
            <w:tcW w:w="2526" w:type="dxa"/>
            <w:gridSpan w:val="3"/>
            <w:vAlign w:val="center"/>
          </w:tcPr>
          <w:p w14:paraId="5C8E9E18">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执业资格证书号</w:t>
            </w:r>
          </w:p>
        </w:tc>
        <w:tc>
          <w:tcPr>
            <w:tcW w:w="1795" w:type="dxa"/>
            <w:vAlign w:val="center"/>
          </w:tcPr>
          <w:p w14:paraId="2BFEB2DD">
            <w:pPr>
              <w:spacing w:line="360" w:lineRule="auto"/>
              <w:ind w:right="-105" w:rightChars="-50"/>
              <w:jc w:val="center"/>
              <w:rPr>
                <w:rFonts w:hint="eastAsia" w:ascii="宋体" w:hAnsi="宋体" w:eastAsia="宋体" w:cs="宋体"/>
                <w:color w:val="auto"/>
                <w:highlight w:val="none"/>
              </w:rPr>
            </w:pPr>
          </w:p>
        </w:tc>
      </w:tr>
      <w:tr w14:paraId="757D68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3" w:hRule="exact"/>
        </w:trPr>
        <w:tc>
          <w:tcPr>
            <w:tcW w:w="9082" w:type="dxa"/>
            <w:gridSpan w:val="7"/>
            <w:vAlign w:val="center"/>
          </w:tcPr>
          <w:p w14:paraId="36880AD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近三年承担项目情况</w:t>
            </w:r>
          </w:p>
        </w:tc>
      </w:tr>
      <w:tr w14:paraId="460281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2B06D38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时间</w:t>
            </w:r>
          </w:p>
        </w:tc>
        <w:tc>
          <w:tcPr>
            <w:tcW w:w="3925" w:type="dxa"/>
            <w:gridSpan w:val="3"/>
            <w:vAlign w:val="center"/>
          </w:tcPr>
          <w:p w14:paraId="00E3144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类似项目名称</w:t>
            </w:r>
          </w:p>
        </w:tc>
        <w:tc>
          <w:tcPr>
            <w:tcW w:w="1515" w:type="dxa"/>
            <w:vAlign w:val="center"/>
          </w:tcPr>
          <w:p w14:paraId="19315FCF">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担任职务</w:t>
            </w:r>
          </w:p>
        </w:tc>
        <w:tc>
          <w:tcPr>
            <w:tcW w:w="2378" w:type="dxa"/>
            <w:gridSpan w:val="2"/>
            <w:vAlign w:val="center"/>
          </w:tcPr>
          <w:p w14:paraId="02F05650">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项目单位名称及电话</w:t>
            </w:r>
          </w:p>
        </w:tc>
      </w:tr>
      <w:tr w14:paraId="5E5BD7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049775EE">
            <w:pPr>
              <w:spacing w:line="360" w:lineRule="auto"/>
              <w:jc w:val="center"/>
              <w:rPr>
                <w:rFonts w:hint="eastAsia" w:ascii="宋体" w:hAnsi="宋体" w:eastAsia="宋体" w:cs="宋体"/>
                <w:color w:val="auto"/>
                <w:highlight w:val="none"/>
              </w:rPr>
            </w:pPr>
          </w:p>
        </w:tc>
        <w:tc>
          <w:tcPr>
            <w:tcW w:w="3925" w:type="dxa"/>
            <w:gridSpan w:val="3"/>
            <w:vAlign w:val="center"/>
          </w:tcPr>
          <w:p w14:paraId="44BE43B6">
            <w:pPr>
              <w:spacing w:line="360" w:lineRule="auto"/>
              <w:jc w:val="center"/>
              <w:rPr>
                <w:rFonts w:hint="eastAsia" w:ascii="宋体" w:hAnsi="宋体" w:eastAsia="宋体" w:cs="宋体"/>
                <w:color w:val="auto"/>
                <w:highlight w:val="none"/>
              </w:rPr>
            </w:pPr>
          </w:p>
        </w:tc>
        <w:tc>
          <w:tcPr>
            <w:tcW w:w="1515" w:type="dxa"/>
            <w:vAlign w:val="center"/>
          </w:tcPr>
          <w:p w14:paraId="5EE78383">
            <w:pPr>
              <w:spacing w:line="360" w:lineRule="auto"/>
              <w:jc w:val="center"/>
              <w:rPr>
                <w:rFonts w:hint="eastAsia" w:ascii="宋体" w:hAnsi="宋体" w:eastAsia="宋体" w:cs="宋体"/>
                <w:color w:val="auto"/>
                <w:highlight w:val="none"/>
              </w:rPr>
            </w:pPr>
          </w:p>
        </w:tc>
        <w:tc>
          <w:tcPr>
            <w:tcW w:w="2378" w:type="dxa"/>
            <w:gridSpan w:val="2"/>
            <w:vAlign w:val="center"/>
          </w:tcPr>
          <w:p w14:paraId="0AFE799F">
            <w:pPr>
              <w:spacing w:line="360" w:lineRule="auto"/>
              <w:jc w:val="center"/>
              <w:rPr>
                <w:rFonts w:hint="eastAsia" w:ascii="宋体" w:hAnsi="宋体" w:eastAsia="宋体" w:cs="宋体"/>
                <w:color w:val="auto"/>
                <w:highlight w:val="none"/>
              </w:rPr>
            </w:pPr>
          </w:p>
        </w:tc>
      </w:tr>
      <w:tr w14:paraId="7214DA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1B76F3D8">
            <w:pPr>
              <w:spacing w:line="360" w:lineRule="auto"/>
              <w:jc w:val="center"/>
              <w:rPr>
                <w:rFonts w:hint="eastAsia" w:ascii="宋体" w:hAnsi="宋体" w:eastAsia="宋体" w:cs="宋体"/>
                <w:color w:val="auto"/>
                <w:highlight w:val="none"/>
              </w:rPr>
            </w:pPr>
          </w:p>
        </w:tc>
        <w:tc>
          <w:tcPr>
            <w:tcW w:w="3925" w:type="dxa"/>
            <w:gridSpan w:val="3"/>
            <w:vAlign w:val="center"/>
          </w:tcPr>
          <w:p w14:paraId="12AE01F3">
            <w:pPr>
              <w:spacing w:line="360" w:lineRule="auto"/>
              <w:jc w:val="center"/>
              <w:rPr>
                <w:rFonts w:hint="eastAsia" w:ascii="宋体" w:hAnsi="宋体" w:eastAsia="宋体" w:cs="宋体"/>
                <w:color w:val="auto"/>
                <w:highlight w:val="none"/>
              </w:rPr>
            </w:pPr>
          </w:p>
        </w:tc>
        <w:tc>
          <w:tcPr>
            <w:tcW w:w="1515" w:type="dxa"/>
            <w:vAlign w:val="center"/>
          </w:tcPr>
          <w:p w14:paraId="00AAA680">
            <w:pPr>
              <w:spacing w:line="360" w:lineRule="auto"/>
              <w:jc w:val="center"/>
              <w:rPr>
                <w:rFonts w:hint="eastAsia" w:ascii="宋体" w:hAnsi="宋体" w:eastAsia="宋体" w:cs="宋体"/>
                <w:color w:val="auto"/>
                <w:highlight w:val="none"/>
              </w:rPr>
            </w:pPr>
          </w:p>
        </w:tc>
        <w:tc>
          <w:tcPr>
            <w:tcW w:w="2378" w:type="dxa"/>
            <w:gridSpan w:val="2"/>
            <w:vAlign w:val="center"/>
          </w:tcPr>
          <w:p w14:paraId="6264D5AC">
            <w:pPr>
              <w:spacing w:line="360" w:lineRule="auto"/>
              <w:jc w:val="center"/>
              <w:rPr>
                <w:rFonts w:hint="eastAsia" w:ascii="宋体" w:hAnsi="宋体" w:eastAsia="宋体" w:cs="宋体"/>
                <w:color w:val="auto"/>
                <w:highlight w:val="none"/>
              </w:rPr>
            </w:pPr>
          </w:p>
        </w:tc>
      </w:tr>
      <w:tr w14:paraId="27E432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56E933AF">
            <w:pPr>
              <w:spacing w:line="360" w:lineRule="auto"/>
              <w:jc w:val="center"/>
              <w:rPr>
                <w:rFonts w:hint="eastAsia" w:ascii="宋体" w:hAnsi="宋体" w:eastAsia="宋体" w:cs="宋体"/>
                <w:color w:val="auto"/>
                <w:highlight w:val="none"/>
              </w:rPr>
            </w:pPr>
          </w:p>
        </w:tc>
        <w:tc>
          <w:tcPr>
            <w:tcW w:w="3925" w:type="dxa"/>
            <w:gridSpan w:val="3"/>
            <w:vAlign w:val="center"/>
          </w:tcPr>
          <w:p w14:paraId="6024EB29">
            <w:pPr>
              <w:spacing w:line="360" w:lineRule="auto"/>
              <w:jc w:val="center"/>
              <w:rPr>
                <w:rFonts w:hint="eastAsia" w:ascii="宋体" w:hAnsi="宋体" w:eastAsia="宋体" w:cs="宋体"/>
                <w:color w:val="auto"/>
                <w:highlight w:val="none"/>
              </w:rPr>
            </w:pPr>
          </w:p>
        </w:tc>
        <w:tc>
          <w:tcPr>
            <w:tcW w:w="1515" w:type="dxa"/>
            <w:vAlign w:val="center"/>
          </w:tcPr>
          <w:p w14:paraId="38755B31">
            <w:pPr>
              <w:spacing w:line="360" w:lineRule="auto"/>
              <w:jc w:val="center"/>
              <w:rPr>
                <w:rFonts w:hint="eastAsia" w:ascii="宋体" w:hAnsi="宋体" w:eastAsia="宋体" w:cs="宋体"/>
                <w:color w:val="auto"/>
                <w:highlight w:val="none"/>
              </w:rPr>
            </w:pPr>
          </w:p>
        </w:tc>
        <w:tc>
          <w:tcPr>
            <w:tcW w:w="2378" w:type="dxa"/>
            <w:gridSpan w:val="2"/>
            <w:vAlign w:val="center"/>
          </w:tcPr>
          <w:p w14:paraId="5D9ECE6D">
            <w:pPr>
              <w:spacing w:line="360" w:lineRule="auto"/>
              <w:jc w:val="center"/>
              <w:rPr>
                <w:rFonts w:hint="eastAsia" w:ascii="宋体" w:hAnsi="宋体" w:eastAsia="宋体" w:cs="宋体"/>
                <w:color w:val="auto"/>
                <w:highlight w:val="none"/>
              </w:rPr>
            </w:pPr>
          </w:p>
        </w:tc>
      </w:tr>
      <w:tr w14:paraId="7A23D9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64DFAD4D">
            <w:pPr>
              <w:spacing w:line="360" w:lineRule="auto"/>
              <w:jc w:val="center"/>
              <w:rPr>
                <w:rFonts w:hint="eastAsia" w:ascii="宋体" w:hAnsi="宋体" w:eastAsia="宋体" w:cs="宋体"/>
                <w:color w:val="auto"/>
                <w:highlight w:val="none"/>
              </w:rPr>
            </w:pPr>
          </w:p>
        </w:tc>
        <w:tc>
          <w:tcPr>
            <w:tcW w:w="3925" w:type="dxa"/>
            <w:gridSpan w:val="3"/>
            <w:vAlign w:val="center"/>
          </w:tcPr>
          <w:p w14:paraId="0067A0B5">
            <w:pPr>
              <w:spacing w:line="360" w:lineRule="auto"/>
              <w:jc w:val="center"/>
              <w:rPr>
                <w:rFonts w:hint="eastAsia" w:ascii="宋体" w:hAnsi="宋体" w:eastAsia="宋体" w:cs="宋体"/>
                <w:color w:val="auto"/>
                <w:highlight w:val="none"/>
              </w:rPr>
            </w:pPr>
          </w:p>
        </w:tc>
        <w:tc>
          <w:tcPr>
            <w:tcW w:w="1515" w:type="dxa"/>
            <w:vAlign w:val="center"/>
          </w:tcPr>
          <w:p w14:paraId="0449FE98">
            <w:pPr>
              <w:spacing w:line="360" w:lineRule="auto"/>
              <w:jc w:val="center"/>
              <w:rPr>
                <w:rFonts w:hint="eastAsia" w:ascii="宋体" w:hAnsi="宋体" w:eastAsia="宋体" w:cs="宋体"/>
                <w:color w:val="auto"/>
                <w:highlight w:val="none"/>
              </w:rPr>
            </w:pPr>
          </w:p>
        </w:tc>
        <w:tc>
          <w:tcPr>
            <w:tcW w:w="2378" w:type="dxa"/>
            <w:gridSpan w:val="2"/>
            <w:vAlign w:val="center"/>
          </w:tcPr>
          <w:p w14:paraId="426ABC77">
            <w:pPr>
              <w:spacing w:line="360" w:lineRule="auto"/>
              <w:jc w:val="center"/>
              <w:rPr>
                <w:rFonts w:hint="eastAsia" w:ascii="宋体" w:hAnsi="宋体" w:eastAsia="宋体" w:cs="宋体"/>
                <w:color w:val="auto"/>
                <w:highlight w:val="none"/>
              </w:rPr>
            </w:pPr>
          </w:p>
        </w:tc>
      </w:tr>
    </w:tbl>
    <w:p w14:paraId="0939A29E">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说明</w:t>
      </w:r>
      <w:r>
        <w:rPr>
          <w:rFonts w:hint="eastAsia" w:ascii="宋体" w:hAnsi="宋体" w:eastAsia="宋体" w:cs="宋体"/>
          <w:color w:val="auto"/>
          <w:highlight w:val="none"/>
        </w:rPr>
        <w:t>：</w:t>
      </w:r>
      <w:r>
        <w:rPr>
          <w:rFonts w:hint="eastAsia" w:ascii="宋体" w:hAnsi="宋体" w:eastAsia="宋体" w:cs="宋体"/>
          <w:color w:val="auto"/>
          <w:szCs w:val="21"/>
          <w:highlight w:val="none"/>
        </w:rPr>
        <w:t>主要人员身份证、注册建造师证书、安全生产考核合格证</w:t>
      </w:r>
      <w:r>
        <w:rPr>
          <w:rFonts w:hint="eastAsia" w:ascii="宋体" w:hAnsi="宋体" w:eastAsia="宋体" w:cs="宋体"/>
          <w:color w:val="auto"/>
          <w:kern w:val="0"/>
          <w:szCs w:val="21"/>
          <w:highlight w:val="none"/>
        </w:rPr>
        <w:t>。</w:t>
      </w:r>
    </w:p>
    <w:p w14:paraId="0B27959D">
      <w:pPr>
        <w:pStyle w:val="13"/>
        <w:adjustRightInd w:val="0"/>
        <w:snapToGrid w:val="0"/>
        <w:spacing w:line="360" w:lineRule="auto"/>
        <w:outlineLvl w:val="0"/>
        <w:rPr>
          <w:rFonts w:hint="eastAsia" w:ascii="宋体" w:hAnsi="宋体" w:eastAsia="宋体" w:cs="宋体"/>
          <w:color w:val="auto"/>
          <w:sz w:val="21"/>
          <w:szCs w:val="21"/>
          <w:highlight w:val="none"/>
        </w:rPr>
      </w:pPr>
    </w:p>
    <w:p w14:paraId="68710516">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18" w:name="_Toc4432"/>
      <w:r>
        <w:rPr>
          <w:rFonts w:hint="eastAsia" w:ascii="宋体" w:hAnsi="宋体" w:eastAsia="宋体" w:cs="宋体"/>
          <w:color w:val="auto"/>
          <w:sz w:val="21"/>
          <w:szCs w:val="21"/>
          <w:highlight w:val="none"/>
        </w:rPr>
        <w:t>供应商名称：</w:t>
      </w:r>
      <w:bookmarkEnd w:id="218"/>
      <w:r>
        <w:rPr>
          <w:rFonts w:hint="eastAsia" w:ascii="宋体" w:hAnsi="宋体" w:eastAsia="宋体" w:cs="宋体"/>
          <w:color w:val="auto"/>
          <w:szCs w:val="21"/>
          <w:highlight w:val="none"/>
          <w:u w:val="single"/>
        </w:rPr>
        <w:t xml:space="preserve">        </w:t>
      </w:r>
    </w:p>
    <w:p w14:paraId="64C7638A">
      <w:pPr>
        <w:adjustRightInd w:val="0"/>
        <w:snapToGrid w:val="0"/>
        <w:spacing w:line="360" w:lineRule="auto"/>
        <w:outlineLvl w:val="0"/>
        <w:rPr>
          <w:rFonts w:hint="eastAsia" w:ascii="宋体" w:hAnsi="宋体" w:eastAsia="宋体" w:cs="宋体"/>
          <w:color w:val="auto"/>
          <w:szCs w:val="21"/>
          <w:highlight w:val="none"/>
          <w:u w:val="single"/>
        </w:rPr>
      </w:pPr>
      <w:bookmarkStart w:id="219" w:name="_Toc21855"/>
      <w:r>
        <w:rPr>
          <w:rFonts w:hint="eastAsia" w:ascii="宋体" w:hAnsi="宋体" w:eastAsia="宋体" w:cs="宋体"/>
          <w:color w:val="auto"/>
          <w:szCs w:val="21"/>
          <w:highlight w:val="none"/>
        </w:rPr>
        <w:t>法定代表人或其委托代理人(签字或盖章)：</w:t>
      </w:r>
      <w:bookmarkEnd w:id="219"/>
      <w:r>
        <w:rPr>
          <w:rFonts w:hint="eastAsia" w:ascii="宋体" w:hAnsi="宋体" w:eastAsia="宋体" w:cs="宋体"/>
          <w:color w:val="auto"/>
          <w:szCs w:val="21"/>
          <w:highlight w:val="none"/>
          <w:u w:val="single"/>
        </w:rPr>
        <w:t xml:space="preserve">        </w:t>
      </w:r>
    </w:p>
    <w:p w14:paraId="2682C8B2">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9D23361">
      <w:pPr>
        <w:adjustRightInd w:val="0"/>
        <w:snapToGrid w:val="0"/>
        <w:spacing w:line="360" w:lineRule="auto"/>
        <w:jc w:val="center"/>
        <w:outlineLvl w:val="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bookmarkStart w:id="220" w:name="_Toc26411"/>
      <w:r>
        <w:rPr>
          <w:rFonts w:hint="eastAsia" w:ascii="宋体" w:hAnsi="宋体" w:eastAsia="宋体" w:cs="宋体"/>
          <w:b/>
          <w:color w:val="auto"/>
          <w:sz w:val="30"/>
          <w:szCs w:val="30"/>
          <w:highlight w:val="none"/>
        </w:rPr>
        <w:t>五、技术/商务响应与偏离表</w:t>
      </w:r>
      <w:bookmarkEnd w:id="220"/>
    </w:p>
    <w:p w14:paraId="4F92967D">
      <w:pPr>
        <w:adjustRightInd w:val="0"/>
        <w:snapToGrid w:val="0"/>
        <w:spacing w:line="360" w:lineRule="auto"/>
        <w:ind w:left="-88" w:leftChars="-42" w:firstLine="315" w:firstLineChars="150"/>
        <w:rPr>
          <w:rFonts w:hint="eastAsia" w:ascii="宋体" w:hAnsi="宋体" w:eastAsia="宋体" w:cs="宋体"/>
          <w:color w:val="auto"/>
          <w:szCs w:val="21"/>
          <w:highlight w:val="none"/>
          <w:u w:val="single"/>
        </w:rPr>
      </w:pPr>
    </w:p>
    <w:tbl>
      <w:tblPr>
        <w:tblStyle w:val="21"/>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79"/>
        <w:gridCol w:w="1803"/>
        <w:gridCol w:w="2085"/>
        <w:gridCol w:w="2783"/>
        <w:gridCol w:w="1299"/>
        <w:gridCol w:w="708"/>
      </w:tblGrid>
      <w:tr w14:paraId="006375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2" w:hRule="atLeast"/>
          <w:jc w:val="center"/>
        </w:trPr>
        <w:tc>
          <w:tcPr>
            <w:tcW w:w="679" w:type="dxa"/>
            <w:vAlign w:val="center"/>
          </w:tcPr>
          <w:p w14:paraId="4014B44D">
            <w:pPr>
              <w:adjustRightInd w:val="0"/>
              <w:snapToGrid w:val="0"/>
              <w:spacing w:line="360" w:lineRule="auto"/>
              <w:ind w:left="-88" w:leftChars="-42"/>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803" w:type="dxa"/>
            <w:vAlign w:val="center"/>
          </w:tcPr>
          <w:p w14:paraId="678FAA28">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磋商文件条目号</w:t>
            </w:r>
          </w:p>
        </w:tc>
        <w:tc>
          <w:tcPr>
            <w:tcW w:w="2085" w:type="dxa"/>
            <w:vAlign w:val="center"/>
          </w:tcPr>
          <w:p w14:paraId="308588C2">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采购规格/商务条款</w:t>
            </w:r>
          </w:p>
        </w:tc>
        <w:tc>
          <w:tcPr>
            <w:tcW w:w="2783" w:type="dxa"/>
            <w:vAlign w:val="center"/>
          </w:tcPr>
          <w:p w14:paraId="548DC5AF">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响应文件的规格/商务条款</w:t>
            </w:r>
          </w:p>
        </w:tc>
        <w:tc>
          <w:tcPr>
            <w:tcW w:w="1299" w:type="dxa"/>
            <w:vAlign w:val="center"/>
          </w:tcPr>
          <w:p w14:paraId="7382D261">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响应与偏离</w:t>
            </w:r>
          </w:p>
        </w:tc>
        <w:tc>
          <w:tcPr>
            <w:tcW w:w="708" w:type="dxa"/>
            <w:vAlign w:val="center"/>
          </w:tcPr>
          <w:p w14:paraId="5F853559">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1B058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37BDB40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72AA375F">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4A03E41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5DE267C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18E819D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71B7C49A">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331BAA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00292F3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68BA220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5E22C666">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1BE7CE77">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103108A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74CF69B8">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3C1CD6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763BBF77">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6986BE02">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14D24629">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78CFF5E2">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105E0FEE">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6E426774">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6FA32E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457522B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7918C04A">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5375751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3C864C29">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08A16EB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7ACB9BF9">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12C88E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39A359EE">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2B41067F">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73A7AB5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49207DA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594E079E">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45151556">
            <w:pPr>
              <w:adjustRightInd w:val="0"/>
              <w:snapToGrid w:val="0"/>
              <w:spacing w:line="360" w:lineRule="auto"/>
              <w:ind w:left="-88" w:leftChars="-42"/>
              <w:jc w:val="center"/>
              <w:rPr>
                <w:rFonts w:hint="eastAsia" w:ascii="宋体" w:hAnsi="宋体" w:eastAsia="宋体" w:cs="宋体"/>
                <w:color w:val="auto"/>
                <w:szCs w:val="21"/>
                <w:highlight w:val="none"/>
              </w:rPr>
            </w:pPr>
          </w:p>
        </w:tc>
      </w:tr>
    </w:tbl>
    <w:p w14:paraId="3D2359A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B9DD0A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1、“响应与偏离”应注明“响应”或“偏离”。</w:t>
      </w:r>
    </w:p>
    <w:p w14:paraId="1E5973C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2、属磋商文件规定可能变动的内容在“说明”栏中注明。</w:t>
      </w:r>
    </w:p>
    <w:p w14:paraId="5E5E6CFD">
      <w:pPr>
        <w:adjustRightInd w:val="0"/>
        <w:snapToGrid w:val="0"/>
        <w:spacing w:line="360" w:lineRule="auto"/>
        <w:rPr>
          <w:rFonts w:hint="eastAsia" w:ascii="宋体" w:hAnsi="宋体" w:eastAsia="宋体" w:cs="宋体"/>
          <w:color w:val="auto"/>
          <w:szCs w:val="21"/>
          <w:highlight w:val="none"/>
        </w:rPr>
      </w:pPr>
    </w:p>
    <w:p w14:paraId="36B99D16">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21" w:name="_Toc12624"/>
      <w:r>
        <w:rPr>
          <w:rFonts w:hint="eastAsia" w:ascii="宋体" w:hAnsi="宋体" w:eastAsia="宋体" w:cs="宋体"/>
          <w:color w:val="auto"/>
          <w:sz w:val="21"/>
          <w:szCs w:val="21"/>
          <w:highlight w:val="none"/>
        </w:rPr>
        <w:t>供应商名称（盖单位章）：</w:t>
      </w:r>
      <w:bookmarkEnd w:id="221"/>
      <w:r>
        <w:rPr>
          <w:rFonts w:hint="eastAsia" w:ascii="宋体" w:hAnsi="宋体" w:eastAsia="宋体" w:cs="宋体"/>
          <w:color w:val="auto"/>
          <w:szCs w:val="21"/>
          <w:highlight w:val="none"/>
          <w:u w:val="single"/>
        </w:rPr>
        <w:t xml:space="preserve">        </w:t>
      </w:r>
    </w:p>
    <w:p w14:paraId="6665CE7D">
      <w:pPr>
        <w:adjustRightInd w:val="0"/>
        <w:snapToGrid w:val="0"/>
        <w:spacing w:line="360" w:lineRule="auto"/>
        <w:outlineLvl w:val="0"/>
        <w:rPr>
          <w:rFonts w:hint="eastAsia" w:ascii="宋体" w:hAnsi="宋体" w:eastAsia="宋体" w:cs="宋体"/>
          <w:color w:val="auto"/>
          <w:szCs w:val="21"/>
          <w:highlight w:val="none"/>
        </w:rPr>
      </w:pPr>
      <w:bookmarkStart w:id="222" w:name="_Toc18422"/>
      <w:r>
        <w:rPr>
          <w:rFonts w:hint="eastAsia" w:ascii="宋体" w:hAnsi="宋体" w:eastAsia="宋体" w:cs="宋体"/>
          <w:color w:val="auto"/>
          <w:szCs w:val="21"/>
          <w:highlight w:val="none"/>
        </w:rPr>
        <w:t>法定代表人或其委托代理人(签字或盖章)：</w:t>
      </w:r>
      <w:bookmarkEnd w:id="222"/>
      <w:r>
        <w:rPr>
          <w:rFonts w:hint="eastAsia" w:ascii="宋体" w:hAnsi="宋体" w:eastAsia="宋体" w:cs="宋体"/>
          <w:color w:val="auto"/>
          <w:szCs w:val="21"/>
          <w:highlight w:val="none"/>
          <w:u w:val="single"/>
        </w:rPr>
        <w:t xml:space="preserve">        </w:t>
      </w:r>
    </w:p>
    <w:p w14:paraId="6FDC4CEA">
      <w:pPr>
        <w:adjustRightInd w:val="0"/>
        <w:snapToGrid w:val="0"/>
        <w:spacing w:line="360" w:lineRule="auto"/>
        <w:outlineLvl w:val="0"/>
        <w:rPr>
          <w:rFonts w:hint="eastAsia" w:ascii="宋体" w:hAnsi="宋体" w:eastAsia="宋体" w:cs="宋体"/>
          <w:color w:val="auto"/>
          <w:szCs w:val="21"/>
          <w:highlight w:val="none"/>
        </w:rPr>
      </w:pPr>
      <w:bookmarkStart w:id="223" w:name="_Toc2487"/>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bookmarkEnd w:id="223"/>
    </w:p>
    <w:p w14:paraId="4ED3E24E">
      <w:pPr>
        <w:adjustRightInd w:val="0"/>
        <w:snapToGrid w:val="0"/>
        <w:spacing w:line="360" w:lineRule="auto"/>
        <w:rPr>
          <w:rFonts w:hint="eastAsia" w:ascii="宋体" w:hAnsi="宋体" w:eastAsia="宋体" w:cs="宋体"/>
          <w:color w:val="auto"/>
          <w:szCs w:val="21"/>
          <w:highlight w:val="none"/>
        </w:rPr>
      </w:pPr>
    </w:p>
    <w:p w14:paraId="60F60783">
      <w:pPr>
        <w:pStyle w:val="3"/>
        <w:spacing w:line="360" w:lineRule="exact"/>
        <w:jc w:val="center"/>
        <w:rPr>
          <w:rFonts w:hint="eastAsia" w:ascii="宋体" w:hAnsi="宋体" w:eastAsia="宋体" w:cs="宋体"/>
          <w:color w:val="auto"/>
          <w:kern w:val="32"/>
          <w:szCs w:val="24"/>
          <w:highlight w:val="none"/>
        </w:rPr>
      </w:pPr>
      <w:r>
        <w:rPr>
          <w:rFonts w:hint="eastAsia" w:ascii="宋体" w:hAnsi="宋体" w:eastAsia="宋体" w:cs="宋体"/>
          <w:color w:val="auto"/>
          <w:sz w:val="32"/>
          <w:highlight w:val="none"/>
        </w:rPr>
        <w:br w:type="page"/>
      </w:r>
      <w:bookmarkStart w:id="224" w:name="_Toc17548"/>
      <w:r>
        <w:rPr>
          <w:rFonts w:hint="eastAsia" w:ascii="宋体" w:hAnsi="宋体" w:eastAsia="宋体" w:cs="宋体"/>
          <w:color w:val="auto"/>
          <w:sz w:val="32"/>
          <w:highlight w:val="none"/>
        </w:rPr>
        <w:t>六、 报价一览表及报价文件</w:t>
      </w:r>
      <w:bookmarkEnd w:id="224"/>
    </w:p>
    <w:p w14:paraId="5F12E43F">
      <w:pPr>
        <w:tabs>
          <w:tab w:val="left" w:pos="3600"/>
        </w:tabs>
        <w:adjustRightInd w:val="0"/>
        <w:snapToGrid w:val="0"/>
        <w:spacing w:line="360" w:lineRule="auto"/>
        <w:jc w:val="center"/>
        <w:rPr>
          <w:rFonts w:hint="eastAsia" w:ascii="宋体" w:hAnsi="宋体" w:eastAsia="宋体" w:cs="宋体"/>
          <w:b/>
          <w:color w:val="auto"/>
          <w:sz w:val="32"/>
          <w:szCs w:val="32"/>
          <w:highlight w:val="none"/>
        </w:rPr>
      </w:pPr>
    </w:p>
    <w:p w14:paraId="3906A9C7">
      <w:pPr>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附件6-1</w:t>
      </w:r>
    </w:p>
    <w:p w14:paraId="02A2B3A6">
      <w:pPr>
        <w:pStyle w:val="27"/>
        <w:ind w:firstLine="0" w:firstLineChars="0"/>
        <w:jc w:val="center"/>
        <w:rPr>
          <w:rFonts w:hint="eastAsia" w:ascii="宋体" w:hAnsi="宋体" w:eastAsia="宋体" w:cs="宋体"/>
          <w:color w:val="auto"/>
          <w:highlight w:val="none"/>
        </w:rPr>
      </w:pPr>
      <w:r>
        <w:rPr>
          <w:rFonts w:hint="eastAsia" w:ascii="宋体" w:hAnsi="宋体" w:eastAsia="宋体" w:cs="宋体"/>
          <w:b/>
          <w:color w:val="auto"/>
          <w:sz w:val="28"/>
          <w:szCs w:val="28"/>
          <w:highlight w:val="none"/>
        </w:rPr>
        <w:t>报价一览表</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3163"/>
      </w:tblGrid>
      <w:tr w14:paraId="7B7106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620" w:type="dxa"/>
            <w:tcBorders>
              <w:top w:val="double" w:color="auto" w:sz="4" w:space="0"/>
              <w:left w:val="double" w:color="auto" w:sz="4" w:space="0"/>
              <w:bottom w:val="single" w:color="auto" w:sz="6" w:space="0"/>
              <w:right w:val="single" w:color="auto" w:sz="6" w:space="0"/>
            </w:tcBorders>
            <w:vAlign w:val="center"/>
          </w:tcPr>
          <w:p w14:paraId="55590B2B">
            <w:pPr>
              <w:tabs>
                <w:tab w:val="left" w:pos="403"/>
                <w:tab w:val="center" w:pos="3781"/>
              </w:tabs>
              <w:spacing w:line="360" w:lineRule="auto"/>
              <w:ind w:right="-5206" w:rightChars="-2479"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项目名称</w:t>
            </w:r>
          </w:p>
        </w:tc>
        <w:tc>
          <w:tcPr>
            <w:tcW w:w="3060" w:type="dxa"/>
            <w:tcBorders>
              <w:top w:val="double" w:color="auto" w:sz="4" w:space="0"/>
              <w:left w:val="single" w:color="auto" w:sz="6" w:space="0"/>
              <w:bottom w:val="single" w:color="auto" w:sz="6" w:space="0"/>
              <w:right w:val="single" w:color="auto" w:sz="6" w:space="0"/>
            </w:tcBorders>
            <w:vAlign w:val="center"/>
          </w:tcPr>
          <w:p w14:paraId="31919B93">
            <w:pPr>
              <w:spacing w:line="360" w:lineRule="auto"/>
              <w:jc w:val="center"/>
              <w:rPr>
                <w:rFonts w:hint="eastAsia" w:ascii="宋体" w:hAnsi="宋体" w:eastAsia="宋体" w:cs="宋体"/>
                <w:color w:val="auto"/>
                <w:szCs w:val="21"/>
                <w:highlight w:val="none"/>
              </w:rPr>
            </w:pPr>
          </w:p>
        </w:tc>
        <w:tc>
          <w:tcPr>
            <w:tcW w:w="1620" w:type="dxa"/>
            <w:tcBorders>
              <w:top w:val="double" w:color="auto" w:sz="4" w:space="0"/>
              <w:left w:val="single" w:color="auto" w:sz="6" w:space="0"/>
              <w:right w:val="single" w:color="auto" w:sz="6" w:space="0"/>
            </w:tcBorders>
            <w:vAlign w:val="center"/>
          </w:tcPr>
          <w:p w14:paraId="5AFFDE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招标代理编号</w:t>
            </w:r>
          </w:p>
        </w:tc>
        <w:tc>
          <w:tcPr>
            <w:tcW w:w="3163" w:type="dxa"/>
            <w:tcBorders>
              <w:top w:val="double" w:color="auto" w:sz="4" w:space="0"/>
              <w:left w:val="single" w:color="auto" w:sz="6" w:space="0"/>
              <w:right w:val="double" w:color="auto" w:sz="4" w:space="0"/>
            </w:tcBorders>
            <w:vAlign w:val="center"/>
          </w:tcPr>
          <w:p w14:paraId="76F86533">
            <w:pPr>
              <w:spacing w:line="360" w:lineRule="auto"/>
              <w:jc w:val="center"/>
              <w:rPr>
                <w:rFonts w:hint="eastAsia" w:ascii="宋体" w:hAnsi="宋体" w:eastAsia="宋体" w:cs="宋体"/>
                <w:color w:val="auto"/>
                <w:szCs w:val="21"/>
                <w:highlight w:val="none"/>
              </w:rPr>
            </w:pPr>
          </w:p>
        </w:tc>
      </w:tr>
      <w:tr w14:paraId="44C77E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281509E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品目分类编码</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39E416F0">
            <w:pPr>
              <w:spacing w:line="360" w:lineRule="auto"/>
              <w:rPr>
                <w:rFonts w:hint="eastAsia" w:ascii="宋体" w:hAnsi="宋体" w:eastAsia="宋体" w:cs="宋体"/>
                <w:color w:val="auto"/>
                <w:szCs w:val="21"/>
                <w:highlight w:val="none"/>
              </w:rPr>
            </w:pPr>
          </w:p>
        </w:tc>
      </w:tr>
      <w:tr w14:paraId="49C900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620" w:type="dxa"/>
            <w:tcBorders>
              <w:top w:val="single" w:color="auto" w:sz="6" w:space="0"/>
              <w:left w:val="double" w:color="auto" w:sz="4" w:space="0"/>
              <w:right w:val="single" w:color="auto" w:sz="6" w:space="0"/>
            </w:tcBorders>
            <w:vAlign w:val="center"/>
          </w:tcPr>
          <w:p w14:paraId="3A28048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1EAC7D7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大写：元人民币整</w:t>
            </w:r>
          </w:p>
          <w:p w14:paraId="75FE67C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小写：元人民币整</w:t>
            </w:r>
          </w:p>
        </w:tc>
      </w:tr>
      <w:tr w14:paraId="731B71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4" w:space="0"/>
              <w:right w:val="single" w:color="auto" w:sz="6" w:space="0"/>
            </w:tcBorders>
            <w:vAlign w:val="center"/>
          </w:tcPr>
          <w:p w14:paraId="5B9DF4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合同工期</w:t>
            </w:r>
          </w:p>
        </w:tc>
        <w:tc>
          <w:tcPr>
            <w:tcW w:w="7843" w:type="dxa"/>
            <w:gridSpan w:val="3"/>
            <w:tcBorders>
              <w:top w:val="single" w:color="auto" w:sz="6" w:space="0"/>
              <w:left w:val="single" w:color="auto" w:sz="6" w:space="0"/>
              <w:bottom w:val="single" w:color="auto" w:sz="4" w:space="0"/>
              <w:right w:val="double" w:color="auto" w:sz="4" w:space="0"/>
            </w:tcBorders>
            <w:vAlign w:val="center"/>
          </w:tcPr>
          <w:p w14:paraId="0737429E">
            <w:pPr>
              <w:spacing w:line="360" w:lineRule="auto"/>
              <w:rPr>
                <w:rFonts w:hint="eastAsia" w:ascii="宋体" w:hAnsi="宋体" w:eastAsia="宋体" w:cs="宋体"/>
                <w:color w:val="auto"/>
                <w:szCs w:val="21"/>
                <w:highlight w:val="none"/>
              </w:rPr>
            </w:pPr>
          </w:p>
        </w:tc>
      </w:tr>
      <w:tr w14:paraId="33DF1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4" w:space="0"/>
              <w:left w:val="double" w:color="auto" w:sz="4" w:space="0"/>
              <w:right w:val="single" w:color="auto" w:sz="6" w:space="0"/>
            </w:tcBorders>
            <w:vAlign w:val="center"/>
          </w:tcPr>
          <w:p w14:paraId="3799867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质量标准</w:t>
            </w:r>
          </w:p>
        </w:tc>
        <w:tc>
          <w:tcPr>
            <w:tcW w:w="7843" w:type="dxa"/>
            <w:gridSpan w:val="3"/>
            <w:tcBorders>
              <w:top w:val="single" w:color="auto" w:sz="4" w:space="0"/>
              <w:left w:val="single" w:color="auto" w:sz="6" w:space="0"/>
              <w:bottom w:val="single" w:color="auto" w:sz="6" w:space="0"/>
              <w:right w:val="double" w:color="auto" w:sz="4" w:space="0"/>
            </w:tcBorders>
            <w:vAlign w:val="center"/>
          </w:tcPr>
          <w:p w14:paraId="2B51111B">
            <w:pPr>
              <w:spacing w:line="360" w:lineRule="auto"/>
              <w:rPr>
                <w:rFonts w:hint="eastAsia" w:ascii="宋体" w:hAnsi="宋体" w:eastAsia="宋体" w:cs="宋体"/>
                <w:color w:val="auto"/>
                <w:szCs w:val="21"/>
                <w:highlight w:val="none"/>
              </w:rPr>
            </w:pPr>
          </w:p>
        </w:tc>
      </w:tr>
      <w:tr w14:paraId="5F9F0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4E65658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保修承诺</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75FA8326">
            <w:pPr>
              <w:spacing w:line="360" w:lineRule="auto"/>
              <w:rPr>
                <w:rFonts w:hint="eastAsia" w:ascii="宋体" w:hAnsi="宋体" w:eastAsia="宋体" w:cs="宋体"/>
                <w:iCs/>
                <w:color w:val="auto"/>
                <w:szCs w:val="21"/>
                <w:highlight w:val="none"/>
              </w:rPr>
            </w:pPr>
          </w:p>
        </w:tc>
      </w:tr>
      <w:tr w14:paraId="066DF7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292699C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4C8E536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p w14:paraId="5FB9455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级别：</w:t>
            </w:r>
          </w:p>
          <w:p w14:paraId="6510E25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注册证号：</w:t>
            </w:r>
          </w:p>
          <w:p w14:paraId="0CE8C26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B类安全生产考核合格证号：</w:t>
            </w:r>
          </w:p>
          <w:p w14:paraId="296FD42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p>
        </w:tc>
      </w:tr>
      <w:tr w14:paraId="623DAB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double" w:color="auto" w:sz="4" w:space="0"/>
              <w:right w:val="single" w:color="auto" w:sz="6" w:space="0"/>
            </w:tcBorders>
            <w:vAlign w:val="center"/>
          </w:tcPr>
          <w:p w14:paraId="166B853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7843" w:type="dxa"/>
            <w:gridSpan w:val="3"/>
            <w:tcBorders>
              <w:top w:val="single" w:color="auto" w:sz="6" w:space="0"/>
              <w:left w:val="single" w:color="auto" w:sz="6" w:space="0"/>
              <w:bottom w:val="double" w:color="auto" w:sz="4" w:space="0"/>
              <w:right w:val="double" w:color="auto" w:sz="4" w:space="0"/>
            </w:tcBorders>
            <w:vAlign w:val="center"/>
          </w:tcPr>
          <w:p w14:paraId="5E3A8B29">
            <w:pPr>
              <w:spacing w:line="360" w:lineRule="auto"/>
              <w:rPr>
                <w:rFonts w:hint="eastAsia" w:ascii="宋体" w:hAnsi="宋体" w:eastAsia="宋体" w:cs="宋体"/>
                <w:color w:val="auto"/>
                <w:szCs w:val="21"/>
                <w:highlight w:val="none"/>
              </w:rPr>
            </w:pPr>
          </w:p>
        </w:tc>
      </w:tr>
    </w:tbl>
    <w:p w14:paraId="11DAC23F">
      <w:pPr>
        <w:adjustRightInd w:val="0"/>
        <w:snapToGrid w:val="0"/>
        <w:spacing w:line="360" w:lineRule="auto"/>
        <w:ind w:left="-88" w:leftChars="-42"/>
        <w:rPr>
          <w:rFonts w:hint="eastAsia" w:ascii="宋体" w:hAnsi="宋体" w:eastAsia="宋体" w:cs="宋体"/>
          <w:color w:val="auto"/>
          <w:szCs w:val="21"/>
          <w:highlight w:val="none"/>
        </w:rPr>
      </w:pPr>
    </w:p>
    <w:p w14:paraId="5FA47344">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25" w:name="_Toc8243"/>
      <w:r>
        <w:rPr>
          <w:rFonts w:hint="eastAsia" w:ascii="宋体" w:hAnsi="宋体" w:eastAsia="宋体" w:cs="宋体"/>
          <w:color w:val="auto"/>
          <w:sz w:val="21"/>
          <w:szCs w:val="21"/>
          <w:highlight w:val="none"/>
        </w:rPr>
        <w:t>供应商名称：</w:t>
      </w:r>
      <w:bookmarkEnd w:id="225"/>
      <w:r>
        <w:rPr>
          <w:rFonts w:hint="eastAsia" w:ascii="宋体" w:hAnsi="宋体" w:eastAsia="宋体" w:cs="宋体"/>
          <w:color w:val="auto"/>
          <w:szCs w:val="21"/>
          <w:highlight w:val="none"/>
          <w:u w:val="single"/>
        </w:rPr>
        <w:t xml:space="preserve">        </w:t>
      </w:r>
    </w:p>
    <w:p w14:paraId="43D7DEB6">
      <w:pPr>
        <w:adjustRightInd w:val="0"/>
        <w:snapToGrid w:val="0"/>
        <w:spacing w:line="360" w:lineRule="auto"/>
        <w:outlineLvl w:val="0"/>
        <w:rPr>
          <w:rFonts w:hint="eastAsia" w:ascii="宋体" w:hAnsi="宋体" w:eastAsia="宋体" w:cs="宋体"/>
          <w:color w:val="auto"/>
          <w:szCs w:val="21"/>
          <w:highlight w:val="none"/>
          <w:u w:val="single"/>
        </w:rPr>
      </w:pPr>
      <w:bookmarkStart w:id="226" w:name="_Toc888"/>
      <w:r>
        <w:rPr>
          <w:rFonts w:hint="eastAsia" w:ascii="宋体" w:hAnsi="宋体" w:eastAsia="宋体" w:cs="宋体"/>
          <w:color w:val="auto"/>
          <w:szCs w:val="21"/>
          <w:highlight w:val="none"/>
        </w:rPr>
        <w:t>法定代表人或其委托代理人(签字或盖章)：</w:t>
      </w:r>
      <w:bookmarkEnd w:id="226"/>
      <w:r>
        <w:rPr>
          <w:rFonts w:hint="eastAsia" w:ascii="宋体" w:hAnsi="宋体" w:eastAsia="宋体" w:cs="宋体"/>
          <w:color w:val="auto"/>
          <w:szCs w:val="21"/>
          <w:highlight w:val="none"/>
          <w:u w:val="single"/>
        </w:rPr>
        <w:t xml:space="preserve">        </w:t>
      </w:r>
    </w:p>
    <w:p w14:paraId="7FBC5D4C">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AAD458E">
      <w:pPr>
        <w:adjustRightInd w:val="0"/>
        <w:snapToGrid w:val="0"/>
        <w:spacing w:line="360" w:lineRule="auto"/>
        <w:rPr>
          <w:rFonts w:hint="eastAsia" w:ascii="宋体" w:hAnsi="宋体" w:eastAsia="宋体" w:cs="宋体"/>
          <w:color w:val="auto"/>
          <w:szCs w:val="21"/>
          <w:highlight w:val="none"/>
        </w:rPr>
      </w:pPr>
    </w:p>
    <w:p w14:paraId="298DB577">
      <w:pPr>
        <w:adjustRightInd w:val="0"/>
        <w:snapToGrid w:val="0"/>
        <w:spacing w:line="360" w:lineRule="auto"/>
        <w:rPr>
          <w:rFonts w:hint="eastAsia" w:ascii="宋体" w:hAnsi="宋体" w:eastAsia="宋体" w:cs="宋体"/>
          <w:b/>
          <w:color w:val="auto"/>
          <w:szCs w:val="21"/>
          <w:highlight w:val="none"/>
        </w:rPr>
        <w:sectPr>
          <w:pgSz w:w="11906" w:h="16838"/>
          <w:pgMar w:top="1418" w:right="1134" w:bottom="1134" w:left="1418" w:header="851" w:footer="850" w:gutter="0"/>
          <w:cols w:space="720" w:num="1"/>
          <w:docGrid w:type="lines" w:linePitch="312" w:charSpace="0"/>
        </w:sectPr>
      </w:pPr>
      <w:r>
        <w:rPr>
          <w:rFonts w:hint="eastAsia" w:ascii="宋体" w:hAnsi="宋体" w:eastAsia="宋体" w:cs="宋体"/>
          <w:b/>
          <w:color w:val="auto"/>
          <w:szCs w:val="21"/>
          <w:highlight w:val="none"/>
        </w:rPr>
        <w:t>注：首次报价表须装订在响应文件中。</w:t>
      </w:r>
    </w:p>
    <w:p w14:paraId="207BC9C5">
      <w:pPr>
        <w:adjustRightInd w:val="0"/>
        <w:snapToGrid w:val="0"/>
        <w:spacing w:line="360" w:lineRule="auto"/>
        <w:rPr>
          <w:rFonts w:hint="eastAsia" w:ascii="宋体" w:hAnsi="宋体" w:eastAsia="宋体" w:cs="宋体"/>
          <w:color w:val="auto"/>
          <w:highlight w:val="none"/>
        </w:rPr>
      </w:pPr>
      <w:bookmarkStart w:id="227" w:name="_Toc500271331"/>
      <w:bookmarkStart w:id="228" w:name="_Toc500271160"/>
      <w:bookmarkStart w:id="229" w:name="_Toc500269631"/>
      <w:bookmarkStart w:id="230" w:name="_Toc500271419"/>
      <w:r>
        <w:rPr>
          <w:rFonts w:hint="eastAsia" w:ascii="宋体" w:hAnsi="宋体" w:eastAsia="宋体" w:cs="宋体"/>
          <w:b/>
          <w:color w:val="auto"/>
          <w:sz w:val="28"/>
          <w:szCs w:val="28"/>
          <w:highlight w:val="none"/>
        </w:rPr>
        <w:t>附件6-2</w:t>
      </w:r>
    </w:p>
    <w:p w14:paraId="16DF4D85">
      <w:pPr>
        <w:pStyle w:val="27"/>
        <w:ind w:firstLine="0" w:firstLineChars="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分项报价表</w:t>
      </w:r>
    </w:p>
    <w:p w14:paraId="2D542D95">
      <w:pPr>
        <w:pStyle w:val="4"/>
        <w:spacing w:before="0" w:after="0" w:line="360" w:lineRule="auto"/>
        <w:jc w:val="center"/>
        <w:rPr>
          <w:rFonts w:hint="eastAsia" w:ascii="宋体" w:hAnsi="宋体" w:eastAsia="宋体" w:cs="宋体"/>
          <w:color w:val="auto"/>
          <w:highlight w:val="none"/>
        </w:rPr>
      </w:pPr>
      <w:bookmarkStart w:id="231" w:name="_Toc26344"/>
    </w:p>
    <w:p w14:paraId="33329BD9">
      <w:pPr>
        <w:pStyle w:val="4"/>
        <w:spacing w:before="0" w:after="0" w:line="360" w:lineRule="auto"/>
        <w:jc w:val="center"/>
        <w:rPr>
          <w:rFonts w:hint="eastAsia" w:ascii="宋体" w:hAnsi="宋体" w:eastAsia="宋体" w:cs="宋体"/>
          <w:color w:val="auto"/>
          <w:highlight w:val="none"/>
        </w:rPr>
      </w:pPr>
    </w:p>
    <w:p w14:paraId="27537FF8">
      <w:pPr>
        <w:pStyle w:val="4"/>
        <w:spacing w:before="0" w:after="0" w:line="360" w:lineRule="auto"/>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按照</w:t>
      </w:r>
      <w:r>
        <w:rPr>
          <w:rFonts w:hint="eastAsia" w:ascii="宋体" w:hAnsi="宋体" w:eastAsia="宋体" w:cs="宋体"/>
          <w:color w:val="auto"/>
          <w:highlight w:val="none"/>
        </w:rPr>
        <w:t>工程量清单</w:t>
      </w:r>
      <w:bookmarkEnd w:id="227"/>
      <w:bookmarkEnd w:id="228"/>
      <w:bookmarkEnd w:id="229"/>
      <w:bookmarkEnd w:id="230"/>
      <w:bookmarkEnd w:id="231"/>
      <w:r>
        <w:rPr>
          <w:rFonts w:hint="eastAsia" w:ascii="宋体" w:hAnsi="宋体" w:cs="宋体"/>
          <w:color w:val="auto"/>
          <w:highlight w:val="none"/>
          <w:lang w:val="en-US" w:eastAsia="zh-CN"/>
        </w:rPr>
        <w:t>进行分项报价</w:t>
      </w:r>
    </w:p>
    <w:p w14:paraId="739C8F01">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1B64E8D9">
      <w:pPr>
        <w:pStyle w:val="3"/>
        <w:rPr>
          <w:rFonts w:hint="eastAsia"/>
          <w:color w:val="auto"/>
        </w:rPr>
      </w:pPr>
    </w:p>
    <w:p w14:paraId="3AD4DE36">
      <w:pPr>
        <w:adjustRightInd w:val="0"/>
        <w:snapToGrid w:val="0"/>
        <w:spacing w:line="360" w:lineRule="auto"/>
        <w:ind w:left="-88" w:leftChars="-42"/>
        <w:jc w:val="center"/>
        <w:rPr>
          <w:rFonts w:hint="eastAsia" w:ascii="宋体" w:hAnsi="宋体" w:eastAsia="宋体" w:cs="宋体"/>
          <w:b/>
          <w:color w:val="auto"/>
          <w:sz w:val="32"/>
          <w:szCs w:val="32"/>
          <w:highlight w:val="none"/>
        </w:rPr>
      </w:pPr>
    </w:p>
    <w:p w14:paraId="4F03C8AE">
      <w:pPr>
        <w:adjustRightInd w:val="0"/>
        <w:snapToGrid w:val="0"/>
        <w:spacing w:line="360" w:lineRule="auto"/>
        <w:ind w:left="-88" w:leftChars="-42"/>
        <w:jc w:val="cente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七、提供享受政府采购政策优惠的证明资料和清单表</w:t>
      </w:r>
    </w:p>
    <w:p w14:paraId="60F6AC70">
      <w:pPr>
        <w:widowControl/>
        <w:snapToGrid w:val="0"/>
        <w:spacing w:line="360" w:lineRule="auto"/>
        <w:jc w:val="center"/>
        <w:rPr>
          <w:rFonts w:hint="eastAsia" w:ascii="宋体" w:hAnsi="宋体" w:eastAsia="宋体" w:cs="宋体"/>
          <w:b/>
          <w:color w:val="auto"/>
          <w:spacing w:val="6"/>
          <w:sz w:val="28"/>
          <w:highlight w:val="none"/>
        </w:rPr>
      </w:pPr>
    </w:p>
    <w:p w14:paraId="3E45556D">
      <w:pPr>
        <w:widowControl/>
        <w:snapToGrid w:val="0"/>
        <w:spacing w:line="360" w:lineRule="auto"/>
        <w:jc w:val="left"/>
        <w:rPr>
          <w:rFonts w:hint="eastAsia" w:ascii="宋体" w:hAnsi="宋体" w:eastAsia="宋体" w:cs="宋体"/>
          <w:b/>
          <w:color w:val="auto"/>
          <w:spacing w:val="6"/>
          <w:sz w:val="28"/>
          <w:highlight w:val="none"/>
        </w:rPr>
      </w:pPr>
      <w:r>
        <w:rPr>
          <w:rFonts w:hint="eastAsia" w:ascii="宋体" w:hAnsi="宋体" w:eastAsia="宋体" w:cs="宋体"/>
          <w:b/>
          <w:color w:val="auto"/>
          <w:spacing w:val="6"/>
          <w:sz w:val="28"/>
          <w:highlight w:val="none"/>
          <w:lang w:val="en-US" w:eastAsia="zh-CN"/>
        </w:rPr>
        <w:t>附件7.1</w:t>
      </w:r>
      <w:r>
        <w:rPr>
          <w:rFonts w:hint="eastAsia" w:ascii="宋体" w:hAnsi="宋体" w:eastAsia="宋体" w:cs="宋体"/>
          <w:b/>
          <w:color w:val="auto"/>
          <w:spacing w:val="6"/>
          <w:sz w:val="28"/>
          <w:highlight w:val="none"/>
        </w:rPr>
        <w:t>中小企业声明函</w:t>
      </w:r>
    </w:p>
    <w:p w14:paraId="7DECC356">
      <w:pPr>
        <w:pStyle w:val="34"/>
        <w:rPr>
          <w:rFonts w:hint="eastAsia" w:ascii="宋体" w:hAnsi="宋体" w:eastAsia="宋体" w:cs="宋体"/>
          <w:color w:val="auto"/>
          <w:highlight w:val="none"/>
        </w:rPr>
      </w:pPr>
      <w:r>
        <w:rPr>
          <w:rFonts w:hint="eastAsia" w:ascii="宋体" w:hAnsi="宋体" w:eastAsia="宋体" w:cs="宋体"/>
          <w:b/>
          <w:color w:val="auto"/>
          <w:spacing w:val="6"/>
          <w:sz w:val="28"/>
          <w:highlight w:val="none"/>
        </w:rPr>
        <w:t>中小企业声明函</w:t>
      </w:r>
    </w:p>
    <w:p w14:paraId="4C6A8488">
      <w:pPr>
        <w:widowControl/>
        <w:snapToGrid w:val="0"/>
        <w:spacing w:line="420" w:lineRule="exact"/>
        <w:ind w:firstLine="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本公司（联合体）郑重声明，根据《政府采购促进中小企业发展管理办法》（财库﹝2020﹞46号）的规定，本公司（联合体）参加</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（单位名称）的</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项目名称）采购活动，工程的施工单位全部为符合政策要求的小微企业（或者：服务全部由符合政策要求的小微企业承接）。相关企业（含联合体中的小微企业、签订分包意向协议的小微企业）的具体情况如下：</w:t>
      </w:r>
    </w:p>
    <w:p w14:paraId="456ABC6B">
      <w:pPr>
        <w:widowControl/>
        <w:numPr>
          <w:ilvl w:val="0"/>
          <w:numId w:val="9"/>
        </w:numPr>
        <w:snapToGrid w:val="0"/>
        <w:spacing w:line="420" w:lineRule="exact"/>
        <w:ind w:firstLine="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（标的名称），属于</w:t>
      </w:r>
      <w:r>
        <w:rPr>
          <w:rFonts w:hint="eastAsia" w:ascii="宋体" w:hAnsi="宋体" w:eastAsia="宋体" w:cs="宋体"/>
          <w:color w:val="auto"/>
          <w:spacing w:val="6"/>
          <w:szCs w:val="22"/>
          <w:highlight w:val="none"/>
          <w:u w:val="single"/>
        </w:rPr>
        <w:t xml:space="preserve"> 建筑业  </w:t>
      </w:r>
      <w:r>
        <w:rPr>
          <w:rFonts w:hint="eastAsia" w:ascii="宋体" w:hAnsi="宋体" w:eastAsia="宋体" w:cs="宋体"/>
          <w:color w:val="auto"/>
          <w:spacing w:val="6"/>
          <w:szCs w:val="22"/>
          <w:highlight w:val="none"/>
        </w:rPr>
        <w:t>（采购文件中明确的所属行业）；承建（承接）企业为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（企业名称），从业人员    人，营业收入为     万元，资产总额为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万元，属于</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（小型企业、微型企业）；</w:t>
      </w:r>
    </w:p>
    <w:p w14:paraId="6B437E8C">
      <w:pPr>
        <w:widowControl/>
        <w:numPr>
          <w:ilvl w:val="0"/>
          <w:numId w:val="9"/>
        </w:numPr>
        <w:snapToGrid w:val="0"/>
        <w:spacing w:line="420" w:lineRule="exact"/>
        <w:ind w:firstLine="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（标的名称），属于</w:t>
      </w:r>
      <w:r>
        <w:rPr>
          <w:rFonts w:hint="eastAsia" w:ascii="宋体" w:hAnsi="宋体" w:eastAsia="宋体" w:cs="宋体"/>
          <w:color w:val="auto"/>
          <w:spacing w:val="6"/>
          <w:szCs w:val="22"/>
          <w:highlight w:val="none"/>
          <w:u w:val="single"/>
        </w:rPr>
        <w:t xml:space="preserve">  建筑业  </w:t>
      </w:r>
      <w:r>
        <w:rPr>
          <w:rFonts w:hint="eastAsia" w:ascii="宋体" w:hAnsi="宋体" w:eastAsia="宋体" w:cs="宋体"/>
          <w:color w:val="auto"/>
          <w:spacing w:val="6"/>
          <w:szCs w:val="22"/>
          <w:highlight w:val="none"/>
        </w:rPr>
        <w:t>（采购文件中明确的所属行业）；承建（承接）企业为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（企业名称），从业人员    人，营业收入为     万元，资产总额为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万元，属于</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（小型企业、微型企业）；</w:t>
      </w:r>
    </w:p>
    <w:p w14:paraId="488C5EEC">
      <w:pPr>
        <w:widowControl/>
        <w:snapToGrid w:val="0"/>
        <w:spacing w:line="420" w:lineRule="exact"/>
        <w:ind w:left="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w:t>
      </w:r>
    </w:p>
    <w:p w14:paraId="743983D4">
      <w:pPr>
        <w:widowControl/>
        <w:snapToGrid w:val="0"/>
        <w:spacing w:line="420" w:lineRule="exact"/>
        <w:ind w:firstLine="444" w:firstLineChars="200"/>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以上企业，不属于大、中企业的分支机构，不存在控股股东为大、中企业的情形，也不存在与大、中企业的负责人为同一人的情形。</w:t>
      </w:r>
    </w:p>
    <w:p w14:paraId="051F08B8">
      <w:pPr>
        <w:widowControl/>
        <w:snapToGrid w:val="0"/>
        <w:spacing w:line="420" w:lineRule="exact"/>
        <w:ind w:firstLine="444" w:firstLineChars="200"/>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本企业对上述声明内容的真实性负责。如有虚假，将依法承担相应责任。</w:t>
      </w:r>
    </w:p>
    <w:p w14:paraId="66B84871">
      <w:pPr>
        <w:pStyle w:val="34"/>
        <w:rPr>
          <w:rFonts w:hint="eastAsia" w:ascii="宋体" w:hAnsi="宋体" w:eastAsia="宋体" w:cs="宋体"/>
          <w:color w:val="auto"/>
          <w:spacing w:val="6"/>
          <w:szCs w:val="22"/>
          <w:highlight w:val="none"/>
        </w:rPr>
      </w:pPr>
    </w:p>
    <w:p w14:paraId="36F1F6E9">
      <w:pPr>
        <w:rPr>
          <w:rFonts w:hint="eastAsia" w:ascii="宋体" w:hAnsi="宋体" w:eastAsia="宋体" w:cs="宋体"/>
          <w:color w:val="auto"/>
          <w:highlight w:val="none"/>
        </w:rPr>
      </w:pPr>
    </w:p>
    <w:p w14:paraId="6C17C558">
      <w:pPr>
        <w:widowControl/>
        <w:snapToGrid w:val="0"/>
        <w:spacing w:line="500" w:lineRule="exact"/>
        <w:ind w:left="5678" w:leftChars="2704"/>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企业名称（盖章）：</w:t>
      </w:r>
    </w:p>
    <w:p w14:paraId="4F5C81BF">
      <w:pPr>
        <w:widowControl/>
        <w:snapToGrid w:val="0"/>
        <w:spacing w:line="500" w:lineRule="exact"/>
        <w:ind w:left="5678" w:leftChars="2704"/>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日期：</w:t>
      </w:r>
    </w:p>
    <w:p w14:paraId="2611EFCC">
      <w:pPr>
        <w:widowControl/>
        <w:snapToGrid w:val="0"/>
        <w:spacing w:line="360" w:lineRule="auto"/>
        <w:jc w:val="center"/>
        <w:rPr>
          <w:rFonts w:hint="eastAsia" w:ascii="宋体" w:hAnsi="宋体" w:eastAsia="宋体" w:cs="宋体"/>
          <w:b/>
          <w:color w:val="auto"/>
          <w:spacing w:val="6"/>
          <w:sz w:val="28"/>
          <w:highlight w:val="none"/>
        </w:rPr>
      </w:pPr>
    </w:p>
    <w:p w14:paraId="2E4D0C46">
      <w:pPr>
        <w:pStyle w:val="34"/>
        <w:spacing w:line="320" w:lineRule="exact"/>
        <w:ind w:left="0"/>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说明：1、填写前请认真阅读《工业和信息化部、国家统计局、国家发展和改革委员会、财政部关于印发中小企业划型标准规定的通知》（工信部联企业【2011】300号）和《财政部 工业和信息化部关于印发＜政府采购促进中小企业发展暂行办法＞的通知》(财库【2020】46号)相关规定。</w:t>
      </w:r>
    </w:p>
    <w:p w14:paraId="209E8123">
      <w:pPr>
        <w:widowControl/>
        <w:snapToGrid w:val="0"/>
        <w:spacing w:line="320" w:lineRule="exact"/>
        <w:jc w:val="left"/>
        <w:rPr>
          <w:rFonts w:hint="eastAsia" w:ascii="宋体" w:hAnsi="宋体" w:eastAsia="宋体" w:cs="宋体"/>
          <w:b/>
          <w:color w:val="auto"/>
          <w:spacing w:val="6"/>
          <w:sz w:val="18"/>
          <w:szCs w:val="18"/>
          <w:highlight w:val="none"/>
        </w:rPr>
      </w:pPr>
      <w:r>
        <w:rPr>
          <w:rFonts w:hint="eastAsia" w:ascii="宋体" w:hAnsi="宋体" w:eastAsia="宋体" w:cs="宋体"/>
          <w:color w:val="auto"/>
          <w:spacing w:val="6"/>
          <w:sz w:val="18"/>
          <w:szCs w:val="18"/>
          <w:highlight w:val="none"/>
        </w:rPr>
        <w:t>2、从业人员、营业收入、资产总额填报上一年度数据，无上一年度数据的新成立企业可不填报</w:t>
      </w:r>
      <w:r>
        <w:rPr>
          <w:rFonts w:hint="eastAsia" w:ascii="宋体" w:hAnsi="宋体" w:eastAsia="宋体" w:cs="宋体"/>
          <w:b/>
          <w:color w:val="auto"/>
          <w:spacing w:val="6"/>
          <w:sz w:val="18"/>
          <w:szCs w:val="18"/>
          <w:highlight w:val="none"/>
        </w:rPr>
        <w:t>。</w:t>
      </w:r>
    </w:p>
    <w:p w14:paraId="7733650E">
      <w:pPr>
        <w:pStyle w:val="28"/>
        <w:rPr>
          <w:rFonts w:hint="eastAsia" w:ascii="宋体" w:hAnsi="宋体" w:eastAsia="宋体" w:cs="宋体"/>
          <w:color w:val="auto"/>
          <w:highlight w:val="none"/>
        </w:rPr>
        <w:sectPr>
          <w:pgSz w:w="11906" w:h="16838"/>
          <w:pgMar w:top="1418" w:right="1134" w:bottom="1134" w:left="1418" w:header="851" w:footer="850" w:gutter="0"/>
          <w:cols w:space="720" w:num="1"/>
          <w:docGrid w:type="lines" w:linePitch="312" w:charSpace="0"/>
        </w:sectPr>
      </w:pPr>
    </w:p>
    <w:p w14:paraId="0351E4C0">
      <w:pPr>
        <w:widowControl/>
        <w:adjustRightInd w:val="0"/>
        <w:snapToGrid w:val="0"/>
        <w:spacing w:line="360" w:lineRule="auto"/>
        <w:rPr>
          <w:rFonts w:hint="eastAsia" w:ascii="宋体" w:hAnsi="宋体" w:eastAsia="宋体" w:cs="宋体"/>
          <w:b/>
          <w:color w:val="auto"/>
          <w:kern w:val="0"/>
          <w:sz w:val="28"/>
          <w:szCs w:val="28"/>
          <w:highlight w:val="none"/>
        </w:rPr>
      </w:pPr>
    </w:p>
    <w:p w14:paraId="3D0FE34D">
      <w:pPr>
        <w:adjustRightInd w:val="0"/>
        <w:snapToGrid w:val="0"/>
        <w:spacing w:line="360" w:lineRule="auto"/>
        <w:ind w:left="-88" w:leftChars="-42"/>
        <w:jc w:val="left"/>
        <w:rPr>
          <w:rFonts w:hint="eastAsia" w:ascii="宋体" w:hAnsi="宋体" w:eastAsia="宋体" w:cs="宋体"/>
          <w:b/>
          <w:color w:val="auto"/>
          <w:sz w:val="28"/>
          <w:szCs w:val="28"/>
          <w:highlight w:val="none"/>
        </w:rPr>
      </w:pPr>
      <w:bookmarkStart w:id="232" w:name="_Toc3712_WPSOffice_Level1"/>
      <w:bookmarkStart w:id="233" w:name="_Toc12644_WPSOffice_Level1"/>
      <w:bookmarkStart w:id="234" w:name="_Toc24992_WPSOffice_Level1"/>
      <w:bookmarkStart w:id="235" w:name="_Toc12706_WPSOffice_Level1"/>
      <w:r>
        <w:rPr>
          <w:rFonts w:hint="eastAsia" w:ascii="宋体" w:hAnsi="宋体" w:eastAsia="宋体" w:cs="宋体"/>
          <w:b/>
          <w:color w:val="auto"/>
          <w:sz w:val="28"/>
          <w:szCs w:val="28"/>
          <w:highlight w:val="none"/>
        </w:rPr>
        <w:t>附7-</w:t>
      </w:r>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 xml:space="preserve"> 疾人福利性单位声明函</w:t>
      </w:r>
      <w:bookmarkEnd w:id="232"/>
      <w:bookmarkEnd w:id="233"/>
      <w:bookmarkEnd w:id="234"/>
      <w:bookmarkEnd w:id="235"/>
    </w:p>
    <w:p w14:paraId="686CBB23">
      <w:pPr>
        <w:adjustRightInd w:val="0"/>
        <w:snapToGrid w:val="0"/>
        <w:spacing w:line="360" w:lineRule="auto"/>
        <w:ind w:left="-88" w:leftChars="-42"/>
        <w:jc w:val="center"/>
        <w:rPr>
          <w:rFonts w:hint="eastAsia" w:ascii="宋体" w:hAnsi="宋体" w:eastAsia="宋体" w:cs="宋体"/>
          <w:b/>
          <w:color w:val="auto"/>
          <w:szCs w:val="21"/>
          <w:highlight w:val="none"/>
        </w:rPr>
      </w:pPr>
      <w:bookmarkStart w:id="236" w:name="_Toc2706_WPSOffice_Level1"/>
      <w:bookmarkStart w:id="237" w:name="_Toc30285_WPSOffice_Level1"/>
      <w:bookmarkStart w:id="238" w:name="_Toc412_WPSOffice_Level1"/>
      <w:bookmarkStart w:id="239" w:name="_Toc9384_WPSOffice_Level1"/>
      <w:r>
        <w:rPr>
          <w:rFonts w:hint="eastAsia" w:ascii="宋体" w:hAnsi="宋体" w:eastAsia="宋体" w:cs="宋体"/>
          <w:b/>
          <w:color w:val="auto"/>
          <w:szCs w:val="21"/>
          <w:highlight w:val="none"/>
        </w:rPr>
        <w:t>(不属于残疾人福利性单位的无需填写)</w:t>
      </w:r>
      <w:bookmarkEnd w:id="236"/>
      <w:bookmarkEnd w:id="237"/>
      <w:bookmarkEnd w:id="238"/>
      <w:bookmarkEnd w:id="239"/>
    </w:p>
    <w:p w14:paraId="191619AB">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6A46E12B">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58B9F0">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5D7C67BB">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0C634360">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4FFA9CD9">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bookmarkStart w:id="240" w:name="_Toc8092_WPSOffice_Level1"/>
      <w:bookmarkStart w:id="241" w:name="_Toc30515_WPSOffice_Level1"/>
      <w:bookmarkStart w:id="242" w:name="_Toc31494_WPSOffice_Level1"/>
      <w:bookmarkStart w:id="243" w:name="_Toc15659_WPSOffice_Level1"/>
      <w:r>
        <w:rPr>
          <w:rFonts w:hint="eastAsia" w:ascii="宋体" w:hAnsi="宋体" w:eastAsia="宋体" w:cs="宋体"/>
          <w:color w:val="auto"/>
          <w:spacing w:val="6"/>
          <w:szCs w:val="21"/>
          <w:highlight w:val="none"/>
        </w:rPr>
        <w:t>单位名称（盖章）：</w:t>
      </w:r>
      <w:bookmarkEnd w:id="240"/>
      <w:bookmarkEnd w:id="241"/>
      <w:bookmarkEnd w:id="242"/>
      <w:bookmarkEnd w:id="243"/>
    </w:p>
    <w:p w14:paraId="51D11093">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bookmarkStart w:id="244" w:name="_Toc26830_WPSOffice_Level1"/>
      <w:bookmarkStart w:id="245" w:name="_Toc11805_WPSOffice_Level1"/>
      <w:bookmarkStart w:id="246" w:name="_Toc16187_WPSOffice_Level1"/>
      <w:bookmarkStart w:id="247" w:name="_Toc22081_WPSOffice_Level1"/>
      <w:r>
        <w:rPr>
          <w:rFonts w:hint="eastAsia" w:ascii="宋体" w:hAnsi="宋体" w:eastAsia="宋体" w:cs="宋体"/>
          <w:color w:val="auto"/>
          <w:spacing w:val="6"/>
          <w:szCs w:val="21"/>
          <w:highlight w:val="none"/>
        </w:rPr>
        <w:t>日  期：</w:t>
      </w:r>
      <w:bookmarkEnd w:id="244"/>
      <w:bookmarkEnd w:id="245"/>
      <w:bookmarkEnd w:id="246"/>
      <w:bookmarkEnd w:id="247"/>
    </w:p>
    <w:p w14:paraId="3C759CDB">
      <w:pPr>
        <w:widowControl/>
        <w:adjustRightInd w:val="0"/>
        <w:snapToGrid w:val="0"/>
        <w:spacing w:line="360" w:lineRule="auto"/>
        <w:jc w:val="left"/>
        <w:rPr>
          <w:rFonts w:hint="eastAsia" w:ascii="宋体" w:hAnsi="宋体" w:eastAsia="宋体" w:cs="宋体"/>
          <w:color w:val="auto"/>
          <w:kern w:val="0"/>
          <w:szCs w:val="21"/>
          <w:highlight w:val="none"/>
        </w:rPr>
      </w:pPr>
    </w:p>
    <w:p w14:paraId="22337DF4">
      <w:pPr>
        <w:widowControl/>
        <w:adjustRightInd w:val="0"/>
        <w:snapToGrid w:val="0"/>
        <w:spacing w:line="360" w:lineRule="auto"/>
        <w:jc w:val="left"/>
        <w:rPr>
          <w:rFonts w:hint="eastAsia" w:ascii="宋体" w:hAnsi="宋体" w:eastAsia="宋体" w:cs="宋体"/>
          <w:color w:val="auto"/>
          <w:kern w:val="0"/>
          <w:szCs w:val="21"/>
          <w:highlight w:val="none"/>
        </w:rPr>
      </w:pPr>
    </w:p>
    <w:p w14:paraId="571C5549">
      <w:pPr>
        <w:widowControl/>
        <w:adjustRightInd w:val="0"/>
        <w:snapToGrid w:val="0"/>
        <w:spacing w:line="360" w:lineRule="auto"/>
        <w:rPr>
          <w:rFonts w:hint="eastAsia" w:ascii="宋体" w:hAnsi="宋体" w:eastAsia="宋体" w:cs="宋体"/>
          <w:color w:val="auto"/>
          <w:kern w:val="0"/>
          <w:szCs w:val="21"/>
          <w:highlight w:val="none"/>
        </w:rPr>
      </w:pPr>
    </w:p>
    <w:p w14:paraId="4D6C7DE8">
      <w:pPr>
        <w:widowControl/>
        <w:adjustRightInd w:val="0"/>
        <w:snapToGrid w:val="0"/>
        <w:spacing w:line="360" w:lineRule="auto"/>
        <w:rPr>
          <w:rFonts w:hint="eastAsia" w:ascii="宋体" w:hAnsi="宋体" w:eastAsia="宋体" w:cs="宋体"/>
          <w:color w:val="auto"/>
          <w:kern w:val="0"/>
          <w:szCs w:val="21"/>
          <w:highlight w:val="none"/>
        </w:rPr>
      </w:pPr>
    </w:p>
    <w:p w14:paraId="7D810651">
      <w:pPr>
        <w:adjustRightInd w:val="0"/>
        <w:snapToGrid w:val="0"/>
        <w:spacing w:line="360" w:lineRule="auto"/>
        <w:ind w:left="-88" w:leftChars="-42"/>
        <w:jc w:val="left"/>
        <w:rPr>
          <w:rFonts w:hint="eastAsia" w:ascii="宋体" w:hAnsi="宋体" w:eastAsia="宋体" w:cs="宋体"/>
          <w:b/>
          <w:color w:val="auto"/>
          <w:sz w:val="28"/>
          <w:szCs w:val="28"/>
          <w:highlight w:val="none"/>
        </w:rPr>
      </w:pPr>
      <w:bookmarkStart w:id="248" w:name="_Toc12337_WPSOffice_Level1"/>
      <w:bookmarkStart w:id="249" w:name="_Toc8355_WPSOffice_Level1"/>
      <w:bookmarkStart w:id="250" w:name="_Toc3283_WPSOffice_Level1"/>
      <w:bookmarkStart w:id="251" w:name="_Toc30227_WPSOffice_Level1"/>
      <w:r>
        <w:rPr>
          <w:rFonts w:hint="eastAsia" w:ascii="宋体" w:hAnsi="宋体" w:eastAsia="宋体" w:cs="宋体"/>
          <w:b/>
          <w:color w:val="auto"/>
          <w:sz w:val="28"/>
          <w:szCs w:val="28"/>
          <w:highlight w:val="none"/>
        </w:rPr>
        <w:t>附7-</w:t>
      </w: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 xml:space="preserve">  监狱企业证明资料</w:t>
      </w:r>
      <w:bookmarkEnd w:id="248"/>
      <w:bookmarkEnd w:id="249"/>
      <w:bookmarkEnd w:id="250"/>
      <w:bookmarkEnd w:id="251"/>
    </w:p>
    <w:p w14:paraId="7F0BC5BC">
      <w:pPr>
        <w:adjustRightInd w:val="0"/>
        <w:snapToGrid w:val="0"/>
        <w:spacing w:line="360" w:lineRule="auto"/>
        <w:jc w:val="center"/>
        <w:rPr>
          <w:rFonts w:hint="eastAsia" w:ascii="宋体" w:hAnsi="宋体" w:eastAsia="宋体" w:cs="宋体"/>
          <w:b/>
          <w:color w:val="auto"/>
          <w:spacing w:val="6"/>
          <w:szCs w:val="21"/>
          <w:highlight w:val="none"/>
        </w:rPr>
      </w:pPr>
      <w:bookmarkStart w:id="252" w:name="_Toc9873_WPSOffice_Level1"/>
      <w:bookmarkStart w:id="253" w:name="_Toc23652_WPSOffice_Level1"/>
      <w:bookmarkStart w:id="254" w:name="_Toc7645_WPSOffice_Level1"/>
      <w:bookmarkStart w:id="255" w:name="_Toc17116_WPSOffice_Level1"/>
      <w:r>
        <w:rPr>
          <w:rFonts w:hint="eastAsia" w:ascii="宋体" w:hAnsi="宋体" w:eastAsia="宋体" w:cs="宋体"/>
          <w:b/>
          <w:color w:val="auto"/>
          <w:spacing w:val="6"/>
          <w:szCs w:val="21"/>
          <w:highlight w:val="none"/>
        </w:rPr>
        <w:t>(不属于监狱企业的无需提供)</w:t>
      </w:r>
      <w:bookmarkEnd w:id="252"/>
      <w:bookmarkEnd w:id="253"/>
      <w:bookmarkEnd w:id="254"/>
      <w:bookmarkEnd w:id="255"/>
    </w:p>
    <w:p w14:paraId="41C85171">
      <w:pPr>
        <w:adjustRightInd w:val="0"/>
        <w:snapToGrid w:val="0"/>
        <w:spacing w:line="360" w:lineRule="auto"/>
        <w:rPr>
          <w:rFonts w:hint="eastAsia" w:ascii="宋体" w:hAnsi="宋体" w:eastAsia="宋体" w:cs="宋体"/>
          <w:color w:val="auto"/>
          <w:szCs w:val="21"/>
          <w:highlight w:val="none"/>
        </w:rPr>
      </w:pPr>
    </w:p>
    <w:p w14:paraId="533C0DC8">
      <w:pPr>
        <w:adjustRightInd w:val="0"/>
        <w:snapToGrid w:val="0"/>
        <w:spacing w:line="360" w:lineRule="auto"/>
        <w:ind w:firstLine="444" w:firstLineChars="200"/>
        <w:rPr>
          <w:rFonts w:hint="eastAsia" w:ascii="宋体" w:hAnsi="宋体" w:eastAsia="宋体" w:cs="宋体"/>
          <w:color w:val="auto"/>
          <w:szCs w:val="21"/>
          <w:highlight w:val="none"/>
        </w:rPr>
      </w:pPr>
      <w:r>
        <w:rPr>
          <w:rFonts w:hint="eastAsia" w:ascii="宋体" w:hAnsi="宋体" w:eastAsia="宋体" w:cs="宋体"/>
          <w:bCs/>
          <w:color w:val="auto"/>
          <w:spacing w:val="6"/>
          <w:kern w:val="0"/>
          <w:szCs w:val="21"/>
          <w:highlight w:val="none"/>
        </w:rPr>
        <w:t>备注：</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 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6543FA7B">
      <w:pPr>
        <w:widowControl/>
        <w:adjustRightInd w:val="0"/>
        <w:snapToGrid w:val="0"/>
        <w:spacing w:line="360" w:lineRule="auto"/>
        <w:rPr>
          <w:rFonts w:hint="eastAsia" w:ascii="宋体" w:hAnsi="宋体" w:eastAsia="宋体" w:cs="宋体"/>
          <w:b/>
          <w:color w:val="auto"/>
          <w:kern w:val="0"/>
          <w:sz w:val="28"/>
          <w:szCs w:val="28"/>
          <w:highlight w:val="none"/>
        </w:rPr>
      </w:pPr>
    </w:p>
    <w:p w14:paraId="12156292">
      <w:pPr>
        <w:widowControl/>
        <w:adjustRightInd w:val="0"/>
        <w:snapToGrid w:val="0"/>
        <w:spacing w:line="360" w:lineRule="auto"/>
        <w:rPr>
          <w:rFonts w:hint="eastAsia" w:ascii="宋体" w:hAnsi="宋体" w:eastAsia="宋体" w:cs="宋体"/>
          <w:b/>
          <w:color w:val="auto"/>
          <w:kern w:val="0"/>
          <w:sz w:val="28"/>
          <w:szCs w:val="28"/>
          <w:highlight w:val="none"/>
        </w:rPr>
      </w:pPr>
    </w:p>
    <w:p w14:paraId="1D645BD2">
      <w:pPr>
        <w:widowControl/>
        <w:adjustRightInd w:val="0"/>
        <w:snapToGrid w:val="0"/>
        <w:spacing w:line="360" w:lineRule="auto"/>
        <w:rPr>
          <w:rFonts w:hint="eastAsia" w:ascii="宋体" w:hAnsi="宋体" w:eastAsia="宋体" w:cs="宋体"/>
          <w:b/>
          <w:color w:val="auto"/>
          <w:kern w:val="0"/>
          <w:sz w:val="28"/>
          <w:szCs w:val="28"/>
          <w:highlight w:val="none"/>
        </w:rPr>
      </w:pPr>
    </w:p>
    <w:p w14:paraId="5B6B9DAC">
      <w:pPr>
        <w:widowControl/>
        <w:adjustRightInd w:val="0"/>
        <w:snapToGrid w:val="0"/>
        <w:spacing w:line="360" w:lineRule="auto"/>
        <w:rPr>
          <w:rFonts w:hint="eastAsia" w:ascii="宋体" w:hAnsi="宋体" w:eastAsia="宋体" w:cs="宋体"/>
          <w:color w:val="auto"/>
          <w:kern w:val="0"/>
          <w:sz w:val="24"/>
          <w:highlight w:val="none"/>
        </w:rPr>
      </w:pPr>
    </w:p>
    <w:p w14:paraId="0DF39C52">
      <w:pPr>
        <w:widowControl/>
        <w:adjustRightInd w:val="0"/>
        <w:snapToGrid w:val="0"/>
        <w:spacing w:line="360" w:lineRule="auto"/>
        <w:rPr>
          <w:rFonts w:hint="eastAsia" w:ascii="宋体" w:hAnsi="宋体" w:eastAsia="宋体" w:cs="宋体"/>
          <w:color w:val="auto"/>
          <w:kern w:val="0"/>
          <w:sz w:val="24"/>
          <w:highlight w:val="none"/>
        </w:rPr>
      </w:pPr>
    </w:p>
    <w:p w14:paraId="7C0BD018">
      <w:pPr>
        <w:widowControl/>
        <w:adjustRightInd w:val="0"/>
        <w:snapToGrid w:val="0"/>
        <w:spacing w:line="360" w:lineRule="auto"/>
        <w:rPr>
          <w:rFonts w:hint="eastAsia" w:ascii="宋体" w:hAnsi="宋体" w:eastAsia="宋体" w:cs="宋体"/>
          <w:color w:val="auto"/>
          <w:kern w:val="0"/>
          <w:sz w:val="24"/>
          <w:highlight w:val="none"/>
        </w:rPr>
      </w:pPr>
    </w:p>
    <w:p w14:paraId="450590BE">
      <w:pPr>
        <w:widowControl/>
        <w:adjustRightInd w:val="0"/>
        <w:snapToGrid w:val="0"/>
        <w:spacing w:line="360" w:lineRule="auto"/>
        <w:rPr>
          <w:rFonts w:hint="eastAsia" w:ascii="宋体" w:hAnsi="宋体" w:eastAsia="宋体" w:cs="宋体"/>
          <w:color w:val="auto"/>
          <w:kern w:val="0"/>
          <w:sz w:val="24"/>
          <w:highlight w:val="none"/>
        </w:rPr>
      </w:pPr>
    </w:p>
    <w:p w14:paraId="78EF6C64">
      <w:pPr>
        <w:adjustRightInd w:val="0"/>
        <w:snapToGrid w:val="0"/>
        <w:spacing w:line="360" w:lineRule="auto"/>
        <w:ind w:left="-88" w:leftChars="-42"/>
        <w:jc w:val="left"/>
        <w:rPr>
          <w:rFonts w:hint="eastAsia" w:ascii="宋体" w:hAnsi="宋体" w:eastAsia="宋体" w:cs="宋体"/>
          <w:b/>
          <w:color w:val="auto"/>
          <w:sz w:val="28"/>
          <w:szCs w:val="28"/>
          <w:highlight w:val="none"/>
        </w:rPr>
      </w:pPr>
      <w:bookmarkStart w:id="256" w:name="_Toc23717_WPSOffice_Level1"/>
      <w:bookmarkStart w:id="257" w:name="_Toc25710_WPSOffice_Level1"/>
    </w:p>
    <w:p w14:paraId="3B436529">
      <w:pPr>
        <w:adjustRightInd w:val="0"/>
        <w:snapToGrid w:val="0"/>
        <w:spacing w:before="50" w:line="360" w:lineRule="auto"/>
        <w:rPr>
          <w:rFonts w:hint="eastAsia" w:ascii="宋体" w:hAnsi="宋体" w:eastAsia="宋体" w:cs="宋体"/>
          <w:color w:val="auto"/>
          <w:sz w:val="30"/>
          <w:szCs w:val="30"/>
          <w:highlight w:val="none"/>
          <w:lang w:val="en-US" w:eastAsia="zh-CN"/>
        </w:rPr>
      </w:pPr>
      <w:r>
        <w:rPr>
          <w:rFonts w:hint="eastAsia" w:ascii="宋体" w:hAnsi="宋体" w:eastAsia="宋体" w:cs="宋体"/>
          <w:b/>
          <w:color w:val="auto"/>
          <w:sz w:val="28"/>
          <w:szCs w:val="28"/>
          <w:highlight w:val="none"/>
        </w:rPr>
        <w:t>附件7-</w:t>
      </w:r>
      <w:bookmarkEnd w:id="256"/>
      <w:bookmarkEnd w:id="257"/>
      <w:r>
        <w:rPr>
          <w:rFonts w:hint="eastAsia" w:ascii="宋体" w:hAnsi="宋体" w:eastAsia="宋体" w:cs="宋体"/>
          <w:b/>
          <w:color w:val="auto"/>
          <w:sz w:val="28"/>
          <w:szCs w:val="28"/>
          <w:highlight w:val="none"/>
          <w:lang w:val="en-US" w:eastAsia="zh-CN"/>
        </w:rPr>
        <w:t>4</w:t>
      </w:r>
    </w:p>
    <w:p w14:paraId="76D1B2D1">
      <w:pPr>
        <w:adjustRightInd w:val="0"/>
        <w:snapToGrid w:val="0"/>
        <w:spacing w:before="50" w:line="360" w:lineRule="auto"/>
        <w:jc w:val="center"/>
        <w:rPr>
          <w:rFonts w:hint="eastAsia" w:ascii="宋体" w:hAnsi="宋体" w:eastAsia="宋体" w:cs="宋体"/>
          <w:b/>
          <w:color w:val="auto"/>
          <w:sz w:val="28"/>
          <w:szCs w:val="28"/>
          <w:highlight w:val="none"/>
        </w:rPr>
      </w:pPr>
      <w:bookmarkStart w:id="258" w:name="_Toc15102_WPSOffice_Level1"/>
      <w:bookmarkStart w:id="259" w:name="_Toc24042_WPSOffice_Level1"/>
      <w:bookmarkStart w:id="260" w:name="_Toc18744_WPSOffice_Level1"/>
      <w:bookmarkStart w:id="261" w:name="_Toc30146_WPSOffice_Level1"/>
      <w:r>
        <w:rPr>
          <w:rFonts w:hint="eastAsia" w:ascii="宋体" w:hAnsi="宋体" w:eastAsia="宋体" w:cs="宋体"/>
          <w:b/>
          <w:color w:val="auto"/>
          <w:sz w:val="28"/>
          <w:szCs w:val="28"/>
          <w:highlight w:val="none"/>
        </w:rPr>
        <w:t>提供节能产品、环境标志产品清单</w:t>
      </w:r>
      <w:bookmarkEnd w:id="258"/>
      <w:bookmarkEnd w:id="259"/>
      <w:bookmarkEnd w:id="260"/>
      <w:bookmarkEnd w:id="261"/>
    </w:p>
    <w:p w14:paraId="78904EFF">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36CCCF6D">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代理编号： </w:t>
      </w:r>
    </w:p>
    <w:tbl>
      <w:tblPr>
        <w:tblStyle w:val="21"/>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4727C9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vAlign w:val="center"/>
          </w:tcPr>
          <w:p w14:paraId="204D21E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本公司对本表的真实性负责。如有虚假，将依法承担相应责任。</w:t>
            </w:r>
          </w:p>
        </w:tc>
      </w:tr>
      <w:tr w14:paraId="523158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1065B37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739" w:type="dxa"/>
            <w:vAlign w:val="center"/>
          </w:tcPr>
          <w:p w14:paraId="159F0309">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709" w:type="dxa"/>
            <w:vAlign w:val="center"/>
          </w:tcPr>
          <w:p w14:paraId="7D34794E">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850" w:type="dxa"/>
            <w:vAlign w:val="center"/>
          </w:tcPr>
          <w:p w14:paraId="30082CF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993" w:type="dxa"/>
            <w:vAlign w:val="center"/>
          </w:tcPr>
          <w:p w14:paraId="02A42D05">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984" w:type="dxa"/>
            <w:vAlign w:val="center"/>
          </w:tcPr>
          <w:p w14:paraId="3732BBD4">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1843" w:type="dxa"/>
            <w:vAlign w:val="center"/>
          </w:tcPr>
          <w:p w14:paraId="22CA9822">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p>
        </w:tc>
      </w:tr>
      <w:tr w14:paraId="2A598B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421C231C">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739" w:type="dxa"/>
            <w:vAlign w:val="center"/>
          </w:tcPr>
          <w:p w14:paraId="2380970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货物名称</w:t>
            </w:r>
          </w:p>
        </w:tc>
        <w:tc>
          <w:tcPr>
            <w:tcW w:w="709" w:type="dxa"/>
            <w:vAlign w:val="center"/>
          </w:tcPr>
          <w:p w14:paraId="746B8BFD">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850" w:type="dxa"/>
            <w:vAlign w:val="center"/>
          </w:tcPr>
          <w:p w14:paraId="21B90237">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单价</w:t>
            </w:r>
          </w:p>
        </w:tc>
        <w:tc>
          <w:tcPr>
            <w:tcW w:w="993" w:type="dxa"/>
            <w:vAlign w:val="center"/>
          </w:tcPr>
          <w:p w14:paraId="5BDE9C73">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总额</w:t>
            </w:r>
          </w:p>
        </w:tc>
        <w:tc>
          <w:tcPr>
            <w:tcW w:w="1984" w:type="dxa"/>
            <w:vAlign w:val="center"/>
          </w:tcPr>
          <w:p w14:paraId="0940E724">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货物制造商名称</w:t>
            </w:r>
          </w:p>
        </w:tc>
        <w:tc>
          <w:tcPr>
            <w:tcW w:w="1843" w:type="dxa"/>
            <w:vAlign w:val="center"/>
          </w:tcPr>
          <w:p w14:paraId="72477E2C">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政策功能编码</w:t>
            </w:r>
          </w:p>
        </w:tc>
      </w:tr>
      <w:tr w14:paraId="246F1F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41F8AACB">
            <w:pPr>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节能产品</w:t>
            </w:r>
          </w:p>
        </w:tc>
      </w:tr>
      <w:tr w14:paraId="73CF5D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969E2D7">
            <w:pPr>
              <w:spacing w:line="360" w:lineRule="auto"/>
              <w:jc w:val="center"/>
              <w:rPr>
                <w:rFonts w:hint="eastAsia" w:ascii="宋体" w:hAnsi="宋体" w:eastAsia="宋体" w:cs="宋体"/>
                <w:b/>
                <w:color w:val="auto"/>
                <w:szCs w:val="21"/>
                <w:highlight w:val="none"/>
              </w:rPr>
            </w:pPr>
          </w:p>
        </w:tc>
        <w:tc>
          <w:tcPr>
            <w:tcW w:w="1739" w:type="dxa"/>
            <w:vAlign w:val="center"/>
          </w:tcPr>
          <w:p w14:paraId="04AC2907">
            <w:pPr>
              <w:spacing w:line="360" w:lineRule="auto"/>
              <w:jc w:val="center"/>
              <w:rPr>
                <w:rFonts w:hint="eastAsia" w:ascii="宋体" w:hAnsi="宋体" w:eastAsia="宋体" w:cs="宋体"/>
                <w:b/>
                <w:color w:val="auto"/>
                <w:szCs w:val="21"/>
                <w:highlight w:val="none"/>
              </w:rPr>
            </w:pPr>
          </w:p>
        </w:tc>
        <w:tc>
          <w:tcPr>
            <w:tcW w:w="709" w:type="dxa"/>
            <w:vAlign w:val="center"/>
          </w:tcPr>
          <w:p w14:paraId="182B5544">
            <w:pPr>
              <w:spacing w:line="360" w:lineRule="auto"/>
              <w:jc w:val="center"/>
              <w:rPr>
                <w:rFonts w:hint="eastAsia" w:ascii="宋体" w:hAnsi="宋体" w:eastAsia="宋体" w:cs="宋体"/>
                <w:b/>
                <w:color w:val="auto"/>
                <w:szCs w:val="21"/>
                <w:highlight w:val="none"/>
              </w:rPr>
            </w:pPr>
          </w:p>
        </w:tc>
        <w:tc>
          <w:tcPr>
            <w:tcW w:w="850" w:type="dxa"/>
            <w:vAlign w:val="center"/>
          </w:tcPr>
          <w:p w14:paraId="21135A2A">
            <w:pPr>
              <w:spacing w:line="360" w:lineRule="auto"/>
              <w:jc w:val="center"/>
              <w:rPr>
                <w:rFonts w:hint="eastAsia" w:ascii="宋体" w:hAnsi="宋体" w:eastAsia="宋体" w:cs="宋体"/>
                <w:b/>
                <w:color w:val="auto"/>
                <w:szCs w:val="21"/>
                <w:highlight w:val="none"/>
              </w:rPr>
            </w:pPr>
          </w:p>
        </w:tc>
        <w:tc>
          <w:tcPr>
            <w:tcW w:w="993" w:type="dxa"/>
            <w:vAlign w:val="center"/>
          </w:tcPr>
          <w:p w14:paraId="148B294B">
            <w:pPr>
              <w:spacing w:line="360" w:lineRule="auto"/>
              <w:jc w:val="left"/>
              <w:rPr>
                <w:rFonts w:hint="eastAsia" w:ascii="宋体" w:hAnsi="宋体" w:eastAsia="宋体" w:cs="宋体"/>
                <w:b/>
                <w:color w:val="auto"/>
                <w:szCs w:val="21"/>
                <w:highlight w:val="none"/>
              </w:rPr>
            </w:pPr>
          </w:p>
        </w:tc>
        <w:tc>
          <w:tcPr>
            <w:tcW w:w="1984" w:type="dxa"/>
            <w:vAlign w:val="center"/>
          </w:tcPr>
          <w:p w14:paraId="78163143">
            <w:pPr>
              <w:spacing w:line="360" w:lineRule="auto"/>
              <w:jc w:val="center"/>
              <w:rPr>
                <w:rFonts w:hint="eastAsia" w:ascii="宋体" w:hAnsi="宋体" w:eastAsia="宋体" w:cs="宋体"/>
                <w:b/>
                <w:color w:val="auto"/>
                <w:szCs w:val="21"/>
                <w:highlight w:val="none"/>
              </w:rPr>
            </w:pPr>
          </w:p>
        </w:tc>
        <w:tc>
          <w:tcPr>
            <w:tcW w:w="1843" w:type="dxa"/>
          </w:tcPr>
          <w:p w14:paraId="45F0636E">
            <w:pPr>
              <w:spacing w:line="360" w:lineRule="auto"/>
              <w:jc w:val="center"/>
              <w:rPr>
                <w:rFonts w:hint="eastAsia" w:ascii="宋体" w:hAnsi="宋体" w:eastAsia="宋体" w:cs="宋体"/>
                <w:b/>
                <w:color w:val="auto"/>
                <w:szCs w:val="21"/>
                <w:highlight w:val="none"/>
              </w:rPr>
            </w:pPr>
          </w:p>
        </w:tc>
      </w:tr>
      <w:tr w14:paraId="1717FA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242906B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vAlign w:val="center"/>
          </w:tcPr>
          <w:p w14:paraId="3A2C532E">
            <w:pPr>
              <w:spacing w:line="360" w:lineRule="auto"/>
              <w:jc w:val="center"/>
              <w:rPr>
                <w:rFonts w:hint="eastAsia" w:ascii="宋体" w:hAnsi="宋体" w:eastAsia="宋体" w:cs="宋体"/>
                <w:b/>
                <w:color w:val="auto"/>
                <w:szCs w:val="21"/>
                <w:highlight w:val="none"/>
              </w:rPr>
            </w:pPr>
          </w:p>
        </w:tc>
        <w:tc>
          <w:tcPr>
            <w:tcW w:w="709" w:type="dxa"/>
            <w:vAlign w:val="center"/>
          </w:tcPr>
          <w:p w14:paraId="1174042B">
            <w:pPr>
              <w:spacing w:line="360" w:lineRule="auto"/>
              <w:jc w:val="center"/>
              <w:rPr>
                <w:rFonts w:hint="eastAsia" w:ascii="宋体" w:hAnsi="宋体" w:eastAsia="宋体" w:cs="宋体"/>
                <w:b/>
                <w:color w:val="auto"/>
                <w:szCs w:val="21"/>
                <w:highlight w:val="none"/>
              </w:rPr>
            </w:pPr>
          </w:p>
        </w:tc>
        <w:tc>
          <w:tcPr>
            <w:tcW w:w="850" w:type="dxa"/>
            <w:vAlign w:val="center"/>
          </w:tcPr>
          <w:p w14:paraId="14077B38">
            <w:pPr>
              <w:spacing w:line="360" w:lineRule="auto"/>
              <w:jc w:val="center"/>
              <w:rPr>
                <w:rFonts w:hint="eastAsia" w:ascii="宋体" w:hAnsi="宋体" w:eastAsia="宋体" w:cs="宋体"/>
                <w:b/>
                <w:color w:val="auto"/>
                <w:szCs w:val="21"/>
                <w:highlight w:val="none"/>
              </w:rPr>
            </w:pPr>
          </w:p>
        </w:tc>
        <w:tc>
          <w:tcPr>
            <w:tcW w:w="993" w:type="dxa"/>
            <w:vAlign w:val="center"/>
          </w:tcPr>
          <w:p w14:paraId="2965341F">
            <w:pPr>
              <w:spacing w:line="360" w:lineRule="auto"/>
              <w:jc w:val="left"/>
              <w:rPr>
                <w:rFonts w:hint="eastAsia" w:ascii="宋体" w:hAnsi="宋体" w:eastAsia="宋体" w:cs="宋体"/>
                <w:b/>
                <w:color w:val="auto"/>
                <w:szCs w:val="21"/>
                <w:highlight w:val="none"/>
              </w:rPr>
            </w:pPr>
          </w:p>
        </w:tc>
        <w:tc>
          <w:tcPr>
            <w:tcW w:w="1984" w:type="dxa"/>
            <w:vAlign w:val="center"/>
          </w:tcPr>
          <w:p w14:paraId="6F90B8D6">
            <w:pPr>
              <w:spacing w:line="360" w:lineRule="auto"/>
              <w:jc w:val="center"/>
              <w:rPr>
                <w:rFonts w:hint="eastAsia" w:ascii="宋体" w:hAnsi="宋体" w:eastAsia="宋体" w:cs="宋体"/>
                <w:b/>
                <w:color w:val="auto"/>
                <w:szCs w:val="21"/>
                <w:highlight w:val="none"/>
              </w:rPr>
            </w:pPr>
          </w:p>
        </w:tc>
        <w:tc>
          <w:tcPr>
            <w:tcW w:w="1843" w:type="dxa"/>
          </w:tcPr>
          <w:p w14:paraId="16FD5266">
            <w:pPr>
              <w:spacing w:line="360" w:lineRule="auto"/>
              <w:jc w:val="center"/>
              <w:rPr>
                <w:rFonts w:hint="eastAsia" w:ascii="宋体" w:hAnsi="宋体" w:eastAsia="宋体" w:cs="宋体"/>
                <w:b/>
                <w:color w:val="auto"/>
                <w:szCs w:val="21"/>
                <w:highlight w:val="none"/>
              </w:rPr>
            </w:pPr>
          </w:p>
        </w:tc>
      </w:tr>
      <w:tr w14:paraId="7FF06A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757DF66A">
            <w:pPr>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环境标志产品</w:t>
            </w:r>
          </w:p>
        </w:tc>
      </w:tr>
      <w:tr w14:paraId="6745C1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34BEE9A">
            <w:pPr>
              <w:spacing w:line="360" w:lineRule="auto"/>
              <w:jc w:val="center"/>
              <w:rPr>
                <w:rFonts w:hint="eastAsia" w:ascii="宋体" w:hAnsi="宋体" w:eastAsia="宋体" w:cs="宋体"/>
                <w:b/>
                <w:color w:val="auto"/>
                <w:szCs w:val="21"/>
                <w:highlight w:val="none"/>
              </w:rPr>
            </w:pPr>
          </w:p>
        </w:tc>
        <w:tc>
          <w:tcPr>
            <w:tcW w:w="1739" w:type="dxa"/>
            <w:vAlign w:val="center"/>
          </w:tcPr>
          <w:p w14:paraId="5EADB992">
            <w:pPr>
              <w:spacing w:line="360" w:lineRule="auto"/>
              <w:jc w:val="center"/>
              <w:rPr>
                <w:rFonts w:hint="eastAsia" w:ascii="宋体" w:hAnsi="宋体" w:eastAsia="宋体" w:cs="宋体"/>
                <w:b/>
                <w:color w:val="auto"/>
                <w:szCs w:val="21"/>
                <w:highlight w:val="none"/>
              </w:rPr>
            </w:pPr>
          </w:p>
        </w:tc>
        <w:tc>
          <w:tcPr>
            <w:tcW w:w="709" w:type="dxa"/>
            <w:vAlign w:val="center"/>
          </w:tcPr>
          <w:p w14:paraId="175ADB0B">
            <w:pPr>
              <w:spacing w:line="360" w:lineRule="auto"/>
              <w:jc w:val="center"/>
              <w:rPr>
                <w:rFonts w:hint="eastAsia" w:ascii="宋体" w:hAnsi="宋体" w:eastAsia="宋体" w:cs="宋体"/>
                <w:b/>
                <w:color w:val="auto"/>
                <w:szCs w:val="21"/>
                <w:highlight w:val="none"/>
              </w:rPr>
            </w:pPr>
          </w:p>
        </w:tc>
        <w:tc>
          <w:tcPr>
            <w:tcW w:w="850" w:type="dxa"/>
            <w:vAlign w:val="center"/>
          </w:tcPr>
          <w:p w14:paraId="65FB92FB">
            <w:pPr>
              <w:spacing w:line="360" w:lineRule="auto"/>
              <w:jc w:val="center"/>
              <w:rPr>
                <w:rFonts w:hint="eastAsia" w:ascii="宋体" w:hAnsi="宋体" w:eastAsia="宋体" w:cs="宋体"/>
                <w:b/>
                <w:color w:val="auto"/>
                <w:szCs w:val="21"/>
                <w:highlight w:val="none"/>
              </w:rPr>
            </w:pPr>
          </w:p>
        </w:tc>
        <w:tc>
          <w:tcPr>
            <w:tcW w:w="993" w:type="dxa"/>
            <w:vAlign w:val="center"/>
          </w:tcPr>
          <w:p w14:paraId="01AA79AB">
            <w:pPr>
              <w:spacing w:line="360" w:lineRule="auto"/>
              <w:jc w:val="left"/>
              <w:rPr>
                <w:rFonts w:hint="eastAsia" w:ascii="宋体" w:hAnsi="宋体" w:eastAsia="宋体" w:cs="宋体"/>
                <w:b/>
                <w:color w:val="auto"/>
                <w:szCs w:val="21"/>
                <w:highlight w:val="none"/>
              </w:rPr>
            </w:pPr>
          </w:p>
        </w:tc>
        <w:tc>
          <w:tcPr>
            <w:tcW w:w="1984" w:type="dxa"/>
            <w:vAlign w:val="center"/>
          </w:tcPr>
          <w:p w14:paraId="640769BA">
            <w:pPr>
              <w:spacing w:line="360" w:lineRule="auto"/>
              <w:jc w:val="center"/>
              <w:rPr>
                <w:rFonts w:hint="eastAsia" w:ascii="宋体" w:hAnsi="宋体" w:eastAsia="宋体" w:cs="宋体"/>
                <w:b/>
                <w:color w:val="auto"/>
                <w:szCs w:val="21"/>
                <w:highlight w:val="none"/>
              </w:rPr>
            </w:pPr>
          </w:p>
        </w:tc>
        <w:tc>
          <w:tcPr>
            <w:tcW w:w="1843" w:type="dxa"/>
          </w:tcPr>
          <w:p w14:paraId="79BB6D8A">
            <w:pPr>
              <w:spacing w:line="360" w:lineRule="auto"/>
              <w:jc w:val="center"/>
              <w:rPr>
                <w:rFonts w:hint="eastAsia" w:ascii="宋体" w:hAnsi="宋体" w:eastAsia="宋体" w:cs="宋体"/>
                <w:b/>
                <w:color w:val="auto"/>
                <w:szCs w:val="21"/>
                <w:highlight w:val="none"/>
              </w:rPr>
            </w:pPr>
          </w:p>
        </w:tc>
      </w:tr>
      <w:tr w14:paraId="4DBBE4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188478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vAlign w:val="center"/>
          </w:tcPr>
          <w:p w14:paraId="33BCB457">
            <w:pPr>
              <w:spacing w:line="360" w:lineRule="auto"/>
              <w:jc w:val="center"/>
              <w:rPr>
                <w:rFonts w:hint="eastAsia" w:ascii="宋体" w:hAnsi="宋体" w:eastAsia="宋体" w:cs="宋体"/>
                <w:b/>
                <w:color w:val="auto"/>
                <w:szCs w:val="21"/>
                <w:highlight w:val="none"/>
              </w:rPr>
            </w:pPr>
          </w:p>
        </w:tc>
        <w:tc>
          <w:tcPr>
            <w:tcW w:w="709" w:type="dxa"/>
            <w:vAlign w:val="center"/>
          </w:tcPr>
          <w:p w14:paraId="6B508E65">
            <w:pPr>
              <w:spacing w:line="360" w:lineRule="auto"/>
              <w:jc w:val="center"/>
              <w:rPr>
                <w:rFonts w:hint="eastAsia" w:ascii="宋体" w:hAnsi="宋体" w:eastAsia="宋体" w:cs="宋体"/>
                <w:b/>
                <w:color w:val="auto"/>
                <w:szCs w:val="21"/>
                <w:highlight w:val="none"/>
              </w:rPr>
            </w:pPr>
          </w:p>
        </w:tc>
        <w:tc>
          <w:tcPr>
            <w:tcW w:w="850" w:type="dxa"/>
            <w:vAlign w:val="center"/>
          </w:tcPr>
          <w:p w14:paraId="5F92C696">
            <w:pPr>
              <w:spacing w:line="360" w:lineRule="auto"/>
              <w:jc w:val="center"/>
              <w:rPr>
                <w:rFonts w:hint="eastAsia" w:ascii="宋体" w:hAnsi="宋体" w:eastAsia="宋体" w:cs="宋体"/>
                <w:b/>
                <w:color w:val="auto"/>
                <w:szCs w:val="21"/>
                <w:highlight w:val="none"/>
              </w:rPr>
            </w:pPr>
          </w:p>
        </w:tc>
        <w:tc>
          <w:tcPr>
            <w:tcW w:w="993" w:type="dxa"/>
            <w:vAlign w:val="center"/>
          </w:tcPr>
          <w:p w14:paraId="2D08BD02">
            <w:pPr>
              <w:spacing w:line="360" w:lineRule="auto"/>
              <w:jc w:val="left"/>
              <w:rPr>
                <w:rFonts w:hint="eastAsia" w:ascii="宋体" w:hAnsi="宋体" w:eastAsia="宋体" w:cs="宋体"/>
                <w:b/>
                <w:color w:val="auto"/>
                <w:szCs w:val="21"/>
                <w:highlight w:val="none"/>
              </w:rPr>
            </w:pPr>
          </w:p>
        </w:tc>
        <w:tc>
          <w:tcPr>
            <w:tcW w:w="1984" w:type="dxa"/>
            <w:vAlign w:val="center"/>
          </w:tcPr>
          <w:p w14:paraId="7E0A1E8A">
            <w:pPr>
              <w:spacing w:line="360" w:lineRule="auto"/>
              <w:jc w:val="center"/>
              <w:rPr>
                <w:rFonts w:hint="eastAsia" w:ascii="宋体" w:hAnsi="宋体" w:eastAsia="宋体" w:cs="宋体"/>
                <w:b/>
                <w:color w:val="auto"/>
                <w:szCs w:val="21"/>
                <w:highlight w:val="none"/>
              </w:rPr>
            </w:pPr>
          </w:p>
        </w:tc>
        <w:tc>
          <w:tcPr>
            <w:tcW w:w="1843" w:type="dxa"/>
          </w:tcPr>
          <w:p w14:paraId="509BA006">
            <w:pPr>
              <w:spacing w:line="360" w:lineRule="auto"/>
              <w:jc w:val="center"/>
              <w:rPr>
                <w:rFonts w:hint="eastAsia" w:ascii="宋体" w:hAnsi="宋体" w:eastAsia="宋体" w:cs="宋体"/>
                <w:b/>
                <w:color w:val="auto"/>
                <w:szCs w:val="21"/>
                <w:highlight w:val="none"/>
              </w:rPr>
            </w:pPr>
          </w:p>
        </w:tc>
      </w:tr>
    </w:tbl>
    <w:p w14:paraId="5AA9680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79E58F2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1、本表用于计算节能产品、环境标志产品的政策功能加分或价格扣除。</w:t>
      </w:r>
    </w:p>
    <w:p w14:paraId="067E6D8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2、栏目7“政策功能编码”是指货物的中国环境标志认证证书编号、节能标志认证证书号(货物同时属于节能产品、环境标志产品的，只填写一种)。</w:t>
      </w:r>
    </w:p>
    <w:p w14:paraId="2FC32EA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3、栏目4“单价”为综合单价，包含货物所有隐含的内容，如运输费、保险费、管理费和利润等。</w:t>
      </w:r>
    </w:p>
    <w:p w14:paraId="4125AB5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4、未按上述要求提供、填写的，评审时本表所有优惠不予以考虑。</w:t>
      </w:r>
    </w:p>
    <w:p w14:paraId="73C1A55A">
      <w:pPr>
        <w:spacing w:line="360" w:lineRule="auto"/>
        <w:rPr>
          <w:rFonts w:hint="eastAsia" w:ascii="宋体" w:hAnsi="宋体" w:eastAsia="宋体" w:cs="宋体"/>
          <w:color w:val="auto"/>
          <w:szCs w:val="21"/>
          <w:highlight w:val="none"/>
        </w:rPr>
      </w:pPr>
    </w:p>
    <w:p w14:paraId="28B86451">
      <w:pPr>
        <w:spacing w:line="360" w:lineRule="auto"/>
        <w:rPr>
          <w:rFonts w:hint="eastAsia" w:ascii="宋体" w:hAnsi="宋体" w:eastAsia="宋体" w:cs="宋体"/>
          <w:color w:val="auto"/>
          <w:szCs w:val="21"/>
          <w:highlight w:val="none"/>
        </w:rPr>
      </w:pPr>
    </w:p>
    <w:p w14:paraId="45F18BFB">
      <w:pPr>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6"/>
          <w:kern w:val="0"/>
          <w:szCs w:val="21"/>
          <w:highlight w:val="none"/>
        </w:rPr>
        <w:t>供应商</w:t>
      </w:r>
      <w:r>
        <w:rPr>
          <w:rFonts w:hint="eastAsia" w:ascii="宋体" w:hAnsi="宋体" w:eastAsia="宋体" w:cs="宋体"/>
          <w:color w:val="auto"/>
          <w:szCs w:val="21"/>
          <w:highlight w:val="none"/>
        </w:rPr>
        <w:t>名称（盖单位章）：</w:t>
      </w:r>
    </w:p>
    <w:p w14:paraId="1EE86566">
      <w:pPr>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6"/>
          <w:kern w:val="0"/>
          <w:szCs w:val="21"/>
          <w:highlight w:val="none"/>
        </w:rPr>
        <w:t>供应商</w:t>
      </w:r>
      <w:r>
        <w:rPr>
          <w:rFonts w:hint="eastAsia" w:ascii="宋体" w:hAnsi="宋体" w:eastAsia="宋体" w:cs="宋体"/>
          <w:color w:val="auto"/>
          <w:szCs w:val="21"/>
          <w:highlight w:val="none"/>
        </w:rPr>
        <w:t>代表（签字或盖章）：</w:t>
      </w:r>
    </w:p>
    <w:p w14:paraId="4B2E13A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日期：年月日</w:t>
      </w:r>
    </w:p>
    <w:p w14:paraId="6A64C25C">
      <w:pPr>
        <w:widowControl/>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bCs/>
          <w:color w:val="auto"/>
          <w:sz w:val="32"/>
          <w:szCs w:val="32"/>
          <w:highlight w:val="none"/>
        </w:rPr>
        <w:t>八、供应商认为需提供的其它资料及说明</w:t>
      </w:r>
    </w:p>
    <w:p w14:paraId="01C75EDF">
      <w:pPr>
        <w:adjustRightInd w:val="0"/>
        <w:snapToGrid w:val="0"/>
        <w:spacing w:line="360" w:lineRule="auto"/>
        <w:ind w:firstLine="420" w:firstLineChars="200"/>
        <w:rPr>
          <w:rFonts w:hint="eastAsia" w:ascii="宋体" w:hAnsi="宋体" w:eastAsia="宋体" w:cs="宋体"/>
          <w:color w:val="auto"/>
          <w:szCs w:val="21"/>
          <w:highlight w:val="none"/>
        </w:rPr>
      </w:pPr>
    </w:p>
    <w:p w14:paraId="2606EBD8">
      <w:pPr>
        <w:adjustRightInd w:val="0"/>
        <w:snapToGrid w:val="0"/>
        <w:spacing w:line="360" w:lineRule="auto"/>
        <w:ind w:left="-88" w:leftChars="-42"/>
        <w:jc w:val="center"/>
        <w:rPr>
          <w:rFonts w:hint="eastAsia" w:ascii="宋体" w:hAnsi="宋体" w:eastAsia="宋体" w:cs="宋体"/>
          <w:b/>
          <w:bCs/>
          <w:color w:val="auto"/>
          <w:sz w:val="32"/>
          <w:szCs w:val="32"/>
          <w:highlight w:val="none"/>
        </w:rPr>
        <w:sectPr>
          <w:pgSz w:w="11906" w:h="16838"/>
          <w:pgMar w:top="1440" w:right="1531" w:bottom="1440" w:left="1531" w:header="851" w:footer="992" w:gutter="0"/>
          <w:cols w:space="720" w:num="1"/>
          <w:docGrid w:type="lines" w:linePitch="312" w:charSpace="0"/>
        </w:sectPr>
      </w:pPr>
    </w:p>
    <w:p w14:paraId="5FAEF7FA">
      <w:pPr>
        <w:widowControl/>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九、最后报价（现场提供）</w:t>
      </w:r>
    </w:p>
    <w:p w14:paraId="03946AE2">
      <w:pPr>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附件9-1</w:t>
      </w:r>
    </w:p>
    <w:p w14:paraId="4E09F452">
      <w:pPr>
        <w:adjustRightInd w:val="0"/>
        <w:snapToGrid w:val="0"/>
        <w:spacing w:before="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最后报价一览表</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4CCFF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5BEEA711">
            <w:pPr>
              <w:tabs>
                <w:tab w:val="left" w:pos="403"/>
                <w:tab w:val="center" w:pos="3781"/>
              </w:tabs>
              <w:spacing w:line="360" w:lineRule="auto"/>
              <w:ind w:right="-5206" w:rightChars="-2479"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66AC4749">
            <w:pPr>
              <w:spacing w:line="360" w:lineRule="auto"/>
              <w:jc w:val="center"/>
              <w:rPr>
                <w:rFonts w:hint="eastAsia" w:ascii="宋体" w:hAnsi="宋体" w:eastAsia="宋体" w:cs="宋体"/>
                <w:color w:val="auto"/>
                <w:szCs w:val="21"/>
                <w:highlight w:val="none"/>
              </w:rPr>
            </w:pPr>
          </w:p>
        </w:tc>
        <w:tc>
          <w:tcPr>
            <w:tcW w:w="1620" w:type="dxa"/>
            <w:tcBorders>
              <w:top w:val="double" w:color="auto" w:sz="4" w:space="0"/>
              <w:left w:val="single" w:color="auto" w:sz="6" w:space="0"/>
              <w:bottom w:val="single" w:color="auto" w:sz="6" w:space="0"/>
              <w:right w:val="single" w:color="auto" w:sz="6" w:space="0"/>
            </w:tcBorders>
            <w:vAlign w:val="center"/>
          </w:tcPr>
          <w:p w14:paraId="3799021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政府采购编号</w:t>
            </w:r>
          </w:p>
        </w:tc>
        <w:tc>
          <w:tcPr>
            <w:tcW w:w="2520" w:type="dxa"/>
            <w:tcBorders>
              <w:top w:val="double" w:color="auto" w:sz="4" w:space="0"/>
              <w:left w:val="single" w:color="auto" w:sz="6" w:space="0"/>
              <w:bottom w:val="single" w:color="auto" w:sz="6" w:space="0"/>
              <w:right w:val="double" w:color="auto" w:sz="4" w:space="0"/>
            </w:tcBorders>
            <w:vAlign w:val="center"/>
          </w:tcPr>
          <w:p w14:paraId="6EEBD989">
            <w:pPr>
              <w:spacing w:line="360" w:lineRule="auto"/>
              <w:jc w:val="center"/>
              <w:rPr>
                <w:rFonts w:hint="eastAsia" w:ascii="宋体" w:hAnsi="宋体" w:eastAsia="宋体" w:cs="宋体"/>
                <w:color w:val="auto"/>
                <w:szCs w:val="21"/>
                <w:highlight w:val="none"/>
              </w:rPr>
            </w:pPr>
          </w:p>
        </w:tc>
      </w:tr>
      <w:tr w14:paraId="65D8A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41950CB8">
            <w:pPr>
              <w:tabs>
                <w:tab w:val="left" w:pos="403"/>
                <w:tab w:val="center" w:pos="3781"/>
              </w:tabs>
              <w:spacing w:line="360" w:lineRule="auto"/>
              <w:ind w:right="-5206" w:rightChars="-2479"/>
              <w:rPr>
                <w:rFonts w:hint="eastAsia" w:ascii="宋体" w:hAnsi="宋体" w:eastAsia="宋体" w:cs="宋体"/>
                <w:color w:val="auto"/>
                <w:szCs w:val="21"/>
                <w:highlight w:val="none"/>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7FC9ED9C">
            <w:pPr>
              <w:spacing w:line="360" w:lineRule="auto"/>
              <w:jc w:val="center"/>
              <w:rPr>
                <w:rFonts w:hint="eastAsia" w:ascii="宋体" w:hAnsi="宋体" w:eastAsia="宋体" w:cs="宋体"/>
                <w:color w:val="auto"/>
                <w:szCs w:val="21"/>
                <w:highlight w:val="none"/>
              </w:rPr>
            </w:pPr>
          </w:p>
        </w:tc>
        <w:tc>
          <w:tcPr>
            <w:tcW w:w="1620" w:type="dxa"/>
            <w:tcBorders>
              <w:top w:val="single" w:color="auto" w:sz="6" w:space="0"/>
              <w:left w:val="single" w:color="auto" w:sz="6" w:space="0"/>
              <w:bottom w:val="single" w:color="auto" w:sz="6" w:space="0"/>
              <w:right w:val="single" w:color="auto" w:sz="6" w:space="0"/>
            </w:tcBorders>
            <w:vAlign w:val="center"/>
          </w:tcPr>
          <w:p w14:paraId="74B1B75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采购代理编号</w:t>
            </w:r>
          </w:p>
        </w:tc>
        <w:tc>
          <w:tcPr>
            <w:tcW w:w="2520" w:type="dxa"/>
            <w:tcBorders>
              <w:top w:val="single" w:color="auto" w:sz="6" w:space="0"/>
              <w:left w:val="single" w:color="auto" w:sz="6" w:space="0"/>
              <w:bottom w:val="single" w:color="auto" w:sz="6" w:space="0"/>
              <w:right w:val="double" w:color="auto" w:sz="4" w:space="0"/>
            </w:tcBorders>
            <w:vAlign w:val="center"/>
          </w:tcPr>
          <w:p w14:paraId="13191939">
            <w:pPr>
              <w:spacing w:line="360" w:lineRule="auto"/>
              <w:jc w:val="center"/>
              <w:rPr>
                <w:rFonts w:hint="eastAsia" w:ascii="宋体" w:hAnsi="宋体" w:eastAsia="宋体" w:cs="宋体"/>
                <w:color w:val="auto"/>
                <w:szCs w:val="21"/>
                <w:highlight w:val="none"/>
              </w:rPr>
            </w:pPr>
          </w:p>
        </w:tc>
      </w:tr>
      <w:tr w14:paraId="126A5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6DEA0DE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品目分类编码</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4EC22E15">
            <w:pPr>
              <w:spacing w:line="360" w:lineRule="auto"/>
              <w:rPr>
                <w:rFonts w:hint="eastAsia" w:ascii="宋体" w:hAnsi="宋体" w:eastAsia="宋体" w:cs="宋体"/>
                <w:color w:val="auto"/>
                <w:szCs w:val="21"/>
                <w:highlight w:val="none"/>
              </w:rPr>
            </w:pPr>
          </w:p>
        </w:tc>
      </w:tr>
      <w:tr w14:paraId="205C49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620" w:type="dxa"/>
            <w:tcBorders>
              <w:top w:val="single" w:color="auto" w:sz="6" w:space="0"/>
              <w:left w:val="double" w:color="auto" w:sz="4" w:space="0"/>
              <w:right w:val="single" w:color="auto" w:sz="6" w:space="0"/>
            </w:tcBorders>
            <w:vAlign w:val="center"/>
          </w:tcPr>
          <w:p w14:paraId="694CE91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20EAE99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大写：元人民币整</w:t>
            </w:r>
          </w:p>
          <w:p w14:paraId="149B2B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小写：元人民币整</w:t>
            </w:r>
          </w:p>
        </w:tc>
      </w:tr>
      <w:tr w14:paraId="161D18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4" w:space="0"/>
              <w:right w:val="single" w:color="auto" w:sz="6" w:space="0"/>
            </w:tcBorders>
            <w:vAlign w:val="center"/>
          </w:tcPr>
          <w:p w14:paraId="39A7226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合同工期</w:t>
            </w:r>
          </w:p>
        </w:tc>
        <w:tc>
          <w:tcPr>
            <w:tcW w:w="7200" w:type="dxa"/>
            <w:gridSpan w:val="3"/>
            <w:tcBorders>
              <w:top w:val="single" w:color="auto" w:sz="6" w:space="0"/>
              <w:left w:val="single" w:color="auto" w:sz="6" w:space="0"/>
              <w:bottom w:val="single" w:color="auto" w:sz="4" w:space="0"/>
              <w:right w:val="double" w:color="auto" w:sz="4" w:space="0"/>
            </w:tcBorders>
            <w:vAlign w:val="center"/>
          </w:tcPr>
          <w:p w14:paraId="5F0C8996">
            <w:pPr>
              <w:spacing w:line="360" w:lineRule="auto"/>
              <w:rPr>
                <w:rFonts w:hint="eastAsia" w:ascii="宋体" w:hAnsi="宋体" w:eastAsia="宋体" w:cs="宋体"/>
                <w:color w:val="auto"/>
                <w:szCs w:val="21"/>
                <w:highlight w:val="none"/>
              </w:rPr>
            </w:pPr>
          </w:p>
        </w:tc>
      </w:tr>
      <w:tr w14:paraId="1619A9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4" w:space="0"/>
              <w:left w:val="double" w:color="auto" w:sz="4" w:space="0"/>
              <w:right w:val="single" w:color="auto" w:sz="6" w:space="0"/>
            </w:tcBorders>
            <w:vAlign w:val="center"/>
          </w:tcPr>
          <w:p w14:paraId="6A3C466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质量标准</w:t>
            </w:r>
          </w:p>
        </w:tc>
        <w:tc>
          <w:tcPr>
            <w:tcW w:w="7200" w:type="dxa"/>
            <w:gridSpan w:val="3"/>
            <w:tcBorders>
              <w:top w:val="single" w:color="auto" w:sz="4" w:space="0"/>
              <w:left w:val="single" w:color="auto" w:sz="6" w:space="0"/>
              <w:bottom w:val="single" w:color="auto" w:sz="6" w:space="0"/>
              <w:right w:val="double" w:color="auto" w:sz="4" w:space="0"/>
            </w:tcBorders>
            <w:vAlign w:val="center"/>
          </w:tcPr>
          <w:p w14:paraId="66BB6A1A">
            <w:pPr>
              <w:spacing w:line="360" w:lineRule="auto"/>
              <w:rPr>
                <w:rFonts w:hint="eastAsia" w:ascii="宋体" w:hAnsi="宋体" w:eastAsia="宋体" w:cs="宋体"/>
                <w:color w:val="auto"/>
                <w:szCs w:val="21"/>
                <w:highlight w:val="none"/>
              </w:rPr>
            </w:pPr>
          </w:p>
        </w:tc>
      </w:tr>
      <w:tr w14:paraId="3E42C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019FBED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保修承诺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748C3269">
            <w:pPr>
              <w:spacing w:line="360" w:lineRule="auto"/>
              <w:rPr>
                <w:rFonts w:hint="eastAsia" w:ascii="宋体" w:hAnsi="宋体" w:eastAsia="宋体" w:cs="宋体"/>
                <w:iCs/>
                <w:color w:val="auto"/>
                <w:szCs w:val="21"/>
                <w:highlight w:val="none"/>
              </w:rPr>
            </w:pPr>
          </w:p>
        </w:tc>
      </w:tr>
      <w:tr w14:paraId="60A43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14A6284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1BCAEBB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p w14:paraId="0A2B728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级别：</w:t>
            </w:r>
          </w:p>
          <w:p w14:paraId="11B8B1E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注册证号：</w:t>
            </w:r>
          </w:p>
          <w:p w14:paraId="4AA2975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B类安全生产考核合格证号：</w:t>
            </w:r>
          </w:p>
          <w:p w14:paraId="5FE7C0D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p>
        </w:tc>
      </w:tr>
      <w:tr w14:paraId="68647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double" w:color="auto" w:sz="4" w:space="0"/>
              <w:right w:val="single" w:color="auto" w:sz="6" w:space="0"/>
            </w:tcBorders>
            <w:vAlign w:val="center"/>
          </w:tcPr>
          <w:p w14:paraId="51AF497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41B6D15B">
            <w:pPr>
              <w:spacing w:line="360" w:lineRule="auto"/>
              <w:rPr>
                <w:rFonts w:hint="eastAsia" w:ascii="宋体" w:hAnsi="宋体" w:eastAsia="宋体" w:cs="宋体"/>
                <w:color w:val="auto"/>
                <w:szCs w:val="21"/>
                <w:highlight w:val="none"/>
              </w:rPr>
            </w:pPr>
          </w:p>
        </w:tc>
      </w:tr>
    </w:tbl>
    <w:p w14:paraId="7A6CFC26">
      <w:pPr>
        <w:adjustRightInd w:val="0"/>
        <w:snapToGrid w:val="0"/>
        <w:spacing w:line="360" w:lineRule="auto"/>
        <w:ind w:left="-88" w:leftChars="-42"/>
        <w:rPr>
          <w:rFonts w:hint="eastAsia" w:ascii="宋体" w:hAnsi="宋体" w:eastAsia="宋体" w:cs="宋体"/>
          <w:color w:val="auto"/>
          <w:szCs w:val="21"/>
          <w:highlight w:val="none"/>
        </w:rPr>
      </w:pPr>
    </w:p>
    <w:p w14:paraId="35B6A413">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62" w:name="_Toc1293"/>
      <w:r>
        <w:rPr>
          <w:rFonts w:hint="eastAsia" w:ascii="宋体" w:hAnsi="宋体" w:eastAsia="宋体" w:cs="宋体"/>
          <w:color w:val="auto"/>
          <w:sz w:val="21"/>
          <w:szCs w:val="21"/>
          <w:highlight w:val="none"/>
        </w:rPr>
        <w:t>供应商名称：</w:t>
      </w:r>
      <w:bookmarkEnd w:id="262"/>
      <w:r>
        <w:rPr>
          <w:rFonts w:hint="eastAsia" w:ascii="宋体" w:hAnsi="宋体" w:eastAsia="宋体" w:cs="宋体"/>
          <w:color w:val="auto"/>
          <w:szCs w:val="21"/>
          <w:highlight w:val="none"/>
          <w:u w:val="single"/>
        </w:rPr>
        <w:t xml:space="preserve">        </w:t>
      </w:r>
    </w:p>
    <w:p w14:paraId="6C5C5A44">
      <w:pPr>
        <w:adjustRightInd w:val="0"/>
        <w:snapToGrid w:val="0"/>
        <w:spacing w:line="360" w:lineRule="auto"/>
        <w:outlineLvl w:val="0"/>
        <w:rPr>
          <w:rFonts w:hint="eastAsia" w:ascii="宋体" w:hAnsi="宋体" w:eastAsia="宋体" w:cs="宋体"/>
          <w:color w:val="auto"/>
          <w:szCs w:val="21"/>
          <w:highlight w:val="none"/>
          <w:u w:val="single"/>
        </w:rPr>
      </w:pPr>
      <w:bookmarkStart w:id="263" w:name="_Toc16559"/>
      <w:r>
        <w:rPr>
          <w:rFonts w:hint="eastAsia" w:ascii="宋体" w:hAnsi="宋体" w:eastAsia="宋体" w:cs="宋体"/>
          <w:color w:val="auto"/>
          <w:szCs w:val="21"/>
          <w:highlight w:val="none"/>
        </w:rPr>
        <w:t>法定代表人或其委托代理人(签字或盖章)：</w:t>
      </w:r>
      <w:bookmarkEnd w:id="263"/>
      <w:r>
        <w:rPr>
          <w:rFonts w:hint="eastAsia" w:ascii="宋体" w:hAnsi="宋体" w:eastAsia="宋体" w:cs="宋体"/>
          <w:color w:val="auto"/>
          <w:szCs w:val="21"/>
          <w:highlight w:val="none"/>
          <w:u w:val="single"/>
        </w:rPr>
        <w:t xml:space="preserve">        </w:t>
      </w:r>
    </w:p>
    <w:p w14:paraId="09AC0940">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5B7CC36">
      <w:pPr>
        <w:adjustRightInd w:val="0"/>
        <w:snapToGrid w:val="0"/>
        <w:spacing w:line="360" w:lineRule="auto"/>
        <w:ind w:left="-88" w:leftChars="-42" w:firstLine="105" w:firstLineChars="50"/>
        <w:rPr>
          <w:rFonts w:hint="eastAsia" w:ascii="宋体" w:hAnsi="宋体" w:eastAsia="宋体" w:cs="宋体"/>
          <w:color w:val="auto"/>
          <w:szCs w:val="21"/>
          <w:highlight w:val="none"/>
        </w:rPr>
      </w:pPr>
    </w:p>
    <w:p w14:paraId="4D254C41">
      <w:pPr>
        <w:adjustRightInd w:val="0"/>
        <w:snapToGrid w:val="0"/>
        <w:spacing w:line="360" w:lineRule="auto"/>
        <w:ind w:left="-88" w:leftChars="-42" w:firstLine="105" w:firstLineChars="50"/>
        <w:rPr>
          <w:rFonts w:hint="eastAsia" w:ascii="宋体" w:hAnsi="宋体" w:eastAsia="宋体" w:cs="宋体"/>
          <w:color w:val="auto"/>
          <w:szCs w:val="21"/>
          <w:highlight w:val="none"/>
        </w:rPr>
      </w:pPr>
    </w:p>
    <w:p w14:paraId="12D40992">
      <w:pPr>
        <w:pStyle w:val="27"/>
        <w:rPr>
          <w:rFonts w:hint="eastAsia" w:ascii="宋体" w:hAnsi="宋体" w:eastAsia="宋体" w:cs="宋体"/>
          <w:color w:val="auto"/>
          <w:szCs w:val="21"/>
          <w:highlight w:val="none"/>
        </w:rPr>
      </w:pPr>
    </w:p>
    <w:p w14:paraId="0BCED1E8">
      <w:pPr>
        <w:adjustRightInd w:val="0"/>
        <w:snapToGrid w:val="0"/>
        <w:spacing w:line="360" w:lineRule="auto"/>
        <w:ind w:left="-88" w:leftChars="-42" w:firstLine="105" w:firstLineChars="5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注：最终报价一览表和分项报价表在最后报价环节时单独密封递交，不装订在响应文件中，由各供应商现场提供，未按要求提供最后报价的视为无效投标。</w:t>
      </w:r>
    </w:p>
    <w:p w14:paraId="101E513C">
      <w:pPr>
        <w:spacing w:line="360" w:lineRule="auto"/>
        <w:rPr>
          <w:rFonts w:hint="eastAsia" w:ascii="宋体" w:hAnsi="宋体" w:eastAsia="宋体" w:cs="宋体"/>
          <w:color w:val="auto"/>
          <w:highlight w:val="none"/>
        </w:rPr>
      </w:pPr>
    </w:p>
    <w:sectPr>
      <w:headerReference r:id="rId6" w:type="default"/>
      <w:footerReference r:id="rId7" w:type="default"/>
      <w:pgSz w:w="11906" w:h="16838"/>
      <w:pgMar w:top="1474" w:right="1474" w:bottom="1276"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3E9B0DE-D7EA-44E5-86D0-A65759F977F9}"/>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F4009">
    <w:pPr>
      <w:pStyle w:val="1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0CCDC">
                          <w:pPr>
                            <w:pStyle w:val="1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E20CCDC">
                    <w:pPr>
                      <w:pStyle w:val="1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90FB7">
    <w:pPr>
      <w:pStyle w:val="1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3DBDD7">
                          <w:pPr>
                            <w:pStyle w:val="15"/>
                            <w:jc w:val="center"/>
                          </w:pPr>
                          <w:r>
                            <w:fldChar w:fldCharType="begin"/>
                          </w:r>
                          <w:r>
                            <w:instrText xml:space="preserve"> PAGE   \* MERGEFORMAT </w:instrText>
                          </w:r>
                          <w:r>
                            <w:fldChar w:fldCharType="separate"/>
                          </w:r>
                          <w:r>
                            <w:rPr>
                              <w:lang w:val="zh-CN"/>
                            </w:rPr>
                            <w:t>58</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63DBDD7">
                    <w:pPr>
                      <w:pStyle w:val="15"/>
                      <w:jc w:val="center"/>
                    </w:pPr>
                    <w:r>
                      <w:fldChar w:fldCharType="begin"/>
                    </w:r>
                    <w:r>
                      <w:instrText xml:space="preserve"> PAGE   \* MERGEFORMAT </w:instrText>
                    </w:r>
                    <w:r>
                      <w:fldChar w:fldCharType="separate"/>
                    </w:r>
                    <w:r>
                      <w:rPr>
                        <w:lang w:val="zh-CN"/>
                      </w:rPr>
                      <w:t>58</w:t>
                    </w:r>
                    <w:r>
                      <w:rPr>
                        <w:lang w:val="zh-CN"/>
                      </w:rPr>
                      <w:fldChar w:fldCharType="end"/>
                    </w:r>
                  </w:p>
                </w:txbxContent>
              </v:textbox>
            </v:shape>
          </w:pict>
        </mc:Fallback>
      </mc:AlternateContent>
    </w:r>
  </w:p>
  <w:p w14:paraId="3A70AEC5">
    <w:pPr>
      <w:pStyle w:val="15"/>
      <w:rPr>
        <w:szCs w:val="3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78668">
    <w:pPr>
      <w:pStyle w:val="15"/>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4184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6205" cy="418465"/>
                      </a:xfrm>
                      <a:prstGeom prst="rect">
                        <a:avLst/>
                      </a:prstGeom>
                      <a:noFill/>
                      <a:ln>
                        <a:noFill/>
                      </a:ln>
                    </wps:spPr>
                    <wps:txbx>
                      <w:txbxContent>
                        <w:p w14:paraId="6CB95614">
                          <w:pPr>
                            <w:pStyle w:val="15"/>
                          </w:pPr>
                          <w:r>
                            <w:fldChar w:fldCharType="begin"/>
                          </w:r>
                          <w:r>
                            <w:instrText xml:space="preserve"> PAGE  \* MERGEFORMAT </w:instrText>
                          </w:r>
                          <w:r>
                            <w:fldChar w:fldCharType="separate"/>
                          </w:r>
                          <w:r>
                            <w:t>79</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32.95pt;width:9.15pt;mso-position-horizontal:center;mso-position-horizontal-relative:margin;mso-wrap-style:none;z-index:251659264;mso-width-relative:page;mso-height-relative:page;" filled="f" stroked="f" coordsize="21600,21600" o:gfxdata="UEsDBAoAAAAAAIdO4kAAAAAAAAAAAAAAAAAEAAAAZHJzL1BLAwQUAAAACACHTuJA8xFoOdEAAAAD&#10;AQAADwAAAGRycy9kb3ducmV2LnhtbE2PwU7DMBBE70j8g7WVuFGnIEoIcXqoxIUbBVXito23cVR7&#10;Hdlumvw9Lhe4rDSa0czbejM5K0YKsfesYLUsQBC3XvfcKfj6fLsvQcSErNF6JgUzRdg0tzc1Vtpf&#10;+IPGXepELuFYoQKT0lBJGVtDDuPSD8TZO/rgMGUZOqkDXnK5s/KhKNbSYc95weBAW0PtaXd2Cp6n&#10;vach0pa+j2MbTD+X9n1W6m6xKl5BJJrSXxiu+Bkdmsx08GfWUVgF+ZH0e69e+QjioGD99AKyqeV/&#10;9uYHUEsDBBQAAAAIAIdO4kBMPIKjzQEAAJcDAAAOAAAAZHJzL2Uyb0RvYy54bWytU0tu2zAQ3RfI&#10;HQjua0lGYgSC5SCFkaBAkRZIewCaIi0C/IFDW/IF0ht01U33PZfP0SElO226ySIbajgcvnnvcbS8&#10;GYwmexFAOdvQalZSIix3rbLbhn77evf+mhKIzLZMOysaehBAb1YX75a9r8XcdU63IhAEsVD3vqFd&#10;jL4uCuCdMAxmzguLh9IFwyJuw7ZoA+sR3ehiXpaLoneh9cFxAYDZ9XhIJ8TwGkAnpeJi7fjOCBtH&#10;1CA0iygJOuWBrjJbKQWPn6UEEYluKCqNecUmGG/SWqyWrN4G5jvFJwrsNRReaDJMWWx6hlqzyMgu&#10;qP+gjOLBgZNxxp0pRiHZEVRRlS+8eeyYF1kLWg3+bDq8HSx/2H8JRLU4CZRYZvDBjz++H3/+Pv56&#10;IlWyp/dQY9Wjx7o4fHBDKp3ygMmkepDBpC/qIXiO5h7O5oohEp4uVYt5eUUJx6PL6vpycZVQiufL&#10;PkC8F86QFDQ04NtlS9n+E8Sx9FSSell3p7TGPKu1/SeBmClTJOYjwxTFYTNMtDeuPaCaHp+9oRan&#10;nBL90aKraUJOQTgFm1Ow80FtO6RWZV7gb3cRSWRuqcMIOzXG98rqptlKA/H3Plc9/0+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MRaDnRAAAAAwEAAA8AAAAAAAAAAQAgAAAAIgAAAGRycy9kb3du&#10;cmV2LnhtbFBLAQIUABQAAAAIAIdO4kBMPIKjzQEAAJcDAAAOAAAAAAAAAAEAIAAAACABAABkcnMv&#10;ZTJvRG9jLnhtbFBLBQYAAAAABgAGAFkBAABfBQAAAAA=&#10;">
              <v:fill on="f" focussize="0,0"/>
              <v:stroke on="f"/>
              <v:imagedata o:title=""/>
              <o:lock v:ext="edit" aspectratio="f"/>
              <v:textbox inset="0mm,0mm,0mm,0mm" style="mso-fit-shape-to-text:t;">
                <w:txbxContent>
                  <w:p w14:paraId="6CB95614">
                    <w:pPr>
                      <w:pStyle w:val="15"/>
                    </w:pPr>
                    <w:r>
                      <w:fldChar w:fldCharType="begin"/>
                    </w:r>
                    <w:r>
                      <w:instrText xml:space="preserve"> PAGE  \* MERGEFORMAT </w:instrText>
                    </w:r>
                    <w:r>
                      <w:fldChar w:fldCharType="separate"/>
                    </w:r>
                    <w:r>
                      <w:t>79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0C9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9A4E0">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49689"/>
    <w:multiLevelType w:val="singleLevel"/>
    <w:tmpl w:val="8DC49689"/>
    <w:lvl w:ilvl="0" w:tentative="0">
      <w:start w:val="1"/>
      <w:numFmt w:val="decimal"/>
      <w:suff w:val="nothing"/>
      <w:lvlText w:val="%1、"/>
      <w:lvlJc w:val="left"/>
    </w:lvl>
  </w:abstractNum>
  <w:abstractNum w:abstractNumId="1">
    <w:nsid w:val="A54CA5A5"/>
    <w:multiLevelType w:val="singleLevel"/>
    <w:tmpl w:val="A54CA5A5"/>
    <w:lvl w:ilvl="0" w:tentative="0">
      <w:start w:val="1"/>
      <w:numFmt w:val="decimal"/>
      <w:suff w:val="space"/>
      <w:lvlText w:val="%1."/>
      <w:lvlJc w:val="left"/>
    </w:lvl>
  </w:abstractNum>
  <w:abstractNum w:abstractNumId="2">
    <w:nsid w:val="D99EF2A5"/>
    <w:multiLevelType w:val="singleLevel"/>
    <w:tmpl w:val="D99EF2A5"/>
    <w:lvl w:ilvl="0" w:tentative="0">
      <w:start w:val="1"/>
      <w:numFmt w:val="decimal"/>
      <w:suff w:val="nothing"/>
      <w:lvlText w:val="%1、"/>
      <w:lvlJc w:val="left"/>
    </w:lvl>
  </w:abstractNum>
  <w:abstractNum w:abstractNumId="3">
    <w:nsid w:val="F51FE9DB"/>
    <w:multiLevelType w:val="singleLevel"/>
    <w:tmpl w:val="F51FE9DB"/>
    <w:lvl w:ilvl="0" w:tentative="0">
      <w:start w:val="1"/>
      <w:numFmt w:val="decimal"/>
      <w:suff w:val="nothing"/>
      <w:lvlText w:val="%1、"/>
      <w:lvlJc w:val="left"/>
    </w:lvl>
  </w:abstractNum>
  <w:abstractNum w:abstractNumId="4">
    <w:nsid w:val="0F8B652A"/>
    <w:multiLevelType w:val="singleLevel"/>
    <w:tmpl w:val="0F8B652A"/>
    <w:lvl w:ilvl="0" w:tentative="0">
      <w:start w:val="3"/>
      <w:numFmt w:val="decimal"/>
      <w:suff w:val="nothing"/>
      <w:lvlText w:val="%1、"/>
      <w:lvlJc w:val="left"/>
    </w:lvl>
  </w:abstractNum>
  <w:abstractNum w:abstractNumId="5">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6">
    <w:nsid w:val="4D214AB2"/>
    <w:multiLevelType w:val="singleLevel"/>
    <w:tmpl w:val="4D214AB2"/>
    <w:lvl w:ilvl="0" w:tentative="0">
      <w:start w:val="1"/>
      <w:numFmt w:val="decimal"/>
      <w:suff w:val="nothing"/>
      <w:lvlText w:val="%1、"/>
      <w:lvlJc w:val="left"/>
    </w:lvl>
  </w:abstractNum>
  <w:abstractNum w:abstractNumId="7">
    <w:nsid w:val="603760B7"/>
    <w:multiLevelType w:val="multilevel"/>
    <w:tmpl w:val="603760B7"/>
    <w:lvl w:ilvl="0" w:tentative="0">
      <w:start w:val="1"/>
      <w:numFmt w:val="japaneseCounting"/>
      <w:lvlText w:val="（%1）"/>
      <w:lvlJc w:val="left"/>
      <w:pPr>
        <w:ind w:left="1146" w:hanging="72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8">
    <w:nsid w:val="698E279A"/>
    <w:multiLevelType w:val="multilevel"/>
    <w:tmpl w:val="698E279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2"/>
  </w:num>
  <w:num w:numId="4">
    <w:abstractNumId w:val="3"/>
  </w:num>
  <w:num w:numId="5">
    <w:abstractNumId w:val="6"/>
  </w:num>
  <w:num w:numId="6">
    <w:abstractNumId w:val="0"/>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xMmMwYWNiMzk5N2I0MDNlMWJmNDFhMzk5ZDYzMTQifQ=="/>
    <w:docVar w:name="KSO_WPS_MARK_KEY" w:val="c25a6930-a392-49c1-be2b-3cee8c89089f"/>
  </w:docVars>
  <w:rsids>
    <w:rsidRoot w:val="685A718E"/>
    <w:rsid w:val="000114FB"/>
    <w:rsid w:val="00013E31"/>
    <w:rsid w:val="00021ABA"/>
    <w:rsid w:val="0002214B"/>
    <w:rsid w:val="000326C3"/>
    <w:rsid w:val="00060998"/>
    <w:rsid w:val="00067586"/>
    <w:rsid w:val="00070109"/>
    <w:rsid w:val="00071B78"/>
    <w:rsid w:val="000801A7"/>
    <w:rsid w:val="000A54AB"/>
    <w:rsid w:val="000A7A0F"/>
    <w:rsid w:val="000B1083"/>
    <w:rsid w:val="000C5CBE"/>
    <w:rsid w:val="000D5D09"/>
    <w:rsid w:val="000D62DF"/>
    <w:rsid w:val="000F5454"/>
    <w:rsid w:val="001016BE"/>
    <w:rsid w:val="001226B5"/>
    <w:rsid w:val="001A3467"/>
    <w:rsid w:val="001A67AA"/>
    <w:rsid w:val="001B03CD"/>
    <w:rsid w:val="001D4C7B"/>
    <w:rsid w:val="001E64BC"/>
    <w:rsid w:val="001F0299"/>
    <w:rsid w:val="001F0937"/>
    <w:rsid w:val="001F1C2D"/>
    <w:rsid w:val="00200E47"/>
    <w:rsid w:val="00206FCA"/>
    <w:rsid w:val="0021461E"/>
    <w:rsid w:val="00241768"/>
    <w:rsid w:val="00243547"/>
    <w:rsid w:val="00244D40"/>
    <w:rsid w:val="0026447D"/>
    <w:rsid w:val="00284738"/>
    <w:rsid w:val="00285EF6"/>
    <w:rsid w:val="002D064E"/>
    <w:rsid w:val="002D1658"/>
    <w:rsid w:val="002E426E"/>
    <w:rsid w:val="002F4C53"/>
    <w:rsid w:val="002F795E"/>
    <w:rsid w:val="00322560"/>
    <w:rsid w:val="00342DB9"/>
    <w:rsid w:val="003445E7"/>
    <w:rsid w:val="00355912"/>
    <w:rsid w:val="00361B75"/>
    <w:rsid w:val="00374714"/>
    <w:rsid w:val="00375EF3"/>
    <w:rsid w:val="00377DF8"/>
    <w:rsid w:val="00383619"/>
    <w:rsid w:val="00387812"/>
    <w:rsid w:val="0039230D"/>
    <w:rsid w:val="00397E01"/>
    <w:rsid w:val="003A0CDF"/>
    <w:rsid w:val="003C5BAB"/>
    <w:rsid w:val="003D4F0A"/>
    <w:rsid w:val="004026DF"/>
    <w:rsid w:val="00402F2F"/>
    <w:rsid w:val="00407CB6"/>
    <w:rsid w:val="00413161"/>
    <w:rsid w:val="0042787D"/>
    <w:rsid w:val="0043327B"/>
    <w:rsid w:val="00453705"/>
    <w:rsid w:val="00473EE1"/>
    <w:rsid w:val="00486FE4"/>
    <w:rsid w:val="004D1BB7"/>
    <w:rsid w:val="00501792"/>
    <w:rsid w:val="00512AD7"/>
    <w:rsid w:val="0052251B"/>
    <w:rsid w:val="005339F2"/>
    <w:rsid w:val="00534120"/>
    <w:rsid w:val="00534997"/>
    <w:rsid w:val="00534A00"/>
    <w:rsid w:val="00546B8D"/>
    <w:rsid w:val="0057065C"/>
    <w:rsid w:val="0057641B"/>
    <w:rsid w:val="005934CC"/>
    <w:rsid w:val="005A7828"/>
    <w:rsid w:val="005B4FA6"/>
    <w:rsid w:val="005C0BC7"/>
    <w:rsid w:val="005D7DCF"/>
    <w:rsid w:val="005E395B"/>
    <w:rsid w:val="005E3E63"/>
    <w:rsid w:val="006100E1"/>
    <w:rsid w:val="00616F62"/>
    <w:rsid w:val="00617CAB"/>
    <w:rsid w:val="00620E52"/>
    <w:rsid w:val="00624362"/>
    <w:rsid w:val="00625818"/>
    <w:rsid w:val="00635845"/>
    <w:rsid w:val="00644B7F"/>
    <w:rsid w:val="00654C3C"/>
    <w:rsid w:val="006618DD"/>
    <w:rsid w:val="0066381E"/>
    <w:rsid w:val="006674FD"/>
    <w:rsid w:val="00670212"/>
    <w:rsid w:val="0067576F"/>
    <w:rsid w:val="00682AB0"/>
    <w:rsid w:val="0069264B"/>
    <w:rsid w:val="006A6677"/>
    <w:rsid w:val="006C08FB"/>
    <w:rsid w:val="006D063B"/>
    <w:rsid w:val="006F08F6"/>
    <w:rsid w:val="006F226C"/>
    <w:rsid w:val="00741278"/>
    <w:rsid w:val="00751072"/>
    <w:rsid w:val="00767714"/>
    <w:rsid w:val="007705A8"/>
    <w:rsid w:val="00790783"/>
    <w:rsid w:val="00795F18"/>
    <w:rsid w:val="007A3FE4"/>
    <w:rsid w:val="007B0D5C"/>
    <w:rsid w:val="007B21F7"/>
    <w:rsid w:val="007B3901"/>
    <w:rsid w:val="007B505E"/>
    <w:rsid w:val="007C1D56"/>
    <w:rsid w:val="007D42E5"/>
    <w:rsid w:val="007D529B"/>
    <w:rsid w:val="007E16DC"/>
    <w:rsid w:val="007F6B98"/>
    <w:rsid w:val="008042C1"/>
    <w:rsid w:val="00805226"/>
    <w:rsid w:val="008079DA"/>
    <w:rsid w:val="00827154"/>
    <w:rsid w:val="00840BF3"/>
    <w:rsid w:val="0085763D"/>
    <w:rsid w:val="00862234"/>
    <w:rsid w:val="00877E52"/>
    <w:rsid w:val="00892F23"/>
    <w:rsid w:val="008B0CAF"/>
    <w:rsid w:val="008B56CA"/>
    <w:rsid w:val="008B7A49"/>
    <w:rsid w:val="008C338A"/>
    <w:rsid w:val="008C532A"/>
    <w:rsid w:val="008D533D"/>
    <w:rsid w:val="008D6F4E"/>
    <w:rsid w:val="008E4718"/>
    <w:rsid w:val="008F5F01"/>
    <w:rsid w:val="0090114A"/>
    <w:rsid w:val="00903BB1"/>
    <w:rsid w:val="0090469F"/>
    <w:rsid w:val="00914B90"/>
    <w:rsid w:val="00920B19"/>
    <w:rsid w:val="00922C2D"/>
    <w:rsid w:val="00927F46"/>
    <w:rsid w:val="009349A7"/>
    <w:rsid w:val="00956909"/>
    <w:rsid w:val="00957F19"/>
    <w:rsid w:val="00966895"/>
    <w:rsid w:val="0096771C"/>
    <w:rsid w:val="00972166"/>
    <w:rsid w:val="00985B7D"/>
    <w:rsid w:val="009A0626"/>
    <w:rsid w:val="009B0229"/>
    <w:rsid w:val="009B765F"/>
    <w:rsid w:val="009C79C0"/>
    <w:rsid w:val="009D1313"/>
    <w:rsid w:val="009D280C"/>
    <w:rsid w:val="009E2FBF"/>
    <w:rsid w:val="009F08D3"/>
    <w:rsid w:val="00A16FDE"/>
    <w:rsid w:val="00A235DB"/>
    <w:rsid w:val="00A264E3"/>
    <w:rsid w:val="00A3297B"/>
    <w:rsid w:val="00A32F6A"/>
    <w:rsid w:val="00A46D63"/>
    <w:rsid w:val="00A51DE6"/>
    <w:rsid w:val="00A5226B"/>
    <w:rsid w:val="00A54B7D"/>
    <w:rsid w:val="00A64D1F"/>
    <w:rsid w:val="00A8045E"/>
    <w:rsid w:val="00A80E2B"/>
    <w:rsid w:val="00A83D3E"/>
    <w:rsid w:val="00A96C0B"/>
    <w:rsid w:val="00AB1BBF"/>
    <w:rsid w:val="00AD092A"/>
    <w:rsid w:val="00AF386F"/>
    <w:rsid w:val="00B17880"/>
    <w:rsid w:val="00B23F8A"/>
    <w:rsid w:val="00B46E09"/>
    <w:rsid w:val="00B56EAC"/>
    <w:rsid w:val="00B809CA"/>
    <w:rsid w:val="00B92B77"/>
    <w:rsid w:val="00BB35ED"/>
    <w:rsid w:val="00BE14A7"/>
    <w:rsid w:val="00BE1D22"/>
    <w:rsid w:val="00BF2AD8"/>
    <w:rsid w:val="00C00645"/>
    <w:rsid w:val="00C13D38"/>
    <w:rsid w:val="00C1795B"/>
    <w:rsid w:val="00C2128C"/>
    <w:rsid w:val="00C26621"/>
    <w:rsid w:val="00C62D93"/>
    <w:rsid w:val="00C84FCC"/>
    <w:rsid w:val="00C873D0"/>
    <w:rsid w:val="00C8782E"/>
    <w:rsid w:val="00C91A88"/>
    <w:rsid w:val="00CA4177"/>
    <w:rsid w:val="00CE7FE9"/>
    <w:rsid w:val="00D46EF2"/>
    <w:rsid w:val="00D5418A"/>
    <w:rsid w:val="00D6616A"/>
    <w:rsid w:val="00D6782C"/>
    <w:rsid w:val="00D813DF"/>
    <w:rsid w:val="00D83D2E"/>
    <w:rsid w:val="00D93863"/>
    <w:rsid w:val="00D97BE4"/>
    <w:rsid w:val="00DD1E8F"/>
    <w:rsid w:val="00DD331A"/>
    <w:rsid w:val="00DE2EAD"/>
    <w:rsid w:val="00E10383"/>
    <w:rsid w:val="00E15833"/>
    <w:rsid w:val="00E2226B"/>
    <w:rsid w:val="00E2778E"/>
    <w:rsid w:val="00E31263"/>
    <w:rsid w:val="00E34D0E"/>
    <w:rsid w:val="00E36287"/>
    <w:rsid w:val="00E40809"/>
    <w:rsid w:val="00E40E7F"/>
    <w:rsid w:val="00E46483"/>
    <w:rsid w:val="00E4773A"/>
    <w:rsid w:val="00E47AAA"/>
    <w:rsid w:val="00E54463"/>
    <w:rsid w:val="00E71201"/>
    <w:rsid w:val="00E928E2"/>
    <w:rsid w:val="00EA7897"/>
    <w:rsid w:val="00EB1834"/>
    <w:rsid w:val="00EB60B2"/>
    <w:rsid w:val="00EE3E3A"/>
    <w:rsid w:val="00EE7CD2"/>
    <w:rsid w:val="00EF3B82"/>
    <w:rsid w:val="00F0002F"/>
    <w:rsid w:val="00F0064C"/>
    <w:rsid w:val="00F37C51"/>
    <w:rsid w:val="00F50DE0"/>
    <w:rsid w:val="00F80DF9"/>
    <w:rsid w:val="00F83269"/>
    <w:rsid w:val="00F92F67"/>
    <w:rsid w:val="00FA6097"/>
    <w:rsid w:val="00FD5EAB"/>
    <w:rsid w:val="00FF12A5"/>
    <w:rsid w:val="00FF4D65"/>
    <w:rsid w:val="017727CF"/>
    <w:rsid w:val="01937DFE"/>
    <w:rsid w:val="026F1180"/>
    <w:rsid w:val="03824AAC"/>
    <w:rsid w:val="038C50E0"/>
    <w:rsid w:val="03EB70C9"/>
    <w:rsid w:val="03FE65B7"/>
    <w:rsid w:val="040C75CD"/>
    <w:rsid w:val="04C3735B"/>
    <w:rsid w:val="04F26581"/>
    <w:rsid w:val="05674F5E"/>
    <w:rsid w:val="058A0668"/>
    <w:rsid w:val="06E02B32"/>
    <w:rsid w:val="073C5B49"/>
    <w:rsid w:val="085A5F0B"/>
    <w:rsid w:val="088A7337"/>
    <w:rsid w:val="08B03E69"/>
    <w:rsid w:val="090350EB"/>
    <w:rsid w:val="09066A55"/>
    <w:rsid w:val="09D0687D"/>
    <w:rsid w:val="0A232C00"/>
    <w:rsid w:val="0AAC34DD"/>
    <w:rsid w:val="0AFE0466"/>
    <w:rsid w:val="0B1221F5"/>
    <w:rsid w:val="0B212DFC"/>
    <w:rsid w:val="0B4D5E1A"/>
    <w:rsid w:val="0C032891"/>
    <w:rsid w:val="0C2A627E"/>
    <w:rsid w:val="0D5F150C"/>
    <w:rsid w:val="0E990EFC"/>
    <w:rsid w:val="0ED77696"/>
    <w:rsid w:val="10CA5CE4"/>
    <w:rsid w:val="11317258"/>
    <w:rsid w:val="120004D9"/>
    <w:rsid w:val="121A313E"/>
    <w:rsid w:val="1307603F"/>
    <w:rsid w:val="133752AE"/>
    <w:rsid w:val="14526094"/>
    <w:rsid w:val="14746A60"/>
    <w:rsid w:val="156829ED"/>
    <w:rsid w:val="16582B51"/>
    <w:rsid w:val="16856D95"/>
    <w:rsid w:val="17C76AD9"/>
    <w:rsid w:val="17F031FE"/>
    <w:rsid w:val="17F370EE"/>
    <w:rsid w:val="182D6E2A"/>
    <w:rsid w:val="18957CD0"/>
    <w:rsid w:val="18D91CAB"/>
    <w:rsid w:val="18DA6D63"/>
    <w:rsid w:val="19013179"/>
    <w:rsid w:val="19450E1D"/>
    <w:rsid w:val="19B47531"/>
    <w:rsid w:val="19FD047B"/>
    <w:rsid w:val="1A1964DF"/>
    <w:rsid w:val="1A8E3EAA"/>
    <w:rsid w:val="1B443DCE"/>
    <w:rsid w:val="1BFA295D"/>
    <w:rsid w:val="1C934B0A"/>
    <w:rsid w:val="1CDD1B18"/>
    <w:rsid w:val="1CE2194A"/>
    <w:rsid w:val="1D8D60CF"/>
    <w:rsid w:val="1DD414B6"/>
    <w:rsid w:val="1E0F2EDF"/>
    <w:rsid w:val="1E360515"/>
    <w:rsid w:val="1E9A46E9"/>
    <w:rsid w:val="1F0D5683"/>
    <w:rsid w:val="203A1AF4"/>
    <w:rsid w:val="20976E67"/>
    <w:rsid w:val="23B13D37"/>
    <w:rsid w:val="244016C1"/>
    <w:rsid w:val="24584614"/>
    <w:rsid w:val="245E2A8E"/>
    <w:rsid w:val="2492221D"/>
    <w:rsid w:val="255A4A72"/>
    <w:rsid w:val="25B52667"/>
    <w:rsid w:val="25C5596C"/>
    <w:rsid w:val="25DE361A"/>
    <w:rsid w:val="25E0442F"/>
    <w:rsid w:val="26062EC3"/>
    <w:rsid w:val="2778201C"/>
    <w:rsid w:val="27BC35E5"/>
    <w:rsid w:val="28132693"/>
    <w:rsid w:val="284D4A89"/>
    <w:rsid w:val="28754330"/>
    <w:rsid w:val="289351B4"/>
    <w:rsid w:val="298011DE"/>
    <w:rsid w:val="29A739E3"/>
    <w:rsid w:val="29F34083"/>
    <w:rsid w:val="2A0B15DB"/>
    <w:rsid w:val="2A7903E8"/>
    <w:rsid w:val="2A891D4A"/>
    <w:rsid w:val="2A8B6810"/>
    <w:rsid w:val="2A9F5694"/>
    <w:rsid w:val="2AAD1B87"/>
    <w:rsid w:val="2AC57F99"/>
    <w:rsid w:val="2B9B3F23"/>
    <w:rsid w:val="2BBE096F"/>
    <w:rsid w:val="2C3F422F"/>
    <w:rsid w:val="2C8E4DEE"/>
    <w:rsid w:val="2CC316B7"/>
    <w:rsid w:val="2CE0346E"/>
    <w:rsid w:val="2DC977A2"/>
    <w:rsid w:val="2DE24758"/>
    <w:rsid w:val="2DFD5B95"/>
    <w:rsid w:val="2E37171D"/>
    <w:rsid w:val="2EAE27F4"/>
    <w:rsid w:val="2EB8626D"/>
    <w:rsid w:val="2F177EEF"/>
    <w:rsid w:val="2F596571"/>
    <w:rsid w:val="3010626B"/>
    <w:rsid w:val="30751901"/>
    <w:rsid w:val="30E3452C"/>
    <w:rsid w:val="311C5A68"/>
    <w:rsid w:val="315224D1"/>
    <w:rsid w:val="315577A3"/>
    <w:rsid w:val="317457EC"/>
    <w:rsid w:val="31AB2B9E"/>
    <w:rsid w:val="31ED2E60"/>
    <w:rsid w:val="3202541F"/>
    <w:rsid w:val="32A84668"/>
    <w:rsid w:val="32C91500"/>
    <w:rsid w:val="32E40C96"/>
    <w:rsid w:val="347C3613"/>
    <w:rsid w:val="34983880"/>
    <w:rsid w:val="34B112DD"/>
    <w:rsid w:val="34E23E1A"/>
    <w:rsid w:val="3521787E"/>
    <w:rsid w:val="379F3730"/>
    <w:rsid w:val="38D806EF"/>
    <w:rsid w:val="390534CD"/>
    <w:rsid w:val="39CD3FCC"/>
    <w:rsid w:val="3B13316D"/>
    <w:rsid w:val="3BA4653D"/>
    <w:rsid w:val="3C2B7832"/>
    <w:rsid w:val="3C4903E1"/>
    <w:rsid w:val="3C89430A"/>
    <w:rsid w:val="3CBA23BA"/>
    <w:rsid w:val="3D7D3089"/>
    <w:rsid w:val="3D896157"/>
    <w:rsid w:val="3DE22FC3"/>
    <w:rsid w:val="3DE85102"/>
    <w:rsid w:val="3E173A67"/>
    <w:rsid w:val="3E966387"/>
    <w:rsid w:val="3EA71D5C"/>
    <w:rsid w:val="3EE45ADC"/>
    <w:rsid w:val="3F133C6D"/>
    <w:rsid w:val="3F1849DB"/>
    <w:rsid w:val="3F42436A"/>
    <w:rsid w:val="40911F88"/>
    <w:rsid w:val="40A86BF9"/>
    <w:rsid w:val="40F164FD"/>
    <w:rsid w:val="41B75401"/>
    <w:rsid w:val="41D41C6F"/>
    <w:rsid w:val="41F335E3"/>
    <w:rsid w:val="42100EF9"/>
    <w:rsid w:val="42B06238"/>
    <w:rsid w:val="435C15CD"/>
    <w:rsid w:val="438F113C"/>
    <w:rsid w:val="44263186"/>
    <w:rsid w:val="44855162"/>
    <w:rsid w:val="454F7785"/>
    <w:rsid w:val="45B83FEA"/>
    <w:rsid w:val="460571C6"/>
    <w:rsid w:val="46B43698"/>
    <w:rsid w:val="46D509C3"/>
    <w:rsid w:val="46EB3CE3"/>
    <w:rsid w:val="47121FD0"/>
    <w:rsid w:val="474E2A4A"/>
    <w:rsid w:val="47724A1D"/>
    <w:rsid w:val="47E86474"/>
    <w:rsid w:val="489D7611"/>
    <w:rsid w:val="48A21B5E"/>
    <w:rsid w:val="4909749E"/>
    <w:rsid w:val="495518E8"/>
    <w:rsid w:val="495E3099"/>
    <w:rsid w:val="49C9008D"/>
    <w:rsid w:val="49E72C3A"/>
    <w:rsid w:val="49F61A9B"/>
    <w:rsid w:val="4A151E78"/>
    <w:rsid w:val="4A6537AC"/>
    <w:rsid w:val="4A957030"/>
    <w:rsid w:val="4B4039B8"/>
    <w:rsid w:val="4B43578C"/>
    <w:rsid w:val="4B8E67B3"/>
    <w:rsid w:val="4BEB4B20"/>
    <w:rsid w:val="4BFE7B5F"/>
    <w:rsid w:val="4CC72CAB"/>
    <w:rsid w:val="4D2830E0"/>
    <w:rsid w:val="4DA20825"/>
    <w:rsid w:val="4DCB2216"/>
    <w:rsid w:val="4DD00A22"/>
    <w:rsid w:val="4E846C56"/>
    <w:rsid w:val="4ED73AE2"/>
    <w:rsid w:val="4F655C1E"/>
    <w:rsid w:val="4FE67916"/>
    <w:rsid w:val="501B5D37"/>
    <w:rsid w:val="50206C4C"/>
    <w:rsid w:val="50272689"/>
    <w:rsid w:val="50844ADE"/>
    <w:rsid w:val="50C973FB"/>
    <w:rsid w:val="50D85C66"/>
    <w:rsid w:val="5181771E"/>
    <w:rsid w:val="51F169F8"/>
    <w:rsid w:val="52616423"/>
    <w:rsid w:val="52717B53"/>
    <w:rsid w:val="53312A7E"/>
    <w:rsid w:val="53366924"/>
    <w:rsid w:val="53656BCB"/>
    <w:rsid w:val="53D21C6B"/>
    <w:rsid w:val="5479658F"/>
    <w:rsid w:val="55546EF7"/>
    <w:rsid w:val="55A316B2"/>
    <w:rsid w:val="565C2A6E"/>
    <w:rsid w:val="568C5C8E"/>
    <w:rsid w:val="569071B7"/>
    <w:rsid w:val="56BC7A14"/>
    <w:rsid w:val="57E55C1C"/>
    <w:rsid w:val="587E2A16"/>
    <w:rsid w:val="58D81BED"/>
    <w:rsid w:val="58ED6CAC"/>
    <w:rsid w:val="59A446A1"/>
    <w:rsid w:val="5A7C2933"/>
    <w:rsid w:val="5BB16D8C"/>
    <w:rsid w:val="5BB803FE"/>
    <w:rsid w:val="5BBE71A1"/>
    <w:rsid w:val="5BD14DFE"/>
    <w:rsid w:val="5BDF629C"/>
    <w:rsid w:val="5CC677A2"/>
    <w:rsid w:val="5CDE5E81"/>
    <w:rsid w:val="5CF50D2A"/>
    <w:rsid w:val="5D2D101B"/>
    <w:rsid w:val="5D384180"/>
    <w:rsid w:val="5D667AEC"/>
    <w:rsid w:val="5F0D073E"/>
    <w:rsid w:val="5F265747"/>
    <w:rsid w:val="5F5C4CC1"/>
    <w:rsid w:val="5F6C0451"/>
    <w:rsid w:val="5FB044BC"/>
    <w:rsid w:val="607166B9"/>
    <w:rsid w:val="608763D3"/>
    <w:rsid w:val="60B531C6"/>
    <w:rsid w:val="618F32AC"/>
    <w:rsid w:val="619256B6"/>
    <w:rsid w:val="61EF3877"/>
    <w:rsid w:val="622E3D73"/>
    <w:rsid w:val="62547635"/>
    <w:rsid w:val="62B03953"/>
    <w:rsid w:val="62B26A63"/>
    <w:rsid w:val="62C93798"/>
    <w:rsid w:val="62ED4876"/>
    <w:rsid w:val="63937237"/>
    <w:rsid w:val="63957059"/>
    <w:rsid w:val="63980CD8"/>
    <w:rsid w:val="63A412B9"/>
    <w:rsid w:val="63DC15B5"/>
    <w:rsid w:val="64813139"/>
    <w:rsid w:val="64CD49AF"/>
    <w:rsid w:val="6545218B"/>
    <w:rsid w:val="657C227E"/>
    <w:rsid w:val="65C96527"/>
    <w:rsid w:val="664375E8"/>
    <w:rsid w:val="666E6731"/>
    <w:rsid w:val="66DE39BE"/>
    <w:rsid w:val="67B77B71"/>
    <w:rsid w:val="685A718E"/>
    <w:rsid w:val="6A1C121F"/>
    <w:rsid w:val="6AF40772"/>
    <w:rsid w:val="6B4A24D7"/>
    <w:rsid w:val="6BE01D70"/>
    <w:rsid w:val="6C314DB0"/>
    <w:rsid w:val="6C9E199D"/>
    <w:rsid w:val="6CAA6BF1"/>
    <w:rsid w:val="6CC83FFB"/>
    <w:rsid w:val="6CFC7850"/>
    <w:rsid w:val="6D0A5DFB"/>
    <w:rsid w:val="6D65164A"/>
    <w:rsid w:val="6E421A8B"/>
    <w:rsid w:val="6E4D0AE3"/>
    <w:rsid w:val="6EBC193D"/>
    <w:rsid w:val="6EBF279E"/>
    <w:rsid w:val="6EC26D02"/>
    <w:rsid w:val="70611DE4"/>
    <w:rsid w:val="707F16AF"/>
    <w:rsid w:val="70B022F4"/>
    <w:rsid w:val="71010AD2"/>
    <w:rsid w:val="723D2D95"/>
    <w:rsid w:val="72A25605"/>
    <w:rsid w:val="7324356F"/>
    <w:rsid w:val="73784094"/>
    <w:rsid w:val="73A059AB"/>
    <w:rsid w:val="748C0004"/>
    <w:rsid w:val="74EF1774"/>
    <w:rsid w:val="74F136C6"/>
    <w:rsid w:val="75494870"/>
    <w:rsid w:val="758D7B90"/>
    <w:rsid w:val="759F7DF7"/>
    <w:rsid w:val="75A0564D"/>
    <w:rsid w:val="75C71B3B"/>
    <w:rsid w:val="75EB4C99"/>
    <w:rsid w:val="75F95225"/>
    <w:rsid w:val="75FE45EA"/>
    <w:rsid w:val="7661577B"/>
    <w:rsid w:val="767E1BCE"/>
    <w:rsid w:val="76C80B5C"/>
    <w:rsid w:val="779E16ED"/>
    <w:rsid w:val="785624C3"/>
    <w:rsid w:val="78856E5B"/>
    <w:rsid w:val="78A63E02"/>
    <w:rsid w:val="792079C7"/>
    <w:rsid w:val="793755EE"/>
    <w:rsid w:val="7A49421E"/>
    <w:rsid w:val="7A747905"/>
    <w:rsid w:val="7AFC163C"/>
    <w:rsid w:val="7B9949F9"/>
    <w:rsid w:val="7BAA4047"/>
    <w:rsid w:val="7BFF74D7"/>
    <w:rsid w:val="7C11784A"/>
    <w:rsid w:val="7C573443"/>
    <w:rsid w:val="7C781495"/>
    <w:rsid w:val="7CE90B9A"/>
    <w:rsid w:val="7D3D4162"/>
    <w:rsid w:val="7D44679E"/>
    <w:rsid w:val="7D743A49"/>
    <w:rsid w:val="7DB00B53"/>
    <w:rsid w:val="7DC26844"/>
    <w:rsid w:val="7E3F7E95"/>
    <w:rsid w:val="7EFE1824"/>
    <w:rsid w:val="7F151466"/>
    <w:rsid w:val="7F2D74D9"/>
    <w:rsid w:val="7FE71A67"/>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spacing w:before="240" w:after="60"/>
      <w:outlineLvl w:val="0"/>
    </w:pPr>
    <w:rPr>
      <w:rFonts w:ascii="Cambria" w:hAnsi="Cambria"/>
      <w:b/>
      <w:bCs/>
      <w:kern w:val="32"/>
      <w:sz w:val="32"/>
      <w:szCs w:val="32"/>
    </w:rPr>
  </w:style>
  <w:style w:type="paragraph" w:styleId="3">
    <w:name w:val="heading 2"/>
    <w:basedOn w:val="1"/>
    <w:next w:val="1"/>
    <w:autoRedefine/>
    <w:qFormat/>
    <w:uiPriority w:val="99"/>
    <w:pPr>
      <w:keepNext/>
      <w:keepLines/>
      <w:spacing w:line="360" w:lineRule="auto"/>
      <w:outlineLvl w:val="1"/>
    </w:pPr>
    <w:rPr>
      <w:rFonts w:ascii="Arial" w:hAnsi="Arial"/>
      <w:b/>
      <w:bCs/>
      <w:sz w:val="24"/>
      <w:szCs w:val="32"/>
    </w:rPr>
  </w:style>
  <w:style w:type="paragraph" w:styleId="4">
    <w:name w:val="heading 3"/>
    <w:basedOn w:val="1"/>
    <w:next w:val="1"/>
    <w:autoRedefine/>
    <w:qFormat/>
    <w:uiPriority w:val="0"/>
    <w:pPr>
      <w:keepNext/>
      <w:keepLines/>
      <w:spacing w:before="260" w:after="260"/>
      <w:jc w:val="left"/>
      <w:outlineLvl w:val="2"/>
    </w:pPr>
    <w:rPr>
      <w:b/>
      <w:bCs/>
      <w:sz w:val="24"/>
      <w:szCs w:val="32"/>
    </w:rPr>
  </w:style>
  <w:style w:type="character" w:default="1" w:styleId="22">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adjustRightInd w:val="0"/>
      <w:spacing w:line="360" w:lineRule="atLeast"/>
      <w:ind w:firstLine="420"/>
      <w:textAlignment w:val="baseline"/>
    </w:pPr>
    <w:rPr>
      <w:szCs w:val="20"/>
    </w:rPr>
  </w:style>
  <w:style w:type="paragraph" w:styleId="6">
    <w:name w:val="annotation text"/>
    <w:basedOn w:val="1"/>
    <w:autoRedefine/>
    <w:semiHidden/>
    <w:qFormat/>
    <w:uiPriority w:val="0"/>
    <w:pPr>
      <w:jc w:val="left"/>
    </w:pPr>
  </w:style>
  <w:style w:type="paragraph" w:styleId="7">
    <w:name w:val="Body Text"/>
    <w:basedOn w:val="1"/>
    <w:next w:val="8"/>
    <w:autoRedefine/>
    <w:qFormat/>
    <w:uiPriority w:val="1"/>
    <w:pPr>
      <w:spacing w:after="120"/>
    </w:pPr>
    <w:rPr>
      <w:sz w:val="20"/>
    </w:rPr>
  </w:style>
  <w:style w:type="paragraph" w:styleId="8">
    <w:name w:val="index 7"/>
    <w:basedOn w:val="1"/>
    <w:next w:val="1"/>
    <w:autoRedefine/>
    <w:qFormat/>
    <w:uiPriority w:val="0"/>
    <w:pPr>
      <w:ind w:left="2520"/>
    </w:pPr>
  </w:style>
  <w:style w:type="paragraph" w:styleId="9">
    <w:name w:val="Body Text Indent"/>
    <w:basedOn w:val="1"/>
    <w:next w:val="10"/>
    <w:link w:val="37"/>
    <w:autoRedefine/>
    <w:qFormat/>
    <w:uiPriority w:val="99"/>
    <w:pPr>
      <w:spacing w:after="120"/>
      <w:ind w:left="420" w:leftChars="200"/>
    </w:pPr>
  </w:style>
  <w:style w:type="paragraph" w:styleId="10">
    <w:name w:val="Body Text First Indent 2"/>
    <w:basedOn w:val="9"/>
    <w:next w:val="5"/>
    <w:autoRedefine/>
    <w:qFormat/>
    <w:uiPriority w:val="0"/>
    <w:pPr>
      <w:ind w:firstLine="420"/>
    </w:pPr>
  </w:style>
  <w:style w:type="paragraph" w:styleId="11">
    <w:name w:val="toc 3"/>
    <w:basedOn w:val="1"/>
    <w:next w:val="1"/>
    <w:autoRedefine/>
    <w:qFormat/>
    <w:uiPriority w:val="0"/>
    <w:pPr>
      <w:ind w:left="840" w:leftChars="400"/>
    </w:pPr>
  </w:style>
  <w:style w:type="paragraph" w:styleId="12">
    <w:name w:val="Plain Text"/>
    <w:basedOn w:val="1"/>
    <w:autoRedefine/>
    <w:qFormat/>
    <w:uiPriority w:val="0"/>
    <w:rPr>
      <w:rFonts w:ascii="宋体" w:hAnsi="Courier New" w:cs="Courier New"/>
      <w:szCs w:val="21"/>
    </w:rPr>
  </w:style>
  <w:style w:type="paragraph" w:styleId="13">
    <w:name w:val="Date"/>
    <w:basedOn w:val="1"/>
    <w:next w:val="1"/>
    <w:autoRedefine/>
    <w:qFormat/>
    <w:uiPriority w:val="0"/>
    <w:rPr>
      <w:sz w:val="24"/>
      <w:szCs w:val="20"/>
    </w:rPr>
  </w:style>
  <w:style w:type="paragraph" w:styleId="14">
    <w:name w:val="Balloon Text"/>
    <w:basedOn w:val="1"/>
    <w:link w:val="36"/>
    <w:autoRedefine/>
    <w:qFormat/>
    <w:uiPriority w:val="0"/>
    <w:rPr>
      <w:sz w:val="18"/>
      <w:szCs w:val="18"/>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style>
  <w:style w:type="paragraph" w:styleId="18">
    <w:name w:val="toc 2"/>
    <w:basedOn w:val="1"/>
    <w:next w:val="1"/>
    <w:autoRedefine/>
    <w:unhideWhenUsed/>
    <w:qFormat/>
    <w:uiPriority w:val="39"/>
    <w:pPr>
      <w:ind w:left="420" w:leftChars="200"/>
    </w:pPr>
  </w:style>
  <w:style w:type="paragraph" w:styleId="1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0">
    <w:name w:val="annotation subject"/>
    <w:basedOn w:val="6"/>
    <w:next w:val="1"/>
    <w:autoRedefine/>
    <w:semiHidden/>
    <w:qFormat/>
    <w:uiPriority w:val="0"/>
    <w:rPr>
      <w:b/>
      <w:bCs/>
    </w:rPr>
  </w:style>
  <w:style w:type="character" w:styleId="23">
    <w:name w:val="Strong"/>
    <w:basedOn w:val="22"/>
    <w:autoRedefine/>
    <w:qFormat/>
    <w:uiPriority w:val="0"/>
    <w:rPr>
      <w:b/>
    </w:rPr>
  </w:style>
  <w:style w:type="character" w:styleId="24">
    <w:name w:val="page number"/>
    <w:autoRedefine/>
    <w:qFormat/>
    <w:uiPriority w:val="0"/>
  </w:style>
  <w:style w:type="character" w:styleId="25">
    <w:name w:val="annotation reference"/>
    <w:basedOn w:val="22"/>
    <w:autoRedefine/>
    <w:qFormat/>
    <w:uiPriority w:val="0"/>
    <w:rPr>
      <w:sz w:val="21"/>
      <w:szCs w:val="21"/>
    </w:rPr>
  </w:style>
  <w:style w:type="paragraph" w:customStyle="1" w:styleId="26">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列出段落1"/>
    <w:basedOn w:val="1"/>
    <w:autoRedefine/>
    <w:qFormat/>
    <w:uiPriority w:val="99"/>
    <w:pPr>
      <w:ind w:firstLine="420" w:firstLineChars="200"/>
    </w:pPr>
    <w:rPr>
      <w:szCs w:val="22"/>
    </w:rPr>
  </w:style>
  <w:style w:type="paragraph" w:customStyle="1" w:styleId="28">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9">
    <w:name w:val="正  文"/>
    <w:basedOn w:val="1"/>
    <w:next w:val="1"/>
    <w:autoRedefine/>
    <w:qFormat/>
    <w:uiPriority w:val="0"/>
    <w:pPr>
      <w:spacing w:line="360" w:lineRule="auto"/>
      <w:ind w:firstLine="560" w:firstLineChars="200"/>
    </w:pPr>
    <w:rPr>
      <w:rFonts w:ascii="仿宋_GB2312" w:hAnsi="仿宋_GB2312" w:cs="仿宋_GB2312"/>
      <w:sz w:val="28"/>
      <w:szCs w:val="28"/>
    </w:rPr>
  </w:style>
  <w:style w:type="paragraph" w:styleId="30">
    <w:name w:val="No Spacing"/>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标题 5（有编号）（绿盟科技）"/>
    <w:basedOn w:val="1"/>
    <w:next w:val="1"/>
    <w:autoRedefine/>
    <w:qFormat/>
    <w:uiPriority w:val="0"/>
    <w:pPr>
      <w:keepNext/>
      <w:keepLines/>
      <w:numPr>
        <w:ilvl w:val="4"/>
        <w:numId w:val="1"/>
      </w:numPr>
      <w:spacing w:before="280" w:after="156" w:line="377" w:lineRule="auto"/>
      <w:outlineLvl w:val="4"/>
    </w:pPr>
    <w:rPr>
      <w:rFonts w:ascii="Arial" w:hAnsi="Arial" w:eastAsia="黑体"/>
      <w:b/>
      <w:szCs w:val="28"/>
    </w:rPr>
  </w:style>
  <w:style w:type="character" w:customStyle="1" w:styleId="32">
    <w:name w:val="NormalCharacter"/>
    <w:autoRedefine/>
    <w:qFormat/>
    <w:uiPriority w:val="0"/>
  </w:style>
  <w:style w:type="paragraph" w:styleId="33">
    <w:name w:val="List Paragraph"/>
    <w:basedOn w:val="1"/>
    <w:autoRedefine/>
    <w:qFormat/>
    <w:uiPriority w:val="99"/>
    <w:pPr>
      <w:ind w:firstLine="420" w:firstLineChars="200"/>
    </w:pPr>
    <w:rPr>
      <w:szCs w:val="22"/>
    </w:rPr>
  </w:style>
  <w:style w:type="paragraph" w:customStyle="1" w:styleId="34">
    <w:name w:val="目录 81"/>
    <w:basedOn w:val="1"/>
    <w:next w:val="1"/>
    <w:autoRedefine/>
    <w:qFormat/>
    <w:uiPriority w:val="99"/>
    <w:pPr>
      <w:ind w:left="2940"/>
    </w:pPr>
    <w:rPr>
      <w:rFonts w:ascii="Calibri"/>
    </w:rPr>
  </w:style>
  <w:style w:type="paragraph" w:customStyle="1" w:styleId="35">
    <w:name w:val="列出段落2"/>
    <w:basedOn w:val="1"/>
    <w:autoRedefine/>
    <w:qFormat/>
    <w:uiPriority w:val="0"/>
    <w:pPr>
      <w:ind w:firstLine="420" w:firstLineChars="200"/>
    </w:pPr>
    <w:rPr>
      <w:rFonts w:ascii="Calibri" w:hAnsi="Calibri" w:eastAsia="微软雅黑"/>
      <w:szCs w:val="22"/>
    </w:rPr>
  </w:style>
  <w:style w:type="character" w:customStyle="1" w:styleId="36">
    <w:name w:val="批注框文本 Char"/>
    <w:basedOn w:val="22"/>
    <w:link w:val="14"/>
    <w:autoRedefine/>
    <w:qFormat/>
    <w:uiPriority w:val="0"/>
    <w:rPr>
      <w:kern w:val="2"/>
      <w:sz w:val="18"/>
      <w:szCs w:val="18"/>
    </w:rPr>
  </w:style>
  <w:style w:type="character" w:customStyle="1" w:styleId="37">
    <w:name w:val="正文文本缩进 Char"/>
    <w:basedOn w:val="22"/>
    <w:link w:val="9"/>
    <w:autoRedefine/>
    <w:qFormat/>
    <w:uiPriority w:val="99"/>
    <w:rPr>
      <w:kern w:val="2"/>
      <w:sz w:val="21"/>
      <w:szCs w:val="24"/>
    </w:rPr>
  </w:style>
  <w:style w:type="paragraph" w:customStyle="1" w:styleId="38">
    <w:name w:val="CM99"/>
    <w:basedOn w:val="1"/>
    <w:next w:val="1"/>
    <w:autoRedefine/>
    <w:qFormat/>
    <w:uiPriority w:val="0"/>
    <w:pPr>
      <w:autoSpaceDE w:val="0"/>
      <w:autoSpaceDN w:val="0"/>
      <w:adjustRightInd w:val="0"/>
      <w:spacing w:after="443"/>
      <w:jc w:val="left"/>
    </w:pPr>
    <w:rPr>
      <w:rFonts w:ascii="宋体"/>
      <w:kern w:val="0"/>
      <w:sz w:val="24"/>
      <w:szCs w:val="20"/>
    </w:rPr>
  </w:style>
  <w:style w:type="paragraph" w:customStyle="1" w:styleId="39">
    <w:name w:val="CM91"/>
    <w:basedOn w:val="1"/>
    <w:next w:val="1"/>
    <w:autoRedefine/>
    <w:qFormat/>
    <w:uiPriority w:val="0"/>
    <w:pPr>
      <w:autoSpaceDE w:val="0"/>
      <w:autoSpaceDN w:val="0"/>
      <w:adjustRightInd w:val="0"/>
      <w:spacing w:after="160"/>
      <w:jc w:val="left"/>
    </w:pPr>
    <w:rPr>
      <w:rFonts w:ascii="宋体"/>
      <w:kern w:val="0"/>
      <w:sz w:val="24"/>
      <w:szCs w:val="20"/>
    </w:rPr>
  </w:style>
  <w:style w:type="paragraph" w:customStyle="1" w:styleId="40">
    <w:name w:val="正文缩进1"/>
    <w:basedOn w:val="1"/>
    <w:autoRedefine/>
    <w:qFormat/>
    <w:uiPriority w:val="0"/>
    <w:pPr>
      <w:ind w:firstLine="200" w:firstLineChars="200"/>
    </w:pPr>
  </w:style>
  <w:style w:type="paragraph" w:customStyle="1" w:styleId="41">
    <w:name w:val="Normal_0_1"/>
    <w:autoRedefine/>
    <w:qFormat/>
    <w:uiPriority w:val="0"/>
    <w:rPr>
      <w:rFonts w:ascii="Times New Roman" w:hAnsi="Times New Roman" w:eastAsia="Times New Roman" w:cs="Times New Roman"/>
      <w:sz w:val="24"/>
      <w:szCs w:val="24"/>
      <w:lang w:val="en-US" w:eastAsia="zh-CN" w:bidi="ar-SA"/>
    </w:rPr>
  </w:style>
  <w:style w:type="character" w:customStyle="1" w:styleId="42">
    <w:name w:val="font21"/>
    <w:basedOn w:val="22"/>
    <w:autoRedefine/>
    <w:qFormat/>
    <w:uiPriority w:val="0"/>
    <w:rPr>
      <w:rFonts w:hint="default" w:ascii="Times New Roman" w:hAnsi="Times New Roman" w:cs="Times New Roman"/>
      <w:color w:val="000000"/>
      <w:sz w:val="18"/>
      <w:szCs w:val="18"/>
      <w:u w:val="none"/>
    </w:rPr>
  </w:style>
  <w:style w:type="character" w:customStyle="1" w:styleId="43">
    <w:name w:val="font31"/>
    <w:basedOn w:val="22"/>
    <w:autoRedefine/>
    <w:qFormat/>
    <w:uiPriority w:val="0"/>
    <w:rPr>
      <w:rFonts w:hint="eastAsia" w:ascii="宋体" w:hAnsi="宋体" w:eastAsia="宋体" w:cs="宋体"/>
      <w:color w:val="000000"/>
      <w:sz w:val="18"/>
      <w:szCs w:val="18"/>
      <w:u w:val="none"/>
    </w:rPr>
  </w:style>
  <w:style w:type="character" w:customStyle="1" w:styleId="44">
    <w:name w:val="font51"/>
    <w:basedOn w:val="22"/>
    <w:autoRedefine/>
    <w:qFormat/>
    <w:uiPriority w:val="0"/>
    <w:rPr>
      <w:rFonts w:hint="default" w:ascii="Times New Roman" w:hAnsi="Times New Roman" w:cs="Times New Roman"/>
      <w:b/>
      <w:bCs/>
      <w:color w:val="000000"/>
      <w:sz w:val="18"/>
      <w:szCs w:val="18"/>
      <w:u w:val="none"/>
    </w:rPr>
  </w:style>
  <w:style w:type="character" w:customStyle="1" w:styleId="45">
    <w:name w:val="font11"/>
    <w:basedOn w:val="22"/>
    <w:autoRedefine/>
    <w:qFormat/>
    <w:uiPriority w:val="0"/>
    <w:rPr>
      <w:rFonts w:hint="eastAsia" w:ascii="宋体" w:hAnsi="宋体" w:eastAsia="宋体" w:cs="宋体"/>
      <w:b/>
      <w:bCs/>
      <w:color w:val="000000"/>
      <w:sz w:val="18"/>
      <w:szCs w:val="18"/>
      <w:u w:val="none"/>
    </w:rPr>
  </w:style>
  <w:style w:type="paragraph" w:customStyle="1" w:styleId="46">
    <w:name w:val="Normal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DDF972-9758-498A-B060-D101D8A21E1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53</Pages>
  <Words>6680</Words>
  <Characters>7252</Characters>
  <Lines>364</Lines>
  <Paragraphs>102</Paragraphs>
  <TotalTime>2</TotalTime>
  <ScaleCrop>false</ScaleCrop>
  <LinksUpToDate>false</LinksUpToDate>
  <CharactersWithSpaces>7708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2023-04-24T07:23:00Z</dcterms:created>
  <dc:creator>第二陌</dc:creator>
  <cp:lastModifiedBy>湖南同创工程项目管理有限公司</cp:lastModifiedBy>
  <cp:lastPrinted>2026-07-06T07:48:00Z</cp:lastPrinted>
  <dcterms:modified xsi:type="dcterms:W3CDTF">2026-10-26T06:20:09Z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4BD0F84C3B9844379C2DE7FC6B2F9BAE_13</vt:lpwstr>
  </property>
  <property fmtid="{D5CDD505-2E9C-101B-9397-08002B2CF9AE}" pid="4" name="KSOTemplateDocerSaveRecord">
    <vt:lpwstr>eyJoZGlkIjoiZWVhZDc1OGM5M2RhYjMzNzZlMjA2NDZlYTAyOGZkMGIiLCJ1c2VySWQiOiIzODMxNzIwNDMifQ==</vt:lpwstr>
  </property>
</Properties>
</file>