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08FDE">
      <w:pPr>
        <w:pStyle w:val="23"/>
        <w:jc w:val="both"/>
        <w:rPr>
          <w:rFonts w:hint="default" w:ascii="Times New Roman" w:hAnsi="Times New Roman" w:eastAsia="隶书" w:cs="Times New Roman"/>
          <w:color w:val="000000" w:themeColor="text1"/>
          <w:sz w:val="84"/>
          <w:szCs w:val="84"/>
          <w:highlight w:val="none"/>
          <w14:textFill>
            <w14:solidFill>
              <w14:schemeClr w14:val="tx1"/>
            </w14:solidFill>
          </w14:textFill>
        </w:rPr>
      </w:pPr>
    </w:p>
    <w:p w14:paraId="148C5474">
      <w:pPr>
        <w:rPr>
          <w:rFonts w:hint="default" w:ascii="Times New Roman" w:hAnsi="Times New Roman" w:cs="Times New Roman"/>
          <w:color w:val="000000" w:themeColor="text1"/>
          <w:highlight w:val="none"/>
          <w14:textFill>
            <w14:solidFill>
              <w14:schemeClr w14:val="tx1"/>
            </w14:solidFill>
          </w14:textFill>
        </w:rPr>
      </w:pPr>
    </w:p>
    <w:p w14:paraId="2593A561">
      <w:pPr>
        <w:pStyle w:val="23"/>
        <w:jc w:val="center"/>
        <w:rPr>
          <w:rFonts w:hint="default" w:ascii="Times New Roman" w:hAnsi="Times New Roman" w:eastAsia="隶书" w:cs="Times New Roman"/>
          <w:bCs/>
          <w:color w:val="000000" w:themeColor="text1"/>
          <w:sz w:val="84"/>
          <w:szCs w:val="84"/>
          <w:highlight w:val="none"/>
          <w14:textFill>
            <w14:solidFill>
              <w14:schemeClr w14:val="tx1"/>
            </w14:solidFill>
          </w14:textFill>
        </w:rPr>
      </w:pPr>
      <w:r>
        <w:rPr>
          <w:rFonts w:hint="default" w:ascii="Times New Roman" w:hAnsi="Times New Roman" w:eastAsia="隶书" w:cs="Times New Roman"/>
          <w:color w:val="000000" w:themeColor="text1"/>
          <w:sz w:val="84"/>
          <w:szCs w:val="84"/>
          <w:highlight w:val="none"/>
          <w14:textFill>
            <w14:solidFill>
              <w14:schemeClr w14:val="tx1"/>
            </w14:solidFill>
          </w14:textFill>
        </w:rPr>
        <w:t>政府采购</w:t>
      </w:r>
    </w:p>
    <w:p w14:paraId="08E3B04A">
      <w:pPr>
        <w:pStyle w:val="23"/>
        <w:adjustRightInd w:val="0"/>
        <w:snapToGrid w:val="0"/>
        <w:spacing w:line="360" w:lineRule="auto"/>
        <w:jc w:val="center"/>
        <w:outlineLvl w:val="0"/>
        <w:rPr>
          <w:rFonts w:hint="default" w:ascii="Times New Roman" w:hAnsi="Times New Roman" w:eastAsia="隶书" w:cs="Times New Roman"/>
          <w:color w:val="000000" w:themeColor="text1"/>
          <w:sz w:val="84"/>
          <w:szCs w:val="84"/>
          <w:highlight w:val="none"/>
          <w14:textFill>
            <w14:solidFill>
              <w14:schemeClr w14:val="tx1"/>
            </w14:solidFill>
          </w14:textFill>
        </w:rPr>
      </w:pPr>
      <w:bookmarkStart w:id="0" w:name="_Toc7788"/>
      <w:bookmarkStart w:id="1" w:name="_Toc30758"/>
      <w:bookmarkStart w:id="2" w:name="_Toc5870"/>
      <w:bookmarkStart w:id="3" w:name="_Toc10088"/>
      <w:bookmarkStart w:id="4" w:name="_Toc4386"/>
      <w:r>
        <w:rPr>
          <w:rFonts w:hint="default" w:ascii="Times New Roman" w:hAnsi="Times New Roman" w:eastAsia="隶书" w:cs="Times New Roman"/>
          <w:color w:val="000000" w:themeColor="text1"/>
          <w:sz w:val="84"/>
          <w:szCs w:val="84"/>
          <w:highlight w:val="none"/>
          <w14:textFill>
            <w14:solidFill>
              <w14:schemeClr w14:val="tx1"/>
            </w14:solidFill>
          </w14:textFill>
        </w:rPr>
        <w:t>竞争性谈判文件</w:t>
      </w:r>
      <w:bookmarkEnd w:id="0"/>
      <w:bookmarkEnd w:id="1"/>
      <w:bookmarkEnd w:id="2"/>
      <w:bookmarkEnd w:id="3"/>
      <w:bookmarkEnd w:id="4"/>
    </w:p>
    <w:p w14:paraId="7E0770C2">
      <w:pPr>
        <w:pStyle w:val="23"/>
        <w:adjustRightInd w:val="0"/>
        <w:snapToGrid w:val="0"/>
        <w:spacing w:line="360" w:lineRule="auto"/>
        <w:ind w:left="2563" w:leftChars="554" w:hanging="1400" w:hangingChars="700"/>
        <w:rPr>
          <w:rFonts w:hint="default" w:ascii="Times New Roman" w:hAnsi="Times New Roman" w:cs="Times New Roman"/>
          <w:color w:val="000000" w:themeColor="text1"/>
          <w:sz w:val="20"/>
          <w:szCs w:val="20"/>
          <w:highlight w:val="yellow"/>
          <w14:textFill>
            <w14:solidFill>
              <w14:schemeClr w14:val="tx1"/>
            </w14:solidFill>
          </w14:textFill>
        </w:rPr>
      </w:pPr>
    </w:p>
    <w:p w14:paraId="2DF5814A">
      <w:pPr>
        <w:adjustRightInd w:val="0"/>
        <w:snapToGrid w:val="0"/>
        <w:spacing w:line="360" w:lineRule="auto"/>
        <w:rPr>
          <w:rFonts w:hint="default" w:ascii="Times New Roman" w:hAnsi="Times New Roman" w:eastAsia="宋体" w:cs="Times New Roman"/>
          <w:b/>
          <w:bCs w:val="0"/>
          <w:color w:val="000000" w:themeColor="text1"/>
          <w:sz w:val="32"/>
          <w:szCs w:val="32"/>
          <w:highlight w:val="yellow"/>
          <w:lang w:val="en-US" w:eastAsia="zh-CN"/>
          <w14:textFill>
            <w14:solidFill>
              <w14:schemeClr w14:val="tx1"/>
            </w14:solidFill>
          </w14:textFill>
        </w:rPr>
      </w:pPr>
    </w:p>
    <w:p w14:paraId="4292A257">
      <w:pPr>
        <w:adjustRightInd w:val="0"/>
        <w:snapToGrid w:val="0"/>
        <w:spacing w:line="360" w:lineRule="auto"/>
        <w:ind w:left="3532" w:leftChars="504" w:hanging="2474" w:hangingChars="770"/>
        <w:rPr>
          <w:rFonts w:hint="default" w:ascii="Times New Roman" w:hAnsi="Times New Roman" w:cs="Times New Roman"/>
          <w:b/>
          <w:bCs w:val="0"/>
          <w:color w:val="000000" w:themeColor="text1"/>
          <w:sz w:val="32"/>
          <w:szCs w:val="32"/>
          <w:highlight w:val="none"/>
          <w14:textFill>
            <w14:solidFill>
              <w14:schemeClr w14:val="tx1"/>
            </w14:solidFill>
          </w14:textFill>
        </w:rPr>
      </w:pPr>
    </w:p>
    <w:p w14:paraId="409FA33F">
      <w:pPr>
        <w:pStyle w:val="23"/>
        <w:keepNext w:val="0"/>
        <w:keepLines w:val="0"/>
        <w:pageBreakBefore w:val="0"/>
        <w:widowControl w:val="0"/>
        <w:kinsoku/>
        <w:wordWrap w:val="0"/>
        <w:overflowPunct w:val="0"/>
        <w:topLinePunct/>
        <w:autoSpaceDE/>
        <w:autoSpaceDN/>
        <w:bidi w:val="0"/>
        <w:adjustRightInd/>
        <w:snapToGrid/>
        <w:spacing w:line="780" w:lineRule="exact"/>
        <w:ind w:left="2568" w:leftChars="152" w:hanging="2249" w:hangingChars="700"/>
        <w:jc w:val="left"/>
        <w:textAlignment w:val="top"/>
        <w:outlineLvl w:val="0"/>
        <w:rPr>
          <w:rFonts w:hint="default" w:ascii="Times New Roman" w:hAnsi="Times New Roman" w:eastAsia="宋体" w:cs="Times New Roman"/>
          <w:b/>
          <w:bCs/>
          <w:color w:val="000000" w:themeColor="text1"/>
          <w:sz w:val="32"/>
          <w:szCs w:val="32"/>
          <w:highlight w:val="none"/>
          <w:u w:val="single"/>
          <w:lang w:val="en-US" w:eastAsia="zh-CN"/>
          <w14:textFill>
            <w14:solidFill>
              <w14:schemeClr w14:val="tx1"/>
            </w14:solidFill>
          </w14:textFill>
        </w:rPr>
      </w:pPr>
      <w:bookmarkStart w:id="5" w:name="_Toc26705"/>
      <w:bookmarkStart w:id="6" w:name="_Toc6558"/>
      <w:bookmarkStart w:id="7" w:name="_Toc29132"/>
      <w:bookmarkStart w:id="8" w:name="_Toc13105"/>
      <w:bookmarkStart w:id="9" w:name="_Toc16123"/>
      <w:r>
        <w:rPr>
          <w:rFonts w:hint="default" w:ascii="Times New Roman" w:hAnsi="Times New Roman" w:eastAsia="宋体" w:cs="Times New Roman"/>
          <w:b/>
          <w:bCs/>
          <w:color w:val="000000" w:themeColor="text1"/>
          <w:sz w:val="32"/>
          <w:szCs w:val="32"/>
          <w:highlight w:val="none"/>
          <w14:textFill>
            <w14:solidFill>
              <w14:schemeClr w14:val="tx1"/>
            </w14:solidFill>
          </w14:textFill>
        </w:rPr>
        <w:t>采购项目名称</w:t>
      </w:r>
      <w:r>
        <w:rPr>
          <w:rFonts w:hint="default" w:ascii="Times New Roman" w:hAnsi="Times New Roman" w:eastAsia="宋体" w:cs="Times New Roman"/>
          <w:b/>
          <w:bCs/>
          <w:color w:val="000000" w:themeColor="text1"/>
          <w:sz w:val="32"/>
          <w:szCs w:val="32"/>
          <w:highlight w:val="none"/>
          <w:lang w:eastAsia="zh-CN"/>
          <w14:textFill>
            <w14:solidFill>
              <w14:schemeClr w14:val="tx1"/>
            </w14:solidFill>
          </w14:textFill>
        </w:rPr>
        <w:t>：</w:t>
      </w:r>
      <w:bookmarkEnd w:id="5"/>
      <w:bookmarkEnd w:id="6"/>
      <w:bookmarkEnd w:id="7"/>
      <w:bookmarkEnd w:id="8"/>
      <w:bookmarkEnd w:id="9"/>
      <w:r>
        <w:rPr>
          <w:rFonts w:hint="eastAsia" w:ascii="Times New Roman" w:hAnsi="Times New Roman" w:cs="Times New Roman"/>
          <w:b/>
          <w:bCs/>
          <w:color w:val="000000" w:themeColor="text1"/>
          <w:sz w:val="32"/>
          <w:szCs w:val="32"/>
          <w:highlight w:val="none"/>
          <w:u w:val="single"/>
          <w:lang w:eastAsia="zh-CN"/>
          <w14:textFill>
            <w14:solidFill>
              <w14:schemeClr w14:val="tx1"/>
            </w14:solidFill>
          </w14:textFill>
        </w:rPr>
        <w:t>机器视觉应用实训室建设项目</w:t>
      </w:r>
      <w:r>
        <w:rPr>
          <w:rFonts w:hint="default" w:ascii="Times New Roman" w:hAnsi="Times New Roman" w:eastAsia="宋体" w:cs="Times New Roman"/>
          <w:b/>
          <w:bCs/>
          <w:color w:val="000000" w:themeColor="text1"/>
          <w:sz w:val="32"/>
          <w:szCs w:val="32"/>
          <w:highlight w:val="none"/>
          <w:u w:val="single"/>
          <w:lang w:val="en-US" w:eastAsia="zh-CN"/>
          <w14:textFill>
            <w14:solidFill>
              <w14:schemeClr w14:val="tx1"/>
            </w14:solidFill>
          </w14:textFill>
        </w:rPr>
        <w:t xml:space="preserve"> </w:t>
      </w:r>
    </w:p>
    <w:p w14:paraId="46355794">
      <w:pPr>
        <w:pStyle w:val="23"/>
        <w:keepNext w:val="0"/>
        <w:keepLines w:val="0"/>
        <w:pageBreakBefore w:val="0"/>
        <w:widowControl w:val="0"/>
        <w:kinsoku/>
        <w:wordWrap w:val="0"/>
        <w:overflowPunct w:val="0"/>
        <w:topLinePunct/>
        <w:autoSpaceDE/>
        <w:autoSpaceDN/>
        <w:bidi w:val="0"/>
        <w:adjustRightInd/>
        <w:snapToGrid/>
        <w:spacing w:line="780" w:lineRule="exact"/>
        <w:ind w:firstLine="321" w:firstLineChars="100"/>
        <w:jc w:val="left"/>
        <w:textAlignment w:val="top"/>
        <w:outlineLvl w:val="0"/>
        <w:rPr>
          <w:rFonts w:hint="default" w:ascii="Times New Roman" w:hAnsi="Times New Roman" w:eastAsia="宋体" w:cs="Times New Roman"/>
          <w:b/>
          <w:bCs/>
          <w:color w:val="000000" w:themeColor="text1"/>
          <w:sz w:val="32"/>
          <w:szCs w:val="32"/>
          <w:highlight w:val="none"/>
          <w:u w:val="single"/>
          <w:lang w:val="en-US"/>
          <w14:textFill>
            <w14:solidFill>
              <w14:schemeClr w14:val="tx1"/>
            </w14:solidFill>
          </w14:textFill>
        </w:rPr>
      </w:pPr>
      <w:bookmarkStart w:id="10" w:name="_Toc25125"/>
      <w:bookmarkStart w:id="11" w:name="_Toc4129"/>
      <w:bookmarkStart w:id="12" w:name="_Toc5499"/>
      <w:bookmarkStart w:id="13" w:name="_Toc6608"/>
      <w:bookmarkStart w:id="14" w:name="_Toc32312"/>
      <w:bookmarkStart w:id="15" w:name="_Toc29668"/>
      <w:bookmarkStart w:id="16" w:name="_Toc9538"/>
      <w:bookmarkStart w:id="17" w:name="_Toc4428"/>
      <w:r>
        <w:rPr>
          <w:rFonts w:hint="default" w:ascii="Times New Roman" w:hAnsi="Times New Roman" w:eastAsia="宋体" w:cs="Times New Roman"/>
          <w:b/>
          <w:bCs/>
          <w:color w:val="000000" w:themeColor="text1"/>
          <w:sz w:val="32"/>
          <w:szCs w:val="32"/>
          <w:highlight w:val="none"/>
          <w14:textFill>
            <w14:solidFill>
              <w14:schemeClr w14:val="tx1"/>
            </w14:solidFill>
          </w14:textFill>
        </w:rPr>
        <w:t>政府采购</w:t>
      </w: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计划</w:t>
      </w:r>
      <w:r>
        <w:rPr>
          <w:rFonts w:hint="default" w:ascii="Times New Roman" w:hAnsi="Times New Roman" w:eastAsia="宋体" w:cs="Times New Roman"/>
          <w:b/>
          <w:bCs/>
          <w:color w:val="000000" w:themeColor="text1"/>
          <w:sz w:val="32"/>
          <w:szCs w:val="32"/>
          <w:highlight w:val="none"/>
          <w14:textFill>
            <w14:solidFill>
              <w14:schemeClr w14:val="tx1"/>
            </w14:solidFill>
          </w14:textFill>
        </w:rPr>
        <w:t>编号：</w:t>
      </w:r>
      <w:bookmarkEnd w:id="10"/>
      <w:bookmarkEnd w:id="11"/>
      <w:bookmarkEnd w:id="12"/>
      <w:bookmarkEnd w:id="13"/>
      <w:bookmarkEnd w:id="14"/>
      <w:bookmarkEnd w:id="15"/>
      <w:r>
        <w:rPr>
          <w:rFonts w:hint="default" w:ascii="Times New Roman" w:hAnsi="Times New Roman" w:cs="Times New Roman"/>
          <w:b/>
          <w:bCs/>
          <w:color w:val="000000" w:themeColor="text1"/>
          <w:sz w:val="32"/>
          <w:szCs w:val="32"/>
          <w:highlight w:val="none"/>
          <w:u w:val="single"/>
          <w:lang w:val="en-US" w:eastAsia="zh-CN"/>
          <w14:textFill>
            <w14:solidFill>
              <w14:schemeClr w14:val="tx1"/>
            </w14:solidFill>
          </w14:textFill>
        </w:rPr>
        <w:t xml:space="preserve"> (2026)430200000065-1  </w:t>
      </w:r>
    </w:p>
    <w:p w14:paraId="6343477A">
      <w:pPr>
        <w:pStyle w:val="23"/>
        <w:keepNext w:val="0"/>
        <w:keepLines w:val="0"/>
        <w:pageBreakBefore w:val="0"/>
        <w:widowControl w:val="0"/>
        <w:kinsoku/>
        <w:wordWrap w:val="0"/>
        <w:overflowPunct w:val="0"/>
        <w:topLinePunct/>
        <w:autoSpaceDE/>
        <w:autoSpaceDN/>
        <w:bidi w:val="0"/>
        <w:adjustRightInd/>
        <w:snapToGrid/>
        <w:spacing w:line="780" w:lineRule="exact"/>
        <w:ind w:firstLine="321" w:firstLineChars="100"/>
        <w:jc w:val="left"/>
        <w:textAlignment w:val="top"/>
        <w:outlineLvl w:val="0"/>
        <w:rPr>
          <w:rFonts w:hint="default" w:ascii="Times New Roman" w:hAnsi="Times New Roman" w:eastAsia="宋体" w:cs="Times New Roman"/>
          <w:b/>
          <w:bCs/>
          <w:color w:val="000000" w:themeColor="text1"/>
          <w:sz w:val="32"/>
          <w:szCs w:val="32"/>
          <w:highlight w:val="none"/>
          <w:u w:val="single"/>
          <w:lang w:val="en-US"/>
          <w14:textFill>
            <w14:solidFill>
              <w14:schemeClr w14:val="tx1"/>
            </w14:solidFill>
          </w14:textFill>
        </w:rPr>
      </w:pPr>
      <w:bookmarkStart w:id="18" w:name="_Toc9245"/>
      <w:bookmarkStart w:id="19" w:name="_Toc12016"/>
      <w:bookmarkStart w:id="20" w:name="_Toc30289"/>
      <w:bookmarkStart w:id="21" w:name="_Toc8042"/>
      <w:bookmarkStart w:id="22" w:name="_Toc19237"/>
      <w:r>
        <w:rPr>
          <w:rFonts w:hint="default" w:ascii="Times New Roman" w:hAnsi="Times New Roman" w:eastAsia="宋体" w:cs="Times New Roman"/>
          <w:b/>
          <w:bCs/>
          <w:color w:val="000000" w:themeColor="text1"/>
          <w:sz w:val="32"/>
          <w:szCs w:val="32"/>
          <w:highlight w:val="none"/>
          <w14:textFill>
            <w14:solidFill>
              <w14:schemeClr w14:val="tx1"/>
            </w14:solidFill>
          </w14:textFill>
        </w:rPr>
        <w:t>委托代理编号</w:t>
      </w:r>
      <w:r>
        <w:rPr>
          <w:rFonts w:hint="default" w:ascii="Times New Roman" w:hAnsi="Times New Roman" w:eastAsia="宋体" w:cs="Times New Roman"/>
          <w:b/>
          <w:bCs/>
          <w:color w:val="000000" w:themeColor="text1"/>
          <w:sz w:val="32"/>
          <w:szCs w:val="32"/>
          <w:highlight w:val="none"/>
          <w:lang w:eastAsia="zh-CN"/>
          <w14:textFill>
            <w14:solidFill>
              <w14:schemeClr w14:val="tx1"/>
            </w14:solidFill>
          </w14:textFill>
        </w:rPr>
        <w:t>：</w:t>
      </w:r>
      <w:bookmarkEnd w:id="18"/>
      <w:bookmarkEnd w:id="19"/>
      <w:bookmarkEnd w:id="20"/>
      <w:bookmarkEnd w:id="21"/>
      <w:r>
        <w:rPr>
          <w:rFonts w:hint="default" w:ascii="Times New Roman" w:hAnsi="Times New Roman" w:cs="Times New Roman"/>
          <w:b/>
          <w:bCs/>
          <w:color w:val="000000" w:themeColor="text1"/>
          <w:sz w:val="32"/>
          <w:szCs w:val="32"/>
          <w:highlight w:val="none"/>
          <w:u w:val="single"/>
          <w:lang w:eastAsia="zh-CN"/>
          <w14:textFill>
            <w14:solidFill>
              <w14:schemeClr w14:val="tx1"/>
            </w14:solidFill>
          </w14:textFill>
        </w:rPr>
        <w:t>HYZZ-CG-20260908</w:t>
      </w:r>
      <w:bookmarkEnd w:id="22"/>
      <w:r>
        <w:rPr>
          <w:rFonts w:hint="default" w:ascii="Times New Roman" w:hAnsi="Times New Roman" w:cs="Times New Roman"/>
          <w:b/>
          <w:bCs/>
          <w:color w:val="000000" w:themeColor="text1"/>
          <w:sz w:val="32"/>
          <w:szCs w:val="32"/>
          <w:highlight w:val="none"/>
          <w:u w:val="single"/>
          <w:lang w:eastAsia="zh-CN"/>
          <w14:textFill>
            <w14:solidFill>
              <w14:schemeClr w14:val="tx1"/>
            </w14:solidFill>
          </w14:textFill>
        </w:rPr>
        <w:t xml:space="preserve"> </w:t>
      </w:r>
      <w:r>
        <w:rPr>
          <w:rFonts w:hint="default" w:ascii="Times New Roman" w:hAnsi="Times New Roman" w:cs="Times New Roman"/>
          <w:b/>
          <w:bCs/>
          <w:color w:val="000000" w:themeColor="text1"/>
          <w:sz w:val="32"/>
          <w:szCs w:val="32"/>
          <w:highlight w:val="none"/>
          <w:u w:val="single"/>
          <w:lang w:val="en-US" w:eastAsia="zh-CN"/>
          <w14:textFill>
            <w14:solidFill>
              <w14:schemeClr w14:val="tx1"/>
            </w14:solidFill>
          </w14:textFill>
        </w:rPr>
        <w:t xml:space="preserve"> </w:t>
      </w:r>
    </w:p>
    <w:p w14:paraId="69FA5BE8">
      <w:pPr>
        <w:pStyle w:val="23"/>
        <w:keepNext w:val="0"/>
        <w:keepLines w:val="0"/>
        <w:pageBreakBefore w:val="0"/>
        <w:widowControl w:val="0"/>
        <w:kinsoku/>
        <w:wordWrap w:val="0"/>
        <w:overflowPunct w:val="0"/>
        <w:topLinePunct/>
        <w:autoSpaceDE/>
        <w:autoSpaceDN/>
        <w:bidi w:val="0"/>
        <w:adjustRightInd/>
        <w:snapToGrid/>
        <w:spacing w:line="780" w:lineRule="exact"/>
        <w:ind w:firstLine="321" w:firstLineChars="100"/>
        <w:jc w:val="left"/>
        <w:textAlignment w:val="top"/>
        <w:outlineLvl w:val="0"/>
        <w:rPr>
          <w:rFonts w:hint="default" w:ascii="Times New Roman" w:hAnsi="Times New Roman" w:eastAsia="宋体" w:cs="Times New Roman"/>
          <w:b/>
          <w:bCs/>
          <w:color w:val="000000" w:themeColor="text1"/>
          <w:sz w:val="32"/>
          <w:szCs w:val="32"/>
          <w:highlight w:val="none"/>
          <w:u w:val="single"/>
          <w:lang w:val="en-US" w:eastAsia="zh-CN"/>
          <w14:textFill>
            <w14:solidFill>
              <w14:schemeClr w14:val="tx1"/>
            </w14:solidFill>
          </w14:textFill>
        </w:rPr>
      </w:pPr>
      <w:bookmarkStart w:id="23" w:name="_Toc27446"/>
      <w:bookmarkStart w:id="24" w:name="_Toc22089"/>
      <w:bookmarkStart w:id="25" w:name="_Toc15995"/>
      <w:bookmarkStart w:id="26" w:name="_Toc18041"/>
      <w:r>
        <w:rPr>
          <w:rFonts w:hint="default" w:ascii="Times New Roman" w:hAnsi="Times New Roman" w:eastAsia="宋体" w:cs="Times New Roman"/>
          <w:b/>
          <w:bCs/>
          <w:color w:val="000000" w:themeColor="text1"/>
          <w:sz w:val="32"/>
          <w:szCs w:val="32"/>
          <w:highlight w:val="none"/>
          <w14:textFill>
            <w14:solidFill>
              <w14:schemeClr w14:val="tx1"/>
            </w14:solidFill>
          </w14:textFill>
        </w:rPr>
        <w:t>采   购   人：</w:t>
      </w:r>
      <w:bookmarkEnd w:id="16"/>
      <w:bookmarkEnd w:id="17"/>
      <w:bookmarkEnd w:id="23"/>
      <w:bookmarkEnd w:id="24"/>
      <w:bookmarkEnd w:id="25"/>
      <w:bookmarkEnd w:id="26"/>
      <w:r>
        <w:rPr>
          <w:rFonts w:hint="eastAsia" w:ascii="Times New Roman" w:hAnsi="Times New Roman" w:cs="Times New Roman"/>
          <w:b/>
          <w:bCs/>
          <w:color w:val="000000" w:themeColor="text1"/>
          <w:sz w:val="32"/>
          <w:szCs w:val="32"/>
          <w:highlight w:val="none"/>
          <w:u w:val="single"/>
          <w:lang w:eastAsia="zh-CN"/>
          <w14:textFill>
            <w14:solidFill>
              <w14:schemeClr w14:val="tx1"/>
            </w14:solidFill>
          </w14:textFill>
        </w:rPr>
        <w:t>湖南汽车工程职业大学</w:t>
      </w:r>
    </w:p>
    <w:p w14:paraId="3189BCB9">
      <w:pPr>
        <w:adjustRightInd w:val="0"/>
        <w:snapToGrid w:val="0"/>
        <w:spacing w:line="360" w:lineRule="auto"/>
        <w:ind w:firstLine="321" w:firstLineChars="100"/>
        <w:rPr>
          <w:rFonts w:hint="default" w:ascii="Times New Roman" w:hAnsi="Times New Roman" w:cs="Times New Roman"/>
          <w:color w:val="000000" w:themeColor="text1"/>
          <w:sz w:val="32"/>
          <w:szCs w:val="32"/>
          <w:highlight w:val="none"/>
          <w14:textFill>
            <w14:solidFill>
              <w14:schemeClr w14:val="tx1"/>
            </w14:solidFill>
          </w14:textFill>
        </w:rPr>
      </w:pPr>
      <w:bookmarkStart w:id="27" w:name="_Toc18903"/>
      <w:r>
        <w:rPr>
          <w:rFonts w:hint="default" w:ascii="Times New Roman" w:hAnsi="Times New Roman" w:eastAsia="宋体" w:cs="Times New Roman"/>
          <w:b/>
          <w:bCs/>
          <w:color w:val="000000" w:themeColor="text1"/>
          <w:sz w:val="32"/>
          <w:szCs w:val="32"/>
          <w:highlight w:val="none"/>
          <w14:textFill>
            <w14:solidFill>
              <w14:schemeClr w14:val="tx1"/>
            </w14:solidFill>
          </w14:textFill>
        </w:rPr>
        <w:t>采购代理机构</w:t>
      </w:r>
      <w:r>
        <w:rPr>
          <w:rFonts w:hint="default" w:ascii="Times New Roman" w:hAnsi="Times New Roman" w:eastAsia="宋体"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32"/>
          <w:szCs w:val="32"/>
          <w:highlight w:val="none"/>
          <w:u w:val="single"/>
          <w:lang w:val="en-US" w:eastAsia="zh-CN"/>
          <w14:textFill>
            <w14:solidFill>
              <w14:schemeClr w14:val="tx1"/>
            </w14:solidFill>
          </w14:textFill>
        </w:rPr>
        <w:t>湖南宏源中柱工程项目管理有限公司</w:t>
      </w:r>
      <w:bookmarkEnd w:id="27"/>
    </w:p>
    <w:p w14:paraId="092109A0">
      <w:pPr>
        <w:pStyle w:val="23"/>
        <w:adjustRightInd w:val="0"/>
        <w:snapToGrid w:val="0"/>
        <w:spacing w:line="360" w:lineRule="auto"/>
        <w:ind w:left="645" w:leftChars="307"/>
        <w:jc w:val="center"/>
        <w:rPr>
          <w:rFonts w:hint="default" w:ascii="Times New Roman" w:hAnsi="Times New Roman" w:cs="Times New Roman"/>
          <w:b/>
          <w:color w:val="000000" w:themeColor="text1"/>
          <w:sz w:val="32"/>
          <w:szCs w:val="32"/>
          <w:highlight w:val="none"/>
          <w14:textFill>
            <w14:solidFill>
              <w14:schemeClr w14:val="tx1"/>
            </w14:solidFill>
          </w14:textFill>
        </w:rPr>
      </w:pPr>
    </w:p>
    <w:p w14:paraId="537B15E2">
      <w:pPr>
        <w:pStyle w:val="23"/>
        <w:adjustRightInd w:val="0"/>
        <w:snapToGrid w:val="0"/>
        <w:spacing w:line="360" w:lineRule="auto"/>
        <w:jc w:val="both"/>
        <w:rPr>
          <w:rFonts w:hint="default" w:ascii="Times New Roman" w:hAnsi="Times New Roman" w:eastAsia="仿宋_GB2312" w:cs="Times New Roman"/>
          <w:b/>
          <w:color w:val="000000" w:themeColor="text1"/>
          <w:sz w:val="32"/>
          <w:highlight w:val="none"/>
          <w14:textFill>
            <w14:solidFill>
              <w14:schemeClr w14:val="tx1"/>
            </w14:solidFill>
          </w14:textFill>
        </w:rPr>
      </w:pPr>
    </w:p>
    <w:p w14:paraId="589AB515">
      <w:pPr>
        <w:pStyle w:val="23"/>
        <w:adjustRightInd w:val="0"/>
        <w:snapToGrid w:val="0"/>
        <w:spacing w:line="360" w:lineRule="auto"/>
        <w:jc w:val="both"/>
        <w:rPr>
          <w:rFonts w:hint="default" w:ascii="Times New Roman" w:hAnsi="Times New Roman" w:eastAsia="仿宋_GB2312" w:cs="Times New Roman"/>
          <w:b/>
          <w:color w:val="000000" w:themeColor="text1"/>
          <w:sz w:val="32"/>
          <w:highlight w:val="none"/>
          <w14:textFill>
            <w14:solidFill>
              <w14:schemeClr w14:val="tx1"/>
            </w14:solidFill>
          </w14:textFill>
        </w:rPr>
      </w:pPr>
    </w:p>
    <w:p w14:paraId="1CE1A2A1">
      <w:pPr>
        <w:pStyle w:val="23"/>
        <w:adjustRightInd w:val="0"/>
        <w:snapToGrid w:val="0"/>
        <w:spacing w:line="360" w:lineRule="auto"/>
        <w:jc w:val="center"/>
        <w:rPr>
          <w:rFonts w:hint="default" w:ascii="Times New Roman" w:hAnsi="Times New Roman" w:cs="Times New Roman"/>
          <w:b/>
          <w:color w:val="000000" w:themeColor="text1"/>
          <w:sz w:val="32"/>
          <w:highlight w:val="none"/>
          <w14:textFill>
            <w14:solidFill>
              <w14:schemeClr w14:val="tx1"/>
            </w14:solidFill>
          </w14:textFill>
        </w:rPr>
      </w:pPr>
      <w:r>
        <w:rPr>
          <w:rFonts w:hint="default" w:ascii="Times New Roman" w:hAnsi="Times New Roman" w:cs="Times New Roman"/>
          <w:b/>
          <w:color w:val="000000" w:themeColor="text1"/>
          <w:sz w:val="32"/>
          <w:highlight w:val="none"/>
          <w:lang w:val="en-US" w:eastAsia="zh-CN"/>
          <w14:textFill>
            <w14:solidFill>
              <w14:schemeClr w14:val="tx1"/>
            </w14:solidFill>
          </w14:textFill>
        </w:rPr>
        <w:t>2026</w:t>
      </w:r>
      <w:r>
        <w:rPr>
          <w:rFonts w:hint="default" w:ascii="Times New Roman" w:hAnsi="Times New Roman" w:cs="Times New Roman"/>
          <w:b/>
          <w:color w:val="000000" w:themeColor="text1"/>
          <w:sz w:val="32"/>
          <w:highlight w:val="none"/>
          <w14:textFill>
            <w14:solidFill>
              <w14:schemeClr w14:val="tx1"/>
            </w14:solidFill>
          </w14:textFill>
        </w:rPr>
        <w:t>年</w:t>
      </w:r>
      <w:r>
        <w:rPr>
          <w:rFonts w:hint="default" w:ascii="Times New Roman" w:hAnsi="Times New Roman" w:cs="Times New Roman"/>
          <w:b/>
          <w:color w:val="000000" w:themeColor="text1"/>
          <w:sz w:val="32"/>
          <w:highlight w:val="none"/>
          <w:lang w:val="en-US" w:eastAsia="zh-CN"/>
          <w14:textFill>
            <w14:solidFill>
              <w14:schemeClr w14:val="tx1"/>
            </w14:solidFill>
          </w14:textFill>
        </w:rPr>
        <w:t>9</w:t>
      </w:r>
      <w:r>
        <w:rPr>
          <w:rFonts w:hint="default" w:ascii="Times New Roman" w:hAnsi="Times New Roman" w:cs="Times New Roman"/>
          <w:b/>
          <w:color w:val="000000" w:themeColor="text1"/>
          <w:sz w:val="32"/>
          <w:highlight w:val="none"/>
          <w14:textFill>
            <w14:solidFill>
              <w14:schemeClr w14:val="tx1"/>
            </w14:solidFill>
          </w14:textFill>
        </w:rPr>
        <w:t>月</w:t>
      </w:r>
    </w:p>
    <w:p w14:paraId="69BA950C">
      <w:pPr>
        <w:pStyle w:val="23"/>
        <w:adjustRightInd w:val="0"/>
        <w:snapToGrid w:val="0"/>
        <w:spacing w:line="360" w:lineRule="auto"/>
        <w:jc w:val="center"/>
        <w:rPr>
          <w:rFonts w:hint="default" w:ascii="Times New Roman" w:hAnsi="Times New Roman" w:eastAsia="黑体" w:cs="Times New Roman"/>
          <w:b/>
          <w:color w:val="000000" w:themeColor="text1"/>
          <w:spacing w:val="160"/>
          <w:sz w:val="32"/>
          <w:szCs w:val="32"/>
          <w:highlight w:val="none"/>
          <w14:textFill>
            <w14:solidFill>
              <w14:schemeClr w14:val="tx1"/>
            </w14:solidFill>
          </w14:textFill>
        </w:rPr>
        <w:sectPr>
          <w:footerReference r:id="rId3" w:type="first"/>
          <w:pgSz w:w="11906" w:h="16838"/>
          <w:pgMar w:top="1417" w:right="1417" w:bottom="1474"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E06E263">
      <w:pPr>
        <w:pStyle w:val="23"/>
        <w:keepNext w:val="0"/>
        <w:keepLines w:val="0"/>
        <w:pageBreakBefore/>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b/>
          <w:color w:val="000000" w:themeColor="text1"/>
          <w:spacing w:val="160"/>
          <w:sz w:val="32"/>
          <w:szCs w:val="32"/>
          <w:highlight w:val="none"/>
          <w14:textFill>
            <w14:solidFill>
              <w14:schemeClr w14:val="tx1"/>
            </w14:solidFill>
          </w14:textFill>
        </w:rPr>
      </w:pPr>
      <w:r>
        <w:rPr>
          <w:rFonts w:hint="default" w:ascii="Times New Roman" w:hAnsi="Times New Roman" w:eastAsia="黑体" w:cs="Times New Roman"/>
          <w:b/>
          <w:color w:val="000000" w:themeColor="text1"/>
          <w:spacing w:val="160"/>
          <w:sz w:val="32"/>
          <w:szCs w:val="32"/>
          <w:highlight w:val="none"/>
          <w14:textFill>
            <w14:solidFill>
              <w14:schemeClr w14:val="tx1"/>
            </w14:solidFill>
          </w14:textFill>
        </w:rPr>
        <w:t>目录</w:t>
      </w:r>
    </w:p>
    <w:p w14:paraId="0EE67154">
      <w:pPr>
        <w:pStyle w:val="30"/>
        <w:tabs>
          <w:tab w:val="right" w:leader="dot" w:pos="9072"/>
        </w:tabs>
        <w:rPr>
          <w:rFonts w:hint="eastAsia" w:ascii="黑体" w:hAnsi="黑体" w:eastAsia="黑体" w:cs="黑体"/>
        </w:rPr>
      </w:pPr>
      <w:r>
        <w:rPr>
          <w:rFonts w:hint="default" w:ascii="Times New Roman" w:hAnsi="Times New Roman" w:cs="Times New Roman"/>
          <w:color w:val="000000" w:themeColor="text1"/>
          <w:szCs w:val="24"/>
          <w:highlight w:val="none"/>
          <w14:textFill>
            <w14:solidFill>
              <w14:schemeClr w14:val="tx1"/>
            </w14:solidFill>
          </w14:textFill>
        </w:rPr>
        <w:fldChar w:fldCharType="begin"/>
      </w:r>
      <w:r>
        <w:rPr>
          <w:rFonts w:hint="default" w:ascii="Times New Roman" w:hAnsi="Times New Roman" w:cs="Times New Roman"/>
          <w:color w:val="000000" w:themeColor="text1"/>
          <w:szCs w:val="24"/>
          <w:highlight w:val="none"/>
          <w14:textFill>
            <w14:solidFill>
              <w14:schemeClr w14:val="tx1"/>
            </w14:solidFill>
          </w14:textFill>
        </w:rPr>
        <w:instrText xml:space="preserve">TOC \o "1-2" \h \u </w:instrText>
      </w:r>
      <w:r>
        <w:rPr>
          <w:rFonts w:hint="default" w:ascii="Times New Roman" w:hAnsi="Times New Roman" w:cs="Times New Roman"/>
          <w:color w:val="000000" w:themeColor="text1"/>
          <w:szCs w:val="24"/>
          <w:highlight w:val="none"/>
          <w14:textFill>
            <w14:solidFill>
              <w14:schemeClr w14:val="tx1"/>
            </w14:solidFill>
          </w14:textFill>
        </w:rPr>
        <w:fldChar w:fldCharType="separate"/>
      </w: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_Toc10587 </w:instrText>
      </w:r>
      <w:r>
        <w:rPr>
          <w:rFonts w:hint="eastAsia" w:ascii="黑体" w:hAnsi="黑体" w:eastAsia="黑体" w:cs="黑体"/>
          <w:szCs w:val="24"/>
          <w:highlight w:val="none"/>
        </w:rPr>
        <w:fldChar w:fldCharType="separate"/>
      </w:r>
      <w:r>
        <w:rPr>
          <w:rFonts w:hint="eastAsia" w:ascii="黑体" w:hAnsi="黑体" w:eastAsia="黑体" w:cs="黑体"/>
          <w:szCs w:val="32"/>
          <w:highlight w:val="none"/>
          <w:lang w:val="en-US" w:eastAsia="zh-CN"/>
        </w:rPr>
        <w:t xml:space="preserve">第一章 </w:t>
      </w:r>
      <w:r>
        <w:rPr>
          <w:rFonts w:hint="eastAsia" w:ascii="黑体" w:hAnsi="黑体" w:eastAsia="黑体" w:cs="黑体"/>
          <w:szCs w:val="32"/>
          <w:highlight w:val="none"/>
        </w:rPr>
        <w:t>谈判邀请</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_Toc10587 \h </w:instrText>
      </w:r>
      <w:r>
        <w:rPr>
          <w:rFonts w:hint="eastAsia" w:ascii="黑体" w:hAnsi="黑体" w:eastAsia="黑体" w:cs="黑体"/>
        </w:rPr>
        <w:fldChar w:fldCharType="separate"/>
      </w:r>
      <w:r>
        <w:rPr>
          <w:rFonts w:hint="eastAsia" w:ascii="黑体" w:hAnsi="黑体" w:eastAsia="黑体" w:cs="黑体"/>
        </w:rPr>
        <w:t>2</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2E65FC2F">
      <w:pPr>
        <w:pStyle w:val="30"/>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_Toc27619 </w:instrText>
      </w:r>
      <w:r>
        <w:rPr>
          <w:rFonts w:hint="eastAsia" w:ascii="黑体" w:hAnsi="黑体" w:eastAsia="黑体" w:cs="黑体"/>
          <w:szCs w:val="24"/>
          <w:highlight w:val="none"/>
        </w:rPr>
        <w:fldChar w:fldCharType="separate"/>
      </w:r>
      <w:r>
        <w:rPr>
          <w:rFonts w:hint="eastAsia" w:ascii="黑体" w:hAnsi="黑体" w:eastAsia="黑体" w:cs="黑体"/>
          <w:szCs w:val="32"/>
          <w:highlight w:val="none"/>
        </w:rPr>
        <w:t>第二章 谈判须知</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_Toc27619 \h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5611620B">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_Toc24877 </w:instrText>
      </w:r>
      <w:r>
        <w:rPr>
          <w:rFonts w:hint="eastAsia" w:ascii="黑体" w:hAnsi="黑体" w:eastAsia="黑体" w:cs="黑体"/>
          <w:szCs w:val="24"/>
          <w:highlight w:val="none"/>
        </w:rPr>
        <w:fldChar w:fldCharType="separate"/>
      </w:r>
      <w:r>
        <w:rPr>
          <w:rFonts w:hint="eastAsia" w:ascii="黑体" w:hAnsi="黑体" w:eastAsia="黑体" w:cs="黑体"/>
          <w:szCs w:val="28"/>
          <w:highlight w:val="none"/>
        </w:rPr>
        <w:t>第一节 谈判须知前附表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_Toc24877 \h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449F4A28">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_Toc16411 </w:instrText>
      </w:r>
      <w:r>
        <w:rPr>
          <w:rFonts w:hint="eastAsia" w:ascii="黑体" w:hAnsi="黑体" w:eastAsia="黑体" w:cs="黑体"/>
          <w:szCs w:val="24"/>
          <w:highlight w:val="none"/>
        </w:rPr>
        <w:fldChar w:fldCharType="separate"/>
      </w:r>
      <w:r>
        <w:rPr>
          <w:rFonts w:hint="eastAsia" w:ascii="黑体" w:hAnsi="黑体" w:eastAsia="黑体" w:cs="黑体"/>
          <w:bCs/>
          <w:szCs w:val="32"/>
          <w:highlight w:val="none"/>
        </w:rPr>
        <w:t>第二节 谈判须知正文</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_Toc16411 \h </w:instrText>
      </w:r>
      <w:r>
        <w:rPr>
          <w:rFonts w:hint="eastAsia" w:ascii="黑体" w:hAnsi="黑体" w:eastAsia="黑体" w:cs="黑体"/>
        </w:rPr>
        <w:fldChar w:fldCharType="separate"/>
      </w:r>
      <w:r>
        <w:rPr>
          <w:rFonts w:hint="eastAsia" w:ascii="黑体" w:hAnsi="黑体" w:eastAsia="黑体" w:cs="黑体"/>
        </w:rPr>
        <w:t>18</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73A555A5">
      <w:pPr>
        <w:pStyle w:val="30"/>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_Toc1183 </w:instrText>
      </w:r>
      <w:r>
        <w:rPr>
          <w:rFonts w:hint="eastAsia" w:ascii="黑体" w:hAnsi="黑体" w:eastAsia="黑体" w:cs="黑体"/>
          <w:szCs w:val="24"/>
          <w:highlight w:val="none"/>
        </w:rPr>
        <w:fldChar w:fldCharType="separate"/>
      </w:r>
      <w:r>
        <w:rPr>
          <w:rFonts w:hint="eastAsia" w:ascii="黑体" w:hAnsi="黑体" w:eastAsia="黑体" w:cs="黑体"/>
          <w:szCs w:val="32"/>
          <w:highlight w:val="none"/>
        </w:rPr>
        <w:t>第三章 采购需求</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_Toc1183 \h </w:instrText>
      </w:r>
      <w:r>
        <w:rPr>
          <w:rFonts w:hint="eastAsia" w:ascii="黑体" w:hAnsi="黑体" w:eastAsia="黑体" w:cs="黑体"/>
        </w:rPr>
        <w:fldChar w:fldCharType="separate"/>
      </w:r>
      <w:r>
        <w:rPr>
          <w:rFonts w:hint="eastAsia" w:ascii="黑体" w:hAnsi="黑体" w:eastAsia="黑体" w:cs="黑体"/>
        </w:rPr>
        <w:t>32</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270C8867">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_Toc31259 </w:instrText>
      </w:r>
      <w:r>
        <w:rPr>
          <w:rFonts w:hint="eastAsia" w:ascii="黑体" w:hAnsi="黑体" w:eastAsia="黑体" w:cs="黑体"/>
          <w:szCs w:val="24"/>
          <w:highlight w:val="none"/>
        </w:rPr>
        <w:fldChar w:fldCharType="separate"/>
      </w:r>
      <w:r>
        <w:rPr>
          <w:rFonts w:hint="eastAsia" w:ascii="黑体" w:hAnsi="黑体" w:eastAsia="黑体" w:cs="黑体"/>
          <w:bCs w:val="0"/>
          <w:szCs w:val="28"/>
          <w:highlight w:val="none"/>
          <w:lang w:val="en-US" w:eastAsia="zh-CN"/>
        </w:rPr>
        <w:t>第一节 采购清单一览表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_Toc31259 \h </w:instrText>
      </w:r>
      <w:r>
        <w:rPr>
          <w:rFonts w:hint="eastAsia" w:ascii="黑体" w:hAnsi="黑体" w:eastAsia="黑体" w:cs="黑体"/>
        </w:rPr>
        <w:fldChar w:fldCharType="separate"/>
      </w:r>
      <w:r>
        <w:rPr>
          <w:rFonts w:hint="eastAsia" w:ascii="黑体" w:hAnsi="黑体" w:eastAsia="黑体" w:cs="黑体"/>
        </w:rPr>
        <w:t>32</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2FAB7387">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_Toc23483 </w:instrText>
      </w:r>
      <w:r>
        <w:rPr>
          <w:rFonts w:hint="eastAsia" w:ascii="黑体" w:hAnsi="黑体" w:eastAsia="黑体" w:cs="黑体"/>
          <w:szCs w:val="24"/>
          <w:highlight w:val="none"/>
        </w:rPr>
        <w:fldChar w:fldCharType="separate"/>
      </w:r>
      <w:r>
        <w:rPr>
          <w:rFonts w:hint="eastAsia" w:ascii="黑体" w:hAnsi="黑体" w:eastAsia="黑体" w:cs="黑体"/>
          <w:bCs w:val="0"/>
          <w:szCs w:val="28"/>
          <w:highlight w:val="none"/>
          <w:lang w:val="en-US" w:eastAsia="zh-CN"/>
        </w:rPr>
        <w:t>第二节 技术要求</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_Toc23483 \h </w:instrText>
      </w:r>
      <w:r>
        <w:rPr>
          <w:rFonts w:hint="eastAsia" w:ascii="黑体" w:hAnsi="黑体" w:eastAsia="黑体" w:cs="黑体"/>
        </w:rPr>
        <w:fldChar w:fldCharType="separate"/>
      </w:r>
      <w:r>
        <w:rPr>
          <w:rFonts w:hint="eastAsia" w:ascii="黑体" w:hAnsi="黑体" w:eastAsia="黑体" w:cs="黑体"/>
        </w:rPr>
        <w:t>33</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15F836C6">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_Toc3854 </w:instrText>
      </w:r>
      <w:r>
        <w:rPr>
          <w:rFonts w:hint="eastAsia" w:ascii="黑体" w:hAnsi="黑体" w:eastAsia="黑体" w:cs="黑体"/>
          <w:szCs w:val="24"/>
          <w:highlight w:val="none"/>
        </w:rPr>
        <w:fldChar w:fldCharType="separate"/>
      </w:r>
      <w:r>
        <w:rPr>
          <w:rFonts w:hint="eastAsia" w:ascii="黑体" w:hAnsi="黑体" w:eastAsia="黑体" w:cs="黑体"/>
          <w:bCs w:val="0"/>
          <w:kern w:val="2"/>
          <w:szCs w:val="28"/>
          <w:highlight w:val="none"/>
          <w:lang w:val="en-US" w:eastAsia="zh-CN" w:bidi="ar-SA"/>
        </w:rPr>
        <w:t>第三节 商务要求</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_Toc3854 \h </w:instrText>
      </w:r>
      <w:r>
        <w:rPr>
          <w:rFonts w:hint="eastAsia" w:ascii="黑体" w:hAnsi="黑体" w:eastAsia="黑体" w:cs="黑体"/>
        </w:rPr>
        <w:fldChar w:fldCharType="separate"/>
      </w:r>
      <w:r>
        <w:rPr>
          <w:rFonts w:hint="eastAsia" w:ascii="黑体" w:hAnsi="黑体" w:eastAsia="黑体" w:cs="黑体"/>
        </w:rPr>
        <w:t>46</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5C38E409">
      <w:pPr>
        <w:pStyle w:val="30"/>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_Toc20786 </w:instrText>
      </w:r>
      <w:r>
        <w:rPr>
          <w:rFonts w:hint="eastAsia" w:ascii="黑体" w:hAnsi="黑体" w:eastAsia="黑体" w:cs="黑体"/>
          <w:szCs w:val="24"/>
          <w:highlight w:val="none"/>
        </w:rPr>
        <w:fldChar w:fldCharType="separate"/>
      </w:r>
      <w:r>
        <w:rPr>
          <w:rFonts w:hint="eastAsia" w:ascii="黑体" w:hAnsi="黑体" w:eastAsia="黑体" w:cs="黑体"/>
          <w:bCs/>
          <w:szCs w:val="32"/>
          <w:highlight w:val="none"/>
        </w:rPr>
        <w:t>第四章 合同草案条款</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_Toc20786 \h </w:instrText>
      </w:r>
      <w:r>
        <w:rPr>
          <w:rFonts w:hint="eastAsia" w:ascii="黑体" w:hAnsi="黑体" w:eastAsia="黑体" w:cs="黑体"/>
        </w:rPr>
        <w:fldChar w:fldCharType="separate"/>
      </w:r>
      <w:r>
        <w:rPr>
          <w:rFonts w:hint="eastAsia" w:ascii="黑体" w:hAnsi="黑体" w:eastAsia="黑体" w:cs="黑体"/>
        </w:rPr>
        <w:t>49</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1CEFCB54">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_Toc2146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第一节 合同协议书</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_Toc2146 \h </w:instrText>
      </w:r>
      <w:r>
        <w:rPr>
          <w:rFonts w:hint="eastAsia" w:ascii="黑体" w:hAnsi="黑体" w:eastAsia="黑体" w:cs="黑体"/>
        </w:rPr>
        <w:fldChar w:fldCharType="separate"/>
      </w:r>
      <w:r>
        <w:rPr>
          <w:rFonts w:hint="eastAsia" w:ascii="黑体" w:hAnsi="黑体" w:eastAsia="黑体" w:cs="黑体"/>
        </w:rPr>
        <w:t>49</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6E9B05B6">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_Toc29740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第二节 政府采购合同</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_Toc29740 \h </w:instrText>
      </w:r>
      <w:r>
        <w:rPr>
          <w:rFonts w:hint="eastAsia" w:ascii="黑体" w:hAnsi="黑体" w:eastAsia="黑体" w:cs="黑体"/>
        </w:rPr>
        <w:fldChar w:fldCharType="separate"/>
      </w:r>
      <w:r>
        <w:rPr>
          <w:rFonts w:hint="eastAsia" w:ascii="黑体" w:hAnsi="黑体" w:eastAsia="黑体" w:cs="黑体"/>
        </w:rPr>
        <w:t>52</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7ACE3562">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_Toc7729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第三节 政府采购合同专用条款</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_Toc7729 \h </w:instrText>
      </w:r>
      <w:r>
        <w:rPr>
          <w:rFonts w:hint="eastAsia" w:ascii="黑体" w:hAnsi="黑体" w:eastAsia="黑体" w:cs="黑体"/>
        </w:rPr>
        <w:fldChar w:fldCharType="separate"/>
      </w:r>
      <w:r>
        <w:rPr>
          <w:rFonts w:hint="eastAsia" w:ascii="黑体" w:hAnsi="黑体" w:eastAsia="黑体" w:cs="黑体"/>
        </w:rPr>
        <w:t>58</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306AA2F1">
      <w:pPr>
        <w:pStyle w:val="30"/>
        <w:tabs>
          <w:tab w:val="right" w:leader="dot" w:pos="9072"/>
        </w:tabs>
        <w:rPr>
          <w:rFonts w:hint="eastAsia" w:ascii="黑体" w:hAnsi="黑体" w:eastAsia="黑体" w:cs="黑体"/>
        </w:rPr>
      </w:pPr>
      <w:r>
        <w:rPr>
          <w:rFonts w:hint="eastAsia" w:ascii="黑体" w:hAnsi="黑体" w:eastAsia="黑体" w:cs="黑体"/>
          <w:bCs/>
          <w:szCs w:val="32"/>
          <w:highlight w:val="none"/>
        </w:rPr>
        <w:fldChar w:fldCharType="begin"/>
      </w:r>
      <w:r>
        <w:rPr>
          <w:rFonts w:hint="eastAsia" w:ascii="黑体" w:hAnsi="黑体" w:eastAsia="黑体" w:cs="黑体"/>
          <w:bCs/>
          <w:szCs w:val="32"/>
          <w:highlight w:val="none"/>
        </w:rPr>
        <w:instrText xml:space="preserve"> HYPERLINK \l _Toc13222 </w:instrText>
      </w:r>
      <w:r>
        <w:rPr>
          <w:rFonts w:hint="eastAsia" w:ascii="黑体" w:hAnsi="黑体" w:eastAsia="黑体" w:cs="黑体"/>
          <w:bCs/>
          <w:szCs w:val="32"/>
          <w:highlight w:val="none"/>
        </w:rPr>
        <w:fldChar w:fldCharType="separate"/>
      </w:r>
      <w:r>
        <w:rPr>
          <w:rFonts w:hint="eastAsia" w:ascii="黑体" w:hAnsi="黑体" w:eastAsia="黑体" w:cs="黑体"/>
          <w:bCs/>
          <w:szCs w:val="32"/>
          <w:highlight w:val="none"/>
          <w:lang w:val="en-US" w:eastAsia="zh-CN"/>
        </w:rPr>
        <w:t>第五章 响应文件组成</w:t>
      </w:r>
      <w:r>
        <w:rPr>
          <w:rFonts w:hint="eastAsia" w:ascii="黑体" w:hAnsi="黑体" w:eastAsia="黑体" w:cs="黑体"/>
          <w:bCs/>
          <w:szCs w:val="32"/>
          <w:highlight w:val="none"/>
        </w:rPr>
        <w:tab/>
      </w:r>
      <w:r>
        <w:rPr>
          <w:rFonts w:hint="eastAsia" w:ascii="黑体" w:hAnsi="黑体" w:eastAsia="黑体" w:cs="黑体"/>
          <w:bCs/>
          <w:szCs w:val="32"/>
          <w:highlight w:val="none"/>
        </w:rPr>
        <w:fldChar w:fldCharType="begin"/>
      </w:r>
      <w:r>
        <w:rPr>
          <w:rFonts w:hint="eastAsia" w:ascii="黑体" w:hAnsi="黑体" w:eastAsia="黑体" w:cs="黑体"/>
          <w:bCs/>
          <w:szCs w:val="32"/>
          <w:highlight w:val="none"/>
        </w:rPr>
        <w:instrText xml:space="preserve"> PAGEREF _Toc13222 \h </w:instrText>
      </w:r>
      <w:r>
        <w:rPr>
          <w:rFonts w:hint="eastAsia" w:ascii="黑体" w:hAnsi="黑体" w:eastAsia="黑体" w:cs="黑体"/>
          <w:bCs/>
          <w:szCs w:val="32"/>
          <w:highlight w:val="none"/>
        </w:rPr>
        <w:fldChar w:fldCharType="separate"/>
      </w:r>
      <w:r>
        <w:rPr>
          <w:rFonts w:hint="eastAsia" w:ascii="黑体" w:hAnsi="黑体" w:eastAsia="黑体" w:cs="黑体"/>
          <w:bCs/>
          <w:szCs w:val="32"/>
          <w:highlight w:val="none"/>
        </w:rPr>
        <w:t>59</w:t>
      </w:r>
      <w:r>
        <w:rPr>
          <w:rFonts w:hint="eastAsia" w:ascii="黑体" w:hAnsi="黑体" w:eastAsia="黑体" w:cs="黑体"/>
          <w:bCs/>
          <w:szCs w:val="32"/>
          <w:highlight w:val="none"/>
        </w:rPr>
        <w:fldChar w:fldCharType="end"/>
      </w:r>
      <w:r>
        <w:rPr>
          <w:rFonts w:hint="eastAsia" w:ascii="黑体" w:hAnsi="黑体" w:eastAsia="黑体" w:cs="黑体"/>
          <w:bCs/>
          <w:szCs w:val="32"/>
          <w:highlight w:val="none"/>
        </w:rPr>
        <w:fldChar w:fldCharType="end"/>
      </w:r>
    </w:p>
    <w:p w14:paraId="61C95975">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_Toc12741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rPr>
        <w:t>一、报价表及报价文件(格式)</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_Toc12741 \h </w:instrText>
      </w:r>
      <w:r>
        <w:rPr>
          <w:rFonts w:hint="eastAsia" w:ascii="黑体" w:hAnsi="黑体" w:eastAsia="黑体" w:cs="黑体"/>
        </w:rPr>
        <w:fldChar w:fldCharType="separate"/>
      </w:r>
      <w:r>
        <w:rPr>
          <w:rFonts w:hint="eastAsia" w:ascii="黑体" w:hAnsi="黑体" w:eastAsia="黑体" w:cs="黑体"/>
        </w:rPr>
        <w:t>62</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2508D0C6">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_Toc15234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rPr>
        <w:t>二、谈判响应声明(格式)</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_Toc15234 \h </w:instrText>
      </w:r>
      <w:r>
        <w:rPr>
          <w:rFonts w:hint="eastAsia" w:ascii="黑体" w:hAnsi="黑体" w:eastAsia="黑体" w:cs="黑体"/>
        </w:rPr>
        <w:fldChar w:fldCharType="separate"/>
      </w:r>
      <w:r>
        <w:rPr>
          <w:rFonts w:hint="eastAsia" w:ascii="黑体" w:hAnsi="黑体" w:eastAsia="黑体" w:cs="黑体"/>
        </w:rPr>
        <w:t>64</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6C9CA8F4">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_Toc22169 </w:instrText>
      </w:r>
      <w:r>
        <w:rPr>
          <w:rFonts w:hint="eastAsia" w:ascii="黑体" w:hAnsi="黑体" w:eastAsia="黑体" w:cs="黑体"/>
          <w:szCs w:val="24"/>
          <w:highlight w:val="none"/>
        </w:rPr>
        <w:fldChar w:fldCharType="separate"/>
      </w:r>
      <w:r>
        <w:rPr>
          <w:rFonts w:hint="eastAsia" w:ascii="黑体" w:hAnsi="黑体" w:eastAsia="黑体" w:cs="黑体"/>
          <w:bCs/>
          <w:szCs w:val="28"/>
        </w:rPr>
        <w:t xml:space="preserve">三、 </w:t>
      </w:r>
      <w:r>
        <w:rPr>
          <w:rFonts w:hint="eastAsia" w:ascii="黑体" w:hAnsi="黑体" w:eastAsia="黑体" w:cs="黑体"/>
          <w:bCs/>
          <w:szCs w:val="28"/>
          <w:highlight w:val="none"/>
        </w:rPr>
        <w:t>保证金</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_Toc22169 \h </w:instrText>
      </w:r>
      <w:r>
        <w:rPr>
          <w:rFonts w:hint="eastAsia" w:ascii="黑体" w:hAnsi="黑体" w:eastAsia="黑体" w:cs="黑体"/>
        </w:rPr>
        <w:fldChar w:fldCharType="separate"/>
      </w:r>
      <w:r>
        <w:rPr>
          <w:rFonts w:hint="eastAsia" w:ascii="黑体" w:hAnsi="黑体" w:eastAsia="黑体" w:cs="黑体"/>
        </w:rPr>
        <w:t>65</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28696003">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_Toc26355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lang w:val="en-US" w:eastAsia="zh-CN"/>
        </w:rPr>
        <w:t>四、</w:t>
      </w:r>
      <w:r>
        <w:rPr>
          <w:rFonts w:hint="eastAsia" w:ascii="黑体" w:hAnsi="黑体" w:eastAsia="黑体" w:cs="黑体"/>
          <w:bCs/>
          <w:szCs w:val="28"/>
          <w:highlight w:val="none"/>
        </w:rPr>
        <w:t>授权委托书(委托代理人参加</w:t>
      </w:r>
      <w:r>
        <w:rPr>
          <w:rFonts w:hint="eastAsia" w:ascii="黑体" w:hAnsi="黑体" w:eastAsia="黑体" w:cs="黑体"/>
          <w:bCs/>
          <w:szCs w:val="28"/>
          <w:highlight w:val="none"/>
          <w:lang w:val="en-US" w:eastAsia="zh-CN"/>
        </w:rPr>
        <w:t>谈判</w:t>
      </w:r>
      <w:r>
        <w:rPr>
          <w:rFonts w:hint="eastAsia" w:ascii="黑体" w:hAnsi="黑体" w:eastAsia="黑体" w:cs="黑体"/>
          <w:bCs/>
          <w:szCs w:val="28"/>
          <w:highlight w:val="none"/>
        </w:rPr>
        <w:t>)</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_Toc26355 \h </w:instrText>
      </w:r>
      <w:r>
        <w:rPr>
          <w:rFonts w:hint="eastAsia" w:ascii="黑体" w:hAnsi="黑体" w:eastAsia="黑体" w:cs="黑体"/>
        </w:rPr>
        <w:fldChar w:fldCharType="separate"/>
      </w:r>
      <w:r>
        <w:rPr>
          <w:rFonts w:hint="eastAsia" w:ascii="黑体" w:hAnsi="黑体" w:eastAsia="黑体" w:cs="黑体"/>
        </w:rPr>
        <w:t>67</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4D3CE20D">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_Toc15296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rPr>
        <w:t>五、供应商资格审查材料</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_Toc15296 \h </w:instrText>
      </w:r>
      <w:r>
        <w:rPr>
          <w:rFonts w:hint="eastAsia" w:ascii="黑体" w:hAnsi="黑体" w:eastAsia="黑体" w:cs="黑体"/>
        </w:rPr>
        <w:fldChar w:fldCharType="separate"/>
      </w:r>
      <w:r>
        <w:rPr>
          <w:rFonts w:hint="eastAsia" w:ascii="黑体" w:hAnsi="黑体" w:eastAsia="黑体" w:cs="黑体"/>
        </w:rPr>
        <w:t>68</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4994C9C6">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_Toc19130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六、采购需求的响应</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_Toc19130 \h </w:instrText>
      </w:r>
      <w:r>
        <w:rPr>
          <w:rFonts w:hint="eastAsia" w:ascii="黑体" w:hAnsi="黑体" w:eastAsia="黑体" w:cs="黑体"/>
        </w:rPr>
        <w:fldChar w:fldCharType="separate"/>
      </w:r>
      <w:r>
        <w:rPr>
          <w:rFonts w:hint="eastAsia" w:ascii="黑体" w:hAnsi="黑体" w:eastAsia="黑体" w:cs="黑体"/>
        </w:rPr>
        <w:t>69</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7CA8C931">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_Toc7389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七、合同条款偏离表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_Toc7389 \h </w:instrText>
      </w:r>
      <w:r>
        <w:rPr>
          <w:rFonts w:hint="eastAsia" w:ascii="黑体" w:hAnsi="黑体" w:eastAsia="黑体" w:cs="黑体"/>
        </w:rPr>
        <w:fldChar w:fldCharType="separate"/>
      </w:r>
      <w:r>
        <w:rPr>
          <w:rFonts w:hint="eastAsia" w:ascii="黑体" w:hAnsi="黑体" w:eastAsia="黑体" w:cs="黑体"/>
        </w:rPr>
        <w:t>70</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48B17B36">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_Toc29619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八、采购需求偏离表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_Toc29619 \h </w:instrText>
      </w:r>
      <w:r>
        <w:rPr>
          <w:rFonts w:hint="eastAsia" w:ascii="黑体" w:hAnsi="黑体" w:eastAsia="黑体" w:cs="黑体"/>
        </w:rPr>
        <w:fldChar w:fldCharType="separate"/>
      </w:r>
      <w:r>
        <w:rPr>
          <w:rFonts w:hint="eastAsia" w:ascii="黑体" w:hAnsi="黑体" w:eastAsia="黑体" w:cs="黑体"/>
        </w:rPr>
        <w:t>71</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7BC7B50D">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_Toc26657 </w:instrText>
      </w:r>
      <w:r>
        <w:rPr>
          <w:rFonts w:hint="eastAsia" w:ascii="黑体" w:hAnsi="黑体" w:eastAsia="黑体" w:cs="黑体"/>
          <w:szCs w:val="24"/>
          <w:highlight w:val="none"/>
        </w:rPr>
        <w:fldChar w:fldCharType="separate"/>
      </w:r>
      <w:r>
        <w:rPr>
          <w:rFonts w:hint="eastAsia" w:ascii="黑体" w:hAnsi="黑体" w:eastAsia="黑体" w:cs="黑体"/>
          <w:bCs/>
          <w:kern w:val="2"/>
          <w:szCs w:val="28"/>
          <w:highlight w:val="none"/>
          <w:lang w:val="en-US" w:eastAsia="zh-CN" w:bidi="ar-SA"/>
        </w:rPr>
        <w:t>九、享受政府采购政策优惠的证明资料</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_Toc26657 \h </w:instrText>
      </w:r>
      <w:r>
        <w:rPr>
          <w:rFonts w:hint="eastAsia" w:ascii="黑体" w:hAnsi="黑体" w:eastAsia="黑体" w:cs="黑体"/>
        </w:rPr>
        <w:fldChar w:fldCharType="separate"/>
      </w:r>
      <w:r>
        <w:rPr>
          <w:rFonts w:hint="eastAsia" w:ascii="黑体" w:hAnsi="黑体" w:eastAsia="黑体" w:cs="黑体"/>
        </w:rPr>
        <w:t>72</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4F992818">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_Toc15867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rPr>
        <w:t>十、响应标的符合谈判文件规定的证明文件</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_Toc15867 \h </w:instrText>
      </w:r>
      <w:r>
        <w:rPr>
          <w:rFonts w:hint="eastAsia" w:ascii="黑体" w:hAnsi="黑体" w:eastAsia="黑体" w:cs="黑体"/>
        </w:rPr>
        <w:fldChar w:fldCharType="separate"/>
      </w:r>
      <w:r>
        <w:rPr>
          <w:rFonts w:hint="eastAsia" w:ascii="黑体" w:hAnsi="黑体" w:eastAsia="黑体" w:cs="黑体"/>
        </w:rPr>
        <w:t>77</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1D76C191">
      <w:pPr>
        <w:pStyle w:val="34"/>
        <w:tabs>
          <w:tab w:val="right" w:leader="dot" w:pos="9072"/>
        </w:tabs>
        <w:rPr>
          <w:rFonts w:hint="eastAsia" w:ascii="黑体" w:hAnsi="黑体" w:eastAsia="黑体" w:cs="黑体"/>
        </w:rPr>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_Toc2354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rPr>
        <w:t>十一、供应商认为需提供的其他资料</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_Toc2354 \h </w:instrText>
      </w:r>
      <w:r>
        <w:rPr>
          <w:rFonts w:hint="eastAsia" w:ascii="黑体" w:hAnsi="黑体" w:eastAsia="黑体" w:cs="黑体"/>
        </w:rPr>
        <w:fldChar w:fldCharType="separate"/>
      </w:r>
      <w:r>
        <w:rPr>
          <w:rFonts w:hint="eastAsia" w:ascii="黑体" w:hAnsi="黑体" w:eastAsia="黑体" w:cs="黑体"/>
        </w:rPr>
        <w:t>78</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06B13886">
      <w:pPr>
        <w:pStyle w:val="34"/>
        <w:tabs>
          <w:tab w:val="right" w:leader="dot" w:pos="9072"/>
        </w:tabs>
      </w:pPr>
      <w:r>
        <w:rPr>
          <w:rFonts w:hint="eastAsia" w:ascii="黑体" w:hAnsi="黑体" w:eastAsia="黑体" w:cs="黑体"/>
          <w:color w:val="000000" w:themeColor="text1"/>
          <w:szCs w:val="24"/>
          <w:highlight w:val="none"/>
          <w14:textFill>
            <w14:solidFill>
              <w14:schemeClr w14:val="tx1"/>
            </w14:solidFill>
          </w14:textFill>
        </w:rPr>
        <w:fldChar w:fldCharType="begin"/>
      </w:r>
      <w:r>
        <w:rPr>
          <w:rFonts w:hint="eastAsia" w:ascii="黑体" w:hAnsi="黑体" w:eastAsia="黑体" w:cs="黑体"/>
          <w:szCs w:val="24"/>
          <w:highlight w:val="none"/>
        </w:rPr>
        <w:instrText xml:space="preserve"> HYPERLINK \l _Toc20142 </w:instrText>
      </w:r>
      <w:r>
        <w:rPr>
          <w:rFonts w:hint="eastAsia" w:ascii="黑体" w:hAnsi="黑体" w:eastAsia="黑体" w:cs="黑体"/>
          <w:szCs w:val="24"/>
          <w:highlight w:val="none"/>
        </w:rPr>
        <w:fldChar w:fldCharType="separate"/>
      </w:r>
      <w:r>
        <w:rPr>
          <w:rFonts w:hint="eastAsia" w:ascii="黑体" w:hAnsi="黑体" w:eastAsia="黑体" w:cs="黑体"/>
          <w:bCs/>
          <w:szCs w:val="28"/>
          <w:highlight w:val="none"/>
          <w:lang w:val="en-US" w:eastAsia="zh-CN"/>
        </w:rPr>
        <w:t>十二、最后报价表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_Toc20142 \h </w:instrText>
      </w:r>
      <w:r>
        <w:rPr>
          <w:rFonts w:hint="eastAsia" w:ascii="黑体" w:hAnsi="黑体" w:eastAsia="黑体" w:cs="黑体"/>
        </w:rPr>
        <w:fldChar w:fldCharType="separate"/>
      </w:r>
      <w:r>
        <w:rPr>
          <w:rFonts w:hint="eastAsia" w:ascii="黑体" w:hAnsi="黑体" w:eastAsia="黑体" w:cs="黑体"/>
        </w:rPr>
        <w:t>79</w:t>
      </w:r>
      <w:r>
        <w:rPr>
          <w:rFonts w:hint="eastAsia" w:ascii="黑体" w:hAnsi="黑体" w:eastAsia="黑体" w:cs="黑体"/>
        </w:rPr>
        <w:fldChar w:fldCharType="end"/>
      </w:r>
      <w:r>
        <w:rPr>
          <w:rFonts w:hint="eastAsia" w:ascii="黑体" w:hAnsi="黑体" w:eastAsia="黑体" w:cs="黑体"/>
          <w:color w:val="000000" w:themeColor="text1"/>
          <w:szCs w:val="24"/>
          <w:highlight w:val="none"/>
          <w14:textFill>
            <w14:solidFill>
              <w14:schemeClr w14:val="tx1"/>
            </w14:solidFill>
          </w14:textFill>
        </w:rPr>
        <w:fldChar w:fldCharType="end"/>
      </w:r>
    </w:p>
    <w:p w14:paraId="533EE19C">
      <w:pPr>
        <w:adjustRightInd/>
        <w:snapToGrid/>
        <w:spacing w:before="0" w:beforeLines="-2147483648" w:line="240" w:lineRule="auto"/>
        <w:jc w:val="left"/>
        <w:outlineLvl w:val="9"/>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Cs w:val="24"/>
          <w:highlight w:val="none"/>
          <w14:textFill>
            <w14:solidFill>
              <w14:schemeClr w14:val="tx1"/>
            </w14:solidFill>
          </w14:textFill>
        </w:rPr>
        <w:fldChar w:fldCharType="end"/>
      </w:r>
      <w:bookmarkStart w:id="28" w:name="_Toc17824"/>
      <w:bookmarkStart w:id="29" w:name="_Toc34637751"/>
    </w:p>
    <w:p w14:paraId="680234D9">
      <w:pP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bookmarkStart w:id="30" w:name="_Toc10587"/>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br w:type="page"/>
      </w:r>
    </w:p>
    <w:p w14:paraId="5748DB30">
      <w:pPr>
        <w:adjustRightInd w:val="0"/>
        <w:snapToGrid w:val="0"/>
        <w:spacing w:before="156" w:beforeLines="50" w:line="480" w:lineRule="auto"/>
        <w:jc w:val="center"/>
        <w:outlineLvl w:val="0"/>
        <w:rPr>
          <w:rFonts w:hint="default" w:ascii="Times New Roman" w:hAnsi="Times New Roman" w:cs="Times New Roman"/>
          <w:color w:val="000000" w:themeColor="text1"/>
          <w:szCs w:val="21"/>
          <w:highlight w:val="none"/>
          <w:u w:val="singl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 xml:space="preserve">第一章 </w:t>
      </w:r>
      <w:r>
        <w:rPr>
          <w:rFonts w:hint="default" w:ascii="Times New Roman" w:hAnsi="Times New Roman" w:eastAsia="黑体" w:cs="Times New Roman"/>
          <w:color w:val="000000" w:themeColor="text1"/>
          <w:sz w:val="32"/>
          <w:szCs w:val="32"/>
          <w:highlight w:val="none"/>
          <w14:textFill>
            <w14:solidFill>
              <w14:schemeClr w14:val="tx1"/>
            </w14:solidFill>
          </w14:textFill>
        </w:rPr>
        <w:t>谈判邀请</w:t>
      </w:r>
      <w:bookmarkEnd w:id="28"/>
      <w:bookmarkEnd w:id="29"/>
      <w:bookmarkEnd w:id="30"/>
    </w:p>
    <w:p w14:paraId="3866B072">
      <w:pPr>
        <w:pageBreakBefore w:val="0"/>
        <w:kinsoku/>
        <w:wordWrap/>
        <w:overflowPunct/>
        <w:topLinePunct w:val="0"/>
        <w:bidi w:val="0"/>
        <w:adjustRightInd/>
        <w:snapToGrid/>
        <w:spacing w:line="312" w:lineRule="auto"/>
        <w:ind w:left="0" w:leftChars="0" w:right="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Cs w:val="21"/>
          <w:highlight w:val="none"/>
          <w14:textFill>
            <w14:solidFill>
              <w14:schemeClr w14:val="tx1"/>
            </w14:solidFill>
          </w14:textFill>
        </w:rPr>
        <w:t>(被邀请供应商名称)：</w:t>
      </w:r>
    </w:p>
    <w:p w14:paraId="49710825">
      <w:pPr>
        <w:pStyle w:val="43"/>
        <w:pageBreakBefore w:val="0"/>
        <w:kinsoku/>
        <w:wordWrap/>
        <w:overflowPunct/>
        <w:topLinePunct w:val="0"/>
        <w:bidi w:val="0"/>
        <w:adjustRightInd/>
        <w:snapToGrid/>
        <w:spacing w:after="0" w:line="312" w:lineRule="auto"/>
        <w:ind w:left="0" w:leftChars="0" w:right="0" w:firstLineChars="200"/>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eastAsiaTheme="minorEastAsia"/>
          <w:color w:val="000000" w:themeColor="text1"/>
          <w:kern w:val="0"/>
          <w:sz w:val="21"/>
          <w:szCs w:val="21"/>
          <w:highlight w:val="none"/>
          <w:u w:val="single"/>
          <w:lang w:val="en-US" w:eastAsia="zh-CN" w:bidi="ar-SA"/>
          <w14:textFill>
            <w14:solidFill>
              <w14:schemeClr w14:val="tx1"/>
            </w14:solidFill>
          </w14:textFill>
        </w:rPr>
        <w:t>湖南汽车工程职业大学</w:t>
      </w:r>
      <w:r>
        <w:rPr>
          <w:rFonts w:hint="default" w:ascii="Times New Roman" w:hAnsi="Times New Roman" w:cs="Times New Roman"/>
          <w:color w:val="000000" w:themeColor="text1"/>
          <w:szCs w:val="21"/>
          <w:highlight w:val="none"/>
          <w14:textFill>
            <w14:solidFill>
              <w14:schemeClr w14:val="tx1"/>
            </w14:solidFill>
          </w14:textFill>
        </w:rPr>
        <w:t>（采购人名称）的</w:t>
      </w:r>
      <w:r>
        <w:rPr>
          <w:rFonts w:hint="eastAsia" w:cs="Times New Roman"/>
          <w:color w:val="000000" w:themeColor="text1"/>
          <w:sz w:val="21"/>
          <w:szCs w:val="21"/>
          <w:highlight w:val="none"/>
          <w:u w:val="single"/>
          <w:lang w:val="en-US" w:eastAsia="zh-CN"/>
          <w14:textFill>
            <w14:solidFill>
              <w14:schemeClr w14:val="tx1"/>
            </w14:solidFill>
          </w14:textFill>
        </w:rPr>
        <w:t>机器视觉应用实训室建设项目</w:t>
      </w:r>
      <w:r>
        <w:rPr>
          <w:rFonts w:hint="default" w:ascii="Times New Roman" w:hAnsi="Times New Roman" w:cs="Times New Roman"/>
          <w:color w:val="000000" w:themeColor="text1"/>
          <w:szCs w:val="21"/>
          <w:highlight w:val="none"/>
          <w14:textFill>
            <w14:solidFill>
              <w14:schemeClr w14:val="tx1"/>
            </w14:solidFill>
          </w14:textFill>
        </w:rPr>
        <w:t>(项目名称)进行竞争性谈判采购，邀请你单位参加谈判采购活动。</w:t>
      </w:r>
    </w:p>
    <w:p w14:paraId="2ACCFDB0">
      <w:pPr>
        <w:pageBreakBefore w:val="0"/>
        <w:tabs>
          <w:tab w:val="left" w:pos="3500"/>
        </w:tabs>
        <w:kinsoku/>
        <w:wordWrap/>
        <w:overflowPunct/>
        <w:topLinePunct w:val="0"/>
        <w:autoSpaceDE/>
        <w:autoSpaceDN/>
        <w:bidi w:val="0"/>
        <w:adjustRightInd/>
        <w:snapToGrid/>
        <w:spacing w:line="312" w:lineRule="auto"/>
        <w:ind w:left="0" w:leftChars="0" w:right="0"/>
        <w:jc w:val="left"/>
        <w:textAlignment w:val="auto"/>
        <w:outlineLvl w:val="1"/>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pPr>
      <w:bookmarkStart w:id="31" w:name="_Toc13841"/>
      <w:bookmarkStart w:id="32" w:name="_Toc21101"/>
      <w:bookmarkStart w:id="33" w:name="_Toc25487"/>
      <w:bookmarkStart w:id="34" w:name="_Toc28550"/>
      <w:bookmarkStart w:id="35" w:name="_Toc30422"/>
      <w:bookmarkStart w:id="36" w:name="_Toc6583"/>
      <w:bookmarkStart w:id="37" w:name="_Toc11922"/>
      <w:bookmarkStart w:id="38" w:name="_Toc2924"/>
      <w:bookmarkStart w:id="39" w:name="_Toc11073"/>
      <w:bookmarkStart w:id="40" w:name="_Toc24246"/>
      <w:bookmarkStart w:id="41" w:name="_Toc13115"/>
      <w:bookmarkStart w:id="42" w:name="_Toc9040"/>
      <w:bookmarkStart w:id="43" w:name="_Toc4887"/>
      <w:bookmarkStart w:id="44" w:name="_Toc26764"/>
      <w:bookmarkStart w:id="45" w:name="_Toc17296"/>
      <w:bookmarkStart w:id="46" w:name="_Toc28439"/>
      <w:bookmarkStart w:id="47" w:name="_Toc32687"/>
      <w:bookmarkStart w:id="48" w:name="_Toc18771"/>
      <w:bookmarkStart w:id="49" w:name="_Toc9472"/>
      <w:bookmarkStart w:id="50" w:name="_Toc19808"/>
      <w:bookmarkStart w:id="51" w:name="_Toc7631"/>
      <w:bookmarkStart w:id="52" w:name="_Toc3930"/>
      <w:bookmarkStart w:id="53" w:name="_Toc13346"/>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一、采购项目基本信息</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FE03B44">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1、采购项目名称：</w:t>
      </w:r>
      <w:r>
        <w:rPr>
          <w:rFonts w:hint="eastAsia" w:cs="Times New Roman"/>
          <w:color w:val="000000" w:themeColor="text1"/>
          <w:sz w:val="21"/>
          <w:szCs w:val="21"/>
          <w:highlight w:val="none"/>
          <w:lang w:val="en-US" w:eastAsia="zh-CN"/>
          <w14:textFill>
            <w14:solidFill>
              <w14:schemeClr w14:val="tx1"/>
            </w14:solidFill>
          </w14:textFill>
        </w:rPr>
        <w:t>机器视觉应用实训室建设项目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p>
    <w:p w14:paraId="3946417B">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2、政府采购计划编号：(2026)430200000065-1 </w:t>
      </w:r>
    </w:p>
    <w:p w14:paraId="07F2F67C">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3、委托代理编号：</w:t>
      </w:r>
      <w:r>
        <w:rPr>
          <w:rFonts w:hint="default" w:ascii="Times New Roman" w:hAnsi="Times New Roman" w:cs="Times New Roman"/>
          <w:color w:val="000000" w:themeColor="text1"/>
          <w:sz w:val="21"/>
          <w:szCs w:val="21"/>
          <w:highlight w:val="none"/>
          <w:lang w:eastAsia="zh-CN"/>
          <w14:textFill>
            <w14:solidFill>
              <w14:schemeClr w14:val="tx1"/>
            </w14:solidFill>
          </w14:textFill>
        </w:rPr>
        <w:t xml:space="preserve">HYZZ-CG-20260908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p>
    <w:p w14:paraId="4FF1218C">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4、采购项目预算：</w:t>
      </w:r>
      <w:r>
        <w:rPr>
          <w:rFonts w:hint="eastAsia" w:cs="Times New Roman"/>
          <w:color w:val="000000" w:themeColor="text1"/>
          <w:sz w:val="21"/>
          <w:szCs w:val="21"/>
          <w:highlight w:val="none"/>
          <w:lang w:val="en-US" w:eastAsia="zh-CN"/>
          <w14:textFill>
            <w14:solidFill>
              <w14:schemeClr w14:val="tx1"/>
            </w14:solidFill>
          </w14:textFill>
        </w:rPr>
        <w:t>1400649.4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元</w:t>
      </w:r>
    </w:p>
    <w:p w14:paraId="310426ED">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792" w:firstLineChars="4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支持预付款，预付比例</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p>
    <w:p w14:paraId="0C71F6FB">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5、本项目对应的中小企业划分标准所属行业：</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工业</w:t>
      </w:r>
    </w:p>
    <w:p w14:paraId="363990C6">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6、合同定价方式：</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固定总价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固定单价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成本补偿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绩效激励</w:t>
      </w:r>
    </w:p>
    <w:p w14:paraId="680BD7F8">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cs="Times New Roman"/>
          <w:iCs/>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7、合同履行期限：</w:t>
      </w:r>
      <w:r>
        <w:rPr>
          <w:rFonts w:hint="default" w:ascii="Times New Roman" w:hAnsi="Times New Roman" w:cs="Times New Roman"/>
          <w:b/>
          <w:bCs/>
          <w:color w:val="auto"/>
          <w:szCs w:val="21"/>
          <w:highlight w:val="none"/>
          <w:lang w:eastAsia="zh-CN"/>
        </w:rPr>
        <w:t>合同签订，盖章生效后的壹个月内</w:t>
      </w:r>
      <w:r>
        <w:rPr>
          <w:rFonts w:hint="default" w:ascii="Times New Roman" w:hAnsi="Times New Roman" w:eastAsia="宋体" w:cs="Times New Roman"/>
          <w:b/>
          <w:bCs/>
          <w:iCs/>
          <w:color w:val="auto"/>
          <w:highlight w:val="none"/>
          <w:lang w:val="en-US" w:eastAsia="zh-CN"/>
        </w:rPr>
        <w:t>。</w:t>
      </w:r>
    </w:p>
    <w:p w14:paraId="240CF6BA">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8、本项目分阶段要求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提供以下保证：</w:t>
      </w:r>
    </w:p>
    <w:p w14:paraId="5684285D">
      <w:pPr>
        <w:pStyle w:val="43"/>
        <w:keepNext w:val="0"/>
        <w:keepLines w:val="0"/>
        <w:pageBreakBefore w:val="0"/>
        <w:widowControl/>
        <w:kinsoku/>
        <w:wordWrap/>
        <w:overflowPunct/>
        <w:topLinePunct w:val="0"/>
        <w:autoSpaceDE/>
        <w:autoSpaceDN/>
        <w:bidi w:val="0"/>
        <w:adjustRightInd/>
        <w:snapToGrid/>
        <w:spacing w:after="0" w:line="312" w:lineRule="auto"/>
        <w:ind w:left="0" w:leftChars="0" w:right="0" w:firstLine="792" w:firstLineChars="4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投标保证金：采购项目预算的</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 xml:space="preserve"> 1</w:t>
      </w:r>
      <w:r>
        <w:rPr>
          <w:rFonts w:hint="eastAsia" w:ascii="Times New Roman" w:hAnsi="Times New Roman" w:cs="Times New Roman"/>
          <w:color w:val="000000" w:themeColor="text1"/>
          <w:sz w:val="21"/>
          <w:szCs w:val="21"/>
          <w:highlight w:val="none"/>
          <w:u w:val="single"/>
          <w:lang w:val="en-US" w:eastAsia="zh-CN"/>
          <w14:textFill>
            <w14:solidFill>
              <w14:schemeClr w14:val="tx1"/>
            </w14:solidFill>
          </w14:textFill>
        </w:rPr>
        <w:t>.</w:t>
      </w:r>
      <w:r>
        <w:rPr>
          <w:rFonts w:hint="eastAsia" w:cs="Times New Roman"/>
          <w:color w:val="000000" w:themeColor="text1"/>
          <w:sz w:val="21"/>
          <w:szCs w:val="21"/>
          <w:highlight w:val="none"/>
          <w:u w:val="singl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4D38131D">
      <w:pPr>
        <w:pStyle w:val="43"/>
        <w:keepNext w:val="0"/>
        <w:keepLines w:val="0"/>
        <w:pageBreakBefore w:val="0"/>
        <w:kinsoku/>
        <w:wordWrap/>
        <w:overflowPunct/>
        <w:topLinePunct w:val="0"/>
        <w:autoSpaceDE/>
        <w:autoSpaceDN/>
        <w:bidi w:val="0"/>
        <w:adjustRightInd/>
        <w:snapToGrid/>
        <w:spacing w:after="0" w:line="312" w:lineRule="auto"/>
        <w:ind w:left="0" w:leftChars="0" w:firstLine="792" w:firstLineChars="4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履约保证金：中标金额的</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607EA26">
      <w:pPr>
        <w:pStyle w:val="43"/>
        <w:keepNext w:val="0"/>
        <w:keepLines w:val="0"/>
        <w:pageBreakBefore w:val="0"/>
        <w:kinsoku/>
        <w:wordWrap/>
        <w:overflowPunct/>
        <w:topLinePunct w:val="0"/>
        <w:autoSpaceDE/>
        <w:autoSpaceDN/>
        <w:bidi w:val="0"/>
        <w:adjustRightInd/>
        <w:snapToGrid/>
        <w:spacing w:after="0" w:line="312" w:lineRule="auto"/>
        <w:ind w:left="0" w:leftChars="0" w:firstLine="792" w:firstLineChars="4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预付款保证金：预付款的</w:t>
      </w:r>
      <w:r>
        <w:rPr>
          <w:rFonts w:hint="default" w:ascii="Times New Roman" w:hAnsi="Times New Roman" w:cs="Times New Roman"/>
          <w:color w:val="000000" w:themeColor="text1"/>
          <w:u w:val="single"/>
          <w:lang w:val="en-US" w:eastAsia="zh-CN"/>
          <w14:textFill>
            <w14:solidFill>
              <w14:schemeClr w14:val="tx1"/>
            </w14:solidFill>
          </w14:textFill>
        </w:rPr>
        <w:t xml:space="preserve"> </w:t>
      </w:r>
      <w:r>
        <w:rPr>
          <w:rFonts w:hint="eastAsia" w:cs="Times New Roman"/>
          <w:color w:val="000000" w:themeColor="text1"/>
          <w:u w:val="single"/>
          <w:lang w:val="en-US" w:eastAsia="zh-CN"/>
          <w14:textFill>
            <w14:solidFill>
              <w14:schemeClr w14:val="tx1"/>
            </w14:solidFill>
          </w14:textFill>
        </w:rPr>
        <w:t>/</w:t>
      </w:r>
      <w:r>
        <w:rPr>
          <w:rFonts w:hint="default" w:ascii="Times New Roman" w:hAnsi="Times New Roman" w:cs="Times New Roman"/>
          <w:color w:val="000000" w:themeColor="text1"/>
          <w:u w:val="single"/>
          <w:lang w:val="en-US" w:eastAsia="zh-CN"/>
          <w14:textFill>
            <w14:solidFill>
              <w14:schemeClr w14:val="tx1"/>
            </w14:solidFill>
          </w14:textFill>
        </w:rPr>
        <w:t xml:space="preserve"> </w:t>
      </w:r>
      <w:r>
        <w:rPr>
          <w:rFonts w:hint="default" w:ascii="Times New Roman" w:hAnsi="Times New Roman" w:cs="Times New Roman"/>
          <w:color w:val="000000" w:themeColor="text1"/>
          <w:lang w:val="en-US" w:eastAsia="zh-CN"/>
          <w14:textFill>
            <w14:solidFill>
              <w14:schemeClr w14:val="tx1"/>
            </w14:solidFill>
          </w14:textFill>
        </w:rPr>
        <w:t>%；</w:t>
      </w:r>
    </w:p>
    <w:p w14:paraId="5BF7F866">
      <w:pPr>
        <w:keepNext w:val="0"/>
        <w:keepLines w:val="0"/>
        <w:pageBreakBefore w:val="0"/>
        <w:widowControl w:val="0"/>
        <w:kinsoku/>
        <w:wordWrap/>
        <w:overflowPunct/>
        <w:topLinePunct w:val="0"/>
        <w:autoSpaceDE/>
        <w:autoSpaceDN/>
        <w:bidi w:val="0"/>
        <w:adjustRightInd/>
        <w:snapToGrid/>
        <w:spacing w:line="312" w:lineRule="auto"/>
        <w:ind w:left="0" w:leftChars="0" w:right="0" w:firstLine="792" w:firstLineChars="400"/>
        <w:textAlignment w:val="auto"/>
        <w:rPr>
          <w:rFonts w:hint="default" w:ascii="Times New Roman" w:hAnsi="Times New Roman" w:cs="Times New Roman"/>
          <w:i/>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质量保证金：合同金额的</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267C4722">
      <w:pPr>
        <w:pageBreakBefore w:val="0"/>
        <w:tabs>
          <w:tab w:val="left" w:pos="3500"/>
        </w:tabs>
        <w:kinsoku/>
        <w:wordWrap/>
        <w:overflowPunct/>
        <w:topLinePunct w:val="0"/>
        <w:autoSpaceDE/>
        <w:autoSpaceDN/>
        <w:bidi w:val="0"/>
        <w:adjustRightInd/>
        <w:snapToGrid/>
        <w:spacing w:line="312" w:lineRule="auto"/>
        <w:ind w:left="0" w:leftChars="0" w:right="0"/>
        <w:jc w:val="left"/>
        <w:textAlignment w:val="auto"/>
        <w:outlineLvl w:val="1"/>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pPr>
      <w:bookmarkStart w:id="54" w:name="_Toc29974"/>
      <w:bookmarkStart w:id="55" w:name="_Toc27483"/>
      <w:bookmarkStart w:id="56" w:name="_Toc17505"/>
      <w:bookmarkStart w:id="57" w:name="_Toc22201056"/>
      <w:bookmarkStart w:id="58" w:name="_Toc24062"/>
      <w:bookmarkStart w:id="59" w:name="_Toc8274"/>
      <w:bookmarkStart w:id="60" w:name="_Toc963"/>
      <w:bookmarkStart w:id="61" w:name="_Toc6323"/>
      <w:bookmarkStart w:id="62" w:name="_Toc31634"/>
      <w:bookmarkStart w:id="63" w:name="_Toc1690"/>
      <w:bookmarkStart w:id="64" w:name="_Toc13212"/>
      <w:bookmarkStart w:id="65" w:name="_Toc27821"/>
      <w:bookmarkStart w:id="66" w:name="_Toc24688"/>
      <w:bookmarkStart w:id="67" w:name="_Toc1498"/>
      <w:bookmarkStart w:id="68" w:name="_Toc8516"/>
      <w:bookmarkStart w:id="69" w:name="_Toc10333"/>
      <w:bookmarkStart w:id="70" w:name="_Toc29034"/>
      <w:bookmarkStart w:id="71" w:name="_Toc185"/>
      <w:bookmarkStart w:id="72" w:name="_Toc29315"/>
      <w:bookmarkStart w:id="73" w:name="_Toc15734"/>
      <w:bookmarkStart w:id="74" w:name="_Toc10278"/>
      <w:bookmarkStart w:id="75" w:name="_Toc29105"/>
      <w:bookmarkStart w:id="76" w:name="_Toc8682"/>
      <w:bookmarkStart w:id="77" w:name="_Toc23927"/>
      <w:bookmarkStart w:id="78" w:name="_Toc4768"/>
      <w:bookmarkStart w:id="79" w:name="_Toc17132"/>
      <w:bookmarkStart w:id="80" w:name="_Toc34637753"/>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二、采购需求</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tbl>
      <w:tblPr>
        <w:tblStyle w:val="44"/>
        <w:tblW w:w="5585"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5"/>
        <w:gridCol w:w="1545"/>
        <w:gridCol w:w="2028"/>
        <w:gridCol w:w="1655"/>
        <w:gridCol w:w="668"/>
        <w:gridCol w:w="1538"/>
        <w:gridCol w:w="1202"/>
        <w:gridCol w:w="1016"/>
      </w:tblGrid>
      <w:tr w14:paraId="584D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tblCellSpacing w:w="0" w:type="dxa"/>
          <w:jc w:val="center"/>
        </w:trPr>
        <w:tc>
          <w:tcPr>
            <w:tcW w:w="655" w:type="dxa"/>
            <w:tcBorders>
              <w:top w:val="single" w:color="000000" w:sz="4" w:space="0"/>
              <w:left w:val="single" w:color="000000" w:sz="4" w:space="0"/>
              <w:bottom w:val="single" w:color="000000" w:sz="4" w:space="0"/>
              <w:right w:val="single" w:color="000000" w:sz="4" w:space="0"/>
            </w:tcBorders>
            <w:noWrap/>
            <w:vAlign w:val="center"/>
          </w:tcPr>
          <w:p w14:paraId="55E12E7B">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b w:val="0"/>
                <w:bCs w:val="0"/>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包名称</w:t>
            </w:r>
          </w:p>
        </w:tc>
        <w:tc>
          <w:tcPr>
            <w:tcW w:w="1521" w:type="dxa"/>
            <w:tcBorders>
              <w:top w:val="single" w:color="000000" w:sz="4" w:space="0"/>
              <w:left w:val="single" w:color="000000" w:sz="4" w:space="0"/>
              <w:bottom w:val="single" w:color="000000" w:sz="4" w:space="0"/>
              <w:right w:val="single" w:color="000000" w:sz="4" w:space="0"/>
            </w:tcBorders>
            <w:noWrap/>
            <w:vAlign w:val="center"/>
          </w:tcPr>
          <w:p w14:paraId="578AB0AF">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b w:val="0"/>
                <w:bCs w:val="0"/>
                <w:color w:val="000000" w:themeColor="text1"/>
                <w:spacing w:val="6"/>
                <w:kern w:val="0"/>
                <w:sz w:val="21"/>
                <w:szCs w:val="21"/>
                <w:highlight w:val="none"/>
                <w:lang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t>最高限价（元</w:t>
            </w:r>
            <w:r>
              <w:rPr>
                <w:rFonts w:hint="default" w:ascii="Times New Roman" w:hAnsi="Times New Roman" w:eastAsia="宋体" w:cs="Times New Roman"/>
                <w:b w:val="0"/>
                <w:bCs w:val="0"/>
                <w:color w:val="000000" w:themeColor="text1"/>
                <w:spacing w:val="6"/>
                <w:kern w:val="0"/>
                <w:sz w:val="21"/>
                <w:szCs w:val="21"/>
                <w:highlight w:val="none"/>
                <w:lang w:eastAsia="zh-CN" w:bidi="ar"/>
                <w14:textFill>
                  <w14:solidFill>
                    <w14:schemeClr w14:val="tx1"/>
                  </w14:solidFill>
                </w14:textFill>
              </w:rPr>
              <w:t>）</w:t>
            </w:r>
          </w:p>
        </w:tc>
        <w:tc>
          <w:tcPr>
            <w:tcW w:w="1997" w:type="dxa"/>
            <w:tcBorders>
              <w:top w:val="single" w:color="000000" w:sz="4" w:space="0"/>
              <w:left w:val="single" w:color="000000" w:sz="4" w:space="0"/>
              <w:bottom w:val="single" w:color="000000" w:sz="4" w:space="0"/>
              <w:right w:val="single" w:color="000000" w:sz="4" w:space="0"/>
            </w:tcBorders>
            <w:noWrap/>
            <w:vAlign w:val="center"/>
          </w:tcPr>
          <w:p w14:paraId="5BE2895E">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t>标的名称</w:t>
            </w:r>
          </w:p>
        </w:tc>
        <w:tc>
          <w:tcPr>
            <w:tcW w:w="1629" w:type="dxa"/>
            <w:tcBorders>
              <w:top w:val="single" w:color="000000" w:sz="4" w:space="0"/>
              <w:left w:val="single" w:color="000000" w:sz="4" w:space="0"/>
              <w:bottom w:val="single" w:color="000000" w:sz="4" w:space="0"/>
              <w:right w:val="single" w:color="000000" w:sz="4" w:space="0"/>
            </w:tcBorders>
            <w:noWrap/>
            <w:vAlign w:val="center"/>
          </w:tcPr>
          <w:p w14:paraId="2BC8A8E4">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b w:val="0"/>
                <w:bCs w:val="0"/>
                <w:color w:val="000000" w:themeColor="text1"/>
                <w:spacing w:val="6"/>
                <w:kern w:val="0"/>
                <w:sz w:val="21"/>
                <w:szCs w:val="21"/>
                <w:highlight w:val="none"/>
                <w:lang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6"/>
                <w:kern w:val="0"/>
                <w:sz w:val="21"/>
                <w:szCs w:val="21"/>
                <w:highlight w:val="none"/>
                <w:lang w:eastAsia="zh-CN" w:bidi="ar"/>
                <w14:textFill>
                  <w14:solidFill>
                    <w14:schemeClr w14:val="tx1"/>
                  </w14:solidFill>
                </w14:textFill>
              </w:rPr>
              <w:t>简要技术要求</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C37AAE8">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数量</w:t>
            </w:r>
          </w:p>
        </w:tc>
        <w:tc>
          <w:tcPr>
            <w:tcW w:w="1514" w:type="dxa"/>
            <w:tcBorders>
              <w:top w:val="single" w:color="000000" w:sz="4" w:space="0"/>
              <w:left w:val="single" w:color="000000" w:sz="4" w:space="0"/>
              <w:bottom w:val="single" w:color="000000" w:sz="4" w:space="0"/>
              <w:right w:val="single" w:color="000000" w:sz="4" w:space="0"/>
            </w:tcBorders>
            <w:noWrap/>
            <w:vAlign w:val="center"/>
          </w:tcPr>
          <w:p w14:paraId="7EDC5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ind w:left="0" w:leftChars="0" w:right="0" w:firstLine="0" w:firstLineChars="0"/>
              <w:jc w:val="center"/>
              <w:textAlignment w:val="auto"/>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t>标的预算（元）</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8CC52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ind w:left="0" w:leftChars="0" w:right="0" w:firstLine="0" w:firstLineChars="0"/>
              <w:jc w:val="center"/>
              <w:textAlignment w:val="auto"/>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节能产品</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9EB8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ind w:left="0" w:leftChars="0" w:right="0" w:firstLine="0" w:firstLineChars="0"/>
              <w:jc w:val="center"/>
              <w:textAlignment w:val="auto"/>
              <w:rPr>
                <w:rFonts w:hint="default" w:ascii="Times New Roman" w:hAnsi="Times New Roman" w:eastAsia="宋体" w:cs="Times New Roman"/>
                <w:b w:val="0"/>
                <w:bCs w:val="0"/>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进口产品</w:t>
            </w:r>
          </w:p>
        </w:tc>
      </w:tr>
      <w:tr w14:paraId="6421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8" w:hRule="atLeast"/>
          <w:tblCellSpacing w:w="0" w:type="dxa"/>
          <w:jc w:val="center"/>
        </w:trPr>
        <w:tc>
          <w:tcPr>
            <w:tcW w:w="655" w:type="dxa"/>
            <w:tcBorders>
              <w:top w:val="single" w:color="000000" w:sz="4" w:space="0"/>
              <w:left w:val="single" w:color="000000" w:sz="4" w:space="0"/>
              <w:bottom w:val="single" w:color="000000" w:sz="4" w:space="0"/>
              <w:right w:val="single" w:color="000000" w:sz="4" w:space="0"/>
            </w:tcBorders>
            <w:noWrap w:val="0"/>
            <w:vAlign w:val="center"/>
          </w:tcPr>
          <w:p w14:paraId="13B45A04">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包</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1</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50E0EB48">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1400649.4</w:t>
            </w:r>
          </w:p>
        </w:tc>
        <w:tc>
          <w:tcPr>
            <w:tcW w:w="1997" w:type="dxa"/>
            <w:tcBorders>
              <w:top w:val="single" w:color="000000" w:sz="4" w:space="0"/>
              <w:left w:val="single" w:color="000000" w:sz="4" w:space="0"/>
              <w:bottom w:val="single" w:color="000000" w:sz="4" w:space="0"/>
              <w:right w:val="single" w:color="000000" w:sz="4" w:space="0"/>
            </w:tcBorders>
            <w:noWrap w:val="0"/>
            <w:vAlign w:val="center"/>
          </w:tcPr>
          <w:p w14:paraId="4DAC76E3">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机器视觉应用实训室建设项目</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27C264A0">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详见采购文件</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CD0B376">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1</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70258CEB">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1400649.4</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3EE5A783">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 xml:space="preserve">□ </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966A96">
            <w:pPr>
              <w:keepNext w:val="0"/>
              <w:keepLines w:val="0"/>
              <w:pageBreakBefore w:val="0"/>
              <w:widowControl/>
              <w:kinsoku/>
              <w:wordWrap/>
              <w:overflowPunct/>
              <w:topLinePunct w:val="0"/>
              <w:autoSpaceDE/>
              <w:autoSpaceDN/>
              <w:bidi w:val="0"/>
              <w:adjustRightInd/>
              <w:snapToGrid/>
              <w:spacing w:afterAutospacing="0" w:line="312" w:lineRule="auto"/>
              <w:ind w:left="0" w:leftChars="0" w:right="0"/>
              <w:jc w:val="center"/>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 xml:space="preserve">□ </w:t>
            </w:r>
          </w:p>
        </w:tc>
      </w:tr>
    </w:tbl>
    <w:p w14:paraId="6E9B8B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Autospacing="0" w:afterAutospacing="0" w:line="312" w:lineRule="auto"/>
        <w:ind w:left="0" w:leftChars="0" w:right="0" w:firstLine="42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说明： </w:t>
      </w:r>
    </w:p>
    <w:p w14:paraId="218C96FD">
      <w:pPr>
        <w:pStyle w:val="43"/>
        <w:pageBreakBefore w:val="0"/>
        <w:widowControl/>
        <w:numPr>
          <w:ilvl w:val="-1"/>
          <w:numId w:val="0"/>
        </w:numPr>
        <w:kinsoku/>
        <w:wordWrap/>
        <w:overflowPunct/>
        <w:topLinePunct w:val="0"/>
        <w:bidi w:val="0"/>
        <w:adjustRightInd/>
        <w:snapToGrid/>
        <w:spacing w:after="0" w:line="312" w:lineRule="auto"/>
        <w:ind w:left="0" w:leftChars="0" w:right="0" w:firstLine="630" w:firstLineChars="3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节能产品实行强制采购的，需提供国家认证机构出具的、处于有效期内的节能产品证书。</w:t>
      </w:r>
    </w:p>
    <w:p w14:paraId="5A4DCB5F">
      <w:pPr>
        <w:pStyle w:val="43"/>
        <w:pageBreakBefore w:val="0"/>
        <w:kinsoku/>
        <w:wordWrap/>
        <w:overflowPunct/>
        <w:topLinePunct w:val="0"/>
        <w:bidi w:val="0"/>
        <w:adjustRightInd/>
        <w:snapToGrid/>
        <w:spacing w:after="0" w:line="312" w:lineRule="auto"/>
        <w:ind w:left="0" w:leftChars="0" w:right="0" w:firstLine="0" w:firstLineChars="0"/>
        <w:textAlignment w:val="auto"/>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2.同意购买进口产品的，不限制满足采购需求的国内产品参与投标。 </w:t>
      </w:r>
      <w:bookmarkStart w:id="81" w:name="_Toc32485"/>
      <w:bookmarkStart w:id="82" w:name="_Toc22201057"/>
      <w:bookmarkStart w:id="83" w:name="_Toc7499"/>
      <w:bookmarkStart w:id="84" w:name="_Toc34637754"/>
    </w:p>
    <w:p w14:paraId="4F4E6110">
      <w:pPr>
        <w:pageBreakBefore w:val="0"/>
        <w:tabs>
          <w:tab w:val="left" w:pos="3500"/>
        </w:tabs>
        <w:kinsoku/>
        <w:wordWrap/>
        <w:overflowPunct/>
        <w:topLinePunct w:val="0"/>
        <w:autoSpaceDE w:val="0"/>
        <w:autoSpaceDN w:val="0"/>
        <w:bidi w:val="0"/>
        <w:adjustRightInd/>
        <w:snapToGrid/>
        <w:spacing w:line="312" w:lineRule="auto"/>
        <w:ind w:left="0" w:leftChars="0" w:right="0"/>
        <w:jc w:val="left"/>
        <w:textAlignment w:val="auto"/>
        <w:outlineLvl w:val="1"/>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pPr>
      <w:bookmarkStart w:id="85" w:name="_Toc15366"/>
      <w:bookmarkStart w:id="86" w:name="_Toc469"/>
      <w:bookmarkStart w:id="87" w:name="_Toc7799"/>
      <w:bookmarkStart w:id="88" w:name="_Toc7301"/>
      <w:bookmarkStart w:id="89" w:name="_Toc9385"/>
      <w:bookmarkStart w:id="90" w:name="_Toc2671"/>
      <w:bookmarkStart w:id="91" w:name="_Toc13308"/>
      <w:bookmarkStart w:id="92" w:name="_Toc2015"/>
      <w:bookmarkStart w:id="93" w:name="_Toc15129"/>
      <w:bookmarkStart w:id="94" w:name="_Toc28635"/>
      <w:bookmarkStart w:id="95" w:name="_Toc11378"/>
      <w:bookmarkStart w:id="96" w:name="_Toc5238"/>
      <w:bookmarkStart w:id="97" w:name="_Toc29231"/>
      <w:bookmarkStart w:id="98" w:name="_Toc14024"/>
      <w:bookmarkStart w:id="99" w:name="_Toc15157"/>
      <w:bookmarkStart w:id="100" w:name="_Toc4452"/>
      <w:bookmarkStart w:id="101" w:name="_Toc24968"/>
      <w:bookmarkStart w:id="102" w:name="_Toc26103"/>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三、采购项目需落实的政府采购政策</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1AD434EB">
      <w:pPr>
        <w:pageBreakBefore w:val="0"/>
        <w:widowControl/>
        <w:kinsoku/>
        <w:wordWrap/>
        <w:overflowPunct/>
        <w:topLinePunct w:val="0"/>
        <w:bidi w:val="0"/>
        <w:adjustRightInd/>
        <w:snapToGrid/>
        <w:spacing w:line="312" w:lineRule="auto"/>
        <w:ind w:left="0" w:leftChars="0" w:right="0" w:firstLine="444" w:firstLineChars="200"/>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1、优先采购：节能产品、环境标志产品享受加分或价格折扣。</w:t>
      </w:r>
    </w:p>
    <w:p w14:paraId="074B504B">
      <w:pPr>
        <w:pageBreakBefore w:val="0"/>
        <w:widowControl/>
        <w:kinsoku/>
        <w:wordWrap/>
        <w:overflowPunct/>
        <w:topLinePunct w:val="0"/>
        <w:bidi w:val="0"/>
        <w:adjustRightInd/>
        <w:snapToGrid/>
        <w:spacing w:line="312" w:lineRule="auto"/>
        <w:ind w:left="0" w:leftChars="0" w:right="0" w:firstLine="444" w:firstLineChars="200"/>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2、支持中小企业：中小企业享受预留采购份额或价格折扣。</w:t>
      </w:r>
    </w:p>
    <w:p w14:paraId="64A1422C">
      <w:pPr>
        <w:pageBreakBefore w:val="0"/>
        <w:tabs>
          <w:tab w:val="left" w:pos="3500"/>
        </w:tabs>
        <w:kinsoku/>
        <w:wordWrap/>
        <w:overflowPunct/>
        <w:topLinePunct w:val="0"/>
        <w:autoSpaceDE w:val="0"/>
        <w:autoSpaceDN w:val="0"/>
        <w:bidi w:val="0"/>
        <w:adjustRightInd/>
        <w:snapToGrid/>
        <w:spacing w:line="312" w:lineRule="auto"/>
        <w:ind w:left="0" w:leftChars="0" w:right="0"/>
        <w:jc w:val="left"/>
        <w:textAlignment w:val="auto"/>
        <w:outlineLvl w:val="1"/>
        <w:rPr>
          <w:rFonts w:hint="default" w:ascii="Times New Roman" w:hAnsi="Times New Roman" w:eastAsia="黑体" w:cs="Times New Roman"/>
          <w:b/>
          <w:bCs/>
          <w:color w:val="000000" w:themeColor="text1"/>
          <w:sz w:val="24"/>
          <w:szCs w:val="32"/>
          <w:highlight w:val="none"/>
          <w14:textFill>
            <w14:solidFill>
              <w14:schemeClr w14:val="tx1"/>
            </w14:solidFill>
          </w14:textFill>
        </w:rPr>
      </w:pPr>
      <w:bookmarkStart w:id="103" w:name="_Toc31876"/>
      <w:bookmarkStart w:id="104" w:name="_Toc32264"/>
      <w:bookmarkStart w:id="105" w:name="_Toc10378"/>
      <w:bookmarkStart w:id="106" w:name="_Toc12065"/>
      <w:bookmarkStart w:id="107" w:name="_Toc13735"/>
      <w:bookmarkStart w:id="108" w:name="_Toc5421"/>
      <w:bookmarkStart w:id="109" w:name="_Toc22522"/>
      <w:bookmarkStart w:id="110" w:name="_Toc21493"/>
      <w:bookmarkStart w:id="111" w:name="_Toc22691"/>
      <w:bookmarkStart w:id="112" w:name="_Toc26151"/>
      <w:bookmarkStart w:id="113" w:name="_Toc7260"/>
      <w:bookmarkStart w:id="114" w:name="_Toc30703"/>
      <w:bookmarkStart w:id="115" w:name="_Toc16056"/>
      <w:bookmarkStart w:id="116" w:name="_Toc16650"/>
      <w:bookmarkStart w:id="117" w:name="_Toc12549"/>
      <w:bookmarkStart w:id="118" w:name="_Toc10533"/>
      <w:bookmarkStart w:id="119" w:name="_Toc319"/>
      <w:bookmarkStart w:id="120" w:name="_Toc30406"/>
      <w:bookmarkStart w:id="121" w:name="_Toc3679"/>
      <w:bookmarkStart w:id="122" w:name="_Toc28471"/>
      <w:bookmarkStart w:id="123" w:name="_Toc22476"/>
      <w:bookmarkStart w:id="124" w:name="_Toc11173"/>
      <w:bookmarkStart w:id="125" w:name="_Toc26897"/>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四</w:t>
      </w:r>
      <w:r>
        <w:rPr>
          <w:rFonts w:hint="default" w:ascii="Times New Roman" w:hAnsi="Times New Roman" w:eastAsia="黑体" w:cs="Times New Roman"/>
          <w:b/>
          <w:bCs/>
          <w:color w:val="000000" w:themeColor="text1"/>
          <w:sz w:val="24"/>
          <w:szCs w:val="32"/>
          <w:highlight w:val="none"/>
          <w14:textFill>
            <w14:solidFill>
              <w14:schemeClr w14:val="tx1"/>
            </w14:solidFill>
          </w14:textFill>
        </w:rPr>
        <w:t>、供应商的资格要求</w:t>
      </w:r>
      <w:bookmarkEnd w:id="81"/>
      <w:bookmarkEnd w:id="82"/>
      <w:bookmarkEnd w:id="83"/>
      <w:bookmarkEnd w:id="84"/>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29278B33">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1、满足《中华人民共和国政府采购法》第二十二条规定。 </w:t>
      </w:r>
    </w:p>
    <w:p w14:paraId="3FB1807C">
      <w:pPr>
        <w:pStyle w:val="43"/>
        <w:pageBreakBefore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2、落实政府采购政策需满足的资格要求：</w:t>
      </w:r>
    </w:p>
    <w:p w14:paraId="2BC5FC03">
      <w:pPr>
        <w:pStyle w:val="43"/>
        <w:keepNext w:val="0"/>
        <w:keepLines w:val="0"/>
        <w:pageBreakBefore w:val="0"/>
        <w:kinsoku/>
        <w:wordWrap/>
        <w:overflowPunct/>
        <w:topLinePunct w:val="0"/>
        <w:autoSpaceDE/>
        <w:autoSpaceDN/>
        <w:bidi w:val="0"/>
        <w:adjustRightInd/>
        <w:snapToGrid/>
        <w:spacing w:after="0" w:line="312" w:lineRule="auto"/>
        <w:ind w:left="0" w:leftChars="0" w:right="0" w:firstLine="792" w:firstLineChars="4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专门面向：</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中小企业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小微企业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监狱企业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福利性单位</w:t>
      </w:r>
    </w:p>
    <w:p w14:paraId="0B930C56">
      <w:pPr>
        <w:keepNext w:val="0"/>
        <w:keepLines w:val="0"/>
        <w:pageBreakBefore w:val="0"/>
        <w:widowControl/>
        <w:kinsoku/>
        <w:wordWrap/>
        <w:overflowPunct/>
        <w:topLinePunct w:val="0"/>
        <w:autoSpaceDE/>
        <w:autoSpaceDN/>
        <w:bidi w:val="0"/>
        <w:adjustRightInd/>
        <w:snapToGrid/>
        <w:spacing w:line="312" w:lineRule="auto"/>
        <w:ind w:left="0" w:leftChars="0" w:right="0" w:firstLine="792" w:firstLineChars="4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强制分包：大型企业应将采购份额的</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分包给中小企业。</w:t>
      </w:r>
    </w:p>
    <w:p w14:paraId="40BBECA1">
      <w:pPr>
        <w:pageBreakBefore w:val="0"/>
        <w:widowControl/>
        <w:kinsoku/>
        <w:wordWrap/>
        <w:overflowPunct/>
        <w:topLinePunct w:val="0"/>
        <w:bidi w:val="0"/>
        <w:adjustRightInd/>
        <w:snapToGrid/>
        <w:spacing w:line="312" w:lineRule="auto"/>
        <w:ind w:left="0" w:leftChars="0" w:right="0" w:firstLine="42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、采购项目的特定资格条件：</w:t>
      </w:r>
    </w:p>
    <w:p w14:paraId="5BD608F4">
      <w:pPr>
        <w:pageBreakBefore w:val="0"/>
        <w:widowControl/>
        <w:numPr>
          <w:ilvl w:val="0"/>
          <w:numId w:val="0"/>
        </w:numPr>
        <w:wordWrap/>
        <w:topLinePunct w:val="0"/>
        <w:bidi w:val="0"/>
        <w:adjustRightInd/>
        <w:snapToGrid/>
        <w:spacing w:line="312" w:lineRule="auto"/>
        <w:ind w:left="0" w:firstLine="444" w:firstLineChars="200"/>
        <w:jc w:val="left"/>
        <w:textAlignment w:val="auto"/>
        <w:rPr>
          <w:rFonts w:hint="default" w:ascii="Times New Roman" w:hAnsi="Times New Roman" w:cs="Times New Roman" w:eastAsiaTheme="minorEastAsia"/>
          <w:color w:val="auto"/>
          <w:spacing w:val="6"/>
          <w:kern w:val="0"/>
          <w:sz w:val="21"/>
          <w:szCs w:val="21"/>
          <w:highlight w:val="none"/>
          <w:lang w:val="en-US" w:eastAsia="zh-CN" w:bidi="ar"/>
        </w:rPr>
      </w:pPr>
      <w:r>
        <w:rPr>
          <w:rFonts w:hint="default" w:ascii="Times New Roman" w:hAnsi="Times New Roman" w:cs="Times New Roman" w:eastAsiaTheme="minorEastAsia"/>
          <w:color w:val="auto"/>
          <w:spacing w:val="6"/>
          <w:kern w:val="0"/>
          <w:sz w:val="21"/>
          <w:szCs w:val="21"/>
          <w:highlight w:val="none"/>
          <w:lang w:val="en-US" w:eastAsia="zh-CN" w:bidi="ar"/>
        </w:rPr>
        <w:t>（1）供应商须提供</w:t>
      </w:r>
      <w:r>
        <w:rPr>
          <w:rFonts w:hint="default" w:ascii="Times New Roman" w:hAnsi="Times New Roman" w:eastAsia="宋体" w:cs="Times New Roman"/>
          <w:b w:val="0"/>
          <w:bCs w:val="0"/>
          <w:i w:val="0"/>
          <w:caps w:val="0"/>
          <w:color w:val="000000"/>
          <w:spacing w:val="6"/>
          <w:kern w:val="0"/>
          <w:sz w:val="21"/>
          <w:szCs w:val="21"/>
          <w:highlight w:val="none"/>
          <w:lang w:bidi="ar"/>
        </w:rPr>
        <w:t>中小企业声明函、</w:t>
      </w:r>
      <w:r>
        <w:rPr>
          <w:rFonts w:hint="default" w:ascii="Times New Roman" w:hAnsi="Times New Roman" w:cs="Times New Roman" w:eastAsiaTheme="minorEastAsia"/>
          <w:color w:val="auto"/>
          <w:spacing w:val="6"/>
          <w:kern w:val="0"/>
          <w:sz w:val="21"/>
          <w:szCs w:val="21"/>
          <w:highlight w:val="none"/>
          <w:lang w:val="en-US" w:eastAsia="zh-CN" w:bidi="ar"/>
        </w:rPr>
        <w:t>湖南省政府采购供应商资格承诺函，具体格式详见</w:t>
      </w:r>
      <w:r>
        <w:rPr>
          <w:rFonts w:hint="default" w:ascii="Times New Roman" w:hAnsi="Times New Roman" w:eastAsia="宋体" w:cs="Times New Roman"/>
          <w:color w:val="auto"/>
          <w:spacing w:val="6"/>
          <w:kern w:val="0"/>
          <w:sz w:val="21"/>
          <w:szCs w:val="21"/>
          <w:highlight w:val="none"/>
          <w:lang w:val="en-US" w:eastAsia="zh-CN" w:bidi="ar"/>
        </w:rPr>
        <w:t>第五章响应文件组成</w:t>
      </w:r>
      <w:r>
        <w:rPr>
          <w:rFonts w:hint="default" w:ascii="Times New Roman" w:hAnsi="Times New Roman" w:cs="Times New Roman"/>
          <w:color w:val="auto"/>
          <w:spacing w:val="6"/>
          <w:kern w:val="0"/>
          <w:sz w:val="21"/>
          <w:szCs w:val="21"/>
          <w:highlight w:val="none"/>
          <w:lang w:val="en-US" w:eastAsia="zh-CN" w:bidi="ar"/>
        </w:rPr>
        <w:t>格式</w:t>
      </w:r>
      <w:r>
        <w:rPr>
          <w:rFonts w:hint="default" w:ascii="Times New Roman" w:hAnsi="Times New Roman" w:cs="Times New Roman" w:eastAsiaTheme="minorEastAsia"/>
          <w:color w:val="auto"/>
          <w:spacing w:val="6"/>
          <w:kern w:val="0"/>
          <w:sz w:val="21"/>
          <w:szCs w:val="21"/>
          <w:highlight w:val="none"/>
          <w:lang w:val="en-US" w:eastAsia="zh-CN" w:bidi="ar"/>
        </w:rPr>
        <w:t>。（本项目所属行业为“工业”，其中</w:t>
      </w:r>
      <w:r>
        <w:rPr>
          <w:rFonts w:hint="eastAsia" w:ascii="Times New Roman" w:hAnsi="Times New Roman" w:cs="Times New Roman" w:eastAsiaTheme="minorEastAsia"/>
          <w:color w:val="auto"/>
          <w:spacing w:val="6"/>
          <w:kern w:val="0"/>
          <w:sz w:val="21"/>
          <w:szCs w:val="21"/>
          <w:highlight w:val="none"/>
          <w:lang w:val="en-US" w:eastAsia="zh-CN" w:bidi="ar"/>
        </w:rPr>
        <w:t>供应商</w:t>
      </w:r>
      <w:r>
        <w:rPr>
          <w:rFonts w:hint="default" w:ascii="Times New Roman" w:hAnsi="Times New Roman" w:cs="Times New Roman" w:eastAsiaTheme="minorEastAsia"/>
          <w:color w:val="auto"/>
          <w:spacing w:val="6"/>
          <w:kern w:val="0"/>
          <w:sz w:val="21"/>
          <w:szCs w:val="21"/>
          <w:highlight w:val="none"/>
          <w:lang w:val="en-US" w:eastAsia="zh-CN" w:bidi="ar"/>
        </w:rPr>
        <w:t>企业规模认定按照《中小企业划型标准规定》工信部联企业【2011】300号文执行）。</w:t>
      </w:r>
    </w:p>
    <w:p w14:paraId="5B2AC717">
      <w:pPr>
        <w:pageBreakBefore w:val="0"/>
        <w:widowControl/>
        <w:numPr>
          <w:ilvl w:val="0"/>
          <w:numId w:val="0"/>
        </w:numPr>
        <w:wordWrap/>
        <w:topLinePunct w:val="0"/>
        <w:bidi w:val="0"/>
        <w:adjustRightInd/>
        <w:snapToGrid/>
        <w:spacing w:line="312" w:lineRule="auto"/>
        <w:ind w:left="0" w:firstLine="444" w:firstLineChars="20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eastAsiaTheme="minorEastAsia"/>
          <w:color w:val="auto"/>
          <w:spacing w:val="6"/>
          <w:kern w:val="0"/>
          <w:sz w:val="21"/>
          <w:szCs w:val="21"/>
          <w:highlight w:val="none"/>
          <w:lang w:val="en-US" w:eastAsia="zh-CN" w:bidi="ar"/>
        </w:rPr>
        <w:t>（2）要求供应商无不良信用记录，信用信息查询的查询渠道：“信用中国”网站（www.creditchina.gov.cn）、中国政府采购网（www.ccgp.gov.cn）、对列入失信被执行人、重大税收违法案件当事人名单、采购严重违法失信行为记录名单的供应商，应当拒绝其参与采购活动</w:t>
      </w:r>
      <w:r>
        <w:rPr>
          <w:rFonts w:hint="default" w:ascii="Times New Roman" w:hAnsi="Times New Roman" w:eastAsia="宋体" w:cs="Times New Roman"/>
          <w:b w:val="0"/>
          <w:bCs w:val="0"/>
          <w:i w:val="0"/>
          <w:caps w:val="0"/>
          <w:color w:val="000000" w:themeColor="text1"/>
          <w:spacing w:val="6"/>
          <w:kern w:val="0"/>
          <w:sz w:val="21"/>
          <w:szCs w:val="21"/>
          <w:highlight w:val="none"/>
          <w:lang w:bidi="ar"/>
          <w14:textFill>
            <w14:solidFill>
              <w14:schemeClr w14:val="tx1"/>
            </w14:solidFill>
          </w14:textFill>
        </w:rPr>
        <w:t>。</w:t>
      </w:r>
    </w:p>
    <w:p w14:paraId="4539781F">
      <w:pPr>
        <w:pageBreakBefore w:val="0"/>
        <w:widowControl/>
        <w:kinsoku/>
        <w:wordWrap/>
        <w:overflowPunct/>
        <w:topLinePunct w:val="0"/>
        <w:bidi w:val="0"/>
        <w:adjustRightInd/>
        <w:snapToGrid/>
        <w:spacing w:line="312" w:lineRule="auto"/>
        <w:ind w:left="0" w:leftChars="0" w:right="0" w:firstLine="444" w:firstLineChars="200"/>
        <w:jc w:val="left"/>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4</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、单位负责人为同一人或者存在直接控股、管理关系的不同</w:t>
      </w:r>
      <w:r>
        <w:rPr>
          <w:rFonts w:hint="default" w:ascii="Times New Roman" w:hAnsi="Times New Roman" w:eastAsia="宋体" w:cs="Times New Roman"/>
          <w:color w:val="000000" w:themeColor="text1"/>
          <w:spacing w:val="6"/>
          <w:kern w:val="0"/>
          <w:sz w:val="21"/>
          <w:szCs w:val="21"/>
          <w:highlight w:val="none"/>
          <w:lang w:eastAsia="zh-CN" w:bidi="ar"/>
          <w14:textFill>
            <w14:solidFill>
              <w14:schemeClr w14:val="tx1"/>
            </w14:solidFill>
          </w14:textFill>
        </w:rPr>
        <w:t>供应商</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，不得参加同一合同项下的政府采购活动。</w:t>
      </w:r>
    </w:p>
    <w:p w14:paraId="1556DA2F">
      <w:pPr>
        <w:pageBreakBefore w:val="0"/>
        <w:widowControl/>
        <w:kinsoku/>
        <w:wordWrap/>
        <w:overflowPunct/>
        <w:topLinePunct w:val="0"/>
        <w:bidi w:val="0"/>
        <w:adjustRightInd/>
        <w:snapToGrid/>
        <w:spacing w:line="312" w:lineRule="auto"/>
        <w:ind w:left="0" w:leftChars="0" w:right="0" w:firstLine="444" w:firstLineChars="200"/>
        <w:jc w:val="left"/>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、为本采购项目提供整体设计、规范编制或者项目管理、监理、检测等服务的，不得再参加此项目的其他招标采购活动。</w:t>
      </w:r>
    </w:p>
    <w:p w14:paraId="0FD3BACB">
      <w:pPr>
        <w:pageBreakBefore w:val="0"/>
        <w:widowControl/>
        <w:kinsoku/>
        <w:wordWrap/>
        <w:overflowPunct/>
        <w:topLinePunct w:val="0"/>
        <w:bidi w:val="0"/>
        <w:adjustRightInd/>
        <w:snapToGrid/>
        <w:spacing w:line="312" w:lineRule="auto"/>
        <w:ind w:left="0" w:leftChars="0" w:right="0" w:firstLine="444" w:firstLineChars="200"/>
        <w:jc w:val="left"/>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6</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、列入失信被执行人、重大税收违法案件当事人名单，列入政府采购严重违法失信行为记录名单的，拒绝其参与政府采购活动。</w:t>
      </w:r>
    </w:p>
    <w:p w14:paraId="686A2331">
      <w:pPr>
        <w:keepNext w:val="0"/>
        <w:keepLines w:val="0"/>
        <w:pageBreakBefore w:val="0"/>
        <w:widowControl/>
        <w:kinsoku/>
        <w:wordWrap/>
        <w:overflowPunct/>
        <w:topLinePunct w:val="0"/>
        <w:autoSpaceDE/>
        <w:autoSpaceDN/>
        <w:bidi w:val="0"/>
        <w:adjustRightInd/>
        <w:snapToGrid/>
        <w:spacing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、联合体响应。本次采购</w:t>
      </w:r>
      <w:r>
        <w:rPr>
          <w:rFonts w:hint="default" w:ascii="Times New Roman" w:hAnsi="Times New Roman" w:eastAsia="宋体" w:cs="Times New Roman"/>
          <w:color w:val="000000" w:themeColor="text1"/>
          <w:spacing w:val="6"/>
          <w:kern w:val="0"/>
          <w:sz w:val="21"/>
          <w:szCs w:val="21"/>
          <w:highlight w:val="none"/>
          <w:u w:val="single"/>
          <w:lang w:bidi="ar"/>
          <w14:textFill>
            <w14:solidFill>
              <w14:schemeClr w14:val="tx1"/>
            </w14:solidFill>
          </w14:textFill>
        </w:rPr>
        <w:t>不接受</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联合体响应。</w:t>
      </w:r>
    </w:p>
    <w:p w14:paraId="4AF63370">
      <w:pPr>
        <w:pageBreakBefore w:val="0"/>
        <w:tabs>
          <w:tab w:val="left" w:pos="3500"/>
        </w:tabs>
        <w:kinsoku/>
        <w:wordWrap/>
        <w:overflowPunct/>
        <w:topLinePunct w:val="0"/>
        <w:autoSpaceDE w:val="0"/>
        <w:autoSpaceDN w:val="0"/>
        <w:bidi w:val="0"/>
        <w:adjustRightInd/>
        <w:snapToGrid/>
        <w:spacing w:line="312" w:lineRule="auto"/>
        <w:ind w:left="0" w:leftChars="0" w:right="0"/>
        <w:jc w:val="left"/>
        <w:textAlignment w:val="auto"/>
        <w:outlineLvl w:val="1"/>
        <w:rPr>
          <w:rFonts w:hint="default" w:ascii="Times New Roman" w:hAnsi="Times New Roman" w:eastAsia="黑体" w:cs="Times New Roman"/>
          <w:b/>
          <w:bCs/>
          <w:color w:val="000000" w:themeColor="text1"/>
          <w:sz w:val="24"/>
          <w:szCs w:val="32"/>
          <w:highlight w:val="none"/>
          <w14:textFill>
            <w14:solidFill>
              <w14:schemeClr w14:val="tx1"/>
            </w14:solidFill>
          </w14:textFill>
        </w:rPr>
      </w:pPr>
      <w:bookmarkStart w:id="126" w:name="_Toc10540"/>
      <w:bookmarkStart w:id="127" w:name="_Toc19310"/>
      <w:bookmarkStart w:id="128" w:name="_Toc12054"/>
      <w:bookmarkStart w:id="129" w:name="_Toc34637755"/>
      <w:bookmarkStart w:id="130" w:name="_Toc13343"/>
      <w:bookmarkStart w:id="131" w:name="_Toc17462"/>
      <w:bookmarkStart w:id="132" w:name="_Toc23625"/>
      <w:bookmarkStart w:id="133" w:name="_Toc17054"/>
      <w:bookmarkStart w:id="134" w:name="_Toc20950"/>
      <w:bookmarkStart w:id="135" w:name="_Toc18805"/>
      <w:bookmarkStart w:id="136" w:name="_Toc29447"/>
      <w:bookmarkStart w:id="137" w:name="_Toc28501"/>
      <w:bookmarkStart w:id="138" w:name="_Toc25597"/>
      <w:bookmarkStart w:id="139" w:name="_Toc19643"/>
      <w:bookmarkStart w:id="140" w:name="_Toc26859"/>
      <w:bookmarkStart w:id="141" w:name="_Toc21769"/>
      <w:bookmarkStart w:id="142" w:name="_Toc16208"/>
      <w:bookmarkStart w:id="143" w:name="_Toc23587"/>
      <w:bookmarkStart w:id="144" w:name="_Toc31472"/>
      <w:bookmarkStart w:id="145" w:name="_Toc31321"/>
      <w:bookmarkStart w:id="146" w:name="_Toc14239"/>
      <w:bookmarkStart w:id="147" w:name="_Toc22201058"/>
      <w:bookmarkStart w:id="148" w:name="_Toc19820"/>
      <w:bookmarkStart w:id="149" w:name="_Toc28528"/>
      <w:bookmarkStart w:id="150" w:name="_Toc1169"/>
      <w:bookmarkStart w:id="151" w:name="_Toc18249"/>
      <w:bookmarkStart w:id="152" w:name="_Toc1911"/>
      <w:r>
        <w:rPr>
          <w:rFonts w:hint="default" w:ascii="Times New Roman" w:hAnsi="Times New Roman" w:eastAsia="黑体" w:cs="Times New Roman"/>
          <w:b/>
          <w:bCs/>
          <w:color w:val="000000" w:themeColor="text1"/>
          <w:sz w:val="24"/>
          <w:szCs w:val="32"/>
          <w:highlight w:val="none"/>
          <w14:textFill>
            <w14:solidFill>
              <w14:schemeClr w14:val="tx1"/>
            </w14:solidFill>
          </w14:textFill>
        </w:rPr>
        <w:t>五、获取</w:t>
      </w:r>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谈判</w:t>
      </w:r>
      <w:r>
        <w:rPr>
          <w:rFonts w:hint="default" w:ascii="Times New Roman" w:hAnsi="Times New Roman" w:eastAsia="黑体" w:cs="Times New Roman"/>
          <w:b/>
          <w:bCs/>
          <w:color w:val="000000" w:themeColor="text1"/>
          <w:sz w:val="24"/>
          <w:szCs w:val="32"/>
          <w:highlight w:val="none"/>
          <w14:textFill>
            <w14:solidFill>
              <w14:schemeClr w14:val="tx1"/>
            </w14:solidFill>
          </w14:textFill>
        </w:rPr>
        <w:t>文件的时间、期限、地点及方式</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Start w:id="153" w:name="_Toc22201059"/>
      <w:bookmarkStart w:id="154" w:name="_Toc17450"/>
      <w:bookmarkStart w:id="155" w:name="_Toc34637756"/>
    </w:p>
    <w:p w14:paraId="4F6DA465">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0"/>
          <w:highlight w:val="none"/>
          <w14:textFill>
            <w14:solidFill>
              <w14:schemeClr w14:val="tx1"/>
            </w14:solidFill>
          </w14:textFill>
        </w:rPr>
        <w:t>请你单位于</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2026</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年</w:t>
      </w:r>
      <w:r>
        <w:rPr>
          <w:rFonts w:hint="eastAsia" w:cs="Times New Roman"/>
          <w:color w:val="000000" w:themeColor="text1"/>
          <w:sz w:val="21"/>
          <w:szCs w:val="21"/>
          <w:highlight w:val="none"/>
          <w:u w:val="singl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月</w:t>
      </w:r>
      <w:r>
        <w:rPr>
          <w:rFonts w:hint="eastAsia" w:cs="Times New Roman"/>
          <w:color w:val="000000" w:themeColor="text1"/>
          <w:sz w:val="21"/>
          <w:szCs w:val="21"/>
          <w:highlight w:val="none"/>
          <w:u w:val="singl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日至</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2026</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年</w:t>
      </w:r>
      <w:r>
        <w:rPr>
          <w:rFonts w:hint="eastAsia" w:cs="Times New Roman"/>
          <w:color w:val="000000" w:themeColor="text1"/>
          <w:sz w:val="21"/>
          <w:szCs w:val="21"/>
          <w:highlight w:val="none"/>
          <w:u w:val="singl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月</w:t>
      </w:r>
      <w:r>
        <w:rPr>
          <w:rFonts w:hint="eastAsia" w:cs="Times New Roman"/>
          <w:color w:val="000000" w:themeColor="text1"/>
          <w:sz w:val="21"/>
          <w:szCs w:val="21"/>
          <w:highlight w:val="none"/>
          <w:u w:val="single"/>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日，</w:t>
      </w:r>
      <w:r>
        <w:rPr>
          <w:rFonts w:hint="default" w:ascii="Times New Roman" w:hAnsi="Times New Roman" w:cs="Times New Roman"/>
          <w:color w:val="000000" w:themeColor="text1"/>
          <w:kern w:val="0"/>
          <w:szCs w:val="21"/>
          <w:highlight w:val="none"/>
          <w14:textFill>
            <w14:solidFill>
              <w14:schemeClr w14:val="tx1"/>
            </w14:solidFill>
          </w14:textFill>
        </w:rPr>
        <w:t>每日上午</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9</w:t>
      </w:r>
      <w:r>
        <w:rPr>
          <w:rFonts w:hint="default" w:ascii="Times New Roman" w:hAnsi="Times New Roman" w:cs="Times New Roman"/>
          <w:color w:val="000000" w:themeColor="text1"/>
          <w:kern w:val="0"/>
          <w:szCs w:val="21"/>
          <w:highlight w:val="none"/>
          <w14:textFill>
            <w14:solidFill>
              <w14:schemeClr w14:val="tx1"/>
            </w14:solidFill>
          </w14:textFill>
        </w:rPr>
        <w:t>时至12时，下午1</w:t>
      </w:r>
      <w:r>
        <w:rPr>
          <w:rFonts w:hint="eastAsia" w:cs="Times New Roman"/>
          <w:color w:val="000000" w:themeColor="text1"/>
          <w:kern w:val="0"/>
          <w:szCs w:val="21"/>
          <w:highlight w:val="none"/>
          <w:lang w:val="en-US" w:eastAsia="zh-CN"/>
          <w14:textFill>
            <w14:solidFill>
              <w14:schemeClr w14:val="tx1"/>
            </w14:solidFill>
          </w14:textFill>
        </w:rPr>
        <w:t>4</w:t>
      </w:r>
      <w:r>
        <w:rPr>
          <w:rFonts w:hint="default" w:ascii="Times New Roman" w:hAnsi="Times New Roman" w:cs="Times New Roman"/>
          <w:color w:val="000000" w:themeColor="text1"/>
          <w:kern w:val="0"/>
          <w:szCs w:val="21"/>
          <w:highlight w:val="none"/>
          <w14:textFill>
            <w14:solidFill>
              <w14:schemeClr w14:val="tx1"/>
            </w14:solidFill>
          </w14:textFill>
        </w:rPr>
        <w:t>时至</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17</w:t>
      </w:r>
      <w:r>
        <w:rPr>
          <w:rFonts w:hint="default" w:ascii="Times New Roman" w:hAnsi="Times New Roman" w:cs="Times New Roman"/>
          <w:color w:val="000000" w:themeColor="text1"/>
          <w:kern w:val="0"/>
          <w:szCs w:val="21"/>
          <w:highlight w:val="none"/>
          <w14:textFill>
            <w14:solidFill>
              <w14:schemeClr w14:val="tx1"/>
            </w14:solidFill>
          </w14:textFill>
        </w:rPr>
        <w:t>时（北京时间），登</w:t>
      </w:r>
      <w:r>
        <w:rPr>
          <w:rFonts w:hint="default" w:ascii="Times New Roman" w:hAnsi="Times New Roman" w:eastAsia="宋体" w:cs="Times New Roman"/>
          <w:color w:val="000000" w:themeColor="text1"/>
          <w:kern w:val="0"/>
          <w:szCs w:val="21"/>
          <w:highlight w:val="none"/>
          <w14:textFill>
            <w14:solidFill>
              <w14:schemeClr w14:val="tx1"/>
            </w14:solidFill>
          </w14:textFill>
        </w:rPr>
        <w:t>陆</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株洲市采购交易系统（https://cgjy.zzzyjy.cn:38081/TPBidder/）</w:t>
      </w:r>
      <w:r>
        <w:rPr>
          <w:rFonts w:hint="default" w:ascii="Times New Roman" w:hAnsi="Times New Roman" w:eastAsia="宋体" w:cs="Times New Roman"/>
          <w:color w:val="000000" w:themeColor="text1"/>
          <w:kern w:val="0"/>
          <w:szCs w:val="21"/>
          <w:highlight w:val="none"/>
          <w14:textFill>
            <w14:solidFill>
              <w14:schemeClr w14:val="tx1"/>
            </w14:solidFill>
          </w14:textFill>
        </w:rPr>
        <w:t>选择对应项目获取</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文</w:t>
      </w:r>
      <w:r>
        <w:rPr>
          <w:rFonts w:hint="default" w:ascii="Times New Roman" w:hAnsi="Times New Roman" w:eastAsia="宋体" w:cs="Times New Roman"/>
          <w:color w:val="000000" w:themeColor="text1"/>
          <w:kern w:val="0"/>
          <w:szCs w:val="21"/>
          <w:highlight w:val="none"/>
          <w:u w:val="none"/>
          <w14:textFill>
            <w14:solidFill>
              <w14:schemeClr w14:val="tx1"/>
            </w14:solidFill>
          </w14:textFill>
        </w:rPr>
        <w:t>件</w:t>
      </w:r>
      <w:r>
        <w:rPr>
          <w:rFonts w:hint="default" w:ascii="Times New Roman" w:hAnsi="Times New Roman" w:cs="Times New Roman"/>
          <w:color w:val="000000" w:themeColor="text1"/>
          <w:sz w:val="21"/>
          <w:szCs w:val="21"/>
          <w:highlight w:val="none"/>
          <w:u w:val="none"/>
          <w:lang w:val="en-US" w:eastAsia="zh-CN"/>
          <w14:textFill>
            <w14:solidFill>
              <w14:schemeClr w14:val="tx1"/>
            </w14:solidFill>
          </w14:textFill>
        </w:rPr>
        <w:t>。</w:t>
      </w:r>
    </w:p>
    <w:p w14:paraId="38BF158F">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20" w:firstLineChars="200"/>
        <w:textAlignment w:val="auto"/>
        <w:rPr>
          <w:rFonts w:hint="default" w:ascii="Times New Roman" w:hAnsi="Times New Roman" w:cs="Times New Roman"/>
          <w:color w:val="000000" w:themeColor="text1"/>
          <w:highlight w:val="none"/>
          <w:u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highlight w:val="none"/>
          <w:lang w:val="en-US" w:eastAsia="zh-CN"/>
          <w14:textFill>
            <w14:solidFill>
              <w14:schemeClr w14:val="tx1"/>
            </w14:solidFill>
          </w14:textFill>
        </w:rPr>
        <w:t>2、</w:t>
      </w:r>
      <w:r>
        <w:rPr>
          <w:rFonts w:hint="default" w:ascii="Times New Roman" w:hAnsi="Times New Roman" w:eastAsia="宋体" w:cs="Times New Roman"/>
          <w:bCs/>
          <w:color w:val="000000" w:themeColor="text1"/>
          <w:kern w:val="0"/>
          <w:highlight w:val="none"/>
          <w14:textFill>
            <w14:solidFill>
              <w14:schemeClr w14:val="tx1"/>
            </w14:solidFill>
          </w14:textFill>
        </w:rPr>
        <w:t>谈判文件售价：</w:t>
      </w:r>
      <w:r>
        <w:rPr>
          <w:rFonts w:hint="default" w:ascii="Times New Roman" w:hAnsi="Times New Roman" w:eastAsia="宋体" w:cs="Times New Roman"/>
          <w:bCs/>
          <w:color w:val="000000" w:themeColor="text1"/>
          <w:kern w:val="0"/>
          <w:highlight w:val="none"/>
          <w:u w:val="single"/>
          <w:lang w:val="en-US" w:eastAsia="zh-CN"/>
          <w14:textFill>
            <w14:solidFill>
              <w14:schemeClr w14:val="tx1"/>
            </w14:solidFill>
          </w14:textFill>
        </w:rPr>
        <w:t>0.</w:t>
      </w:r>
      <w:r>
        <w:rPr>
          <w:rFonts w:hint="default" w:ascii="Times New Roman" w:hAnsi="Times New Roman" w:eastAsia="宋体" w:cs="Times New Roman"/>
          <w:bCs/>
          <w:color w:val="000000" w:themeColor="text1"/>
          <w:kern w:val="0"/>
          <w:highlight w:val="none"/>
          <w:u w:val="single"/>
          <w14:textFill>
            <w14:solidFill>
              <w14:schemeClr w14:val="tx1"/>
            </w14:solidFill>
          </w14:textFill>
        </w:rPr>
        <w:t>00</w:t>
      </w:r>
      <w:r>
        <w:rPr>
          <w:rFonts w:hint="default" w:ascii="Times New Roman" w:hAnsi="Times New Roman" w:eastAsia="宋体" w:cs="Times New Roman"/>
          <w:bCs/>
          <w:color w:val="000000" w:themeColor="text1"/>
          <w:kern w:val="0"/>
          <w:highlight w:val="none"/>
          <w14:textFill>
            <w14:solidFill>
              <w14:schemeClr w14:val="tx1"/>
            </w14:solidFill>
          </w14:textFill>
        </w:rPr>
        <w:t>元/</w:t>
      </w:r>
      <w:r>
        <w:rPr>
          <w:rFonts w:hint="default" w:ascii="Times New Roman" w:hAnsi="Times New Roman" w:eastAsia="宋体" w:cs="Times New Roman"/>
          <w:bCs/>
          <w:color w:val="000000" w:themeColor="text1"/>
          <w:kern w:val="0"/>
          <w:highlight w:val="none"/>
          <w:lang w:eastAsia="zh-CN"/>
          <w14:textFill>
            <w14:solidFill>
              <w14:schemeClr w14:val="tx1"/>
            </w14:solidFill>
          </w14:textFill>
        </w:rPr>
        <w:t>份；</w:t>
      </w:r>
      <w:r>
        <w:rPr>
          <w:rFonts w:hint="default" w:ascii="Times New Roman" w:hAnsi="Times New Roman" w:eastAsia="宋体" w:cs="Times New Roman"/>
          <w:bCs/>
          <w:color w:val="000000" w:themeColor="text1"/>
          <w:kern w:val="0"/>
          <w:highlight w:val="none"/>
          <w14:textFill>
            <w14:solidFill>
              <w14:schemeClr w14:val="tx1"/>
            </w14:solidFill>
          </w14:textFill>
        </w:rPr>
        <w:t>谈判文件售后不</w:t>
      </w:r>
      <w:r>
        <w:rPr>
          <w:rFonts w:hint="default" w:ascii="Times New Roman" w:hAnsi="Times New Roman" w:eastAsia="宋体" w:cs="Times New Roman"/>
          <w:bCs/>
          <w:color w:val="000000" w:themeColor="text1"/>
          <w:kern w:val="0"/>
          <w:highlight w:val="none"/>
          <w:u w:val="none"/>
          <w14:textFill>
            <w14:solidFill>
              <w14:schemeClr w14:val="tx1"/>
            </w14:solidFill>
          </w14:textFill>
        </w:rPr>
        <w:t>退</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w:t>
      </w:r>
    </w:p>
    <w:p w14:paraId="692416CD">
      <w:pPr>
        <w:pageBreakBefore w:val="0"/>
        <w:tabs>
          <w:tab w:val="left" w:pos="3500"/>
        </w:tabs>
        <w:kinsoku/>
        <w:wordWrap/>
        <w:overflowPunct/>
        <w:topLinePunct w:val="0"/>
        <w:autoSpaceDE w:val="0"/>
        <w:autoSpaceDN w:val="0"/>
        <w:bidi w:val="0"/>
        <w:adjustRightInd/>
        <w:snapToGrid/>
        <w:spacing w:line="312" w:lineRule="auto"/>
        <w:ind w:left="0" w:leftChars="0" w:right="0"/>
        <w:jc w:val="left"/>
        <w:textAlignment w:val="auto"/>
        <w:rPr>
          <w:rFonts w:hint="default" w:ascii="Times New Roman" w:hAnsi="Times New Roman" w:eastAsia="黑体" w:cs="Times New Roman"/>
          <w:b/>
          <w:bCs/>
          <w:color w:val="000000" w:themeColor="text1"/>
          <w:sz w:val="24"/>
          <w:szCs w:val="32"/>
          <w:highlight w:val="none"/>
          <w14:textFill>
            <w14:solidFill>
              <w14:schemeClr w14:val="tx1"/>
            </w14:solidFill>
          </w14:textFill>
        </w:rPr>
      </w:pPr>
      <w:bookmarkStart w:id="156" w:name="_Toc3942"/>
      <w:bookmarkStart w:id="157" w:name="_Toc3135"/>
      <w:bookmarkStart w:id="158" w:name="_Toc14317"/>
      <w:bookmarkStart w:id="159" w:name="_Toc2681"/>
      <w:bookmarkStart w:id="160" w:name="_Toc23851"/>
      <w:bookmarkStart w:id="161" w:name="_Toc29096"/>
      <w:bookmarkStart w:id="162" w:name="_Toc19507"/>
      <w:bookmarkStart w:id="163" w:name="_Toc12073"/>
      <w:bookmarkStart w:id="164" w:name="_Toc21431"/>
      <w:bookmarkStart w:id="165" w:name="_Toc30160"/>
      <w:bookmarkStart w:id="166" w:name="_Toc2344"/>
      <w:bookmarkStart w:id="167" w:name="_Toc12345"/>
      <w:bookmarkStart w:id="168" w:name="_Toc22179"/>
      <w:bookmarkStart w:id="169" w:name="_Toc24118"/>
      <w:bookmarkStart w:id="170" w:name="_Toc11264"/>
      <w:bookmarkStart w:id="171" w:name="_Toc15578"/>
      <w:bookmarkStart w:id="172" w:name="_Toc16104"/>
      <w:bookmarkStart w:id="173" w:name="_Toc9668"/>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六</w:t>
      </w:r>
      <w:r>
        <w:rPr>
          <w:rFonts w:hint="default" w:ascii="Times New Roman" w:hAnsi="Times New Roman" w:eastAsia="黑体" w:cs="Times New Roman"/>
          <w:b/>
          <w:bCs/>
          <w:color w:val="000000" w:themeColor="text1"/>
          <w:sz w:val="24"/>
          <w:szCs w:val="32"/>
          <w:highlight w:val="none"/>
          <w14:textFill>
            <w14:solidFill>
              <w14:schemeClr w14:val="tx1"/>
            </w14:solidFill>
          </w14:textFill>
        </w:rPr>
        <w:t>、提交首次响应文件的截止时间、谈判时间及地点</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3448F960">
      <w:pPr>
        <w:pageBreakBefore w:val="0"/>
        <w:kinsoku/>
        <w:wordWrap/>
        <w:overflowPunct/>
        <w:topLinePunct w:val="0"/>
        <w:bidi w:val="0"/>
        <w:adjustRightInd/>
        <w:snapToGrid/>
        <w:spacing w:line="312" w:lineRule="auto"/>
        <w:ind w:left="0" w:leftChars="0" w:right="0" w:firstLine="420" w:firstLineChars="2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1、提交首次响应文件的截止时间：</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2026</w:t>
      </w:r>
      <w:r>
        <w:rPr>
          <w:rFonts w:hint="default" w:ascii="Times New Roman" w:hAnsi="Times New Roman" w:cs="Times New Roman"/>
          <w:color w:val="000000" w:themeColor="text1"/>
          <w:szCs w:val="21"/>
          <w:highlight w:val="none"/>
          <w14:textFill>
            <w14:solidFill>
              <w14:schemeClr w14:val="tx1"/>
            </w14:solidFill>
          </w14:textFill>
        </w:rPr>
        <w:t>年</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 xml:space="preserve"> </w:t>
      </w:r>
      <w:r>
        <w:rPr>
          <w:rFonts w:hint="eastAsia" w:cs="Times New Roman"/>
          <w:color w:val="000000" w:themeColor="text1"/>
          <w:szCs w:val="21"/>
          <w:highlight w:val="none"/>
          <w:u w:val="single"/>
          <w:lang w:val="en-US" w:eastAsia="zh-CN"/>
          <w14:textFill>
            <w14:solidFill>
              <w14:schemeClr w14:val="tx1"/>
            </w14:solidFill>
          </w14:textFill>
        </w:rPr>
        <w:t>10</w:t>
      </w:r>
      <w:r>
        <w:rPr>
          <w:rFonts w:hint="default" w:ascii="Times New Roman" w:hAnsi="Times New Roman" w:cs="Times New Roman"/>
          <w:color w:val="000000" w:themeColor="text1"/>
          <w:szCs w:val="21"/>
          <w:highlight w:val="none"/>
          <w14:textFill>
            <w14:solidFill>
              <w14:schemeClr w14:val="tx1"/>
            </w14:solidFill>
          </w14:textFill>
        </w:rPr>
        <w:t>月</w:t>
      </w:r>
      <w:r>
        <w:rPr>
          <w:rFonts w:hint="eastAsia" w:cs="Times New Roman"/>
          <w:color w:val="000000" w:themeColor="text1"/>
          <w:szCs w:val="21"/>
          <w:highlight w:val="none"/>
          <w:u w:val="single"/>
          <w:lang w:val="en-US" w:eastAsia="zh-CN"/>
          <w14:textFill>
            <w14:solidFill>
              <w14:schemeClr w14:val="tx1"/>
            </w14:solidFill>
          </w14:textFill>
        </w:rPr>
        <w:t>16</w:t>
      </w:r>
      <w:r>
        <w:rPr>
          <w:rFonts w:hint="default" w:ascii="Times New Roman" w:hAnsi="Times New Roman" w:cs="Times New Roman"/>
          <w:color w:val="000000" w:themeColor="text1"/>
          <w:szCs w:val="21"/>
          <w:highlight w:val="none"/>
          <w14:textFill>
            <w14:solidFill>
              <w14:schemeClr w14:val="tx1"/>
            </w14:solidFill>
          </w14:textFill>
        </w:rPr>
        <w:t>日</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09</w:t>
      </w:r>
      <w:r>
        <w:rPr>
          <w:rFonts w:hint="default" w:ascii="Times New Roman" w:hAnsi="Times New Roman" w:cs="Times New Roman"/>
          <w:color w:val="000000" w:themeColor="text1"/>
          <w:szCs w:val="21"/>
          <w:highlight w:val="none"/>
          <w14:textFill>
            <w14:solidFill>
              <w14:schemeClr w14:val="tx1"/>
            </w14:solidFill>
          </w14:textFill>
        </w:rPr>
        <w:t>时</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00</w:t>
      </w:r>
      <w:r>
        <w:rPr>
          <w:rFonts w:hint="default" w:ascii="Times New Roman" w:hAnsi="Times New Roman" w:cs="Times New Roman"/>
          <w:color w:val="000000" w:themeColor="text1"/>
          <w:szCs w:val="21"/>
          <w:highlight w:val="none"/>
          <w14:textFill>
            <w14:solidFill>
              <w14:schemeClr w14:val="tx1"/>
            </w14:solidFill>
          </w14:textFill>
        </w:rPr>
        <w:t>分（北京时间）</w:t>
      </w:r>
    </w:p>
    <w:p w14:paraId="6FEA9056">
      <w:pPr>
        <w:pageBreakBefore w:val="0"/>
        <w:kinsoku/>
        <w:wordWrap/>
        <w:overflowPunct/>
        <w:topLinePunct w:val="0"/>
        <w:bidi w:val="0"/>
        <w:adjustRightInd/>
        <w:snapToGrid/>
        <w:spacing w:line="312" w:lineRule="auto"/>
        <w:ind w:left="0" w:leftChars="0" w:right="0" w:firstLine="420" w:firstLineChars="2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w:t>
      </w: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首次响应文件的开启时间：</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2026</w:t>
      </w:r>
      <w:r>
        <w:rPr>
          <w:rFonts w:hint="default" w:ascii="Times New Roman" w:hAnsi="Times New Roman" w:cs="Times New Roman"/>
          <w:color w:val="000000" w:themeColor="text1"/>
          <w:szCs w:val="21"/>
          <w:highlight w:val="none"/>
          <w14:textFill>
            <w14:solidFill>
              <w14:schemeClr w14:val="tx1"/>
            </w14:solidFill>
          </w14:textFill>
        </w:rPr>
        <w:t>年</w:t>
      </w:r>
      <w:r>
        <w:rPr>
          <w:rFonts w:hint="eastAsia" w:cs="Times New Roman"/>
          <w:color w:val="000000" w:themeColor="text1"/>
          <w:szCs w:val="21"/>
          <w:highlight w:val="none"/>
          <w:u w:val="single"/>
          <w:lang w:val="en-US" w:eastAsia="zh-CN"/>
          <w14:textFill>
            <w14:solidFill>
              <w14:schemeClr w14:val="tx1"/>
            </w14:solidFill>
          </w14:textFill>
        </w:rPr>
        <w:t>10</w:t>
      </w:r>
      <w:r>
        <w:rPr>
          <w:rFonts w:hint="default" w:ascii="Times New Roman" w:hAnsi="Times New Roman" w:cs="Times New Roman"/>
          <w:color w:val="000000" w:themeColor="text1"/>
          <w:szCs w:val="21"/>
          <w:highlight w:val="none"/>
          <w14:textFill>
            <w14:solidFill>
              <w14:schemeClr w14:val="tx1"/>
            </w14:solidFill>
          </w14:textFill>
        </w:rPr>
        <w:t>月</w:t>
      </w:r>
      <w:r>
        <w:rPr>
          <w:rFonts w:hint="eastAsia" w:cs="Times New Roman"/>
          <w:color w:val="000000" w:themeColor="text1"/>
          <w:szCs w:val="21"/>
          <w:highlight w:val="none"/>
          <w:u w:val="single"/>
          <w:lang w:val="en-US" w:eastAsia="zh-CN"/>
          <w14:textFill>
            <w14:solidFill>
              <w14:schemeClr w14:val="tx1"/>
            </w14:solidFill>
          </w14:textFill>
        </w:rPr>
        <w:t>16</w:t>
      </w:r>
      <w:r>
        <w:rPr>
          <w:rFonts w:hint="default" w:ascii="Times New Roman" w:hAnsi="Times New Roman" w:cs="Times New Roman"/>
          <w:color w:val="000000" w:themeColor="text1"/>
          <w:szCs w:val="21"/>
          <w:highlight w:val="none"/>
          <w14:textFill>
            <w14:solidFill>
              <w14:schemeClr w14:val="tx1"/>
            </w14:solidFill>
          </w14:textFill>
        </w:rPr>
        <w:t>日</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09</w:t>
      </w:r>
      <w:r>
        <w:rPr>
          <w:rFonts w:hint="default" w:ascii="Times New Roman" w:hAnsi="Times New Roman" w:cs="Times New Roman"/>
          <w:color w:val="000000" w:themeColor="text1"/>
          <w:szCs w:val="21"/>
          <w:highlight w:val="none"/>
          <w14:textFill>
            <w14:solidFill>
              <w14:schemeClr w14:val="tx1"/>
            </w14:solidFill>
          </w14:textFill>
        </w:rPr>
        <w:t>时</w:t>
      </w:r>
      <w:r>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t>00</w:t>
      </w:r>
      <w:r>
        <w:rPr>
          <w:rFonts w:hint="default" w:ascii="Times New Roman" w:hAnsi="Times New Roman" w:cs="Times New Roman"/>
          <w:color w:val="000000" w:themeColor="text1"/>
          <w:szCs w:val="21"/>
          <w:highlight w:val="none"/>
          <w14:textFill>
            <w14:solidFill>
              <w14:schemeClr w14:val="tx1"/>
            </w14:solidFill>
          </w14:textFill>
        </w:rPr>
        <w:t>分（北京时间）。</w:t>
      </w:r>
    </w:p>
    <w:p w14:paraId="2692418B">
      <w:pPr>
        <w:pStyle w:val="23"/>
        <w:keepNext w:val="0"/>
        <w:keepLines w:val="0"/>
        <w:pageBreakBefore w:val="0"/>
        <w:widowControl w:val="0"/>
        <w:kinsoku w:val="0"/>
        <w:wordWrap/>
        <w:overflowPunct w:val="0"/>
        <w:topLinePunct w:val="0"/>
        <w:autoSpaceDE w:val="0"/>
        <w:autoSpaceDN w:val="0"/>
        <w:bidi w:val="0"/>
        <w:adjustRightInd/>
        <w:snapToGrid/>
        <w:spacing w:line="312" w:lineRule="auto"/>
        <w:ind w:left="0" w:firstLine="420" w:firstLineChars="200"/>
        <w:jc w:val="left"/>
        <w:textAlignment w:val="auto"/>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首次响应文件的开启地点：株洲市采购交易系统（https://cgjy.zzzyjy.cn:38081/TPBidder/）</w:t>
      </w:r>
      <w:r>
        <w:rPr>
          <w:rFonts w:hint="default" w:ascii="Times New Roman" w:hAnsi="Times New Roman" w:eastAsia="宋体" w:cs="Times New Roman"/>
          <w:color w:val="000000" w:themeColor="text1"/>
          <w:kern w:val="0"/>
          <w:szCs w:val="21"/>
          <w:highlight w:val="none"/>
          <w:u w:val="none"/>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株洲市采购交易系统不见面开标大厅，所有供应商应准时在线参加开标。本项目实行“不见面开标”方式，供应商无需到开标现场，请供应商提前配置好解密电脑和软件环境，在规定时间内使用制作响应文件时的 CA 锁登录“网上开标系统”解密响应文件。（请仔细阅读株洲市采购交易系统中的《</w:t>
      </w:r>
      <w:r>
        <w:rPr>
          <w:rFonts w:hint="default" w:ascii="Times New Roman" w:hAnsi="Times New Roman" w:eastAsia="宋体" w:cs="Times New Roman"/>
          <w:color w:val="000000" w:themeColor="text1"/>
          <w:kern w:val="0"/>
          <w:highlight w:val="none"/>
          <w14:textFill>
            <w14:solidFill>
              <w14:schemeClr w14:val="tx1"/>
            </w14:solidFill>
          </w14:textFill>
        </w:rPr>
        <w:t>投标人操作手册-竞争性谈判</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 </w:t>
      </w:r>
    </w:p>
    <w:p w14:paraId="6DFF0B7B">
      <w:pPr>
        <w:keepNext w:val="0"/>
        <w:keepLines w:val="0"/>
        <w:pageBreakBefore w:val="0"/>
        <w:widowControl w:val="0"/>
        <w:kinsoku w:val="0"/>
        <w:wordWrap/>
        <w:overflowPunct w:val="0"/>
        <w:topLinePunct w:val="0"/>
        <w:autoSpaceDE w:val="0"/>
        <w:autoSpaceDN w:val="0"/>
        <w:bidi w:val="0"/>
        <w:adjustRightInd/>
        <w:snapToGrid/>
        <w:spacing w:line="312" w:lineRule="auto"/>
        <w:ind w:left="0" w:firstLine="420" w:firstLineChars="200"/>
        <w:jc w:val="left"/>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 xml:space="preserve">请供应商在“株洲市采购交易系统（https://cgjy.zzzyjy.cn:38081/TPBidder/）编制响应文件，供应商应在提交截止时间前通过采购交易系统递交数据电文形式的响应文件。逾期送达的响应文件，采购交易系统予以拒收。 </w:t>
      </w:r>
    </w:p>
    <w:p w14:paraId="4486F20F">
      <w:pPr>
        <w:pageBreakBefore w:val="0"/>
        <w:widowControl w:val="0"/>
        <w:wordWrap/>
        <w:topLinePunct w:val="0"/>
        <w:bidi w:val="0"/>
        <w:adjustRightInd/>
        <w:snapToGrid/>
        <w:spacing w:line="312" w:lineRule="auto"/>
        <w:ind w:left="0" w:firstLine="420" w:firstLineChars="200"/>
        <w:jc w:val="left"/>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4、逾期上传或者不按谈判文件要求加密上传或者不按谈判文件的要求提供保证金的响应文件，采购人或采购代理机构将拒绝接收。</w:t>
      </w:r>
    </w:p>
    <w:p w14:paraId="44D3693C">
      <w:pPr>
        <w:pageBreakBefore w:val="0"/>
        <w:kinsoku/>
        <w:wordWrap/>
        <w:overflowPunct/>
        <w:topLinePunct w:val="0"/>
        <w:bidi w:val="0"/>
        <w:adjustRightInd/>
        <w:snapToGrid/>
        <w:spacing w:line="312" w:lineRule="auto"/>
        <w:ind w:left="0" w:leftChars="0" w:right="0" w:firstLine="420" w:firstLineChars="2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供应商参与政府采购活动，无需向采购人、代理机构、交易平台缴纳任何费用</w:t>
      </w:r>
      <w:r>
        <w:rPr>
          <w:rFonts w:hint="default" w:ascii="Times New Roman" w:hAnsi="Times New Roman" w:cs="Times New Roman"/>
          <w:color w:val="000000" w:themeColor="text1"/>
          <w:highlight w:val="none"/>
          <w:u w:val="none"/>
          <w14:textFill>
            <w14:solidFill>
              <w14:schemeClr w14:val="tx1"/>
            </w14:solidFill>
          </w14:textFill>
        </w:rPr>
        <w:t>。</w:t>
      </w:r>
    </w:p>
    <w:p w14:paraId="5386156C">
      <w:pPr>
        <w:pageBreakBefore w:val="0"/>
        <w:widowControl w:val="0"/>
        <w:tabs>
          <w:tab w:val="left" w:pos="3500"/>
        </w:tabs>
        <w:kinsoku/>
        <w:wordWrap/>
        <w:overflowPunct/>
        <w:topLinePunct w:val="0"/>
        <w:autoSpaceDE w:val="0"/>
        <w:autoSpaceDN w:val="0"/>
        <w:bidi w:val="0"/>
        <w:adjustRightInd/>
        <w:snapToGrid/>
        <w:spacing w:line="312" w:lineRule="auto"/>
        <w:ind w:left="0" w:leftChars="0" w:right="0"/>
        <w:jc w:val="left"/>
        <w:textAlignment w:val="auto"/>
        <w:rPr>
          <w:rFonts w:hint="default" w:ascii="Times New Roman" w:hAnsi="Times New Roman" w:eastAsia="黑体" w:cs="Times New Roman"/>
          <w:b/>
          <w:bCs/>
          <w:color w:val="000000" w:themeColor="text1"/>
          <w:sz w:val="24"/>
          <w:szCs w:val="32"/>
          <w:highlight w:val="none"/>
          <w14:textFill>
            <w14:solidFill>
              <w14:schemeClr w14:val="tx1"/>
            </w14:solidFill>
          </w14:textFill>
        </w:rPr>
      </w:pPr>
      <w:bookmarkStart w:id="174" w:name="_Toc18331"/>
      <w:bookmarkStart w:id="175" w:name="_Toc6206"/>
      <w:bookmarkStart w:id="176" w:name="_Toc25375"/>
      <w:bookmarkStart w:id="177" w:name="_Toc15790"/>
      <w:bookmarkStart w:id="178" w:name="_Toc22201061"/>
      <w:bookmarkStart w:id="179" w:name="_Toc12876"/>
      <w:bookmarkStart w:id="180" w:name="_Toc21138"/>
      <w:bookmarkStart w:id="181" w:name="_Toc6807"/>
      <w:bookmarkStart w:id="182" w:name="_Toc14043"/>
      <w:bookmarkStart w:id="183" w:name="_Toc22382"/>
      <w:bookmarkStart w:id="184" w:name="_Toc1696"/>
      <w:bookmarkStart w:id="185" w:name="_Toc18445"/>
      <w:bookmarkStart w:id="186" w:name="_Toc34637758"/>
      <w:bookmarkStart w:id="187" w:name="_Toc22743"/>
      <w:bookmarkStart w:id="188" w:name="_Toc17108"/>
      <w:bookmarkStart w:id="189" w:name="_Toc1649"/>
      <w:bookmarkStart w:id="190" w:name="_Toc1615"/>
      <w:bookmarkStart w:id="191" w:name="_Toc25685"/>
      <w:bookmarkStart w:id="192" w:name="_Toc21065"/>
      <w:bookmarkStart w:id="193" w:name="_Toc12670"/>
      <w:bookmarkStart w:id="194" w:name="_Toc17570"/>
      <w:bookmarkStart w:id="195" w:name="_Toc5791"/>
      <w:bookmarkStart w:id="196" w:name="_Toc25880"/>
      <w:bookmarkStart w:id="197" w:name="_Toc10176"/>
      <w:bookmarkStart w:id="198" w:name="_Toc18102"/>
      <w:bookmarkStart w:id="199" w:name="_Toc7305"/>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七</w:t>
      </w:r>
      <w:r>
        <w:rPr>
          <w:rFonts w:hint="default" w:ascii="Times New Roman" w:hAnsi="Times New Roman" w:eastAsia="黑体" w:cs="Times New Roman"/>
          <w:b/>
          <w:bCs/>
          <w:color w:val="000000" w:themeColor="text1"/>
          <w:sz w:val="24"/>
          <w:szCs w:val="32"/>
          <w:highlight w:val="none"/>
          <w14:textFill>
            <w14:solidFill>
              <w14:schemeClr w14:val="tx1"/>
            </w14:solidFill>
          </w14:textFill>
        </w:rPr>
        <w:t>、询问及质疑</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560F4F6B">
      <w:pPr>
        <w:pageBreakBefore w:val="0"/>
        <w:widowControl w:val="0"/>
        <w:kinsoku/>
        <w:wordWrap/>
        <w:overflowPunct/>
        <w:topLinePunct w:val="0"/>
        <w:bidi w:val="0"/>
        <w:adjustRightInd/>
        <w:snapToGrid/>
        <w:spacing w:line="312" w:lineRule="auto"/>
        <w:ind w:left="0" w:leftChars="0" w:right="0" w:firstLine="420" w:firstLineChars="2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1、供应商对政府采购活动事项如有疑问的，可以向采购人、采购代理机构提出询问。采购人、采购代理机构将在3个工作日内作出答复。</w:t>
      </w:r>
    </w:p>
    <w:p w14:paraId="78499979">
      <w:pPr>
        <w:pageBreakBefore w:val="0"/>
        <w:widowControl w:val="0"/>
        <w:kinsoku/>
        <w:wordWrap/>
        <w:overflowPunct/>
        <w:topLinePunct w:val="0"/>
        <w:bidi w:val="0"/>
        <w:adjustRightInd/>
        <w:snapToGrid/>
        <w:spacing w:line="312" w:lineRule="auto"/>
        <w:ind w:left="0" w:leftChars="0" w:right="0" w:firstLine="420" w:firstLineChars="2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2、供应商认为谈判文件使自己的合法权益受到损害的，可以在收到谈判文件之日起7个工作日内，按《湖南省财政厅关于印发＜政府采购质疑答复和投诉处理操作规程＞的通知》(</w:t>
      </w:r>
      <w:r>
        <w:rPr>
          <w:rFonts w:hint="default" w:ascii="Times New Roman" w:hAnsi="Times New Roman" w:cs="Times New Roman"/>
          <w:color w:val="000000" w:themeColor="text1"/>
          <w:szCs w:val="21"/>
          <w:highlight w:val="none"/>
          <w:lang w:eastAsia="zh-CN"/>
          <w14:textFill>
            <w14:solidFill>
              <w14:schemeClr w14:val="tx1"/>
            </w14:solidFill>
          </w14:textFill>
        </w:rPr>
        <w:t>湘财购〔2024〕67号</w:t>
      </w:r>
      <w:r>
        <w:rPr>
          <w:rFonts w:hint="default" w:ascii="Times New Roman" w:hAnsi="Times New Roman" w:cs="Times New Roman"/>
          <w:color w:val="000000" w:themeColor="text1"/>
          <w:szCs w:val="21"/>
          <w:highlight w:val="none"/>
          <w14:textFill>
            <w14:solidFill>
              <w14:schemeClr w14:val="tx1"/>
            </w14:solidFill>
          </w14:textFill>
        </w:rPr>
        <w:t>)规定，以书面形式向采购人、采购代理机构提出质疑。</w:t>
      </w:r>
    </w:p>
    <w:p w14:paraId="51D5FEEF">
      <w:pPr>
        <w:pStyle w:val="3"/>
        <w:keepNext/>
        <w:keepLines/>
        <w:pageBreakBefore w:val="0"/>
        <w:widowControl w:val="0"/>
        <w:kinsoku/>
        <w:wordWrap/>
        <w:overflowPunct/>
        <w:topLinePunct w:val="0"/>
        <w:bidi w:val="0"/>
        <w:adjustRightInd/>
        <w:snapToGrid/>
        <w:spacing w:line="312" w:lineRule="auto"/>
        <w:ind w:left="0" w:leftChars="0" w:right="0"/>
        <w:jc w:val="left"/>
        <w:textAlignment w:val="auto"/>
        <w:outlineLvl w:val="1"/>
        <w:rPr>
          <w:rFonts w:hint="default" w:ascii="Times New Roman" w:hAnsi="Times New Roman" w:eastAsia="黑体" w:cs="Times New Roman"/>
          <w:b/>
          <w:bCs/>
          <w:color w:val="000000" w:themeColor="text1"/>
          <w:sz w:val="24"/>
          <w:szCs w:val="32"/>
          <w:highlight w:val="none"/>
          <w:lang w:eastAsia="zh-CN"/>
          <w14:textFill>
            <w14:solidFill>
              <w14:schemeClr w14:val="tx1"/>
            </w14:solidFill>
          </w14:textFill>
        </w:rPr>
      </w:pPr>
      <w:bookmarkStart w:id="200" w:name="_Toc12495"/>
      <w:bookmarkStart w:id="201" w:name="_Toc15142"/>
      <w:bookmarkStart w:id="202" w:name="_Toc9392"/>
      <w:bookmarkStart w:id="203" w:name="_Toc32143"/>
      <w:bookmarkStart w:id="204" w:name="_Toc15494"/>
      <w:bookmarkStart w:id="205" w:name="_Toc14868"/>
      <w:bookmarkStart w:id="206" w:name="_Toc21915"/>
      <w:bookmarkStart w:id="207" w:name="_Toc14629"/>
      <w:bookmarkStart w:id="208" w:name="_Toc18684"/>
      <w:bookmarkStart w:id="209" w:name="_Toc31006"/>
      <w:bookmarkStart w:id="210" w:name="_Toc576"/>
      <w:bookmarkStart w:id="211" w:name="_Toc18641"/>
      <w:bookmarkStart w:id="212" w:name="_Toc4960"/>
      <w:bookmarkStart w:id="213" w:name="_Toc13958"/>
      <w:bookmarkStart w:id="214" w:name="_Toc6008"/>
      <w:bookmarkStart w:id="215" w:name="_Toc30738"/>
      <w:bookmarkStart w:id="216" w:name="_Toc9648"/>
      <w:bookmarkStart w:id="217" w:name="_Toc2454"/>
      <w:bookmarkStart w:id="218" w:name="_Toc23388"/>
      <w:bookmarkStart w:id="219" w:name="_Toc3209"/>
      <w:bookmarkStart w:id="220" w:name="_Toc19208"/>
      <w:bookmarkStart w:id="221" w:name="_Toc32507"/>
      <w:bookmarkStart w:id="222" w:name="_Toc7039"/>
      <w:bookmarkStart w:id="223" w:name="_Toc23260"/>
      <w:bookmarkStart w:id="224" w:name="_Toc7285"/>
      <w:bookmarkStart w:id="225" w:name="_Toc22201062"/>
      <w:bookmarkStart w:id="226" w:name="_Toc34637759"/>
      <w:bookmarkStart w:id="227" w:name="_Toc2300"/>
      <w:r>
        <w:rPr>
          <w:rFonts w:hint="default" w:ascii="Times New Roman" w:hAnsi="Times New Roman" w:eastAsia="黑体" w:cs="Times New Roman"/>
          <w:b/>
          <w:bCs/>
          <w:color w:val="000000" w:themeColor="text1"/>
          <w:sz w:val="24"/>
          <w:szCs w:val="32"/>
          <w:highlight w:val="none"/>
          <w14:textFill>
            <w14:solidFill>
              <w14:schemeClr w14:val="tx1"/>
            </w14:solidFill>
          </w14:textFill>
        </w:rPr>
        <w:t>八、谈判</w:t>
      </w:r>
      <w:r>
        <w:rPr>
          <w:rFonts w:hint="default" w:ascii="Times New Roman" w:hAnsi="Times New Roman" w:eastAsia="黑体" w:cs="Times New Roman"/>
          <w:b/>
          <w:bCs/>
          <w:color w:val="000000" w:themeColor="text1"/>
          <w:sz w:val="24"/>
          <w:szCs w:val="32"/>
          <w:highlight w:val="none"/>
          <w:lang w:val="en-US" w:eastAsia="zh-CN"/>
          <w14:textFill>
            <w14:solidFill>
              <w14:schemeClr w14:val="tx1"/>
            </w14:solidFill>
          </w14:textFill>
        </w:rPr>
        <w:t>说明</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067DFF15">
      <w:pPr>
        <w:pageBreakBefore w:val="0"/>
        <w:widowControl w:val="0"/>
        <w:tabs>
          <w:tab w:val="left" w:pos="4700"/>
          <w:tab w:val="left" w:pos="6000"/>
          <w:tab w:val="left" w:pos="7160"/>
          <w:tab w:val="left" w:pos="8520"/>
        </w:tabs>
        <w:kinsoku/>
        <w:wordWrap/>
        <w:overflowPunct/>
        <w:topLinePunct w:val="0"/>
        <w:autoSpaceDE w:val="0"/>
        <w:autoSpaceDN w:val="0"/>
        <w:bidi w:val="0"/>
        <w:adjustRightInd/>
        <w:snapToGrid/>
        <w:spacing w:line="312" w:lineRule="auto"/>
        <w:ind w:left="0" w:leftChars="0" w:right="0" w:firstLine="420" w:firstLineChars="200"/>
        <w:jc w:val="left"/>
        <w:textAlignment w:val="auto"/>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1、谈判邀请选项：</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表示选择，</w:t>
      </w:r>
      <w:r>
        <w:rPr>
          <w:rFonts w:hint="default" w:ascii="Times New Roman" w:hAnsi="Times New Roman" w:cs="Times New Roman"/>
          <w:color w:val="000000" w:themeColor="text1"/>
          <w:szCs w:val="21"/>
          <w:highlight w:val="none"/>
          <w:lang w:val="en-US" w:eastAsia="zh-CN"/>
          <w14:textFill>
            <w14:solidFill>
              <w14:schemeClr w14:val="tx1"/>
            </w14:solidFill>
          </w14:textFill>
        </w:rPr>
        <w:sym w:font="Wingdings" w:char="00A8"/>
      </w:r>
      <w:r>
        <w:rPr>
          <w:rFonts w:hint="default" w:ascii="Times New Roman" w:hAnsi="Times New Roman" w:cs="Times New Roman"/>
          <w:color w:val="000000" w:themeColor="text1"/>
          <w:szCs w:val="21"/>
          <w:highlight w:val="none"/>
          <w:lang w:val="en-US" w:eastAsia="zh-CN"/>
          <w14:textFill>
            <w14:solidFill>
              <w14:schemeClr w14:val="tx1"/>
            </w14:solidFill>
          </w14:textFill>
        </w:rPr>
        <w:t>表示未选择。</w:t>
      </w:r>
    </w:p>
    <w:p w14:paraId="404F3740">
      <w:pPr>
        <w:pageBreakBefore w:val="0"/>
        <w:widowControl w:val="0"/>
        <w:tabs>
          <w:tab w:val="left" w:pos="4700"/>
          <w:tab w:val="left" w:pos="6000"/>
          <w:tab w:val="left" w:pos="7160"/>
          <w:tab w:val="left" w:pos="8520"/>
        </w:tabs>
        <w:kinsoku/>
        <w:wordWrap/>
        <w:overflowPunct/>
        <w:topLinePunct w:val="0"/>
        <w:autoSpaceDE w:val="0"/>
        <w:autoSpaceDN w:val="0"/>
        <w:bidi w:val="0"/>
        <w:adjustRightInd/>
        <w:snapToGrid/>
        <w:spacing w:line="312" w:lineRule="auto"/>
        <w:ind w:left="0" w:leftChars="0" w:right="0" w:firstLine="420" w:firstLineChars="200"/>
        <w:jc w:val="left"/>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2、供应商</w:t>
      </w:r>
      <w:r>
        <w:rPr>
          <w:rFonts w:hint="default" w:ascii="Times New Roman" w:hAnsi="Times New Roman" w:cs="Times New Roman"/>
          <w:color w:val="000000" w:themeColor="text1"/>
          <w:szCs w:val="21"/>
          <w:highlight w:val="none"/>
          <w14:textFill>
            <w14:solidFill>
              <w14:schemeClr w14:val="tx1"/>
            </w14:solidFill>
          </w14:textFill>
        </w:rPr>
        <w:t>参与政府采购活动，无需向采购人、代理机构、交易平台缴纳任何费用。</w:t>
      </w:r>
    </w:p>
    <w:p w14:paraId="65F30C42">
      <w:pPr>
        <w:pStyle w:val="3"/>
        <w:pageBreakBefore w:val="0"/>
        <w:widowControl w:val="0"/>
        <w:kinsoku/>
        <w:wordWrap/>
        <w:overflowPunct/>
        <w:topLinePunct w:val="0"/>
        <w:bidi w:val="0"/>
        <w:adjustRightInd/>
        <w:snapToGrid/>
        <w:spacing w:line="312" w:lineRule="auto"/>
        <w:ind w:left="0" w:leftChars="0" w:right="0"/>
        <w:jc w:val="left"/>
        <w:textAlignment w:val="auto"/>
        <w:rPr>
          <w:rFonts w:hint="default" w:ascii="Times New Roman" w:hAnsi="Times New Roman" w:eastAsia="黑体" w:cs="Times New Roman"/>
          <w:color w:val="000000" w:themeColor="text1"/>
          <w:highlight w:val="none"/>
          <w14:textFill>
            <w14:solidFill>
              <w14:schemeClr w14:val="tx1"/>
            </w14:solidFill>
          </w14:textFill>
        </w:rPr>
      </w:pPr>
      <w:bookmarkStart w:id="228" w:name="_Toc6887"/>
      <w:bookmarkStart w:id="229" w:name="_Toc24798"/>
      <w:bookmarkStart w:id="230" w:name="_Toc17982"/>
      <w:bookmarkStart w:id="231" w:name="_Toc25650"/>
      <w:bookmarkStart w:id="232" w:name="_Toc12882"/>
      <w:bookmarkStart w:id="233" w:name="_Toc7334"/>
      <w:bookmarkStart w:id="234" w:name="_Toc25119"/>
      <w:bookmarkStart w:id="235" w:name="_Toc4679"/>
      <w:bookmarkStart w:id="236" w:name="_Toc28570"/>
      <w:bookmarkStart w:id="237" w:name="_Toc10386"/>
      <w:bookmarkStart w:id="238" w:name="_Toc18020"/>
      <w:bookmarkStart w:id="239" w:name="_Toc10132"/>
      <w:bookmarkStart w:id="240" w:name="_Toc27680"/>
      <w:bookmarkStart w:id="241" w:name="_Toc20270"/>
      <w:bookmarkStart w:id="242" w:name="_Toc14944"/>
      <w:bookmarkStart w:id="243" w:name="_Toc13649"/>
      <w:bookmarkStart w:id="244" w:name="_Toc21874"/>
      <w:bookmarkStart w:id="245" w:name="_Toc2981"/>
      <w:bookmarkStart w:id="246" w:name="_Toc14884"/>
      <w:bookmarkStart w:id="247" w:name="_Toc21164"/>
      <w:bookmarkStart w:id="248" w:name="_Toc10849"/>
      <w:bookmarkStart w:id="249" w:name="_Toc32526"/>
      <w:bookmarkStart w:id="250" w:name="_Toc30010"/>
      <w:bookmarkStart w:id="251" w:name="_Toc3549"/>
      <w:r>
        <w:rPr>
          <w:rFonts w:hint="default" w:ascii="Times New Roman" w:hAnsi="Times New Roman" w:eastAsia="黑体" w:cs="Times New Roman"/>
          <w:color w:val="000000" w:themeColor="text1"/>
          <w:highlight w:val="none"/>
          <w14:textFill>
            <w14:solidFill>
              <w14:schemeClr w14:val="tx1"/>
            </w14:solidFill>
          </w14:textFill>
        </w:rPr>
        <w:t>九、采购项目联系人姓名和电话</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038E3D9B">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1、联系人姓名：叶章丽 </w:t>
      </w:r>
    </w:p>
    <w:p w14:paraId="2A9519DD">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2、电话：0731-28470821 </w:t>
      </w:r>
    </w:p>
    <w:p w14:paraId="7ADC0A0B">
      <w:pPr>
        <w:pStyle w:val="3"/>
        <w:pageBreakBefore w:val="0"/>
        <w:widowControl w:val="0"/>
        <w:kinsoku/>
        <w:wordWrap/>
        <w:overflowPunct/>
        <w:topLinePunct w:val="0"/>
        <w:bidi w:val="0"/>
        <w:adjustRightInd/>
        <w:snapToGrid/>
        <w:spacing w:line="312" w:lineRule="auto"/>
        <w:ind w:left="0" w:leftChars="0" w:right="0" w:firstLine="0" w:firstLineChars="0"/>
        <w:jc w:val="left"/>
        <w:textAlignment w:val="auto"/>
        <w:rPr>
          <w:rFonts w:hint="default" w:ascii="Times New Roman" w:hAnsi="Times New Roman" w:cs="Times New Roman"/>
          <w:color w:val="000000" w:themeColor="text1"/>
          <w:highlight w:val="none"/>
          <w14:textFill>
            <w14:solidFill>
              <w14:schemeClr w14:val="tx1"/>
            </w14:solidFill>
          </w14:textFill>
        </w:rPr>
      </w:pPr>
      <w:bookmarkStart w:id="252" w:name="_Toc1117"/>
      <w:bookmarkStart w:id="253" w:name="_Toc10922"/>
      <w:bookmarkStart w:id="254" w:name="_Toc13006"/>
      <w:bookmarkStart w:id="255" w:name="_Toc10069"/>
      <w:bookmarkStart w:id="256" w:name="_Toc26795"/>
      <w:bookmarkStart w:id="257" w:name="_Toc15122"/>
      <w:bookmarkStart w:id="258" w:name="_Toc2016"/>
      <w:bookmarkStart w:id="259" w:name="_Toc20248"/>
      <w:bookmarkStart w:id="260" w:name="_Toc13757"/>
      <w:bookmarkStart w:id="261" w:name="_Toc32577"/>
      <w:bookmarkStart w:id="262" w:name="_Toc2680"/>
      <w:bookmarkStart w:id="263" w:name="_Toc23561"/>
      <w:bookmarkStart w:id="264" w:name="_Toc26023"/>
      <w:bookmarkStart w:id="265" w:name="_Toc10220"/>
      <w:bookmarkStart w:id="266" w:name="_Toc12958"/>
      <w:bookmarkStart w:id="267" w:name="_Toc4693"/>
      <w:bookmarkStart w:id="268" w:name="_Toc19408"/>
      <w:bookmarkStart w:id="269" w:name="_Toc20425"/>
      <w:r>
        <w:rPr>
          <w:rFonts w:hint="default" w:ascii="Times New Roman" w:hAnsi="Times New Roman" w:cs="Times New Roman"/>
          <w:color w:val="000000" w:themeColor="text1"/>
          <w:highlight w:val="none"/>
          <w14:textFill>
            <w14:solidFill>
              <w14:schemeClr w14:val="tx1"/>
            </w14:solidFill>
          </w14:textFill>
        </w:rPr>
        <w:t>十、采购人、采购代理机构的名称、地址和联系方法</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1648D884">
      <w:pPr>
        <w:pStyle w:val="43"/>
        <w:pageBreakBefore w:val="0"/>
        <w:widowControl w:val="0"/>
        <w:kinsoku/>
        <w:wordWrap/>
        <w:overflowPunct/>
        <w:topLinePunct w:val="0"/>
        <w:bidi w:val="0"/>
        <w:adjustRightInd/>
        <w:snapToGrid/>
        <w:spacing w:after="0" w:line="312" w:lineRule="auto"/>
        <w:ind w:left="0" w:leftChars="0" w:right="0" w:firstLine="422" w:firstLineChars="200"/>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1、采购人信息</w:t>
      </w:r>
    </w:p>
    <w:p w14:paraId="3C8F3F72">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（1）名 称：</w:t>
      </w:r>
      <w:r>
        <w:rPr>
          <w:rFonts w:hint="eastAsia" w:cs="Times New Roman"/>
          <w:color w:val="000000" w:themeColor="text1"/>
          <w:spacing w:val="6"/>
          <w:kern w:val="0"/>
          <w:sz w:val="21"/>
          <w:szCs w:val="21"/>
          <w:highlight w:val="none"/>
          <w:lang w:val="en-US" w:eastAsia="zh-CN" w:bidi="ar"/>
          <w14:textFill>
            <w14:solidFill>
              <w14:schemeClr w14:val="tx1"/>
            </w14:solidFill>
          </w14:textFill>
        </w:rPr>
        <w:t>湖南汽车工程职业大学</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 </w:t>
      </w:r>
    </w:p>
    <w:p w14:paraId="023DAC2F">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（2）地 址：</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t>湖南省株洲市云龙示范区智慧路79号</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 </w:t>
      </w:r>
    </w:p>
    <w:p w14:paraId="5F571EA8">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（3）联系人：</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t>陈洁</w:t>
      </w:r>
    </w:p>
    <w:p w14:paraId="6547FF32">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（4）邮 编：</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t>/</w:t>
      </w:r>
    </w:p>
    <w:p w14:paraId="6DEBE032">
      <w:pPr>
        <w:pStyle w:val="43"/>
        <w:keepNext w:val="0"/>
        <w:keepLines w:val="0"/>
        <w:pageBreakBefore w:val="0"/>
        <w:widowControl w:val="0"/>
        <w:kinsoku/>
        <w:wordWrap/>
        <w:overflowPunct/>
        <w:topLinePunct w:val="0"/>
        <w:autoSpaceDE/>
        <w:autoSpaceDN/>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（5）电 话：</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t>0731-22111048</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 </w:t>
      </w:r>
    </w:p>
    <w:p w14:paraId="3A8F69EE">
      <w:pPr>
        <w:pStyle w:val="43"/>
        <w:pageBreakBefore w:val="0"/>
        <w:widowControl w:val="0"/>
        <w:kinsoku/>
        <w:wordWrap/>
        <w:overflowPunct/>
        <w:topLinePunct w:val="0"/>
        <w:bidi w:val="0"/>
        <w:adjustRightInd/>
        <w:snapToGrid/>
        <w:spacing w:after="0" w:line="312" w:lineRule="auto"/>
        <w:ind w:left="0" w:leftChars="0" w:right="0" w:firstLine="444" w:firstLineChars="200"/>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（6）电子邮箱：/ </w:t>
      </w:r>
    </w:p>
    <w:p w14:paraId="5B87A91B">
      <w:pPr>
        <w:pStyle w:val="43"/>
        <w:pageBreakBefore w:val="0"/>
        <w:widowControl w:val="0"/>
        <w:kinsoku/>
        <w:wordWrap/>
        <w:overflowPunct/>
        <w:topLinePunct w:val="0"/>
        <w:bidi w:val="0"/>
        <w:adjustRightInd/>
        <w:snapToGrid/>
        <w:spacing w:after="0" w:line="312" w:lineRule="auto"/>
        <w:ind w:left="0" w:leftChars="0" w:right="0" w:firstLine="422" w:firstLineChars="200"/>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2、采购代理机构信息</w:t>
      </w:r>
    </w:p>
    <w:p w14:paraId="6D8A91BF">
      <w:pPr>
        <w:pStyle w:val="43"/>
        <w:pageBreakBefore w:val="0"/>
        <w:widowControl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（1）名 称：</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湖南宏源中柱工程项目管理有限公司</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p>
    <w:p w14:paraId="63DC0ABD">
      <w:pPr>
        <w:pStyle w:val="43"/>
        <w:pageBreakBefore w:val="0"/>
        <w:widowControl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（2）地 址：</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株洲市天元区长江北路华晨大拇指广场写字楼11楼</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p>
    <w:p w14:paraId="58A637B8">
      <w:pPr>
        <w:pStyle w:val="43"/>
        <w:pageBreakBefore w:val="0"/>
        <w:widowControl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（3）联系人：</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叶章丽</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t>、李敏</w:t>
      </w:r>
    </w:p>
    <w:p w14:paraId="020A32F1">
      <w:pPr>
        <w:pStyle w:val="43"/>
        <w:pageBreakBefore w:val="0"/>
        <w:widowControl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（4）邮 编：</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412000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p>
    <w:p w14:paraId="3106B63D">
      <w:pPr>
        <w:pStyle w:val="43"/>
        <w:pageBreakBefore w:val="0"/>
        <w:widowControl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（5）电 话：</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0731-28470821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p>
    <w:p w14:paraId="1E50DC10">
      <w:pPr>
        <w:pStyle w:val="43"/>
        <w:pageBreakBefore w:val="0"/>
        <w:widowControl w:val="0"/>
        <w:kinsoku/>
        <w:wordWrap/>
        <w:overflowPunct/>
        <w:topLinePunct w:val="0"/>
        <w:bidi w:val="0"/>
        <w:adjustRightInd/>
        <w:snapToGrid/>
        <w:spacing w:after="0" w:line="312" w:lineRule="auto"/>
        <w:ind w:left="0" w:leftChars="0" w:right="0" w:firstLine="420" w:firstLineChars="200"/>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（6）电子邮箱：</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fldChar w:fldCharType="begin"/>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instrText xml:space="preserve"> HYPERLINK "mailto:252267332@QQ.com" </w:instrTex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fldChar w:fldCharType="separate"/>
      </w:r>
      <w:r>
        <w:rPr>
          <w:rStyle w:val="55"/>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t>2805885428</w:t>
      </w:r>
      <w:r>
        <w:rPr>
          <w:rStyle w:val="55"/>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@QQ.com</w:t>
      </w:r>
      <w:r>
        <w:rPr>
          <w:rFonts w:hint="default" w:ascii="Times New Roman" w:hAnsi="Times New Roman" w:cs="Times New Roman"/>
          <w:color w:val="000000" w:themeColor="text1"/>
          <w:spacing w:val="6"/>
          <w:kern w:val="0"/>
          <w:sz w:val="21"/>
          <w:szCs w:val="21"/>
          <w:highlight w:val="none"/>
          <w:lang w:val="en-US" w:eastAsia="zh-CN" w:bidi="ar"/>
          <w14:textFill>
            <w14:solidFill>
              <w14:schemeClr w14:val="tx1"/>
            </w14:solidFill>
          </w14:textFill>
        </w:rPr>
        <w:fldChar w:fldCharType="end"/>
      </w:r>
    </w:p>
    <w:p w14:paraId="4F058901">
      <w:pPr>
        <w:pStyle w:val="43"/>
        <w:pageBreakBefore w:val="0"/>
        <w:wordWrap/>
        <w:topLinePunct w:val="0"/>
        <w:bidi w:val="0"/>
        <w:adjustRightInd/>
        <w:snapToGrid/>
        <w:spacing w:after="0" w:line="312" w:lineRule="auto"/>
        <w:ind w:left="0" w:leftChars="0" w:firstLine="422" w:firstLineChars="200"/>
        <w:jc w:val="left"/>
        <w:textAlignment w:val="auto"/>
        <w:rPr>
          <w:rFonts w:hint="default" w:ascii="Times New Roman" w:hAnsi="Times New Roman" w:eastAsia="宋体" w:cs="Times New Roman"/>
          <w:b/>
          <w:bCs/>
          <w:color w:val="000000" w:themeColor="text1"/>
          <w:kern w:val="2"/>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eastAsia="zh-CN"/>
          <w14:textFill>
            <w14:solidFill>
              <w14:schemeClr w14:val="tx1"/>
            </w14:solidFill>
          </w14:textFill>
        </w:rPr>
        <w:t>3</w:t>
      </w:r>
      <w:r>
        <w:rPr>
          <w:rFonts w:hint="default" w:ascii="Times New Roman" w:hAnsi="Times New Roman" w:eastAsia="宋体" w:cs="Times New Roman"/>
          <w:b/>
          <w:bCs/>
          <w:color w:val="000000" w:themeColor="text1"/>
          <w:szCs w:val="21"/>
          <w:highlight w:val="none"/>
          <w14:textFill>
            <w14:solidFill>
              <w14:schemeClr w14:val="tx1"/>
            </w14:solidFill>
          </w14:textFill>
        </w:rPr>
        <w:t>、</w:t>
      </w:r>
      <w:r>
        <w:rPr>
          <w:rFonts w:hint="default" w:ascii="Times New Roman" w:hAnsi="Times New Roman" w:eastAsia="宋体" w:cs="Times New Roman"/>
          <w:b/>
          <w:bCs/>
          <w:color w:val="000000" w:themeColor="text1"/>
          <w:kern w:val="2"/>
          <w:szCs w:val="21"/>
          <w:highlight w:val="none"/>
          <w:lang w:bidi="ar"/>
          <w14:textFill>
            <w14:solidFill>
              <w14:schemeClr w14:val="tx1"/>
            </w14:solidFill>
          </w14:textFill>
        </w:rPr>
        <w:t>电子交易平台服务机构信息</w:t>
      </w:r>
    </w:p>
    <w:p w14:paraId="5B491F7E">
      <w:pPr>
        <w:pageBreakBefore w:val="0"/>
        <w:wordWrap/>
        <w:topLinePunct w:val="0"/>
        <w:bidi w:val="0"/>
        <w:adjustRightInd/>
        <w:snapToGrid/>
        <w:spacing w:line="312" w:lineRule="auto"/>
        <w:ind w:left="0" w:firstLine="718" w:firstLineChars="342"/>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（1）交易系统技术支持：国泰新点软件股份有限公司</w:t>
      </w:r>
    </w:p>
    <w:p w14:paraId="3E1D9B8B">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电话：0731-28101310（工作时间）</w:t>
      </w:r>
    </w:p>
    <w:p w14:paraId="1677071A">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电子邮箱：3562613576@qq.com</w:t>
      </w:r>
    </w:p>
    <w:p w14:paraId="39F17B4C">
      <w:pPr>
        <w:pageBreakBefore w:val="0"/>
        <w:wordWrap/>
        <w:topLinePunct w:val="0"/>
        <w:bidi w:val="0"/>
        <w:adjustRightInd/>
        <w:snapToGrid/>
        <w:spacing w:line="312" w:lineRule="auto"/>
        <w:ind w:left="0" w:firstLine="718" w:firstLineChars="342"/>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（2）CA证书线上办理：湖南省CA证书与电子签章共享平台</w:t>
      </w:r>
    </w:p>
    <w:p w14:paraId="46F2E0CE">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技术支持：北京数字认证股份有限公司     </w:t>
      </w:r>
    </w:p>
    <w:p w14:paraId="60DBB863">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电话：4009197888</w:t>
      </w:r>
    </w:p>
    <w:p w14:paraId="2E94E97C">
      <w:pPr>
        <w:pageBreakBefore w:val="0"/>
        <w:wordWrap/>
        <w:topLinePunct w:val="0"/>
        <w:bidi w:val="0"/>
        <w:adjustRightInd/>
        <w:snapToGrid/>
        <w:spacing w:line="312" w:lineRule="auto"/>
        <w:ind w:left="0" w:firstLine="718" w:firstLineChars="342"/>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（3）CA证书现场办理（株洲市公共资源交易中心一楼）：</w:t>
      </w:r>
    </w:p>
    <w:p w14:paraId="63037E96">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 xml:space="preserve">     湖南CA数字证书：0731-28681394</w:t>
      </w:r>
    </w:p>
    <w:p w14:paraId="1E27AD04">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 xml:space="preserve">     上海CA数字证书：13347330910</w:t>
      </w:r>
    </w:p>
    <w:p w14:paraId="663EBF50">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 xml:space="preserve">     北京CA数字证书：19973314625</w:t>
      </w:r>
    </w:p>
    <w:p w14:paraId="1F40AC53">
      <w:pPr>
        <w:pageBreakBefore w:val="0"/>
        <w:wordWrap/>
        <w:topLinePunct w:val="0"/>
        <w:bidi w:val="0"/>
        <w:adjustRightInd/>
        <w:snapToGrid/>
        <w:spacing w:line="312" w:lineRule="auto"/>
        <w:ind w:left="0" w:firstLine="300"/>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 xml:space="preserve">     广东电子商务认证（网证通）：18173337830</w:t>
      </w:r>
    </w:p>
    <w:p w14:paraId="3044AA79">
      <w:pPr>
        <w:pageBreakBefore w:val="0"/>
        <w:wordWrap/>
        <w:topLinePunct w:val="0"/>
        <w:bidi w:val="0"/>
        <w:adjustRightInd/>
        <w:snapToGrid/>
        <w:spacing w:line="312" w:lineRule="auto"/>
        <w:ind w:left="0" w:firstLine="718" w:firstLineChars="342"/>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（4）湖南省公共资源交易注册检录平台</w:t>
      </w:r>
    </w:p>
    <w:p w14:paraId="2EF226F1">
      <w:pPr>
        <w:pageBreakBefore w:val="0"/>
        <w:wordWrap/>
        <w:topLinePunct w:val="0"/>
        <w:bidi w:val="0"/>
        <w:adjustRightInd/>
        <w:snapToGrid/>
        <w:spacing w:line="312" w:lineRule="auto"/>
        <w:ind w:left="0" w:firstLine="718" w:firstLineChars="342"/>
        <w:jc w:val="left"/>
        <w:textAlignment w:val="auto"/>
        <w:rPr>
          <w:rFonts w:hint="default" w:ascii="Times New Roman" w:hAnsi="Times New Roman" w:eastAsia="宋体" w:cs="Times New Roman"/>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技术支持：长沙市中智信息技术开发有限公司     </w:t>
      </w:r>
    </w:p>
    <w:p w14:paraId="6A7407BF">
      <w:pPr>
        <w:pageBreakBefore w:val="0"/>
        <w:wordWrap/>
        <w:topLinePunct w:val="0"/>
        <w:bidi w:val="0"/>
        <w:adjustRightInd/>
        <w:snapToGrid/>
        <w:spacing w:line="312" w:lineRule="auto"/>
        <w:ind w:left="0" w:firstLine="840" w:firstLineChars="4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电话：4007777016</w:t>
      </w:r>
    </w:p>
    <w:bookmarkEnd w:id="224"/>
    <w:bookmarkEnd w:id="225"/>
    <w:bookmarkEnd w:id="226"/>
    <w:bookmarkEnd w:id="227"/>
    <w:p w14:paraId="29264E0C">
      <w:pPr>
        <w:pageBreakBefore/>
        <w:tabs>
          <w:tab w:val="left" w:pos="5380"/>
          <w:tab w:val="left" w:pos="6520"/>
          <w:tab w:val="left" w:pos="7680"/>
        </w:tabs>
        <w:autoSpaceDE w:val="0"/>
        <w:autoSpaceDN w:val="0"/>
        <w:spacing w:line="288" w:lineRule="auto"/>
        <w:ind w:right="-23" w:firstLine="0" w:firstLineChars="0"/>
        <w:jc w:val="center"/>
        <w:outlineLvl w:val="0"/>
        <w:rPr>
          <w:rFonts w:hint="default" w:ascii="Times New Roman" w:hAnsi="Times New Roman" w:eastAsia="黑体" w:cs="Times New Roman"/>
          <w:color w:val="000000" w:themeColor="text1"/>
          <w:sz w:val="32"/>
          <w:szCs w:val="32"/>
          <w:highlight w:val="none"/>
          <w14:textFill>
            <w14:solidFill>
              <w14:schemeClr w14:val="tx1"/>
            </w14:solidFill>
          </w14:textFill>
        </w:rPr>
      </w:pPr>
      <w:bookmarkStart w:id="270" w:name="_Toc27523"/>
      <w:bookmarkStart w:id="271" w:name="_Toc27619"/>
      <w:bookmarkStart w:id="272" w:name="_Toc18963"/>
      <w:bookmarkStart w:id="273" w:name="_Toc12492"/>
      <w:bookmarkStart w:id="274" w:name="_Toc2899"/>
      <w:bookmarkStart w:id="275" w:name="_Toc6525"/>
      <w:bookmarkStart w:id="276" w:name="_Toc32255"/>
      <w:bookmarkStart w:id="277" w:name="_Toc9734"/>
      <w:bookmarkStart w:id="278" w:name="_Toc8285"/>
      <w:bookmarkStart w:id="279" w:name="_Toc11878"/>
      <w:bookmarkStart w:id="280" w:name="_Toc15010"/>
      <w:bookmarkStart w:id="281" w:name="_Toc31519"/>
      <w:bookmarkStart w:id="282" w:name="_Toc3723"/>
      <w:bookmarkStart w:id="283" w:name="_Toc34637762"/>
      <w:bookmarkStart w:id="284" w:name="_Toc1402"/>
      <w:bookmarkStart w:id="285" w:name="_Toc17225"/>
      <w:bookmarkStart w:id="286" w:name="_Toc21529"/>
      <w:bookmarkStart w:id="287" w:name="_Toc9823"/>
      <w:bookmarkStart w:id="288" w:name="_Toc25374"/>
      <w:r>
        <w:rPr>
          <w:rFonts w:hint="default" w:ascii="Times New Roman" w:hAnsi="Times New Roman" w:eastAsia="黑体" w:cs="Times New Roman"/>
          <w:color w:val="000000" w:themeColor="text1"/>
          <w:sz w:val="32"/>
          <w:szCs w:val="32"/>
          <w:highlight w:val="none"/>
          <w14:textFill>
            <w14:solidFill>
              <w14:schemeClr w14:val="tx1"/>
            </w14:solidFill>
          </w14:textFill>
        </w:rPr>
        <w:t>第二章 谈判须知</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427617A7">
      <w:pPr>
        <w:pStyle w:val="3"/>
        <w:adjustRightInd w:val="0"/>
        <w:snapToGrid w:val="0"/>
        <w:spacing w:before="156" w:beforeLines="5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bookmarkStart w:id="289" w:name="_Toc12030"/>
      <w:bookmarkStart w:id="290" w:name="_Toc20725"/>
      <w:bookmarkStart w:id="291" w:name="_Toc20641"/>
      <w:bookmarkStart w:id="292" w:name="_Toc32616"/>
      <w:bookmarkStart w:id="293" w:name="_Toc12068"/>
      <w:bookmarkStart w:id="294" w:name="_Toc32270"/>
      <w:bookmarkStart w:id="295" w:name="_Toc4790"/>
      <w:bookmarkStart w:id="296" w:name="_Toc34637763"/>
      <w:bookmarkStart w:id="297" w:name="_Toc17709"/>
      <w:bookmarkStart w:id="298" w:name="_Toc12214"/>
      <w:bookmarkStart w:id="299" w:name="_Toc21762"/>
      <w:bookmarkStart w:id="300" w:name="_Toc11763"/>
      <w:bookmarkStart w:id="301" w:name="_Toc26470"/>
      <w:bookmarkStart w:id="302" w:name="_Toc3774"/>
      <w:bookmarkStart w:id="303" w:name="_Toc29254"/>
      <w:bookmarkStart w:id="304" w:name="_Toc23142"/>
      <w:bookmarkStart w:id="305" w:name="_Toc12259"/>
      <w:bookmarkStart w:id="306" w:name="_Toc23923"/>
      <w:bookmarkStart w:id="307" w:name="_Toc27123"/>
      <w:bookmarkStart w:id="308" w:name="_Toc24877"/>
      <w:bookmarkStart w:id="309" w:name="_Toc4535"/>
      <w:bookmarkStart w:id="310" w:name="_Toc17444"/>
      <w:bookmarkStart w:id="311" w:name="_Toc30023"/>
      <w:bookmarkStart w:id="312" w:name="_Toc4884"/>
      <w:bookmarkStart w:id="313" w:name="_Toc21777"/>
      <w:bookmarkStart w:id="314" w:name="_Toc29996"/>
      <w:r>
        <w:rPr>
          <w:rFonts w:hint="default" w:ascii="Times New Roman" w:hAnsi="Times New Roman" w:eastAsia="黑体" w:cs="Times New Roman"/>
          <w:color w:val="000000" w:themeColor="text1"/>
          <w:sz w:val="28"/>
          <w:szCs w:val="28"/>
          <w:highlight w:val="none"/>
          <w14:textFill>
            <w14:solidFill>
              <w14:schemeClr w14:val="tx1"/>
            </w14:solidFill>
          </w14:textFill>
        </w:rPr>
        <w:t>第一节 谈判须知前附表</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tbl>
      <w:tblPr>
        <w:tblStyle w:val="44"/>
        <w:tblW w:w="943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39"/>
        <w:gridCol w:w="1881"/>
        <w:gridCol w:w="6019"/>
      </w:tblGrid>
      <w:tr w14:paraId="1A405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tblHeader/>
          <w:jc w:val="center"/>
        </w:trPr>
        <w:tc>
          <w:tcPr>
            <w:tcW w:w="1539" w:type="dxa"/>
            <w:vAlign w:val="top"/>
          </w:tcPr>
          <w:p w14:paraId="1FDAF301">
            <w:pPr>
              <w:keepNext w:val="0"/>
              <w:keepLines w:val="0"/>
              <w:pageBreakBefore w:val="0"/>
              <w:widowControl w:val="0"/>
              <w:kinsoku/>
              <w:autoSpaceDE/>
              <w:autoSpaceDN/>
              <w:bidi w:val="0"/>
              <w:adjustRightInd w:val="0"/>
              <w:snapToGrid w:val="0"/>
              <w:spacing w:before="156" w:beforeLines="50" w:line="288" w:lineRule="auto"/>
              <w:jc w:val="center"/>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条款号</w:t>
            </w:r>
          </w:p>
        </w:tc>
        <w:tc>
          <w:tcPr>
            <w:tcW w:w="1881" w:type="dxa"/>
            <w:vAlign w:val="top"/>
          </w:tcPr>
          <w:p w14:paraId="1927375B">
            <w:pPr>
              <w:keepNext w:val="0"/>
              <w:keepLines w:val="0"/>
              <w:pageBreakBefore w:val="0"/>
              <w:widowControl w:val="0"/>
              <w:kinsoku/>
              <w:autoSpaceDE/>
              <w:autoSpaceDN/>
              <w:bidi w:val="0"/>
              <w:adjustRightInd w:val="0"/>
              <w:snapToGrid w:val="0"/>
              <w:spacing w:before="156" w:beforeLines="50" w:line="288" w:lineRule="auto"/>
              <w:jc w:val="center"/>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条款名称</w:t>
            </w:r>
          </w:p>
        </w:tc>
        <w:tc>
          <w:tcPr>
            <w:tcW w:w="6019" w:type="dxa"/>
            <w:vAlign w:val="top"/>
          </w:tcPr>
          <w:p w14:paraId="7801A26C">
            <w:pPr>
              <w:keepNext w:val="0"/>
              <w:keepLines w:val="0"/>
              <w:pageBreakBefore w:val="0"/>
              <w:widowControl w:val="0"/>
              <w:kinsoku/>
              <w:autoSpaceDE/>
              <w:autoSpaceDN/>
              <w:bidi w:val="0"/>
              <w:adjustRightInd w:val="0"/>
              <w:snapToGrid w:val="0"/>
              <w:spacing w:before="156" w:beforeLines="50" w:line="288" w:lineRule="auto"/>
              <w:jc w:val="center"/>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编列内容规定</w:t>
            </w:r>
          </w:p>
        </w:tc>
      </w:tr>
      <w:tr w14:paraId="0A0D4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9" w:hRule="atLeast"/>
          <w:jc w:val="center"/>
        </w:trPr>
        <w:tc>
          <w:tcPr>
            <w:tcW w:w="9439" w:type="dxa"/>
            <w:gridSpan w:val="3"/>
            <w:vAlign w:val="center"/>
          </w:tcPr>
          <w:p w14:paraId="15A61862">
            <w:pPr>
              <w:keepNext w:val="0"/>
              <w:keepLines w:val="0"/>
              <w:pageBreakBefore w:val="0"/>
              <w:widowControl w:val="0"/>
              <w:kinsoku/>
              <w:autoSpaceDE/>
              <w:autoSpaceDN/>
              <w:bidi w:val="0"/>
              <w:adjustRightInd w:val="0"/>
              <w:snapToGrid w:val="0"/>
              <w:spacing w:before="50" w:line="288" w:lineRule="auto"/>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一、说明</w:t>
            </w:r>
          </w:p>
        </w:tc>
      </w:tr>
      <w:tr w14:paraId="377A5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1539" w:type="dxa"/>
            <w:vAlign w:val="center"/>
          </w:tcPr>
          <w:p w14:paraId="00031F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第1.1款</w:t>
            </w:r>
          </w:p>
        </w:tc>
        <w:tc>
          <w:tcPr>
            <w:tcW w:w="1881" w:type="dxa"/>
            <w:vAlign w:val="center"/>
          </w:tcPr>
          <w:p w14:paraId="3315C6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采购项目</w:t>
            </w:r>
          </w:p>
        </w:tc>
        <w:tc>
          <w:tcPr>
            <w:tcW w:w="6019" w:type="dxa"/>
            <w:vAlign w:val="center"/>
          </w:tcPr>
          <w:p w14:paraId="1FB6067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机器视觉应用实训室建设项目</w:t>
            </w:r>
          </w:p>
        </w:tc>
      </w:tr>
      <w:tr w14:paraId="4D2D32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8" w:hRule="atLeast"/>
          <w:jc w:val="center"/>
        </w:trPr>
        <w:tc>
          <w:tcPr>
            <w:tcW w:w="1539" w:type="dxa"/>
            <w:vAlign w:val="center"/>
          </w:tcPr>
          <w:p w14:paraId="5C63BC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780A85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是否预留采购份额</w:t>
            </w:r>
          </w:p>
        </w:tc>
        <w:tc>
          <w:tcPr>
            <w:tcW w:w="6019" w:type="dxa"/>
            <w:vAlign w:val="center"/>
          </w:tcPr>
          <w:p w14:paraId="0E4EB6BB">
            <w:pPr>
              <w:keepNext w:val="0"/>
              <w:keepLines w:val="0"/>
              <w:pageBreakBefore w:val="0"/>
              <w:widowControl w:val="0"/>
              <w:kinsoku/>
              <w:wordWrap/>
              <w:overflowPunct/>
              <w:topLinePunct w:val="0"/>
              <w:autoSpaceDE/>
              <w:autoSpaceDN/>
              <w:bidi w:val="0"/>
              <w:adjustRightInd w:val="0"/>
              <w:snapToGrid w:val="0"/>
              <w:spacing w:line="300" w:lineRule="exact"/>
              <w:rPr>
                <w:rFonts w:hint="default" w:ascii="Times New Roman" w:hAnsi="Times New Roman" w:eastAsia="宋体" w:cs="Times New Roman"/>
                <w:color w:val="000000" w:themeColor="text1"/>
                <w:highlight w:val="none"/>
                <w:u w:val="single"/>
                <w:lang w:val="en-US" w:eastAsia="zh-CN"/>
                <w14:textFill>
                  <w14:solidFill>
                    <w14:schemeClr w14:val="tx1"/>
                  </w14:solidFill>
                </w14:textFill>
              </w:rPr>
            </w:pPr>
            <w:r>
              <w:rPr>
                <w:rFonts w:hint="default" w:ascii="Times New Roman" w:hAnsi="Times New Roman" w:cs="Times New Roman"/>
                <w:iCs/>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是，预留方式：</w:t>
            </w:r>
            <w:r>
              <w:rPr>
                <w:rFonts w:hint="default" w:ascii="Times New Roman" w:hAnsi="Times New Roman" w:cs="Times New Roman"/>
                <w:color w:val="000000" w:themeColor="text1"/>
                <w:highlight w:val="none"/>
                <w:u w:val="single"/>
                <w:lang w:val="en-US" w:eastAsia="zh-CN"/>
                <w14:textFill>
                  <w14:solidFill>
                    <w14:schemeClr w14:val="tx1"/>
                  </w14:solidFill>
                </w14:textFill>
              </w:rPr>
              <w:t>（本项目专门面向中小企业采购）</w:t>
            </w:r>
            <w:r>
              <w:rPr>
                <w:rFonts w:hint="default" w:ascii="Times New Roman" w:hAnsi="Times New Roman" w:cs="Times New Roman"/>
                <w:color w:val="000000" w:themeColor="text1"/>
                <w:highlight w:val="none"/>
                <w:u w:val="none"/>
                <w:lang w:val="en-US" w:eastAsia="zh-CN"/>
                <w14:textFill>
                  <w14:solidFill>
                    <w14:schemeClr w14:val="tx1"/>
                  </w14:solidFill>
                </w14:textFill>
              </w:rPr>
              <w:t>。</w:t>
            </w:r>
          </w:p>
          <w:p w14:paraId="153F864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cs="Times New Roman"/>
                <w:iCs/>
                <w:color w:val="000000" w:themeColor="text1"/>
                <w:szCs w:val="21"/>
                <w:highlight w:val="none"/>
                <w:lang w:val="en-US" w:eastAsia="zh-CN"/>
                <w14:textFill>
                  <w14:solidFill>
                    <w14:schemeClr w14:val="tx1"/>
                  </w14:solidFill>
                </w14:textFill>
              </w:rPr>
              <w:t>否。</w:t>
            </w:r>
          </w:p>
        </w:tc>
      </w:tr>
      <w:tr w14:paraId="59B413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6" w:hRule="atLeast"/>
          <w:jc w:val="center"/>
        </w:trPr>
        <w:tc>
          <w:tcPr>
            <w:tcW w:w="1539" w:type="dxa"/>
            <w:vAlign w:val="center"/>
          </w:tcPr>
          <w:p w14:paraId="2A290A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第2.1款</w:t>
            </w:r>
          </w:p>
        </w:tc>
        <w:tc>
          <w:tcPr>
            <w:tcW w:w="1881" w:type="dxa"/>
            <w:vAlign w:val="center"/>
          </w:tcPr>
          <w:p w14:paraId="4EB3F9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采购项目联系人姓名和电话</w:t>
            </w:r>
          </w:p>
        </w:tc>
        <w:tc>
          <w:tcPr>
            <w:tcW w:w="6019" w:type="dxa"/>
            <w:vAlign w:val="center"/>
          </w:tcPr>
          <w:p w14:paraId="4A4B01F8">
            <w:pPr>
              <w:pStyle w:val="23"/>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联系人：</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叶章丽</w:t>
            </w:r>
          </w:p>
          <w:p w14:paraId="418B0031">
            <w:pPr>
              <w:pStyle w:val="23"/>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电  话：0731-28470821</w:t>
            </w:r>
          </w:p>
        </w:tc>
      </w:tr>
      <w:tr w14:paraId="451E0B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1539" w:type="dxa"/>
            <w:vAlign w:val="center"/>
          </w:tcPr>
          <w:p w14:paraId="76C92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第2.2款</w:t>
            </w:r>
          </w:p>
        </w:tc>
        <w:tc>
          <w:tcPr>
            <w:tcW w:w="1881" w:type="dxa"/>
            <w:vAlign w:val="center"/>
          </w:tcPr>
          <w:p w14:paraId="4DAE58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采购人名称、地址、电话、联系人</w:t>
            </w:r>
          </w:p>
        </w:tc>
        <w:tc>
          <w:tcPr>
            <w:tcW w:w="6019" w:type="dxa"/>
            <w:vAlign w:val="center"/>
          </w:tcPr>
          <w:p w14:paraId="069AD50C">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名 </w:t>
            </w:r>
            <w:r>
              <w:rPr>
                <w:rFonts w:hint="default" w:ascii="Times New Roman" w:hAnsi="Times New Roman" w:cs="Times New Roman"/>
                <w:color w:val="000000" w:themeColor="text1"/>
                <w:kern w:val="0"/>
                <w:szCs w:val="21"/>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称：</w:t>
            </w:r>
            <w:r>
              <w:rPr>
                <w:rFonts w:hint="eastAsia" w:ascii="Times New Roman" w:hAnsi="Times New Roman" w:cs="Times New Roman"/>
                <w:color w:val="000000" w:themeColor="text1"/>
                <w:kern w:val="0"/>
                <w:sz w:val="21"/>
                <w:szCs w:val="21"/>
                <w:highlight w:val="none"/>
                <w:u w:val="none"/>
                <w:lang w:eastAsia="zh-CN"/>
                <w14:textFill>
                  <w14:solidFill>
                    <w14:schemeClr w14:val="tx1"/>
                  </w14:solidFill>
                </w14:textFill>
              </w:rPr>
              <w:t>湖南汽车工程职业大学</w:t>
            </w: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                              地  址：</w:t>
            </w:r>
            <w:r>
              <w:rPr>
                <w:rFonts w:hint="default" w:ascii="Times New Roman" w:hAnsi="Times New Roman" w:cs="Times New Roman"/>
                <w:color w:val="000000" w:themeColor="text1"/>
                <w:kern w:val="0"/>
                <w:szCs w:val="21"/>
                <w:highlight w:val="none"/>
                <w:u w:val="none"/>
                <w:lang w:eastAsia="zh-CN"/>
                <w14:textFill>
                  <w14:solidFill>
                    <w14:schemeClr w14:val="tx1"/>
                  </w14:solidFill>
                </w14:textFill>
              </w:rPr>
              <w:t>湖南省株洲市云龙示范区智慧路79号</w:t>
            </w: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    </w:t>
            </w:r>
          </w:p>
          <w:p w14:paraId="0C87AFE1">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联系人：</w:t>
            </w:r>
            <w:r>
              <w:rPr>
                <w:rFonts w:hint="default" w:ascii="Times New Roman" w:hAnsi="Times New Roman" w:cs="Times New Roman"/>
                <w:color w:val="000000" w:themeColor="text1"/>
                <w:kern w:val="0"/>
                <w:szCs w:val="21"/>
                <w:highlight w:val="none"/>
                <w:u w:val="none"/>
                <w:lang w:val="en-US" w:eastAsia="zh-CN"/>
                <w14:textFill>
                  <w14:solidFill>
                    <w14:schemeClr w14:val="tx1"/>
                  </w14:solidFill>
                </w14:textFill>
              </w:rPr>
              <w:t>陈洁</w:t>
            </w:r>
          </w:p>
          <w:p w14:paraId="75EB477B">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电</w:t>
            </w:r>
            <w:r>
              <w:rPr>
                <w:rFonts w:hint="default" w:ascii="Times New Roman" w:hAnsi="Times New Roman" w:cs="Times New Roman"/>
                <w:color w:val="000000" w:themeColor="text1"/>
                <w:kern w:val="0"/>
                <w:szCs w:val="21"/>
                <w:highlight w:val="none"/>
                <w:u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话：</w:t>
            </w:r>
            <w:r>
              <w:rPr>
                <w:rFonts w:hint="default" w:ascii="Times New Roman" w:hAnsi="Times New Roman" w:cs="Times New Roman"/>
                <w:color w:val="000000" w:themeColor="text1"/>
                <w:kern w:val="0"/>
                <w:szCs w:val="21"/>
                <w:highlight w:val="none"/>
                <w:u w:val="none"/>
                <w:lang w:val="en-US" w:eastAsia="zh-CN"/>
                <w14:textFill>
                  <w14:solidFill>
                    <w14:schemeClr w14:val="tx1"/>
                  </w14:solidFill>
                </w14:textFill>
              </w:rPr>
              <w:t>0731-22111048</w:t>
            </w:r>
          </w:p>
        </w:tc>
      </w:tr>
      <w:tr w14:paraId="788B88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7" w:hRule="atLeast"/>
          <w:jc w:val="center"/>
        </w:trPr>
        <w:tc>
          <w:tcPr>
            <w:tcW w:w="1539" w:type="dxa"/>
            <w:vAlign w:val="center"/>
          </w:tcPr>
          <w:p w14:paraId="29D45E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第2.3款</w:t>
            </w:r>
          </w:p>
        </w:tc>
        <w:tc>
          <w:tcPr>
            <w:tcW w:w="1881" w:type="dxa"/>
            <w:vAlign w:val="center"/>
          </w:tcPr>
          <w:p w14:paraId="61F4AB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采购代理机构名称、地址、电话、联系人</w:t>
            </w:r>
          </w:p>
        </w:tc>
        <w:tc>
          <w:tcPr>
            <w:tcW w:w="6019" w:type="dxa"/>
            <w:vAlign w:val="center"/>
          </w:tcPr>
          <w:p w14:paraId="1DFFF1C1">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名  称：湖南宏源中柱工程项目管理有限公司     </w:t>
            </w:r>
          </w:p>
          <w:p w14:paraId="424FBA6A">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地  址：株洲市天元区长江北路华晨大拇指广场写字楼11楼     </w:t>
            </w:r>
          </w:p>
          <w:p w14:paraId="7B930E44">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联系人：</w:t>
            </w:r>
            <w:r>
              <w:rPr>
                <w:rFonts w:hint="default" w:ascii="Times New Roman" w:hAnsi="Times New Roman" w:cs="Times New Roman"/>
                <w:color w:val="000000" w:themeColor="text1"/>
                <w:kern w:val="0"/>
                <w:szCs w:val="21"/>
                <w:highlight w:val="none"/>
                <w:u w:val="none"/>
                <w:lang w:val="en-US" w:eastAsia="zh-CN"/>
                <w14:textFill>
                  <w14:solidFill>
                    <w14:schemeClr w14:val="tx1"/>
                  </w14:solidFill>
                </w14:textFill>
              </w:rPr>
              <w:t>叶章丽、李敏</w:t>
            </w: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                           </w:t>
            </w:r>
          </w:p>
          <w:p w14:paraId="3F93954A">
            <w:pPr>
              <w:pStyle w:val="23"/>
              <w:keepNext w:val="0"/>
              <w:keepLines w:val="0"/>
              <w:pageBreakBefore w:val="0"/>
              <w:widowControl/>
              <w:kinsoku/>
              <w:wordWrap/>
              <w:overflowPunct/>
              <w:topLinePunct w:val="0"/>
              <w:autoSpaceDE/>
              <w:autoSpaceDN/>
              <w:bidi w:val="0"/>
              <w:adjustRightInd w:val="0"/>
              <w:snapToGrid w:val="0"/>
              <w:spacing w:beforeLines="0" w:line="300" w:lineRule="exact"/>
              <w:jc w:val="left"/>
              <w:textAlignment w:val="auto"/>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u w:val="none"/>
                <w:lang w:val="en-US" w:eastAsia="zh-CN"/>
                <w14:textFill>
                  <w14:solidFill>
                    <w14:schemeClr w14:val="tx1"/>
                  </w14:solidFill>
                </w14:textFill>
              </w:rPr>
              <w:t xml:space="preserve">电  话：0731-28470821   </w:t>
            </w:r>
          </w:p>
        </w:tc>
      </w:tr>
      <w:tr w14:paraId="6A32E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39" w:type="dxa"/>
            <w:tcBorders>
              <w:bottom w:val="single" w:color="auto" w:sz="4" w:space="0"/>
            </w:tcBorders>
            <w:vAlign w:val="center"/>
          </w:tcPr>
          <w:p w14:paraId="48081CA0">
            <w:pPr>
              <w:keepNext w:val="0"/>
              <w:keepLines w:val="0"/>
              <w:pageBreakBefore w:val="0"/>
              <w:widowControl w:val="0"/>
              <w:kinsoku/>
              <w:wordWrap/>
              <w:overflowPunct/>
              <w:topLinePunct w:val="0"/>
              <w:autoSpaceDE/>
              <w:autoSpaceDN/>
              <w:bidi w:val="0"/>
              <w:adjustRightInd w:val="0"/>
              <w:snapToGrid w:val="0"/>
              <w:spacing w:before="50"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第3.1款</w:t>
            </w:r>
          </w:p>
        </w:tc>
        <w:tc>
          <w:tcPr>
            <w:tcW w:w="1881" w:type="dxa"/>
            <w:vAlign w:val="center"/>
          </w:tcPr>
          <w:p w14:paraId="6D8DC787">
            <w:pPr>
              <w:keepNext w:val="0"/>
              <w:keepLines w:val="0"/>
              <w:pageBreakBefore w:val="0"/>
              <w:widowControl w:val="0"/>
              <w:kinsoku/>
              <w:wordWrap/>
              <w:overflowPunct/>
              <w:topLinePunct w:val="0"/>
              <w:autoSpaceDE/>
              <w:autoSpaceDN/>
              <w:bidi w:val="0"/>
              <w:adjustRightInd w:val="0"/>
              <w:snapToGrid w:val="0"/>
              <w:spacing w:before="50"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供应商</w:t>
            </w:r>
            <w:r>
              <w:rPr>
                <w:rFonts w:hint="default" w:ascii="Times New Roman" w:hAnsi="Times New Roman" w:cs="Times New Roman"/>
                <w:color w:val="000000" w:themeColor="text1"/>
                <w:szCs w:val="21"/>
                <w:highlight w:val="none"/>
                <w14:textFill>
                  <w14:solidFill>
                    <w14:schemeClr w14:val="tx1"/>
                  </w14:solidFill>
                </w14:textFill>
              </w:rPr>
              <w:t>资格条件</w:t>
            </w:r>
          </w:p>
        </w:tc>
        <w:tc>
          <w:tcPr>
            <w:tcW w:w="6019" w:type="dxa"/>
            <w:vAlign w:val="top"/>
          </w:tcPr>
          <w:p w14:paraId="7C9BF857">
            <w:pPr>
              <w:pStyle w:val="43"/>
              <w:keepNext w:val="0"/>
              <w:keepLines w:val="0"/>
              <w:pageBreakBefore w:val="0"/>
              <w:kinsoku/>
              <w:wordWrap/>
              <w:overflowPunct/>
              <w:topLinePunct w:val="0"/>
              <w:autoSpaceDE/>
              <w:autoSpaceDN/>
              <w:bidi w:val="0"/>
              <w:adjustRightInd/>
              <w:snapToGrid/>
              <w:spacing w:after="0" w:line="288" w:lineRule="auto"/>
              <w:ind w:left="0" w:lef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1、满足《中华人民共和国政府采购法》第二十二条规定。 </w:t>
            </w:r>
          </w:p>
          <w:p w14:paraId="758522FF">
            <w:pPr>
              <w:pStyle w:val="43"/>
              <w:keepNext w:val="0"/>
              <w:keepLines w:val="0"/>
              <w:pageBreakBefore w:val="0"/>
              <w:kinsoku/>
              <w:wordWrap/>
              <w:overflowPunct/>
              <w:topLinePunct w:val="0"/>
              <w:autoSpaceDE/>
              <w:autoSpaceDN/>
              <w:bidi w:val="0"/>
              <w:adjustRightInd/>
              <w:snapToGrid/>
              <w:spacing w:after="0" w:line="288" w:lineRule="auto"/>
              <w:ind w:left="0" w:lef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2、落实政府采购政策需满足的资格要求：</w:t>
            </w:r>
          </w:p>
          <w:p w14:paraId="3F2E3DE4">
            <w:pPr>
              <w:pStyle w:val="43"/>
              <w:keepNext w:val="0"/>
              <w:keepLines w:val="0"/>
              <w:pageBreakBefore w:val="0"/>
              <w:kinsoku/>
              <w:wordWrap/>
              <w:overflowPunct/>
              <w:topLinePunct w:val="0"/>
              <w:autoSpaceDE/>
              <w:autoSpaceDN/>
              <w:bidi w:val="0"/>
              <w:adjustRightInd/>
              <w:snapToGrid/>
              <w:spacing w:after="0" w:line="288" w:lineRule="auto"/>
              <w:ind w:left="0" w:lef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专门面向：</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中小企业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小微企业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监狱企业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福利性单位</w:t>
            </w:r>
          </w:p>
          <w:p w14:paraId="563370C3">
            <w:pPr>
              <w:keepNext w:val="0"/>
              <w:keepLines w:val="0"/>
              <w:pageBreakBefore w:val="0"/>
              <w:widowControl/>
              <w:kinsoku/>
              <w:wordWrap/>
              <w:overflowPunct/>
              <w:topLinePunct w:val="0"/>
              <w:autoSpaceDE/>
              <w:autoSpaceDN/>
              <w:bidi w:val="0"/>
              <w:adjustRightInd/>
              <w:snapToGrid/>
              <w:spacing w:line="288" w:lineRule="auto"/>
              <w:ind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强制分包：大型企业应将采购份额的</w:t>
            </w:r>
            <w:r>
              <w:rPr>
                <w:rFonts w:hint="default"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分包给中小企业。</w:t>
            </w:r>
          </w:p>
          <w:p w14:paraId="36E2E5B9">
            <w:pPr>
              <w:keepNext w:val="0"/>
              <w:keepLines w:val="0"/>
              <w:pageBreakBefore w:val="0"/>
              <w:widowControl/>
              <w:numPr>
                <w:ilvl w:val="0"/>
                <w:numId w:val="0"/>
              </w:numPr>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采购项目的特定资格条件：</w:t>
            </w:r>
          </w:p>
          <w:p w14:paraId="593907A4">
            <w:pPr>
              <w:keepNext w:val="0"/>
              <w:keepLines w:val="0"/>
              <w:pageBreakBefore w:val="0"/>
              <w:widowControl/>
              <w:numPr>
                <w:ilvl w:val="0"/>
                <w:numId w:val="0"/>
              </w:numPr>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eastAsiaTheme="minorEastAsia"/>
                <w:color w:val="auto"/>
                <w:spacing w:val="6"/>
                <w:kern w:val="0"/>
                <w:sz w:val="21"/>
                <w:szCs w:val="21"/>
                <w:highlight w:val="none"/>
                <w:lang w:val="en-US" w:eastAsia="zh-CN" w:bidi="ar"/>
              </w:rPr>
            </w:pPr>
            <w:r>
              <w:rPr>
                <w:rFonts w:hint="default" w:ascii="Times New Roman" w:hAnsi="Times New Roman" w:cs="Times New Roman" w:eastAsiaTheme="minorEastAsia"/>
                <w:color w:val="auto"/>
                <w:spacing w:val="6"/>
                <w:kern w:val="0"/>
                <w:sz w:val="21"/>
                <w:szCs w:val="21"/>
                <w:highlight w:val="none"/>
                <w:lang w:val="en-US" w:eastAsia="zh-CN" w:bidi="ar"/>
              </w:rPr>
              <w:t>（1）供应商须提供</w:t>
            </w:r>
            <w:r>
              <w:rPr>
                <w:rFonts w:hint="default" w:ascii="Times New Roman" w:hAnsi="Times New Roman" w:eastAsia="宋体" w:cs="Times New Roman"/>
                <w:b w:val="0"/>
                <w:bCs w:val="0"/>
                <w:i w:val="0"/>
                <w:caps w:val="0"/>
                <w:color w:val="000000"/>
                <w:spacing w:val="6"/>
                <w:kern w:val="0"/>
                <w:sz w:val="21"/>
                <w:szCs w:val="21"/>
                <w:highlight w:val="none"/>
                <w:lang w:bidi="ar"/>
              </w:rPr>
              <w:t>中小企业声明函、</w:t>
            </w:r>
            <w:r>
              <w:rPr>
                <w:rFonts w:hint="default" w:ascii="Times New Roman" w:hAnsi="Times New Roman" w:cs="Times New Roman" w:eastAsiaTheme="minorEastAsia"/>
                <w:color w:val="auto"/>
                <w:spacing w:val="6"/>
                <w:kern w:val="0"/>
                <w:sz w:val="21"/>
                <w:szCs w:val="21"/>
                <w:highlight w:val="none"/>
                <w:lang w:val="en-US" w:eastAsia="zh-CN" w:bidi="ar"/>
              </w:rPr>
              <w:t>湖南省政府采购供应商资格承诺函，具体格式详见</w:t>
            </w:r>
            <w:r>
              <w:rPr>
                <w:rFonts w:hint="default" w:ascii="Times New Roman" w:hAnsi="Times New Roman" w:eastAsia="宋体" w:cs="Times New Roman"/>
                <w:color w:val="auto"/>
                <w:spacing w:val="6"/>
                <w:kern w:val="0"/>
                <w:sz w:val="21"/>
                <w:szCs w:val="21"/>
                <w:highlight w:val="none"/>
                <w:lang w:val="en-US" w:eastAsia="zh-CN" w:bidi="ar"/>
              </w:rPr>
              <w:t>第五章响应文件组成</w:t>
            </w:r>
            <w:r>
              <w:rPr>
                <w:rFonts w:hint="default" w:ascii="Times New Roman" w:hAnsi="Times New Roman" w:cs="Times New Roman"/>
                <w:color w:val="auto"/>
                <w:spacing w:val="6"/>
                <w:kern w:val="0"/>
                <w:sz w:val="21"/>
                <w:szCs w:val="21"/>
                <w:highlight w:val="none"/>
                <w:lang w:val="en-US" w:eastAsia="zh-CN" w:bidi="ar"/>
              </w:rPr>
              <w:t>格式</w:t>
            </w:r>
            <w:r>
              <w:rPr>
                <w:rFonts w:hint="default" w:ascii="Times New Roman" w:hAnsi="Times New Roman" w:cs="Times New Roman" w:eastAsiaTheme="minorEastAsia"/>
                <w:color w:val="auto"/>
                <w:spacing w:val="6"/>
                <w:kern w:val="0"/>
                <w:sz w:val="21"/>
                <w:szCs w:val="21"/>
                <w:highlight w:val="none"/>
                <w:lang w:val="en-US" w:eastAsia="zh-CN" w:bidi="ar"/>
              </w:rPr>
              <w:t>。（本项目所属行业为“工业”，其中</w:t>
            </w:r>
            <w:r>
              <w:rPr>
                <w:rFonts w:hint="eastAsia" w:ascii="Times New Roman" w:hAnsi="Times New Roman" w:cs="Times New Roman" w:eastAsiaTheme="minorEastAsia"/>
                <w:color w:val="auto"/>
                <w:spacing w:val="6"/>
                <w:kern w:val="0"/>
                <w:sz w:val="21"/>
                <w:szCs w:val="21"/>
                <w:highlight w:val="none"/>
                <w:lang w:val="en-US" w:eastAsia="zh-CN" w:bidi="ar"/>
              </w:rPr>
              <w:t>供应商</w:t>
            </w:r>
            <w:r>
              <w:rPr>
                <w:rFonts w:hint="default" w:ascii="Times New Roman" w:hAnsi="Times New Roman" w:cs="Times New Roman" w:eastAsiaTheme="minorEastAsia"/>
                <w:color w:val="auto"/>
                <w:spacing w:val="6"/>
                <w:kern w:val="0"/>
                <w:sz w:val="21"/>
                <w:szCs w:val="21"/>
                <w:highlight w:val="none"/>
                <w:lang w:val="en-US" w:eastAsia="zh-CN" w:bidi="ar"/>
              </w:rPr>
              <w:t>企业规模认定按照《中小企业划型标准规定》工信部联企业【2011】300号文执行）。</w:t>
            </w:r>
          </w:p>
          <w:p w14:paraId="7151DFAB">
            <w:pPr>
              <w:keepNext w:val="0"/>
              <w:keepLines w:val="0"/>
              <w:pageBreakBefore w:val="0"/>
              <w:widowControl/>
              <w:kinsoku/>
              <w:wordWrap/>
              <w:overflowPunct/>
              <w:topLinePunct w:val="0"/>
              <w:autoSpaceDE/>
              <w:autoSpaceDN/>
              <w:bidi w:val="0"/>
              <w:adjustRightInd/>
              <w:snapToGrid/>
              <w:spacing w:line="288" w:lineRule="auto"/>
              <w:ind w:firstLine="0" w:firstLineChars="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eastAsiaTheme="minorEastAsia"/>
                <w:color w:val="auto"/>
                <w:spacing w:val="6"/>
                <w:kern w:val="0"/>
                <w:sz w:val="21"/>
                <w:szCs w:val="21"/>
                <w:highlight w:val="none"/>
                <w:lang w:val="en-US" w:eastAsia="zh-CN" w:bidi="ar"/>
              </w:rPr>
              <w:t>（2）要求供应商无不良信用记录，信用信息查询的查询渠道：“信用中国”网站（www.creditchina.gov.cn）、中国政府采购网（www.ccgp.gov.cn）、对列入失信被执行人、重大税收违法案件当事人名单、采购严重违法失信行为记录名单的供应商，应当拒绝其参与采购活动</w:t>
            </w:r>
            <w:r>
              <w:rPr>
                <w:rFonts w:hint="default" w:ascii="Times New Roman" w:hAnsi="Times New Roman" w:eastAsia="宋体" w:cs="Times New Roman"/>
                <w:b w:val="0"/>
                <w:bCs w:val="0"/>
                <w:i w:val="0"/>
                <w:caps w:val="0"/>
                <w:color w:val="000000" w:themeColor="text1"/>
                <w:spacing w:val="6"/>
                <w:kern w:val="0"/>
                <w:sz w:val="21"/>
                <w:szCs w:val="21"/>
                <w:highlight w:val="none"/>
                <w:lang w:bidi="ar"/>
                <w14:textFill>
                  <w14:solidFill>
                    <w14:schemeClr w14:val="tx1"/>
                  </w14:solidFill>
                </w14:textFill>
              </w:rPr>
              <w:t>。</w:t>
            </w:r>
          </w:p>
          <w:p w14:paraId="44722DDC">
            <w:pPr>
              <w:keepNext w:val="0"/>
              <w:keepLines w:val="0"/>
              <w:pageBreakBefore w:val="0"/>
              <w:widowControl/>
              <w:kinsoku/>
              <w:wordWrap/>
              <w:overflowPunct/>
              <w:topLinePunct w:val="0"/>
              <w:autoSpaceDE/>
              <w:autoSpaceDN/>
              <w:bidi w:val="0"/>
              <w:adjustRightInd/>
              <w:snapToGrid/>
              <w:spacing w:line="288" w:lineRule="auto"/>
              <w:ind w:firstLine="0" w:firstLineChars="0"/>
              <w:jc w:val="left"/>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4</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、单位负责人为同一人或者存在直接控股、管理关系的不同</w:t>
            </w:r>
            <w:r>
              <w:rPr>
                <w:rFonts w:hint="default" w:ascii="Times New Roman" w:hAnsi="Times New Roman" w:eastAsia="宋体" w:cs="Times New Roman"/>
                <w:color w:val="000000" w:themeColor="text1"/>
                <w:spacing w:val="6"/>
                <w:kern w:val="0"/>
                <w:sz w:val="21"/>
                <w:szCs w:val="21"/>
                <w:highlight w:val="none"/>
                <w:lang w:eastAsia="zh-CN" w:bidi="ar"/>
                <w14:textFill>
                  <w14:solidFill>
                    <w14:schemeClr w14:val="tx1"/>
                  </w14:solidFill>
                </w14:textFill>
              </w:rPr>
              <w:t>供应商</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，不得参加同一合同项下的政府采购活动。</w:t>
            </w:r>
          </w:p>
          <w:p w14:paraId="11997F27">
            <w:pPr>
              <w:keepNext w:val="0"/>
              <w:keepLines w:val="0"/>
              <w:pageBreakBefore w:val="0"/>
              <w:widowControl/>
              <w:kinsoku/>
              <w:wordWrap/>
              <w:overflowPunct/>
              <w:topLinePunct w:val="0"/>
              <w:autoSpaceDE/>
              <w:autoSpaceDN/>
              <w:bidi w:val="0"/>
              <w:adjustRightInd/>
              <w:snapToGrid/>
              <w:spacing w:line="288" w:lineRule="auto"/>
              <w:ind w:firstLine="0" w:firstLineChars="0"/>
              <w:jc w:val="left"/>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、为本采购项目提供整体设计、规范编制或者项目管理、监理、检测等服务的，不得再参加此项目的其他招标采购活动。</w:t>
            </w:r>
          </w:p>
          <w:p w14:paraId="099F4261">
            <w:pPr>
              <w:keepNext w:val="0"/>
              <w:keepLines w:val="0"/>
              <w:pageBreakBefore w:val="0"/>
              <w:widowControl/>
              <w:kinsoku/>
              <w:wordWrap/>
              <w:overflowPunct/>
              <w:topLinePunct w:val="0"/>
              <w:autoSpaceDE/>
              <w:autoSpaceDN/>
              <w:bidi w:val="0"/>
              <w:adjustRightInd/>
              <w:snapToGrid/>
              <w:spacing w:line="288" w:lineRule="auto"/>
              <w:ind w:firstLine="0" w:firstLineChars="0"/>
              <w:jc w:val="left"/>
              <w:textAlignment w:val="auto"/>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6</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、列入失信被执行人、重大税收违法案件当事人名单，列入政府采购严重违法失信行为记录名单的，拒绝其参与政府采购活动。</w:t>
            </w:r>
          </w:p>
          <w:p w14:paraId="24E9619F">
            <w:pPr>
              <w:keepNext w:val="0"/>
              <w:keepLines w:val="0"/>
              <w:pageBreakBefore w:val="0"/>
              <w:widowControl/>
              <w:kinsoku/>
              <w:wordWrap/>
              <w:overflowPunct/>
              <w:topLinePunct w:val="0"/>
              <w:autoSpaceDE/>
              <w:autoSpaceDN/>
              <w:bidi w:val="0"/>
              <w:adjustRightInd/>
              <w:snapToGrid/>
              <w:spacing w:before="0" w:line="288" w:lineRule="auto"/>
              <w:ind w:firstLine="0" w:firstLineChars="0"/>
              <w:jc w:val="left"/>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、联合体响应。本次采购</w:t>
            </w:r>
            <w:r>
              <w:rPr>
                <w:rFonts w:hint="default" w:ascii="Times New Roman" w:hAnsi="Times New Roman" w:eastAsia="宋体" w:cs="Times New Roman"/>
                <w:color w:val="000000" w:themeColor="text1"/>
                <w:spacing w:val="6"/>
                <w:kern w:val="0"/>
                <w:sz w:val="21"/>
                <w:szCs w:val="21"/>
                <w:highlight w:val="none"/>
                <w:u w:val="single"/>
                <w:lang w:bidi="ar"/>
                <w14:textFill>
                  <w14:solidFill>
                    <w14:schemeClr w14:val="tx1"/>
                  </w14:solidFill>
                </w14:textFill>
              </w:rPr>
              <w:t>不接受</w:t>
            </w:r>
            <w:r>
              <w:rPr>
                <w:rFonts w:hint="default" w:ascii="Times New Roman" w:hAnsi="Times New Roman" w:eastAsia="宋体" w:cs="Times New Roman"/>
                <w:color w:val="000000" w:themeColor="text1"/>
                <w:spacing w:val="6"/>
                <w:kern w:val="0"/>
                <w:sz w:val="21"/>
                <w:szCs w:val="21"/>
                <w:highlight w:val="none"/>
                <w:lang w:bidi="ar"/>
                <w14:textFill>
                  <w14:solidFill>
                    <w14:schemeClr w14:val="tx1"/>
                  </w14:solidFill>
                </w14:textFill>
              </w:rPr>
              <w:t>联合体响应。</w:t>
            </w:r>
          </w:p>
        </w:tc>
      </w:tr>
      <w:tr w14:paraId="5BC56B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1539" w:type="dxa"/>
            <w:tcBorders>
              <w:bottom w:val="single" w:color="auto" w:sz="4" w:space="0"/>
            </w:tcBorders>
            <w:vAlign w:val="center"/>
          </w:tcPr>
          <w:p w14:paraId="4A0221F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第3.2款</w:t>
            </w:r>
          </w:p>
        </w:tc>
        <w:tc>
          <w:tcPr>
            <w:tcW w:w="1881" w:type="dxa"/>
            <w:vAlign w:val="center"/>
          </w:tcPr>
          <w:p w14:paraId="4D14E3C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是否接收联合体形式</w:t>
            </w:r>
          </w:p>
        </w:tc>
        <w:tc>
          <w:tcPr>
            <w:tcW w:w="6019" w:type="dxa"/>
            <w:vAlign w:val="center"/>
          </w:tcPr>
          <w:p w14:paraId="3F216474">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eastAsia="zh-CN"/>
                <w14:textFill>
                  <w14:solidFill>
                    <w14:schemeClr w14:val="tx1"/>
                  </w14:solidFill>
                </w14:textFill>
              </w:rPr>
              <w:t>■不接受</w:t>
            </w:r>
          </w:p>
          <w:p w14:paraId="01CACE1D">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eastAsia="zh-CN"/>
                <w14:textFill>
                  <w14:solidFill>
                    <w14:schemeClr w14:val="tx1"/>
                  </w14:solidFill>
                </w14:textFill>
              </w:rPr>
              <w:t>□接受</w:t>
            </w:r>
          </w:p>
        </w:tc>
      </w:tr>
      <w:tr w14:paraId="26581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85" w:hRule="atLeast"/>
          <w:jc w:val="center"/>
        </w:trPr>
        <w:tc>
          <w:tcPr>
            <w:tcW w:w="1539" w:type="dxa"/>
            <w:vAlign w:val="center"/>
          </w:tcPr>
          <w:p w14:paraId="3FF7DABA">
            <w:pPr>
              <w:keepNext w:val="0"/>
              <w:keepLines w:val="0"/>
              <w:pageBreakBefore w:val="0"/>
              <w:widowControl w:val="0"/>
              <w:kinsoku/>
              <w:wordWrap/>
              <w:overflowPunct/>
              <w:topLinePunct w:val="0"/>
              <w:autoSpaceDE/>
              <w:autoSpaceDN/>
              <w:bidi w:val="0"/>
              <w:adjustRightInd w:val="0"/>
              <w:snapToGrid w:val="0"/>
              <w:spacing w:before="50" w:line="400" w:lineRule="exact"/>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第5.1款</w:t>
            </w:r>
          </w:p>
        </w:tc>
        <w:tc>
          <w:tcPr>
            <w:tcW w:w="1881" w:type="dxa"/>
            <w:vAlign w:val="center"/>
          </w:tcPr>
          <w:p w14:paraId="2839B54E">
            <w:pPr>
              <w:keepNext w:val="0"/>
              <w:keepLines w:val="0"/>
              <w:pageBreakBefore w:val="0"/>
              <w:widowControl w:val="0"/>
              <w:kinsoku/>
              <w:wordWrap/>
              <w:overflowPunct/>
              <w:topLinePunct w:val="0"/>
              <w:autoSpaceDE/>
              <w:autoSpaceDN/>
              <w:bidi w:val="0"/>
              <w:adjustRightInd w:val="0"/>
              <w:snapToGrid w:val="0"/>
              <w:spacing w:before="50" w:line="400" w:lineRule="exact"/>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现场勘察</w:t>
            </w:r>
          </w:p>
        </w:tc>
        <w:tc>
          <w:tcPr>
            <w:tcW w:w="6019" w:type="dxa"/>
            <w:vAlign w:val="center"/>
          </w:tcPr>
          <w:p w14:paraId="21D6F65D">
            <w:pPr>
              <w:keepNext w:val="0"/>
              <w:keepLines w:val="0"/>
              <w:pageBreakBefore w:val="0"/>
              <w:widowControl w:val="0"/>
              <w:kinsoku/>
              <w:wordWrap/>
              <w:overflowPunct/>
              <w:topLinePunct w:val="0"/>
              <w:autoSpaceDE/>
              <w:autoSpaceDN/>
              <w:bidi w:val="0"/>
              <w:adjustRightInd w:val="0"/>
              <w:snapToGrid w:val="0"/>
              <w:spacing w:before="50" w:line="400" w:lineRule="exact"/>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采购人不组织现场踏勘，由供应商自行踏勘。不得以不完全了解现场情况为由，提出任何形式索赔要求。供应商踏勘现场所发生的一切费用和责任概由供应商自负。</w:t>
            </w:r>
          </w:p>
        </w:tc>
      </w:tr>
      <w:tr w14:paraId="36D67E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3" w:hRule="atLeast"/>
          <w:jc w:val="center"/>
        </w:trPr>
        <w:tc>
          <w:tcPr>
            <w:tcW w:w="9439" w:type="dxa"/>
            <w:gridSpan w:val="3"/>
            <w:vAlign w:val="center"/>
          </w:tcPr>
          <w:p w14:paraId="2FD8F571">
            <w:pPr>
              <w:keepNext w:val="0"/>
              <w:keepLines w:val="0"/>
              <w:pageBreakBefore w:val="0"/>
              <w:widowControl w:val="0"/>
              <w:kinsoku/>
              <w:autoSpaceDE/>
              <w:autoSpaceDN/>
              <w:bidi w:val="0"/>
              <w:adjustRightInd w:val="0"/>
              <w:snapToGrid w:val="0"/>
              <w:spacing w:before="50" w:line="240" w:lineRule="auto"/>
              <w:jc w:val="both"/>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二、谈判文件</w:t>
            </w:r>
          </w:p>
        </w:tc>
      </w:tr>
      <w:tr w14:paraId="2AD6BB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8" w:hRule="atLeast"/>
          <w:jc w:val="center"/>
        </w:trPr>
        <w:tc>
          <w:tcPr>
            <w:tcW w:w="1539" w:type="dxa"/>
            <w:vAlign w:val="center"/>
          </w:tcPr>
          <w:p w14:paraId="3B459BEA">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第6.3款</w:t>
            </w:r>
          </w:p>
        </w:tc>
        <w:tc>
          <w:tcPr>
            <w:tcW w:w="1881" w:type="dxa"/>
            <w:vAlign w:val="center"/>
          </w:tcPr>
          <w:p w14:paraId="35EC4122">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谈判文件的实质性变动内容</w:t>
            </w:r>
          </w:p>
        </w:tc>
        <w:tc>
          <w:tcPr>
            <w:tcW w:w="6019" w:type="dxa"/>
            <w:vAlign w:val="center"/>
          </w:tcPr>
          <w:p w14:paraId="3091C0E6">
            <w:pPr>
              <w:keepNext w:val="0"/>
              <w:keepLines w:val="0"/>
              <w:pageBreakBefore w:val="0"/>
              <w:widowControl w:val="0"/>
              <w:kinsoku/>
              <w:autoSpaceDE/>
              <w:autoSpaceDN/>
              <w:bidi w:val="0"/>
              <w:adjustRightInd w:val="0"/>
              <w:snapToGrid w:val="0"/>
              <w:spacing w:before="50" w:line="288" w:lineRule="auto"/>
              <w:jc w:val="both"/>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技术、服务、合同条款</w:t>
            </w:r>
            <w:r>
              <w:rPr>
                <w:rFonts w:hint="default" w:ascii="Times New Roman" w:hAnsi="Times New Roman" w:cs="Times New Roman"/>
                <w:color w:val="000000" w:themeColor="text1"/>
                <w:szCs w:val="21"/>
                <w:highlight w:val="none"/>
                <w:lang w:eastAsia="zh-CN"/>
                <w14:textFill>
                  <w14:solidFill>
                    <w14:schemeClr w14:val="tx1"/>
                  </w14:solidFill>
                </w14:textFill>
              </w:rPr>
              <w:t>。</w:t>
            </w:r>
          </w:p>
        </w:tc>
      </w:tr>
      <w:tr w14:paraId="7A1C30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439" w:type="dxa"/>
            <w:gridSpan w:val="3"/>
            <w:vAlign w:val="center"/>
          </w:tcPr>
          <w:p w14:paraId="768D1EF3">
            <w:pPr>
              <w:keepNext w:val="0"/>
              <w:keepLines w:val="0"/>
              <w:pageBreakBefore w:val="0"/>
              <w:widowControl w:val="0"/>
              <w:kinsoku/>
              <w:autoSpaceDE/>
              <w:autoSpaceDN/>
              <w:bidi w:val="0"/>
              <w:adjustRightInd w:val="0"/>
              <w:snapToGrid w:val="0"/>
              <w:spacing w:before="50" w:line="288" w:lineRule="auto"/>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三、响应文件的编写</w:t>
            </w:r>
          </w:p>
        </w:tc>
      </w:tr>
      <w:tr w14:paraId="72157F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97" w:hRule="atLeast"/>
          <w:jc w:val="center"/>
        </w:trPr>
        <w:tc>
          <w:tcPr>
            <w:tcW w:w="1539" w:type="dxa"/>
            <w:vAlign w:val="center"/>
          </w:tcPr>
          <w:p w14:paraId="2807CBD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.3款</w:t>
            </w:r>
          </w:p>
        </w:tc>
        <w:tc>
          <w:tcPr>
            <w:tcW w:w="1881" w:type="dxa"/>
            <w:vAlign w:val="center"/>
          </w:tcPr>
          <w:p w14:paraId="607DC16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采购项目预算</w:t>
            </w:r>
          </w:p>
        </w:tc>
        <w:tc>
          <w:tcPr>
            <w:tcW w:w="6019" w:type="dxa"/>
            <w:vAlign w:val="center"/>
          </w:tcPr>
          <w:p w14:paraId="32B24504">
            <w:pPr>
              <w:keepNext w:val="0"/>
              <w:keepLines w:val="0"/>
              <w:pageBreakBefore w:val="0"/>
              <w:widowControl/>
              <w:kinsoku/>
              <w:wordWrap/>
              <w:overflowPunct/>
              <w:topLinePunct w:val="0"/>
              <w:autoSpaceDE/>
              <w:autoSpaceDN/>
              <w:bidi w:val="0"/>
              <w:adjustRightInd w:val="0"/>
              <w:snapToGrid w:val="0"/>
              <w:spacing w:before="0" w:beforeLines="0" w:line="400" w:lineRule="exact"/>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大写：</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人民币</w:t>
            </w:r>
            <w:r>
              <w:rPr>
                <w:rFonts w:hint="eastAsia" w:cs="Times New Roman"/>
                <w:b/>
                <w:bCs/>
                <w:color w:val="000000" w:themeColor="text1"/>
                <w:highlight w:val="none"/>
                <w:lang w:val="en-US" w:eastAsia="zh-CN"/>
                <w14:textFill>
                  <w14:solidFill>
                    <w14:schemeClr w14:val="tx1"/>
                  </w14:solidFill>
                </w14:textFill>
              </w:rPr>
              <w:t>壹佰肆拾万零陆佰肆拾玖元肆角整</w:t>
            </w:r>
            <w:r>
              <w:rPr>
                <w:rFonts w:hint="default" w:ascii="Times New Roman" w:hAnsi="Times New Roman" w:cs="Times New Roman"/>
                <w:b/>
                <w:bCs/>
                <w:color w:val="000000" w:themeColor="text1"/>
                <w:highlight w:val="none"/>
                <w:lang w:val="en-US" w:eastAsia="zh-CN"/>
                <w14:textFill>
                  <w14:solidFill>
                    <w14:schemeClr w14:val="tx1"/>
                  </w14:solidFill>
                </w14:textFill>
              </w:rPr>
              <w:t xml:space="preserve"> </w:t>
            </w:r>
          </w:p>
          <w:p w14:paraId="68EEFF87">
            <w:pPr>
              <w:keepNext w:val="0"/>
              <w:keepLines w:val="0"/>
              <w:pageBreakBefore w:val="0"/>
              <w:widowControl/>
              <w:kinsoku/>
              <w:wordWrap/>
              <w:overflowPunct/>
              <w:topLinePunct w:val="0"/>
              <w:autoSpaceDE/>
              <w:autoSpaceDN/>
              <w:bidi w:val="0"/>
              <w:adjustRightInd w:val="0"/>
              <w:snapToGrid w:val="0"/>
              <w:spacing w:before="0" w:beforeLines="0" w:line="400" w:lineRule="exact"/>
              <w:jc w:val="both"/>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小写：</w:t>
            </w:r>
            <w:r>
              <w:rPr>
                <w:rFonts w:hint="eastAsia" w:cs="Times New Roman"/>
                <w:b/>
                <w:bCs/>
                <w:color w:val="000000" w:themeColor="text1"/>
                <w:highlight w:val="none"/>
                <w:lang w:val="en-US" w:eastAsia="zh-CN"/>
                <w14:textFill>
                  <w14:solidFill>
                    <w14:schemeClr w14:val="tx1"/>
                  </w14:solidFill>
                </w14:textFill>
              </w:rPr>
              <w:t>1400649.4</w:t>
            </w:r>
            <w:r>
              <w:rPr>
                <w:rFonts w:hint="default" w:ascii="Times New Roman" w:hAnsi="Times New Roman" w:eastAsia="宋体" w:cs="Times New Roman"/>
                <w:b/>
                <w:bCs/>
                <w:color w:val="000000" w:themeColor="text1"/>
                <w:highlight w:val="none"/>
                <w14:textFill>
                  <w14:solidFill>
                    <w14:schemeClr w14:val="tx1"/>
                  </w14:solidFill>
                </w14:textFill>
              </w:rPr>
              <w:t>元</w:t>
            </w:r>
          </w:p>
          <w:p w14:paraId="1007E43A">
            <w:pPr>
              <w:keepNext w:val="0"/>
              <w:keepLines w:val="0"/>
              <w:pageBreakBefore w:val="0"/>
              <w:widowControl/>
              <w:kinsoku/>
              <w:wordWrap/>
              <w:overflowPunct/>
              <w:topLinePunct w:val="0"/>
              <w:autoSpaceDE/>
              <w:autoSpaceDN/>
              <w:bidi w:val="0"/>
              <w:adjustRightInd w:val="0"/>
              <w:snapToGrid w:val="0"/>
              <w:spacing w:beforeLines="0" w:line="400" w:lineRule="exact"/>
              <w:ind w:firstLine="422" w:firstLineChars="200"/>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注：注：供应商的投标报价不得超过采购项目最高限价,如超过视为不合格供应商</w:t>
            </w:r>
            <w:r>
              <w:rPr>
                <w:rFonts w:hint="eastAsia" w:cs="Times New Roman"/>
                <w:b/>
                <w:bCs/>
                <w:color w:val="auto"/>
                <w:highlight w:val="none"/>
                <w:lang w:val="en-US" w:eastAsia="zh-CN"/>
              </w:rPr>
              <w:t>。</w:t>
            </w:r>
            <w:r>
              <w:rPr>
                <w:rFonts w:hint="default" w:ascii="Times New Roman" w:hAnsi="Times New Roman" w:cs="Times New Roman"/>
                <w:b/>
                <w:bCs/>
                <w:color w:val="auto"/>
                <w:highlight w:val="none"/>
                <w:lang w:val="en-US" w:eastAsia="zh-CN"/>
              </w:rPr>
              <w:t>供应商</w:t>
            </w:r>
            <w:r>
              <w:rPr>
                <w:rFonts w:hint="default" w:ascii="Times New Roman" w:hAnsi="Times New Roman" w:eastAsia="宋体" w:cs="Times New Roman"/>
                <w:b/>
                <w:bCs/>
                <w:color w:val="auto"/>
                <w:highlight w:val="none"/>
                <w:lang w:val="en-US" w:eastAsia="zh-CN"/>
              </w:rPr>
              <w:t>若认为采购预算价低于企业自身成本的或不能接受本</w:t>
            </w:r>
            <w:r>
              <w:rPr>
                <w:rFonts w:hint="default" w:ascii="Times New Roman" w:hAnsi="Times New Roman" w:cs="Times New Roman"/>
                <w:b/>
                <w:bCs/>
                <w:color w:val="auto"/>
                <w:highlight w:val="none"/>
                <w:lang w:val="en-US" w:eastAsia="zh-CN"/>
              </w:rPr>
              <w:t>采购</w:t>
            </w:r>
            <w:r>
              <w:rPr>
                <w:rFonts w:hint="default" w:ascii="Times New Roman" w:hAnsi="Times New Roman" w:eastAsia="宋体" w:cs="Times New Roman"/>
                <w:b/>
                <w:bCs/>
                <w:color w:val="auto"/>
                <w:highlight w:val="none"/>
                <w:lang w:val="en-US" w:eastAsia="zh-CN"/>
              </w:rPr>
              <w:t>文件其他有关条款的，可以放弃投标</w:t>
            </w:r>
            <w:r>
              <w:rPr>
                <w:rFonts w:hint="default" w:ascii="Times New Roman" w:hAnsi="Times New Roman" w:cs="Times New Roman"/>
                <w:b/>
                <w:bCs/>
                <w:color w:val="000000" w:themeColor="text1"/>
                <w:highlight w:val="none"/>
                <w:lang w:val="en-US" w:eastAsia="zh-CN"/>
                <w14:textFill>
                  <w14:solidFill>
                    <w14:schemeClr w14:val="tx1"/>
                  </w14:solidFill>
                </w14:textFill>
              </w:rPr>
              <w:t>。</w:t>
            </w:r>
          </w:p>
        </w:tc>
      </w:tr>
      <w:tr w14:paraId="00995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95" w:hRule="atLeast"/>
          <w:jc w:val="center"/>
        </w:trPr>
        <w:tc>
          <w:tcPr>
            <w:tcW w:w="1539" w:type="dxa"/>
            <w:vAlign w:val="center"/>
          </w:tcPr>
          <w:p w14:paraId="110DF6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.6款</w:t>
            </w:r>
          </w:p>
        </w:tc>
        <w:tc>
          <w:tcPr>
            <w:tcW w:w="1881" w:type="dxa"/>
            <w:vAlign w:val="center"/>
          </w:tcPr>
          <w:p w14:paraId="3F0AF5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报价的其他要求</w:t>
            </w:r>
          </w:p>
        </w:tc>
        <w:tc>
          <w:tcPr>
            <w:tcW w:w="6019" w:type="dxa"/>
            <w:vAlign w:val="center"/>
          </w:tcPr>
          <w:p w14:paraId="08FCBFD1">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Cs w:val="21"/>
                <w:highlight w:val="none"/>
                <w14:textFill>
                  <w14:solidFill>
                    <w14:schemeClr w14:val="tx1"/>
                  </w14:solidFill>
                </w14:textFill>
              </w:rPr>
              <w:t>评标委员会认为供应商的报价明显低于其他通过符合性审查供应商的报价，有可能不能诚信履约的，可要求其在评标现场合理的时间内提供书面说明，必要时提交相关证明材料；供应商不能证明其报价合理性的，评标委员会将其作为无效投标处理。</w:t>
            </w:r>
          </w:p>
          <w:p w14:paraId="4B6DEAF0">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Cs w:val="21"/>
                <w:highlight w:val="none"/>
                <w14:textFill>
                  <w14:solidFill>
                    <w14:schemeClr w14:val="tx1"/>
                  </w14:solidFill>
                </w14:textFill>
              </w:rPr>
              <w:t>最后报价应按本章</w:t>
            </w:r>
            <w:r>
              <w:rPr>
                <w:rFonts w:hint="default" w:ascii="Times New Roman" w:hAnsi="Times New Roman" w:cs="Times New Roman"/>
                <w:color w:val="000000" w:themeColor="text1"/>
                <w:szCs w:val="21"/>
                <w:highlight w:val="none"/>
                <w:lang w:eastAsia="zh-CN"/>
                <w14:textFill>
                  <w14:solidFill>
                    <w14:schemeClr w14:val="tx1"/>
                  </w14:solidFill>
                </w14:textFill>
              </w:rPr>
              <w:t>第二节</w:t>
            </w:r>
            <w:r>
              <w:rPr>
                <w:rFonts w:hint="default" w:ascii="Times New Roman" w:hAnsi="Times New Roman" w:eastAsia="宋体"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15.4</w:t>
            </w:r>
            <w:r>
              <w:rPr>
                <w:rFonts w:hint="default" w:ascii="Times New Roman" w:hAnsi="Times New Roman" w:eastAsia="宋体" w:cs="Times New Roman"/>
                <w:color w:val="000000" w:themeColor="text1"/>
                <w:szCs w:val="21"/>
                <w:highlight w:val="none"/>
                <w:lang w:val="zh-CN"/>
                <w14:textFill>
                  <w14:solidFill>
                    <w14:schemeClr w14:val="tx1"/>
                  </w14:solidFill>
                </w14:textFill>
              </w:rPr>
              <w:t>款</w:t>
            </w:r>
            <w:r>
              <w:rPr>
                <w:rFonts w:hint="default" w:ascii="Times New Roman" w:hAnsi="Times New Roman" w:cs="Times New Roman"/>
                <w:color w:val="000000" w:themeColor="text1"/>
                <w:szCs w:val="21"/>
                <w:highlight w:val="none"/>
                <w:lang w:val="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供应商按谈判文件规定和谈判小组</w:t>
            </w:r>
            <w:r>
              <w:rPr>
                <w:rFonts w:hint="default" w:ascii="Times New Roman" w:hAnsi="Times New Roman" w:cs="Times New Roman"/>
                <w:color w:val="000000" w:themeColor="text1"/>
                <w:szCs w:val="21"/>
                <w:highlight w:val="none"/>
                <w:lang w:eastAsia="zh-CN"/>
                <w14:textFill>
                  <w14:solidFill>
                    <w14:schemeClr w14:val="tx1"/>
                  </w14:solidFill>
                </w14:textFill>
              </w:rPr>
              <w:t>要求提交的最后报价(或者重新提交的响应文件和最后报价)，</w:t>
            </w:r>
            <w:r>
              <w:rPr>
                <w:rFonts w:hint="default" w:ascii="Times New Roman" w:hAnsi="Times New Roman" w:eastAsia="宋体" w:cs="Times New Roman"/>
                <w:color w:val="000000" w:themeColor="text1"/>
                <w:kern w:val="0"/>
                <w:szCs w:val="21"/>
                <w:highlight w:val="none"/>
                <w14:textFill>
                  <w14:solidFill>
                    <w14:schemeClr w14:val="tx1"/>
                  </w14:solidFill>
                </w14:textFill>
              </w:rPr>
              <w:t>应由其法定代表人或其委托代理人签字或者加盖供应商单</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位</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CA</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公</w:t>
            </w:r>
            <w:r>
              <w:rPr>
                <w:rFonts w:hint="default" w:ascii="Times New Roman" w:hAnsi="Times New Roman" w:eastAsia="宋体" w:cs="Times New Roman"/>
                <w:color w:val="000000" w:themeColor="text1"/>
                <w:kern w:val="0"/>
                <w:szCs w:val="21"/>
                <w:highlight w:val="none"/>
                <w14:textFill>
                  <w14:solidFill>
                    <w14:schemeClr w14:val="tx1"/>
                  </w14:solidFill>
                </w14:textFill>
              </w:rPr>
              <w:t>章，在规定时间内</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上传到系统</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b/>
                <w:bCs/>
                <w:color w:val="000000" w:themeColor="text1"/>
                <w:szCs w:val="21"/>
                <w:highlight w:val="none"/>
                <w:lang w:eastAsia="zh-CN"/>
                <w14:textFill>
                  <w14:solidFill>
                    <w14:schemeClr w14:val="tx1"/>
                  </w14:solidFill>
                </w14:textFill>
              </w:rPr>
              <w:t>否则，将导致响应文件无效。</w:t>
            </w:r>
          </w:p>
        </w:tc>
      </w:tr>
      <w:tr w14:paraId="37111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39" w:type="dxa"/>
            <w:vAlign w:val="center"/>
          </w:tcPr>
          <w:p w14:paraId="1A7A21A1">
            <w:pPr>
              <w:keepNext w:val="0"/>
              <w:keepLines w:val="0"/>
              <w:pageBreakBefore w:val="0"/>
              <w:widowControl w:val="0"/>
              <w:kinsoku/>
              <w:wordWrap/>
              <w:overflowPunct/>
              <w:topLinePunct w:val="0"/>
              <w:autoSpaceDE/>
              <w:autoSpaceDN/>
              <w:bidi w:val="0"/>
              <w:adjustRightInd w:val="0"/>
              <w:snapToGrid w:val="0"/>
              <w:spacing w:before="50"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.1款</w:t>
            </w:r>
          </w:p>
        </w:tc>
        <w:tc>
          <w:tcPr>
            <w:tcW w:w="1881" w:type="dxa"/>
            <w:vAlign w:val="center"/>
          </w:tcPr>
          <w:p w14:paraId="2625716E">
            <w:pPr>
              <w:keepNext w:val="0"/>
              <w:keepLines w:val="0"/>
              <w:pageBreakBefore w:val="0"/>
              <w:widowControl w:val="0"/>
              <w:kinsoku/>
              <w:wordWrap/>
              <w:overflowPunct/>
              <w:topLinePunct w:val="0"/>
              <w:autoSpaceDE/>
              <w:autoSpaceDN/>
              <w:bidi w:val="0"/>
              <w:adjustRightInd w:val="0"/>
              <w:snapToGrid w:val="0"/>
              <w:spacing w:before="50" w:line="400" w:lineRule="exact"/>
              <w:ind w:left="-533" w:leftChars="-254" w:firstLine="533" w:firstLineChars="254"/>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保证金</w:t>
            </w:r>
          </w:p>
        </w:tc>
        <w:tc>
          <w:tcPr>
            <w:tcW w:w="6019" w:type="dxa"/>
            <w:vAlign w:val="center"/>
          </w:tcPr>
          <w:p w14:paraId="34890D11">
            <w:pPr>
              <w:pStyle w:val="23"/>
              <w:adjustRightInd w:val="0"/>
              <w:snapToGrid w:val="0"/>
              <w:spacing w:line="310" w:lineRule="exact"/>
              <w:jc w:val="left"/>
              <w:rPr>
                <w:rFonts w:hint="default" w:ascii="Times New Roman" w:hAnsi="Times New Roman" w:eastAsia="宋体" w:cs="Times New Roman"/>
                <w:b/>
                <w:bCs/>
                <w:color w:val="000000" w:themeColor="text1"/>
                <w:spacing w:val="-6"/>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pacing w:val="-6"/>
                <w:szCs w:val="21"/>
                <w:highlight w:val="none"/>
                <w14:textFill>
                  <w14:solidFill>
                    <w14:schemeClr w14:val="tx1"/>
                  </w14:solidFill>
                </w14:textFill>
              </w:rPr>
              <w:t>不要求提供</w:t>
            </w:r>
          </w:p>
          <w:p w14:paraId="5CEF66C6">
            <w:pPr>
              <w:pStyle w:val="23"/>
              <w:adjustRightInd w:val="0"/>
              <w:snapToGrid w:val="0"/>
              <w:spacing w:line="310" w:lineRule="exact"/>
              <w:jc w:val="left"/>
              <w:rPr>
                <w:rFonts w:hint="default" w:ascii="Times New Roman" w:hAnsi="Times New Roman" w:eastAsia="宋体" w:cs="Times New Roman"/>
                <w:b/>
                <w:bCs/>
                <w:color w:val="000000" w:themeColor="text1"/>
                <w:spacing w:val="-6"/>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6"/>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pacing w:val="-6"/>
                <w:szCs w:val="21"/>
                <w:highlight w:val="none"/>
                <w14:textFill>
                  <w14:solidFill>
                    <w14:schemeClr w14:val="tx1"/>
                  </w14:solidFill>
                </w14:textFill>
              </w:rPr>
              <w:t>要求提供</w:t>
            </w:r>
          </w:p>
          <w:p w14:paraId="6FEAFAE1">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1、投标保证金数额</w:t>
            </w:r>
            <w:r>
              <w:rPr>
                <w:rFonts w:hint="default" w:ascii="Times New Roman" w:hAnsi="Times New Roman" w:eastAsia="宋体" w:cs="Times New Roman"/>
                <w:color w:val="000000" w:themeColor="text1"/>
                <w:spacing w:val="-6"/>
                <w:kern w:val="0"/>
                <w:sz w:val="21"/>
                <w:szCs w:val="21"/>
                <w:highlight w:val="none"/>
                <w:u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spacing w:val="-6"/>
                <w:kern w:val="0"/>
                <w:sz w:val="21"/>
                <w:szCs w:val="21"/>
                <w:highlight w:val="none"/>
                <w:u w:val="none"/>
                <w:lang w:val="en-US" w:eastAsia="zh-CN" w:bidi="ar-SA"/>
                <w14:textFill>
                  <w14:solidFill>
                    <w14:schemeClr w14:val="tx1"/>
                  </w14:solidFill>
                </w14:textFill>
              </w:rPr>
              <w:t>￥</w:t>
            </w:r>
            <w:r>
              <w:rPr>
                <w:rFonts w:hint="default" w:ascii="Times New Roman" w:hAnsi="Times New Roman" w:cs="Times New Roman"/>
                <w:b/>
                <w:bCs/>
                <w:color w:val="000000" w:themeColor="text1"/>
                <w:spacing w:val="-6"/>
                <w:kern w:val="0"/>
                <w:sz w:val="21"/>
                <w:szCs w:val="21"/>
                <w:highlight w:val="none"/>
                <w:u w:val="single"/>
                <w:lang w:val="en-US" w:eastAsia="zh-CN" w:bidi="ar-SA"/>
                <w14:textFill>
                  <w14:solidFill>
                    <w14:schemeClr w14:val="tx1"/>
                  </w14:solidFill>
                </w14:textFill>
              </w:rPr>
              <w:t>1</w:t>
            </w:r>
            <w:r>
              <w:rPr>
                <w:rFonts w:hint="eastAsia" w:ascii="Times New Roman" w:hAnsi="Times New Roman" w:cs="Times New Roman"/>
                <w:b/>
                <w:bCs/>
                <w:color w:val="000000" w:themeColor="text1"/>
                <w:spacing w:val="-6"/>
                <w:kern w:val="0"/>
                <w:sz w:val="21"/>
                <w:szCs w:val="21"/>
                <w:highlight w:val="none"/>
                <w:u w:val="single"/>
                <w:lang w:val="en-US" w:eastAsia="zh-CN" w:bidi="ar-SA"/>
                <w14:textFill>
                  <w14:solidFill>
                    <w14:schemeClr w14:val="tx1"/>
                  </w14:solidFill>
                </w14:textFill>
              </w:rPr>
              <w:t>4</w:t>
            </w:r>
            <w:r>
              <w:rPr>
                <w:rFonts w:hint="default" w:ascii="Times New Roman" w:hAnsi="Times New Roman" w:eastAsia="宋体" w:cs="Times New Roman"/>
                <w:b/>
                <w:bCs/>
                <w:color w:val="000000" w:themeColor="text1"/>
                <w:spacing w:val="-6"/>
                <w:kern w:val="0"/>
                <w:sz w:val="21"/>
                <w:szCs w:val="21"/>
                <w:highlight w:val="none"/>
                <w:u w:val="single"/>
                <w:lang w:val="en-US" w:eastAsia="zh-CN" w:bidi="ar-SA"/>
                <w14:textFill>
                  <w14:solidFill>
                    <w14:schemeClr w14:val="tx1"/>
                  </w14:solidFill>
                </w14:textFill>
              </w:rPr>
              <w:t>000</w:t>
            </w:r>
            <w:r>
              <w:rPr>
                <w:rFonts w:hint="default" w:ascii="Times New Roman" w:hAnsi="Times New Roman" w:eastAsia="宋体" w:cs="Times New Roman"/>
                <w:b/>
                <w:bCs/>
                <w:color w:val="000000" w:themeColor="text1"/>
                <w:spacing w:val="-6"/>
                <w:kern w:val="0"/>
                <w:sz w:val="21"/>
                <w:szCs w:val="21"/>
                <w:highlight w:val="none"/>
                <w:u w:val="none"/>
                <w:lang w:val="en-US" w:eastAsia="zh-CN" w:bidi="ar-SA"/>
                <w14:textFill>
                  <w14:solidFill>
                    <w14:schemeClr w14:val="tx1"/>
                  </w14:solidFill>
                </w14:textFill>
              </w:rPr>
              <w:t>元（</w:t>
            </w:r>
            <w:r>
              <w:rPr>
                <w:rFonts w:hint="default" w:ascii="Times New Roman" w:hAnsi="Times New Roman" w:eastAsia="宋体" w:cs="Times New Roman"/>
                <w:b/>
                <w:bCs/>
                <w:color w:val="000000" w:themeColor="text1"/>
                <w:spacing w:val="-6"/>
                <w:kern w:val="0"/>
                <w:sz w:val="21"/>
                <w:szCs w:val="21"/>
                <w:highlight w:val="none"/>
                <w:lang w:val="en-US" w:eastAsia="zh-CN" w:bidi="ar-SA"/>
                <w14:textFill>
                  <w14:solidFill>
                    <w14:schemeClr w14:val="tx1"/>
                  </w14:solidFill>
                </w14:textFill>
              </w:rPr>
              <w:t>人民币</w:t>
            </w:r>
            <w:r>
              <w:rPr>
                <w:rFonts w:hint="eastAsia" w:ascii="Times New Roman" w:hAnsi="Times New Roman" w:cs="Times New Roman"/>
                <w:b/>
                <w:bCs/>
                <w:color w:val="000000" w:themeColor="text1"/>
                <w:spacing w:val="-6"/>
                <w:kern w:val="0"/>
                <w:sz w:val="21"/>
                <w:szCs w:val="21"/>
                <w:highlight w:val="none"/>
                <w:u w:val="single"/>
                <w:lang w:val="en-US" w:eastAsia="zh-CN" w:bidi="ar-SA"/>
                <w14:textFill>
                  <w14:solidFill>
                    <w14:schemeClr w14:val="tx1"/>
                  </w14:solidFill>
                </w14:textFill>
              </w:rPr>
              <w:t>壹万肆仟元整</w:t>
            </w:r>
            <w:r>
              <w:rPr>
                <w:rFonts w:hint="default" w:ascii="Times New Roman" w:hAnsi="Times New Roman" w:eastAsia="宋体" w:cs="Times New Roman"/>
                <w:b/>
                <w:bCs/>
                <w:color w:val="000000" w:themeColor="text1"/>
                <w:spacing w:val="-6"/>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w:t>
            </w:r>
          </w:p>
          <w:p w14:paraId="4D31292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2、投标保证金缴纳支持以下形式（打“■”项为本项目支持形式）：</w:t>
            </w:r>
          </w:p>
          <w:p w14:paraId="5C06EC30">
            <w:pPr>
              <w:keepNext w:val="0"/>
              <w:keepLines w:val="0"/>
              <w:pageBreakBefore w:val="0"/>
              <w:widowControl w:val="0"/>
              <w:kinsoku/>
              <w:wordWrap/>
              <w:overflowPunct/>
              <w:topLinePunct w:val="0"/>
              <w:autoSpaceDE/>
              <w:autoSpaceDN/>
              <w:bidi w:val="0"/>
              <w:adjustRightInd/>
              <w:snapToGrid/>
              <w:spacing w:before="0" w:line="360" w:lineRule="auto"/>
              <w:ind w:firstLine="398" w:firstLineChars="200"/>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pacing w:val="-6"/>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电子保函     </w:t>
            </w:r>
            <w:r>
              <w:rPr>
                <w:rFonts w:hint="default" w:ascii="Times New Roman" w:hAnsi="Times New Roman" w:eastAsia="宋体" w:cs="Times New Roman"/>
                <w:b/>
                <w:bCs/>
                <w:color w:val="000000" w:themeColor="text1"/>
                <w:spacing w:val="-6"/>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转账      </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纸质保函     </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其他</w:t>
            </w:r>
          </w:p>
          <w:p w14:paraId="348BED1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3、电子保函：包括银行电子保函、电子担保保函、投标保证保险。电子保函可通过株洲市公共资源交易平台官网首页进入“电子保函”模块进行申请，也可以登录http://hxbh.hnhxzx.cn:20080进行电子保函申请。具体操作请登录株洲市公共资源交易中心门户网站—操作指南—《株洲市电子保函服务平台政府采购供应商操作手册》了解。</w:t>
            </w:r>
          </w:p>
          <w:p w14:paraId="7A082093">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4、转账方式：</w:t>
            </w:r>
          </w:p>
          <w:p w14:paraId="7ADD005D">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账户名：株洲市公共资源交易中心交易保证金专户</w:t>
            </w:r>
          </w:p>
          <w:p w14:paraId="009820F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开户行：中国建设银行股份有限公司株洲湘银支行</w:t>
            </w:r>
          </w:p>
          <w:p w14:paraId="3C3ADC31">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yellow"/>
                <w:lang w:val="en-US" w:eastAsia="zh-CN" w:bidi="ar"/>
                <w14:textFill>
                  <w14:solidFill>
                    <w14:schemeClr w14:val="tx1"/>
                  </w14:solidFill>
                </w14:textFill>
              </w:rPr>
              <w:t>账  号：</w:t>
            </w:r>
            <w:r>
              <w:rPr>
                <w:rFonts w:hint="default" w:ascii="Times New Roman" w:hAnsi="Times New Roman" w:cs="Times New Roman"/>
                <w:color w:val="000000" w:themeColor="text1"/>
                <w:spacing w:val="-6"/>
                <w:kern w:val="0"/>
                <w:sz w:val="21"/>
                <w:szCs w:val="21"/>
                <w:highlight w:val="yellow"/>
                <w:lang w:val="en-US" w:eastAsia="zh-CN" w:bidi="ar"/>
                <w14:textFill>
                  <w14:solidFill>
                    <w14:schemeClr w14:val="tx1"/>
                  </w14:solidFill>
                </w14:textFill>
              </w:rPr>
              <w:t>43001500562059666666-14944</w:t>
            </w:r>
            <w:r>
              <w:rPr>
                <w:rFonts w:hint="default" w:ascii="Times New Roman" w:hAnsi="Times New Roman" w:eastAsia="宋体" w:cs="Times New Roman"/>
                <w:color w:val="000000" w:themeColor="text1"/>
                <w:spacing w:val="-6"/>
                <w:kern w:val="0"/>
                <w:sz w:val="21"/>
                <w:szCs w:val="21"/>
                <w:highlight w:val="yellow"/>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 xml:space="preserve">  </w:t>
            </w:r>
          </w:p>
          <w:p w14:paraId="1862A39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
                <w14:textFill>
                  <w14:solidFill>
                    <w14:schemeClr w14:val="tx1"/>
                  </w14:solidFill>
                </w14:textFill>
              </w:rPr>
              <w:t>注：各供应商填写投标保证金单据时，其“-”和最后四位数字均要填写，不可漏填，否则会导致无法入帐。</w:t>
            </w:r>
          </w:p>
          <w:p w14:paraId="036CE40E">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b/>
                <w:bCs/>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6"/>
                <w:kern w:val="0"/>
                <w:sz w:val="21"/>
                <w:szCs w:val="21"/>
                <w:highlight w:val="none"/>
                <w:lang w:val="en-US" w:eastAsia="zh-CN" w:bidi="ar-SA"/>
                <w14:textFill>
                  <w14:solidFill>
                    <w14:schemeClr w14:val="tx1"/>
                  </w14:solidFill>
                </w14:textFill>
              </w:rPr>
              <w:t>转账方式投标保证金特别提示：</w:t>
            </w:r>
          </w:p>
          <w:p w14:paraId="75336B67">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6"/>
                <w:kern w:val="0"/>
                <w:sz w:val="15"/>
                <w:szCs w:val="15"/>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投标保证金汇款服务咨询：中国建设银行股份有限公司株洲湘银支行0731-28520852（联系人：黄朝辉）和0731-22864427（联系人：刘岚）。</w:t>
            </w:r>
          </w:p>
          <w:p w14:paraId="5FD97D93">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6"/>
                <w:kern w:val="0"/>
                <w:sz w:val="15"/>
                <w:szCs w:val="15"/>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开标现场将展示投标保证金情况，各供应商仅须在响应文件中提供供应商账户开户许可证和银行进账单的复印件或扫描件。</w:t>
            </w:r>
          </w:p>
          <w:p w14:paraId="309340C6">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③因银行和收款方在开标前均无法查询保证金到账情况，建议供应商尽量提前递交投标保证金，并密切关注是否有被退回的情况，避免因未按采购文件要求递交投标保证金而导致废标。</w:t>
            </w:r>
          </w:p>
          <w:p w14:paraId="3817F831">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5、供应商不按采购文件要求提交投标保证金的,视为不合格供应商。</w:t>
            </w:r>
          </w:p>
          <w:p w14:paraId="1D570F09">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6"/>
                <w:kern w:val="0"/>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b w:val="0"/>
                <w:bCs w:val="0"/>
                <w:snapToGrid/>
                <w:color w:val="000000" w:themeColor="text1"/>
                <w:spacing w:val="-6"/>
                <w:kern w:val="0"/>
                <w:sz w:val="21"/>
                <w:szCs w:val="21"/>
                <w:highlight w:val="none"/>
                <w:lang w:val="en-US" w:eastAsia="zh-CN" w:bidi="ar-SA"/>
                <w14:textFill>
                  <w14:solidFill>
                    <w14:schemeClr w14:val="tx1"/>
                  </w14:solidFill>
                </w14:textFill>
              </w:rPr>
              <w:t>未中标人</w:t>
            </w:r>
            <w:r>
              <w:rPr>
                <w:rFonts w:hint="default" w:ascii="Times New Roman" w:hAnsi="Times New Roman" w:eastAsia="宋体" w:cs="Times New Roman"/>
                <w:snapToGrid/>
                <w:color w:val="000000" w:themeColor="text1"/>
                <w:spacing w:val="-6"/>
                <w:kern w:val="0"/>
                <w:sz w:val="21"/>
                <w:szCs w:val="21"/>
                <w:highlight w:val="none"/>
                <w:lang w:val="en-US" w:eastAsia="zh-CN" w:bidi="ar-SA"/>
                <w14:textFill>
                  <w14:solidFill>
                    <w14:schemeClr w14:val="tx1"/>
                  </w14:solidFill>
                </w14:textFill>
              </w:rPr>
              <w:t>的投标保证金在中标通知书发出后五个工作日内由银行自动退还给供应商。</w:t>
            </w:r>
            <w:r>
              <w:rPr>
                <w:rFonts w:hint="default" w:ascii="Times New Roman" w:hAnsi="Times New Roman" w:eastAsia="宋体" w:cs="Times New Roman"/>
                <w:b w:val="0"/>
                <w:bCs w:val="0"/>
                <w:snapToGrid/>
                <w:color w:val="000000" w:themeColor="text1"/>
                <w:spacing w:val="-6"/>
                <w:kern w:val="0"/>
                <w:sz w:val="21"/>
                <w:szCs w:val="21"/>
                <w:highlight w:val="none"/>
                <w:lang w:val="en-US" w:eastAsia="zh-CN" w:bidi="ar-SA"/>
                <w14:textFill>
                  <w14:solidFill>
                    <w14:schemeClr w14:val="tx1"/>
                  </w14:solidFill>
                </w14:textFill>
              </w:rPr>
              <w:t>中标人于合同签订之日起五个工作日内将退款申请及付款凭证发至项目代理机构，</w:t>
            </w:r>
            <w:r>
              <w:rPr>
                <w:rFonts w:hint="default" w:ascii="Times New Roman" w:hAnsi="Times New Roman" w:eastAsia="宋体" w:cs="Times New Roman"/>
                <w:snapToGrid/>
                <w:color w:val="000000" w:themeColor="text1"/>
                <w:spacing w:val="-6"/>
                <w:kern w:val="0"/>
                <w:sz w:val="21"/>
                <w:szCs w:val="21"/>
                <w:highlight w:val="none"/>
                <w:lang w:val="en-US" w:eastAsia="zh-CN" w:bidi="ar-SA"/>
                <w14:textFill>
                  <w14:solidFill>
                    <w14:schemeClr w14:val="tx1"/>
                  </w14:solidFill>
                </w14:textFill>
              </w:rPr>
              <w:t>代理机构在交易系统上传退款申请、付款凭证、公共资源交易中心进场交易确认书后退款至原缴款账户。株洲市公共资源交易中心一楼服务大厅3号保证金窗口联系电话：0731-28681387。</w:t>
            </w:r>
          </w:p>
          <w:p w14:paraId="09BDED68">
            <w:pPr>
              <w:spacing w:line="360" w:lineRule="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注：谈判保证金金额如与采购文件第一章谈判邀请所规定的保证金计算金额不一致的，以本条金额为准。</w:t>
            </w:r>
          </w:p>
        </w:tc>
      </w:tr>
      <w:tr w14:paraId="59838C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1539" w:type="dxa"/>
            <w:vAlign w:val="center"/>
          </w:tcPr>
          <w:p w14:paraId="214B048E">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.1款</w:t>
            </w:r>
          </w:p>
        </w:tc>
        <w:tc>
          <w:tcPr>
            <w:tcW w:w="1881" w:type="dxa"/>
            <w:vAlign w:val="center"/>
          </w:tcPr>
          <w:p w14:paraId="22B506BB">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响应文件有效期</w:t>
            </w:r>
          </w:p>
        </w:tc>
        <w:tc>
          <w:tcPr>
            <w:tcW w:w="6019" w:type="dxa"/>
            <w:vAlign w:val="center"/>
          </w:tcPr>
          <w:p w14:paraId="0FD99E88">
            <w:pPr>
              <w:keepNext w:val="0"/>
              <w:keepLines w:val="0"/>
              <w:pageBreakBefore w:val="0"/>
              <w:widowControl w:val="0"/>
              <w:kinsoku/>
              <w:autoSpaceDE/>
              <w:autoSpaceDN/>
              <w:bidi w:val="0"/>
              <w:adjustRightInd w:val="0"/>
              <w:snapToGrid w:val="0"/>
              <w:spacing w:before="50" w:line="288" w:lineRule="auto"/>
              <w:jc w:val="both"/>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kern w:val="0"/>
                <w:highlight w:val="none"/>
                <w:u w:val="single"/>
                <w:lang w:val="en-US" w:eastAsia="zh-CN"/>
                <w14:textFill>
                  <w14:solidFill>
                    <w14:schemeClr w14:val="tx1"/>
                  </w14:solidFill>
                </w14:textFill>
              </w:rPr>
              <w:t>90</w:t>
            </w:r>
            <w:r>
              <w:rPr>
                <w:rFonts w:hint="default" w:ascii="Times New Roman" w:hAnsi="Times New Roman" w:cs="Times New Roman" w:eastAsiaTheme="minorEastAsia"/>
                <w:color w:val="000000" w:themeColor="text1"/>
                <w:kern w:val="0"/>
                <w:szCs w:val="21"/>
                <w:highlight w:val="none"/>
                <w14:textFill>
                  <w14:solidFill>
                    <w14:schemeClr w14:val="tx1"/>
                  </w14:solidFill>
                </w14:textFill>
              </w:rPr>
              <w:t>日（日历日）</w:t>
            </w:r>
          </w:p>
        </w:tc>
      </w:tr>
      <w:tr w14:paraId="1B9901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1539" w:type="dxa"/>
            <w:vAlign w:val="center"/>
          </w:tcPr>
          <w:p w14:paraId="3A0B5C40">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Cs w:val="21"/>
                <w:highlight w:val="none"/>
                <w14:textFill>
                  <w14:solidFill>
                    <w14:schemeClr w14:val="tx1"/>
                  </w14:solidFill>
                </w14:textFill>
              </w:rPr>
              <w:t>.1款</w:t>
            </w:r>
          </w:p>
        </w:tc>
        <w:tc>
          <w:tcPr>
            <w:tcW w:w="1881" w:type="dxa"/>
            <w:vAlign w:val="center"/>
          </w:tcPr>
          <w:p w14:paraId="4894C6CB">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分包</w:t>
            </w:r>
          </w:p>
        </w:tc>
        <w:tc>
          <w:tcPr>
            <w:tcW w:w="6019" w:type="dxa"/>
            <w:vAlign w:val="center"/>
          </w:tcPr>
          <w:p w14:paraId="4A91F7D4">
            <w:pPr>
              <w:keepNext w:val="0"/>
              <w:keepLines w:val="0"/>
              <w:pageBreakBefore w:val="0"/>
              <w:widowControl w:val="0"/>
              <w:kinsoku/>
              <w:autoSpaceDE/>
              <w:autoSpaceDN/>
              <w:bidi w:val="0"/>
              <w:adjustRightInd w:val="0"/>
              <w:snapToGrid w:val="0"/>
              <w:spacing w:before="50" w:line="288" w:lineRule="auto"/>
              <w:jc w:val="both"/>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eastAsia="宋体" w:cs="Times New Roman"/>
                <w:bCs/>
                <w:color w:val="000000" w:themeColor="text1"/>
                <w:szCs w:val="21"/>
                <w:highlight w:val="none"/>
                <w:lang w:eastAsia="zh-CN"/>
                <w14:textFill>
                  <w14:solidFill>
                    <w14:schemeClr w14:val="tx1"/>
                  </w14:solidFill>
                </w14:textFill>
              </w:rPr>
              <w:t>本项目不允许分包</w:t>
            </w:r>
            <w:r>
              <w:rPr>
                <w:rFonts w:hint="default" w:ascii="Times New Roman" w:hAnsi="Times New Roman" w:cs="Times New Roman"/>
                <w:bCs/>
                <w:color w:val="000000" w:themeColor="text1"/>
                <w:szCs w:val="21"/>
                <w:highlight w:val="none"/>
                <w:lang w:eastAsia="zh-CN"/>
                <w14:textFill>
                  <w14:solidFill>
                    <w14:schemeClr w14:val="tx1"/>
                  </w14:solidFill>
                </w14:textFill>
              </w:rPr>
              <w:t>。</w:t>
            </w:r>
          </w:p>
        </w:tc>
      </w:tr>
      <w:tr w14:paraId="64614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7" w:hRule="atLeast"/>
          <w:jc w:val="center"/>
        </w:trPr>
        <w:tc>
          <w:tcPr>
            <w:tcW w:w="1539" w:type="dxa"/>
            <w:vAlign w:val="center"/>
          </w:tcPr>
          <w:p w14:paraId="128A0953">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14:textFill>
                  <w14:solidFill>
                    <w14:schemeClr w14:val="tx1"/>
                  </w14:solidFill>
                </w14:textFill>
              </w:rPr>
              <w:t>.2款</w:t>
            </w:r>
          </w:p>
        </w:tc>
        <w:tc>
          <w:tcPr>
            <w:tcW w:w="1881" w:type="dxa"/>
            <w:vAlign w:val="center"/>
          </w:tcPr>
          <w:p w14:paraId="48F29F03">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响应</w:t>
            </w:r>
            <w:r>
              <w:rPr>
                <w:rFonts w:hint="default" w:ascii="Times New Roman" w:hAnsi="Times New Roman" w:cs="Times New Roman"/>
                <w:color w:val="000000" w:themeColor="text1"/>
                <w:szCs w:val="21"/>
                <w:highlight w:val="none"/>
                <w14:textFill>
                  <w14:solidFill>
                    <w14:schemeClr w14:val="tx1"/>
                  </w14:solidFill>
                </w14:textFill>
              </w:rPr>
              <w:t>文件副本份数</w:t>
            </w:r>
          </w:p>
        </w:tc>
        <w:tc>
          <w:tcPr>
            <w:tcW w:w="6019" w:type="dxa"/>
            <w:vAlign w:val="center"/>
          </w:tcPr>
          <w:p w14:paraId="6784CF92">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Cs/>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递交电子版投标文件1份至电子交易系统。</w:t>
            </w:r>
            <w:r>
              <w:rPr>
                <w:rFonts w:hint="default" w:ascii="Times New Roman" w:hAnsi="Times New Roman" w:cs="Times New Roman"/>
                <w:b/>
                <w:bCs/>
                <w:color w:val="000000" w:themeColor="text1"/>
                <w:highlight w:val="none"/>
                <w14:textFill>
                  <w14:solidFill>
                    <w14:schemeClr w14:val="tx1"/>
                  </w14:solidFill>
                </w14:textFill>
              </w:rPr>
              <w:t>（注：</w:t>
            </w:r>
            <w:r>
              <w:rPr>
                <w:rFonts w:hint="default" w:ascii="Times New Roman" w:hAnsi="Times New Roman" w:cs="Times New Roman"/>
                <w:b/>
                <w:bCs/>
                <w:color w:val="000000" w:themeColor="text1"/>
                <w:highlight w:val="none"/>
                <w:lang w:val="en-US" w:eastAsia="zh-CN"/>
                <w14:textFill>
                  <w14:solidFill>
                    <w14:schemeClr w14:val="tx1"/>
                  </w14:solidFill>
                </w14:textFill>
              </w:rPr>
              <w:t>成交供应商</w:t>
            </w:r>
            <w:r>
              <w:rPr>
                <w:rFonts w:hint="default" w:ascii="Times New Roman" w:hAnsi="Times New Roman" w:cs="Times New Roman"/>
                <w:b/>
                <w:bCs/>
                <w:color w:val="000000" w:themeColor="text1"/>
                <w:highlight w:val="none"/>
                <w14:textFill>
                  <w14:solidFill>
                    <w14:schemeClr w14:val="tx1"/>
                  </w14:solidFill>
                </w14:textFill>
              </w:rPr>
              <w:t>在领取中标通知</w:t>
            </w:r>
            <w:r>
              <w:rPr>
                <w:rFonts w:hint="default" w:ascii="Times New Roman" w:hAnsi="Times New Roman" w:cs="Times New Roman"/>
                <w:b/>
                <w:bCs/>
                <w:color w:val="000000" w:themeColor="text1"/>
                <w:highlight w:val="none"/>
                <w:lang w:val="en-US" w:eastAsia="zh-CN"/>
                <w14:textFill>
                  <w14:solidFill>
                    <w14:schemeClr w14:val="tx1"/>
                  </w14:solidFill>
                </w14:textFill>
              </w:rPr>
              <w:t>书</w:t>
            </w:r>
            <w:r>
              <w:rPr>
                <w:rFonts w:hint="default" w:ascii="Times New Roman" w:hAnsi="Times New Roman" w:cs="Times New Roman"/>
                <w:b/>
                <w:bCs/>
                <w:color w:val="000000" w:themeColor="text1"/>
                <w:highlight w:val="none"/>
                <w14:textFill>
                  <w14:solidFill>
                    <w14:schemeClr w14:val="tx1"/>
                  </w14:solidFill>
                </w14:textFill>
              </w:rPr>
              <w:t>前须向</w:t>
            </w:r>
            <w:r>
              <w:rPr>
                <w:rFonts w:hint="default" w:ascii="Times New Roman" w:hAnsi="Times New Roman" w:cs="Times New Roman"/>
                <w:b/>
                <w:bCs/>
                <w:color w:val="000000" w:themeColor="text1"/>
                <w:highlight w:val="none"/>
                <w:lang w:val="en-US" w:eastAsia="zh-CN"/>
                <w14:textFill>
                  <w14:solidFill>
                    <w14:schemeClr w14:val="tx1"/>
                  </w14:solidFill>
                </w14:textFill>
              </w:rPr>
              <w:t>采购</w:t>
            </w:r>
            <w:r>
              <w:rPr>
                <w:rFonts w:hint="default" w:ascii="Times New Roman" w:hAnsi="Times New Roman" w:cs="Times New Roman"/>
                <w:b/>
                <w:bCs/>
                <w:color w:val="000000" w:themeColor="text1"/>
                <w:highlight w:val="none"/>
                <w14:textFill>
                  <w14:solidFill>
                    <w14:schemeClr w14:val="tx1"/>
                  </w14:solidFill>
                </w14:textFill>
              </w:rPr>
              <w:t>代理机构递交株洲市采购交易系统导出的纸质版</w:t>
            </w:r>
            <w:r>
              <w:rPr>
                <w:rFonts w:hint="default" w:ascii="Times New Roman" w:hAnsi="Times New Roman" w:cs="Times New Roman"/>
                <w:b/>
                <w:bCs/>
                <w:color w:val="000000" w:themeColor="text1"/>
                <w:highlight w:val="none"/>
                <w:lang w:val="en-US" w:eastAsia="zh-CN"/>
                <w14:textFill>
                  <w14:solidFill>
                    <w14:schemeClr w14:val="tx1"/>
                  </w14:solidFill>
                </w14:textFill>
              </w:rPr>
              <w:t>响应</w:t>
            </w:r>
            <w:r>
              <w:rPr>
                <w:rFonts w:hint="default" w:ascii="Times New Roman" w:hAnsi="Times New Roman" w:cs="Times New Roman"/>
                <w:b/>
                <w:bCs/>
                <w:color w:val="000000" w:themeColor="text1"/>
                <w:highlight w:val="none"/>
                <w14:textFill>
                  <w14:solidFill>
                    <w14:schemeClr w14:val="tx1"/>
                  </w14:solidFill>
                </w14:textFill>
              </w:rPr>
              <w:t>文件</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两</w:t>
            </w:r>
            <w:r>
              <w:rPr>
                <w:rFonts w:hint="default" w:ascii="Times New Roman" w:hAnsi="Times New Roman" w:cs="Times New Roman"/>
                <w:b/>
                <w:bCs/>
                <w:color w:val="000000" w:themeColor="text1"/>
                <w:highlight w:val="none"/>
                <w14:textFill>
                  <w14:solidFill>
                    <w14:schemeClr w14:val="tx1"/>
                  </w14:solidFill>
                </w14:textFill>
              </w:rPr>
              <w:t>份并装订成册。）</w:t>
            </w:r>
          </w:p>
        </w:tc>
      </w:tr>
      <w:tr w14:paraId="34AAB6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9439" w:type="dxa"/>
            <w:gridSpan w:val="3"/>
            <w:vAlign w:val="top"/>
          </w:tcPr>
          <w:p w14:paraId="1C6D66E2">
            <w:pPr>
              <w:keepNext w:val="0"/>
              <w:keepLines w:val="0"/>
              <w:pageBreakBefore w:val="0"/>
              <w:widowControl w:val="0"/>
              <w:kinsoku/>
              <w:autoSpaceDE/>
              <w:autoSpaceDN/>
              <w:bidi w:val="0"/>
              <w:adjustRightInd w:val="0"/>
              <w:snapToGrid w:val="0"/>
              <w:spacing w:before="50" w:line="288" w:lineRule="auto"/>
              <w:jc w:val="left"/>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四、响应文件的递交</w:t>
            </w:r>
          </w:p>
        </w:tc>
      </w:tr>
      <w:tr w14:paraId="5E6053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39" w:type="dxa"/>
            <w:vAlign w:val="center"/>
          </w:tcPr>
          <w:p w14:paraId="78163D66">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04158564">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响应文件的密封和标记</w:t>
            </w:r>
          </w:p>
        </w:tc>
        <w:tc>
          <w:tcPr>
            <w:tcW w:w="6019" w:type="dxa"/>
            <w:vAlign w:val="center"/>
          </w:tcPr>
          <w:p w14:paraId="1397886E">
            <w:pPr>
              <w:keepNext w:val="0"/>
              <w:keepLines w:val="0"/>
              <w:pageBreakBefore w:val="0"/>
              <w:widowControl w:val="0"/>
              <w:kinsoku/>
              <w:autoSpaceDE/>
              <w:autoSpaceDN/>
              <w:bidi w:val="0"/>
              <w:adjustRightInd w:val="0"/>
              <w:snapToGrid w:val="0"/>
              <w:spacing w:before="156" w:beforeLines="50" w:line="288" w:lineRule="auto"/>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电子版</w:t>
            </w: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highlight w:val="none"/>
                <w14:textFill>
                  <w14:solidFill>
                    <w14:schemeClr w14:val="tx1"/>
                  </w14:solidFill>
                </w14:textFill>
              </w:rPr>
              <w:t>文件的密封和标记要求：通过数字证书进行签章、加密。未按要求签章、加密的</w:t>
            </w: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highlight w:val="none"/>
                <w14:textFill>
                  <w14:solidFill>
                    <w14:schemeClr w14:val="tx1"/>
                  </w14:solidFill>
                </w14:textFill>
              </w:rPr>
              <w:t>文件，系统将无法接收,采购代理机构不予受理</w:t>
            </w:r>
            <w:r>
              <w:rPr>
                <w:rFonts w:hint="default" w:ascii="Times New Roman" w:hAnsi="Times New Roman" w:eastAsia="宋体" w:cs="Times New Roman"/>
                <w:color w:val="000000" w:themeColor="text1"/>
                <w:kern w:val="0"/>
                <w:highlight w:val="none"/>
                <w:lang w:eastAsia="zh-CN"/>
                <w14:textFill>
                  <w14:solidFill>
                    <w14:schemeClr w14:val="tx1"/>
                  </w14:solidFill>
                </w14:textFill>
              </w:rPr>
              <w:t>。</w:t>
            </w:r>
          </w:p>
        </w:tc>
      </w:tr>
      <w:tr w14:paraId="7859D8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85" w:hRule="atLeast"/>
          <w:jc w:val="center"/>
        </w:trPr>
        <w:tc>
          <w:tcPr>
            <w:tcW w:w="1539" w:type="dxa"/>
            <w:vAlign w:val="center"/>
          </w:tcPr>
          <w:p w14:paraId="61AB1F96">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第1</w:t>
            </w:r>
            <w:r>
              <w:rPr>
                <w:rFonts w:hint="default" w:ascii="Times New Roman" w:hAnsi="Times New Roman" w:cs="Times New Roman"/>
                <w:color w:val="000000" w:themeColor="text1"/>
                <w:szCs w:val="21"/>
                <w:highlight w:val="none"/>
                <w:lang w:val="en-US" w:eastAsia="zh-CN"/>
                <w14:textFill>
                  <w14:solidFill>
                    <w14:schemeClr w14:val="tx1"/>
                  </w14:solidFill>
                </w14:textFill>
              </w:rPr>
              <w:t>8</w:t>
            </w:r>
            <w:r>
              <w:rPr>
                <w:rFonts w:hint="default" w:ascii="Times New Roman" w:hAnsi="Times New Roman" w:cs="Times New Roman"/>
                <w:color w:val="000000" w:themeColor="text1"/>
                <w:szCs w:val="21"/>
                <w:highlight w:val="none"/>
                <w14:textFill>
                  <w14:solidFill>
                    <w14:schemeClr w14:val="tx1"/>
                  </w14:solidFill>
                </w14:textFill>
              </w:rPr>
              <w:t>.1款</w:t>
            </w:r>
          </w:p>
        </w:tc>
        <w:tc>
          <w:tcPr>
            <w:tcW w:w="1881" w:type="dxa"/>
            <w:vAlign w:val="center"/>
          </w:tcPr>
          <w:p w14:paraId="5417048D">
            <w:pPr>
              <w:keepNext w:val="0"/>
              <w:keepLines w:val="0"/>
              <w:pageBreakBefore w:val="0"/>
              <w:widowControl w:val="0"/>
              <w:kinsoku/>
              <w:autoSpaceDE/>
              <w:autoSpaceDN/>
              <w:bidi w:val="0"/>
              <w:adjustRightInd w:val="0"/>
              <w:snapToGrid w:val="0"/>
              <w:spacing w:before="50" w:line="288"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响应文件的递交</w:t>
            </w:r>
            <w:r>
              <w:rPr>
                <w:rFonts w:hint="default" w:ascii="Times New Roman" w:hAnsi="Times New Roman" w:cs="Times New Roman"/>
                <w:bCs/>
                <w:color w:val="000000" w:themeColor="text1"/>
                <w:szCs w:val="21"/>
                <w:highlight w:val="none"/>
                <w14:textFill>
                  <w14:solidFill>
                    <w14:schemeClr w14:val="tx1"/>
                  </w14:solidFill>
                </w14:textFill>
              </w:rPr>
              <w:t>时间和</w:t>
            </w:r>
            <w:r>
              <w:rPr>
                <w:rFonts w:hint="default" w:ascii="Times New Roman" w:hAnsi="Times New Roman" w:cs="Times New Roman"/>
                <w:color w:val="000000" w:themeColor="text1"/>
                <w:szCs w:val="21"/>
                <w:highlight w:val="none"/>
                <w14:textFill>
                  <w14:solidFill>
                    <w14:schemeClr w14:val="tx1"/>
                  </w14:solidFill>
                </w14:textFill>
              </w:rPr>
              <w:t>地点</w:t>
            </w:r>
          </w:p>
        </w:tc>
        <w:tc>
          <w:tcPr>
            <w:tcW w:w="6019" w:type="dxa"/>
            <w:vAlign w:val="center"/>
          </w:tcPr>
          <w:p w14:paraId="24EC89C7">
            <w:pPr>
              <w:keepNext w:val="0"/>
              <w:keepLines w:val="0"/>
              <w:pageBreakBefore w:val="0"/>
              <w:widowControl w:val="0"/>
              <w:numPr>
                <w:ilvl w:val="0"/>
                <w:numId w:val="1"/>
              </w:numPr>
              <w:kinsoku/>
              <w:autoSpaceDE/>
              <w:autoSpaceDN/>
              <w:bidi w:val="0"/>
              <w:adjustRightInd w:val="0"/>
              <w:snapToGrid w:val="0"/>
              <w:spacing w:before="50" w:line="288" w:lineRule="auto"/>
              <w:jc w:val="both"/>
              <w:rPr>
                <w:rFonts w:hint="default" w:ascii="Times New Roman" w:hAnsi="Times New Roman" w:cs="Times New Roman" w:eastAsiaTheme="minorEastAsia"/>
                <w:b w:val="0"/>
                <w:bCs w:val="0"/>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响应文件的递交</w:t>
            </w:r>
            <w:r>
              <w:rPr>
                <w:rFonts w:hint="default" w:ascii="Times New Roman" w:hAnsi="Times New Roman" w:cs="Times New Roman"/>
                <w:bCs/>
                <w:color w:val="000000" w:themeColor="text1"/>
                <w:szCs w:val="21"/>
                <w:highlight w:val="none"/>
                <w14:textFill>
                  <w14:solidFill>
                    <w14:schemeClr w14:val="tx1"/>
                  </w14:solidFill>
                </w14:textFill>
              </w:rPr>
              <w:t>时间</w:t>
            </w:r>
            <w:r>
              <w:rPr>
                <w:rFonts w:hint="default" w:ascii="Times New Roman" w:hAnsi="Times New Roman" w:cs="Times New Roman"/>
                <w:bCs/>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详见本项目竞争</w:t>
            </w:r>
            <w:r>
              <w:rPr>
                <w:rFonts w:hint="default" w:ascii="Times New Roman" w:hAnsi="Times New Roman" w:cs="Times New Roman" w:eastAsiaTheme="minorEastAsia"/>
                <w:b w:val="0"/>
                <w:bCs w:val="0"/>
                <w:color w:val="000000" w:themeColor="text1"/>
                <w:szCs w:val="21"/>
                <w:highlight w:val="none"/>
                <w:lang w:val="en-US" w:eastAsia="zh-CN"/>
                <w14:textFill>
                  <w14:solidFill>
                    <w14:schemeClr w14:val="tx1"/>
                  </w14:solidFill>
                </w14:textFill>
              </w:rPr>
              <w:t>谈判</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文件</w:t>
            </w:r>
            <w:r>
              <w:rPr>
                <w:rFonts w:hint="default" w:ascii="Times New Roman" w:hAnsi="Times New Roman" w:cs="Times New Roman" w:eastAsiaTheme="minorEastAsia"/>
                <w:b w:val="0"/>
                <w:bCs w:val="0"/>
                <w:color w:val="000000" w:themeColor="text1"/>
                <w:szCs w:val="21"/>
                <w:highlight w:val="none"/>
                <w14:textFill>
                  <w14:solidFill>
                    <w14:schemeClr w14:val="tx1"/>
                  </w14:solidFill>
                </w14:textFill>
              </w:rPr>
              <w:t>第一章谈判邀请</w:t>
            </w:r>
          </w:p>
          <w:p w14:paraId="7D7751B2">
            <w:pPr>
              <w:keepNext w:val="0"/>
              <w:keepLines w:val="0"/>
              <w:pageBreakBefore w:val="0"/>
              <w:widowControl w:val="0"/>
              <w:numPr>
                <w:ilvl w:val="0"/>
                <w:numId w:val="1"/>
              </w:numPr>
              <w:kinsoku/>
              <w:autoSpaceDE/>
              <w:autoSpaceDN/>
              <w:bidi w:val="0"/>
              <w:adjustRightInd w:val="0"/>
              <w:snapToGrid w:val="0"/>
              <w:spacing w:before="50" w:line="288" w:lineRule="auto"/>
              <w:jc w:val="both"/>
              <w:rPr>
                <w:rFonts w:hint="default" w:ascii="Times New Roman" w:hAnsi="Times New Roman" w:cs="Times New Roman" w:eastAsiaTheme="minorEastAsia"/>
                <w:b w:val="0"/>
                <w:bCs w:val="0"/>
                <w:color w:val="000000" w:themeColor="text1"/>
                <w:szCs w:val="21"/>
                <w:highlight w:val="none"/>
                <w:lang w:val="en-US"/>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响应文件的递交地点</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株洲市采购交易系统（https://cgjy.zzzyjy.cn:38081/TPBidder/）</w:t>
            </w:r>
            <w:r>
              <w:rPr>
                <w:rStyle w:val="46"/>
                <w:rFonts w:hint="default" w:ascii="Times New Roman" w:hAnsi="Times New Roman" w:eastAsia="宋体" w:cs="Times New Roman"/>
                <w:color w:val="000000" w:themeColor="text1"/>
                <w:kern w:val="0"/>
                <w:szCs w:val="21"/>
                <w:highlight w:val="none"/>
                <w:u w:val="none"/>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不见面开标大厅，所有供应商应准时在线参加开标。本项目实行“不见面开标”方式，供应商无需到开标现场，请供应商提前配置好解密电脑和软件环境，在规定时间内使用制作响应文件时的CA锁登录“网上开标系统”解密响应文件。（请仔细阅读株洲市采购交易系统中的《</w:t>
            </w:r>
            <w:r>
              <w:rPr>
                <w:rFonts w:hint="default" w:ascii="Times New Roman" w:hAnsi="Times New Roman" w:cs="Times New Roman"/>
                <w:color w:val="000000" w:themeColor="text1"/>
                <w:kern w:val="0"/>
                <w:highlight w:val="none"/>
                <w14:textFill>
                  <w14:solidFill>
                    <w14:schemeClr w14:val="tx1"/>
                  </w14:solidFill>
                </w14:textFill>
              </w:rPr>
              <w:t>投标人操作手册</w:t>
            </w:r>
            <w:r>
              <w:rPr>
                <w:rFonts w:hint="default" w:ascii="Times New Roman" w:hAnsi="Times New Roman" w:eastAsia="宋体" w:cs="Times New Roman"/>
                <w:color w:val="000000" w:themeColor="text1"/>
                <w:kern w:val="0"/>
                <w:highlight w:val="none"/>
                <w14:textFill>
                  <w14:solidFill>
                    <w14:schemeClr w14:val="tx1"/>
                  </w14:solidFill>
                </w14:textFill>
              </w:rPr>
              <w:t>-竞争性谈判</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w:t>
            </w:r>
          </w:p>
          <w:p w14:paraId="27A67072">
            <w:pPr>
              <w:keepNext w:val="0"/>
              <w:keepLines w:val="0"/>
              <w:pageBreakBefore w:val="0"/>
              <w:widowControl w:val="0"/>
              <w:numPr>
                <w:ilvl w:val="0"/>
                <w:numId w:val="1"/>
              </w:numPr>
              <w:kinsoku/>
              <w:autoSpaceDE/>
              <w:autoSpaceDN/>
              <w:bidi w:val="0"/>
              <w:adjustRightInd w:val="0"/>
              <w:snapToGrid w:val="0"/>
              <w:spacing w:before="50" w:line="288" w:lineRule="auto"/>
              <w:jc w:val="both"/>
              <w:rPr>
                <w:rFonts w:hint="default" w:ascii="Times New Roman" w:hAnsi="Times New Roman" w:cs="Times New Roman" w:eastAsiaTheme="minorEastAsia"/>
                <w:b w:val="0"/>
                <w:bCs w:val="0"/>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解密响应文件：从提交首次响应文件</w:t>
            </w:r>
            <w:r>
              <w:rPr>
                <w:rFonts w:hint="default" w:ascii="Times New Roman" w:hAnsi="Times New Roman" w:eastAsia="宋体" w:cs="Times New Roman"/>
                <w:color w:val="000000" w:themeColor="text1"/>
                <w:kern w:val="0"/>
                <w:highlight w:val="none"/>
                <w14:textFill>
                  <w14:solidFill>
                    <w14:schemeClr w14:val="tx1"/>
                  </w14:solidFill>
                </w14:textFill>
              </w:rPr>
              <w:t>截止时间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起30分钟内完成。因供应商自身原因导致响应文件在解密时限内未解密或解密失败的，视为撤销其响应文件，相应责任由供应商自行承担。</w:t>
            </w:r>
          </w:p>
        </w:tc>
      </w:tr>
      <w:tr w14:paraId="1E7036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9439" w:type="dxa"/>
            <w:gridSpan w:val="3"/>
            <w:vAlign w:val="top"/>
          </w:tcPr>
          <w:p w14:paraId="13BB0FCB">
            <w:pPr>
              <w:keepNext w:val="0"/>
              <w:keepLines w:val="0"/>
              <w:pageBreakBefore w:val="0"/>
              <w:widowControl w:val="0"/>
              <w:kinsoku/>
              <w:autoSpaceDE/>
              <w:autoSpaceDN/>
              <w:bidi w:val="0"/>
              <w:adjustRightInd w:val="0"/>
              <w:snapToGrid w:val="0"/>
              <w:spacing w:before="50" w:line="288" w:lineRule="auto"/>
              <w:jc w:val="left"/>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五、响应文件的评审与谈判</w:t>
            </w:r>
          </w:p>
        </w:tc>
      </w:tr>
      <w:tr w14:paraId="76E40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90" w:hRule="atLeast"/>
          <w:jc w:val="center"/>
        </w:trPr>
        <w:tc>
          <w:tcPr>
            <w:tcW w:w="1539" w:type="dxa"/>
            <w:vAlign w:val="center"/>
          </w:tcPr>
          <w:p w14:paraId="6FAFB13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第2</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.4款</w:t>
            </w:r>
          </w:p>
        </w:tc>
        <w:tc>
          <w:tcPr>
            <w:tcW w:w="1881" w:type="dxa"/>
            <w:vAlign w:val="center"/>
          </w:tcPr>
          <w:p w14:paraId="5CB86CC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谈判文件规定的实质性要求和条件</w:t>
            </w:r>
          </w:p>
        </w:tc>
        <w:tc>
          <w:tcPr>
            <w:tcW w:w="6019" w:type="dxa"/>
            <w:vAlign w:val="center"/>
          </w:tcPr>
          <w:p w14:paraId="0D92F540">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Cs w:val="21"/>
                <w:highlight w:val="none"/>
                <w:lang w:val="en-US" w:eastAsia="zh-CN"/>
                <w14:textFill>
                  <w14:solidFill>
                    <w14:schemeClr w14:val="tx1"/>
                  </w14:solidFill>
                </w14:textFill>
              </w:rPr>
              <w:t>1</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Cs w:val="21"/>
                <w:highlight w:val="none"/>
                <w14:textFill>
                  <w14:solidFill>
                    <w14:schemeClr w14:val="tx1"/>
                  </w14:solidFill>
                </w14:textFill>
              </w:rPr>
              <w:t>谈判文件要求的所有条款、条件和规格</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均为实质性要求；</w:t>
            </w:r>
          </w:p>
          <w:p w14:paraId="052D9E36">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Cs w:val="21"/>
                <w:highlight w:val="none"/>
                <w:lang w:val="en-US" w:eastAsia="zh-CN"/>
                <w14:textFill>
                  <w14:solidFill>
                    <w14:schemeClr w14:val="tx1"/>
                  </w14:solidFill>
                </w14:textFill>
              </w:rPr>
              <w:t>2</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Cs w:val="21"/>
                <w:highlight w:val="none"/>
                <w14:textFill>
                  <w14:solidFill>
                    <w14:schemeClr w14:val="tx1"/>
                  </w14:solidFill>
                </w14:textFill>
              </w:rPr>
              <w:t>响应文件(包括首次响应文件、重新提交的响应文件)与</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谈判文件规定的实质性要求</w:t>
            </w:r>
            <w:r>
              <w:rPr>
                <w:rFonts w:hint="default" w:ascii="Times New Roman" w:hAnsi="Times New Roman" w:cs="Times New Roman" w:eastAsiaTheme="minorEastAsia"/>
                <w:b w:val="0"/>
                <w:bCs w:val="0"/>
                <w:color w:val="000000" w:themeColor="text1"/>
                <w:szCs w:val="21"/>
                <w:highlight w:val="none"/>
                <w14:textFill>
                  <w14:solidFill>
                    <w14:schemeClr w14:val="tx1"/>
                  </w14:solidFill>
                </w14:textFill>
              </w:rPr>
              <w:t>相符，没有偏离。偏离指不满足、或不响应谈判文件的要求</w:t>
            </w:r>
            <w:r>
              <w:rPr>
                <w:rFonts w:hint="default" w:ascii="Times New Roman" w:hAnsi="Times New Roman" w:cs="Times New Roman" w:eastAsiaTheme="minorEastAsia"/>
                <w:b w:val="0"/>
                <w:bCs w:val="0"/>
                <w:color w:val="000000" w:themeColor="text1"/>
                <w:szCs w:val="21"/>
                <w:highlight w:val="none"/>
                <w:lang w:eastAsia="zh-CN"/>
                <w14:textFill>
                  <w14:solidFill>
                    <w14:schemeClr w14:val="tx1"/>
                  </w14:solidFill>
                </w14:textFill>
              </w:rPr>
              <w:t>。</w:t>
            </w:r>
          </w:p>
        </w:tc>
      </w:tr>
      <w:tr w14:paraId="29395D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539" w:type="dxa"/>
            <w:vAlign w:val="center"/>
          </w:tcPr>
          <w:p w14:paraId="601159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第2</w:t>
            </w:r>
            <w:r>
              <w:rPr>
                <w:rFonts w:hint="default" w:ascii="Times New Roman" w:hAnsi="Times New Roman" w:cs="Times New Roman"/>
                <w:color w:val="000000" w:themeColor="text1"/>
                <w:szCs w:val="21"/>
                <w:highlight w:val="none"/>
                <w:lang w:val="en-US" w:eastAsia="zh-CN"/>
                <w14:textFill>
                  <w14:solidFill>
                    <w14:schemeClr w14:val="tx1"/>
                  </w14:solidFill>
                </w14:textFill>
              </w:rPr>
              <w:t>8</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0C5278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最后报价的算术修正</w:t>
            </w:r>
          </w:p>
        </w:tc>
        <w:tc>
          <w:tcPr>
            <w:tcW w:w="6019" w:type="dxa"/>
            <w:vAlign w:val="center"/>
          </w:tcPr>
          <w:p w14:paraId="675D30E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Cs w:val="21"/>
                <w:highlight w:val="none"/>
                <w:lang w:val="en-US" w:eastAsia="zh-CN"/>
                <w14:textFill>
                  <w14:solidFill>
                    <w14:schemeClr w14:val="tx1"/>
                  </w14:solidFill>
                </w14:textFill>
              </w:rPr>
              <w:t>/</w:t>
            </w:r>
          </w:p>
        </w:tc>
      </w:tr>
      <w:tr w14:paraId="40B220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9439" w:type="dxa"/>
            <w:gridSpan w:val="3"/>
            <w:vAlign w:val="center"/>
          </w:tcPr>
          <w:p w14:paraId="7DE4536A">
            <w:pPr>
              <w:keepNext w:val="0"/>
              <w:keepLines w:val="0"/>
              <w:pageBreakBefore w:val="0"/>
              <w:widowControl w:val="0"/>
              <w:kinsoku/>
              <w:autoSpaceDE/>
              <w:autoSpaceDN/>
              <w:bidi w:val="0"/>
              <w:adjustRightInd w:val="0"/>
              <w:snapToGrid w:val="0"/>
              <w:spacing w:before="50" w:line="240" w:lineRule="auto"/>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六、成交结果信息公布与供应商质疑</w:t>
            </w:r>
          </w:p>
        </w:tc>
      </w:tr>
      <w:tr w14:paraId="5F89D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1539" w:type="dxa"/>
            <w:vAlign w:val="center"/>
          </w:tcPr>
          <w:p w14:paraId="0553FDB0">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第3</w:t>
            </w:r>
            <w:r>
              <w:rPr>
                <w:rFonts w:hint="default" w:ascii="Times New Roman" w:hAnsi="Times New Roman" w:cs="Times New Roman"/>
                <w:color w:val="000000" w:themeColor="text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Cs w:val="21"/>
                <w:highlight w:val="none"/>
                <w14:textFill>
                  <w14:solidFill>
                    <w14:schemeClr w14:val="tx1"/>
                  </w14:solidFill>
                </w14:textFill>
              </w:rPr>
              <w:t>.1款</w:t>
            </w:r>
          </w:p>
        </w:tc>
        <w:tc>
          <w:tcPr>
            <w:tcW w:w="1881" w:type="dxa"/>
            <w:vAlign w:val="center"/>
          </w:tcPr>
          <w:p w14:paraId="19E52315">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财政部门指定的媒体</w:t>
            </w:r>
          </w:p>
        </w:tc>
        <w:tc>
          <w:tcPr>
            <w:tcW w:w="6019" w:type="dxa"/>
            <w:vAlign w:val="center"/>
          </w:tcPr>
          <w:p w14:paraId="1CCF877B">
            <w:pPr>
              <w:keepNext w:val="0"/>
              <w:keepLines w:val="0"/>
              <w:pageBreakBefore w:val="0"/>
              <w:widowControl w:val="0"/>
              <w:kinsoku/>
              <w:autoSpaceDE/>
              <w:autoSpaceDN/>
              <w:bidi w:val="0"/>
              <w:adjustRightInd w:val="0"/>
              <w:snapToGrid w:val="0"/>
              <w:spacing w:before="50" w:line="240" w:lineRule="auto"/>
              <w:jc w:val="left"/>
              <w:rPr>
                <w:rFonts w:hint="eastAsia" w:ascii="Times New Roman" w:hAnsi="Times New Roman" w:eastAsia="宋体" w:cs="Times New Roman"/>
                <w:color w:val="000000" w:themeColor="text1"/>
                <w:szCs w:val="21"/>
                <w:highlight w:val="none"/>
                <w:u w:val="singl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中国·湖南政府采购网(www.ccgp-hunan.gov.cn)、</w:t>
            </w:r>
            <w:r>
              <w:rPr>
                <w:rFonts w:hint="eastAsia" w:ascii="宋体" w:hAnsi="宋体" w:eastAsia="宋体" w:cs="宋体"/>
                <w:color w:val="000000" w:themeColor="text1"/>
                <w:szCs w:val="21"/>
                <w:highlight w:val="none"/>
                <w14:textFill>
                  <w14:solidFill>
                    <w14:schemeClr w14:val="tx1"/>
                  </w14:solidFill>
                </w14:textFill>
              </w:rPr>
              <w:t>湖南省公共资源交易服务平台株洲分</w:t>
            </w:r>
            <w:r>
              <w:rPr>
                <w:rFonts w:hint="eastAsia" w:ascii="Times New Roman" w:hAnsi="Times New Roman" w:eastAsia="宋体" w:cs="Times New Roman"/>
                <w:color w:val="000000" w:themeColor="text1"/>
                <w:szCs w:val="21"/>
                <w:highlight w:val="none"/>
                <w14:textFill>
                  <w14:solidFill>
                    <w14:schemeClr w14:val="tx1"/>
                  </w14:solidFill>
                </w14:textFill>
              </w:rPr>
              <w:t>平台</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w:t>
            </w:r>
            <w:bookmarkStart w:id="876" w:name="_GoBack"/>
            <w:bookmarkEnd w:id="876"/>
            <w:r>
              <w:rPr>
                <w:rFonts w:hint="eastAsia" w:ascii="Times New Roman" w:hAnsi="Times New Roman" w:eastAsia="宋体" w:cs="Times New Roman"/>
                <w:color w:val="000000" w:themeColor="text1"/>
                <w:szCs w:val="21"/>
                <w:highlight w:val="none"/>
                <w14:textFill>
                  <w14:solidFill>
                    <w14:schemeClr w14:val="tx1"/>
                  </w14:solidFill>
                </w14:textFill>
              </w:rPr>
              <w:t>https://zhuzhou.hnsggzy.com</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w:t>
            </w:r>
          </w:p>
        </w:tc>
      </w:tr>
      <w:tr w14:paraId="6EA516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55" w:hRule="atLeast"/>
          <w:jc w:val="center"/>
        </w:trPr>
        <w:tc>
          <w:tcPr>
            <w:tcW w:w="1539" w:type="dxa"/>
            <w:vAlign w:val="center"/>
          </w:tcPr>
          <w:p w14:paraId="3DB52CCE">
            <w:pPr>
              <w:keepNext w:val="0"/>
              <w:keepLines w:val="0"/>
              <w:pageBreakBefore w:val="0"/>
              <w:widowControl w:val="0"/>
              <w:kinsoku/>
              <w:autoSpaceDE/>
              <w:autoSpaceDN/>
              <w:bidi w:val="0"/>
              <w:adjustRightInd w:val="0"/>
              <w:snapToGrid w:val="0"/>
              <w:spacing w:before="0" w:line="30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第3</w:t>
            </w:r>
            <w:r>
              <w:rPr>
                <w:rFonts w:hint="default"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0168FF13">
            <w:pPr>
              <w:adjustRightInd w:val="0"/>
              <w:snapToGrid w:val="0"/>
              <w:spacing w:line="30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接收质疑函的联系部门、联系电话和通讯地址</w:t>
            </w:r>
          </w:p>
        </w:tc>
        <w:tc>
          <w:tcPr>
            <w:tcW w:w="6019" w:type="dxa"/>
            <w:vAlign w:val="center"/>
          </w:tcPr>
          <w:p w14:paraId="1E7F9D07">
            <w:pPr>
              <w:adjustRightInd w:val="0"/>
              <w:snapToGrid w:val="0"/>
              <w:spacing w:before="0" w:line="300" w:lineRule="exact"/>
              <w:ind w:firstLine="0" w:firstLineChars="0"/>
              <w:jc w:val="left"/>
              <w:rPr>
                <w:rFonts w:hint="default" w:ascii="Times New Roman" w:hAnsi="Times New Roman" w:eastAsia="宋体" w:cs="Times New Roman"/>
                <w:bCs w:val="0"/>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bCs w:val="0"/>
                <w:color w:val="000000" w:themeColor="text1"/>
                <w:szCs w:val="21"/>
                <w:highlight w:val="none"/>
                <w:lang w:eastAsia="zh-CN"/>
                <w14:textFill>
                  <w14:solidFill>
                    <w14:schemeClr w14:val="tx1"/>
                  </w14:solidFill>
                </w14:textFill>
              </w:rPr>
              <w:t>采购人</w:t>
            </w:r>
            <w:r>
              <w:rPr>
                <w:rFonts w:hint="default" w:ascii="Times New Roman" w:hAnsi="Times New Roman" w:eastAsia="宋体" w:cs="Times New Roman"/>
                <w:bCs w:val="0"/>
                <w:color w:val="000000" w:themeColor="text1"/>
                <w:szCs w:val="21"/>
                <w:highlight w:val="none"/>
                <w14:textFill>
                  <w14:solidFill>
                    <w14:schemeClr w14:val="tx1"/>
                  </w14:solidFill>
                </w14:textFill>
              </w:rPr>
              <w:t>：</w:t>
            </w:r>
            <w:r>
              <w:rPr>
                <w:rFonts w:hint="eastAsia" w:cs="Times New Roman"/>
                <w:bCs w:val="0"/>
                <w:color w:val="000000" w:themeColor="text1"/>
                <w:szCs w:val="21"/>
                <w:highlight w:val="none"/>
                <w:lang w:eastAsia="zh-CN"/>
                <w14:textFill>
                  <w14:solidFill>
                    <w14:schemeClr w14:val="tx1"/>
                  </w14:solidFill>
                </w14:textFill>
              </w:rPr>
              <w:t>湖南汽车工程职业大学</w:t>
            </w:r>
          </w:p>
          <w:p w14:paraId="016AB703">
            <w:pPr>
              <w:adjustRightInd w:val="0"/>
              <w:snapToGrid w:val="0"/>
              <w:spacing w:before="0" w:line="300" w:lineRule="exact"/>
              <w:ind w:firstLine="0" w:firstLineChars="0"/>
              <w:jc w:val="left"/>
              <w:rPr>
                <w:rFonts w:hint="default" w:ascii="Times New Roman" w:hAnsi="Times New Roman" w:eastAsia="宋体" w:cs="Times New Roman"/>
                <w:color w:val="000000" w:themeColor="text1"/>
                <w:szCs w:val="21"/>
                <w:highlight w:val="none"/>
                <w:u w:val="none"/>
                <w:lang w:eastAsia="zh-CN"/>
                <w14:textFill>
                  <w14:solidFill>
                    <w14:schemeClr w14:val="tx1"/>
                  </w14:solidFill>
                </w14:textFill>
              </w:rPr>
            </w:pPr>
            <w:r>
              <w:rPr>
                <w:rFonts w:hint="default" w:ascii="Times New Roman" w:hAnsi="Times New Roman" w:eastAsia="宋体" w:cs="Times New Roman"/>
                <w:bCs w:val="0"/>
                <w:color w:val="000000" w:themeColor="text1"/>
                <w:szCs w:val="21"/>
                <w:highlight w:val="none"/>
                <w14:textFill>
                  <w14:solidFill>
                    <w14:schemeClr w14:val="tx1"/>
                  </w14:solidFill>
                </w14:textFill>
              </w:rPr>
              <w:t>地  址：</w:t>
            </w:r>
            <w:r>
              <w:rPr>
                <w:rFonts w:hint="default" w:ascii="Times New Roman" w:hAnsi="Times New Roman" w:cs="Times New Roman"/>
                <w:bCs w:val="0"/>
                <w:color w:val="000000" w:themeColor="text1"/>
                <w:szCs w:val="21"/>
                <w:highlight w:val="none"/>
                <w:lang w:eastAsia="zh-CN"/>
                <w14:textFill>
                  <w14:solidFill>
                    <w14:schemeClr w14:val="tx1"/>
                  </w14:solidFill>
                </w14:textFill>
              </w:rPr>
              <w:t>湖南省株洲市云龙示范区智慧路79号</w:t>
            </w:r>
          </w:p>
          <w:p w14:paraId="6CA6B60B">
            <w:pPr>
              <w:adjustRightInd w:val="0"/>
              <w:snapToGrid w:val="0"/>
              <w:spacing w:before="0" w:line="300" w:lineRule="exact"/>
              <w:ind w:firstLine="0" w:firstLineChars="0"/>
              <w:jc w:val="left"/>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联系人：</w:t>
            </w:r>
            <w:r>
              <w:rPr>
                <w:rFonts w:hint="default" w:ascii="Times New Roman" w:hAnsi="Times New Roman" w:cs="Times New Roman"/>
                <w:color w:val="000000" w:themeColor="text1"/>
                <w:szCs w:val="21"/>
                <w:highlight w:val="none"/>
                <w:lang w:eastAsia="zh-CN"/>
                <w14:textFill>
                  <w14:solidFill>
                    <w14:schemeClr w14:val="tx1"/>
                  </w14:solidFill>
                </w14:textFill>
              </w:rPr>
              <w:t>陈洁</w:t>
            </w:r>
          </w:p>
          <w:p w14:paraId="75CE2E51">
            <w:pP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电  话：</w:t>
            </w:r>
            <w:r>
              <w:rPr>
                <w:rFonts w:hint="default" w:ascii="Times New Roman" w:hAnsi="Times New Roman" w:cs="Times New Roman"/>
                <w:color w:val="000000" w:themeColor="text1"/>
                <w:szCs w:val="21"/>
                <w:highlight w:val="none"/>
                <w:lang w:eastAsia="zh-CN"/>
                <w14:textFill>
                  <w14:solidFill>
                    <w14:schemeClr w14:val="tx1"/>
                  </w14:solidFill>
                </w14:textFill>
              </w:rPr>
              <w:t>0731-22111048</w:t>
            </w:r>
          </w:p>
          <w:p w14:paraId="2CCFD76B">
            <w:pPr>
              <w:adjustRightInd w:val="0"/>
              <w:snapToGrid w:val="0"/>
              <w:spacing w:before="0" w:line="300" w:lineRule="exact"/>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eastAsia="zh-CN"/>
                <w14:textFill>
                  <w14:solidFill>
                    <w14:schemeClr w14:val="tx1"/>
                  </w14:solidFill>
                </w14:textFill>
              </w:rPr>
              <w:t>代理</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机构</w:t>
            </w:r>
            <w:r>
              <w:rPr>
                <w:rFonts w:hint="default" w:ascii="Times New Roman" w:hAnsi="Times New Roman" w:eastAsia="宋体" w:cs="Times New Roman"/>
                <w:color w:val="000000" w:themeColor="text1"/>
                <w:szCs w:val="21"/>
                <w:highlight w:val="none"/>
                <w14:textFill>
                  <w14:solidFill>
                    <w14:schemeClr w14:val="tx1"/>
                  </w14:solidFill>
                </w14:textFill>
              </w:rPr>
              <w:t>：湖南宏源中柱工程项目管理有限公司</w:t>
            </w:r>
          </w:p>
          <w:p w14:paraId="08B774CA">
            <w:pPr>
              <w:adjustRightInd w:val="0"/>
              <w:snapToGrid w:val="0"/>
              <w:spacing w:before="0" w:line="300" w:lineRule="exact"/>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地</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址：株洲市天元区长江北路华晨大拇指广场写字楼11楼</w:t>
            </w:r>
          </w:p>
          <w:p w14:paraId="7BF52D47">
            <w:pPr>
              <w:adjustRightInd w:val="0"/>
              <w:snapToGrid w:val="0"/>
              <w:spacing w:before="0" w:line="300" w:lineRule="exact"/>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电</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话：0731-28470821</w:t>
            </w:r>
          </w:p>
          <w:p w14:paraId="6FDB79A6">
            <w:pPr>
              <w:adjustRightInd w:val="0"/>
              <w:snapToGrid w:val="0"/>
              <w:spacing w:before="0" w:line="300" w:lineRule="exact"/>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联系人：叶章丽</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李敏</w:t>
            </w:r>
          </w:p>
        </w:tc>
      </w:tr>
      <w:tr w14:paraId="5FEBD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7" w:hRule="atLeast"/>
          <w:jc w:val="center"/>
        </w:trPr>
        <w:tc>
          <w:tcPr>
            <w:tcW w:w="1539" w:type="dxa"/>
            <w:vAlign w:val="center"/>
          </w:tcPr>
          <w:p w14:paraId="10DEC3FB">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第3</w:t>
            </w:r>
            <w:r>
              <w:rPr>
                <w:rFonts w:hint="default" w:ascii="Times New Roman" w:hAnsi="Times New Roman" w:cs="Times New Roman"/>
                <w:color w:val="000000" w:themeColor="text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4DBD7EF2">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履约担保</w:t>
            </w:r>
          </w:p>
        </w:tc>
        <w:tc>
          <w:tcPr>
            <w:tcW w:w="6019" w:type="dxa"/>
            <w:vAlign w:val="center"/>
          </w:tcPr>
          <w:p w14:paraId="2BCCD93E">
            <w:pPr>
              <w:keepNext w:val="0"/>
              <w:keepLines w:val="0"/>
              <w:pageBreakBefore w:val="0"/>
              <w:widowControl/>
              <w:kinsoku/>
              <w:wordWrap/>
              <w:overflowPunct/>
              <w:topLinePunct w:val="0"/>
              <w:autoSpaceDE/>
              <w:autoSpaceDN/>
              <w:bidi w:val="0"/>
              <w:adjustRightInd/>
              <w:snapToGrid w:val="0"/>
              <w:spacing w:line="360" w:lineRule="auto"/>
              <w:ind w:firstLine="0" w:firstLineChars="0"/>
              <w:jc w:val="both"/>
              <w:textAlignment w:val="auto"/>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■不要求提供</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p>
          <w:p w14:paraId="704D7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要求提供</w:t>
            </w:r>
            <w:r>
              <w:rPr>
                <w:rFonts w:hint="default" w:ascii="Times New Roman" w:hAnsi="Times New Roman" w:cs="Times New Roman" w:eastAsiaTheme="minorEastAsia"/>
                <w:color w:val="auto"/>
                <w:szCs w:val="21"/>
                <w:highlight w:val="none"/>
              </w:rPr>
              <w:t>，履约担保的金额为：</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u w:val="single"/>
                <w:lang w:val="en-US" w:eastAsia="zh-CN"/>
              </w:rPr>
              <w:t>/</w:t>
            </w:r>
            <w:r>
              <w:rPr>
                <w:rFonts w:hint="default" w:ascii="Times New Roman" w:hAnsi="Times New Roman" w:cs="Times New Roman" w:eastAsiaTheme="minorEastAsia"/>
                <w:color w:val="auto"/>
                <w:szCs w:val="21"/>
                <w:highlight w:val="none"/>
                <w:u w:val="single"/>
              </w:rPr>
              <w:t xml:space="preserve">   </w:t>
            </w:r>
          </w:p>
        </w:tc>
      </w:tr>
      <w:tr w14:paraId="72053D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9439" w:type="dxa"/>
            <w:gridSpan w:val="3"/>
            <w:vAlign w:val="top"/>
          </w:tcPr>
          <w:p w14:paraId="1039FD67">
            <w:pPr>
              <w:keepNext w:val="0"/>
              <w:keepLines w:val="0"/>
              <w:pageBreakBefore w:val="0"/>
              <w:widowControl w:val="0"/>
              <w:kinsoku/>
              <w:autoSpaceDE/>
              <w:autoSpaceDN/>
              <w:bidi w:val="0"/>
              <w:adjustRightInd w:val="0"/>
              <w:snapToGrid w:val="0"/>
              <w:spacing w:before="50" w:line="288" w:lineRule="auto"/>
              <w:jc w:val="left"/>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七、政府采购政策</w:t>
            </w:r>
          </w:p>
        </w:tc>
      </w:tr>
      <w:tr w14:paraId="6040DF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4" w:hRule="atLeast"/>
          <w:jc w:val="center"/>
        </w:trPr>
        <w:tc>
          <w:tcPr>
            <w:tcW w:w="1539" w:type="dxa"/>
            <w:vMerge w:val="restart"/>
            <w:vAlign w:val="center"/>
          </w:tcPr>
          <w:p w14:paraId="70004F70">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40</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1款</w:t>
            </w:r>
          </w:p>
        </w:tc>
        <w:tc>
          <w:tcPr>
            <w:tcW w:w="1881" w:type="dxa"/>
            <w:tcBorders>
              <w:bottom w:val="single" w:color="auto" w:sz="4" w:space="0"/>
            </w:tcBorders>
            <w:vAlign w:val="center"/>
          </w:tcPr>
          <w:p w14:paraId="0AE5D2B0">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节能产品的价格折扣比例</w:t>
            </w:r>
          </w:p>
        </w:tc>
        <w:tc>
          <w:tcPr>
            <w:tcW w:w="6019" w:type="dxa"/>
            <w:tcBorders>
              <w:bottom w:val="single" w:color="auto" w:sz="4" w:space="0"/>
            </w:tcBorders>
            <w:vAlign w:val="center"/>
          </w:tcPr>
          <w:p w14:paraId="54CD8C3F">
            <w:pPr>
              <w:keepNext w:val="0"/>
              <w:keepLines w:val="0"/>
              <w:pageBreakBefore w:val="0"/>
              <w:widowControl w:val="0"/>
              <w:kinsoku/>
              <w:autoSpaceDE/>
              <w:autoSpaceDN/>
              <w:bidi w:val="0"/>
              <w:adjustRightInd w:val="0"/>
              <w:snapToGrid w:val="0"/>
              <w:spacing w:before="50" w:line="240" w:lineRule="auto"/>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对纳入财政部会同国务院有关部门发布的节能产品政府采购品目清单，实施政府优先采购的</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应给予5%-10%的价格扣除，本项目具体扣除比例为</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u w:val="singl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p>
        </w:tc>
      </w:tr>
      <w:tr w14:paraId="32FFC5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1539" w:type="dxa"/>
            <w:vMerge w:val="continue"/>
            <w:vAlign w:val="center"/>
          </w:tcPr>
          <w:p w14:paraId="0225624B">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881" w:type="dxa"/>
            <w:tcBorders>
              <w:top w:val="single" w:color="auto" w:sz="4" w:space="0"/>
            </w:tcBorders>
            <w:vAlign w:val="center"/>
          </w:tcPr>
          <w:p w14:paraId="3BE7831C">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环境标志产品的价格折扣比例</w:t>
            </w:r>
          </w:p>
        </w:tc>
        <w:tc>
          <w:tcPr>
            <w:tcW w:w="6019" w:type="dxa"/>
            <w:tcBorders>
              <w:top w:val="single" w:color="auto" w:sz="4" w:space="0"/>
            </w:tcBorders>
            <w:vAlign w:val="center"/>
          </w:tcPr>
          <w:p w14:paraId="60120B4E">
            <w:pPr>
              <w:keepNext w:val="0"/>
              <w:keepLines w:val="0"/>
              <w:pageBreakBefore w:val="0"/>
              <w:widowControl w:val="0"/>
              <w:kinsoku/>
              <w:autoSpaceDE/>
              <w:autoSpaceDN/>
              <w:bidi w:val="0"/>
              <w:adjustRightInd w:val="0"/>
              <w:snapToGrid w:val="0"/>
              <w:spacing w:before="50" w:line="240" w:lineRule="auto"/>
              <w:jc w:val="left"/>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对纳入财政部会同国务院有关部门发布的环境标志产品政府采购品目清单，实施政府优先采购的</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应给予5%-10%的价格扣除，本项目具体扣除比例为</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u w:val="singl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p>
        </w:tc>
      </w:tr>
      <w:tr w14:paraId="26378D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81" w:hRule="atLeast"/>
          <w:jc w:val="center"/>
        </w:trPr>
        <w:tc>
          <w:tcPr>
            <w:tcW w:w="1539" w:type="dxa"/>
            <w:vAlign w:val="center"/>
          </w:tcPr>
          <w:p w14:paraId="4296696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41</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（1）项</w:t>
            </w:r>
          </w:p>
        </w:tc>
        <w:tc>
          <w:tcPr>
            <w:tcW w:w="1881" w:type="dxa"/>
            <w:vAlign w:val="center"/>
          </w:tcPr>
          <w:p w14:paraId="2AAEF17F">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小型、微型企业的</w:t>
            </w:r>
          </w:p>
          <w:p w14:paraId="727465FA">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价格折扣比例</w:t>
            </w:r>
          </w:p>
        </w:tc>
        <w:tc>
          <w:tcPr>
            <w:tcW w:w="6019" w:type="dxa"/>
            <w:vAlign w:val="center"/>
          </w:tcPr>
          <w:p w14:paraId="2C56C5A7">
            <w:pPr>
              <w:keepNext w:val="0"/>
              <w:keepLines w:val="0"/>
              <w:pageBreakBefore w:val="0"/>
              <w:widowControl/>
              <w:kinsoku/>
              <w:wordWrap/>
              <w:overflowPunct/>
              <w:topLinePunct w:val="0"/>
              <w:autoSpaceDE/>
              <w:autoSpaceDN/>
              <w:bidi w:val="0"/>
              <w:adjustRightInd w:val="0"/>
              <w:snapToGrid w:val="0"/>
              <w:spacing w:line="300" w:lineRule="exact"/>
              <w:textAlignment w:val="auto"/>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■专门面向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中</w:t>
            </w:r>
            <w:r>
              <w:rPr>
                <w:rFonts w:hint="default" w:ascii="Times New Roman" w:hAnsi="Times New Roman" w:eastAsia="宋体" w:cs="Times New Roman"/>
                <w:b/>
                <w:bCs/>
                <w:color w:val="000000" w:themeColor="text1"/>
                <w:highlight w:val="none"/>
                <w:lang w:eastAsia="zh-CN"/>
                <w14:textFill>
                  <w14:solidFill>
                    <w14:schemeClr w14:val="tx1"/>
                  </w14:solidFill>
                </w14:textFill>
              </w:rPr>
              <w:t>小微企业采购。</w:t>
            </w:r>
          </w:p>
          <w:p w14:paraId="3B8B3F62">
            <w:pPr>
              <w:keepNext w:val="0"/>
              <w:keepLines w:val="0"/>
              <w:pageBreakBefore w:val="0"/>
              <w:widowControl/>
              <w:numPr>
                <w:ilvl w:val="0"/>
                <w:numId w:val="2"/>
              </w:numPr>
              <w:kinsoku/>
              <w:wordWrap/>
              <w:overflowPunct/>
              <w:topLinePunct w:val="0"/>
              <w:autoSpaceDE/>
              <w:autoSpaceDN/>
              <w:bidi w:val="0"/>
              <w:adjustRightInd w:val="0"/>
              <w:snapToGrid w:val="0"/>
              <w:spacing w:line="300" w:lineRule="exact"/>
              <w:textAlignment w:val="auto"/>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本项目为专门面向中小微企业采购，</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因此</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不享受价格评审优惠政策。</w:t>
            </w:r>
          </w:p>
          <w:p w14:paraId="316F6F1C">
            <w:pPr>
              <w:keepNext w:val="0"/>
              <w:keepLines w:val="0"/>
              <w:pageBreakBefore w:val="0"/>
              <w:widowControl/>
              <w:numPr>
                <w:ilvl w:val="0"/>
                <w:numId w:val="2"/>
              </w:numPr>
              <w:kinsoku/>
              <w:wordWrap/>
              <w:overflowPunct/>
              <w:topLinePunct w:val="0"/>
              <w:autoSpaceDE/>
              <w:autoSpaceDN/>
              <w:bidi w:val="0"/>
              <w:adjustRightInd w:val="0"/>
              <w:snapToGrid w:val="0"/>
              <w:spacing w:line="300" w:lineRule="exact"/>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本项目所属行业为</w:t>
            </w:r>
            <w:r>
              <w:rPr>
                <w:rFonts w:hint="default" w:ascii="Times New Roman" w:hAnsi="Times New Roman" w:eastAsia="宋体" w:cs="Times New Roman"/>
                <w:b w:val="0"/>
                <w:bCs w:val="0"/>
                <w:color w:val="000000" w:themeColor="text1"/>
                <w:kern w:val="2"/>
                <w:sz w:val="28"/>
                <w:szCs w:val="36"/>
                <w:highlight w:val="none"/>
                <w:u w:val="single"/>
                <w:shd w:val="clear" w:color="auto" w:fill="auto"/>
                <w:lang w:val="en-US" w:eastAsia="zh-CN" w:bidi="ar-SA"/>
                <w14:textFill>
                  <w14:solidFill>
                    <w14:schemeClr w14:val="tx1"/>
                  </w14:solidFill>
                </w14:textFill>
              </w:rPr>
              <w:t xml:space="preserve"> </w:t>
            </w:r>
            <w:r>
              <w:rPr>
                <w:rFonts w:hint="default" w:ascii="Times New Roman" w:hAnsi="Times New Roman" w:cs="Times New Roman"/>
                <w:b/>
                <w:bCs/>
                <w:color w:val="000000" w:themeColor="text1"/>
                <w:kern w:val="2"/>
                <w:sz w:val="28"/>
                <w:szCs w:val="36"/>
                <w:highlight w:val="none"/>
                <w:u w:val="single"/>
                <w:shd w:val="clear" w:color="auto" w:fill="auto"/>
                <w:lang w:val="en-US" w:eastAsia="zh-CN" w:bidi="ar-SA"/>
                <w14:textFill>
                  <w14:solidFill>
                    <w14:schemeClr w14:val="tx1"/>
                  </w14:solidFill>
                </w14:textFill>
              </w:rPr>
              <w:t>工业</w:t>
            </w:r>
            <w:r>
              <w:rPr>
                <w:rFonts w:hint="default" w:ascii="Times New Roman" w:hAnsi="Times New Roman" w:eastAsia="宋体" w:cs="Times New Roman"/>
                <w:b w:val="0"/>
                <w:bCs w:val="0"/>
                <w:color w:val="000000" w:themeColor="text1"/>
                <w:kern w:val="2"/>
                <w:sz w:val="28"/>
                <w:szCs w:val="36"/>
                <w:highlight w:val="none"/>
                <w:u w:val="single"/>
                <w:shd w:val="clear" w:color="auto" w:fill="auto"/>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，其中供应商企业规模认定按照《关于印发中小企业划型标准规定的通知》（工信部联企业〔2011〕300号）执行。</w:t>
            </w:r>
          </w:p>
          <w:p w14:paraId="3F24E811">
            <w:pPr>
              <w:keepNext w:val="0"/>
              <w:keepLines w:val="0"/>
              <w:pageBreakBefore w:val="0"/>
              <w:widowControl/>
              <w:kinsoku/>
              <w:wordWrap/>
              <w:overflowPunct/>
              <w:topLinePunct w:val="0"/>
              <w:autoSpaceDE/>
              <w:autoSpaceDN/>
              <w:bidi w:val="0"/>
              <w:adjustRightInd w:val="0"/>
              <w:snapToGrid w:val="0"/>
              <w:spacing w:line="300" w:lineRule="exact"/>
              <w:textAlignment w:val="auto"/>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□非专门面向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中</w:t>
            </w:r>
            <w:r>
              <w:rPr>
                <w:rFonts w:hint="default" w:ascii="Times New Roman" w:hAnsi="Times New Roman" w:eastAsia="宋体" w:cs="Times New Roman"/>
                <w:b/>
                <w:bCs/>
                <w:color w:val="000000" w:themeColor="text1"/>
                <w:highlight w:val="none"/>
                <w:lang w:eastAsia="zh-CN"/>
                <w14:textFill>
                  <w14:solidFill>
                    <w14:schemeClr w14:val="tx1"/>
                  </w14:solidFill>
                </w14:textFill>
              </w:rPr>
              <w:t>小微企业采购：</w:t>
            </w:r>
          </w:p>
          <w:p w14:paraId="66651EB5">
            <w:pPr>
              <w:keepNext w:val="0"/>
              <w:keepLines w:val="0"/>
              <w:pageBreakBefore w:val="0"/>
              <w:widowControl/>
              <w:kinsoku/>
              <w:wordWrap/>
              <w:overflowPunct/>
              <w:topLinePunct w:val="0"/>
              <w:autoSpaceDE/>
              <w:autoSpaceDN/>
              <w:bidi w:val="0"/>
              <w:adjustRightInd w:val="0"/>
              <w:snapToGrid w:val="0"/>
              <w:spacing w:line="300" w:lineRule="exact"/>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供应商为小型、微型企业，且提供本企业生产的货物</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工程</w:t>
            </w:r>
            <w:r>
              <w:rPr>
                <w:rFonts w:hint="default" w:ascii="Times New Roman" w:hAnsi="Times New Roman" w:eastAsia="宋体" w:cs="Times New Roman"/>
                <w:color w:val="000000" w:themeColor="text1"/>
                <w:highlight w:val="none"/>
                <w:lang w:eastAsia="zh-CN"/>
                <w14:textFill>
                  <w14:solidFill>
                    <w14:schemeClr w14:val="tx1"/>
                  </w14:solidFill>
                </w14:textFill>
              </w:rPr>
              <w:t>或者</w:t>
            </w:r>
            <w:r>
              <w:rPr>
                <w:rFonts w:hint="default" w:ascii="Times New Roman" w:hAnsi="Times New Roman" w:eastAsia="宋体" w:cs="Times New Roman"/>
                <w:color w:val="000000" w:themeColor="text1"/>
                <w:highlight w:val="none"/>
                <w14:textFill>
                  <w14:solidFill>
                    <w14:schemeClr w14:val="tx1"/>
                  </w14:solidFill>
                </w14:textFill>
              </w:rPr>
              <w:t>服务或者提供其他小型、微型企业生产的货物，给予</w:t>
            </w:r>
            <w:r>
              <w:rPr>
                <w:rFonts w:hint="default" w:ascii="Times New Roman" w:hAnsi="Times New Roman" w:eastAsia="宋体" w:cs="Times New Roman"/>
                <w:color w:val="000000" w:themeColor="text1"/>
                <w:highlight w:val="none"/>
                <w:lang w:val="en-US" w:eastAsia="zh-CN"/>
                <w14:textFill>
                  <w14:solidFill>
                    <w14:schemeClr w14:val="tx1"/>
                  </w14:solidFill>
                </w14:textFill>
              </w:rPr>
              <w:t>货物、服务项目的</w:t>
            </w:r>
            <w:r>
              <w:rPr>
                <w:rFonts w:hint="default" w:ascii="Times New Roman" w:hAnsi="Times New Roman" w:eastAsia="宋体" w:cs="Times New Roman"/>
                <w:color w:val="000000" w:themeColor="text1"/>
                <w:highlight w:val="none"/>
                <w14:textFill>
                  <w14:solidFill>
                    <w14:schemeClr w14:val="tx1"/>
                  </w14:solidFill>
                </w14:textFill>
              </w:rPr>
              <w:t>小型和微型企业产品的价格给予</w:t>
            </w: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工程项目为6%-10%</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的扣除，用扣除后的价格参与评审，本项目具体扣除比例为</w:t>
            </w:r>
            <w:r>
              <w:rPr>
                <w:rFonts w:hint="default" w:ascii="Times New Roman" w:hAnsi="Times New Roman" w:eastAsia="宋体" w:cs="Times New Roman"/>
                <w:color w:val="000000" w:themeColor="text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w:t>
            </w:r>
          </w:p>
          <w:p w14:paraId="49A9A5FC">
            <w:pPr>
              <w:keepNext w:val="0"/>
              <w:keepLines w:val="0"/>
              <w:pageBreakBefore w:val="0"/>
              <w:kinsoku/>
              <w:wordWrap/>
              <w:overflowPunct/>
              <w:topLinePunct w:val="0"/>
              <w:autoSpaceDE/>
              <w:autoSpaceDN/>
              <w:bidi w:val="0"/>
              <w:adjustRightInd w:val="0"/>
              <w:snapToGrid w:val="0"/>
              <w:spacing w:line="300" w:lineRule="exact"/>
              <w:jc w:val="left"/>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监狱企业、残疾人福利性单位视同小型、微型企业，享受评审中价格扣除等促进中小企业发展的政府采购政策</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用扣除后的价格参与评审，本项目具体扣除比例为</w:t>
            </w:r>
            <w:r>
              <w:rPr>
                <w:rFonts w:hint="default" w:ascii="Times New Roman" w:hAnsi="Times New Roman" w:eastAsia="宋体" w:cs="Times New Roman"/>
                <w:color w:val="000000" w:themeColor="text1"/>
                <w:highlight w:val="none"/>
                <w:u w:val="single"/>
                <w:lang w:val="en-US" w:eastAsia="zh-CN"/>
                <w14:textFill>
                  <w14:solidFill>
                    <w14:schemeClr w14:val="tx1"/>
                  </w14:solidFill>
                </w14:textFill>
              </w:rPr>
              <w:t xml:space="preserve"> / </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监狱企业、残疾人福利性单位同时属于小型、微型企业的，不重复享受价格评审优惠政策</w:t>
            </w:r>
            <w:r>
              <w:rPr>
                <w:rFonts w:hint="default" w:ascii="Times New Roman" w:hAnsi="Times New Roman" w:eastAsia="宋体" w:cs="Times New Roman"/>
                <w:color w:val="000000" w:themeColor="text1"/>
                <w:highlight w:val="none"/>
                <w:lang w:eastAsia="zh-CN"/>
                <w14:textFill>
                  <w14:solidFill>
                    <w14:schemeClr w14:val="tx1"/>
                  </w14:solidFill>
                </w14:textFill>
              </w:rPr>
              <w:t>）</w:t>
            </w:r>
          </w:p>
          <w:p w14:paraId="7A982554">
            <w:pPr>
              <w:keepNext w:val="0"/>
              <w:keepLines w:val="0"/>
              <w:pageBreakBefore w:val="0"/>
              <w:kinsoku/>
              <w:wordWrap/>
              <w:overflowPunct/>
              <w:topLinePunct w:val="0"/>
              <w:autoSpaceDE/>
              <w:autoSpaceDN/>
              <w:bidi w:val="0"/>
              <w:adjustRightInd w:val="0"/>
              <w:snapToGrid w:val="0"/>
              <w:spacing w:line="300" w:lineRule="exact"/>
              <w:jc w:val="lef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（3）本项目所属行业为</w:t>
            </w:r>
            <w:r>
              <w:rPr>
                <w:rFonts w:hint="default" w:ascii="Times New Roman" w:hAnsi="Times New Roman" w:eastAsia="宋体" w:cs="Times New Roman"/>
                <w:b w:val="0"/>
                <w:bCs w:val="0"/>
                <w:color w:val="000000" w:themeColor="text1"/>
                <w:kern w:val="2"/>
                <w:sz w:val="21"/>
                <w:szCs w:val="24"/>
                <w:highlight w:val="none"/>
                <w:u w:val="single"/>
                <w:lang w:val="en-US" w:eastAsia="zh-CN" w:bidi="ar-SA"/>
                <w14:textFill>
                  <w14:solidFill>
                    <w14:schemeClr w14:val="tx1"/>
                  </w14:solidFill>
                </w14:textFill>
              </w:rPr>
              <w:t xml:space="preserve"> </w:t>
            </w:r>
            <w:r>
              <w:rPr>
                <w:rFonts w:hint="default" w:ascii="Times New Roman" w:hAnsi="Times New Roman" w:cs="Times New Roman"/>
                <w:b/>
                <w:bCs/>
                <w:color w:val="000000" w:themeColor="text1"/>
                <w:kern w:val="2"/>
                <w:sz w:val="28"/>
                <w:szCs w:val="36"/>
                <w:highlight w:val="none"/>
                <w:u w:val="single"/>
                <w:shd w:val="clear" w:color="auto" w:fill="auto"/>
                <w:lang w:val="en-US" w:eastAsia="zh-CN" w:bidi="ar-SA"/>
                <w14:textFill>
                  <w14:solidFill>
                    <w14:schemeClr w14:val="tx1"/>
                  </w14:solidFill>
                </w14:textFill>
              </w:rPr>
              <w:t>工业</w:t>
            </w:r>
            <w:r>
              <w:rPr>
                <w:rFonts w:hint="default" w:ascii="Times New Roman" w:hAnsi="Times New Roman" w:eastAsia="宋体" w:cs="Times New Roman"/>
                <w:b w:val="0"/>
                <w:bCs w:val="0"/>
                <w:color w:val="000000" w:themeColor="text1"/>
                <w:kern w:val="2"/>
                <w:sz w:val="21"/>
                <w:szCs w:val="24"/>
                <w:highlight w:val="none"/>
                <w:u w:val="singl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u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其中供应商企业规模认定按照《关于印发中小企业划型标准规定的通知》（工信部联企业〔2011〕300号）执行。</w:t>
            </w:r>
          </w:p>
        </w:tc>
      </w:tr>
      <w:tr w14:paraId="7C3130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23" w:hRule="atLeast"/>
          <w:jc w:val="center"/>
        </w:trPr>
        <w:tc>
          <w:tcPr>
            <w:tcW w:w="1539" w:type="dxa"/>
            <w:vAlign w:val="center"/>
          </w:tcPr>
          <w:p w14:paraId="1BFE9943">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41</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（2）项</w:t>
            </w:r>
          </w:p>
        </w:tc>
        <w:tc>
          <w:tcPr>
            <w:tcW w:w="1881" w:type="dxa"/>
            <w:vAlign w:val="center"/>
          </w:tcPr>
          <w:p w14:paraId="143EE55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小型、微型企业参加联合体的价格折扣比例</w:t>
            </w:r>
          </w:p>
        </w:tc>
        <w:tc>
          <w:tcPr>
            <w:tcW w:w="6019" w:type="dxa"/>
            <w:vAlign w:val="center"/>
          </w:tcPr>
          <w:p w14:paraId="6AA2D74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Cs w:val="21"/>
                <w:highlight w:val="none"/>
                <w:lang w:eastAsia="zh-CN"/>
                <w14:textFill>
                  <w14:solidFill>
                    <w14:schemeClr w14:val="tx1"/>
                  </w14:solidFill>
                </w14:textFill>
              </w:rPr>
              <w:t>小型、微型企业参加联合体并在联合体协议中明确其在合同金额占联合体合同总金额 30%以上的，给予</w:t>
            </w:r>
            <w: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t>货物、服务项目的</w:t>
            </w:r>
            <w:r>
              <w:rPr>
                <w:rFonts w:hint="default" w:ascii="Times New Roman" w:hAnsi="Times New Roman" w:eastAsia="宋体" w:cs="Times New Roman"/>
                <w:b w:val="0"/>
                <w:bCs w:val="0"/>
                <w:color w:val="000000" w:themeColor="text1"/>
                <w:szCs w:val="21"/>
                <w:highlight w:val="none"/>
                <w:lang w:eastAsia="zh-CN"/>
                <w14:textFill>
                  <w14:solidFill>
                    <w14:schemeClr w14:val="tx1"/>
                  </w14:solidFill>
                </w14:textFill>
              </w:rPr>
              <w:t>联合体2%-3%（</w:t>
            </w:r>
            <w: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t>工程项目为</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Cs w:val="21"/>
                <w:highlight w:val="none"/>
                <w:lang w:eastAsia="zh-CN"/>
                <w14:textFill>
                  <w14:solidFill>
                    <w14:schemeClr w14:val="tx1"/>
                  </w14:solidFill>
                </w14:textFill>
              </w:rPr>
              <w:t>）的价格扣除。本项目具体扣除比例为</w:t>
            </w:r>
            <w:r>
              <w:rPr>
                <w:rFonts w:hint="default" w:ascii="Times New Roman" w:hAnsi="Times New Roman" w:eastAsia="宋体" w:cs="Times New Roman"/>
                <w:b w:val="0"/>
                <w:bCs w:val="0"/>
                <w:color w:val="000000" w:themeColor="text1"/>
                <w:szCs w:val="21"/>
                <w:highlight w:val="none"/>
                <w:u w:val="single"/>
                <w:lang w:eastAsia="zh-CN"/>
                <w14:textFill>
                  <w14:solidFill>
                    <w14:schemeClr w14:val="tx1"/>
                  </w14:solidFill>
                </w14:textFill>
              </w:rPr>
              <w:t xml:space="preserve">   /   </w:t>
            </w:r>
            <w:r>
              <w:rPr>
                <w:rFonts w:hint="default" w:ascii="Times New Roman" w:hAnsi="Times New Roman" w:eastAsia="宋体" w:cs="Times New Roman"/>
                <w:b w:val="0"/>
                <w:bCs w:val="0"/>
                <w:color w:val="000000" w:themeColor="text1"/>
                <w:szCs w:val="21"/>
                <w:highlight w:val="none"/>
                <w:lang w:eastAsia="zh-CN"/>
                <w14:textFill>
                  <w14:solidFill>
                    <w14:schemeClr w14:val="tx1"/>
                  </w14:solidFill>
                </w14:textFill>
              </w:rPr>
              <w:t>％（联合体各方均为小型、微型企业的，联合体视同为小型、微型企业）</w:t>
            </w:r>
          </w:p>
        </w:tc>
      </w:tr>
      <w:tr w14:paraId="290C37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1539" w:type="dxa"/>
            <w:vAlign w:val="center"/>
          </w:tcPr>
          <w:p w14:paraId="3A4A4D9E">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44</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66B56DF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进口产品</w:t>
            </w:r>
          </w:p>
        </w:tc>
        <w:tc>
          <w:tcPr>
            <w:tcW w:w="6019" w:type="dxa"/>
            <w:vAlign w:val="center"/>
          </w:tcPr>
          <w:p w14:paraId="5520F250">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本采购项目拒绝进口产品。</w:t>
            </w:r>
          </w:p>
        </w:tc>
      </w:tr>
      <w:tr w14:paraId="08E241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43" w:hRule="atLeast"/>
          <w:jc w:val="center"/>
        </w:trPr>
        <w:tc>
          <w:tcPr>
            <w:tcW w:w="1539" w:type="dxa"/>
            <w:vMerge w:val="restart"/>
            <w:vAlign w:val="center"/>
          </w:tcPr>
          <w:p w14:paraId="1D9966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45</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Align w:val="center"/>
          </w:tcPr>
          <w:p w14:paraId="3AF7BC0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政府采购支持中小企业融资</w:t>
            </w:r>
          </w:p>
        </w:tc>
        <w:tc>
          <w:tcPr>
            <w:tcW w:w="6019" w:type="dxa"/>
            <w:vAlign w:val="center"/>
          </w:tcPr>
          <w:p w14:paraId="0DF175C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株洲市已实施政府采购合同线上融资模式。有融资需求的，可按本章节附件1、附件2所列流程申请或附件3向所列银行咨询办理。</w:t>
            </w:r>
          </w:p>
        </w:tc>
      </w:tr>
      <w:tr w14:paraId="46F32A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7" w:hRule="atLeast"/>
          <w:jc w:val="center"/>
        </w:trPr>
        <w:tc>
          <w:tcPr>
            <w:tcW w:w="1539" w:type="dxa"/>
            <w:vMerge w:val="continue"/>
            <w:vAlign w:val="center"/>
          </w:tcPr>
          <w:p w14:paraId="4AB417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881" w:type="dxa"/>
            <w:vAlign w:val="center"/>
          </w:tcPr>
          <w:p w14:paraId="7137FC4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政府采购信用担保</w:t>
            </w:r>
          </w:p>
        </w:tc>
        <w:tc>
          <w:tcPr>
            <w:tcW w:w="6019" w:type="dxa"/>
            <w:vAlign w:val="center"/>
          </w:tcPr>
          <w:p w14:paraId="12748F4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有履约担保或融资担保需求的，可向本附表附页4所列担保机构咨询或登陆中国湖南政府采购网查询，格式见附页4、附页5。</w:t>
            </w:r>
          </w:p>
        </w:tc>
      </w:tr>
      <w:tr w14:paraId="6A3B63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1539" w:type="dxa"/>
            <w:vMerge w:val="continue"/>
            <w:vAlign w:val="center"/>
          </w:tcPr>
          <w:p w14:paraId="3A4A3C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881" w:type="dxa"/>
            <w:vAlign w:val="center"/>
          </w:tcPr>
          <w:p w14:paraId="11C1DBB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法律、法规、规章和省级以上财政部门规定的其他内容</w:t>
            </w:r>
          </w:p>
        </w:tc>
        <w:tc>
          <w:tcPr>
            <w:tcW w:w="6019" w:type="dxa"/>
            <w:vAlign w:val="center"/>
          </w:tcPr>
          <w:p w14:paraId="1DA46BF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szCs w:val="21"/>
                <w:highlight w:val="none"/>
                <w14:textFill>
                  <w14:solidFill>
                    <w14:schemeClr w14:val="tx1"/>
                  </w14:solidFill>
                </w14:textFill>
              </w:rPr>
              <w:t>请在财政部门指定媒体上查阅相关信息并及时填写。</w:t>
            </w:r>
          </w:p>
        </w:tc>
      </w:tr>
      <w:tr w14:paraId="70E967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9439" w:type="dxa"/>
            <w:gridSpan w:val="3"/>
            <w:vAlign w:val="top"/>
          </w:tcPr>
          <w:p w14:paraId="3DA8F72F">
            <w:pPr>
              <w:keepNext w:val="0"/>
              <w:keepLines w:val="0"/>
              <w:pageBreakBefore w:val="0"/>
              <w:widowControl w:val="0"/>
              <w:kinsoku/>
              <w:autoSpaceDE/>
              <w:autoSpaceDN/>
              <w:bidi w:val="0"/>
              <w:adjustRightInd w:val="0"/>
              <w:snapToGrid w:val="0"/>
              <w:spacing w:before="50" w:line="288" w:lineRule="auto"/>
              <w:jc w:val="left"/>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八、其他规定</w:t>
            </w:r>
          </w:p>
        </w:tc>
      </w:tr>
      <w:tr w14:paraId="5FF0D6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85" w:hRule="atLeast"/>
          <w:jc w:val="center"/>
        </w:trPr>
        <w:tc>
          <w:tcPr>
            <w:tcW w:w="1539" w:type="dxa"/>
            <w:vAlign w:val="center"/>
          </w:tcPr>
          <w:p w14:paraId="4C183AF2">
            <w:pPr>
              <w:keepNext w:val="0"/>
              <w:keepLines w:val="0"/>
              <w:pageBreakBefore w:val="0"/>
              <w:widowControl w:val="0"/>
              <w:kinsoku/>
              <w:autoSpaceDE/>
              <w:autoSpaceDN/>
              <w:bidi w:val="0"/>
              <w:adjustRightInd w:val="0"/>
              <w:snapToGrid w:val="0"/>
              <w:spacing w:before="50" w:line="36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第46.1</w:t>
            </w:r>
            <w:r>
              <w:rPr>
                <w:rFonts w:hint="default" w:ascii="Times New Roman" w:hAnsi="Times New Roman" w:eastAsia="宋体" w:cs="Times New Roman"/>
                <w:color w:val="000000" w:themeColor="text1"/>
                <w:kern w:val="0"/>
                <w:szCs w:val="21"/>
                <w:highlight w:val="none"/>
                <w:lang w:val="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14:textFill>
                  <w14:solidFill>
                    <w14:schemeClr w14:val="tx1"/>
                  </w14:solidFill>
                </w14:textFill>
              </w:rPr>
              <w:t>1</w:t>
            </w:r>
            <w:r>
              <w:rPr>
                <w:rFonts w:hint="default" w:ascii="Times New Roman" w:hAnsi="Times New Roman" w:eastAsia="宋体" w:cs="Times New Roman"/>
                <w:color w:val="000000" w:themeColor="text1"/>
                <w:kern w:val="0"/>
                <w:szCs w:val="21"/>
                <w:highlight w:val="none"/>
                <w:lang w:val="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项</w:t>
            </w:r>
          </w:p>
        </w:tc>
        <w:tc>
          <w:tcPr>
            <w:tcW w:w="1881" w:type="dxa"/>
            <w:vAlign w:val="center"/>
          </w:tcPr>
          <w:p w14:paraId="19FA3AF3">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合同预付款的支付比例和支付条件</w:t>
            </w:r>
          </w:p>
        </w:tc>
        <w:tc>
          <w:tcPr>
            <w:tcW w:w="6019" w:type="dxa"/>
            <w:vAlign w:val="center"/>
          </w:tcPr>
          <w:p w14:paraId="5E5C276C">
            <w:pPr>
              <w:keepNext w:val="0"/>
              <w:keepLines w:val="0"/>
              <w:pageBreakBefore w:val="0"/>
              <w:widowControl w:val="0"/>
              <w:kinsoku/>
              <w:autoSpaceDE/>
              <w:autoSpaceDN/>
              <w:bidi w:val="0"/>
              <w:adjustRightInd w:val="0"/>
              <w:snapToGrid w:val="0"/>
              <w:spacing w:before="156" w:beforeLines="50" w:line="288" w:lineRule="auto"/>
              <w:jc w:val="both"/>
              <w:rPr>
                <w:rFonts w:hint="default" w:ascii="Times New Roman" w:hAnsi="Times New Roman" w:eastAsia="宋体" w:cs="Times New Roman"/>
                <w:color w:val="000000" w:themeColor="text1"/>
                <w:szCs w:val="21"/>
                <w:highlight w:val="none"/>
                <w:u w:val="single"/>
                <w:lang w:val="en-US"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详见</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合同约定</w:t>
            </w: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w:t>
            </w:r>
          </w:p>
        </w:tc>
      </w:tr>
      <w:tr w14:paraId="0C8D67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3" w:hRule="atLeast"/>
          <w:jc w:val="center"/>
        </w:trPr>
        <w:tc>
          <w:tcPr>
            <w:tcW w:w="1539" w:type="dxa"/>
            <w:vAlign w:val="center"/>
          </w:tcPr>
          <w:p w14:paraId="67EF4026">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第46.1</w:t>
            </w:r>
            <w:r>
              <w:rPr>
                <w:rFonts w:hint="default" w:ascii="Times New Roman" w:hAnsi="Times New Roman" w:eastAsia="宋体" w:cs="Times New Roman"/>
                <w:color w:val="000000" w:themeColor="text1"/>
                <w:kern w:val="0"/>
                <w:szCs w:val="21"/>
                <w:highlight w:val="none"/>
                <w:lang w:val="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Cs w:val="21"/>
                <w:highlight w:val="none"/>
                <w:lang w:val="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项</w:t>
            </w:r>
          </w:p>
        </w:tc>
        <w:tc>
          <w:tcPr>
            <w:tcW w:w="1881" w:type="dxa"/>
            <w:vAlign w:val="center"/>
          </w:tcPr>
          <w:p w14:paraId="2905DB1F">
            <w:pPr>
              <w:keepNext w:val="0"/>
              <w:keepLines w:val="0"/>
              <w:pageBreakBefore w:val="0"/>
              <w:widowControl w:val="0"/>
              <w:kinsoku/>
              <w:autoSpaceDE/>
              <w:autoSpaceDN/>
              <w:bidi w:val="0"/>
              <w:adjustRightInd w:val="0"/>
              <w:snapToGrid w:val="0"/>
              <w:spacing w:before="50" w:line="240" w:lineRule="auto"/>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质量保证金</w:t>
            </w:r>
          </w:p>
        </w:tc>
        <w:tc>
          <w:tcPr>
            <w:tcW w:w="6019" w:type="dxa"/>
            <w:vAlign w:val="center"/>
          </w:tcPr>
          <w:p w14:paraId="389A542E">
            <w:pPr>
              <w:adjustRightInd w:val="0"/>
              <w:snapToGrid w:val="0"/>
              <w:spacing w:line="240" w:lineRule="auto"/>
              <w:jc w:val="both"/>
              <w:rPr>
                <w:rFonts w:hint="default" w:ascii="Times New Roman" w:hAnsi="Times New Roman" w:eastAsia="宋体" w:cs="Times New Roman"/>
                <w:color w:val="000000" w:themeColor="text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auto"/>
                <w:szCs w:val="21"/>
                <w:highlight w:val="none"/>
                <w:u w:val="none"/>
                <w:lang w:val="en-US" w:eastAsia="zh-CN"/>
              </w:rPr>
              <w:t>具体以双方签订合同为准</w:t>
            </w:r>
            <w:r>
              <w:rPr>
                <w:rFonts w:hint="default" w:ascii="Times New Roman" w:hAnsi="Times New Roman" w:cs="Times New Roman" w:eastAsiaTheme="minorEastAsia"/>
                <w:b w:val="0"/>
                <w:bCs w:val="0"/>
                <w:color w:val="auto"/>
                <w:szCs w:val="21"/>
                <w:highlight w:val="none"/>
                <w:u w:val="none"/>
              </w:rPr>
              <w:t>。</w:t>
            </w:r>
          </w:p>
        </w:tc>
      </w:tr>
      <w:tr w14:paraId="29943E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539" w:type="dxa"/>
            <w:vMerge w:val="restart"/>
            <w:vAlign w:val="center"/>
          </w:tcPr>
          <w:p w14:paraId="72AC86A0">
            <w:pPr>
              <w:keepNext w:val="0"/>
              <w:keepLines w:val="0"/>
              <w:pageBreakBefore w:val="0"/>
              <w:widowControl/>
              <w:kinsoku/>
              <w:autoSpaceDE/>
              <w:autoSpaceDN/>
              <w:bidi w:val="0"/>
              <w:adjustRightInd/>
              <w:snapToGrid/>
              <w:spacing w:before="50" w:line="30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w:t>
            </w:r>
            <w:r>
              <w:rPr>
                <w:rFonts w:hint="default" w:ascii="Times New Roman" w:hAnsi="Times New Roman" w:cs="Times New Roman"/>
                <w:color w:val="000000" w:themeColor="text1"/>
                <w:szCs w:val="21"/>
                <w:highlight w:val="none"/>
                <w:lang w:val="en-US" w:eastAsia="zh-CN"/>
                <w14:textFill>
                  <w14:solidFill>
                    <w14:schemeClr w14:val="tx1"/>
                  </w14:solidFill>
                </w14:textFill>
              </w:rPr>
              <w:t>46</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款</w:t>
            </w:r>
          </w:p>
        </w:tc>
        <w:tc>
          <w:tcPr>
            <w:tcW w:w="1881" w:type="dxa"/>
            <w:vMerge w:val="restart"/>
            <w:vAlign w:val="center"/>
          </w:tcPr>
          <w:p w14:paraId="75E24569">
            <w:pPr>
              <w:keepNext w:val="0"/>
              <w:keepLines w:val="0"/>
              <w:pageBreakBefore w:val="0"/>
              <w:widowControl/>
              <w:kinsoku/>
              <w:autoSpaceDE/>
              <w:autoSpaceDN/>
              <w:bidi w:val="0"/>
              <w:adjustRightInd/>
              <w:snapToGrid/>
              <w:spacing w:before="50" w:line="30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其他规定</w:t>
            </w:r>
          </w:p>
        </w:tc>
        <w:tc>
          <w:tcPr>
            <w:tcW w:w="6019" w:type="dxa"/>
            <w:vAlign w:val="center"/>
          </w:tcPr>
          <w:p w14:paraId="5AE68B5B">
            <w:pPr>
              <w:keepNext w:val="0"/>
              <w:keepLines w:val="0"/>
              <w:pageBreakBefore w:val="0"/>
              <w:widowControl/>
              <w:numPr>
                <w:ilvl w:val="-1"/>
                <w:numId w:val="0"/>
              </w:numPr>
              <w:kinsoku/>
              <w:wordWrap/>
              <w:overflowPunct/>
              <w:topLinePunct w:val="0"/>
              <w:autoSpaceDE/>
              <w:autoSpaceDN/>
              <w:bidi w:val="0"/>
              <w:adjustRightInd/>
              <w:snapToGrid/>
              <w:spacing w:before="0" w:beforeLines="-2147483648" w:line="360" w:lineRule="auto"/>
              <w:jc w:val="both"/>
              <w:textAlignment w:val="auto"/>
              <w:rPr>
                <w:rFonts w:hint="default" w:ascii="Times New Roman" w:hAnsi="Times New Roman" w:cs="Times New Roman"/>
                <w:color w:val="000000" w:themeColor="text1"/>
                <w:szCs w:val="21"/>
                <w:highlight w:val="none"/>
                <w:u w:val="single"/>
                <w:lang w:val="en-US" w:eastAsia="zh-CN"/>
                <w14:textFill>
                  <w14:solidFill>
                    <w14:schemeClr w14:val="tx1"/>
                  </w14:solidFill>
                </w14:textFill>
              </w:rPr>
            </w:pPr>
            <w:r>
              <w:rPr>
                <w:rFonts w:hint="default" w:ascii="Times New Roman" w:hAnsi="Times New Roman" w:cs="Times New Roman"/>
                <w:b w:val="0"/>
                <w:bCs w:val="0"/>
                <w:color w:val="000000" w:themeColor="text1"/>
                <w:szCs w:val="21"/>
                <w:highlight w:val="none"/>
                <w:u w:val="none"/>
                <w:lang w:val="en-US" w:eastAsia="zh-CN"/>
                <w14:textFill>
                  <w14:solidFill>
                    <w14:schemeClr w14:val="tx1"/>
                  </w14:solidFill>
                </w14:textFill>
              </w:rPr>
              <w:t>1、供应商在投标过程中发生的所有费用，采购人均不承担任何责任、不给予任何经济补偿。</w:t>
            </w:r>
          </w:p>
        </w:tc>
      </w:tr>
      <w:tr w14:paraId="768144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0" w:hRule="atLeast"/>
          <w:jc w:val="center"/>
        </w:trPr>
        <w:tc>
          <w:tcPr>
            <w:tcW w:w="1539" w:type="dxa"/>
            <w:vMerge w:val="continue"/>
            <w:vAlign w:val="center"/>
          </w:tcPr>
          <w:p w14:paraId="67A39072">
            <w:pPr>
              <w:keepNext w:val="0"/>
              <w:keepLines w:val="0"/>
              <w:pageBreakBefore w:val="0"/>
              <w:widowControl/>
              <w:kinsoku/>
              <w:wordWrap/>
              <w:overflowPunct/>
              <w:topLinePunct w:val="0"/>
              <w:autoSpaceDE/>
              <w:autoSpaceDN/>
              <w:bidi w:val="0"/>
              <w:adjustRightInd/>
              <w:snapToGrid/>
              <w:spacing w:before="0" w:beforeLines="-2147483648" w:line="300" w:lineRule="exact"/>
              <w:jc w:val="both"/>
              <w:textAlignment w:val="auto"/>
              <w:rPr>
                <w:rFonts w:hint="default" w:ascii="Times New Roman" w:hAnsi="Times New Roman" w:cs="Times New Roman"/>
                <w:color w:val="000000" w:themeColor="text1"/>
                <w:highlight w:val="none"/>
                <w14:textFill>
                  <w14:solidFill>
                    <w14:schemeClr w14:val="tx1"/>
                  </w14:solidFill>
                </w14:textFill>
              </w:rPr>
            </w:pPr>
          </w:p>
        </w:tc>
        <w:tc>
          <w:tcPr>
            <w:tcW w:w="1881" w:type="dxa"/>
            <w:vMerge w:val="continue"/>
            <w:vAlign w:val="center"/>
          </w:tcPr>
          <w:p w14:paraId="42659536">
            <w:pPr>
              <w:keepNext w:val="0"/>
              <w:keepLines w:val="0"/>
              <w:pageBreakBefore w:val="0"/>
              <w:widowControl/>
              <w:kinsoku/>
              <w:wordWrap/>
              <w:overflowPunct/>
              <w:topLinePunct w:val="0"/>
              <w:autoSpaceDE/>
              <w:autoSpaceDN/>
              <w:bidi w:val="0"/>
              <w:adjustRightInd/>
              <w:snapToGrid/>
              <w:spacing w:before="0" w:beforeLines="-2147483648" w:line="300" w:lineRule="exact"/>
              <w:jc w:val="both"/>
              <w:textAlignment w:val="auto"/>
              <w:rPr>
                <w:rFonts w:hint="default" w:ascii="Times New Roman" w:hAnsi="Times New Roman" w:cs="Times New Roman"/>
                <w:color w:val="000000" w:themeColor="text1"/>
                <w:highlight w:val="none"/>
                <w14:textFill>
                  <w14:solidFill>
                    <w14:schemeClr w14:val="tx1"/>
                  </w14:solidFill>
                </w14:textFill>
              </w:rPr>
            </w:pPr>
          </w:p>
        </w:tc>
        <w:tc>
          <w:tcPr>
            <w:tcW w:w="6019" w:type="dxa"/>
            <w:vAlign w:val="center"/>
          </w:tcPr>
          <w:p w14:paraId="018D326A">
            <w:pPr>
              <w:keepNext w:val="0"/>
              <w:keepLines w:val="0"/>
              <w:pageBreakBefore w:val="0"/>
              <w:widowControl/>
              <w:numPr>
                <w:ilvl w:val="0"/>
                <w:numId w:val="3"/>
              </w:numPr>
              <w:kinsoku/>
              <w:wordWrap/>
              <w:overflowPunct/>
              <w:topLinePunct w:val="0"/>
              <w:autoSpaceDE/>
              <w:autoSpaceDN/>
              <w:bidi w:val="0"/>
              <w:adjustRightInd/>
              <w:snapToGrid/>
              <w:spacing w:before="0" w:line="360" w:lineRule="auto"/>
              <w:jc w:val="both"/>
              <w:textAlignment w:val="auto"/>
              <w:rPr>
                <w:rFonts w:hint="default" w:ascii="Times New Roman" w:hAnsi="Times New Roman" w:eastAsia="宋体" w:cs="Times New Roman"/>
                <w:b w:val="0"/>
                <w:bCs w:val="0"/>
                <w:color w:val="000000" w:themeColor="text1"/>
                <w:szCs w:val="21"/>
                <w:highlight w:val="none"/>
                <w:u w:val="none"/>
                <w14:textFill>
                  <w14:solidFill>
                    <w14:schemeClr w14:val="tx1"/>
                  </w14:solidFill>
                </w14:textFill>
              </w:rPr>
            </w:pPr>
            <w:r>
              <w:rPr>
                <w:rFonts w:hint="default" w:ascii="Times New Roman" w:hAnsi="Times New Roman" w:eastAsia="宋体" w:cs="Times New Roman"/>
                <w:b w:val="0"/>
                <w:bCs w:val="0"/>
                <w:color w:val="000000" w:themeColor="text1"/>
                <w:szCs w:val="21"/>
                <w:highlight w:val="none"/>
                <w:u w:val="none"/>
                <w14:textFill>
                  <w14:solidFill>
                    <w14:schemeClr w14:val="tx1"/>
                  </w14:solidFill>
                </w14:textFill>
              </w:rPr>
              <w:t>采购代理机构在规定的查询渠道进行查询“信用中国”网站（www.creditchina.gov.cn）和中国政府采购网（www.ccgp.gov.cn）查询供应商主体的信用记录，查询结果将以网页打印的形式留存并归档。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F150F3A">
            <w:pPr>
              <w:pStyle w:val="64"/>
              <w:keepNext w:val="0"/>
              <w:keepLines w:val="0"/>
              <w:pageBreakBefore w:val="0"/>
              <w:numPr>
                <w:ilvl w:val="0"/>
                <w:numId w:val="0"/>
              </w:numPr>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eastAsiaTheme="minorEastAsia"/>
                <w:b w:val="0"/>
                <w:bCs w:val="0"/>
                <w:color w:val="auto"/>
                <w:szCs w:val="21"/>
                <w:highlight w:val="none"/>
                <w:u w:val="none"/>
                <w:lang w:val="en-US" w:eastAsia="zh-CN"/>
              </w:rPr>
              <w:t>3、本项目</w:t>
            </w:r>
            <w:r>
              <w:rPr>
                <w:rFonts w:hint="default" w:ascii="Times New Roman" w:hAnsi="Times New Roman" w:cs="Times New Roman" w:eastAsiaTheme="minorEastAsia"/>
                <w:b w:val="0"/>
                <w:bCs w:val="0"/>
                <w:color w:val="auto"/>
                <w:szCs w:val="21"/>
                <w:highlight w:val="none"/>
                <w:u w:val="none"/>
              </w:rPr>
              <w:t>代理服务收费标准根据</w:t>
            </w:r>
            <w:r>
              <w:rPr>
                <w:rFonts w:hint="default" w:ascii="Times New Roman" w:hAnsi="Times New Roman" w:cs="Times New Roman" w:eastAsiaTheme="minorEastAsia"/>
                <w:b w:val="0"/>
                <w:bCs w:val="0"/>
                <w:color w:val="auto"/>
                <w:szCs w:val="21"/>
                <w:highlight w:val="none"/>
                <w:u w:val="none"/>
                <w:lang w:val="en-US" w:eastAsia="zh-CN"/>
              </w:rPr>
              <w:t>计价格【2002】1980号文和发改价格【2011】534号文标准的40</w:t>
            </w:r>
            <w:r>
              <w:rPr>
                <w:rFonts w:hint="default" w:ascii="Times New Roman" w:hAnsi="Times New Roman" w:cs="Times New Roman" w:eastAsiaTheme="minorEastAsia"/>
                <w:b w:val="0"/>
                <w:bCs w:val="0"/>
                <w:color w:val="auto"/>
                <w:szCs w:val="21"/>
                <w:highlight w:val="none"/>
                <w:u w:val="none"/>
              </w:rPr>
              <w:t>%</w:t>
            </w:r>
            <w:r>
              <w:rPr>
                <w:rFonts w:hint="default" w:ascii="Times New Roman" w:hAnsi="Times New Roman" w:cs="Times New Roman" w:eastAsiaTheme="minorEastAsia"/>
                <w:b w:val="0"/>
                <w:bCs w:val="0"/>
                <w:color w:val="auto"/>
                <w:szCs w:val="21"/>
                <w:highlight w:val="none"/>
                <w:u w:val="none"/>
                <w:lang w:val="en-US" w:eastAsia="zh-CN"/>
              </w:rPr>
              <w:t>折扣率</w:t>
            </w:r>
            <w:r>
              <w:rPr>
                <w:rFonts w:hint="default" w:ascii="Times New Roman" w:hAnsi="Times New Roman" w:cs="Times New Roman" w:eastAsiaTheme="minorEastAsia"/>
                <w:b w:val="0"/>
                <w:bCs w:val="0"/>
                <w:color w:val="auto"/>
                <w:szCs w:val="21"/>
                <w:highlight w:val="none"/>
                <w:u w:val="none"/>
              </w:rPr>
              <w:t>向</w:t>
            </w:r>
            <w:r>
              <w:rPr>
                <w:rFonts w:hint="default" w:ascii="Times New Roman" w:hAnsi="Times New Roman" w:cs="Times New Roman" w:eastAsiaTheme="minorEastAsia"/>
                <w:b w:val="0"/>
                <w:bCs w:val="0"/>
                <w:color w:val="auto"/>
                <w:szCs w:val="21"/>
                <w:highlight w:val="none"/>
                <w:u w:val="none"/>
                <w:lang w:val="en-US" w:eastAsia="zh-CN"/>
              </w:rPr>
              <w:t>采购人</w:t>
            </w:r>
            <w:r>
              <w:rPr>
                <w:rFonts w:hint="default" w:ascii="Times New Roman" w:hAnsi="Times New Roman" w:cs="Times New Roman" w:eastAsiaTheme="minorEastAsia"/>
                <w:b w:val="0"/>
                <w:bCs w:val="0"/>
                <w:color w:val="auto"/>
                <w:szCs w:val="21"/>
                <w:highlight w:val="none"/>
                <w:u w:val="none"/>
              </w:rPr>
              <w:t>收取776</w:t>
            </w:r>
            <w:r>
              <w:rPr>
                <w:rFonts w:hint="eastAsia" w:cs="Times New Roman" w:eastAsiaTheme="minorEastAsia"/>
                <w:b w:val="0"/>
                <w:bCs w:val="0"/>
                <w:color w:val="auto"/>
                <w:szCs w:val="21"/>
                <w:highlight w:val="none"/>
                <w:u w:val="none"/>
                <w:lang w:val="en-US" w:eastAsia="zh-CN"/>
              </w:rPr>
              <w:t>2</w:t>
            </w:r>
            <w:r>
              <w:rPr>
                <w:rFonts w:hint="default" w:ascii="Times New Roman" w:hAnsi="Times New Roman" w:cs="Times New Roman" w:eastAsiaTheme="minorEastAsia"/>
                <w:b w:val="0"/>
                <w:bCs w:val="0"/>
                <w:color w:val="auto"/>
                <w:szCs w:val="21"/>
                <w:highlight w:val="none"/>
                <w:u w:val="none"/>
                <w:lang w:val="en-US" w:eastAsia="zh-CN"/>
              </w:rPr>
              <w:t>元，最终结算以中标金额为基数</w:t>
            </w:r>
            <w:r>
              <w:rPr>
                <w:rFonts w:hint="default" w:ascii="Times New Roman" w:hAnsi="Times New Roman" w:eastAsia="宋体" w:cs="Times New Roman"/>
                <w:bCs w:val="0"/>
                <w:color w:val="000000" w:themeColor="text1"/>
                <w:szCs w:val="21"/>
                <w:u w:val="none"/>
                <w:lang w:val="en-US" w:eastAsia="zh-CN"/>
                <w14:textFill>
                  <w14:solidFill>
                    <w14:schemeClr w14:val="tx1"/>
                  </w14:solidFill>
                </w14:textFill>
              </w:rPr>
              <w:t>。</w:t>
            </w:r>
          </w:p>
        </w:tc>
      </w:tr>
    </w:tbl>
    <w:p w14:paraId="519D103B">
      <w:pPr>
        <w:pageBreakBefore/>
        <w:adjustRightInd w:val="0"/>
        <w:snapToGrid w:val="0"/>
        <w:spacing w:line="360" w:lineRule="auto"/>
        <w:rPr>
          <w:rFonts w:hint="default" w:ascii="Times New Roman" w:hAnsi="Times New Roman" w:eastAsia="宋体" w:cs="Times New Roman"/>
          <w:b/>
          <w:bCs/>
          <w:color w:val="000000" w:themeColor="text1"/>
          <w:szCs w:val="21"/>
          <w:highlight w:val="none"/>
          <w14:textFill>
            <w14:solidFill>
              <w14:schemeClr w14:val="tx1"/>
            </w14:solidFill>
          </w14:textFill>
        </w:rPr>
      </w:pPr>
      <w:bookmarkStart w:id="315" w:name="_Toc24183"/>
      <w:bookmarkStart w:id="316" w:name="_Toc2105"/>
      <w:bookmarkStart w:id="317" w:name="_Toc26041"/>
      <w:bookmarkStart w:id="318" w:name="_Toc10670"/>
      <w:bookmarkStart w:id="319" w:name="_Toc30777"/>
      <w:bookmarkStart w:id="320" w:name="_Toc5052"/>
      <w:bookmarkStart w:id="321" w:name="_Toc18474"/>
      <w:bookmarkStart w:id="322" w:name="_Toc29802"/>
      <w:bookmarkStart w:id="323" w:name="_Toc29129"/>
      <w:bookmarkStart w:id="324" w:name="_Toc18788"/>
      <w:bookmarkStart w:id="325" w:name="_Toc12056"/>
      <w:bookmarkStart w:id="326" w:name="_Toc16919"/>
      <w:bookmarkStart w:id="327" w:name="_Toc34637764"/>
      <w:bookmarkStart w:id="328" w:name="_Toc11128"/>
      <w:bookmarkStart w:id="329" w:name="_Toc14283"/>
      <w:bookmarkStart w:id="330" w:name="_Toc32753"/>
      <w:bookmarkStart w:id="331" w:name="_Toc24488"/>
      <w:bookmarkStart w:id="332" w:name="_Toc25532"/>
      <w:bookmarkStart w:id="333" w:name="_Toc27894"/>
      <w:bookmarkStart w:id="334" w:name="_Toc439"/>
      <w:bookmarkStart w:id="335" w:name="_Toc5689"/>
      <w:bookmarkStart w:id="336" w:name="_Toc11408"/>
      <w:bookmarkStart w:id="337" w:name="_Toc6539"/>
      <w:bookmarkStart w:id="338" w:name="_Toc28404"/>
      <w:bookmarkStart w:id="339" w:name="_Toc1069"/>
      <w:r>
        <w:rPr>
          <w:rFonts w:hint="default" w:ascii="Times New Roman" w:hAnsi="Times New Roman" w:eastAsia="宋体" w:cs="Times New Roman"/>
          <w:b/>
          <w:bCs/>
          <w:color w:val="000000" w:themeColor="text1"/>
          <w:szCs w:val="21"/>
          <w:highlight w:val="none"/>
          <w14:textFill>
            <w14:solidFill>
              <w14:schemeClr w14:val="tx1"/>
            </w14:solidFill>
          </w14:textFill>
        </w:rPr>
        <w:t>附件1</w:t>
      </w:r>
    </w:p>
    <w:p w14:paraId="68E7ECBF">
      <w:pPr>
        <w:adjustRightInd w:val="0"/>
        <w:snapToGrid w:val="0"/>
        <w:spacing w:line="360" w:lineRule="auto"/>
        <w:jc w:val="center"/>
        <w:rPr>
          <w:rFonts w:hint="default" w:ascii="Times New Roman" w:hAnsi="Times New Roman" w:eastAsia="宋体" w:cs="Times New Roman"/>
          <w:b/>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bCs/>
          <w:color w:val="000000" w:themeColor="text1"/>
          <w:sz w:val="32"/>
          <w:szCs w:val="32"/>
          <w:highlight w:val="none"/>
          <w14:textFill>
            <w14:solidFill>
              <w14:schemeClr w14:val="tx1"/>
            </w14:solidFill>
          </w14:textFill>
        </w:rPr>
        <w:t>株洲市政府采购合同线上融资流程</w:t>
      </w:r>
    </w:p>
    <w:p w14:paraId="2C20BDDE">
      <w:pPr>
        <w:spacing w:line="360" w:lineRule="auto"/>
        <w:ind w:left="4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（一）、融资申请 </w:t>
      </w:r>
    </w:p>
    <w:p w14:paraId="388F33B3">
      <w:pPr>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 有融资需求的供应商取得《中标通知书》后，在签订采购合同前，通过“株洲市政府采购网”的“政府采购合同融资”链接进入“中征应收账款融资服务平台”，直接向参与金融机构推送融资需求。</w:t>
      </w:r>
    </w:p>
    <w:p w14:paraId="1456AFE8">
      <w:pPr>
        <w:spacing w:line="360" w:lineRule="auto"/>
        <w:ind w:firstLine="316" w:firstLineChars="15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（二）、资料审查 </w:t>
      </w:r>
    </w:p>
    <w:p w14:paraId="063C3116">
      <w:pPr>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参与金融机构登录平台查看融资需求及中标（或成交）详情，进行贷前评审，确定融资方案和回款账户，签订《政府采购合同》，确定合同收款账户。</w:t>
      </w:r>
    </w:p>
    <w:p w14:paraId="6EEE90B1">
      <w:pPr>
        <w:spacing w:line="360" w:lineRule="auto"/>
        <w:ind w:left="4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（三）、签订贷款协议</w:t>
      </w:r>
    </w:p>
    <w:p w14:paraId="22F552DC">
      <w:pPr>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参与金融机构登录平台查看采购合同信息，与供应商签订贷款协议，在线填写融资成交单，推送融资成交信息，系统自动将回款账户锁定为银行监管账户。</w:t>
      </w:r>
    </w:p>
    <w:p w14:paraId="2BFDF665">
      <w:pPr>
        <w:spacing w:line="360" w:lineRule="auto"/>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（四）、贷款发放</w:t>
      </w:r>
    </w:p>
    <w:p w14:paraId="4ECEE8D3">
      <w:pPr>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融资银行核实回款账户无误后，根据贷款协议向供应商发放贷款。</w:t>
      </w:r>
    </w:p>
    <w:p w14:paraId="2E34787C">
      <w:pPr>
        <w:spacing w:line="360" w:lineRule="auto"/>
        <w:ind w:left="4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（五）、按期还款</w:t>
      </w:r>
    </w:p>
    <w:p w14:paraId="5D195DDC">
      <w:pPr>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合同履行完毕后，采购单位根据合同约定时间和账户在线填写支付申请，向财政部门发送支付指令，财政部门严格按照相关规定将资金支付到采购合同收款账户。</w:t>
      </w:r>
    </w:p>
    <w:p w14:paraId="17717334">
      <w:pPr>
        <w:spacing w:line="360" w:lineRule="auto"/>
        <w:ind w:left="4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（六 ）、业务终止</w:t>
      </w:r>
    </w:p>
    <w:p w14:paraId="20C48196">
      <w:pPr>
        <w:spacing w:line="360" w:lineRule="auto"/>
        <w:ind w:left="4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贷款偿清后，融资银行解除质押，业务终止。</w:t>
      </w:r>
    </w:p>
    <w:p w14:paraId="25B35ADF">
      <w:pP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br w:type="page"/>
      </w: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114300" distR="114300">
            <wp:extent cx="5321300" cy="5769610"/>
            <wp:effectExtent l="0" t="0" r="12700" b="25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5321300" cy="5769610"/>
                    </a:xfrm>
                    <a:prstGeom prst="rect">
                      <a:avLst/>
                    </a:prstGeom>
                    <a:noFill/>
                    <a:ln>
                      <a:noFill/>
                    </a:ln>
                  </pic:spPr>
                </pic:pic>
              </a:graphicData>
            </a:graphic>
          </wp:inline>
        </w:drawing>
      </w:r>
    </w:p>
    <w:p w14:paraId="368A0928">
      <w:pPr>
        <w:adjustRightInd w:val="0"/>
        <w:snapToGrid w:val="0"/>
        <w:spacing w:line="360" w:lineRule="auto"/>
        <w:rPr>
          <w:rFonts w:hint="default" w:ascii="Times New Roman" w:hAnsi="Times New Roman" w:eastAsia="宋体" w:cs="Times New Roman"/>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br w:type="page"/>
      </w:r>
      <w:r>
        <w:rPr>
          <w:rFonts w:hint="default" w:ascii="Times New Roman" w:hAnsi="Times New Roman" w:eastAsia="宋体" w:cs="Times New Roman"/>
          <w:bCs/>
          <w:color w:val="000000" w:themeColor="text1"/>
          <w:szCs w:val="21"/>
          <w:highlight w:val="none"/>
          <w14:textFill>
            <w14:solidFill>
              <w14:schemeClr w14:val="tx1"/>
            </w14:solidFill>
          </w14:textFill>
        </w:rPr>
        <w:t>附件3</w:t>
      </w:r>
    </w:p>
    <w:p w14:paraId="2EFA120B">
      <w:pPr>
        <w:adjustRightInd w:val="0"/>
        <w:snapToGrid w:val="0"/>
        <w:spacing w:line="360" w:lineRule="auto"/>
        <w:jc w:val="center"/>
        <w:rPr>
          <w:rFonts w:hint="default" w:ascii="Times New Roman" w:hAnsi="Times New Roman" w:eastAsia="宋体" w:cs="Times New Roman"/>
          <w:b/>
          <w:bCs/>
          <w:color w:val="000000" w:themeColor="text1"/>
          <w:sz w:val="32"/>
          <w:szCs w:val="32"/>
          <w:highlight w:val="none"/>
          <w14:textFill>
            <w14:solidFill>
              <w14:schemeClr w14:val="tx1"/>
            </w14:solidFill>
          </w14:textFill>
        </w:rPr>
      </w:pPr>
      <w:r>
        <w:rPr>
          <w:rFonts w:hint="default" w:ascii="Times New Roman" w:hAnsi="Times New Roman" w:eastAsia="宋体" w:cs="Times New Roman"/>
          <w:b/>
          <w:bCs/>
          <w:color w:val="000000" w:themeColor="text1"/>
          <w:sz w:val="32"/>
          <w:szCs w:val="32"/>
          <w:highlight w:val="none"/>
          <w14:textFill>
            <w14:solidFill>
              <w14:schemeClr w14:val="tx1"/>
            </w14:solidFill>
          </w14:textFill>
        </w:rPr>
        <w:t>株洲市政府采购合同线上融资业务办理银行联系表</w:t>
      </w:r>
    </w:p>
    <w:tbl>
      <w:tblPr>
        <w:tblStyle w:val="44"/>
        <w:tblW w:w="932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7"/>
        <w:gridCol w:w="2770"/>
        <w:gridCol w:w="1675"/>
        <w:gridCol w:w="3176"/>
      </w:tblGrid>
      <w:tr w14:paraId="5A2F72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3" w:hRule="atLeast"/>
          <w:jc w:val="center"/>
        </w:trPr>
        <w:tc>
          <w:tcPr>
            <w:tcW w:w="1097" w:type="dxa"/>
            <w:noWrap w:val="0"/>
            <w:vAlign w:val="center"/>
          </w:tcPr>
          <w:p w14:paraId="1906BDA3">
            <w:pPr>
              <w:adjustRightInd w:val="0"/>
              <w:snapToGrid w:val="0"/>
              <w:spacing w:before="156" w:beforeLines="50" w:line="360" w:lineRule="auto"/>
              <w:jc w:val="center"/>
              <w:rPr>
                <w:rFonts w:hint="default" w:ascii="Times New Roman" w:hAnsi="Times New Roman" w:eastAsia="宋体" w:cs="Times New Roman"/>
                <w:bCs/>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序  号</w:t>
            </w:r>
          </w:p>
        </w:tc>
        <w:tc>
          <w:tcPr>
            <w:tcW w:w="2770" w:type="dxa"/>
            <w:noWrap w:val="0"/>
            <w:vAlign w:val="center"/>
          </w:tcPr>
          <w:p w14:paraId="6316DF69">
            <w:pPr>
              <w:adjustRightInd w:val="0"/>
              <w:snapToGrid w:val="0"/>
              <w:spacing w:before="156" w:beforeLines="50" w:line="36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银行名称</w:t>
            </w:r>
          </w:p>
        </w:tc>
        <w:tc>
          <w:tcPr>
            <w:tcW w:w="1675" w:type="dxa"/>
            <w:noWrap w:val="0"/>
            <w:vAlign w:val="center"/>
          </w:tcPr>
          <w:p w14:paraId="699AF090">
            <w:pPr>
              <w:adjustRightInd w:val="0"/>
              <w:snapToGrid w:val="0"/>
              <w:spacing w:before="156" w:beforeLines="50" w:line="36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联系人</w:t>
            </w:r>
          </w:p>
        </w:tc>
        <w:tc>
          <w:tcPr>
            <w:tcW w:w="3176" w:type="dxa"/>
            <w:noWrap w:val="0"/>
            <w:vAlign w:val="center"/>
          </w:tcPr>
          <w:p w14:paraId="3357F04E">
            <w:pPr>
              <w:adjustRightInd w:val="0"/>
              <w:snapToGrid w:val="0"/>
              <w:spacing w:before="156" w:beforeLines="50" w:line="36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联系电话</w:t>
            </w:r>
          </w:p>
        </w:tc>
      </w:tr>
      <w:tr w14:paraId="68ED9A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exact"/>
          <w:jc w:val="center"/>
        </w:trPr>
        <w:tc>
          <w:tcPr>
            <w:tcW w:w="1097" w:type="dxa"/>
            <w:noWrap w:val="0"/>
            <w:vAlign w:val="bottom"/>
          </w:tcPr>
          <w:p w14:paraId="0AFE1805">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w:t>
            </w:r>
          </w:p>
        </w:tc>
        <w:tc>
          <w:tcPr>
            <w:tcW w:w="2770" w:type="dxa"/>
            <w:noWrap w:val="0"/>
            <w:vAlign w:val="bottom"/>
          </w:tcPr>
          <w:p w14:paraId="5529B1FB">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交通银行株洲分行</w:t>
            </w:r>
          </w:p>
        </w:tc>
        <w:tc>
          <w:tcPr>
            <w:tcW w:w="1675" w:type="dxa"/>
            <w:noWrap w:val="0"/>
            <w:vAlign w:val="bottom"/>
          </w:tcPr>
          <w:p w14:paraId="77C8D321">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蒋宁</w:t>
            </w:r>
          </w:p>
        </w:tc>
        <w:tc>
          <w:tcPr>
            <w:tcW w:w="3176" w:type="dxa"/>
            <w:noWrap w:val="0"/>
            <w:vAlign w:val="bottom"/>
          </w:tcPr>
          <w:p w14:paraId="385CABAB">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15873361819</w:t>
            </w:r>
          </w:p>
        </w:tc>
      </w:tr>
      <w:tr w14:paraId="6F716B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1" w:hRule="exact"/>
          <w:jc w:val="center"/>
        </w:trPr>
        <w:tc>
          <w:tcPr>
            <w:tcW w:w="1097" w:type="dxa"/>
            <w:noWrap w:val="0"/>
            <w:vAlign w:val="bottom"/>
          </w:tcPr>
          <w:p w14:paraId="1B887779">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2</w:t>
            </w:r>
          </w:p>
        </w:tc>
        <w:tc>
          <w:tcPr>
            <w:tcW w:w="2770" w:type="dxa"/>
            <w:noWrap w:val="0"/>
            <w:vAlign w:val="bottom"/>
          </w:tcPr>
          <w:p w14:paraId="56D8C732">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长沙银行株洲分行</w:t>
            </w:r>
          </w:p>
        </w:tc>
        <w:tc>
          <w:tcPr>
            <w:tcW w:w="1675" w:type="dxa"/>
            <w:noWrap w:val="0"/>
            <w:vAlign w:val="bottom"/>
          </w:tcPr>
          <w:p w14:paraId="6158E2CC">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曾名志</w:t>
            </w:r>
          </w:p>
        </w:tc>
        <w:tc>
          <w:tcPr>
            <w:tcW w:w="3176" w:type="dxa"/>
            <w:noWrap w:val="0"/>
            <w:vAlign w:val="bottom"/>
          </w:tcPr>
          <w:p w14:paraId="20E5E924">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13786360080</w:t>
            </w:r>
          </w:p>
        </w:tc>
      </w:tr>
      <w:tr w14:paraId="39D0E7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6" w:hRule="exact"/>
          <w:jc w:val="center"/>
        </w:trPr>
        <w:tc>
          <w:tcPr>
            <w:tcW w:w="1097" w:type="dxa"/>
            <w:noWrap w:val="0"/>
            <w:vAlign w:val="bottom"/>
          </w:tcPr>
          <w:p w14:paraId="5CFE94FC">
            <w:pPr>
              <w:adjustRightInd w:val="0"/>
              <w:snapToGrid w:val="0"/>
              <w:spacing w:before="156" w:beforeLines="50" w:line="720" w:lineRule="auto"/>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3</w:t>
            </w:r>
          </w:p>
        </w:tc>
        <w:tc>
          <w:tcPr>
            <w:tcW w:w="2770" w:type="dxa"/>
            <w:noWrap w:val="0"/>
            <w:vAlign w:val="bottom"/>
          </w:tcPr>
          <w:p w14:paraId="1C27F4AF">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光大银行株洲分行</w:t>
            </w:r>
          </w:p>
        </w:tc>
        <w:tc>
          <w:tcPr>
            <w:tcW w:w="1675" w:type="dxa"/>
            <w:noWrap w:val="0"/>
            <w:vAlign w:val="bottom"/>
          </w:tcPr>
          <w:p w14:paraId="15E17DA7">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马文胜</w:t>
            </w:r>
          </w:p>
        </w:tc>
        <w:tc>
          <w:tcPr>
            <w:tcW w:w="3176" w:type="dxa"/>
            <w:noWrap w:val="0"/>
            <w:vAlign w:val="bottom"/>
          </w:tcPr>
          <w:p w14:paraId="4E8EB9BA">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13907334569</w:t>
            </w:r>
          </w:p>
        </w:tc>
      </w:tr>
      <w:tr w14:paraId="1F8B35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exact"/>
          <w:jc w:val="center"/>
        </w:trPr>
        <w:tc>
          <w:tcPr>
            <w:tcW w:w="1097" w:type="dxa"/>
            <w:noWrap w:val="0"/>
            <w:vAlign w:val="bottom"/>
          </w:tcPr>
          <w:p w14:paraId="4AE59C4B">
            <w:pPr>
              <w:adjustRightInd w:val="0"/>
              <w:snapToGrid w:val="0"/>
              <w:spacing w:before="156" w:beforeLines="50" w:line="720" w:lineRule="auto"/>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4</w:t>
            </w:r>
          </w:p>
        </w:tc>
        <w:tc>
          <w:tcPr>
            <w:tcW w:w="2770" w:type="dxa"/>
            <w:noWrap w:val="0"/>
            <w:vAlign w:val="bottom"/>
          </w:tcPr>
          <w:p w14:paraId="543402C6">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华融湘江银行株洲分行</w:t>
            </w:r>
          </w:p>
        </w:tc>
        <w:tc>
          <w:tcPr>
            <w:tcW w:w="1675" w:type="dxa"/>
            <w:noWrap w:val="0"/>
            <w:vAlign w:val="bottom"/>
          </w:tcPr>
          <w:p w14:paraId="591F17C9">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泰莹</w:t>
            </w:r>
          </w:p>
        </w:tc>
        <w:tc>
          <w:tcPr>
            <w:tcW w:w="3176" w:type="dxa"/>
            <w:noWrap w:val="0"/>
            <w:vAlign w:val="bottom"/>
          </w:tcPr>
          <w:p w14:paraId="7B88269E">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18073365299</w:t>
            </w:r>
          </w:p>
        </w:tc>
      </w:tr>
      <w:tr w14:paraId="1941DD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7" w:hRule="exact"/>
          <w:jc w:val="center"/>
        </w:trPr>
        <w:tc>
          <w:tcPr>
            <w:tcW w:w="1097" w:type="dxa"/>
            <w:noWrap w:val="0"/>
            <w:vAlign w:val="bottom"/>
          </w:tcPr>
          <w:p w14:paraId="73638650">
            <w:pPr>
              <w:adjustRightInd w:val="0"/>
              <w:snapToGrid w:val="0"/>
              <w:spacing w:before="156" w:beforeLines="50" w:line="720" w:lineRule="auto"/>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5</w:t>
            </w:r>
          </w:p>
        </w:tc>
        <w:tc>
          <w:tcPr>
            <w:tcW w:w="2770" w:type="dxa"/>
            <w:noWrap w:val="0"/>
            <w:vAlign w:val="bottom"/>
          </w:tcPr>
          <w:p w14:paraId="2A439153">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工商银行株洲分行</w:t>
            </w:r>
          </w:p>
        </w:tc>
        <w:tc>
          <w:tcPr>
            <w:tcW w:w="1675" w:type="dxa"/>
            <w:noWrap w:val="0"/>
            <w:vAlign w:val="bottom"/>
          </w:tcPr>
          <w:p w14:paraId="33AE5FC8">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易铁建</w:t>
            </w:r>
          </w:p>
        </w:tc>
        <w:tc>
          <w:tcPr>
            <w:tcW w:w="3176" w:type="dxa"/>
            <w:noWrap w:val="0"/>
            <w:vAlign w:val="bottom"/>
          </w:tcPr>
          <w:p w14:paraId="4BC7247C">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18673383317 </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28295851</w:t>
            </w:r>
          </w:p>
        </w:tc>
      </w:tr>
      <w:tr w14:paraId="706A2D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exact"/>
          <w:jc w:val="center"/>
        </w:trPr>
        <w:tc>
          <w:tcPr>
            <w:tcW w:w="1097" w:type="dxa"/>
            <w:noWrap w:val="0"/>
            <w:vAlign w:val="bottom"/>
          </w:tcPr>
          <w:p w14:paraId="148EDCF4">
            <w:pPr>
              <w:adjustRightInd w:val="0"/>
              <w:snapToGrid w:val="0"/>
              <w:spacing w:before="156" w:beforeLines="50" w:line="720" w:lineRule="auto"/>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6</w:t>
            </w:r>
          </w:p>
        </w:tc>
        <w:tc>
          <w:tcPr>
            <w:tcW w:w="2770" w:type="dxa"/>
            <w:noWrap w:val="0"/>
            <w:vAlign w:val="bottom"/>
          </w:tcPr>
          <w:p w14:paraId="12A1A622">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农业银行株洲分行</w:t>
            </w:r>
          </w:p>
        </w:tc>
        <w:tc>
          <w:tcPr>
            <w:tcW w:w="1675" w:type="dxa"/>
            <w:noWrap w:val="0"/>
            <w:vAlign w:val="bottom"/>
          </w:tcPr>
          <w:p w14:paraId="71501993">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张亚虹</w:t>
            </w:r>
          </w:p>
        </w:tc>
        <w:tc>
          <w:tcPr>
            <w:tcW w:w="3176" w:type="dxa"/>
            <w:noWrap w:val="0"/>
            <w:vAlign w:val="bottom"/>
          </w:tcPr>
          <w:p w14:paraId="19B000B7">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15873378583</w:t>
            </w:r>
          </w:p>
        </w:tc>
      </w:tr>
      <w:tr w14:paraId="187A9F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exact"/>
          <w:jc w:val="center"/>
        </w:trPr>
        <w:tc>
          <w:tcPr>
            <w:tcW w:w="1097" w:type="dxa"/>
            <w:noWrap w:val="0"/>
            <w:vAlign w:val="bottom"/>
          </w:tcPr>
          <w:p w14:paraId="6A65E328">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7</w:t>
            </w:r>
          </w:p>
        </w:tc>
        <w:tc>
          <w:tcPr>
            <w:tcW w:w="2770" w:type="dxa"/>
            <w:noWrap w:val="0"/>
            <w:vAlign w:val="bottom"/>
          </w:tcPr>
          <w:p w14:paraId="608DD544">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中国银行株洲分行</w:t>
            </w:r>
          </w:p>
        </w:tc>
        <w:tc>
          <w:tcPr>
            <w:tcW w:w="1675" w:type="dxa"/>
            <w:noWrap w:val="0"/>
            <w:vAlign w:val="bottom"/>
          </w:tcPr>
          <w:p w14:paraId="45EBA8ED">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陈向红</w:t>
            </w:r>
          </w:p>
        </w:tc>
        <w:tc>
          <w:tcPr>
            <w:tcW w:w="3176" w:type="dxa"/>
            <w:noWrap w:val="0"/>
            <w:vAlign w:val="bottom"/>
          </w:tcPr>
          <w:p w14:paraId="1DD238DA">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15096360998   28817118</w:t>
            </w:r>
          </w:p>
        </w:tc>
      </w:tr>
      <w:tr w14:paraId="106DF6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6" w:hRule="exact"/>
          <w:jc w:val="center"/>
        </w:trPr>
        <w:tc>
          <w:tcPr>
            <w:tcW w:w="1097" w:type="dxa"/>
            <w:noWrap w:val="0"/>
            <w:vAlign w:val="bottom"/>
          </w:tcPr>
          <w:p w14:paraId="3483AB8E">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8</w:t>
            </w:r>
          </w:p>
        </w:tc>
        <w:tc>
          <w:tcPr>
            <w:tcW w:w="2770" w:type="dxa"/>
            <w:noWrap w:val="0"/>
            <w:vAlign w:val="bottom"/>
          </w:tcPr>
          <w:p w14:paraId="443075E6">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邮储银行株洲分行</w:t>
            </w:r>
          </w:p>
        </w:tc>
        <w:tc>
          <w:tcPr>
            <w:tcW w:w="1675" w:type="dxa"/>
            <w:noWrap w:val="0"/>
            <w:vAlign w:val="bottom"/>
          </w:tcPr>
          <w:p w14:paraId="3600330E">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李燕京</w:t>
            </w:r>
          </w:p>
        </w:tc>
        <w:tc>
          <w:tcPr>
            <w:tcW w:w="3176" w:type="dxa"/>
            <w:noWrap w:val="0"/>
            <w:vAlign w:val="bottom"/>
          </w:tcPr>
          <w:p w14:paraId="0BA4D815">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18673322433</w:t>
            </w:r>
          </w:p>
        </w:tc>
      </w:tr>
      <w:tr w14:paraId="755F2F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097" w:type="dxa"/>
            <w:noWrap w:val="0"/>
            <w:vAlign w:val="bottom"/>
          </w:tcPr>
          <w:p w14:paraId="6C57C327">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9</w:t>
            </w:r>
          </w:p>
        </w:tc>
        <w:tc>
          <w:tcPr>
            <w:tcW w:w="2770" w:type="dxa"/>
            <w:noWrap w:val="0"/>
            <w:vAlign w:val="bottom"/>
          </w:tcPr>
          <w:p w14:paraId="2B0AF76E">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兴业银行株洲分行</w:t>
            </w:r>
          </w:p>
        </w:tc>
        <w:tc>
          <w:tcPr>
            <w:tcW w:w="1675" w:type="dxa"/>
            <w:noWrap w:val="0"/>
            <w:vAlign w:val="bottom"/>
          </w:tcPr>
          <w:p w14:paraId="022F64B6">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张维</w:t>
            </w:r>
          </w:p>
        </w:tc>
        <w:tc>
          <w:tcPr>
            <w:tcW w:w="3176" w:type="dxa"/>
            <w:noWrap w:val="0"/>
            <w:vAlign w:val="bottom"/>
          </w:tcPr>
          <w:p w14:paraId="47339E36">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13807312821</w:t>
            </w:r>
          </w:p>
        </w:tc>
      </w:tr>
      <w:tr w14:paraId="3F141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2" w:hRule="exact"/>
          <w:jc w:val="center"/>
        </w:trPr>
        <w:tc>
          <w:tcPr>
            <w:tcW w:w="1097" w:type="dxa"/>
            <w:noWrap w:val="0"/>
            <w:vAlign w:val="bottom"/>
          </w:tcPr>
          <w:p w14:paraId="2CA77DA8">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10</w:t>
            </w:r>
          </w:p>
        </w:tc>
        <w:tc>
          <w:tcPr>
            <w:tcW w:w="2770" w:type="dxa"/>
            <w:noWrap w:val="0"/>
            <w:vAlign w:val="bottom"/>
          </w:tcPr>
          <w:p w14:paraId="06041359">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渤海银行株洲分行</w:t>
            </w:r>
          </w:p>
        </w:tc>
        <w:tc>
          <w:tcPr>
            <w:tcW w:w="1675" w:type="dxa"/>
            <w:noWrap w:val="0"/>
            <w:vAlign w:val="bottom"/>
          </w:tcPr>
          <w:p w14:paraId="43B02000">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何习之</w:t>
            </w:r>
          </w:p>
        </w:tc>
        <w:tc>
          <w:tcPr>
            <w:tcW w:w="3176" w:type="dxa"/>
            <w:noWrap w:val="0"/>
            <w:vAlign w:val="bottom"/>
          </w:tcPr>
          <w:p w14:paraId="119FB620">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18975347745 </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22987119</w:t>
            </w:r>
          </w:p>
        </w:tc>
      </w:tr>
      <w:tr w14:paraId="44C0F6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2" w:hRule="exact"/>
          <w:jc w:val="center"/>
        </w:trPr>
        <w:tc>
          <w:tcPr>
            <w:tcW w:w="1097" w:type="dxa"/>
            <w:noWrap w:val="0"/>
            <w:vAlign w:val="bottom"/>
          </w:tcPr>
          <w:p w14:paraId="3B658966">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11</w:t>
            </w:r>
          </w:p>
        </w:tc>
        <w:tc>
          <w:tcPr>
            <w:tcW w:w="2770" w:type="dxa"/>
            <w:noWrap w:val="0"/>
            <w:vAlign w:val="bottom"/>
          </w:tcPr>
          <w:p w14:paraId="2CC71120">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浦发银行株洲分行</w:t>
            </w:r>
          </w:p>
        </w:tc>
        <w:tc>
          <w:tcPr>
            <w:tcW w:w="1675" w:type="dxa"/>
            <w:noWrap w:val="0"/>
            <w:vAlign w:val="bottom"/>
          </w:tcPr>
          <w:p w14:paraId="2BBCDEEC">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言磊</w:t>
            </w:r>
          </w:p>
        </w:tc>
        <w:tc>
          <w:tcPr>
            <w:tcW w:w="3176" w:type="dxa"/>
            <w:noWrap w:val="0"/>
            <w:vAlign w:val="bottom"/>
          </w:tcPr>
          <w:p w14:paraId="550D6481">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13973319893</w:t>
            </w:r>
          </w:p>
        </w:tc>
      </w:tr>
      <w:tr w14:paraId="4FA0B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7" w:hRule="exact"/>
          <w:jc w:val="center"/>
        </w:trPr>
        <w:tc>
          <w:tcPr>
            <w:tcW w:w="1097" w:type="dxa"/>
            <w:noWrap w:val="0"/>
            <w:vAlign w:val="bottom"/>
          </w:tcPr>
          <w:p w14:paraId="4BFF87BB">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12</w:t>
            </w:r>
          </w:p>
        </w:tc>
        <w:tc>
          <w:tcPr>
            <w:tcW w:w="2770" w:type="dxa"/>
            <w:noWrap w:val="0"/>
            <w:vAlign w:val="bottom"/>
          </w:tcPr>
          <w:p w14:paraId="366878E1">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广发银行株洲分行</w:t>
            </w:r>
          </w:p>
        </w:tc>
        <w:tc>
          <w:tcPr>
            <w:tcW w:w="1675" w:type="dxa"/>
            <w:noWrap w:val="0"/>
            <w:vAlign w:val="bottom"/>
          </w:tcPr>
          <w:p w14:paraId="5DE4FF47">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张琳</w:t>
            </w:r>
          </w:p>
        </w:tc>
        <w:tc>
          <w:tcPr>
            <w:tcW w:w="3176" w:type="dxa"/>
            <w:noWrap w:val="0"/>
            <w:vAlign w:val="bottom"/>
          </w:tcPr>
          <w:p w14:paraId="03ACD03E">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18565608267 </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28868158</w:t>
            </w:r>
          </w:p>
        </w:tc>
      </w:tr>
      <w:tr w14:paraId="7002F2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exact"/>
          <w:jc w:val="center"/>
        </w:trPr>
        <w:tc>
          <w:tcPr>
            <w:tcW w:w="1097" w:type="dxa"/>
            <w:noWrap w:val="0"/>
            <w:vAlign w:val="bottom"/>
          </w:tcPr>
          <w:p w14:paraId="2773B261">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13</w:t>
            </w:r>
          </w:p>
        </w:tc>
        <w:tc>
          <w:tcPr>
            <w:tcW w:w="2770" w:type="dxa"/>
            <w:noWrap w:val="0"/>
            <w:vAlign w:val="bottom"/>
          </w:tcPr>
          <w:p w14:paraId="5E679247">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华夏银行株洲分行</w:t>
            </w:r>
          </w:p>
        </w:tc>
        <w:tc>
          <w:tcPr>
            <w:tcW w:w="1675" w:type="dxa"/>
            <w:noWrap w:val="0"/>
            <w:vAlign w:val="bottom"/>
          </w:tcPr>
          <w:p w14:paraId="17236793">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程玥瑄</w:t>
            </w:r>
          </w:p>
        </w:tc>
        <w:tc>
          <w:tcPr>
            <w:tcW w:w="3176" w:type="dxa"/>
            <w:noWrap w:val="0"/>
            <w:vAlign w:val="bottom"/>
          </w:tcPr>
          <w:p w14:paraId="1CFF38DF">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18673301515  </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28868595</w:t>
            </w:r>
          </w:p>
        </w:tc>
      </w:tr>
      <w:tr w14:paraId="7DEBD8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exact"/>
          <w:jc w:val="center"/>
        </w:trPr>
        <w:tc>
          <w:tcPr>
            <w:tcW w:w="1097" w:type="dxa"/>
            <w:noWrap w:val="0"/>
            <w:vAlign w:val="bottom"/>
          </w:tcPr>
          <w:p w14:paraId="51163B2C">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14</w:t>
            </w:r>
          </w:p>
        </w:tc>
        <w:tc>
          <w:tcPr>
            <w:tcW w:w="2770" w:type="dxa"/>
            <w:noWrap w:val="0"/>
            <w:vAlign w:val="bottom"/>
          </w:tcPr>
          <w:p w14:paraId="1B6CCD5A">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民生银行株洲分行</w:t>
            </w:r>
          </w:p>
        </w:tc>
        <w:tc>
          <w:tcPr>
            <w:tcW w:w="1675" w:type="dxa"/>
            <w:noWrap w:val="0"/>
            <w:vAlign w:val="bottom"/>
          </w:tcPr>
          <w:p w14:paraId="2FDAB38B">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刘海峰</w:t>
            </w:r>
          </w:p>
        </w:tc>
        <w:tc>
          <w:tcPr>
            <w:tcW w:w="3176" w:type="dxa"/>
            <w:noWrap w:val="0"/>
            <w:vAlign w:val="bottom"/>
          </w:tcPr>
          <w:p w14:paraId="774FACBE">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18273272755  </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28861002</w:t>
            </w:r>
          </w:p>
        </w:tc>
      </w:tr>
      <w:tr w14:paraId="4E54DA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exact"/>
          <w:jc w:val="center"/>
        </w:trPr>
        <w:tc>
          <w:tcPr>
            <w:tcW w:w="1097" w:type="dxa"/>
            <w:noWrap w:val="0"/>
            <w:vAlign w:val="bottom"/>
          </w:tcPr>
          <w:p w14:paraId="760A12DF">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15</w:t>
            </w:r>
          </w:p>
        </w:tc>
        <w:tc>
          <w:tcPr>
            <w:tcW w:w="2770" w:type="dxa"/>
            <w:noWrap w:val="0"/>
            <w:vAlign w:val="bottom"/>
          </w:tcPr>
          <w:p w14:paraId="72EE9F4C">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北京银行株洲分行</w:t>
            </w:r>
          </w:p>
        </w:tc>
        <w:tc>
          <w:tcPr>
            <w:tcW w:w="1675" w:type="dxa"/>
            <w:noWrap w:val="0"/>
            <w:vAlign w:val="bottom"/>
          </w:tcPr>
          <w:p w14:paraId="70CC260B">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曾艳</w:t>
            </w:r>
          </w:p>
        </w:tc>
        <w:tc>
          <w:tcPr>
            <w:tcW w:w="3176" w:type="dxa"/>
            <w:noWrap w:val="0"/>
            <w:vAlign w:val="bottom"/>
          </w:tcPr>
          <w:p w14:paraId="1A9E5F5F">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13087339502  </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25885569</w:t>
            </w:r>
          </w:p>
        </w:tc>
      </w:tr>
      <w:tr w14:paraId="0870CE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exact"/>
          <w:jc w:val="center"/>
        </w:trPr>
        <w:tc>
          <w:tcPr>
            <w:tcW w:w="1097" w:type="dxa"/>
            <w:noWrap w:val="0"/>
            <w:vAlign w:val="bottom"/>
          </w:tcPr>
          <w:p w14:paraId="1891A7D0">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16</w:t>
            </w:r>
          </w:p>
        </w:tc>
        <w:tc>
          <w:tcPr>
            <w:tcW w:w="2770" w:type="dxa"/>
            <w:noWrap w:val="0"/>
            <w:vAlign w:val="bottom"/>
          </w:tcPr>
          <w:p w14:paraId="18DF83C0">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招商银行株洲分行</w:t>
            </w:r>
          </w:p>
        </w:tc>
        <w:tc>
          <w:tcPr>
            <w:tcW w:w="1675" w:type="dxa"/>
            <w:noWrap w:val="0"/>
            <w:vAlign w:val="bottom"/>
          </w:tcPr>
          <w:p w14:paraId="64E0809D">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董经纬</w:t>
            </w:r>
          </w:p>
        </w:tc>
        <w:tc>
          <w:tcPr>
            <w:tcW w:w="3176" w:type="dxa"/>
            <w:noWrap w:val="0"/>
            <w:vAlign w:val="bottom"/>
          </w:tcPr>
          <w:p w14:paraId="56694E33">
            <w:pPr>
              <w:adjustRightInd w:val="0"/>
              <w:snapToGrid w:val="0"/>
              <w:spacing w:before="156" w:beforeLines="50" w:line="720" w:lineRule="auto"/>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18273331270   22753977</w:t>
            </w:r>
          </w:p>
        </w:tc>
      </w:tr>
    </w:tbl>
    <w:p w14:paraId="35D19C80">
      <w:pPr>
        <w:rPr>
          <w:rFonts w:hint="default" w:ascii="Times New Roman" w:hAnsi="Times New Roman" w:eastAsia="宋体" w:cs="Times New Roman"/>
          <w:color w:val="000000" w:themeColor="text1"/>
          <w:highlight w:val="none"/>
          <w14:textFill>
            <w14:solidFill>
              <w14:schemeClr w14:val="tx1"/>
            </w14:solidFill>
          </w14:textFill>
        </w:rPr>
      </w:pPr>
    </w:p>
    <w:p w14:paraId="50220C5A">
      <w:pPr>
        <w:adjustRightInd w:val="0"/>
        <w:snapToGrid w:val="0"/>
        <w:spacing w:line="360" w:lineRule="auto"/>
        <w:rPr>
          <w:rFonts w:hint="default" w:ascii="Times New Roman" w:hAnsi="Times New Roman" w:eastAsia="宋体" w:cs="Times New Roman"/>
          <w:bCs/>
          <w:color w:val="000000" w:themeColor="text1"/>
          <w:szCs w:val="21"/>
          <w:highlight w:val="none"/>
          <w14:textFill>
            <w14:solidFill>
              <w14:schemeClr w14:val="tx1"/>
            </w14:solidFill>
          </w14:textFill>
        </w:rPr>
      </w:pPr>
      <w:r>
        <w:rPr>
          <w:rFonts w:hint="default" w:ascii="Times New Roman" w:hAnsi="Times New Roman" w:eastAsia="宋体" w:cs="Times New Roman"/>
          <w:bCs/>
          <w:color w:val="000000" w:themeColor="text1"/>
          <w:szCs w:val="21"/>
          <w:highlight w:val="none"/>
          <w14:textFill>
            <w14:solidFill>
              <w14:schemeClr w14:val="tx1"/>
            </w14:solidFill>
          </w14:textFill>
        </w:rPr>
        <w:br w:type="page"/>
      </w:r>
      <w:r>
        <w:rPr>
          <w:rFonts w:hint="default" w:ascii="Times New Roman" w:hAnsi="Times New Roman" w:eastAsia="宋体" w:cs="Times New Roman"/>
          <w:bCs/>
          <w:color w:val="000000" w:themeColor="text1"/>
          <w:szCs w:val="21"/>
          <w:highlight w:val="none"/>
          <w14:textFill>
            <w14:solidFill>
              <w14:schemeClr w14:val="tx1"/>
            </w14:solidFill>
          </w14:textFill>
        </w:rPr>
        <w:t>附页4</w:t>
      </w:r>
    </w:p>
    <w:p w14:paraId="4A3E8BF2">
      <w:pPr>
        <w:adjustRightInd w:val="0"/>
        <w:snapToGrid w:val="0"/>
        <w:spacing w:line="360" w:lineRule="auto"/>
        <w:jc w:val="center"/>
        <w:rPr>
          <w:rFonts w:hint="default" w:ascii="Times New Roman" w:hAnsi="Times New Roman" w:eastAsia="宋体" w:cs="Times New Roman"/>
          <w:b/>
          <w:color w:val="000000" w:themeColor="text1"/>
          <w:sz w:val="32"/>
          <w:szCs w:val="32"/>
          <w:highlight w:val="none"/>
          <w14:textFill>
            <w14:solidFill>
              <w14:schemeClr w14:val="tx1"/>
            </w14:solidFill>
          </w14:textFill>
        </w:rPr>
      </w:pPr>
      <w:r>
        <w:rPr>
          <w:rFonts w:hint="default" w:ascii="Times New Roman" w:hAnsi="Times New Roman" w:eastAsia="宋体" w:cs="Times New Roman"/>
          <w:b/>
          <w:color w:val="000000" w:themeColor="text1"/>
          <w:sz w:val="32"/>
          <w:szCs w:val="32"/>
          <w:highlight w:val="none"/>
          <w14:textFill>
            <w14:solidFill>
              <w14:schemeClr w14:val="tx1"/>
            </w14:solidFill>
          </w14:textFill>
        </w:rPr>
        <w:t>政府采购投标担保函</w:t>
      </w:r>
    </w:p>
    <w:p w14:paraId="7FF2B82E">
      <w:pPr>
        <w:adjustRightInd w:val="0"/>
        <w:snapToGrid w:val="0"/>
        <w:spacing w:line="360" w:lineRule="auto"/>
        <w:ind w:firstLine="5670" w:firstLineChars="2700"/>
        <w:rPr>
          <w:rFonts w:hint="default" w:ascii="Times New Roman" w:hAnsi="Times New Roman" w:eastAsia="宋体" w:cs="Times New Roman"/>
          <w:color w:val="000000" w:themeColor="text1"/>
          <w:szCs w:val="21"/>
          <w:highlight w:val="none"/>
          <w14:textFill>
            <w14:solidFill>
              <w14:schemeClr w14:val="tx1"/>
            </w14:solidFill>
          </w14:textFill>
        </w:rPr>
      </w:pPr>
    </w:p>
    <w:p w14:paraId="0BC6D5C3">
      <w:pPr>
        <w:adjustRightInd w:val="0"/>
        <w:snapToGrid w:val="0"/>
        <w:spacing w:line="380" w:lineRule="exact"/>
        <w:ind w:firstLine="5670" w:firstLineChars="2700"/>
        <w:rPr>
          <w:rFonts w:hint="default" w:ascii="Times New Roman" w:hAnsi="Times New Roman" w:eastAsia="宋体" w:cs="Times New Roman"/>
          <w:color w:val="000000" w:themeColor="text1"/>
          <w:szCs w:val="21"/>
          <w:highlight w:val="none"/>
          <w:u w:val="singl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编号：</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 xml:space="preserve"> </w:t>
      </w:r>
    </w:p>
    <w:p w14:paraId="56A81ECD">
      <w:pPr>
        <w:adjustRightInd w:val="0"/>
        <w:snapToGrid w:val="0"/>
        <w:spacing w:line="380" w:lineRule="exac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 xml:space="preserve">（采购代理机构）： </w:t>
      </w:r>
    </w:p>
    <w:p w14:paraId="4F546463">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鉴于</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（以下简称</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）拟参加编号为</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的</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 xml:space="preserve">项目（以下简称“本项目”）投标，根据本项目招标文件，供应商参加投标时应向你方交纳投标保证金，且可以投标担保函的形式交纳投标保证金。应供应商的申请，我方以保证的方式向你方提供如下投标保证金担保： </w:t>
      </w:r>
    </w:p>
    <w:p w14:paraId="60321385">
      <w:pPr>
        <w:adjustRightInd w:val="0"/>
        <w:snapToGrid w:val="0"/>
        <w:spacing w:line="380" w:lineRule="exact"/>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一、保证责任的情形及保证金额 </w:t>
      </w:r>
    </w:p>
    <w:p w14:paraId="64716E4B">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（一）在</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出现下列情形之一时，我方承担保证责任：</w:t>
      </w:r>
    </w:p>
    <w:p w14:paraId="0B18FD76">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1．中标后</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无正当理由不与采购人或者采购代理机构签订《政府采购合同》；</w:t>
      </w:r>
    </w:p>
    <w:p w14:paraId="2376E6FE">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2．招标文件规定的</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应当缴纳保证金的其他情形。</w:t>
      </w:r>
    </w:p>
    <w:p w14:paraId="42FCF990">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（二）我方承担保证责任的最高金额为人民币</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元（大写</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），即本项目的投标保证金金额。</w:t>
      </w:r>
    </w:p>
    <w:p w14:paraId="3EE0174D">
      <w:pPr>
        <w:adjustRightInd w:val="0"/>
        <w:snapToGrid w:val="0"/>
        <w:spacing w:line="380" w:lineRule="exact"/>
        <w:ind w:firstLine="422"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二、保证的方式及保证期间</w:t>
      </w:r>
      <w:r>
        <w:rPr>
          <w:rFonts w:hint="default" w:ascii="Times New Roman" w:hAnsi="Times New Roman" w:eastAsia="宋体" w:cs="Times New Roman"/>
          <w:color w:val="000000" w:themeColor="text1"/>
          <w:szCs w:val="21"/>
          <w:highlight w:val="none"/>
          <w14:textFill>
            <w14:solidFill>
              <w14:schemeClr w14:val="tx1"/>
            </w14:solidFill>
          </w14:textFill>
        </w:rPr>
        <w:t xml:space="preserve"> </w:t>
      </w:r>
    </w:p>
    <w:p w14:paraId="4443AADB">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我方保证的方式为：连带责任保证。 </w:t>
      </w:r>
    </w:p>
    <w:p w14:paraId="243FAFB4">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我方的保证期间为：自本保函生效之日起</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个月止。</w:t>
      </w:r>
    </w:p>
    <w:p w14:paraId="5D451BBC">
      <w:pPr>
        <w:adjustRightInd w:val="0"/>
        <w:snapToGrid w:val="0"/>
        <w:spacing w:line="380" w:lineRule="exact"/>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三、承担保证责任的程序 </w:t>
      </w:r>
    </w:p>
    <w:p w14:paraId="4AB99372">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1．你方要求我方承担保证责任的，应在本保函保证期间内向我方发出书面索赔通知。索赔通知应写明要求索赔的金额，支付款项应到达的账号，并附有证明</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 xml:space="preserve">发生我方应承担保证责任情形的事实材料。 </w:t>
      </w:r>
    </w:p>
    <w:p w14:paraId="35A7A87E">
      <w:pPr>
        <w:adjustRightInd w:val="0"/>
        <w:snapToGrid w:val="0"/>
        <w:spacing w:line="38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2．我方在收到索赔通知及相关证明材料后，在</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个工作日内进行审查，符合应承担保证责任情形的，我方应按照你方的要求代</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 xml:space="preserve">向你方支付投标保证金。 </w:t>
      </w:r>
    </w:p>
    <w:p w14:paraId="25389C0A">
      <w:pPr>
        <w:adjustRightInd w:val="0"/>
        <w:snapToGrid w:val="0"/>
        <w:spacing w:line="400" w:lineRule="exact"/>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四、保证责任的终止 </w:t>
      </w:r>
    </w:p>
    <w:p w14:paraId="69CD0CF2">
      <w:pPr>
        <w:adjustRightInd w:val="0"/>
        <w:snapToGrid w:val="0"/>
        <w:spacing w:line="40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1．保证期间届满你方未向我方书面主张保证责任的，自保证期间届满次日起，我方保证责任自动终止。 </w:t>
      </w:r>
    </w:p>
    <w:p w14:paraId="3DCFFD53">
      <w:pPr>
        <w:adjustRightInd w:val="0"/>
        <w:snapToGrid w:val="0"/>
        <w:spacing w:line="40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2．我方按照本保函向你方履行了保证责任后，自我方向你方支付款项（支付款项从我方账户划出）之日起，保证责任终止。 </w:t>
      </w:r>
    </w:p>
    <w:p w14:paraId="17761A10">
      <w:pPr>
        <w:adjustRightInd w:val="0"/>
        <w:snapToGrid w:val="0"/>
        <w:spacing w:line="40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3．按照法律法规的规定或出现我方保证责任终止的其它情形的，我方在本保函项下的保证责任亦终止。 </w:t>
      </w:r>
    </w:p>
    <w:p w14:paraId="2146BF3B">
      <w:pPr>
        <w:adjustRightInd w:val="0"/>
        <w:snapToGrid w:val="0"/>
        <w:spacing w:line="400" w:lineRule="exact"/>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五、免责条款 </w:t>
      </w:r>
    </w:p>
    <w:p w14:paraId="055DB9C6">
      <w:pPr>
        <w:adjustRightInd w:val="0"/>
        <w:snapToGrid w:val="0"/>
        <w:spacing w:line="400" w:lineRule="exact"/>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1．依照法律规定或你方与</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的另行约定，全部或者部分免除</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投标保证金义务时，我方亦免除相应的保证责任。</w:t>
      </w:r>
    </w:p>
    <w:p w14:paraId="6AAA870E">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2．因你方原因致使</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发生本保函第一条第（一）款约定情形的，我方不承担保证责任。</w:t>
      </w:r>
    </w:p>
    <w:p w14:paraId="721BE934">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3．因不可抗力造成</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发生本保函第一条约定情形的，我方不承担保证责任。</w:t>
      </w:r>
    </w:p>
    <w:p w14:paraId="52763B5D">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4．你方或其他有权机关对招标文件进行任何澄清或修改，加重我方保证责任的，我方对加重部分不承担保证责任，但该澄清或修改经我方事先书面同意的除外。 </w:t>
      </w:r>
    </w:p>
    <w:p w14:paraId="76040E0C">
      <w:pPr>
        <w:adjustRightInd w:val="0"/>
        <w:snapToGrid w:val="0"/>
        <w:spacing w:line="360" w:lineRule="auto"/>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六、争议的解决 </w:t>
      </w:r>
    </w:p>
    <w:p w14:paraId="084646F9">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因本保函发生的纠纷，由你我双方协商解决，协商不成的，通过诉讼程序解决，诉讼管辖地法院为</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法院。</w:t>
      </w:r>
    </w:p>
    <w:p w14:paraId="0AC3757E">
      <w:pPr>
        <w:adjustRightInd w:val="0"/>
        <w:snapToGrid w:val="0"/>
        <w:spacing w:line="360" w:lineRule="auto"/>
        <w:ind w:firstLine="422" w:firstLineChars="200"/>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 xml:space="preserve">七、保函的生效 </w:t>
      </w:r>
    </w:p>
    <w:p w14:paraId="6E0EDC33">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本保函自我方加盖公章之日起生效。 </w:t>
      </w:r>
    </w:p>
    <w:p w14:paraId="243E3391">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p>
    <w:p w14:paraId="0303128F">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p>
    <w:p w14:paraId="305CDB24">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p>
    <w:p w14:paraId="3FCEF0EF">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  </w:t>
      </w:r>
    </w:p>
    <w:p w14:paraId="0352B1EB">
      <w:pPr>
        <w:adjustRightInd w:val="0"/>
        <w:snapToGrid w:val="0"/>
        <w:spacing w:line="360" w:lineRule="auto"/>
        <w:ind w:firstLine="3780" w:firstLineChars="18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保证人：（公章）       </w:t>
      </w:r>
    </w:p>
    <w:p w14:paraId="6D3EDC5F">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 xml:space="preserve"> 年</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月</w:t>
      </w:r>
      <w:r>
        <w:rPr>
          <w:rFonts w:hint="default"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Cs w:val="21"/>
          <w:highlight w:val="none"/>
          <w14:textFill>
            <w14:solidFill>
              <w14:schemeClr w14:val="tx1"/>
            </w14:solidFill>
          </w14:textFill>
        </w:rPr>
        <w:t>日</w:t>
      </w:r>
    </w:p>
    <w:p w14:paraId="6223A4BE">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5839E0A1">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21EB6E2E">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7F0F0A47">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7981BC02">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4AF0C642">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265B9AAF">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23F3C29E">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21261BC9">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71C814A0">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34A61F38">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p>
    <w:p w14:paraId="378B78E6">
      <w:pPr>
        <w:adjustRightInd w:val="0"/>
        <w:snapToGrid w:val="0"/>
        <w:spacing w:line="360" w:lineRule="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备注：</w:t>
      </w:r>
      <w:r>
        <w:rPr>
          <w:rFonts w:hint="default" w:ascii="Times New Roman" w:hAnsi="Times New Roman" w:cs="Times New Roman"/>
          <w:color w:val="000000" w:themeColor="text1"/>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szCs w:val="21"/>
          <w:highlight w:val="none"/>
          <w14:textFill>
            <w14:solidFill>
              <w14:schemeClr w14:val="tx1"/>
            </w14:solidFill>
          </w14:textFill>
        </w:rPr>
        <w:t>文件规定接受“投标担保函”形式递交投标保证金的可以按上述格式递交，否则，按</w:t>
      </w:r>
      <w:r>
        <w:rPr>
          <w:rFonts w:hint="default" w:ascii="Times New Roman" w:hAnsi="Times New Roman" w:cs="Times New Roman"/>
          <w:color w:val="000000" w:themeColor="text1"/>
          <w:szCs w:val="21"/>
          <w:highlight w:val="none"/>
          <w:lang w:val="en-US" w:eastAsia="zh-CN"/>
          <w14:textFill>
            <w14:solidFill>
              <w14:schemeClr w14:val="tx1"/>
            </w14:solidFill>
          </w14:textFill>
        </w:rPr>
        <w:t>谈判文件</w:t>
      </w:r>
      <w:r>
        <w:rPr>
          <w:rFonts w:hint="default" w:ascii="Times New Roman" w:hAnsi="Times New Roman" w:eastAsia="宋体" w:cs="Times New Roman"/>
          <w:color w:val="000000" w:themeColor="text1"/>
          <w:szCs w:val="21"/>
          <w:highlight w:val="none"/>
          <w14:textFill>
            <w14:solidFill>
              <w14:schemeClr w14:val="tx1"/>
            </w14:solidFill>
          </w14:textFill>
        </w:rPr>
        <w:t>规定其他方式递交。</w:t>
      </w:r>
    </w:p>
    <w:p w14:paraId="748C48A3">
      <w:pPr>
        <w:adjustRightInd w:val="0"/>
        <w:snapToGrid w:val="0"/>
        <w:spacing w:line="360" w:lineRule="auto"/>
        <w:rPr>
          <w:rFonts w:hint="default" w:ascii="Times New Roman" w:hAnsi="Times New Roman" w:eastAsia="宋体" w:cs="Times New Roman"/>
          <w:color w:val="000000" w:themeColor="text1"/>
          <w:highlight w:val="none"/>
          <w14:textFill>
            <w14:solidFill>
              <w14:schemeClr w14:val="tx1"/>
            </w14:solidFill>
          </w14:textFill>
        </w:rPr>
        <w:sectPr>
          <w:footerReference r:id="rId4"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linePitch="312" w:charSpace="0"/>
        </w:sectPr>
      </w:pPr>
    </w:p>
    <w:p w14:paraId="49D92B4B">
      <w:pPr>
        <w:adjustRightInd w:val="0"/>
        <w:snapToGrid w:val="0"/>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附页5</w:t>
      </w:r>
    </w:p>
    <w:p w14:paraId="4FE0C6D8">
      <w:pPr>
        <w:adjustRightInd w:val="0"/>
        <w:snapToGrid w:val="0"/>
        <w:spacing w:line="360" w:lineRule="auto"/>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sz w:val="28"/>
          <w:szCs w:val="28"/>
          <w:highlight w:val="none"/>
          <w14:textFill>
            <w14:solidFill>
              <w14:schemeClr w14:val="tx1"/>
            </w14:solidFill>
          </w14:textFill>
        </w:rPr>
        <w:t>政府采购履约担保函</w:t>
      </w:r>
    </w:p>
    <w:p w14:paraId="2D0FD844">
      <w:pPr>
        <w:adjustRightInd w:val="0"/>
        <w:snapToGrid w:val="0"/>
        <w:spacing w:line="360" w:lineRule="auto"/>
        <w:ind w:firstLine="5040" w:firstLineChars="24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              编号：</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p>
    <w:p w14:paraId="0C9807A6">
      <w:pPr>
        <w:adjustRightInd w:val="0"/>
        <w:snapToGrid w:val="0"/>
        <w:spacing w:line="360" w:lineRule="auto"/>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 xml:space="preserve">（采购人）： </w:t>
      </w:r>
    </w:p>
    <w:p w14:paraId="7FAA3815">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鉴于你方与</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（以下简称供应商）于</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年</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月</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日签定编号为</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的《</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政府采购合同》（以下简称主合同），且依据该合同的约定，供应商应在</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年</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月</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日前向你方交纳履约保证金，且可以履约担保函的形式交纳履约保证金。应供应商的申请，我方以保证的方式向你方提供如下履约保证金担保：</w:t>
      </w:r>
    </w:p>
    <w:p w14:paraId="422C59BC">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一、保证责任的情形及保证金额</w:t>
      </w:r>
    </w:p>
    <w:p w14:paraId="26FCC846">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（一）在供应商出现下列情形之一时，我方承担保证责任：</w:t>
      </w:r>
    </w:p>
    <w:p w14:paraId="5C1BBF5E">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1．将中标项目转让给他人，或者在投标文件中未说明，且未经采购人同意，将中标项目分包给他人的；</w:t>
      </w:r>
    </w:p>
    <w:p w14:paraId="0AB0FC5F">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2．主合同约定的应当缴纳履约保证金的情形: </w:t>
      </w:r>
    </w:p>
    <w:p w14:paraId="1BDA2B47">
      <w:pPr>
        <w:adjustRightInd w:val="0"/>
        <w:snapToGrid w:val="0"/>
        <w:spacing w:line="360" w:lineRule="auto"/>
        <w:ind w:firstLine="420"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（1）未按主合同约定的质量、数量和期限供应货物/提供服务/完成工程的； </w:t>
      </w:r>
    </w:p>
    <w:p w14:paraId="294DC437">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u w:val="singl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（2）</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w:t>
      </w:r>
    </w:p>
    <w:p w14:paraId="36CB8D04">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（二）我方的保证范围是主合同约定的合同价款总额的</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%数额为</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元（大写</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），币种为</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。（即主合同履约保证金金额）</w:t>
      </w:r>
    </w:p>
    <w:p w14:paraId="56310F44">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 xml:space="preserve">二、保证的方式及保证期间 </w:t>
      </w:r>
    </w:p>
    <w:p w14:paraId="72453A4C">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我方保证的方式为：连带责任保证。 </w:t>
      </w:r>
    </w:p>
    <w:p w14:paraId="4155F2F2">
      <w:pPr>
        <w:adjustRightInd w:val="0"/>
        <w:snapToGrid w:val="0"/>
        <w:spacing w:line="360" w:lineRule="auto"/>
        <w:ind w:firstLine="388" w:firstLineChars="200"/>
        <w:rPr>
          <w:rFonts w:hint="default" w:ascii="Times New Roman" w:hAnsi="Times New Roman" w:eastAsia="宋体" w:cs="Times New Roman"/>
          <w:color w:val="000000" w:themeColor="text1"/>
          <w:spacing w:val="-8"/>
          <w:kern w:val="0"/>
          <w:highlight w:val="none"/>
          <w14:textFill>
            <w14:solidFill>
              <w14:schemeClr w14:val="tx1"/>
            </w14:solidFill>
          </w14:textFill>
        </w:rPr>
      </w:pPr>
      <w:r>
        <w:rPr>
          <w:rFonts w:hint="default" w:ascii="Times New Roman" w:hAnsi="Times New Roman" w:eastAsia="宋体" w:cs="Times New Roman"/>
          <w:color w:val="000000" w:themeColor="text1"/>
          <w:spacing w:val="-8"/>
          <w:kern w:val="0"/>
          <w:highlight w:val="none"/>
          <w14:textFill>
            <w14:solidFill>
              <w14:schemeClr w14:val="tx1"/>
            </w14:solidFill>
          </w14:textFill>
        </w:rPr>
        <w:t>我方保证的期间为：自本合同生效之日起至供应商按照主合同约定的供货/完工期限届满后</w:t>
      </w:r>
      <w:r>
        <w:rPr>
          <w:rFonts w:hint="default" w:ascii="Times New Roman" w:hAnsi="Times New Roman" w:eastAsia="宋体" w:cs="Times New Roman"/>
          <w:color w:val="000000" w:themeColor="text1"/>
          <w:spacing w:val="-8"/>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pacing w:val="-8"/>
          <w:kern w:val="0"/>
          <w:highlight w:val="none"/>
          <w14:textFill>
            <w14:solidFill>
              <w14:schemeClr w14:val="tx1"/>
            </w14:solidFill>
          </w14:textFill>
        </w:rPr>
        <w:t>日内。</w:t>
      </w:r>
    </w:p>
    <w:p w14:paraId="63E944DD">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如果供应商未按主合同约定向贵方供应货物/提供服务/完成工程的，由我方在保证金额内向你方支付上述款项。 </w:t>
      </w:r>
    </w:p>
    <w:p w14:paraId="7900205E">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三、承担保证责任的程序</w:t>
      </w:r>
    </w:p>
    <w:p w14:paraId="600583DD">
      <w:pPr>
        <w:adjustRightInd w:val="0"/>
        <w:snapToGrid w:val="0"/>
        <w:spacing w:line="360" w:lineRule="auto"/>
        <w:ind w:firstLine="420"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1．你方要求我方承担保证责任的，应在本保函保证期间内向我方发出书面索赔通知。索赔通知应写明要求索赔的金额，支付款项应到达的帐号。并附有证明供应商违约事实的证明材料。 </w:t>
      </w:r>
    </w:p>
    <w:p w14:paraId="0D187681">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如果你方与供应商因货物质量问题产生争议，你方还需同时提供</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部门出具的质量检测报告，或经诉讼（仲裁）程序裁决后的裁决书、调解书，本保证人即按照检测结果或裁决书、调解书决定是否承担保证责任。</w:t>
      </w:r>
    </w:p>
    <w:p w14:paraId="51706291">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2．我方收到你方的书面索赔通知及相应证明材料，在</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工作日内进行核定后按照本保函的承诺承担保证责任。</w:t>
      </w:r>
    </w:p>
    <w:p w14:paraId="35F99D42">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四、保证责任的终止</w:t>
      </w:r>
    </w:p>
    <w:p w14:paraId="7AFC6CEC">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1A494F">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2．我方按照本保函向你方履行了保证责任后，自我方向你方支付款项（支付款项从我方账户划出）之日起，保证责任即终止。</w:t>
      </w:r>
    </w:p>
    <w:p w14:paraId="3DA8F500">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3．按照法律法规的规定或出现应终止我方保证责任的其它情形的，我方在本保函项下的保证责任亦终止。</w:t>
      </w:r>
    </w:p>
    <w:p w14:paraId="7538FC8E">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2AC1AAF">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五、免责条款</w:t>
      </w:r>
    </w:p>
    <w:p w14:paraId="038F051A">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1．因你方违反主合同约定致使供应商不能履行义务的，我方不承担保证责任。</w:t>
      </w:r>
    </w:p>
    <w:p w14:paraId="7465BDFE">
      <w:pPr>
        <w:adjustRightInd w:val="0"/>
        <w:snapToGrid w:val="0"/>
        <w:spacing w:line="360" w:lineRule="auto"/>
        <w:ind w:firstLine="420"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2．依照法律法规的规定或你方与供应商的另行约定，全部或者部分免除供应商应缴纳的保证金义务的，我方亦免除相应的保证责任。</w:t>
      </w:r>
    </w:p>
    <w:p w14:paraId="5C2876B1">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3．因不可抗力造成供应商不能履行供货义务的，我方不承担保证责任。</w:t>
      </w:r>
    </w:p>
    <w:p w14:paraId="5AE442D9">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六、争议的解决</w:t>
      </w:r>
    </w:p>
    <w:p w14:paraId="529BDB42">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因本保函发生的纠纷，由你我双方协商解决，协商不成的，通过诉讼程序解决，诉讼管辖地法院为</w:t>
      </w:r>
      <w:r>
        <w:rPr>
          <w:rFonts w:hint="default" w:ascii="Times New Roman" w:hAnsi="Times New Roman" w:eastAsia="宋体" w:cs="Times New Roman"/>
          <w:color w:val="000000" w:themeColor="text1"/>
          <w:kern w:val="0"/>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kern w:val="0"/>
          <w:highlight w:val="none"/>
          <w14:textFill>
            <w14:solidFill>
              <w14:schemeClr w14:val="tx1"/>
            </w14:solidFill>
          </w14:textFill>
        </w:rPr>
        <w:t>法院。</w:t>
      </w:r>
    </w:p>
    <w:p w14:paraId="375537A3">
      <w:pPr>
        <w:adjustRightInd w:val="0"/>
        <w:snapToGrid w:val="0"/>
        <w:spacing w:line="360" w:lineRule="auto"/>
        <w:ind w:firstLine="422" w:firstLineChars="200"/>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 xml:space="preserve">七、保函的生效 </w:t>
      </w:r>
    </w:p>
    <w:p w14:paraId="0B9B1E74">
      <w:pPr>
        <w:adjustRightInd w:val="0"/>
        <w:snapToGrid w:val="0"/>
        <w:spacing w:line="360" w:lineRule="auto"/>
        <w:ind w:firstLine="420" w:firstLineChars="200"/>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本保函自我方加盖公章之日起生效。 </w:t>
      </w:r>
    </w:p>
    <w:p w14:paraId="2106727D">
      <w:pPr>
        <w:adjustRightInd w:val="0"/>
        <w:snapToGrid w:val="0"/>
        <w:spacing w:line="360" w:lineRule="auto"/>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 xml:space="preserve">                                                      保证人：（公章） </w:t>
      </w:r>
    </w:p>
    <w:p w14:paraId="106E06A4">
      <w:pPr>
        <w:pStyle w:val="43"/>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kern w:val="0"/>
          <w:highlight w:val="none"/>
          <w:lang w:val="en-US" w:eastAsia="zh-CN"/>
          <w14:textFill>
            <w14:solidFill>
              <w14:schemeClr w14:val="tx1"/>
            </w14:solidFill>
          </w14:textFill>
        </w:rPr>
        <w:t xml:space="preserve">                                         年   月   日</w:t>
      </w:r>
    </w:p>
    <w:p w14:paraId="4ED69071">
      <w:pPr>
        <w:pageBreakBefore/>
        <w:adjustRightInd w:val="0"/>
        <w:snapToGrid w:val="0"/>
        <w:spacing w:before="156" w:beforeLines="50" w:line="360" w:lineRule="auto"/>
        <w:jc w:val="center"/>
        <w:outlineLvl w:val="1"/>
        <w:rPr>
          <w:rFonts w:hint="default" w:ascii="Times New Roman" w:hAnsi="Times New Roman" w:eastAsia="黑体" w:cs="Times New Roman"/>
          <w:b/>
          <w:bCs/>
          <w:color w:val="000000" w:themeColor="text1"/>
          <w:sz w:val="32"/>
          <w:szCs w:val="32"/>
          <w:highlight w:val="none"/>
          <w14:textFill>
            <w14:solidFill>
              <w14:schemeClr w14:val="tx1"/>
            </w14:solidFill>
          </w14:textFill>
        </w:rPr>
      </w:pPr>
      <w:bookmarkStart w:id="340" w:name="_Toc16411"/>
      <w:r>
        <w:rPr>
          <w:rFonts w:hint="default" w:ascii="Times New Roman" w:hAnsi="Times New Roman" w:eastAsia="黑体" w:cs="Times New Roman"/>
          <w:b/>
          <w:bCs/>
          <w:color w:val="000000" w:themeColor="text1"/>
          <w:sz w:val="32"/>
          <w:szCs w:val="32"/>
          <w:highlight w:val="none"/>
          <w14:textFill>
            <w14:solidFill>
              <w14:schemeClr w14:val="tx1"/>
            </w14:solidFill>
          </w14:textFill>
        </w:rPr>
        <w:t>第二节 谈判须知正文</w:t>
      </w:r>
      <w:bookmarkEnd w:id="340"/>
    </w:p>
    <w:p w14:paraId="52184F31">
      <w:pPr>
        <w:adjustRightInd w:val="0"/>
        <w:snapToGrid w:val="0"/>
        <w:spacing w:before="156" w:beforeLines="50"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341" w:name="_Toc2268"/>
      <w:bookmarkStart w:id="342" w:name="_Toc1071"/>
      <w:r>
        <w:rPr>
          <w:rFonts w:hint="default" w:ascii="Times New Roman" w:hAnsi="Times New Roman" w:eastAsia="黑体" w:cs="Times New Roman"/>
          <w:b/>
          <w:bCs/>
          <w:color w:val="000000" w:themeColor="text1"/>
          <w:sz w:val="28"/>
          <w:szCs w:val="28"/>
          <w:highlight w:val="none"/>
          <w14:textFill>
            <w14:solidFill>
              <w14:schemeClr w14:val="tx1"/>
            </w14:solidFill>
          </w14:textFill>
        </w:rPr>
        <w:t>一、说明</w:t>
      </w:r>
      <w:bookmarkEnd w:id="341"/>
      <w:bookmarkEnd w:id="342"/>
    </w:p>
    <w:p w14:paraId="08143A5F">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43" w:name="_Toc107997962"/>
      <w:bookmarkStart w:id="344" w:name="_Toc107997835"/>
      <w:r>
        <w:rPr>
          <w:rFonts w:hint="default" w:ascii="Times New Roman" w:hAnsi="Times New Roman" w:eastAsia="黑体" w:cs="Times New Roman"/>
          <w:b/>
          <w:bCs/>
          <w:color w:val="000000" w:themeColor="text1"/>
          <w:sz w:val="24"/>
          <w:highlight w:val="none"/>
          <w14:textFill>
            <w14:solidFill>
              <w14:schemeClr w14:val="tx1"/>
            </w14:solidFill>
          </w14:textFill>
        </w:rPr>
        <w:t>1.适用范围</w:t>
      </w:r>
      <w:bookmarkEnd w:id="343"/>
      <w:bookmarkEnd w:id="344"/>
    </w:p>
    <w:p w14:paraId="177596BD">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1.1本竞争性谈判文件仅适用于本章第一节“谈判须知前附表”（以下简称</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）中所叙述的采购项目。</w:t>
      </w:r>
    </w:p>
    <w:p w14:paraId="642BF133">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规定采购项目或者采购包属于“预留采购份额”的，供应商应当符合本章第38.1款规定，否则</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其响应无效</w:t>
      </w:r>
      <w:r>
        <w:rPr>
          <w:rFonts w:hint="default" w:ascii="Times New Roman" w:hAnsi="Times New Roman" w:cs="Times New Roman"/>
          <w:color w:val="000000" w:themeColor="text1"/>
          <w:szCs w:val="21"/>
          <w:highlight w:val="none"/>
          <w14:textFill>
            <w14:solidFill>
              <w14:schemeClr w14:val="tx1"/>
            </w14:solidFill>
          </w14:textFill>
        </w:rPr>
        <w:t>。</w:t>
      </w:r>
    </w:p>
    <w:p w14:paraId="2E933004">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45" w:name="_Toc107997963"/>
      <w:bookmarkStart w:id="346" w:name="_Toc107997836"/>
      <w:r>
        <w:rPr>
          <w:rFonts w:hint="default" w:ascii="Times New Roman" w:hAnsi="Times New Roman" w:eastAsia="黑体" w:cs="Times New Roman"/>
          <w:b/>
          <w:bCs/>
          <w:color w:val="000000" w:themeColor="text1"/>
          <w:sz w:val="24"/>
          <w:highlight w:val="none"/>
          <w14:textFill>
            <w14:solidFill>
              <w14:schemeClr w14:val="tx1"/>
            </w14:solidFill>
          </w14:textFill>
        </w:rPr>
        <w:t>2.定义</w:t>
      </w:r>
      <w:bookmarkEnd w:id="345"/>
      <w:bookmarkEnd w:id="346"/>
    </w:p>
    <w:p w14:paraId="0C09B15A">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2.1采购项目联系人姓名和电话见</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w:t>
      </w:r>
    </w:p>
    <w:p w14:paraId="681816E8">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2.2采购人名称、地址、电话、联系人见</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w:t>
      </w:r>
    </w:p>
    <w:p w14:paraId="6E3B46BD">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2.3采购代理机构名称、地址、电话、联系人见</w:t>
      </w:r>
      <w:r>
        <w:rPr>
          <w:rFonts w:hint="default" w:ascii="Times New Roman" w:hAnsi="Times New Roman" w:cs="Times New Roman"/>
          <w:b/>
          <w:bCs/>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w:t>
      </w:r>
    </w:p>
    <w:p w14:paraId="2DCCDB11">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2.4供应商是指响应谈判文件要求、参加竞争性谈判采购的法人、其他组织或者自然人。</w:t>
      </w:r>
      <w:bookmarkStart w:id="347" w:name="_Toc107997964"/>
      <w:bookmarkStart w:id="348" w:name="_Toc107997837"/>
    </w:p>
    <w:p w14:paraId="31FBE69F">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3.供应商的资格要求</w:t>
      </w:r>
      <w:bookmarkEnd w:id="347"/>
      <w:bookmarkEnd w:id="348"/>
    </w:p>
    <w:p w14:paraId="20E6B37E">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3.1供应商应当符合</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规定的供应商资格条件。</w:t>
      </w:r>
    </w:p>
    <w:p w14:paraId="2B186183">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3.2</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规定接受联合体形式的，供应商除应符合本章第3.1</w:t>
      </w:r>
      <w:r>
        <w:rPr>
          <w:rFonts w:hint="default" w:ascii="Times New Roman" w:hAnsi="Times New Roman" w:cs="Times New Roman"/>
          <w:color w:val="000000" w:themeColor="text1"/>
          <w:kern w:val="0"/>
          <w:szCs w:val="21"/>
          <w:highlight w:val="none"/>
          <w:lang w:val="zh-CN"/>
          <w14:textFill>
            <w14:solidFill>
              <w14:schemeClr w14:val="tx1"/>
            </w14:solidFill>
          </w14:textFill>
        </w:rPr>
        <w:t>款</w:t>
      </w:r>
      <w:r>
        <w:rPr>
          <w:rFonts w:hint="default" w:ascii="Times New Roman" w:hAnsi="Times New Roman" w:cs="Times New Roman"/>
          <w:color w:val="000000" w:themeColor="text1"/>
          <w:szCs w:val="21"/>
          <w:highlight w:val="none"/>
          <w14:textFill>
            <w14:solidFill>
              <w14:schemeClr w14:val="tx1"/>
            </w14:solidFill>
          </w14:textFill>
        </w:rPr>
        <w:t xml:space="preserve">规定外，还应遵守以下规定： </w:t>
      </w:r>
    </w:p>
    <w:p w14:paraId="1294B6F4">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（l）联合体中有同类资质的供应商按照联合体分工承担相同工作的，应当按照资质等级较低的供应商确定资质等级。</w:t>
      </w:r>
    </w:p>
    <w:p w14:paraId="312D830E">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（2）联合体各方应按谈判文件提供的格式签订联合体协议书，明确联合体牵头人和各方的权利义务、合同工作量比例；</w:t>
      </w:r>
    </w:p>
    <w:p w14:paraId="7896DAEC">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lang w:val="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（3）联合体各方签订联合体协议书后，</w:t>
      </w:r>
      <w:r>
        <w:rPr>
          <w:rFonts w:hint="default" w:ascii="Times New Roman" w:hAnsi="Times New Roman" w:cs="Times New Roman"/>
          <w:color w:val="000000" w:themeColor="text1"/>
          <w:kern w:val="0"/>
          <w:szCs w:val="21"/>
          <w:highlight w:val="none"/>
          <w:lang w:val="zh-CN"/>
          <w14:textFill>
            <w14:solidFill>
              <w14:schemeClr w14:val="tx1"/>
            </w14:solidFill>
          </w14:textFill>
        </w:rPr>
        <w:t>不得再单独参加或者与其他供应商组成新的联合体参加同一合同项下的采购活动。</w:t>
      </w:r>
    </w:p>
    <w:p w14:paraId="6D6F4F81">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49" w:name="_Toc107997838"/>
      <w:bookmarkStart w:id="350" w:name="_Toc107997965"/>
      <w:r>
        <w:rPr>
          <w:rFonts w:hint="default" w:ascii="Times New Roman" w:hAnsi="Times New Roman" w:eastAsia="黑体" w:cs="Times New Roman"/>
          <w:b/>
          <w:bCs/>
          <w:color w:val="000000" w:themeColor="text1"/>
          <w:sz w:val="24"/>
          <w:highlight w:val="none"/>
          <w14:textFill>
            <w14:solidFill>
              <w14:schemeClr w14:val="tx1"/>
            </w14:solidFill>
          </w14:textFill>
        </w:rPr>
        <w:t>4.参与谈判的费用</w:t>
      </w:r>
      <w:bookmarkEnd w:id="349"/>
      <w:bookmarkEnd w:id="350"/>
    </w:p>
    <w:p w14:paraId="366E68BC">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4.1无论谈判的结果如何，供应商应自行承担所有与竞争性谈判采购活动有关的全部费用。</w:t>
      </w:r>
    </w:p>
    <w:p w14:paraId="793B985F">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51" w:name="_Toc107997966"/>
      <w:bookmarkStart w:id="352" w:name="_Toc107997839"/>
      <w:r>
        <w:rPr>
          <w:rFonts w:hint="default" w:ascii="Times New Roman" w:hAnsi="Times New Roman" w:eastAsia="黑体" w:cs="Times New Roman"/>
          <w:b/>
          <w:bCs/>
          <w:color w:val="000000" w:themeColor="text1"/>
          <w:sz w:val="24"/>
          <w:highlight w:val="none"/>
          <w14:textFill>
            <w14:solidFill>
              <w14:schemeClr w14:val="tx1"/>
            </w14:solidFill>
          </w14:textFill>
        </w:rPr>
        <w:t>5.现场勘察</w:t>
      </w:r>
      <w:bookmarkEnd w:id="351"/>
      <w:bookmarkEnd w:id="352"/>
    </w:p>
    <w:p w14:paraId="552A91DB">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5.1供应商应按</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highlight w:val="none"/>
          <w14:textFill>
            <w14:solidFill>
              <w14:schemeClr w14:val="tx1"/>
            </w14:solidFill>
          </w14:textFill>
        </w:rPr>
        <w:t>中规定</w:t>
      </w:r>
      <w:r>
        <w:rPr>
          <w:rFonts w:hint="default" w:ascii="Times New Roman" w:hAnsi="Times New Roman" w:cs="Times New Roman"/>
          <w:color w:val="000000" w:themeColor="text1"/>
          <w:szCs w:val="21"/>
          <w:highlight w:val="none"/>
          <w14:textFill>
            <w14:solidFill>
              <w14:schemeClr w14:val="tx1"/>
            </w14:solidFill>
          </w14:textFill>
        </w:rPr>
        <w:t>对采购项目现场和周围环境的现场考察。</w:t>
      </w:r>
    </w:p>
    <w:p w14:paraId="482E251E">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5.2勘察现场的费用由供应商自己承担，勘察期间所发生的人身伤害及财产损失由供应商自己负责。</w:t>
      </w:r>
    </w:p>
    <w:p w14:paraId="6D33F99C">
      <w:pPr>
        <w:adjustRightInd w:val="0"/>
        <w:snapToGrid w:val="0"/>
        <w:spacing w:line="360" w:lineRule="auto"/>
        <w:ind w:firstLine="420" w:firstLineChars="200"/>
        <w:jc w:val="left"/>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5.3采购人不对供应商据此而做出的推论、理解和结论负责。一旦成交，供应商不得以任何借口，而提出额外补偿，或延长合同期限的要求。</w:t>
      </w:r>
    </w:p>
    <w:p w14:paraId="45C7EA39">
      <w:pPr>
        <w:adjustRightInd w:val="0"/>
        <w:snapToGrid w:val="0"/>
        <w:spacing w:line="360" w:lineRule="auto"/>
        <w:jc w:val="center"/>
        <w:outlineLvl w:val="9"/>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353" w:name="_Toc10369"/>
      <w:bookmarkStart w:id="354" w:name="_Toc107997967"/>
      <w:bookmarkStart w:id="355" w:name="_Toc23255"/>
    </w:p>
    <w:p w14:paraId="4DCA3CB2">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r>
        <w:rPr>
          <w:rFonts w:hint="default" w:ascii="Times New Roman" w:hAnsi="Times New Roman" w:eastAsia="黑体" w:cs="Times New Roman"/>
          <w:b/>
          <w:bCs/>
          <w:color w:val="000000" w:themeColor="text1"/>
          <w:sz w:val="28"/>
          <w:szCs w:val="28"/>
          <w:highlight w:val="none"/>
          <w14:textFill>
            <w14:solidFill>
              <w14:schemeClr w14:val="tx1"/>
            </w14:solidFill>
          </w14:textFill>
        </w:rPr>
        <w:t>二、谈判文件</w:t>
      </w:r>
      <w:bookmarkEnd w:id="353"/>
      <w:bookmarkEnd w:id="354"/>
      <w:bookmarkEnd w:id="355"/>
    </w:p>
    <w:p w14:paraId="5E5319EA">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56" w:name="_Toc107997968"/>
      <w:bookmarkStart w:id="357" w:name="_Toc107997841"/>
      <w:r>
        <w:rPr>
          <w:rFonts w:hint="default" w:ascii="Times New Roman" w:hAnsi="Times New Roman" w:eastAsia="黑体" w:cs="Times New Roman"/>
          <w:b/>
          <w:bCs/>
          <w:color w:val="000000" w:themeColor="text1"/>
          <w:sz w:val="24"/>
          <w:highlight w:val="none"/>
          <w14:textFill>
            <w14:solidFill>
              <w14:schemeClr w14:val="tx1"/>
            </w14:solidFill>
          </w14:textFill>
        </w:rPr>
        <w:t>6.谈判文件的组成</w:t>
      </w:r>
      <w:bookmarkEnd w:id="356"/>
      <w:bookmarkEnd w:id="357"/>
    </w:p>
    <w:p w14:paraId="09FF68EE">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6.1谈判文件由下列文件组成：</w:t>
      </w:r>
    </w:p>
    <w:p w14:paraId="58BF2810">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第一章 采购邀请</w:t>
      </w:r>
    </w:p>
    <w:p w14:paraId="60784112">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第二章 谈判须知</w:t>
      </w:r>
    </w:p>
    <w:p w14:paraId="4AC696C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第三章 合同草案条款</w:t>
      </w:r>
    </w:p>
    <w:p w14:paraId="69E0FECF">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第四章 采购需求</w:t>
      </w:r>
    </w:p>
    <w:p w14:paraId="4618EF82">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第五章 响应文件组成</w:t>
      </w:r>
    </w:p>
    <w:p w14:paraId="3BF559E7">
      <w:pPr>
        <w:adjustRightInd w:val="0"/>
        <w:snapToGrid w:val="0"/>
        <w:spacing w:line="360" w:lineRule="auto"/>
        <w:ind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6.2</w:t>
      </w:r>
      <w:r>
        <w:rPr>
          <w:rFonts w:hint="default" w:ascii="Times New Roman" w:hAnsi="Times New Roman" w:cs="Times New Roman"/>
          <w:color w:val="000000" w:themeColor="text1"/>
          <w:kern w:val="0"/>
          <w:szCs w:val="21"/>
          <w:highlight w:val="none"/>
          <w14:textFill>
            <w14:solidFill>
              <w14:schemeClr w14:val="tx1"/>
            </w14:solidFill>
          </w14:textFill>
        </w:rPr>
        <w:t>采购人、采购代理机构或者谈判小组在提交首次响应文件截止之日前对已发出的谈判文件进行的澄清或者修改，构成谈判文件的组成部分。</w:t>
      </w:r>
    </w:p>
    <w:p w14:paraId="01F70C9D">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6.3谈判文件中，谈判小组根据与供应商谈判情况可能实质性变动的内容见</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kern w:val="0"/>
          <w:szCs w:val="21"/>
          <w:highlight w:val="none"/>
          <w14:textFill>
            <w14:solidFill>
              <w14:schemeClr w14:val="tx1"/>
            </w14:solidFill>
          </w14:textFill>
        </w:rPr>
        <w:t>。对谈判文件作出的实质性变动是谈判文件的有效组成部分。</w:t>
      </w:r>
    </w:p>
    <w:p w14:paraId="43DA1E95">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6.4供应商应仔细阅读</w:t>
      </w:r>
      <w:r>
        <w:rPr>
          <w:rFonts w:hint="default" w:ascii="Times New Roman" w:hAnsi="Times New Roman" w:cs="Times New Roman"/>
          <w:bCs/>
          <w:color w:val="000000" w:themeColor="text1"/>
          <w:szCs w:val="2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文件的全部内容，按照</w:t>
      </w:r>
      <w:r>
        <w:rPr>
          <w:rFonts w:hint="default" w:ascii="Times New Roman" w:hAnsi="Times New Roman" w:cs="Times New Roman"/>
          <w:bCs/>
          <w:color w:val="000000" w:themeColor="text1"/>
          <w:szCs w:val="2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文件要求编制响应文件。任何对</w:t>
      </w:r>
      <w:r>
        <w:rPr>
          <w:rFonts w:hint="default" w:ascii="Times New Roman" w:hAnsi="Times New Roman" w:cs="Times New Roman"/>
          <w:bCs/>
          <w:color w:val="000000" w:themeColor="text1"/>
          <w:szCs w:val="2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文件的忽略或误解不能作为响应文件存在缺陷或瑕疵的理由，其风险由供应商承担。</w:t>
      </w:r>
    </w:p>
    <w:p w14:paraId="465BDD4F">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58" w:name="_Toc107997842"/>
      <w:bookmarkStart w:id="359" w:name="_Toc107997969"/>
      <w:r>
        <w:rPr>
          <w:rFonts w:hint="default" w:ascii="Times New Roman" w:hAnsi="Times New Roman" w:eastAsia="黑体" w:cs="Times New Roman"/>
          <w:b/>
          <w:bCs/>
          <w:color w:val="000000" w:themeColor="text1"/>
          <w:sz w:val="24"/>
          <w:highlight w:val="none"/>
          <w14:textFill>
            <w14:solidFill>
              <w14:schemeClr w14:val="tx1"/>
            </w14:solidFill>
          </w14:textFill>
        </w:rPr>
        <w:t>7.谈判文件的澄清</w:t>
      </w:r>
      <w:r>
        <w:rPr>
          <w:rFonts w:hint="default" w:ascii="Times New Roman" w:hAnsi="Times New Roman" w:eastAsia="黑体" w:cs="Times New Roman"/>
          <w:b/>
          <w:bCs/>
          <w:color w:val="000000" w:themeColor="text1"/>
          <w:kern w:val="0"/>
          <w:sz w:val="24"/>
          <w:highlight w:val="none"/>
          <w:lang w:val="zh-CN"/>
          <w14:textFill>
            <w14:solidFill>
              <w14:schemeClr w14:val="tx1"/>
            </w14:solidFill>
          </w14:textFill>
        </w:rPr>
        <w:t>或者</w:t>
      </w:r>
      <w:r>
        <w:rPr>
          <w:rFonts w:hint="default" w:ascii="Times New Roman" w:hAnsi="Times New Roman" w:eastAsia="黑体" w:cs="Times New Roman"/>
          <w:b/>
          <w:bCs/>
          <w:color w:val="000000" w:themeColor="text1"/>
          <w:sz w:val="24"/>
          <w:highlight w:val="none"/>
          <w14:textFill>
            <w14:solidFill>
              <w14:schemeClr w14:val="tx1"/>
            </w14:solidFill>
          </w14:textFill>
        </w:rPr>
        <w:t>修改</w:t>
      </w:r>
      <w:bookmarkEnd w:id="358"/>
      <w:bookmarkEnd w:id="359"/>
    </w:p>
    <w:p w14:paraId="1E58BB93">
      <w:pPr>
        <w:adjustRightInd w:val="0"/>
        <w:snapToGrid w:val="0"/>
        <w:spacing w:line="360" w:lineRule="auto"/>
        <w:ind w:right="-105" w:rightChars="-50"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7.1在</w:t>
      </w:r>
      <w:r>
        <w:rPr>
          <w:rFonts w:hint="default" w:ascii="Times New Roman" w:hAnsi="Times New Roman" w:cs="Times New Roman"/>
          <w:color w:val="000000" w:themeColor="text1"/>
          <w:kern w:val="0"/>
          <w:szCs w:val="21"/>
          <w:highlight w:val="none"/>
          <w14:textFill>
            <w14:solidFill>
              <w14:schemeClr w14:val="tx1"/>
            </w14:solidFill>
          </w14:textFill>
        </w:rPr>
        <w:t>提交首次响应文件截止之日前，采购人、采购代理机构或者谈判小组可以对已发出的谈判文件进行必要的澄清或者修改。</w:t>
      </w:r>
    </w:p>
    <w:p w14:paraId="142A0B6E">
      <w:pPr>
        <w:adjustRightInd w:val="0"/>
        <w:snapToGrid w:val="0"/>
        <w:spacing w:line="360" w:lineRule="auto"/>
        <w:ind w:right="-105" w:rightChars="-50"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7.2</w:t>
      </w:r>
      <w:r>
        <w:rPr>
          <w:rFonts w:hint="default" w:ascii="Times New Roman" w:hAnsi="Times New Roman" w:cs="Times New Roman"/>
          <w:color w:val="000000" w:themeColor="text1"/>
          <w:kern w:val="0"/>
          <w:szCs w:val="21"/>
          <w:highlight w:val="none"/>
          <w14:textFill>
            <w14:solidFill>
              <w14:schemeClr w14:val="tx1"/>
            </w14:solidFill>
          </w14:textFill>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169F2382">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360" w:name="_Toc107997970"/>
      <w:bookmarkStart w:id="361" w:name="_Toc19256"/>
      <w:bookmarkStart w:id="362" w:name="_Toc30001"/>
      <w:r>
        <w:rPr>
          <w:rFonts w:hint="default" w:ascii="Times New Roman" w:hAnsi="Times New Roman" w:eastAsia="黑体" w:cs="Times New Roman"/>
          <w:b/>
          <w:bCs/>
          <w:color w:val="000000" w:themeColor="text1"/>
          <w:sz w:val="28"/>
          <w:szCs w:val="28"/>
          <w:highlight w:val="none"/>
          <w14:textFill>
            <w14:solidFill>
              <w14:schemeClr w14:val="tx1"/>
            </w14:solidFill>
          </w14:textFill>
        </w:rPr>
        <w:t>三、响应文件</w:t>
      </w:r>
      <w:bookmarkEnd w:id="360"/>
      <w:bookmarkEnd w:id="361"/>
      <w:bookmarkEnd w:id="362"/>
    </w:p>
    <w:p w14:paraId="360E33D3">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63" w:name="_Toc107997844"/>
      <w:bookmarkStart w:id="364" w:name="_Toc107997971"/>
      <w:r>
        <w:rPr>
          <w:rFonts w:hint="default" w:ascii="Times New Roman" w:hAnsi="Times New Roman" w:eastAsia="黑体" w:cs="Times New Roman"/>
          <w:b/>
          <w:bCs/>
          <w:color w:val="000000" w:themeColor="text1"/>
          <w:sz w:val="24"/>
          <w:highlight w:val="none"/>
          <w14:textFill>
            <w14:solidFill>
              <w14:schemeClr w14:val="tx1"/>
            </w14:solidFill>
          </w14:textFill>
        </w:rPr>
        <w:t>8.一般要求</w:t>
      </w:r>
      <w:bookmarkEnd w:id="363"/>
      <w:bookmarkEnd w:id="364"/>
    </w:p>
    <w:p w14:paraId="5ABEFD09">
      <w:pPr>
        <w:adjustRightInd w:val="0"/>
        <w:snapToGrid w:val="0"/>
        <w:spacing w:line="360" w:lineRule="auto"/>
        <w:ind w:firstLine="420" w:firstLineChars="200"/>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8.1供应商应仔细阅读谈判文件的所有内容，按谈判文件的要求编制响应文件，并保证所提供的全部资料的真实性，以使其响应文件对谈判文件做出实质性的响应。</w:t>
      </w:r>
    </w:p>
    <w:p w14:paraId="195BE81B">
      <w:pPr>
        <w:adjustRightInd w:val="0"/>
        <w:snapToGrid w:val="0"/>
        <w:spacing w:line="360" w:lineRule="auto"/>
        <w:ind w:firstLine="420" w:firstLineChars="200"/>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8.2</w:t>
      </w:r>
      <w:r>
        <w:rPr>
          <w:rFonts w:hint="default" w:ascii="Times New Roman" w:hAnsi="Times New Roman" w:cs="Times New Roman"/>
          <w:color w:val="000000" w:themeColor="text1"/>
          <w:szCs w:val="21"/>
          <w:highlight w:val="none"/>
          <w14:textFill>
            <w14:solidFill>
              <w14:schemeClr w14:val="tx1"/>
            </w14:solidFill>
          </w14:textFill>
        </w:rPr>
        <w:t>供应商提交的响应文件及供应商与采购人或采购代理机构、谈判小组就有关谈判的所有来往函电均使用中文。供应商可以提交其他语言的资料，但应附中文注释，在有差异时以中文为准。</w:t>
      </w:r>
    </w:p>
    <w:p w14:paraId="5A128A3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8.3</w:t>
      </w:r>
      <w:r>
        <w:rPr>
          <w:rFonts w:hint="default" w:ascii="Times New Roman" w:hAnsi="Times New Roman" w:cs="Times New Roman"/>
          <w:color w:val="000000" w:themeColor="text1"/>
          <w:szCs w:val="21"/>
          <w:highlight w:val="none"/>
          <w14:textFill>
            <w14:solidFill>
              <w14:schemeClr w14:val="tx1"/>
            </w14:solidFill>
          </w14:textFill>
        </w:rPr>
        <w:t>计量单位应使用我国法定计量单位，未列明时应默认为我国法定计量单位。</w:t>
      </w:r>
    </w:p>
    <w:p w14:paraId="7F5751ED">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8.4响应文件应采用书面形式，电报、传真、电子邮件形式的响应文件概不接受。</w:t>
      </w:r>
    </w:p>
    <w:p w14:paraId="4EA8C0D8">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8.5供应商应按谈判文件中提供的响应文件格式填写。</w:t>
      </w:r>
    </w:p>
    <w:p w14:paraId="0EA32BAF">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65" w:name="_Toc107997845"/>
      <w:bookmarkStart w:id="366" w:name="_Toc107997972"/>
      <w:r>
        <w:rPr>
          <w:rFonts w:hint="default" w:ascii="Times New Roman" w:hAnsi="Times New Roman" w:eastAsia="黑体" w:cs="Times New Roman"/>
          <w:b/>
          <w:bCs/>
          <w:color w:val="000000" w:themeColor="text1"/>
          <w:sz w:val="24"/>
          <w:highlight w:val="none"/>
          <w14:textFill>
            <w14:solidFill>
              <w14:schemeClr w14:val="tx1"/>
            </w14:solidFill>
          </w14:textFill>
        </w:rPr>
        <w:t>9.响应文件的组成</w:t>
      </w:r>
      <w:bookmarkEnd w:id="365"/>
      <w:bookmarkEnd w:id="366"/>
    </w:p>
    <w:p w14:paraId="304EB743">
      <w:pPr>
        <w:adjustRightInd w:val="0"/>
        <w:snapToGrid w:val="0"/>
        <w:spacing w:line="360" w:lineRule="auto"/>
        <w:ind w:firstLine="420" w:firstLineChars="200"/>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9.1响应文件包括下列内容：</w:t>
      </w:r>
    </w:p>
    <w:p w14:paraId="4588B073">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（1）报价表及报价文件(格式)</w:t>
      </w:r>
    </w:p>
    <w:p w14:paraId="47A88DFB">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（2）谈判响应声明(格式)</w:t>
      </w:r>
    </w:p>
    <w:p w14:paraId="6543933C">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（3）保证金</w:t>
      </w:r>
    </w:p>
    <w:p w14:paraId="45791A37">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（4）授权委托书(格式)</w:t>
      </w:r>
    </w:p>
    <w:p w14:paraId="13D24A93">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（5）供应商资格审查材料</w:t>
      </w:r>
    </w:p>
    <w:p w14:paraId="51533863">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（6）采购需求响应</w:t>
      </w:r>
    </w:p>
    <w:p w14:paraId="0AA1A96A">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（7）合同条款偏离表</w:t>
      </w:r>
    </w:p>
    <w:p w14:paraId="008CBDA5">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（8）采购需求偏离表</w:t>
      </w:r>
    </w:p>
    <w:p w14:paraId="3F15050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（9）享受政府采购政策的证明资料</w:t>
      </w:r>
    </w:p>
    <w:p w14:paraId="70734032">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（10）响应标的符合谈判文件规定的证明文件</w:t>
      </w:r>
    </w:p>
    <w:p w14:paraId="1ABDA1D6">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（11）供应商认为需提供的其他资料（如有）</w:t>
      </w:r>
    </w:p>
    <w:p w14:paraId="165C022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（12）最后报价</w:t>
      </w:r>
    </w:p>
    <w:p w14:paraId="36AE8B65">
      <w:pPr>
        <w:adjustRightInd w:val="0"/>
        <w:snapToGrid w:val="0"/>
        <w:spacing w:line="360" w:lineRule="auto"/>
        <w:ind w:firstLine="42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9.2在谈判过程中，</w:t>
      </w:r>
      <w:r>
        <w:rPr>
          <w:rFonts w:hint="default" w:ascii="Times New Roman" w:hAnsi="Times New Roman" w:cs="Times New Roman"/>
          <w:color w:val="000000" w:themeColor="text1"/>
          <w:szCs w:val="21"/>
          <w:highlight w:val="none"/>
          <w14:textFill>
            <w14:solidFill>
              <w14:schemeClr w14:val="tx1"/>
            </w14:solidFill>
          </w14:textFill>
        </w:rPr>
        <w:t>供应商</w:t>
      </w:r>
      <w:r>
        <w:rPr>
          <w:rFonts w:hint="default" w:ascii="Times New Roman" w:hAnsi="Times New Roman" w:cs="Times New Roman"/>
          <w:color w:val="000000" w:themeColor="text1"/>
          <w:highlight w:val="none"/>
          <w14:textFill>
            <w14:solidFill>
              <w14:schemeClr w14:val="tx1"/>
            </w14:solidFill>
          </w14:textFill>
        </w:rPr>
        <w:t>根据</w:t>
      </w:r>
      <w:r>
        <w:rPr>
          <w:rFonts w:hint="default" w:ascii="Times New Roman" w:hAnsi="Times New Roman" w:cs="Times New Roman"/>
          <w:color w:val="000000" w:themeColor="text1"/>
          <w:kern w:val="0"/>
          <w:szCs w:val="21"/>
          <w:highlight w:val="none"/>
          <w14:textFill>
            <w14:solidFill>
              <w14:schemeClr w14:val="tx1"/>
            </w14:solidFill>
          </w14:textFill>
        </w:rPr>
        <w:t>谈判小组</w:t>
      </w:r>
      <w:r>
        <w:rPr>
          <w:rFonts w:hint="default" w:ascii="Times New Roman" w:hAnsi="Times New Roman" w:cs="Times New Roman"/>
          <w:bCs/>
          <w:color w:val="000000" w:themeColor="text1"/>
          <w:szCs w:val="21"/>
          <w:highlight w:val="none"/>
          <w14:textFill>
            <w14:solidFill>
              <w14:schemeClr w14:val="tx1"/>
            </w14:solidFill>
          </w14:textFill>
        </w:rPr>
        <w:t>书面形式要求</w:t>
      </w:r>
      <w:r>
        <w:rPr>
          <w:rFonts w:hint="default" w:ascii="Times New Roman" w:hAnsi="Times New Roman" w:cs="Times New Roman"/>
          <w:color w:val="000000" w:themeColor="text1"/>
          <w:kern w:val="0"/>
          <w:szCs w:val="21"/>
          <w:highlight w:val="none"/>
          <w14:textFill>
            <w14:solidFill>
              <w14:schemeClr w14:val="tx1"/>
            </w14:solidFill>
          </w14:textFill>
        </w:rPr>
        <w:t>提交的</w:t>
      </w:r>
      <w:r>
        <w:rPr>
          <w:rFonts w:hint="default" w:ascii="Times New Roman" w:hAnsi="Times New Roman" w:cs="Times New Roman"/>
          <w:color w:val="000000" w:themeColor="text1"/>
          <w:highlight w:val="none"/>
          <w14:textFill>
            <w14:solidFill>
              <w14:schemeClr w14:val="tx1"/>
            </w14:solidFill>
          </w14:textFill>
        </w:rPr>
        <w:t>最后报价(或者</w:t>
      </w:r>
      <w:r>
        <w:rPr>
          <w:rFonts w:hint="default" w:ascii="Times New Roman" w:hAnsi="Times New Roman" w:cs="Times New Roman"/>
          <w:bCs/>
          <w:color w:val="000000" w:themeColor="text1"/>
          <w:szCs w:val="21"/>
          <w:highlight w:val="none"/>
          <w14:textFill>
            <w14:solidFill>
              <w14:schemeClr w14:val="tx1"/>
            </w14:solidFill>
          </w14:textFill>
        </w:rPr>
        <w:t>重</w:t>
      </w:r>
      <w:r>
        <w:rPr>
          <w:rFonts w:hint="default" w:ascii="Times New Roman" w:hAnsi="Times New Roman" w:cs="Times New Roman"/>
          <w:color w:val="000000" w:themeColor="text1"/>
          <w:kern w:val="0"/>
          <w:szCs w:val="21"/>
          <w:highlight w:val="none"/>
          <w14:textFill>
            <w14:solidFill>
              <w14:schemeClr w14:val="tx1"/>
            </w14:solidFill>
          </w14:textFill>
        </w:rPr>
        <w:t>新提交的响应文件和</w:t>
      </w:r>
      <w:r>
        <w:rPr>
          <w:rFonts w:hint="default" w:ascii="Times New Roman" w:hAnsi="Times New Roman" w:cs="Times New Roman"/>
          <w:color w:val="000000" w:themeColor="text1"/>
          <w:highlight w:val="none"/>
          <w14:textFill>
            <w14:solidFill>
              <w14:schemeClr w14:val="tx1"/>
            </w14:solidFill>
          </w14:textFill>
        </w:rPr>
        <w:t>最后报价)是</w:t>
      </w:r>
      <w:r>
        <w:rPr>
          <w:rFonts w:hint="default" w:ascii="Times New Roman" w:hAnsi="Times New Roman" w:cs="Times New Roman"/>
          <w:color w:val="000000" w:themeColor="text1"/>
          <w:szCs w:val="21"/>
          <w:highlight w:val="none"/>
          <w14:textFill>
            <w14:solidFill>
              <w14:schemeClr w14:val="tx1"/>
            </w14:solidFill>
          </w14:textFill>
        </w:rPr>
        <w:t>响应文件</w:t>
      </w:r>
      <w:r>
        <w:rPr>
          <w:rFonts w:hint="default" w:ascii="Times New Roman" w:hAnsi="Times New Roman" w:cs="Times New Roman"/>
          <w:color w:val="000000" w:themeColor="text1"/>
          <w:highlight w:val="none"/>
          <w14:textFill>
            <w14:solidFill>
              <w14:schemeClr w14:val="tx1"/>
            </w14:solidFill>
          </w14:textFill>
        </w:rPr>
        <w:t>的有效组成部分。</w:t>
      </w:r>
    </w:p>
    <w:p w14:paraId="42BC11B6">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9.3</w:t>
      </w:r>
      <w:r>
        <w:rPr>
          <w:rFonts w:hint="default" w:ascii="Times New Roman" w:hAnsi="Times New Roman" w:cs="Times New Roman"/>
          <w:color w:val="000000" w:themeColor="text1"/>
          <w:szCs w:val="21"/>
          <w:highlight w:val="none"/>
          <w14:textFill>
            <w14:solidFill>
              <w14:schemeClr w14:val="tx1"/>
            </w14:solidFill>
          </w14:textFill>
        </w:rPr>
        <w:t>根据《政府采购法》第四十二条的规定，供应商无论成交与否，其响应文件不予退还。</w:t>
      </w:r>
    </w:p>
    <w:p w14:paraId="54C2A633">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10.供应商的资格更新证明材料</w:t>
      </w:r>
    </w:p>
    <w:p w14:paraId="2581AD13">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1FC52A3B">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67" w:name="_Toc107997848"/>
      <w:bookmarkStart w:id="368" w:name="_Toc107997975"/>
      <w:r>
        <w:rPr>
          <w:rFonts w:hint="default" w:ascii="Times New Roman" w:hAnsi="Times New Roman" w:eastAsia="黑体" w:cs="Times New Roman"/>
          <w:b/>
          <w:bCs/>
          <w:color w:val="000000" w:themeColor="text1"/>
          <w:sz w:val="24"/>
          <w:highlight w:val="none"/>
          <w14:textFill>
            <w14:solidFill>
              <w14:schemeClr w14:val="tx1"/>
            </w14:solidFill>
          </w14:textFill>
        </w:rPr>
        <w:t>11.报价要求</w:t>
      </w:r>
      <w:bookmarkEnd w:id="367"/>
      <w:bookmarkEnd w:id="368"/>
    </w:p>
    <w:p w14:paraId="6C277BB5">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11.1</w:t>
      </w:r>
      <w:r>
        <w:rPr>
          <w:rFonts w:hint="default" w:ascii="Times New Roman" w:hAnsi="Times New Roman" w:eastAsia="宋体" w:cs="Times New Roman"/>
          <w:color w:val="000000" w:themeColor="text1"/>
          <w:szCs w:val="21"/>
          <w:highlight w:val="none"/>
          <w14:textFill>
            <w14:solidFill>
              <w14:schemeClr w14:val="tx1"/>
            </w14:solidFill>
          </w14:textFill>
        </w:rPr>
        <w:t>供应商应当根据谈判文件第三章第一节“采购清单一览表”逐一报价；谈判文件第三章提供第二节“工程量清单”的，供应商应按其要求填写相应表格。</w:t>
      </w:r>
    </w:p>
    <w:p w14:paraId="5BA912C8">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11.2</w:t>
      </w:r>
      <w:r>
        <w:rPr>
          <w:rFonts w:hint="default" w:ascii="Times New Roman" w:hAnsi="Times New Roman" w:cs="Times New Roman"/>
          <w:color w:val="000000" w:themeColor="text1"/>
          <w:szCs w:val="21"/>
          <w:highlight w:val="none"/>
          <w14:textFill>
            <w14:solidFill>
              <w14:schemeClr w14:val="tx1"/>
            </w14:solidFill>
          </w14:textFill>
        </w:rPr>
        <w:t>在报价表、分项报价表填写报价时应注意下列要求：</w:t>
      </w:r>
    </w:p>
    <w:p w14:paraId="39FD8E63">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（1）采购需求要求的安装、调试、培训、售后服务及其他附加服务的费用。</w:t>
      </w:r>
    </w:p>
    <w:p w14:paraId="23F907FA">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（2）所有根据合同或其他原因应由供应商交纳和支付的税款和费用。</w:t>
      </w:r>
    </w:p>
    <w:p w14:paraId="28A197C7">
      <w:pPr>
        <w:adjustRightInd w:val="0"/>
        <w:snapToGrid w:val="0"/>
        <w:spacing w:line="360" w:lineRule="auto"/>
        <w:ind w:firstLine="42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（3）谈判文件指定交货地点的运输、保险、装卸费。</w:t>
      </w:r>
    </w:p>
    <w:p w14:paraId="7C094FAB">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（4）实行工程量清单报价的，供应商提交最后报价应与已标价工程量清单总报价一致。</w:t>
      </w:r>
    </w:p>
    <w:p w14:paraId="751F7F03">
      <w:pPr>
        <w:adjustRightInd w:val="0"/>
        <w:snapToGrid w:val="0"/>
        <w:spacing w:line="360" w:lineRule="auto"/>
        <w:ind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11.3</w:t>
      </w:r>
      <w:r>
        <w:rPr>
          <w:rFonts w:hint="default" w:ascii="Times New Roman" w:hAnsi="Times New Roman" w:cs="Times New Roman"/>
          <w:color w:val="000000" w:themeColor="text1"/>
          <w:kern w:val="0"/>
          <w:szCs w:val="21"/>
          <w:highlight w:val="none"/>
          <w:lang w:val="zh-CN"/>
          <w14:textFill>
            <w14:solidFill>
              <w14:schemeClr w14:val="tx1"/>
            </w14:solidFill>
          </w14:textFill>
        </w:rPr>
        <w:t>供应商</w:t>
      </w:r>
      <w:r>
        <w:rPr>
          <w:rFonts w:hint="default" w:ascii="Times New Roman" w:hAnsi="Times New Roman" w:cs="Times New Roman"/>
          <w:color w:val="000000" w:themeColor="text1"/>
          <w:kern w:val="0"/>
          <w:szCs w:val="21"/>
          <w:highlight w:val="none"/>
          <w14:textFill>
            <w14:solidFill>
              <w14:schemeClr w14:val="tx1"/>
            </w14:solidFill>
          </w14:textFill>
        </w:rPr>
        <w:t>的最后报价不得超过采购项目预算，</w:t>
      </w:r>
      <w:r>
        <w:rPr>
          <w:rFonts w:hint="default" w:ascii="Times New Roman" w:hAnsi="Times New Roman" w:cs="Times New Roman"/>
          <w:b/>
          <w:bCs/>
          <w:color w:val="000000" w:themeColor="text1"/>
          <w:kern w:val="0"/>
          <w:szCs w:val="21"/>
          <w:highlight w:val="none"/>
          <w14:textFill>
            <w14:solidFill>
              <w14:schemeClr w14:val="tx1"/>
            </w14:solidFill>
          </w14:textFill>
        </w:rPr>
        <w:t>否则，其响应无效</w:t>
      </w:r>
      <w:r>
        <w:rPr>
          <w:rFonts w:hint="default" w:ascii="Times New Roman" w:hAnsi="Times New Roman" w:cs="Times New Roman"/>
          <w:color w:val="000000" w:themeColor="text1"/>
          <w:kern w:val="0"/>
          <w:szCs w:val="21"/>
          <w:highlight w:val="none"/>
          <w14:textFill>
            <w14:solidFill>
              <w14:schemeClr w14:val="tx1"/>
            </w14:solidFill>
          </w14:textFill>
        </w:rPr>
        <w:t>。采购项目预算见</w:t>
      </w:r>
      <w:r>
        <w:rPr>
          <w:rFonts w:hint="default" w:ascii="Times New Roman" w:hAnsi="Times New Roman" w:cs="Times New Roman"/>
          <w:b/>
          <w:color w:val="000000" w:themeColor="text1"/>
          <w:kern w:val="0"/>
          <w:szCs w:val="21"/>
          <w:highlight w:val="none"/>
          <w14:textFill>
            <w14:solidFill>
              <w14:schemeClr w14:val="tx1"/>
            </w14:solidFill>
          </w14:textFill>
        </w:rPr>
        <w:t>【谈判须知前附表】</w:t>
      </w:r>
      <w:r>
        <w:rPr>
          <w:rFonts w:hint="default" w:ascii="Times New Roman" w:hAnsi="Times New Roman" w:cs="Times New Roman"/>
          <w:color w:val="000000" w:themeColor="text1"/>
          <w:kern w:val="0"/>
          <w:szCs w:val="21"/>
          <w:highlight w:val="none"/>
          <w14:textFill>
            <w14:solidFill>
              <w14:schemeClr w14:val="tx1"/>
            </w14:solidFill>
          </w14:textFill>
        </w:rPr>
        <w:t>。</w:t>
      </w:r>
    </w:p>
    <w:p w14:paraId="3542A897">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11.4采用固定价格定价方式的采购项目，供应商提交的最后报价在合同执行过程中是固定不变的，不得以任何理由予以变更。以可变动价格提交的报价将被认为是非实质响应而被拒绝。</w:t>
      </w:r>
    </w:p>
    <w:p w14:paraId="47D6B2BF">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11.5采购人不接受供应商给予的赠品、回扣或者与采购无关的其他商品、服务。</w:t>
      </w:r>
    </w:p>
    <w:p w14:paraId="13D2B9FB">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11.6报价的其他要求见</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w:t>
      </w:r>
    </w:p>
    <w:p w14:paraId="15CCC0E5">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69" w:name="_Toc107997849"/>
      <w:bookmarkStart w:id="370" w:name="_Toc107997976"/>
      <w:r>
        <w:rPr>
          <w:rFonts w:hint="default" w:ascii="Times New Roman" w:hAnsi="Times New Roman" w:eastAsia="黑体" w:cs="Times New Roman"/>
          <w:b/>
          <w:bCs/>
          <w:color w:val="000000" w:themeColor="text1"/>
          <w:sz w:val="24"/>
          <w:highlight w:val="none"/>
          <w14:textFill>
            <w14:solidFill>
              <w14:schemeClr w14:val="tx1"/>
            </w14:solidFill>
          </w14:textFill>
        </w:rPr>
        <w:t>12.谈判保证金</w:t>
      </w:r>
      <w:bookmarkEnd w:id="369"/>
      <w:bookmarkEnd w:id="370"/>
    </w:p>
    <w:p w14:paraId="65F23030">
      <w:pPr>
        <w:autoSpaceDE w:val="0"/>
        <w:autoSpaceDN w:val="0"/>
        <w:adjustRightInd w:val="0"/>
        <w:spacing w:line="360" w:lineRule="auto"/>
        <w:ind w:firstLine="420" w:firstLineChars="200"/>
        <w:jc w:val="left"/>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12.1</w:t>
      </w:r>
      <w:r>
        <w:rPr>
          <w:rFonts w:hint="default" w:ascii="Times New Roman" w:hAnsi="Times New Roman" w:cs="Times New Roman"/>
          <w:bCs/>
          <w:color w:val="000000" w:themeColor="text1"/>
          <w:highlight w:val="none"/>
          <w14:textFill>
            <w14:solidFill>
              <w14:schemeClr w14:val="tx1"/>
            </w14:solidFill>
          </w14:textFill>
        </w:rPr>
        <w:t>谈判文件要求供应商提交谈判保证金的，供应商应按</w:t>
      </w:r>
      <w:r>
        <w:rPr>
          <w:rFonts w:hint="default" w:ascii="Times New Roman" w:hAnsi="Times New Roman" w:cs="Times New Roman"/>
          <w:b/>
          <w:bCs/>
          <w:color w:val="000000" w:themeColor="text1"/>
          <w:highlight w:val="none"/>
          <w14:textFill>
            <w14:solidFill>
              <w14:schemeClr w14:val="tx1"/>
            </w14:solidFill>
          </w14:textFill>
        </w:rPr>
        <w:t>【谈判须知前附表】</w:t>
      </w:r>
      <w:r>
        <w:rPr>
          <w:rFonts w:hint="default" w:ascii="Times New Roman" w:hAnsi="Times New Roman" w:cs="Times New Roman"/>
          <w:bCs/>
          <w:color w:val="000000" w:themeColor="text1"/>
          <w:highlight w:val="none"/>
          <w14:textFill>
            <w14:solidFill>
              <w14:schemeClr w14:val="tx1"/>
            </w14:solidFill>
          </w14:textFill>
        </w:rPr>
        <w:t>规定，在提交首次响应文件的截止时间前提交谈判保证金。谈判保证金有效期应当与响应文件有效期一致。供应商可用保函替代谈判保证金。</w:t>
      </w:r>
    </w:p>
    <w:p w14:paraId="2758C496">
      <w:pPr>
        <w:adjustRightInd w:val="0"/>
        <w:snapToGrid w:val="0"/>
        <w:spacing w:line="360" w:lineRule="auto"/>
        <w:ind w:firstLine="420" w:firstLineChars="200"/>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12.2</w:t>
      </w:r>
      <w:r>
        <w:rPr>
          <w:rFonts w:hint="default" w:ascii="Times New Roman" w:hAnsi="Times New Roman" w:cs="Times New Roman"/>
          <w:color w:val="000000" w:themeColor="text1"/>
          <w:kern w:val="0"/>
          <w:szCs w:val="21"/>
          <w:highlight w:val="none"/>
          <w:lang w:val="zh-CN"/>
          <w14:textFill>
            <w14:solidFill>
              <w14:schemeClr w14:val="tx1"/>
            </w14:solidFill>
          </w14:textFill>
        </w:rPr>
        <w:t>供应商为联合体的，可以由联合体中的一方或者共同交纳</w:t>
      </w:r>
      <w:r>
        <w:rPr>
          <w:rFonts w:hint="default" w:ascii="Times New Roman" w:hAnsi="Times New Roman" w:cs="Times New Roman"/>
          <w:bCs/>
          <w:color w:val="000000" w:themeColor="text1"/>
          <w:highlight w:val="none"/>
          <w14:textFill>
            <w14:solidFill>
              <w14:schemeClr w14:val="tx1"/>
            </w14:solidFill>
          </w14:textFill>
        </w:rPr>
        <w:t>谈判</w:t>
      </w:r>
      <w:r>
        <w:rPr>
          <w:rFonts w:hint="default" w:ascii="Times New Roman" w:hAnsi="Times New Roman" w:cs="Times New Roman"/>
          <w:color w:val="000000" w:themeColor="text1"/>
          <w:kern w:val="0"/>
          <w:szCs w:val="21"/>
          <w:highlight w:val="none"/>
          <w:lang w:val="zh-CN"/>
          <w14:textFill>
            <w14:solidFill>
              <w14:schemeClr w14:val="tx1"/>
            </w14:solidFill>
          </w14:textFill>
        </w:rPr>
        <w:t>保证金，其交纳的</w:t>
      </w:r>
      <w:r>
        <w:rPr>
          <w:rFonts w:hint="default" w:ascii="Times New Roman" w:hAnsi="Times New Roman" w:cs="Times New Roman"/>
          <w:bCs/>
          <w:color w:val="000000" w:themeColor="text1"/>
          <w:highlight w:val="none"/>
          <w14:textFill>
            <w14:solidFill>
              <w14:schemeClr w14:val="tx1"/>
            </w14:solidFill>
          </w14:textFill>
        </w:rPr>
        <w:t>谈判</w:t>
      </w:r>
      <w:r>
        <w:rPr>
          <w:rFonts w:hint="default" w:ascii="Times New Roman" w:hAnsi="Times New Roman" w:cs="Times New Roman"/>
          <w:color w:val="000000" w:themeColor="text1"/>
          <w:kern w:val="0"/>
          <w:szCs w:val="21"/>
          <w:highlight w:val="none"/>
          <w:lang w:val="zh-CN"/>
          <w14:textFill>
            <w14:solidFill>
              <w14:schemeClr w14:val="tx1"/>
            </w14:solidFill>
          </w14:textFill>
        </w:rPr>
        <w:t>保证金，对联合体各方均具有约束力。</w:t>
      </w:r>
    </w:p>
    <w:p w14:paraId="4B5FB086">
      <w:pPr>
        <w:tabs>
          <w:tab w:val="left" w:pos="6300"/>
        </w:tabs>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12.3采购人、采购代理机构在成交通知书发出后5个工作日内退还未成交供应商的</w:t>
      </w:r>
      <w:r>
        <w:rPr>
          <w:rFonts w:hint="default" w:ascii="Times New Roman" w:hAnsi="Times New Roman" w:cs="Times New Roman"/>
          <w:bCs/>
          <w:color w:val="000000" w:themeColor="text1"/>
          <w:szCs w:val="2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保证金；在采购合同签订后5个工作日内退还成交供应商的</w:t>
      </w:r>
      <w:r>
        <w:rPr>
          <w:rFonts w:hint="default" w:ascii="Times New Roman" w:hAnsi="Times New Roman" w:cs="Times New Roman"/>
          <w:bCs/>
          <w:color w:val="000000" w:themeColor="text1"/>
          <w:szCs w:val="2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保证金，但因供应商自身原因导致无法及时退还的除外。</w:t>
      </w:r>
    </w:p>
    <w:p w14:paraId="5B77AFD0">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12.4</w:t>
      </w:r>
      <w:r>
        <w:rPr>
          <w:rFonts w:hint="default" w:ascii="Times New Roman" w:hAnsi="Times New Roman" w:cs="Times New Roman"/>
          <w:bCs/>
          <w:color w:val="000000" w:themeColor="text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保证金的退还按以下规定办理：</w:t>
      </w:r>
    </w:p>
    <w:p w14:paraId="086EDF11">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（1）成交供应商的</w:t>
      </w:r>
      <w:r>
        <w:rPr>
          <w:rFonts w:hint="default" w:ascii="Times New Roman" w:hAnsi="Times New Roman" w:cs="Times New Roman"/>
          <w:bCs/>
          <w:color w:val="000000" w:themeColor="text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保证金，在政府采购合同签订后5个工作日内退还。</w:t>
      </w:r>
    </w:p>
    <w:p w14:paraId="59F12F2C">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（2）未成交供应商的</w:t>
      </w:r>
      <w:r>
        <w:rPr>
          <w:rFonts w:hint="default" w:ascii="Times New Roman" w:hAnsi="Times New Roman" w:cs="Times New Roman"/>
          <w:bCs/>
          <w:color w:val="000000" w:themeColor="text1"/>
          <w:highlight w:val="none"/>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保证金，在成交通知书发出后5个工作日内退还。</w:t>
      </w:r>
    </w:p>
    <w:p w14:paraId="5D31FDD2">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（3）终止竞争性谈判采购活动的，在发布项目终止公告后5个工作日内退还。</w:t>
      </w:r>
    </w:p>
    <w:p w14:paraId="70B101F3">
      <w:pPr>
        <w:adjustRightInd w:val="0"/>
        <w:snapToGrid w:val="0"/>
        <w:spacing w:line="360" w:lineRule="auto"/>
        <w:ind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12.5</w:t>
      </w:r>
      <w:r>
        <w:rPr>
          <w:rFonts w:hint="default" w:ascii="Times New Roman" w:hAnsi="Times New Roman" w:cs="Times New Roman"/>
          <w:color w:val="000000" w:themeColor="text1"/>
          <w:kern w:val="0"/>
          <w:szCs w:val="21"/>
          <w:highlight w:val="none"/>
          <w14:textFill>
            <w14:solidFill>
              <w14:schemeClr w14:val="tx1"/>
            </w14:solidFill>
          </w14:textFill>
        </w:rPr>
        <w:t>有下列情形之一的，</w:t>
      </w:r>
      <w:r>
        <w:rPr>
          <w:rFonts w:hint="default" w:ascii="Times New Roman" w:hAnsi="Times New Roman" w:cs="Times New Roman"/>
          <w:bCs/>
          <w:color w:val="000000" w:themeColor="text1"/>
          <w:szCs w:val="21"/>
          <w:highlight w:val="none"/>
          <w14:textFill>
            <w14:solidFill>
              <w14:schemeClr w14:val="tx1"/>
            </w14:solidFill>
          </w14:textFill>
        </w:rPr>
        <w:t>谈判</w:t>
      </w:r>
      <w:r>
        <w:rPr>
          <w:rFonts w:hint="default" w:ascii="Times New Roman" w:hAnsi="Times New Roman" w:cs="Times New Roman"/>
          <w:color w:val="000000" w:themeColor="text1"/>
          <w:kern w:val="0"/>
          <w:szCs w:val="21"/>
          <w:highlight w:val="none"/>
          <w14:textFill>
            <w14:solidFill>
              <w14:schemeClr w14:val="tx1"/>
            </w14:solidFill>
          </w14:textFill>
        </w:rPr>
        <w:t>保证金不予退还，并上缴本级财政国库：</w:t>
      </w:r>
    </w:p>
    <w:p w14:paraId="0B8FBA98">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（1）供应商在提交响应文件截止时间后撤回响应文件的；</w:t>
      </w:r>
    </w:p>
    <w:p w14:paraId="6C8721B2">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（2）供应商在响应文件中提供虚假材料的；</w:t>
      </w:r>
    </w:p>
    <w:p w14:paraId="07B119CD">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（3）除因不可抗力或谈判文件认可的情形以外，成交供应商不与采购人签订合同的；</w:t>
      </w:r>
    </w:p>
    <w:p w14:paraId="3486513F">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（4）供应商与采购人、其他供应商或者采购代理机构恶意串通的；</w:t>
      </w:r>
    </w:p>
    <w:p w14:paraId="7A73FBE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（5）谈判文件规定的其他情形。</w:t>
      </w:r>
    </w:p>
    <w:p w14:paraId="541AE5D5">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71" w:name="_Toc107997977"/>
      <w:bookmarkStart w:id="372" w:name="_Toc107997850"/>
      <w:r>
        <w:rPr>
          <w:rFonts w:hint="default" w:ascii="Times New Roman" w:hAnsi="Times New Roman" w:eastAsia="黑体" w:cs="Times New Roman"/>
          <w:b/>
          <w:bCs/>
          <w:color w:val="000000" w:themeColor="text1"/>
          <w:sz w:val="24"/>
          <w:highlight w:val="none"/>
          <w14:textFill>
            <w14:solidFill>
              <w14:schemeClr w14:val="tx1"/>
            </w14:solidFill>
          </w14:textFill>
        </w:rPr>
        <w:t>13.响应文件有效期</w:t>
      </w:r>
      <w:bookmarkEnd w:id="371"/>
      <w:bookmarkEnd w:id="372"/>
    </w:p>
    <w:p w14:paraId="288E9056">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13.1响应文件</w:t>
      </w:r>
      <w:r>
        <w:rPr>
          <w:rFonts w:hint="default" w:ascii="Times New Roman" w:hAnsi="Times New Roman" w:cs="Times New Roman"/>
          <w:color w:val="000000" w:themeColor="text1"/>
          <w:szCs w:val="21"/>
          <w:highlight w:val="none"/>
          <w14:textFill>
            <w14:solidFill>
              <w14:schemeClr w14:val="tx1"/>
            </w14:solidFill>
          </w14:textFill>
        </w:rPr>
        <w:t>有效期见</w:t>
      </w:r>
      <w:r>
        <w:rPr>
          <w:rFonts w:hint="default" w:ascii="Times New Roman" w:hAnsi="Times New Roman" w:cs="Times New Roman"/>
          <w:b/>
          <w:bCs/>
          <w:color w:val="000000" w:themeColor="text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，在此期间</w:t>
      </w:r>
      <w:r>
        <w:rPr>
          <w:rFonts w:hint="default" w:ascii="Times New Roman" w:hAnsi="Times New Roman" w:cs="Times New Roman"/>
          <w:color w:val="000000" w:themeColor="text1"/>
          <w:highlight w:val="none"/>
          <w14:textFill>
            <w14:solidFill>
              <w14:schemeClr w14:val="tx1"/>
            </w14:solidFill>
          </w14:textFill>
        </w:rPr>
        <w:t>响应</w:t>
      </w:r>
      <w:r>
        <w:rPr>
          <w:rFonts w:hint="default" w:ascii="Times New Roman" w:hAnsi="Times New Roman" w:cs="Times New Roman"/>
          <w:color w:val="000000" w:themeColor="text1"/>
          <w:szCs w:val="21"/>
          <w:highlight w:val="none"/>
          <w14:textFill>
            <w14:solidFill>
              <w14:schemeClr w14:val="tx1"/>
            </w14:solidFill>
          </w14:textFill>
        </w:rPr>
        <w:t>文件对供应商具有法律约束力，</w:t>
      </w:r>
      <w:r>
        <w:rPr>
          <w:rFonts w:hint="default" w:ascii="Times New Roman" w:hAnsi="Times New Roman" w:cs="Times New Roman"/>
          <w:color w:val="000000" w:themeColor="text1"/>
          <w:highlight w:val="none"/>
          <w14:textFill>
            <w14:solidFill>
              <w14:schemeClr w14:val="tx1"/>
            </w14:solidFill>
          </w14:textFill>
        </w:rPr>
        <w:t>从</w:t>
      </w:r>
      <w:r>
        <w:rPr>
          <w:rFonts w:hint="default" w:ascii="Times New Roman" w:hAnsi="Times New Roman" w:cs="Times New Roman"/>
          <w:color w:val="000000" w:themeColor="text1"/>
          <w:kern w:val="0"/>
          <w:szCs w:val="21"/>
          <w:highlight w:val="none"/>
          <w14:textFill>
            <w14:solidFill>
              <w14:schemeClr w14:val="tx1"/>
            </w14:solidFill>
          </w14:textFill>
        </w:rPr>
        <w:t>提交首次响应文件截止时间</w:t>
      </w:r>
      <w:r>
        <w:rPr>
          <w:rFonts w:hint="default" w:ascii="Times New Roman" w:hAnsi="Times New Roman" w:cs="Times New Roman"/>
          <w:color w:val="000000" w:themeColor="text1"/>
          <w:highlight w:val="none"/>
          <w14:textFill>
            <w14:solidFill>
              <w14:schemeClr w14:val="tx1"/>
            </w14:solidFill>
          </w14:textFill>
        </w:rPr>
        <w:t>之日起计算。响应文件有效期不足的</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其</w:t>
      </w:r>
      <w:r>
        <w:rPr>
          <w:rFonts w:hint="default" w:ascii="Times New Roman" w:hAnsi="Times New Roman" w:cs="Times New Roman"/>
          <w:b/>
          <w:bCs/>
          <w:color w:val="000000" w:themeColor="text1"/>
          <w:highlight w:val="none"/>
          <w14:textFill>
            <w14:solidFill>
              <w14:schemeClr w14:val="tx1"/>
            </w14:solidFill>
          </w14:textFill>
        </w:rPr>
        <w:t>响应无效</w:t>
      </w:r>
      <w:r>
        <w:rPr>
          <w:rFonts w:hint="default" w:ascii="Times New Roman" w:hAnsi="Times New Roman" w:cs="Times New Roman"/>
          <w:color w:val="000000" w:themeColor="text1"/>
          <w:highlight w:val="none"/>
          <w14:textFill>
            <w14:solidFill>
              <w14:schemeClr w14:val="tx1"/>
            </w14:solidFill>
          </w14:textFill>
        </w:rPr>
        <w:t>。</w:t>
      </w:r>
    </w:p>
    <w:p w14:paraId="018E31D9">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73" w:name="_Toc107997978"/>
      <w:bookmarkStart w:id="374" w:name="_Toc107997851"/>
      <w:r>
        <w:rPr>
          <w:rFonts w:hint="default" w:ascii="Times New Roman" w:hAnsi="Times New Roman" w:eastAsia="黑体" w:cs="Times New Roman"/>
          <w:b/>
          <w:bCs/>
          <w:color w:val="000000" w:themeColor="text1"/>
          <w:sz w:val="24"/>
          <w:highlight w:val="none"/>
          <w14:textFill>
            <w14:solidFill>
              <w14:schemeClr w14:val="tx1"/>
            </w14:solidFill>
          </w14:textFill>
        </w:rPr>
        <w:t>14.分包</w:t>
      </w:r>
      <w:bookmarkEnd w:id="373"/>
      <w:bookmarkEnd w:id="374"/>
    </w:p>
    <w:p w14:paraId="52C5949C">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14.1【</w:t>
      </w:r>
      <w:r>
        <w:rPr>
          <w:rFonts w:hint="default" w:ascii="Times New Roman" w:hAnsi="Times New Roman" w:eastAsia="宋体" w:cs="Times New Roman"/>
          <w:b/>
          <w:bCs/>
          <w:color w:val="000000" w:themeColor="text1"/>
          <w:szCs w:val="21"/>
          <w:highlight w:val="none"/>
          <w14:textFill>
            <w14:solidFill>
              <w14:schemeClr w14:val="tx1"/>
            </w14:solidFill>
          </w14:textFill>
        </w:rPr>
        <w:t>谈判须知前附表</w:t>
      </w:r>
      <w:r>
        <w:rPr>
          <w:rFonts w:hint="default" w:ascii="Times New Roman" w:hAnsi="Times New Roman" w:eastAsia="宋体" w:cs="Times New Roman"/>
          <w:color w:val="000000" w:themeColor="text1"/>
          <w:szCs w:val="21"/>
          <w:highlight w:val="none"/>
          <w14:textFill>
            <w14:solidFill>
              <w14:schemeClr w14:val="tx1"/>
            </w14:solidFill>
          </w14:textFill>
        </w:rPr>
        <w:t>】规定供应商分包的，供应商分包承诺不符合竞争性谈判文件中有关分包规定的，</w:t>
      </w:r>
      <w:r>
        <w:rPr>
          <w:rFonts w:hint="default" w:ascii="Times New Roman" w:hAnsi="Times New Roman" w:eastAsia="宋体" w:cs="Times New Roman"/>
          <w:b/>
          <w:bCs/>
          <w:color w:val="000000" w:themeColor="text1"/>
          <w:szCs w:val="21"/>
          <w:highlight w:val="none"/>
          <w14:textFill>
            <w14:solidFill>
              <w14:schemeClr w14:val="tx1"/>
            </w14:solidFill>
          </w14:textFill>
        </w:rPr>
        <w:t>其响应无效</w:t>
      </w:r>
      <w:r>
        <w:rPr>
          <w:rFonts w:hint="default" w:ascii="Times New Roman" w:hAnsi="Times New Roman" w:eastAsia="宋体" w:cs="Times New Roman"/>
          <w:color w:val="000000" w:themeColor="text1"/>
          <w:szCs w:val="21"/>
          <w:highlight w:val="none"/>
          <w14:textFill>
            <w14:solidFill>
              <w14:schemeClr w14:val="tx1"/>
            </w14:solidFill>
          </w14:textFill>
        </w:rPr>
        <w:t>。</w:t>
      </w:r>
    </w:p>
    <w:p w14:paraId="78D56508">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14.2供应商应在签订政府采购合同前向采购人提供分包合同，否则，采购人有权拒绝签订采购合同。</w:t>
      </w:r>
    </w:p>
    <w:p w14:paraId="29EF07EE">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14.3享受中小企业扶持政策获得政府采购合同的，小微企业不得将合同分包给大中型企业，中型企业不得将合同分包给大型企业。</w:t>
      </w:r>
    </w:p>
    <w:p w14:paraId="2DD9B1A5">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14.4分包供应商不得再次分包。</w:t>
      </w:r>
    </w:p>
    <w:p w14:paraId="0A61B821">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75" w:name="_Toc107997979"/>
      <w:bookmarkStart w:id="376" w:name="_Toc107997852"/>
      <w:r>
        <w:rPr>
          <w:rFonts w:hint="default" w:ascii="Times New Roman" w:hAnsi="Times New Roman" w:eastAsia="黑体" w:cs="Times New Roman"/>
          <w:b/>
          <w:bCs/>
          <w:color w:val="000000" w:themeColor="text1"/>
          <w:sz w:val="24"/>
          <w:highlight w:val="none"/>
          <w14:textFill>
            <w14:solidFill>
              <w14:schemeClr w14:val="tx1"/>
            </w14:solidFill>
          </w14:textFill>
        </w:rPr>
        <w:t>15.响应文件的签署及规定</w:t>
      </w:r>
      <w:bookmarkEnd w:id="375"/>
      <w:bookmarkEnd w:id="376"/>
    </w:p>
    <w:p w14:paraId="50208528">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Cs w:val="21"/>
          <w:highlight w:val="none"/>
          <w14:textFill>
            <w14:solidFill>
              <w14:schemeClr w14:val="tx1"/>
            </w14:solidFill>
          </w14:textFill>
        </w:rPr>
        <w:t>.1</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文件份数见【</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须知前附表】。</w:t>
      </w:r>
    </w:p>
    <w:p w14:paraId="23F82E89">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Cs w:val="21"/>
          <w:highlight w:val="none"/>
          <w14:textFill>
            <w14:solidFill>
              <w14:schemeClr w14:val="tx1"/>
            </w14:solidFill>
          </w14:textFill>
        </w:rPr>
        <w:t>.2</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文件的签署要求：</w:t>
      </w:r>
    </w:p>
    <w:p w14:paraId="2F827DA0">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（1）供应商确认</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参加谈判会议</w:t>
      </w:r>
      <w:r>
        <w:rPr>
          <w:rFonts w:hint="default" w:ascii="Times New Roman" w:hAnsi="Times New Roman" w:eastAsia="宋体" w:cs="Times New Roman"/>
          <w:color w:val="000000" w:themeColor="text1"/>
          <w:kern w:val="0"/>
          <w:szCs w:val="21"/>
          <w:highlight w:val="none"/>
          <w14:textFill>
            <w14:solidFill>
              <w14:schemeClr w14:val="tx1"/>
            </w14:solidFill>
          </w14:textFill>
        </w:rPr>
        <w:t>后，应从</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株洲市采购交易系统（https://cgjy.zzzyjy.cn:38081/TPBidder/）</w:t>
      </w:r>
      <w:r>
        <w:rPr>
          <w:rFonts w:hint="default" w:ascii="Times New Roman" w:hAnsi="Times New Roman" w:eastAsia="宋体" w:cs="Times New Roman"/>
          <w:color w:val="000000" w:themeColor="text1"/>
          <w:kern w:val="0"/>
          <w:szCs w:val="21"/>
          <w:highlight w:val="none"/>
          <w14:textFill>
            <w14:solidFill>
              <w14:schemeClr w14:val="tx1"/>
            </w14:solidFill>
          </w14:textFill>
        </w:rPr>
        <w:t>上下载“投标文件制作</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软件</w:t>
      </w:r>
      <w:r>
        <w:rPr>
          <w:rFonts w:hint="default" w:ascii="Times New Roman" w:hAnsi="Times New Roman" w:eastAsia="宋体" w:cs="Times New Roman"/>
          <w:color w:val="000000" w:themeColor="text1"/>
          <w:kern w:val="0"/>
          <w:szCs w:val="21"/>
          <w:highlight w:val="none"/>
          <w14:textFill>
            <w14:solidFill>
              <w14:schemeClr w14:val="tx1"/>
            </w14:solidFill>
          </w14:textFill>
        </w:rPr>
        <w:t>”，并使用此工具编制电子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文件，否则将影响电子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文件的上传而导致</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无效。</w:t>
      </w:r>
    </w:p>
    <w:p w14:paraId="625CA8D0">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（2）供应商应按照电子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文件要求制作</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文件，并进行电子签章。</w:t>
      </w:r>
    </w:p>
    <w:p w14:paraId="3704E4E3">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（3）供应商因自身原因导致电子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文件无法导入电子评标系统的，该</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文件视为无效</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w:t>
      </w:r>
    </w:p>
    <w:p w14:paraId="1CE14ADB">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（4）电子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谈判文件和响应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文件具有法律效力，若</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文件与</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文件要求不一致，其内容影响</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成交</w:t>
      </w:r>
      <w:r>
        <w:rPr>
          <w:rFonts w:hint="default" w:ascii="Times New Roman" w:hAnsi="Times New Roman" w:eastAsia="宋体" w:cs="Times New Roman"/>
          <w:color w:val="000000" w:themeColor="text1"/>
          <w:kern w:val="0"/>
          <w:szCs w:val="21"/>
          <w:highlight w:val="none"/>
          <w14:textFill>
            <w14:solidFill>
              <w14:schemeClr w14:val="tx1"/>
            </w14:solidFill>
          </w14:textFill>
        </w:rPr>
        <w:t>结果时，责任由</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自行承担。</w:t>
      </w:r>
    </w:p>
    <w:p w14:paraId="7C375B56">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yellow"/>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（5）电子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化采购</w:t>
      </w:r>
      <w:r>
        <w:rPr>
          <w:rFonts w:hint="default" w:ascii="Times New Roman" w:hAnsi="Times New Roman" w:eastAsia="宋体" w:cs="Times New Roman"/>
          <w:color w:val="000000" w:themeColor="text1"/>
          <w:kern w:val="0"/>
          <w:szCs w:val="21"/>
          <w:highlight w:val="none"/>
          <w14:textFill>
            <w14:solidFill>
              <w14:schemeClr w14:val="tx1"/>
            </w14:solidFill>
          </w14:textFill>
        </w:rPr>
        <w:t>项目的</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文件均以上传至交易系统的电子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文件为准</w:t>
      </w:r>
      <w:r>
        <w:rPr>
          <w:rFonts w:hint="default" w:ascii="Times New Roman" w:hAnsi="Times New Roman" w:cs="Times New Roman"/>
          <w:color w:val="000000" w:themeColor="text1"/>
          <w:szCs w:val="21"/>
          <w:highlight w:val="none"/>
          <w14:textFill>
            <w14:solidFill>
              <w14:schemeClr w14:val="tx1"/>
            </w14:solidFill>
          </w14:textFill>
        </w:rPr>
        <w:t>。</w:t>
      </w:r>
    </w:p>
    <w:p w14:paraId="47A2ED30">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377" w:name="_Toc21175"/>
      <w:bookmarkStart w:id="378" w:name="_Toc15292"/>
      <w:bookmarkStart w:id="379" w:name="_Toc107997980"/>
      <w:r>
        <w:rPr>
          <w:rFonts w:hint="default" w:ascii="Times New Roman" w:hAnsi="Times New Roman" w:eastAsia="黑体" w:cs="Times New Roman"/>
          <w:b/>
          <w:bCs/>
          <w:color w:val="000000" w:themeColor="text1"/>
          <w:sz w:val="28"/>
          <w:szCs w:val="28"/>
          <w:highlight w:val="none"/>
          <w14:textFill>
            <w14:solidFill>
              <w14:schemeClr w14:val="tx1"/>
            </w14:solidFill>
          </w14:textFill>
        </w:rPr>
        <w:t>四、响应文件的递交</w:t>
      </w:r>
      <w:bookmarkEnd w:id="377"/>
      <w:bookmarkEnd w:id="378"/>
      <w:bookmarkEnd w:id="379"/>
    </w:p>
    <w:p w14:paraId="25772C20">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80" w:name="_Toc107997981"/>
      <w:bookmarkStart w:id="381" w:name="_Toc107997854"/>
      <w:r>
        <w:rPr>
          <w:rFonts w:hint="default" w:ascii="Times New Roman" w:hAnsi="Times New Roman" w:eastAsia="黑体" w:cs="Times New Roman"/>
          <w:b/>
          <w:bCs/>
          <w:color w:val="000000" w:themeColor="text1"/>
          <w:sz w:val="24"/>
          <w:highlight w:val="none"/>
          <w14:textFill>
            <w14:solidFill>
              <w14:schemeClr w14:val="tx1"/>
            </w14:solidFill>
          </w14:textFill>
        </w:rPr>
        <w:t>16.响应文件的密封和标记</w:t>
      </w:r>
      <w:bookmarkEnd w:id="380"/>
      <w:bookmarkEnd w:id="381"/>
    </w:p>
    <w:p w14:paraId="3976FD0C">
      <w:pPr>
        <w:numPr>
          <w:ilvl w:val="0"/>
          <w:numId w:val="0"/>
        </w:numPr>
        <w:adjustRightInd/>
        <w:snapToGrid/>
        <w:spacing w:beforeLines="0" w:line="360" w:lineRule="auto"/>
        <w:ind w:firstLine="0" w:firstLineChars="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eastAsiaTheme="minorEastAsia"/>
          <w:color w:val="000000" w:themeColor="text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 xml:space="preserve">  16.1</w:t>
      </w:r>
      <w:r>
        <w:rPr>
          <w:rFonts w:hint="default" w:ascii="Times New Roman" w:hAnsi="Times New Roman" w:eastAsia="宋体" w:cs="Times New Roman"/>
          <w:color w:val="000000" w:themeColor="text1"/>
          <w:kern w:val="0"/>
          <w:highlight w:val="none"/>
          <w14:textFill>
            <w14:solidFill>
              <w14:schemeClr w14:val="tx1"/>
            </w14:solidFill>
          </w14:textFill>
        </w:rPr>
        <w:t>电子版</w:t>
      </w: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highlight w:val="none"/>
          <w14:textFill>
            <w14:solidFill>
              <w14:schemeClr w14:val="tx1"/>
            </w14:solidFill>
          </w14:textFill>
        </w:rPr>
        <w:t>文件的密封和标记要求：通过数字证书进行签章、加密。未按要求签章、加密的</w:t>
      </w: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highlight w:val="none"/>
          <w14:textFill>
            <w14:solidFill>
              <w14:schemeClr w14:val="tx1"/>
            </w14:solidFill>
          </w14:textFill>
        </w:rPr>
        <w:t>文件，系统将无法接收, 采购代理机构不予受理</w:t>
      </w:r>
      <w:r>
        <w:rPr>
          <w:rFonts w:hint="default" w:ascii="Times New Roman" w:hAnsi="Times New Roman" w:eastAsia="宋体" w:cs="Times New Roman"/>
          <w:color w:val="000000" w:themeColor="text1"/>
          <w:kern w:val="0"/>
          <w:highlight w:val="none"/>
          <w:lang w:eastAsia="zh-CN"/>
          <w14:textFill>
            <w14:solidFill>
              <w14:schemeClr w14:val="tx1"/>
            </w14:solidFill>
          </w14:textFill>
        </w:rPr>
        <w:t>。</w:t>
      </w:r>
    </w:p>
    <w:p w14:paraId="0D481918">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82" w:name="_Toc107997855"/>
      <w:bookmarkStart w:id="383" w:name="_Toc107997982"/>
      <w:r>
        <w:rPr>
          <w:rFonts w:hint="default" w:ascii="Times New Roman" w:hAnsi="Times New Roman" w:eastAsia="黑体" w:cs="Times New Roman"/>
          <w:b/>
          <w:bCs/>
          <w:color w:val="000000" w:themeColor="text1"/>
          <w:sz w:val="24"/>
          <w:highlight w:val="none"/>
          <w14:textFill>
            <w14:solidFill>
              <w14:schemeClr w14:val="tx1"/>
            </w14:solidFill>
          </w14:textFill>
        </w:rPr>
        <w:t>17.响应文件的</w:t>
      </w:r>
      <w:r>
        <w:rPr>
          <w:rFonts w:hint="default" w:ascii="Times New Roman" w:hAnsi="Times New Roman" w:eastAsia="黑体" w:cs="Times New Roman"/>
          <w:b/>
          <w:bCs/>
          <w:color w:val="000000" w:themeColor="text1"/>
          <w:kern w:val="0"/>
          <w:sz w:val="24"/>
          <w:highlight w:val="none"/>
          <w:lang w:val="zh-CN"/>
          <w14:textFill>
            <w14:solidFill>
              <w14:schemeClr w14:val="tx1"/>
            </w14:solidFill>
          </w14:textFill>
        </w:rPr>
        <w:t>补充、修改或者撤回</w:t>
      </w:r>
      <w:bookmarkEnd w:id="382"/>
      <w:bookmarkEnd w:id="383"/>
    </w:p>
    <w:p w14:paraId="1A1066CD">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17.1</w:t>
      </w:r>
      <w:r>
        <w:rPr>
          <w:rFonts w:hint="default" w:ascii="Times New Roman" w:hAnsi="Times New Roman" w:cs="Times New Roman"/>
          <w:color w:val="000000" w:themeColor="text1"/>
          <w:kern w:val="0"/>
          <w:szCs w:val="21"/>
          <w:highlight w:val="none"/>
          <w14:textFill>
            <w14:solidFill>
              <w14:schemeClr w14:val="tx1"/>
            </w14:solidFill>
          </w14:textFill>
        </w:rPr>
        <w:t>供应商在提交首次响应文件截止时间前，</w:t>
      </w:r>
      <w:r>
        <w:rPr>
          <w:rFonts w:hint="default" w:ascii="Times New Roman" w:hAnsi="Times New Roman" w:eastAsia="宋体" w:cs="Times New Roman"/>
          <w:color w:val="000000" w:themeColor="text1"/>
          <w:kern w:val="0"/>
          <w:highlight w:val="none"/>
          <w14:textFill>
            <w14:solidFill>
              <w14:schemeClr w14:val="tx1"/>
            </w14:solidFill>
          </w14:textFill>
        </w:rPr>
        <w:t>可以对</w:t>
      </w:r>
      <w:r>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t>已上传</w:t>
      </w:r>
      <w:r>
        <w:rPr>
          <w:rFonts w:hint="default" w:ascii="Times New Roman" w:hAnsi="Times New Roman" w:eastAsia="宋体" w:cs="Times New Roman"/>
          <w:color w:val="000000" w:themeColor="text1"/>
          <w:kern w:val="0"/>
          <w:highlight w:val="none"/>
          <w14:textFill>
            <w14:solidFill>
              <w14:schemeClr w14:val="tx1"/>
            </w14:solidFill>
          </w14:textFill>
        </w:rPr>
        <w:t>的首次响应文件进行补充、修改或者撤回</w:t>
      </w:r>
      <w:r>
        <w:rPr>
          <w:rFonts w:hint="default" w:ascii="Times New Roman" w:hAnsi="Times New Roman" w:cs="Times New Roman"/>
          <w:color w:val="000000" w:themeColor="text1"/>
          <w:szCs w:val="21"/>
          <w:highlight w:val="none"/>
          <w14:textFill>
            <w14:solidFill>
              <w14:schemeClr w14:val="tx1"/>
            </w14:solidFill>
          </w14:textFill>
        </w:rPr>
        <w:t>。</w:t>
      </w:r>
    </w:p>
    <w:p w14:paraId="2D8B4ABA">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17.2</w:t>
      </w:r>
      <w:r>
        <w:rPr>
          <w:rFonts w:hint="default" w:ascii="Times New Roman" w:hAnsi="Times New Roman" w:cs="Times New Roman"/>
          <w:color w:val="000000" w:themeColor="text1"/>
          <w:kern w:val="0"/>
          <w:szCs w:val="21"/>
          <w:highlight w:val="none"/>
          <w:lang w:val="zh-CN"/>
          <w14:textFill>
            <w14:solidFill>
              <w14:schemeClr w14:val="tx1"/>
            </w14:solidFill>
          </w14:textFill>
        </w:rPr>
        <w:t>补充、修改的内容与响应文件不一致时，以补充、修改的内容为准。</w:t>
      </w:r>
    </w:p>
    <w:p w14:paraId="7CD609BD">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84" w:name="_Toc107997983"/>
      <w:bookmarkStart w:id="385" w:name="_Toc107997856"/>
      <w:r>
        <w:rPr>
          <w:rFonts w:hint="default" w:ascii="Times New Roman" w:hAnsi="Times New Roman" w:eastAsia="黑体" w:cs="Times New Roman"/>
          <w:b/>
          <w:bCs/>
          <w:color w:val="000000" w:themeColor="text1"/>
          <w:sz w:val="24"/>
          <w:highlight w:val="none"/>
          <w14:textFill>
            <w14:solidFill>
              <w14:schemeClr w14:val="tx1"/>
            </w14:solidFill>
          </w14:textFill>
        </w:rPr>
        <w:t>18.响应文件的递交与接收</w:t>
      </w:r>
      <w:bookmarkEnd w:id="384"/>
      <w:bookmarkEnd w:id="385"/>
    </w:p>
    <w:p w14:paraId="01749F1B">
      <w:pPr>
        <w:adjustRightInd w:val="0"/>
        <w:snapToGrid w:val="0"/>
        <w:spacing w:line="360" w:lineRule="auto"/>
        <w:ind w:firstLine="420" w:firstLineChars="200"/>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kern w:val="0"/>
          <w:szCs w:val="21"/>
          <w:highlight w:val="none"/>
          <w14:textFill>
            <w14:solidFill>
              <w14:schemeClr w14:val="tx1"/>
            </w14:solidFill>
          </w14:textFill>
        </w:rPr>
        <w:t>.1</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应在【</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须知前附表】规定的</w:t>
      </w:r>
      <w:r>
        <w:rPr>
          <w:rFonts w:hint="default" w:ascii="Times New Roman" w:hAnsi="Times New Roman" w:eastAsia="宋体" w:cs="Times New Roman"/>
          <w:color w:val="000000" w:themeColor="text1"/>
          <w:kern w:val="0"/>
          <w:highlight w:val="none"/>
          <w14:textFill>
            <w14:solidFill>
              <w14:schemeClr w14:val="tx1"/>
            </w14:solidFill>
          </w14:textFill>
        </w:rPr>
        <w:t>提交首次响应文件截止时间前</w:t>
      </w:r>
      <w:r>
        <w:rPr>
          <w:rFonts w:hint="default" w:ascii="Times New Roman" w:hAnsi="Times New Roman" w:eastAsia="宋体" w:cs="Times New Roman"/>
          <w:color w:val="000000" w:themeColor="text1"/>
          <w:kern w:val="0"/>
          <w:szCs w:val="21"/>
          <w:highlight w:val="none"/>
          <w14:textFill>
            <w14:solidFill>
              <w14:schemeClr w14:val="tx1"/>
            </w14:solidFill>
          </w14:textFill>
        </w:rPr>
        <w:t>将电子版</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文件加密上传。</w:t>
      </w:r>
    </w:p>
    <w:p w14:paraId="3A031F56">
      <w:pPr>
        <w:adjustRightInd w:val="0"/>
        <w:snapToGrid w:val="0"/>
        <w:spacing w:line="360" w:lineRule="auto"/>
        <w:ind w:firstLine="420" w:firstLineChars="200"/>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kern w:val="0"/>
          <w:szCs w:val="21"/>
          <w:highlight w:val="none"/>
          <w14:textFill>
            <w14:solidFill>
              <w14:schemeClr w14:val="tx1"/>
            </w14:solidFill>
          </w14:textFill>
        </w:rPr>
        <w:t>.2逾期</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将无法</w:t>
      </w:r>
      <w:r>
        <w:rPr>
          <w:rFonts w:hint="default" w:ascii="Times New Roman" w:hAnsi="Times New Roman" w:eastAsia="宋体" w:cs="Times New Roman"/>
          <w:color w:val="000000" w:themeColor="text1"/>
          <w:kern w:val="0"/>
          <w:szCs w:val="21"/>
          <w:highlight w:val="none"/>
          <w14:textFill>
            <w14:solidFill>
              <w14:schemeClr w14:val="tx1"/>
            </w14:solidFill>
          </w14:textFill>
        </w:rPr>
        <w:t>上传</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w:t>
      </w:r>
    </w:p>
    <w:p w14:paraId="54E839E7">
      <w:pPr>
        <w:adjustRightInd w:val="0"/>
        <w:snapToGrid w:val="0"/>
        <w:spacing w:line="360" w:lineRule="auto"/>
        <w:ind w:firstLine="420" w:firstLineChars="200"/>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kern w:val="0"/>
          <w:szCs w:val="21"/>
          <w:highlight w:val="none"/>
          <w14:textFill>
            <w14:solidFill>
              <w14:schemeClr w14:val="tx1"/>
            </w14:solidFill>
          </w14:textFill>
        </w:rPr>
        <w:t>.3</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文件的递交</w:t>
      </w:r>
    </w:p>
    <w:p w14:paraId="348BB225">
      <w:pPr>
        <w:adjustRightInd w:val="0"/>
        <w:snapToGrid w:val="0"/>
        <w:spacing w:line="360" w:lineRule="auto"/>
        <w:ind w:firstLine="420" w:firstLineChars="200"/>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（1）</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通过</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w:t>
      </w:r>
      <w:r>
        <w:rPr>
          <w:rFonts w:hint="default" w:ascii="Times New Roman" w:hAnsi="Times New Roman" w:eastAsia="宋体" w:cs="Times New Roman"/>
          <w:color w:val="000000" w:themeColor="text1"/>
          <w:kern w:val="0"/>
          <w:szCs w:val="21"/>
          <w:highlight w:val="none"/>
          <w14:textFill>
            <w14:solidFill>
              <w14:schemeClr w14:val="tx1"/>
            </w14:solidFill>
          </w14:textFill>
        </w:rPr>
        <w:t>参加</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谈判会议</w:t>
      </w:r>
      <w:r>
        <w:rPr>
          <w:rFonts w:hint="default" w:ascii="Times New Roman" w:hAnsi="Times New Roman" w:eastAsia="宋体" w:cs="Times New Roman"/>
          <w:color w:val="000000" w:themeColor="text1"/>
          <w:kern w:val="0"/>
          <w:szCs w:val="21"/>
          <w:highlight w:val="none"/>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无需到开标现场，请</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提前配置好解密电脑和软件环境，在规定时间内使用制作</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文件时的 CA 锁登录“</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w:t>
      </w:r>
      <w:r>
        <w:rPr>
          <w:rFonts w:hint="default" w:ascii="Times New Roman" w:hAnsi="Times New Roman" w:eastAsia="宋体" w:cs="Times New Roman"/>
          <w:color w:val="000000" w:themeColor="text1"/>
          <w:kern w:val="0"/>
          <w:szCs w:val="21"/>
          <w:highlight w:val="none"/>
          <w14:textFill>
            <w14:solidFill>
              <w14:schemeClr w14:val="tx1"/>
            </w14:solidFill>
          </w14:textFill>
        </w:rPr>
        <w:t>”解密</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文件（请仔细阅读</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株洲市采购交易系统中的</w:t>
      </w:r>
      <w:r>
        <w:rPr>
          <w:rFonts w:hint="default" w:ascii="Times New Roman" w:hAnsi="Times New Roman" w:eastAsia="宋体" w:cs="Times New Roman"/>
          <w:color w:val="000000" w:themeColor="text1"/>
          <w:kern w:val="0"/>
          <w:szCs w:val="21"/>
          <w:highlight w:val="none"/>
          <w14:textFill>
            <w14:solidFill>
              <w14:schemeClr w14:val="tx1"/>
            </w14:solidFill>
          </w14:textFill>
        </w:rPr>
        <w:t>《投标人操作手册</w:t>
      </w:r>
      <w:r>
        <w:rPr>
          <w:rFonts w:hint="default" w:ascii="Times New Roman" w:hAnsi="Times New Roman" w:eastAsia="宋体" w:cs="Times New Roman"/>
          <w:color w:val="000000" w:themeColor="text1"/>
          <w:kern w:val="0"/>
          <w:highlight w:val="none"/>
          <w14:textFill>
            <w14:solidFill>
              <w14:schemeClr w14:val="tx1"/>
            </w14:solidFill>
          </w14:textFill>
        </w:rPr>
        <w:t>-竞争性谈判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 。</w:t>
      </w:r>
    </w:p>
    <w:p w14:paraId="3F528224">
      <w:pPr>
        <w:adjustRightInd w:val="0"/>
        <w:snapToGrid w:val="0"/>
        <w:spacing w:line="360" w:lineRule="auto"/>
        <w:ind w:firstLine="420" w:firstLineChars="200"/>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应在</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文件规定的</w:t>
      </w:r>
      <w:r>
        <w:rPr>
          <w:rFonts w:hint="default" w:ascii="Times New Roman" w:hAnsi="Times New Roman" w:eastAsia="宋体" w:cs="Times New Roman"/>
          <w:color w:val="000000" w:themeColor="text1"/>
          <w:kern w:val="0"/>
          <w:highlight w:val="none"/>
          <w14:textFill>
            <w14:solidFill>
              <w14:schemeClr w14:val="tx1"/>
            </w14:solidFill>
          </w14:textFill>
        </w:rPr>
        <w:t>提交首次响应文件截止时间前</w:t>
      </w:r>
      <w:r>
        <w:rPr>
          <w:rFonts w:hint="default" w:ascii="Times New Roman" w:hAnsi="Times New Roman" w:eastAsia="宋体" w:cs="Times New Roman"/>
          <w:color w:val="000000" w:themeColor="text1"/>
          <w:kern w:val="0"/>
          <w:szCs w:val="21"/>
          <w:highlight w:val="none"/>
          <w14:textFill>
            <w14:solidFill>
              <w14:schemeClr w14:val="tx1"/>
            </w14:solidFill>
          </w14:textFill>
        </w:rPr>
        <w:t>将电子</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kern w:val="0"/>
          <w:szCs w:val="21"/>
          <w:highlight w:val="none"/>
          <w14:textFill>
            <w14:solidFill>
              <w14:schemeClr w14:val="tx1"/>
            </w14:solidFill>
          </w14:textFill>
        </w:rPr>
        <w:t>文件上传到交易系统的指定栏目。</w:t>
      </w:r>
    </w:p>
    <w:p w14:paraId="4E33EC2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szCs w:val="21"/>
          <w:highlight w:val="none"/>
          <w14:textFill>
            <w14:solidFill>
              <w14:schemeClr w14:val="tx1"/>
            </w14:solidFill>
          </w14:textFill>
        </w:rPr>
        <w:t>）如遇系统提示“上传未成功”，</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应及时重新修改文件或与系统运维机构联系，查明原因，确保上传无误，因自身原因导致不能上传的，由</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kern w:val="0"/>
          <w:szCs w:val="21"/>
          <w:highlight w:val="none"/>
          <w14:textFill>
            <w14:solidFill>
              <w14:schemeClr w14:val="tx1"/>
            </w14:solidFill>
          </w14:textFill>
        </w:rPr>
        <w:t>自行承担责任</w:t>
      </w:r>
      <w:r>
        <w:rPr>
          <w:rFonts w:hint="default" w:ascii="Times New Roman" w:hAnsi="Times New Roman" w:cs="Times New Roman"/>
          <w:color w:val="000000" w:themeColor="text1"/>
          <w:szCs w:val="21"/>
          <w:highlight w:val="none"/>
          <w14:textFill>
            <w14:solidFill>
              <w14:schemeClr w14:val="tx1"/>
            </w14:solidFill>
          </w14:textFill>
        </w:rPr>
        <w:t>。</w:t>
      </w:r>
    </w:p>
    <w:p w14:paraId="171F63FD">
      <w:pPr>
        <w:adjustRightInd/>
        <w:snapToGrid/>
        <w:spacing w:line="360" w:lineRule="auto"/>
        <w:ind w:firstLine="0" w:firstLineChars="0"/>
        <w:outlineLvl w:val="3"/>
        <w:rPr>
          <w:rFonts w:hint="default" w:ascii="Times New Roman" w:hAnsi="Times New Roman" w:eastAsia="黑体" w:cs="Times New Roman"/>
          <w:b/>
          <w:bCs/>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黑体" w:cs="Times New Roman"/>
          <w:b/>
          <w:bCs/>
          <w:color w:val="000000" w:themeColor="text1"/>
          <w:kern w:val="2"/>
          <w:sz w:val="24"/>
          <w:szCs w:val="24"/>
          <w:highlight w:val="none"/>
          <w:lang w:val="en-US" w:eastAsia="zh-CN"/>
          <w14:textFill>
            <w14:solidFill>
              <w14:schemeClr w14:val="tx1"/>
            </w14:solidFill>
          </w14:textFill>
        </w:rPr>
        <w:t>19.谈判会议开始</w:t>
      </w:r>
    </w:p>
    <w:p w14:paraId="08A8B040">
      <w:pPr>
        <w:adjustRightInd w:val="0"/>
        <w:snapToGrid w:val="0"/>
        <w:spacing w:line="360" w:lineRule="auto"/>
        <w:ind w:firstLine="420" w:firstLineChars="200"/>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w:t>
      </w:r>
      <w:r>
        <w:rPr>
          <w:rFonts w:hint="default" w:ascii="Times New Roman" w:hAnsi="Times New Roman" w:eastAsia="宋体" w:cs="Times New Roman"/>
          <w:color w:val="000000" w:themeColor="text1"/>
          <w:szCs w:val="21"/>
          <w:highlight w:val="none"/>
          <w:lang w:val="en-US"/>
          <w14:textFill>
            <w14:solidFill>
              <w14:schemeClr w14:val="tx1"/>
            </w14:solidFill>
          </w14:textFill>
        </w:rPr>
        <w:t>.1会议程序。</w:t>
      </w:r>
      <w:r>
        <w:rPr>
          <w:rFonts w:hint="default" w:ascii="Times New Roman" w:hAnsi="Times New Roman" w:eastAsia="宋体" w:cs="Times New Roman"/>
          <w:color w:val="000000" w:themeColor="text1"/>
          <w:szCs w:val="21"/>
          <w:highlight w:val="none"/>
          <w14:textFill>
            <w14:solidFill>
              <w14:schemeClr w14:val="tx1"/>
            </w14:solidFill>
          </w14:textFill>
        </w:rPr>
        <w:t>采购代理机构在规定的时间内，按下列程序进行</w:t>
      </w:r>
      <w:r>
        <w:rPr>
          <w:rFonts w:hint="default" w:ascii="Times New Roman" w:hAnsi="Times New Roman" w:eastAsia="宋体" w:cs="Times New Roman"/>
          <w:color w:val="000000" w:themeColor="text1"/>
          <w:szCs w:val="21"/>
          <w:highlight w:val="none"/>
          <w:lang w:val="en-US"/>
          <w14:textFill>
            <w14:solidFill>
              <w14:schemeClr w14:val="tx1"/>
            </w14:solidFill>
          </w14:textFill>
        </w:rPr>
        <w:t>谈判会议：</w:t>
      </w:r>
    </w:p>
    <w:p w14:paraId="69DABBE8">
      <w:pPr>
        <w:adjustRightInd w:val="0"/>
        <w:snapToGrid w:val="0"/>
        <w:spacing w:before="0"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（1）公布</w:t>
      </w:r>
      <w:r>
        <w:rPr>
          <w:rFonts w:hint="default" w:ascii="Times New Roman" w:hAnsi="Times New Roman" w:eastAsia="宋体" w:cs="Times New Roman"/>
          <w:color w:val="000000" w:themeColor="text1"/>
          <w:szCs w:val="21"/>
          <w:highlight w:val="none"/>
          <w:lang w:val="en-US"/>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名称；</w:t>
      </w:r>
    </w:p>
    <w:p w14:paraId="179388F7">
      <w:pPr>
        <w:adjustRightInd w:val="0"/>
        <w:snapToGrid w:val="0"/>
        <w:spacing w:before="0"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（2）检查投标保证金缴纳情况；</w:t>
      </w:r>
    </w:p>
    <w:p w14:paraId="5C1BF3BD">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（3）</w:t>
      </w:r>
      <w:r>
        <w:rPr>
          <w:rFonts w:hint="default" w:ascii="Times New Roman" w:hAnsi="Times New Roman" w:eastAsia="宋体" w:cs="Times New Roman"/>
          <w:color w:val="000000" w:themeColor="text1"/>
          <w:szCs w:val="21"/>
          <w:highlight w:val="none"/>
          <w14:textFill>
            <w14:solidFill>
              <w14:schemeClr w14:val="tx1"/>
            </w14:solidFill>
          </w14:textFill>
        </w:rPr>
        <w:t>解密</w:t>
      </w:r>
      <w:r>
        <w:rPr>
          <w:rFonts w:hint="default" w:ascii="Times New Roman" w:hAnsi="Times New Roman" w:eastAsia="宋体" w:cs="Times New Roman"/>
          <w:color w:val="000000" w:themeColor="text1"/>
          <w:szCs w:val="21"/>
          <w:highlight w:val="none"/>
          <w:lang w:val="en-US"/>
          <w14:textFill>
            <w14:solidFill>
              <w14:schemeClr w14:val="tx1"/>
            </w14:solidFill>
          </w14:textFill>
        </w:rPr>
        <w:t>响应</w:t>
      </w:r>
      <w:r>
        <w:rPr>
          <w:rFonts w:hint="default" w:ascii="Times New Roman" w:hAnsi="Times New Roman" w:eastAsia="宋体" w:cs="Times New Roman"/>
          <w:color w:val="000000" w:themeColor="text1"/>
          <w:szCs w:val="21"/>
          <w:highlight w:val="none"/>
          <w14:textFill>
            <w14:solidFill>
              <w14:schemeClr w14:val="tx1"/>
            </w14:solidFill>
          </w14:textFill>
        </w:rPr>
        <w:t>文件：从提交首次响应文件</w:t>
      </w:r>
      <w:r>
        <w:rPr>
          <w:rFonts w:hint="default" w:ascii="Times New Roman" w:hAnsi="Times New Roman" w:eastAsia="宋体" w:cs="Times New Roman"/>
          <w:color w:val="000000" w:themeColor="text1"/>
          <w:kern w:val="0"/>
          <w:highlight w:val="none"/>
          <w14:textFill>
            <w14:solidFill>
              <w14:schemeClr w14:val="tx1"/>
            </w14:solidFill>
          </w14:textFill>
        </w:rPr>
        <w:t>截止时间</w:t>
      </w:r>
      <w:r>
        <w:rPr>
          <w:rFonts w:hint="default" w:ascii="Times New Roman" w:hAnsi="Times New Roman" w:eastAsia="宋体" w:cs="Times New Roman"/>
          <w:color w:val="000000" w:themeColor="text1"/>
          <w:szCs w:val="21"/>
          <w:highlight w:val="none"/>
          <w14:textFill>
            <w14:solidFill>
              <w14:schemeClr w14:val="tx1"/>
            </w14:solidFill>
          </w14:textFill>
        </w:rPr>
        <w:t>起</w:t>
      </w:r>
      <w:r>
        <w:rPr>
          <w:rFonts w:hint="default" w:ascii="Times New Roman" w:hAnsi="Times New Roman" w:eastAsia="宋体" w:cs="Times New Roman"/>
          <w:color w:val="000000" w:themeColor="text1"/>
          <w:szCs w:val="21"/>
          <w:highlight w:val="none"/>
          <w:lang w:val="en-US"/>
          <w14:textFill>
            <w14:solidFill>
              <w14:schemeClr w14:val="tx1"/>
            </w14:solidFill>
          </w14:textFill>
        </w:rPr>
        <w:t>30</w:t>
      </w:r>
      <w:r>
        <w:rPr>
          <w:rFonts w:hint="default" w:ascii="Times New Roman" w:hAnsi="Times New Roman" w:eastAsia="宋体" w:cs="Times New Roman"/>
          <w:color w:val="000000" w:themeColor="text1"/>
          <w:szCs w:val="21"/>
          <w:highlight w:val="none"/>
          <w14:textFill>
            <w14:solidFill>
              <w14:schemeClr w14:val="tx1"/>
            </w14:solidFill>
          </w14:textFill>
        </w:rPr>
        <w:t>分钟内完成。由于</w:t>
      </w:r>
      <w:r>
        <w:rPr>
          <w:rFonts w:hint="default" w:ascii="Times New Roman" w:hAnsi="Times New Roman" w:eastAsia="宋体" w:cs="Times New Roman"/>
          <w:color w:val="000000" w:themeColor="text1"/>
          <w:szCs w:val="21"/>
          <w:highlight w:val="none"/>
          <w:lang w:val="en-US"/>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自身原因导致</w:t>
      </w:r>
      <w:r>
        <w:rPr>
          <w:rFonts w:hint="default" w:ascii="Times New Roman" w:hAnsi="Times New Roman" w:eastAsia="宋体" w:cs="Times New Roman"/>
          <w:color w:val="000000" w:themeColor="text1"/>
          <w:szCs w:val="21"/>
          <w:highlight w:val="none"/>
          <w:lang w:val="en-US"/>
          <w14:textFill>
            <w14:solidFill>
              <w14:schemeClr w14:val="tx1"/>
            </w14:solidFill>
          </w14:textFill>
        </w:rPr>
        <w:t>响应</w:t>
      </w:r>
      <w:r>
        <w:rPr>
          <w:rFonts w:hint="default" w:ascii="Times New Roman" w:hAnsi="Times New Roman" w:eastAsia="宋体" w:cs="Times New Roman"/>
          <w:color w:val="000000" w:themeColor="text1"/>
          <w:szCs w:val="21"/>
          <w:highlight w:val="none"/>
          <w14:textFill>
            <w14:solidFill>
              <w14:schemeClr w14:val="tx1"/>
            </w14:solidFill>
          </w14:textFill>
        </w:rPr>
        <w:t>文件在解密时限内未解密或解密失败的，视为撤销其</w:t>
      </w:r>
      <w:r>
        <w:rPr>
          <w:rFonts w:hint="default" w:ascii="Times New Roman" w:hAnsi="Times New Roman" w:eastAsia="宋体" w:cs="Times New Roman"/>
          <w:color w:val="000000" w:themeColor="text1"/>
          <w:szCs w:val="21"/>
          <w:highlight w:val="none"/>
          <w:lang w:val="en-US"/>
          <w14:textFill>
            <w14:solidFill>
              <w14:schemeClr w14:val="tx1"/>
            </w14:solidFill>
          </w14:textFill>
        </w:rPr>
        <w:t>响应</w:t>
      </w:r>
      <w:r>
        <w:rPr>
          <w:rFonts w:hint="default" w:ascii="Times New Roman" w:hAnsi="Times New Roman" w:eastAsia="宋体" w:cs="Times New Roman"/>
          <w:color w:val="000000" w:themeColor="text1"/>
          <w:szCs w:val="21"/>
          <w:highlight w:val="none"/>
          <w14:textFill>
            <w14:solidFill>
              <w14:schemeClr w14:val="tx1"/>
            </w14:solidFill>
          </w14:textFill>
        </w:rPr>
        <w:t>文件，开标继续进行。</w:t>
      </w:r>
      <w:r>
        <w:rPr>
          <w:rFonts w:hint="default" w:ascii="Times New Roman" w:hAnsi="Times New Roman" w:eastAsia="宋体" w:cs="Times New Roman"/>
          <w:color w:val="000000" w:themeColor="text1"/>
          <w:szCs w:val="21"/>
          <w:highlight w:val="none"/>
          <w:lang w:val="en-US"/>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不</w:t>
      </w:r>
      <w:r>
        <w:rPr>
          <w:rFonts w:hint="default" w:ascii="Times New Roman" w:hAnsi="Times New Roman" w:eastAsia="宋体" w:cs="Times New Roman"/>
          <w:color w:val="000000" w:themeColor="text1"/>
          <w:szCs w:val="21"/>
          <w:highlight w:val="none"/>
          <w:lang w:val="en-US"/>
          <w14:textFill>
            <w14:solidFill>
              <w14:schemeClr w14:val="tx1"/>
            </w14:solidFill>
          </w14:textFill>
        </w:rPr>
        <w:t>足3家的，不得开标。</w:t>
      </w:r>
    </w:p>
    <w:p w14:paraId="690C0E53">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（4）供应商法人或授权代表应在系统规定的时间内在开标记录上进行确认，否则视同认可开标结果。</w:t>
      </w:r>
    </w:p>
    <w:p w14:paraId="3D4F8102">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19.2</w:t>
      </w:r>
      <w:r>
        <w:rPr>
          <w:rFonts w:hint="default" w:ascii="Times New Roman" w:hAnsi="Times New Roman" w:eastAsia="宋体" w:cs="Times New Roman"/>
          <w:color w:val="000000" w:themeColor="text1"/>
          <w:szCs w:val="21"/>
          <w:highlight w:val="none"/>
          <w:lang w:val="en-US"/>
          <w14:textFill>
            <w14:solidFill>
              <w14:schemeClr w14:val="tx1"/>
            </w14:solidFill>
          </w14:textFill>
        </w:rPr>
        <w:t>谈判会议过程中，由采购人、采购代理机构当众在线展示递交电子响应文件单位，核对供应商名称等其他内容。供应商不足3家的，不得开始谈判会议。</w:t>
      </w:r>
    </w:p>
    <w:p w14:paraId="15ECBA8F">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w:t>
      </w:r>
      <w:r>
        <w:rPr>
          <w:rFonts w:hint="default" w:ascii="Times New Roman" w:hAnsi="Times New Roman" w:eastAsia="宋体" w:cs="Times New Roman"/>
          <w:color w:val="000000" w:themeColor="text1"/>
          <w:szCs w:val="21"/>
          <w:highlight w:val="none"/>
          <w:lang w:val="en-US"/>
          <w14:textFill>
            <w14:solidFill>
              <w14:schemeClr w14:val="tx1"/>
            </w14:solidFill>
          </w14:textFill>
        </w:rPr>
        <w:t>.3谈判会议过程应当由采购人、采购代理机构负责记录，由参加会议的各供应商代表和相关工作人员签字确认后随采购文件一并存档。</w:t>
      </w:r>
    </w:p>
    <w:p w14:paraId="68D40F1D">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w:t>
      </w:r>
      <w:r>
        <w:rPr>
          <w:rFonts w:hint="default" w:ascii="Times New Roman" w:hAnsi="Times New Roman" w:eastAsia="宋体" w:cs="Times New Roman"/>
          <w:color w:val="000000" w:themeColor="text1"/>
          <w:szCs w:val="21"/>
          <w:highlight w:val="none"/>
          <w:lang w:val="en-US"/>
          <w14:textFill>
            <w14:solidFill>
              <w14:schemeClr w14:val="tx1"/>
            </w14:solidFill>
          </w14:textFill>
        </w:rPr>
        <w:t>.4电子招投标的应急措施</w:t>
      </w:r>
    </w:p>
    <w:p w14:paraId="3A1CCB7C">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电子开标会议、评标如出现下列情形，导致系统无法正常运行时，按交易中心应急预案措施执行：</w:t>
      </w:r>
    </w:p>
    <w:p w14:paraId="664EF07B">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（1）系统服务器发生故障，无法访问或无法使用系统；</w:t>
      </w:r>
    </w:p>
    <w:p w14:paraId="58FD38E9">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（2）系统的软件或数据库出现错误，不能进行正常操作；</w:t>
      </w:r>
    </w:p>
    <w:p w14:paraId="001C2AC0">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（3）系统发现有安全漏洞，有潜在的泄密危险；</w:t>
      </w:r>
    </w:p>
    <w:p w14:paraId="70AA12B0">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（4）病毒发作或受到外来病毒的攻击；</w:t>
      </w:r>
    </w:p>
    <w:p w14:paraId="57626956">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（5）其他特殊情况。</w:t>
      </w:r>
    </w:p>
    <w:p w14:paraId="56E00B3F">
      <w:pPr>
        <w:adjustRightInd w:val="0"/>
        <w:snapToGrid w:val="0"/>
        <w:spacing w:line="360" w:lineRule="auto"/>
        <w:ind w:firstLine="420" w:firstLineChars="200"/>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14:textFill>
            <w14:solidFill>
              <w14:schemeClr w14:val="tx1"/>
            </w14:solidFill>
          </w14:textFill>
        </w:rPr>
        <w:t>出现上述情况之一时，经交易中心相关部门确认：对未开始谈判会议的暂停谈判会议或作延期谈判会议处理，待系统恢复后再进行开标活动；已在系统内评审的，谈判小组酌情延期进行评审，待系统恢复后再进行评审工作。</w:t>
      </w:r>
    </w:p>
    <w:p w14:paraId="3C3848E7">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386" w:name="_Toc23578"/>
      <w:bookmarkStart w:id="387" w:name="_Toc107997984"/>
      <w:r>
        <w:rPr>
          <w:rFonts w:hint="default" w:ascii="Times New Roman" w:hAnsi="Times New Roman" w:eastAsia="黑体" w:cs="Times New Roman"/>
          <w:b/>
          <w:bCs/>
          <w:color w:val="000000" w:themeColor="text1"/>
          <w:sz w:val="28"/>
          <w:szCs w:val="28"/>
          <w:highlight w:val="none"/>
          <w14:textFill>
            <w14:solidFill>
              <w14:schemeClr w14:val="tx1"/>
            </w14:solidFill>
          </w14:textFill>
        </w:rPr>
        <w:t>五、响应文件的评审与谈判</w:t>
      </w:r>
      <w:bookmarkEnd w:id="386"/>
      <w:bookmarkEnd w:id="387"/>
    </w:p>
    <w:p w14:paraId="5A053059">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88" w:name="_Toc107997985"/>
      <w:bookmarkStart w:id="389" w:name="_Toc107997858"/>
      <w:r>
        <w:rPr>
          <w:rFonts w:hint="default" w:ascii="Times New Roman" w:hAnsi="Times New Roman" w:eastAsia="黑体" w:cs="Times New Roman"/>
          <w:b/>
          <w:bCs/>
          <w:color w:val="000000" w:themeColor="text1"/>
          <w:sz w:val="24"/>
          <w:highlight w:val="none"/>
          <w14:textFill>
            <w14:solidFill>
              <w14:schemeClr w14:val="tx1"/>
            </w14:solidFill>
          </w14:textFill>
        </w:rPr>
        <w:t>19.供应商资格审查</w:t>
      </w:r>
      <w:bookmarkEnd w:id="388"/>
      <w:bookmarkEnd w:id="389"/>
    </w:p>
    <w:p w14:paraId="569A95C2">
      <w:pPr>
        <w:adjustRightInd w:val="0"/>
        <w:snapToGrid w:val="0"/>
        <w:spacing w:line="360" w:lineRule="auto"/>
        <w:ind w:firstLine="42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lang w:val="zh-CN"/>
          <w14:textFill>
            <w14:solidFill>
              <w14:schemeClr w14:val="tx1"/>
            </w14:solidFill>
          </w14:textFill>
        </w:rPr>
        <w:t>19.1</w:t>
      </w:r>
      <w:r>
        <w:rPr>
          <w:rFonts w:hint="default" w:ascii="Times New Roman" w:hAnsi="Times New Roman" w:eastAsia="宋体" w:cs="Times New Roman"/>
          <w:color w:val="000000" w:themeColor="text1"/>
          <w:szCs w:val="21"/>
          <w:highlight w:val="none"/>
          <w14:textFill>
            <w14:solidFill>
              <w14:schemeClr w14:val="tx1"/>
            </w14:solidFill>
          </w14:textFill>
        </w:rPr>
        <w:t>除本章第14.1</w:t>
      </w:r>
      <w:r>
        <w:rPr>
          <w:rFonts w:hint="default" w:ascii="Times New Roman" w:hAnsi="Times New Roman" w:eastAsia="宋体" w:cs="Times New Roman"/>
          <w:color w:val="000000" w:themeColor="text1"/>
          <w:kern w:val="0"/>
          <w:szCs w:val="21"/>
          <w:highlight w:val="none"/>
          <w:lang w:val="zh-CN"/>
          <w14:textFill>
            <w14:solidFill>
              <w14:schemeClr w14:val="tx1"/>
            </w14:solidFill>
          </w14:textFill>
        </w:rPr>
        <w:t>款规定的</w:t>
      </w:r>
      <w:r>
        <w:rPr>
          <w:rFonts w:hint="default" w:ascii="Times New Roman" w:hAnsi="Times New Roman" w:eastAsia="宋体" w:cs="Times New Roman"/>
          <w:color w:val="000000" w:themeColor="text1"/>
          <w:highlight w:val="none"/>
          <w14:textFill>
            <w14:solidFill>
              <w14:schemeClr w14:val="tx1"/>
            </w14:solidFill>
          </w14:textFill>
        </w:rPr>
        <w:t>情形外，采购人、采购代理机构不再对供应商进行资格审查。</w:t>
      </w:r>
    </w:p>
    <w:p w14:paraId="4FEB9AA1">
      <w:pPr>
        <w:adjustRightInd w:val="0"/>
        <w:snapToGrid w:val="0"/>
        <w:spacing w:line="360" w:lineRule="auto"/>
        <w:ind w:firstLine="420" w:firstLineChars="20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19.2如果供应商不再具备本章第3.1款规定的供应商资格条件时，</w:t>
      </w:r>
      <w:r>
        <w:rPr>
          <w:rFonts w:hint="default" w:ascii="Times New Roman" w:hAnsi="Times New Roman" w:eastAsia="宋体" w:cs="Times New Roman"/>
          <w:b/>
          <w:color w:val="000000" w:themeColor="text1"/>
          <w:highlight w:val="none"/>
          <w14:textFill>
            <w14:solidFill>
              <w14:schemeClr w14:val="tx1"/>
            </w14:solidFill>
          </w14:textFill>
        </w:rPr>
        <w:t>响应文件无效</w:t>
      </w:r>
      <w:r>
        <w:rPr>
          <w:rFonts w:hint="default" w:ascii="Times New Roman" w:hAnsi="Times New Roman" w:eastAsia="宋体" w:cs="Times New Roman"/>
          <w:color w:val="000000" w:themeColor="text1"/>
          <w:highlight w:val="none"/>
          <w14:textFill>
            <w14:solidFill>
              <w14:schemeClr w14:val="tx1"/>
            </w14:solidFill>
          </w14:textFill>
        </w:rPr>
        <w:t>。</w:t>
      </w:r>
    </w:p>
    <w:p w14:paraId="3D5B8718">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90" w:name="_Toc107997987"/>
      <w:bookmarkStart w:id="391" w:name="_Toc107997860"/>
      <w:r>
        <w:rPr>
          <w:rFonts w:hint="default" w:ascii="Times New Roman" w:hAnsi="Times New Roman" w:eastAsia="黑体" w:cs="Times New Roman"/>
          <w:b/>
          <w:bCs/>
          <w:color w:val="000000" w:themeColor="text1"/>
          <w:sz w:val="24"/>
          <w:highlight w:val="none"/>
          <w14:textFill>
            <w14:solidFill>
              <w14:schemeClr w14:val="tx1"/>
            </w14:solidFill>
          </w14:textFill>
        </w:rPr>
        <w:t>20.谈判小组</w:t>
      </w:r>
      <w:bookmarkEnd w:id="390"/>
      <w:bookmarkEnd w:id="391"/>
    </w:p>
    <w:p w14:paraId="3DD34879">
      <w:pPr>
        <w:adjustRightInd w:val="0"/>
        <w:snapToGrid w:val="0"/>
        <w:spacing w:line="360" w:lineRule="auto"/>
        <w:ind w:firstLine="42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20.1谈判小组由采购人代表和评审专家组成。</w:t>
      </w:r>
    </w:p>
    <w:p w14:paraId="194B94D9">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20.2谈判小组</w:t>
      </w:r>
      <w:r>
        <w:rPr>
          <w:rFonts w:hint="default" w:ascii="Times New Roman" w:hAnsi="Times New Roman" w:cs="Times New Roman"/>
          <w:color w:val="000000" w:themeColor="text1"/>
          <w:szCs w:val="21"/>
          <w:highlight w:val="none"/>
          <w14:textFill>
            <w14:solidFill>
              <w14:schemeClr w14:val="tx1"/>
            </w14:solidFill>
          </w14:textFill>
        </w:rPr>
        <w:t>成员有下列情形之一的，应当回避：</w:t>
      </w:r>
    </w:p>
    <w:p w14:paraId="55884CAC">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（1）参加采购活动前 3 年内与供应商存在劳动关系；</w:t>
      </w:r>
    </w:p>
    <w:p w14:paraId="02F206D9">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（2）参加采购活动前 3 年内担任供应商的董事、监事；</w:t>
      </w:r>
    </w:p>
    <w:p w14:paraId="5CFE90A6">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（3）参加采购活动前 3 年内是供应商的控股股东或者实际控制人；</w:t>
      </w:r>
    </w:p>
    <w:p w14:paraId="1F9CC17C">
      <w:pPr>
        <w:adjustRightInd w:val="0"/>
        <w:snapToGrid w:val="0"/>
        <w:spacing w:line="360" w:lineRule="auto"/>
        <w:ind w:firstLine="420"/>
        <w:jc w:val="left"/>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（4）与供应商的法定代表人或者负责人有夫妻、直系血亲、三代以内旁系血</w:t>
      </w:r>
    </w:p>
    <w:p w14:paraId="2A428FD7">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亲或者近姻亲关系；</w:t>
      </w:r>
    </w:p>
    <w:p w14:paraId="4A94AD07">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（5）与供应商有其他可能影响政府采购活动公平、公正进行的关系。</w:t>
      </w:r>
    </w:p>
    <w:p w14:paraId="1770FCB3">
      <w:pPr>
        <w:adjustRightInd w:val="0"/>
        <w:snapToGrid w:val="0"/>
        <w:spacing w:line="360" w:lineRule="auto"/>
        <w:ind w:firstLine="42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20.3谈判小组成员应当按照客观、公正、审慎的原则，根据谈判文件规定的评审程序、评审方法和评审标准进行独立评审。</w:t>
      </w:r>
    </w:p>
    <w:p w14:paraId="6E150421">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92" w:name="_Toc107997988"/>
      <w:bookmarkStart w:id="393" w:name="_Toc107997861"/>
      <w:r>
        <w:rPr>
          <w:rFonts w:hint="default" w:ascii="Times New Roman" w:hAnsi="Times New Roman" w:eastAsia="黑体" w:cs="Times New Roman"/>
          <w:b/>
          <w:bCs/>
          <w:color w:val="000000" w:themeColor="text1"/>
          <w:sz w:val="24"/>
          <w:highlight w:val="none"/>
          <w14:textFill>
            <w14:solidFill>
              <w14:schemeClr w14:val="tx1"/>
            </w14:solidFill>
          </w14:textFill>
        </w:rPr>
        <w:t>21.谈判程序</w:t>
      </w:r>
      <w:bookmarkEnd w:id="392"/>
      <w:bookmarkEnd w:id="393"/>
    </w:p>
    <w:p w14:paraId="4CFD3AC6">
      <w:pPr>
        <w:adjustRightInd w:val="0"/>
        <w:snapToGrid w:val="0"/>
        <w:spacing w:line="360" w:lineRule="auto"/>
        <w:ind w:firstLine="42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21.1</w:t>
      </w:r>
      <w:r>
        <w:rPr>
          <w:rFonts w:hint="default" w:ascii="Times New Roman" w:hAnsi="Times New Roman" w:cs="Times New Roman"/>
          <w:bCs/>
          <w:color w:val="000000" w:themeColor="text1"/>
          <w:szCs w:val="21"/>
          <w:highlight w:val="none"/>
          <w14:textFill>
            <w14:solidFill>
              <w14:schemeClr w14:val="tx1"/>
            </w14:solidFill>
          </w14:textFill>
        </w:rPr>
        <w:t>谈判程序：谈判（响应文件审查、澄清）、最后报价、提出成交供应商。其中，谈判按本章第23条进行。</w:t>
      </w:r>
    </w:p>
    <w:p w14:paraId="252D3C1B">
      <w:pPr>
        <w:adjustRightInd w:val="0"/>
        <w:snapToGrid w:val="0"/>
        <w:spacing w:line="360" w:lineRule="auto"/>
        <w:ind w:firstLine="42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21.2</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澄清，谈判，报价环节均通过交易系统线上进行，供应商须关注系统中的即时通知，并在规定时间做出响应，未在规定时间内做出响应，视为自动放弃谈判资格</w:t>
      </w:r>
      <w:r>
        <w:rPr>
          <w:rFonts w:hint="default" w:ascii="Times New Roman" w:hAnsi="Times New Roman" w:cs="Times New Roman"/>
          <w:bCs/>
          <w:color w:val="000000" w:themeColor="text1"/>
          <w:szCs w:val="21"/>
          <w:highlight w:val="none"/>
          <w14:textFill>
            <w14:solidFill>
              <w14:schemeClr w14:val="tx1"/>
            </w14:solidFill>
          </w14:textFill>
        </w:rPr>
        <w:t>。</w:t>
      </w:r>
    </w:p>
    <w:p w14:paraId="7F4A25D8">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94" w:name="_Toc107997989"/>
      <w:bookmarkStart w:id="395" w:name="_Toc107997862"/>
      <w:r>
        <w:rPr>
          <w:rFonts w:hint="default" w:ascii="Times New Roman" w:hAnsi="Times New Roman" w:eastAsia="黑体" w:cs="Times New Roman"/>
          <w:b/>
          <w:bCs/>
          <w:color w:val="000000" w:themeColor="text1"/>
          <w:sz w:val="24"/>
          <w:highlight w:val="none"/>
          <w14:textFill>
            <w14:solidFill>
              <w14:schemeClr w14:val="tx1"/>
            </w14:solidFill>
          </w14:textFill>
        </w:rPr>
        <w:t>22.响应文件审查</w:t>
      </w:r>
      <w:bookmarkEnd w:id="394"/>
      <w:bookmarkEnd w:id="395"/>
    </w:p>
    <w:p w14:paraId="3AD84EFA">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22.1谈判小组对响应文件(包括首次提交的响应文件、重新提交的响应文件)的有效性、完整性和对谈判文件的响应程度进行审查。</w:t>
      </w:r>
    </w:p>
    <w:p w14:paraId="38444F8F">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22.2响应文件有下列情况之一，响应文件按无效处理，谈判小组应当告知有关供应商。</w:t>
      </w:r>
    </w:p>
    <w:p w14:paraId="3BC329B7">
      <w:pPr>
        <w:adjustRightInd w:val="0"/>
        <w:snapToGrid w:val="0"/>
        <w:spacing w:line="360" w:lineRule="auto"/>
        <w:ind w:firstLine="420" w:firstLineChars="200"/>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应交未交保证金或金额不足、保证金形式不符合谈判文件要求的；</w:t>
      </w:r>
    </w:p>
    <w:p w14:paraId="5338C346">
      <w:pPr>
        <w:tabs>
          <w:tab w:val="left" w:pos="735"/>
          <w:tab w:val="left" w:pos="7560"/>
          <w:tab w:val="left" w:pos="7740"/>
          <w:tab w:val="left" w:pos="7920"/>
        </w:tabs>
        <w:adjustRightInd w:val="0"/>
        <w:snapToGrid w:val="0"/>
        <w:spacing w:line="360" w:lineRule="auto"/>
        <w:ind w:right="300" w:rightChars="143"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未按照谈判文件规定要求签署、盖章的；</w:t>
      </w:r>
    </w:p>
    <w:p w14:paraId="3B68143B">
      <w:pPr>
        <w:tabs>
          <w:tab w:val="left" w:pos="735"/>
          <w:tab w:val="left" w:pos="7560"/>
          <w:tab w:val="left" w:pos="7740"/>
          <w:tab w:val="left" w:pos="7920"/>
        </w:tabs>
        <w:adjustRightInd w:val="0"/>
        <w:snapToGrid w:val="0"/>
        <w:spacing w:line="360" w:lineRule="auto"/>
        <w:ind w:right="300" w:rightChars="143"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（3）不满足谈判文件规定的实质性要求和条件的；</w:t>
      </w:r>
    </w:p>
    <w:p w14:paraId="0816DCAE">
      <w:pPr>
        <w:tabs>
          <w:tab w:val="left" w:pos="735"/>
          <w:tab w:val="left" w:pos="7560"/>
          <w:tab w:val="left" w:pos="7740"/>
          <w:tab w:val="left" w:pos="7920"/>
        </w:tabs>
        <w:adjustRightInd w:val="0"/>
        <w:snapToGrid w:val="0"/>
        <w:spacing w:line="360" w:lineRule="auto"/>
        <w:ind w:right="300" w:rightChars="143"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（4）法律、法规和谈判文件规定的其他响应无效情形。</w:t>
      </w:r>
    </w:p>
    <w:p w14:paraId="3B1521AB">
      <w:pPr>
        <w:tabs>
          <w:tab w:val="left" w:pos="735"/>
          <w:tab w:val="left" w:pos="7560"/>
          <w:tab w:val="left" w:pos="7740"/>
          <w:tab w:val="left" w:pos="7920"/>
        </w:tabs>
        <w:adjustRightInd w:val="0"/>
        <w:snapToGrid w:val="0"/>
        <w:spacing w:line="360" w:lineRule="auto"/>
        <w:ind w:right="300" w:rightChars="143"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22.3响应文件按无效处理的，谈判小组应拒绝其参与谈判，但属于谈判文件规定的实质性变动内容的除外。</w:t>
      </w:r>
    </w:p>
    <w:p w14:paraId="66E5F6E4">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22.4谈判文件规定的实质性要求和条件见【</w:t>
      </w:r>
      <w:r>
        <w:rPr>
          <w:rFonts w:hint="default" w:ascii="Times New Roman" w:hAnsi="Times New Roman" w:cs="Times New Roman"/>
          <w:b/>
          <w:color w:val="000000" w:themeColor="text1"/>
          <w:kern w:val="0"/>
          <w:szCs w:val="21"/>
          <w:highlight w:val="none"/>
          <w14:textFill>
            <w14:solidFill>
              <w14:schemeClr w14:val="tx1"/>
            </w14:solidFill>
          </w14:textFill>
        </w:rPr>
        <w:t>谈判须知前附表</w:t>
      </w:r>
      <w:r>
        <w:rPr>
          <w:rFonts w:hint="default" w:ascii="Times New Roman" w:hAnsi="Times New Roman" w:cs="Times New Roman"/>
          <w:color w:val="000000" w:themeColor="text1"/>
          <w:kern w:val="0"/>
          <w:szCs w:val="21"/>
          <w:highlight w:val="none"/>
          <w14:textFill>
            <w14:solidFill>
              <w14:schemeClr w14:val="tx1"/>
            </w14:solidFill>
          </w14:textFill>
        </w:rPr>
        <w:t>】。</w:t>
      </w:r>
    </w:p>
    <w:p w14:paraId="03A49539">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96" w:name="_Toc107997863"/>
      <w:bookmarkStart w:id="397" w:name="_Toc107997990"/>
      <w:r>
        <w:rPr>
          <w:rFonts w:hint="default" w:ascii="Times New Roman" w:hAnsi="Times New Roman" w:eastAsia="黑体" w:cs="Times New Roman"/>
          <w:b/>
          <w:bCs/>
          <w:color w:val="000000" w:themeColor="text1"/>
          <w:sz w:val="24"/>
          <w:highlight w:val="none"/>
          <w14:textFill>
            <w14:solidFill>
              <w14:schemeClr w14:val="tx1"/>
            </w14:solidFill>
          </w14:textFill>
        </w:rPr>
        <w:t>23.澄清</w:t>
      </w:r>
      <w:bookmarkEnd w:id="396"/>
      <w:bookmarkEnd w:id="397"/>
    </w:p>
    <w:p w14:paraId="0A8480F6">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23.1谈判小组在对响应文件(包括</w:t>
      </w:r>
      <w:r>
        <w:rPr>
          <w:rFonts w:hint="default" w:ascii="Times New Roman" w:hAnsi="Times New Roman" w:cs="Times New Roman"/>
          <w:color w:val="000000" w:themeColor="text1"/>
          <w:kern w:val="0"/>
          <w:highlight w:val="none"/>
          <w14:textFill>
            <w14:solidFill>
              <w14:schemeClr w14:val="tx1"/>
            </w14:solidFill>
          </w14:textFill>
        </w:rPr>
        <w:t>首次提交的</w:t>
      </w:r>
      <w:r>
        <w:rPr>
          <w:rFonts w:hint="default" w:ascii="Times New Roman" w:hAnsi="Times New Roman" w:cs="Times New Roman"/>
          <w:color w:val="000000" w:themeColor="text1"/>
          <w:kern w:val="0"/>
          <w:szCs w:val="21"/>
          <w:highlight w:val="none"/>
          <w14:textFill>
            <w14:solidFill>
              <w14:schemeClr w14:val="tx1"/>
            </w14:solidFill>
          </w14:textFill>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w:t>
      </w:r>
      <w:r>
        <w:rPr>
          <w:rFonts w:hint="default" w:ascii="Times New Roman" w:hAnsi="Times New Roman" w:eastAsia="宋体" w:cs="Times New Roman"/>
          <w:color w:val="000000" w:themeColor="text1"/>
          <w:kern w:val="0"/>
          <w:szCs w:val="21"/>
          <w:highlight w:val="none"/>
          <w14:textFill>
            <w14:solidFill>
              <w14:schemeClr w14:val="tx1"/>
            </w14:solidFill>
          </w14:textFill>
        </w:rPr>
        <w:t>应由其法定代表人或其委托代理人签字或者加盖供应商单</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位</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CA</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公</w:t>
      </w:r>
      <w:r>
        <w:rPr>
          <w:rFonts w:hint="default" w:ascii="Times New Roman" w:hAnsi="Times New Roman" w:eastAsia="宋体" w:cs="Times New Roman"/>
          <w:color w:val="000000" w:themeColor="text1"/>
          <w:kern w:val="0"/>
          <w:szCs w:val="21"/>
          <w:highlight w:val="none"/>
          <w14:textFill>
            <w14:solidFill>
              <w14:schemeClr w14:val="tx1"/>
            </w14:solidFill>
          </w14:textFill>
        </w:rPr>
        <w:t>章，在规定时间内</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上传到系统</w:t>
      </w:r>
      <w:r>
        <w:rPr>
          <w:rFonts w:hint="default" w:ascii="Times New Roman" w:hAnsi="Times New Roman" w:cs="Times New Roman"/>
          <w:color w:val="000000" w:themeColor="text1"/>
          <w:kern w:val="0"/>
          <w:szCs w:val="21"/>
          <w:highlight w:val="none"/>
          <w14:textFill>
            <w14:solidFill>
              <w14:schemeClr w14:val="tx1"/>
            </w14:solidFill>
          </w14:textFill>
        </w:rPr>
        <w:t>，供应商的澄清、说明或者更正不得超出谈判文件的范围或者改变响应文件的实质性内容。</w:t>
      </w:r>
    </w:p>
    <w:p w14:paraId="5348140C">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398" w:name="_Toc107997864"/>
      <w:bookmarkStart w:id="399" w:name="_Toc107997991"/>
      <w:r>
        <w:rPr>
          <w:rFonts w:hint="default" w:ascii="Times New Roman" w:hAnsi="Times New Roman" w:eastAsia="黑体" w:cs="Times New Roman"/>
          <w:b/>
          <w:bCs/>
          <w:color w:val="000000" w:themeColor="text1"/>
          <w:sz w:val="24"/>
          <w:highlight w:val="none"/>
          <w14:textFill>
            <w14:solidFill>
              <w14:schemeClr w14:val="tx1"/>
            </w14:solidFill>
          </w14:textFill>
        </w:rPr>
        <w:t>24.谈判的规定</w:t>
      </w:r>
      <w:bookmarkEnd w:id="398"/>
      <w:bookmarkEnd w:id="399"/>
    </w:p>
    <w:p w14:paraId="54AC5B57">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24.1</w:t>
      </w:r>
      <w:r>
        <w:rPr>
          <w:rFonts w:hint="default" w:ascii="Times New Roman" w:hAnsi="Times New Roman" w:cs="Times New Roman"/>
          <w:color w:val="000000" w:themeColor="text1"/>
          <w:kern w:val="0"/>
          <w:szCs w:val="21"/>
          <w:highlight w:val="none"/>
          <w14:textFill>
            <w14:solidFill>
              <w14:schemeClr w14:val="tx1"/>
            </w14:solidFill>
          </w14:textFill>
        </w:rPr>
        <w:t>在谈判过程中，谈判小组所有成员集中与单一供应商分别进行谈判，并给予所有参加谈判的供应商平等的谈判机会。供应商应派其代表参加谈判。</w:t>
      </w:r>
    </w:p>
    <w:p w14:paraId="6226D1C6">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24.2</w:t>
      </w:r>
      <w:r>
        <w:rPr>
          <w:rFonts w:hint="default" w:ascii="Times New Roman" w:hAnsi="Times New Roman" w:cs="Times New Roman"/>
          <w:color w:val="000000" w:themeColor="text1"/>
          <w:kern w:val="0"/>
          <w:szCs w:val="21"/>
          <w:highlight w:val="none"/>
          <w14:textFill>
            <w14:solidFill>
              <w14:schemeClr w14:val="tx1"/>
            </w14:solidFill>
          </w14:textFill>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493F074E">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24.3每轮谈判中，参加谈判的供应商代表应认真、准确、完整地记录谈判小组提出的问题和要求。</w:t>
      </w:r>
    </w:p>
    <w:p w14:paraId="194492DB">
      <w:pPr>
        <w:adjustRightInd w:val="0"/>
        <w:snapToGrid w:val="0"/>
        <w:spacing w:line="360" w:lineRule="auto"/>
        <w:ind w:firstLine="420"/>
        <w:jc w:val="left"/>
        <w:rPr>
          <w:rFonts w:hint="default" w:ascii="Times New Roman" w:hAnsi="Times New Roman" w:cs="Times New Roman"/>
          <w:color w:val="000000" w:themeColor="text1"/>
          <w:kern w:val="0"/>
          <w:szCs w:val="21"/>
          <w:highlight w:val="yellow"/>
          <w14:textFill>
            <w14:solidFill>
              <w14:schemeClr w14:val="tx1"/>
            </w14:solidFill>
          </w14:textFill>
        </w:rPr>
      </w:pPr>
      <w:r>
        <w:rPr>
          <w:rFonts w:hint="default" w:ascii="Times New Roman" w:hAnsi="Times New Roman" w:eastAsia="宋体" w:cs="Times New Roman"/>
          <w:bCs/>
          <w:color w:val="000000" w:themeColor="text1"/>
          <w:kern w:val="0"/>
          <w:szCs w:val="21"/>
          <w:highlight w:val="none"/>
          <w:lang w:val="en-US" w:eastAsia="zh-CN"/>
          <w14:textFill>
            <w14:solidFill>
              <w14:schemeClr w14:val="tx1"/>
            </w14:solidFill>
          </w14:textFill>
        </w:rPr>
        <w:t>24.4</w:t>
      </w:r>
      <w:r>
        <w:rPr>
          <w:rFonts w:hint="default" w:ascii="Times New Roman" w:hAnsi="Times New Roman" w:eastAsia="宋体" w:cs="Times New Roman"/>
          <w:bCs/>
          <w:color w:val="000000" w:themeColor="text1"/>
          <w:kern w:val="0"/>
          <w:szCs w:val="21"/>
          <w:highlight w:val="none"/>
          <w14:textFill>
            <w14:solidFill>
              <w14:schemeClr w14:val="tx1"/>
            </w14:solidFill>
          </w14:textFill>
        </w:rPr>
        <w:t>重</w:t>
      </w:r>
      <w:r>
        <w:rPr>
          <w:rFonts w:hint="default" w:ascii="Times New Roman" w:hAnsi="Times New Roman" w:eastAsia="宋体" w:cs="Times New Roman"/>
          <w:color w:val="000000" w:themeColor="text1"/>
          <w:kern w:val="0"/>
          <w:szCs w:val="21"/>
          <w:highlight w:val="none"/>
          <w14:textFill>
            <w14:solidFill>
              <w14:schemeClr w14:val="tx1"/>
            </w14:solidFill>
          </w14:textFill>
        </w:rPr>
        <w:t>新提交的响应文件或者最后报价应由其法定代表人或其委托代理人签字或者加盖供应商单</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位</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CA</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公</w:t>
      </w:r>
      <w:r>
        <w:rPr>
          <w:rFonts w:hint="default" w:ascii="Times New Roman" w:hAnsi="Times New Roman" w:eastAsia="宋体" w:cs="Times New Roman"/>
          <w:color w:val="000000" w:themeColor="text1"/>
          <w:kern w:val="0"/>
          <w:szCs w:val="21"/>
          <w:highlight w:val="none"/>
          <w14:textFill>
            <w14:solidFill>
              <w14:schemeClr w14:val="tx1"/>
            </w14:solidFill>
          </w14:textFill>
        </w:rPr>
        <w:t>章，在规定时间内</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上传到系统。</w:t>
      </w:r>
    </w:p>
    <w:p w14:paraId="254AE4DF">
      <w:pPr>
        <w:spacing w:line="360" w:lineRule="auto"/>
        <w:outlineLvl w:val="3"/>
        <w:rPr>
          <w:rFonts w:hint="default" w:ascii="Times New Roman" w:hAnsi="Times New Roman" w:eastAsia="黑体" w:cs="Times New Roman"/>
          <w:b/>
          <w:bCs/>
          <w:color w:val="000000" w:themeColor="text1"/>
          <w:kern w:val="0"/>
          <w:sz w:val="24"/>
          <w:highlight w:val="none"/>
          <w14:textFill>
            <w14:solidFill>
              <w14:schemeClr w14:val="tx1"/>
            </w14:solidFill>
          </w14:textFill>
        </w:rPr>
      </w:pPr>
      <w:bookmarkStart w:id="400" w:name="_Toc107997865"/>
      <w:bookmarkStart w:id="401" w:name="_Toc107997992"/>
      <w:r>
        <w:rPr>
          <w:rFonts w:hint="default" w:ascii="Times New Roman" w:hAnsi="Times New Roman" w:eastAsia="黑体" w:cs="Times New Roman"/>
          <w:b/>
          <w:bCs/>
          <w:color w:val="000000" w:themeColor="text1"/>
          <w:sz w:val="24"/>
          <w:highlight w:val="none"/>
          <w14:textFill>
            <w14:solidFill>
              <w14:schemeClr w14:val="tx1"/>
            </w14:solidFill>
          </w14:textFill>
        </w:rPr>
        <w:t>25.退出谈判</w:t>
      </w:r>
      <w:bookmarkEnd w:id="400"/>
      <w:bookmarkEnd w:id="401"/>
    </w:p>
    <w:p w14:paraId="4D6F6F9F">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25.1供应商在提交最后报价之前，</w:t>
      </w:r>
      <w:r>
        <w:rPr>
          <w:rFonts w:hint="default" w:ascii="Times New Roman" w:hAnsi="Times New Roman" w:eastAsia="宋体" w:cs="Times New Roman"/>
          <w:color w:val="000000" w:themeColor="text1"/>
          <w:kern w:val="0"/>
          <w:szCs w:val="21"/>
          <w:highlight w:val="none"/>
          <w14:textFill>
            <w14:solidFill>
              <w14:schemeClr w14:val="tx1"/>
            </w14:solidFill>
          </w14:textFill>
        </w:rPr>
        <w:t>可以根据谈判情况</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按照系统程序</w:t>
      </w:r>
      <w:r>
        <w:rPr>
          <w:rFonts w:hint="default" w:ascii="Times New Roman" w:hAnsi="Times New Roman" w:eastAsia="宋体" w:cs="Times New Roman"/>
          <w:color w:val="000000" w:themeColor="text1"/>
          <w:kern w:val="0"/>
          <w:szCs w:val="21"/>
          <w:highlight w:val="none"/>
          <w14:textFill>
            <w14:solidFill>
              <w14:schemeClr w14:val="tx1"/>
            </w14:solidFill>
          </w14:textFill>
        </w:rPr>
        <w:t>退出谈判</w:t>
      </w:r>
      <w:r>
        <w:rPr>
          <w:rFonts w:hint="default" w:ascii="Times New Roman" w:hAnsi="Times New Roman" w:cs="Times New Roman"/>
          <w:color w:val="000000" w:themeColor="text1"/>
          <w:highlight w:val="none"/>
          <w14:textFill>
            <w14:solidFill>
              <w14:schemeClr w14:val="tx1"/>
            </w14:solidFill>
          </w14:textFill>
        </w:rPr>
        <w:t>。采购人、</w:t>
      </w:r>
      <w:r>
        <w:rPr>
          <w:rFonts w:hint="default" w:ascii="Times New Roman" w:hAnsi="Times New Roman" w:cs="Times New Roman"/>
          <w:color w:val="000000" w:themeColor="text1"/>
          <w:kern w:val="0"/>
          <w:szCs w:val="21"/>
          <w:highlight w:val="none"/>
          <w14:textFill>
            <w14:solidFill>
              <w14:schemeClr w14:val="tx1"/>
            </w14:solidFill>
          </w14:textFill>
        </w:rPr>
        <w:t>采购代理机构</w:t>
      </w:r>
      <w:r>
        <w:rPr>
          <w:rFonts w:hint="default" w:ascii="Times New Roman" w:hAnsi="Times New Roman" w:cs="Times New Roman"/>
          <w:color w:val="000000" w:themeColor="text1"/>
          <w:kern w:val="0"/>
          <w:highlight w:val="none"/>
          <w14:textFill>
            <w14:solidFill>
              <w14:schemeClr w14:val="tx1"/>
            </w14:solidFill>
          </w14:textFill>
        </w:rPr>
        <w:t>按</w:t>
      </w:r>
      <w:r>
        <w:rPr>
          <w:rFonts w:hint="default" w:ascii="Times New Roman" w:hAnsi="Times New Roman" w:cs="Times New Roman"/>
          <w:color w:val="000000" w:themeColor="text1"/>
          <w:kern w:val="0"/>
          <w:szCs w:val="21"/>
          <w:highlight w:val="none"/>
          <w14:textFill>
            <w14:solidFill>
              <w14:schemeClr w14:val="tx1"/>
            </w14:solidFill>
          </w14:textFill>
        </w:rPr>
        <w:t>本章第</w:t>
      </w:r>
      <w:r>
        <w:rPr>
          <w:rFonts w:hint="default" w:ascii="Times New Roman" w:hAnsi="Times New Roman" w:cs="Times New Roman"/>
          <w:color w:val="000000" w:themeColor="text1"/>
          <w:highlight w:val="none"/>
          <w14:textFill>
            <w14:solidFill>
              <w14:schemeClr w14:val="tx1"/>
            </w14:solidFill>
          </w14:textFill>
        </w:rPr>
        <w:t>12.4</w:t>
      </w:r>
      <w:r>
        <w:rPr>
          <w:rFonts w:hint="default" w:ascii="Times New Roman" w:hAnsi="Times New Roman" w:cs="Times New Roman"/>
          <w:color w:val="000000" w:themeColor="text1"/>
          <w:kern w:val="0"/>
          <w:szCs w:val="21"/>
          <w:highlight w:val="none"/>
          <w:lang w:val="zh-CN"/>
          <w14:textFill>
            <w14:solidFill>
              <w14:schemeClr w14:val="tx1"/>
            </w14:solidFill>
          </w14:textFill>
        </w:rPr>
        <w:t>款</w:t>
      </w:r>
      <w:r>
        <w:rPr>
          <w:rFonts w:hint="default" w:ascii="Times New Roman" w:hAnsi="Times New Roman" w:cs="Times New Roman"/>
          <w:color w:val="000000" w:themeColor="text1"/>
          <w:highlight w:val="none"/>
          <w14:textFill>
            <w14:solidFill>
              <w14:schemeClr w14:val="tx1"/>
            </w14:solidFill>
          </w14:textFill>
        </w:rPr>
        <w:t>规定</w:t>
      </w:r>
      <w:r>
        <w:rPr>
          <w:rFonts w:hint="default" w:ascii="Times New Roman" w:hAnsi="Times New Roman" w:cs="Times New Roman"/>
          <w:color w:val="000000" w:themeColor="text1"/>
          <w:kern w:val="0"/>
          <w:szCs w:val="21"/>
          <w:highlight w:val="none"/>
          <w14:textFill>
            <w14:solidFill>
              <w14:schemeClr w14:val="tx1"/>
            </w14:solidFill>
          </w14:textFill>
        </w:rPr>
        <w:t>退还退出谈判的供应商的保证金。</w:t>
      </w:r>
    </w:p>
    <w:p w14:paraId="1978DA92">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25.2供应商参与谈判，但未提交最后报价又未按前款规定退出谈判的，保证金不予退还。</w:t>
      </w:r>
    </w:p>
    <w:p w14:paraId="40812C9D">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02" w:name="_Toc107997993"/>
      <w:bookmarkStart w:id="403" w:name="_Toc107997866"/>
      <w:r>
        <w:rPr>
          <w:rFonts w:hint="default" w:ascii="Times New Roman" w:hAnsi="Times New Roman" w:eastAsia="黑体" w:cs="Times New Roman"/>
          <w:b/>
          <w:bCs/>
          <w:color w:val="000000" w:themeColor="text1"/>
          <w:sz w:val="24"/>
          <w:highlight w:val="none"/>
          <w14:textFill>
            <w14:solidFill>
              <w14:schemeClr w14:val="tx1"/>
            </w14:solidFill>
          </w14:textFill>
        </w:rPr>
        <w:t>26.最后报价</w:t>
      </w:r>
      <w:bookmarkEnd w:id="402"/>
      <w:bookmarkEnd w:id="403"/>
    </w:p>
    <w:p w14:paraId="680DB536">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26.1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69108267">
      <w:pPr>
        <w:adjustRightInd w:val="0"/>
        <w:snapToGrid w:val="0"/>
        <w:spacing w:line="360" w:lineRule="auto"/>
        <w:ind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（1）谈判文件能够详细列明采购需求的技术、服务要求的，谈判结束后，谈判小组应当要求所有供应商在规定时间内提交最后报价。</w:t>
      </w:r>
    </w:p>
    <w:p w14:paraId="54D91B18">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52B7266">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26.2下列情形，谈判小组确认符合谈判文件规定的实质性要求和条件的供应商不少于3家，可以不与供应商谈判，直接要求符合谈判文件规定的实质性要求和条件的供应商提交最后报价。</w:t>
      </w:r>
    </w:p>
    <w:p w14:paraId="276F23A8">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（1）谈判文件未明确可能实质性变动的；</w:t>
      </w:r>
    </w:p>
    <w:p w14:paraId="0DF118D8">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（2）谈判文件明确可能实质性变动，但谈判小组对供应商提交的首次响应文件的有效性、完整性和响应程度进行审查后，认为谈判文件不需发生实质性变动、不需要谈判的。</w:t>
      </w:r>
    </w:p>
    <w:p w14:paraId="122BDBB0">
      <w:pPr>
        <w:spacing w:line="360" w:lineRule="auto"/>
        <w:outlineLvl w:val="3"/>
        <w:rPr>
          <w:rFonts w:hint="default" w:ascii="Times New Roman" w:hAnsi="Times New Roman" w:eastAsia="黑体" w:cs="Times New Roman"/>
          <w:b/>
          <w:bCs/>
          <w:color w:val="000000" w:themeColor="text1"/>
          <w:kern w:val="0"/>
          <w:sz w:val="24"/>
          <w:highlight w:val="none"/>
          <w14:textFill>
            <w14:solidFill>
              <w14:schemeClr w14:val="tx1"/>
            </w14:solidFill>
          </w14:textFill>
        </w:rPr>
      </w:pPr>
      <w:bookmarkStart w:id="404" w:name="_Toc107997994"/>
      <w:bookmarkStart w:id="405" w:name="_Toc107997867"/>
      <w:r>
        <w:rPr>
          <w:rFonts w:hint="default" w:ascii="Times New Roman" w:hAnsi="Times New Roman" w:eastAsia="黑体" w:cs="Times New Roman"/>
          <w:b/>
          <w:bCs/>
          <w:color w:val="000000" w:themeColor="text1"/>
          <w:sz w:val="24"/>
          <w:highlight w:val="none"/>
          <w14:textFill>
            <w14:solidFill>
              <w14:schemeClr w14:val="tx1"/>
            </w14:solidFill>
          </w14:textFill>
        </w:rPr>
        <w:t>27.异常报价</w:t>
      </w:r>
      <w:bookmarkEnd w:id="404"/>
      <w:bookmarkEnd w:id="405"/>
    </w:p>
    <w:p w14:paraId="51A028B8">
      <w:pPr>
        <w:adjustRightInd w:val="0"/>
        <w:snapToGrid w:val="0"/>
        <w:spacing w:line="360" w:lineRule="auto"/>
        <w:ind w:firstLine="420" w:firstLineChars="20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27</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Cs w:val="21"/>
          <w:highlight w:val="none"/>
          <w14:textFill>
            <w14:solidFill>
              <w14:schemeClr w14:val="tx1"/>
            </w14:solidFill>
          </w14:textFill>
        </w:rPr>
        <w:t>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67E560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bookmarkStart w:id="406" w:name="_Toc107997868"/>
      <w:bookmarkStart w:id="407" w:name="_Toc107997995"/>
      <w:r>
        <w:rPr>
          <w:rFonts w:hint="default" w:ascii="Times New Roman" w:hAnsi="Times New Roman" w:cs="Times New Roman"/>
          <w:bCs/>
          <w:color w:val="000000" w:themeColor="text1"/>
          <w:szCs w:val="21"/>
          <w:highlight w:val="none"/>
          <w14:textFill>
            <w14:solidFill>
              <w14:schemeClr w14:val="tx1"/>
            </w14:solidFill>
          </w14:textFill>
        </w:rPr>
        <w:t>27</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.2供应商</w:t>
      </w:r>
      <w:r>
        <w:rPr>
          <w:rFonts w:hint="default" w:ascii="Times New Roman" w:hAnsi="Times New Roman" w:eastAsia="宋体" w:cs="Times New Roman"/>
          <w:color w:val="000000" w:themeColor="text1"/>
          <w:szCs w:val="21"/>
          <w:highlight w:val="none"/>
          <w14:textFill>
            <w14:solidFill>
              <w14:schemeClr w14:val="tx1"/>
            </w14:solidFill>
          </w14:textFill>
        </w:rPr>
        <w:t>的报价符合下列情形之一的，</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谈判小组</w:t>
      </w:r>
      <w:r>
        <w:rPr>
          <w:rFonts w:hint="default" w:ascii="Times New Roman" w:hAnsi="Times New Roman" w:eastAsia="宋体" w:cs="Times New Roman"/>
          <w:color w:val="000000" w:themeColor="text1"/>
          <w:szCs w:val="21"/>
          <w:highlight w:val="none"/>
          <w14:textFill>
            <w14:solidFill>
              <w14:schemeClr w14:val="tx1"/>
            </w14:solidFill>
          </w14:textFill>
        </w:rPr>
        <w:t>应当启动异常低价投标审查程序：</w:t>
      </w:r>
    </w:p>
    <w:p w14:paraId="298908F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eastAsia="zh-CN"/>
          <w14:textFill>
            <w14:solidFill>
              <w14:schemeClr w14:val="tx1"/>
            </w14:solidFill>
          </w14:textFill>
        </w:rPr>
        <w:t>投标（响应）报价低于全部通过符合性审查供应商投标（响应）报价平均值50%的，即投标（响应）报价&lt;全部通过符合性审查供应商投标（响应）报价平均值×50%；</w:t>
      </w:r>
    </w:p>
    <w:p w14:paraId="2CA3F8F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eastAsia="zh-CN"/>
          <w14:textFill>
            <w14:solidFill>
              <w14:schemeClr w14:val="tx1"/>
            </w14:solidFill>
          </w14:textFill>
        </w:rPr>
        <w:t>投标（响应）报价低于通过符合性审查的次低报价供应商投标（响应）报价50%的，即投标（响应）报价&lt;通过符合性审查的次低报价供应商投标（响应）报价×50%；</w:t>
      </w:r>
    </w:p>
    <w:p w14:paraId="0DFE981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eastAsia="zh-CN"/>
          <w14:textFill>
            <w14:solidFill>
              <w14:schemeClr w14:val="tx1"/>
            </w14:solidFill>
          </w14:textFill>
        </w:rPr>
        <w:t>投标（响应）报价低于采购项目最高限价45%的，即投标（响应）报价&lt;采购项目最高限价×45%；</w:t>
      </w:r>
    </w:p>
    <w:p w14:paraId="7F99DDD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谈判小组</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认为供应商报价过低，有可能影响产品质量或者不能诚信履约的其他情形。相关法律法规对供应商报价有规定的，从其规定。</w:t>
      </w:r>
    </w:p>
    <w:p w14:paraId="64088F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谈判小组</w:t>
      </w:r>
      <w:r>
        <w:rPr>
          <w:rFonts w:hint="default" w:ascii="Times New Roman" w:hAnsi="Times New Roman" w:eastAsia="宋体" w:cs="Times New Roman"/>
          <w:color w:val="000000" w:themeColor="text1"/>
          <w:szCs w:val="21"/>
          <w:highlight w:val="none"/>
          <w14:textFill>
            <w14:solidFill>
              <w14:schemeClr w14:val="tx1"/>
            </w14:solidFill>
          </w14:textFill>
        </w:rPr>
        <w:t>启动异常低价投标审查后，属于前述第（1）项至第（4）项情形的，应当要求相关</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在合理的时间内对投标价格作出解释，提供项目具体成本测算等与报价合理性相关的书面说明及必要的证明材料，包括但不限于原材料成本、人工成本、制造费用等，给予相关</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szCs w:val="21"/>
          <w:highlight w:val="none"/>
          <w14:textFill>
            <w14:solidFill>
              <w14:schemeClr w14:val="tx1"/>
            </w14:solidFill>
          </w14:textFill>
        </w:rPr>
        <w:t>的合理时间一般不少于30分钟。其中，属于第（3）项情形，</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谈判小组</w:t>
      </w:r>
      <w:r>
        <w:rPr>
          <w:rFonts w:hint="default" w:ascii="Times New Roman" w:hAnsi="Times New Roman" w:eastAsia="宋体" w:cs="Times New Roman"/>
          <w:color w:val="000000" w:themeColor="text1"/>
          <w:szCs w:val="21"/>
          <w:highlight w:val="none"/>
          <w14:textFill>
            <w14:solidFill>
              <w14:schemeClr w14:val="tx1"/>
            </w14:solidFill>
          </w14:textFill>
        </w:rPr>
        <w:t>已随</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szCs w:val="21"/>
          <w:highlight w:val="none"/>
          <w14:textFill>
            <w14:solidFill>
              <w14:schemeClr w14:val="tx1"/>
            </w14:solidFill>
          </w14:textFill>
        </w:rPr>
        <w:t>文件一并提交相关书面说明及必要的证明材料的，可不再重复提交。 </w:t>
      </w:r>
    </w:p>
    <w:p w14:paraId="5BA470B9">
      <w:pPr>
        <w:adjustRightInd/>
        <w:snapToGrid/>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谈判小组</w:t>
      </w:r>
      <w:r>
        <w:rPr>
          <w:rFonts w:hint="default" w:ascii="Times New Roman" w:hAnsi="Times New Roman" w:eastAsia="宋体" w:cs="Times New Roman"/>
          <w:color w:val="000000" w:themeColor="text1"/>
          <w:szCs w:val="21"/>
          <w:highlight w:val="none"/>
          <w14:textFill>
            <w14:solidFill>
              <w14:schemeClr w14:val="tx1"/>
            </w14:solidFill>
          </w14:textFill>
        </w:rPr>
        <w:t>依据专业经验，参考同类项目</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中标（成交）价格、在主要电商平台的价格、行业薪资水平等情况</w:t>
      </w:r>
      <w:r>
        <w:rPr>
          <w:rFonts w:hint="default" w:ascii="Times New Roman" w:hAnsi="Times New Roman" w:eastAsia="宋体" w:cs="Times New Roman"/>
          <w:color w:val="000000" w:themeColor="text1"/>
          <w:szCs w:val="21"/>
          <w:highlight w:val="none"/>
          <w14:textFill>
            <w14:solidFill>
              <w14:schemeClr w14:val="tx1"/>
            </w14:solidFill>
          </w14:textFill>
        </w:rPr>
        <w:t>，对报价合理性进行判断。</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依据专业经验对报价合理性进行判断。投标（响应）供应商不能提供书面说明、证明材料，或者提供的书面说明、证明材料不能证明其报价合理性的，评审委员会应当将其作为无效投标（响应）处理，并在评审报告中记录审查相关情况</w:t>
      </w:r>
      <w:r>
        <w:rPr>
          <w:rFonts w:hint="default" w:ascii="Times New Roman" w:hAnsi="Times New Roman" w:eastAsia="宋体" w:cs="Times New Roman"/>
          <w:color w:val="000000" w:themeColor="text1"/>
          <w:szCs w:val="21"/>
          <w:highlight w:val="none"/>
          <w14:textFill>
            <w14:solidFill>
              <w14:schemeClr w14:val="tx1"/>
            </w14:solidFill>
          </w14:textFill>
        </w:rPr>
        <w:t>。</w:t>
      </w:r>
    </w:p>
    <w:p w14:paraId="09261C73">
      <w:pPr>
        <w:adjustRightInd/>
        <w:snapToGrid/>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采购人、采购代理机构应当为</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谈判小组</w:t>
      </w:r>
      <w:r>
        <w:rPr>
          <w:rFonts w:hint="default" w:ascii="Times New Roman" w:hAnsi="Times New Roman" w:eastAsia="宋体" w:cs="Times New Roman"/>
          <w:color w:val="000000" w:themeColor="text1"/>
          <w:kern w:val="0"/>
          <w:szCs w:val="21"/>
          <w:highlight w:val="none"/>
          <w14:textFill>
            <w14:solidFill>
              <w14:schemeClr w14:val="tx1"/>
            </w14:solidFill>
          </w14:textFill>
        </w:rPr>
        <w:t>在评审现场及时获取同类项目成交价格、类似产品市场价格水平、行业人工费用标准、国家有关部门指导行业协会发布的行业平均成本等相关信息资料提供便利。</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谈判小组</w:t>
      </w:r>
      <w:r>
        <w:rPr>
          <w:rFonts w:hint="default" w:ascii="Times New Roman" w:hAnsi="Times New Roman" w:eastAsia="宋体" w:cs="Times New Roman"/>
          <w:color w:val="000000" w:themeColor="text1"/>
          <w:kern w:val="0"/>
          <w:szCs w:val="21"/>
          <w:highlight w:val="none"/>
          <w14:textFill>
            <w14:solidFill>
              <w14:schemeClr w14:val="tx1"/>
            </w14:solidFill>
          </w14:textFill>
        </w:rPr>
        <w:t>借助互联网等渠道查询相关信息的，应当严格遵守评审工作纪律，不得实施影响评审公正的行为。 </w:t>
      </w:r>
    </w:p>
    <w:p w14:paraId="128C92D0">
      <w:pPr>
        <w:adjustRightInd/>
        <w:snapToGrid/>
        <w:spacing w:line="360" w:lineRule="auto"/>
        <w:ind w:firstLine="420" w:firstLineChars="200"/>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异常低价响应审查的启动原因、审查意见和审查结果应当在评审报告中记录，并随供应商提供的相关书面说明及证明材料，以及</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谈判小组</w:t>
      </w:r>
      <w:r>
        <w:rPr>
          <w:rFonts w:hint="default" w:ascii="Times New Roman" w:hAnsi="Times New Roman" w:eastAsia="宋体" w:cs="Times New Roman"/>
          <w:color w:val="000000" w:themeColor="text1"/>
          <w:kern w:val="0"/>
          <w:szCs w:val="21"/>
          <w:highlight w:val="none"/>
          <w14:textFill>
            <w14:solidFill>
              <w14:schemeClr w14:val="tx1"/>
            </w14:solidFill>
          </w14:textFill>
        </w:rPr>
        <w:t>有关互联网浏览、查询历史一并归档。 </w:t>
      </w:r>
    </w:p>
    <w:p w14:paraId="0ACB79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27.3</w:t>
      </w:r>
      <w:r>
        <w:rPr>
          <w:rFonts w:hint="default" w:ascii="Times New Roman" w:hAnsi="Times New Roman" w:eastAsia="宋体" w:cs="Times New Roman"/>
          <w:color w:val="000000" w:themeColor="text1"/>
          <w:kern w:val="0"/>
          <w:szCs w:val="21"/>
          <w:highlight w:val="none"/>
          <w14:textFill>
            <w14:solidFill>
              <w14:schemeClr w14:val="tx1"/>
            </w14:solidFill>
          </w14:textFill>
        </w:rPr>
        <w:t>财政部门在投诉处理、监督检查中发现</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谈判小组</w:t>
      </w:r>
      <w:r>
        <w:rPr>
          <w:rFonts w:hint="default" w:ascii="Times New Roman" w:hAnsi="Times New Roman" w:eastAsia="宋体" w:cs="Times New Roman"/>
          <w:color w:val="000000" w:themeColor="text1"/>
          <w:kern w:val="0"/>
          <w:szCs w:val="21"/>
          <w:highlight w:val="none"/>
          <w14:textFill>
            <w14:solidFill>
              <w14:schemeClr w14:val="tx1"/>
            </w14:solidFill>
          </w14:textFill>
        </w:rPr>
        <w:t>未按规定对异常低价开展审查的，依法予以纠正并追究评审专家的法律责任</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p w14:paraId="1DB07117">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kern w:val="0"/>
          <w:sz w:val="24"/>
          <w:highlight w:val="none"/>
          <w14:textFill>
            <w14:solidFill>
              <w14:schemeClr w14:val="tx1"/>
            </w14:solidFill>
          </w14:textFill>
        </w:rPr>
        <w:t>28.</w:t>
      </w:r>
      <w:r>
        <w:rPr>
          <w:rFonts w:hint="default" w:ascii="Times New Roman" w:hAnsi="Times New Roman" w:eastAsia="黑体" w:cs="Times New Roman"/>
          <w:b/>
          <w:bCs/>
          <w:color w:val="000000" w:themeColor="text1"/>
          <w:sz w:val="24"/>
          <w:highlight w:val="none"/>
          <w14:textFill>
            <w14:solidFill>
              <w14:schemeClr w14:val="tx1"/>
            </w14:solidFill>
          </w14:textFill>
        </w:rPr>
        <w:t>提出成交供应商</w:t>
      </w:r>
      <w:bookmarkEnd w:id="406"/>
      <w:bookmarkEnd w:id="407"/>
    </w:p>
    <w:p w14:paraId="071CC5E1">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28.1谈判小组应当从质量和服务均能满足采购文件实质性响应要求的供应商中，按照最后报价由低到高的顺序提出3名以上成交候选人，并编写评审报告。</w:t>
      </w:r>
    </w:p>
    <w:p w14:paraId="08203BD2">
      <w:pPr>
        <w:adjustRightInd w:val="0"/>
        <w:snapToGrid w:val="0"/>
        <w:spacing w:line="360" w:lineRule="auto"/>
        <w:ind w:firstLine="42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28.2供应商最后报价涉及算术修正、需落实政府采购政策的，按上款规定由低到高的顺序排序。</w:t>
      </w:r>
      <w:r>
        <w:rPr>
          <w:rFonts w:hint="default" w:ascii="Times New Roman" w:hAnsi="Times New Roman" w:cs="Times New Roman"/>
          <w:color w:val="000000" w:themeColor="text1"/>
          <w:szCs w:val="21"/>
          <w:highlight w:val="none"/>
          <w14:textFill>
            <w14:solidFill>
              <w14:schemeClr w14:val="tx1"/>
            </w14:solidFill>
          </w14:textFill>
        </w:rPr>
        <w:t>最后报价排序相同的并列</w:t>
      </w:r>
      <w:r>
        <w:rPr>
          <w:rFonts w:hint="default" w:ascii="Times New Roman" w:hAnsi="Times New Roman" w:cs="Times New Roman"/>
          <w:bCs/>
          <w:color w:val="000000" w:themeColor="text1"/>
          <w:szCs w:val="21"/>
          <w:highlight w:val="none"/>
          <w14:textFill>
            <w14:solidFill>
              <w14:schemeClr w14:val="tx1"/>
            </w14:solidFill>
          </w14:textFill>
        </w:rPr>
        <w:t>。</w:t>
      </w:r>
    </w:p>
    <w:p w14:paraId="30296A0C">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28.3</w:t>
      </w:r>
      <w:r>
        <w:rPr>
          <w:rFonts w:hint="default" w:ascii="Times New Roman" w:hAnsi="Times New Roman" w:cs="Times New Roman"/>
          <w:color w:val="000000" w:themeColor="text1"/>
          <w:kern w:val="0"/>
          <w:szCs w:val="21"/>
          <w:highlight w:val="none"/>
          <w14:textFill>
            <w14:solidFill>
              <w14:schemeClr w14:val="tx1"/>
            </w14:solidFill>
          </w14:textFill>
        </w:rPr>
        <w:t>最后报价有算术错误的，除</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kern w:val="0"/>
          <w:szCs w:val="21"/>
          <w:highlight w:val="none"/>
          <w14:textFill>
            <w14:solidFill>
              <w14:schemeClr w14:val="tx1"/>
            </w14:solidFill>
          </w14:textFill>
        </w:rPr>
        <w:t>另有规定外，谈判小组按以下原则对报价进行修正，修正的价格经供应商书面确认，并由供应商代表签字或者加盖单位公章确认后产生约束力，供应商不接受修正价格的，其报价作无效报价处理。</w:t>
      </w:r>
    </w:p>
    <w:p w14:paraId="3B1AED29">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（1）大写金额与小写金额不一致的，以大写金额为准。</w:t>
      </w:r>
    </w:p>
    <w:p w14:paraId="0D8FD1C7">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（2）总价金额与按单价汇总金额不一致的，以单价金额计算结果为准。</w:t>
      </w:r>
    </w:p>
    <w:p w14:paraId="78755E08">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修正后的报价由供应商代表签字或者加盖单位公章确认后产生约束力，不确认的，其报价无效。</w:t>
      </w:r>
    </w:p>
    <w:p w14:paraId="6203D028">
      <w:pPr>
        <w:adjustRightInd w:val="0"/>
        <w:snapToGrid w:val="0"/>
        <w:spacing w:line="360" w:lineRule="auto"/>
        <w:ind w:firstLine="420" w:firstLineChars="20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28.4最后报价的评审</w:t>
      </w:r>
    </w:p>
    <w:p w14:paraId="46863CD9">
      <w:pPr>
        <w:adjustRightInd w:val="0"/>
        <w:snapToGrid w:val="0"/>
        <w:spacing w:line="360" w:lineRule="auto"/>
        <w:ind w:firstLine="420" w:firstLineChars="20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（1）如果有算术错误，最后报价将按上款规定进行算术修正。</w:t>
      </w:r>
    </w:p>
    <w:p w14:paraId="517A5224">
      <w:pPr>
        <w:adjustRightInd w:val="0"/>
        <w:snapToGrid w:val="0"/>
        <w:spacing w:line="360" w:lineRule="auto"/>
        <w:ind w:firstLine="420" w:firstLineChars="20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（2）需落实政府采购政策（优先采购、价格评审优惠）的，按本章本节第40、41条等相关规定进行价格扣除。</w:t>
      </w:r>
    </w:p>
    <w:p w14:paraId="294A5029">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08" w:name="_Toc107997996"/>
      <w:bookmarkStart w:id="409" w:name="_Toc107997869"/>
      <w:r>
        <w:rPr>
          <w:rFonts w:hint="default" w:ascii="Times New Roman" w:hAnsi="Times New Roman" w:eastAsia="黑体" w:cs="Times New Roman"/>
          <w:b/>
          <w:bCs/>
          <w:color w:val="000000" w:themeColor="text1"/>
          <w:sz w:val="24"/>
          <w:highlight w:val="none"/>
          <w14:textFill>
            <w14:solidFill>
              <w14:schemeClr w14:val="tx1"/>
            </w14:solidFill>
          </w14:textFill>
        </w:rPr>
        <w:t>29.确定成交供应商</w:t>
      </w:r>
      <w:bookmarkEnd w:id="408"/>
      <w:bookmarkEnd w:id="409"/>
    </w:p>
    <w:p w14:paraId="1896B947">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29.1采购代理机构应当在评审结束后2个工作日内将评审报告送采购人确认。</w:t>
      </w:r>
    </w:p>
    <w:p w14:paraId="38DDD6E3">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28435D66">
      <w:pPr>
        <w:adjustRightInd w:val="0"/>
        <w:snapToGrid w:val="0"/>
        <w:spacing w:line="360" w:lineRule="auto"/>
        <w:ind w:firstLine="42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29.3成交候选人并列的，由采购人自行确定成交供应商。</w:t>
      </w:r>
    </w:p>
    <w:p w14:paraId="2B762633">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10" w:name="_Toc107997870"/>
      <w:bookmarkStart w:id="411" w:name="_Toc107997997"/>
      <w:r>
        <w:rPr>
          <w:rFonts w:hint="default" w:ascii="Times New Roman" w:hAnsi="Times New Roman" w:eastAsia="黑体" w:cs="Times New Roman"/>
          <w:b/>
          <w:bCs/>
          <w:color w:val="000000" w:themeColor="text1"/>
          <w:sz w:val="24"/>
          <w:highlight w:val="none"/>
          <w14:textFill>
            <w14:solidFill>
              <w14:schemeClr w14:val="tx1"/>
            </w14:solidFill>
          </w14:textFill>
        </w:rPr>
        <w:t>30.谈判的特殊情形</w:t>
      </w:r>
      <w:bookmarkEnd w:id="410"/>
      <w:bookmarkEnd w:id="411"/>
    </w:p>
    <w:p w14:paraId="35EBFC9F">
      <w:pPr>
        <w:adjustRightInd w:val="0"/>
        <w:snapToGrid w:val="0"/>
        <w:spacing w:line="360" w:lineRule="auto"/>
        <w:ind w:firstLine="420" w:firstLineChars="200"/>
        <w:rPr>
          <w:rFonts w:hint="default" w:ascii="Times New Roman" w:hAnsi="Times New Roman" w:cs="Times New Roman"/>
          <w:color w:val="000000" w:themeColor="text1"/>
          <w:kern w:val="0"/>
          <w:highlight w:val="none"/>
          <w:lang w:val="zh-CN"/>
          <w14:textFill>
            <w14:solidFill>
              <w14:schemeClr w14:val="tx1"/>
            </w14:solidFill>
          </w14:textFill>
        </w:rPr>
      </w:pPr>
      <w:r>
        <w:rPr>
          <w:rFonts w:hint="default" w:ascii="Times New Roman" w:hAnsi="Times New Roman" w:cs="Times New Roman"/>
          <w:color w:val="000000" w:themeColor="text1"/>
          <w:kern w:val="0"/>
          <w:highlight w:val="none"/>
          <w:lang w:val="zh-CN"/>
          <w14:textFill>
            <w14:solidFill>
              <w14:schemeClr w14:val="tx1"/>
            </w14:solidFill>
          </w14:textFill>
        </w:rPr>
        <w:t>30.1对于经公开招标的货物、服务采购项目，招标过程中提交投标文件或者经评审实质性响应招标文件要求的供应商只有2家的，采购人在本次谈判采购活动开始前，报经主管预算单位同意，公开招标限额标准以上的经本级财政部门批准，可以与该两家供应商进行竞争性谈判采购。</w:t>
      </w:r>
    </w:p>
    <w:p w14:paraId="255D7A7F">
      <w:pPr>
        <w:adjustRightInd w:val="0"/>
        <w:snapToGrid w:val="0"/>
        <w:spacing w:line="360" w:lineRule="auto"/>
        <w:ind w:firstLine="420" w:firstLineChars="200"/>
        <w:rPr>
          <w:rFonts w:hint="default" w:ascii="Times New Roman" w:hAnsi="Times New Roman" w:cs="Times New Roman"/>
          <w:color w:val="000000" w:themeColor="text1"/>
          <w:kern w:val="0"/>
          <w:highlight w:val="none"/>
          <w:lang w:val="zh-CN"/>
          <w14:textFill>
            <w14:solidFill>
              <w14:schemeClr w14:val="tx1"/>
            </w14:solidFill>
          </w14:textFill>
        </w:rPr>
      </w:pPr>
      <w:r>
        <w:rPr>
          <w:rFonts w:hint="default" w:ascii="Times New Roman" w:hAnsi="Times New Roman" w:cs="Times New Roman"/>
          <w:color w:val="000000" w:themeColor="text1"/>
          <w:kern w:val="0"/>
          <w:highlight w:val="none"/>
          <w:lang w:val="zh-CN"/>
          <w14:textFill>
            <w14:solidFill>
              <w14:schemeClr w14:val="tx1"/>
            </w14:solidFill>
          </w14:textFill>
        </w:rPr>
        <w:t>30.2</w:t>
      </w:r>
      <w:r>
        <w:rPr>
          <w:rFonts w:hint="default" w:ascii="Times New Roman" w:hAnsi="Times New Roman" w:cs="Times New Roman"/>
          <w:color w:val="000000" w:themeColor="text1"/>
          <w:kern w:val="0"/>
          <w:szCs w:val="21"/>
          <w:highlight w:val="none"/>
          <w14:textFill>
            <w14:solidFill>
              <w14:schemeClr w14:val="tx1"/>
            </w14:solidFill>
          </w14:textFill>
        </w:rPr>
        <w:t>符合上款情形的，本章本节相关条款规定的供应商最低数量可以为两家。</w:t>
      </w:r>
    </w:p>
    <w:p w14:paraId="2F09FDE9">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12" w:name="_Toc107997871"/>
      <w:bookmarkStart w:id="413" w:name="_Toc107997998"/>
      <w:r>
        <w:rPr>
          <w:rFonts w:hint="default" w:ascii="Times New Roman" w:hAnsi="Times New Roman" w:eastAsia="黑体" w:cs="Times New Roman"/>
          <w:b/>
          <w:bCs/>
          <w:color w:val="000000" w:themeColor="text1"/>
          <w:sz w:val="24"/>
          <w:highlight w:val="none"/>
          <w14:textFill>
            <w14:solidFill>
              <w14:schemeClr w14:val="tx1"/>
            </w14:solidFill>
          </w14:textFill>
        </w:rPr>
        <w:t>31.谈判终止</w:t>
      </w:r>
      <w:bookmarkEnd w:id="412"/>
      <w:bookmarkEnd w:id="413"/>
    </w:p>
    <w:p w14:paraId="1D2B7A71">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31.1</w:t>
      </w:r>
      <w:r>
        <w:rPr>
          <w:rFonts w:hint="default" w:ascii="Times New Roman" w:hAnsi="Times New Roman" w:cs="Times New Roman"/>
          <w:color w:val="000000" w:themeColor="text1"/>
          <w:kern w:val="0"/>
          <w:szCs w:val="21"/>
          <w:highlight w:val="none"/>
          <w14:textFill>
            <w14:solidFill>
              <w14:schemeClr w14:val="tx1"/>
            </w14:solidFill>
          </w14:textFill>
        </w:rPr>
        <w:t>出现下列情形之一的，采购人、采购代理机构应当终止竞争性谈判采购活动，</w:t>
      </w:r>
      <w:r>
        <w:rPr>
          <w:rFonts w:hint="default" w:ascii="Times New Roman" w:hAnsi="Times New Roman" w:cs="Times New Roman"/>
          <w:color w:val="000000" w:themeColor="text1"/>
          <w:highlight w:val="none"/>
          <w14:textFill>
            <w14:solidFill>
              <w14:schemeClr w14:val="tx1"/>
            </w14:solidFill>
          </w14:textFill>
        </w:rPr>
        <w:t>在指定的媒体上</w:t>
      </w:r>
      <w:r>
        <w:rPr>
          <w:rFonts w:hint="default" w:ascii="Times New Roman" w:hAnsi="Times New Roman" w:cs="Times New Roman"/>
          <w:color w:val="000000" w:themeColor="text1"/>
          <w:kern w:val="0"/>
          <w:szCs w:val="21"/>
          <w:highlight w:val="none"/>
          <w14:textFill>
            <w14:solidFill>
              <w14:schemeClr w14:val="tx1"/>
            </w14:solidFill>
          </w14:textFill>
        </w:rPr>
        <w:t xml:space="preserve">发布项目终止公告并说明原因，重新开展采购活动： </w:t>
      </w:r>
    </w:p>
    <w:p w14:paraId="06F6F39D">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（1）因情况变化，不再符合规定的竞争性谈判采购方式适用情形的；</w:t>
      </w:r>
    </w:p>
    <w:p w14:paraId="6FC4474F">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（2）出现影响采购公正的违法、违规行为的；</w:t>
      </w:r>
    </w:p>
    <w:p w14:paraId="4EB93A8F">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（3）在采购过程中符合竞争要求的供应商或者报价未超过采购预算的供应商不足3家的，或者提交最后报价的供应商少于3家的；</w:t>
      </w:r>
    </w:p>
    <w:p w14:paraId="2DEABD24">
      <w:pPr>
        <w:adjustRightInd w:val="0"/>
        <w:snapToGrid w:val="0"/>
        <w:spacing w:line="360" w:lineRule="auto"/>
        <w:ind w:firstLine="42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（4）</w:t>
      </w:r>
      <w:r>
        <w:rPr>
          <w:rFonts w:hint="default" w:ascii="Times New Roman" w:hAnsi="Times New Roman" w:cs="Times New Roman"/>
          <w:bCs/>
          <w:color w:val="000000" w:themeColor="text1"/>
          <w:szCs w:val="21"/>
          <w:highlight w:val="none"/>
          <w14:textFill>
            <w14:solidFill>
              <w14:schemeClr w14:val="tx1"/>
            </w14:solidFill>
          </w14:textFill>
        </w:rPr>
        <w:t>因重大变故，采购任务取消的。</w:t>
      </w:r>
    </w:p>
    <w:p w14:paraId="0519FFBD">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14" w:name="_Toc107997872"/>
      <w:bookmarkStart w:id="415" w:name="_Toc107997999"/>
      <w:r>
        <w:rPr>
          <w:rFonts w:hint="default" w:ascii="Times New Roman" w:hAnsi="Times New Roman" w:eastAsia="黑体" w:cs="Times New Roman"/>
          <w:b/>
          <w:bCs/>
          <w:color w:val="000000" w:themeColor="text1"/>
          <w:sz w:val="24"/>
          <w:highlight w:val="none"/>
          <w14:textFill>
            <w14:solidFill>
              <w14:schemeClr w14:val="tx1"/>
            </w14:solidFill>
          </w14:textFill>
        </w:rPr>
        <w:t>32.重新评审</w:t>
      </w:r>
      <w:bookmarkEnd w:id="414"/>
      <w:bookmarkEnd w:id="415"/>
    </w:p>
    <w:p w14:paraId="713A7055">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32.1除资格性审查认定错误和价格计算错误外，采购人、采购代理机构不以任何理由组织重新评审。</w:t>
      </w:r>
    </w:p>
    <w:p w14:paraId="6CB8F241">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32.2采购人、采购代理机构发现谈判小组未按照谈判文件规定的评定成交的标准进行评审的，应当重新开展采购活动，并同时书面报告本级财政部门。</w:t>
      </w:r>
    </w:p>
    <w:p w14:paraId="6BA79904">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16" w:name="_Toc107997873"/>
      <w:bookmarkStart w:id="417" w:name="_Toc107998000"/>
      <w:r>
        <w:rPr>
          <w:rFonts w:hint="default" w:ascii="Times New Roman" w:hAnsi="Times New Roman" w:eastAsia="黑体" w:cs="Times New Roman"/>
          <w:b/>
          <w:bCs/>
          <w:color w:val="000000" w:themeColor="text1"/>
          <w:sz w:val="24"/>
          <w:highlight w:val="none"/>
          <w14:textFill>
            <w14:solidFill>
              <w14:schemeClr w14:val="tx1"/>
            </w14:solidFill>
          </w14:textFill>
        </w:rPr>
        <w:t>33.保密及串通行为</w:t>
      </w:r>
      <w:bookmarkEnd w:id="416"/>
      <w:bookmarkEnd w:id="417"/>
    </w:p>
    <w:p w14:paraId="58B0DF83">
      <w:pPr>
        <w:adjustRightInd w:val="0"/>
        <w:snapToGrid w:val="0"/>
        <w:spacing w:line="360" w:lineRule="auto"/>
        <w:ind w:firstLine="42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33.1谈判小组成员以及与评审工作有关的人员不得泄露评审情况以及评审过程中获悉的国家秘密、商业秘密。</w:t>
      </w:r>
    </w:p>
    <w:p w14:paraId="6DE644EB">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33.2</w:t>
      </w:r>
      <w:r>
        <w:rPr>
          <w:rFonts w:hint="default" w:ascii="Times New Roman" w:hAnsi="Times New Roman" w:cs="Times New Roman"/>
          <w:color w:val="000000" w:themeColor="text1"/>
          <w:kern w:val="0"/>
          <w:szCs w:val="21"/>
          <w:highlight w:val="none"/>
          <w14:textFill>
            <w14:solidFill>
              <w14:schemeClr w14:val="tx1"/>
            </w14:solidFill>
          </w14:textFill>
        </w:rPr>
        <w:t>供应商</w:t>
      </w:r>
      <w:r>
        <w:rPr>
          <w:rFonts w:hint="default" w:ascii="Times New Roman" w:hAnsi="Times New Roman" w:cs="Times New Roman"/>
          <w:color w:val="000000" w:themeColor="text1"/>
          <w:szCs w:val="21"/>
          <w:highlight w:val="none"/>
          <w14:textFill>
            <w14:solidFill>
              <w14:schemeClr w14:val="tx1"/>
            </w14:solidFill>
          </w14:textFill>
        </w:rPr>
        <w:t>不得与</w:t>
      </w:r>
      <w:r>
        <w:rPr>
          <w:rFonts w:hint="default" w:ascii="Times New Roman" w:hAnsi="Times New Roman" w:cs="Times New Roman"/>
          <w:color w:val="000000" w:themeColor="text1"/>
          <w:kern w:val="0"/>
          <w:szCs w:val="21"/>
          <w:highlight w:val="none"/>
          <w14:textFill>
            <w14:solidFill>
              <w14:schemeClr w14:val="tx1"/>
            </w14:solidFill>
          </w14:textFill>
        </w:rPr>
        <w:t>采购人、采购代理机构、其他供应商恶意</w:t>
      </w:r>
      <w:r>
        <w:rPr>
          <w:rFonts w:hint="default" w:ascii="Times New Roman" w:hAnsi="Times New Roman" w:cs="Times New Roman"/>
          <w:color w:val="000000" w:themeColor="text1"/>
          <w:szCs w:val="21"/>
          <w:highlight w:val="none"/>
          <w14:textFill>
            <w14:solidFill>
              <w14:schemeClr w14:val="tx1"/>
            </w14:solidFill>
          </w14:textFill>
        </w:rPr>
        <w:t>串通；不得向</w:t>
      </w:r>
      <w:r>
        <w:rPr>
          <w:rFonts w:hint="default" w:ascii="Times New Roman" w:hAnsi="Times New Roman" w:cs="Times New Roman"/>
          <w:color w:val="000000" w:themeColor="text1"/>
          <w:kern w:val="0"/>
          <w:szCs w:val="21"/>
          <w:highlight w:val="none"/>
          <w14:textFill>
            <w14:solidFill>
              <w14:schemeClr w14:val="tx1"/>
            </w14:solidFill>
          </w14:textFill>
        </w:rPr>
        <w:t>采购人、采购代理机构</w:t>
      </w:r>
      <w:r>
        <w:rPr>
          <w:rFonts w:hint="default" w:ascii="Times New Roman" w:hAnsi="Times New Roman" w:cs="Times New Roman"/>
          <w:color w:val="000000" w:themeColor="text1"/>
          <w:szCs w:val="21"/>
          <w:highlight w:val="none"/>
          <w14:textFill>
            <w14:solidFill>
              <w14:schemeClr w14:val="tx1"/>
            </w14:solidFill>
          </w14:textFill>
        </w:rPr>
        <w:t>或者谈判小组成员行贿或者提供其他不正当利益；不得提供虚假材料谋取成交；不得以任何方式干扰、影响采购工作。</w:t>
      </w:r>
    </w:p>
    <w:p w14:paraId="0E527F09">
      <w:pPr>
        <w:adjustRightInd w:val="0"/>
        <w:snapToGrid w:val="0"/>
        <w:spacing w:line="360" w:lineRule="auto"/>
        <w:ind w:firstLine="420" w:firstLineChars="200"/>
        <w:jc w:val="left"/>
        <w:rPr>
          <w:rFonts w:hint="default" w:ascii="Times New Roman" w:hAnsi="Times New Roman" w:cs="Times New Roman"/>
          <w:color w:val="000000" w:themeColor="text1"/>
          <w:kern w:val="0"/>
          <w:szCs w:val="21"/>
          <w:highlight w:val="none"/>
          <w:lang w:val="zh-CN"/>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33.3有下列情形之一的，</w:t>
      </w:r>
      <w:r>
        <w:rPr>
          <w:rFonts w:hint="default" w:ascii="Times New Roman" w:hAnsi="Times New Roman" w:cs="Times New Roman"/>
          <w:color w:val="000000" w:themeColor="text1"/>
          <w:kern w:val="0"/>
          <w:szCs w:val="21"/>
          <w:highlight w:val="none"/>
          <w:lang w:val="zh-CN"/>
          <w14:textFill>
            <w14:solidFill>
              <w14:schemeClr w14:val="tx1"/>
            </w14:solidFill>
          </w14:textFill>
        </w:rPr>
        <w:t>属于恶意串通，</w:t>
      </w:r>
      <w:r>
        <w:rPr>
          <w:rFonts w:hint="default" w:ascii="Times New Roman" w:hAnsi="Times New Roman" w:cs="Times New Roman"/>
          <w:color w:val="000000" w:themeColor="text1"/>
          <w:kern w:val="0"/>
          <w:szCs w:val="21"/>
          <w:highlight w:val="none"/>
          <w14:textFill>
            <w14:solidFill>
              <w14:schemeClr w14:val="tx1"/>
            </w14:solidFill>
          </w14:textFill>
        </w:rPr>
        <w:t>成交无效，并</w:t>
      </w:r>
      <w:r>
        <w:rPr>
          <w:rFonts w:hint="default" w:ascii="Times New Roman" w:hAnsi="Times New Roman" w:cs="Times New Roman"/>
          <w:color w:val="000000" w:themeColor="text1"/>
          <w:kern w:val="0"/>
          <w:szCs w:val="21"/>
          <w:highlight w:val="none"/>
          <w:lang w:val="zh-CN"/>
          <w14:textFill>
            <w14:solidFill>
              <w14:schemeClr w14:val="tx1"/>
            </w14:solidFill>
          </w14:textFill>
        </w:rPr>
        <w:t>依照《政府采购法》第七十七条的规定追究法律责任：</w:t>
      </w:r>
    </w:p>
    <w:p w14:paraId="485EF747">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（1）供应商直接或者间接从</w:t>
      </w:r>
      <w:r>
        <w:rPr>
          <w:rFonts w:hint="default" w:ascii="Times New Roman" w:hAnsi="Times New Roman" w:cs="Times New Roman"/>
          <w:bCs/>
          <w:color w:val="000000" w:themeColor="text1"/>
          <w:szCs w:val="21"/>
          <w:highlight w:val="none"/>
          <w14:textFill>
            <w14:solidFill>
              <w14:schemeClr w14:val="tx1"/>
            </w14:solidFill>
          </w14:textFill>
        </w:rPr>
        <w:t>采购人、采购代理机构</w:t>
      </w:r>
      <w:r>
        <w:rPr>
          <w:rFonts w:hint="default" w:ascii="Times New Roman" w:hAnsi="Times New Roman" w:cs="Times New Roman"/>
          <w:color w:val="000000" w:themeColor="text1"/>
          <w:szCs w:val="21"/>
          <w:highlight w:val="none"/>
          <w14:textFill>
            <w14:solidFill>
              <w14:schemeClr w14:val="tx1"/>
            </w14:solidFill>
          </w14:textFill>
        </w:rPr>
        <w:t>获得其他供应商的响应情况，并修改其响应文件</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37EB66D5">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w:t>
      </w:r>
      <w:r>
        <w:rPr>
          <w:rFonts w:hint="default" w:ascii="Times New Roman" w:hAnsi="Times New Roman" w:cs="Times New Roman"/>
          <w:bCs/>
          <w:color w:val="000000" w:themeColor="text1"/>
          <w:szCs w:val="21"/>
          <w:highlight w:val="none"/>
          <w14:textFill>
            <w14:solidFill>
              <w14:schemeClr w14:val="tx1"/>
            </w14:solidFill>
          </w14:textFill>
        </w:rPr>
        <w:t>采购人、采购代理机构</w:t>
      </w:r>
      <w:r>
        <w:rPr>
          <w:rFonts w:hint="default" w:ascii="Times New Roman" w:hAnsi="Times New Roman" w:cs="Times New Roman"/>
          <w:color w:val="000000" w:themeColor="text1"/>
          <w:szCs w:val="21"/>
          <w:highlight w:val="none"/>
          <w14:textFill>
            <w14:solidFill>
              <w14:schemeClr w14:val="tx1"/>
            </w14:solidFill>
          </w14:textFill>
        </w:rPr>
        <w:t>授意供应商撤换、修改响应文件</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0D1C5F38">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（3）供应商之间协商技术方案、合同条款以及报价等响应文件实质性内容</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717C8365">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（4）属于同一集团、协会、商会等组织成员的供应商按照该组织要求协同参加竞争性谈判政府采购活动</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36C03506">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（5）供应商之间事先约定由某一特定供应商成交</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5B05BFDA">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（6）供应商之间商定部分供应商放弃</w:t>
      </w:r>
      <w:r>
        <w:rPr>
          <w:rFonts w:hint="default" w:ascii="Times New Roman" w:hAnsi="Times New Roman" w:cs="Times New Roman"/>
          <w:color w:val="000000" w:themeColor="text1"/>
          <w:highlight w:val="none"/>
          <w14:textFill>
            <w14:solidFill>
              <w14:schemeClr w14:val="tx1"/>
            </w14:solidFill>
          </w14:textFill>
        </w:rPr>
        <w:t>提</w:t>
      </w:r>
      <w:r>
        <w:rPr>
          <w:rFonts w:hint="default" w:ascii="Times New Roman" w:hAnsi="Times New Roman" w:cs="Times New Roman"/>
          <w:color w:val="000000" w:themeColor="text1"/>
          <w:szCs w:val="21"/>
          <w:highlight w:val="none"/>
          <w14:textFill>
            <w14:solidFill>
              <w14:schemeClr w14:val="tx1"/>
            </w14:solidFill>
          </w14:textFill>
        </w:rPr>
        <w:t>交响应文件或者退出谈判或者放弃成交</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03D7654C">
      <w:pPr>
        <w:adjustRightInd w:val="0"/>
        <w:snapToGrid w:val="0"/>
        <w:spacing w:line="360" w:lineRule="auto"/>
        <w:ind w:firstLine="420" w:firstLineChars="200"/>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（7）供应商与</w:t>
      </w:r>
      <w:r>
        <w:rPr>
          <w:rFonts w:hint="default" w:ascii="Times New Roman" w:hAnsi="Times New Roman" w:cs="Times New Roman"/>
          <w:bCs/>
          <w:color w:val="000000" w:themeColor="text1"/>
          <w:szCs w:val="21"/>
          <w:highlight w:val="none"/>
          <w14:textFill>
            <w14:solidFill>
              <w14:schemeClr w14:val="tx1"/>
            </w14:solidFill>
          </w14:textFill>
        </w:rPr>
        <w:t>采购人、采购代理机构以及</w:t>
      </w:r>
      <w:r>
        <w:rPr>
          <w:rFonts w:hint="default" w:ascii="Times New Roman" w:hAnsi="Times New Roman" w:cs="Times New Roman"/>
          <w:color w:val="000000" w:themeColor="text1"/>
          <w:szCs w:val="21"/>
          <w:highlight w:val="none"/>
          <w14:textFill>
            <w14:solidFill>
              <w14:schemeClr w14:val="tx1"/>
            </w14:solidFill>
          </w14:textFill>
        </w:rPr>
        <w:t>谈判小组成员之间、供应商相互之间，为谋求特定供应商成交或者排斥其他供应商的其他串通行为</w:t>
      </w:r>
      <w:r>
        <w:rPr>
          <w:rFonts w:hint="default" w:ascii="Times New Roman" w:hAnsi="Times New Roman" w:cs="Times New Roman"/>
          <w:color w:val="000000" w:themeColor="text1"/>
          <w:highlight w:val="none"/>
          <w14:textFill>
            <w14:solidFill>
              <w14:schemeClr w14:val="tx1"/>
            </w14:solidFill>
          </w14:textFill>
        </w:rPr>
        <w:t>的</w:t>
      </w:r>
      <w:r>
        <w:rPr>
          <w:rFonts w:hint="default" w:ascii="Times New Roman" w:hAnsi="Times New Roman" w:cs="Times New Roman"/>
          <w:color w:val="000000" w:themeColor="text1"/>
          <w:szCs w:val="21"/>
          <w:highlight w:val="none"/>
          <w14:textFill>
            <w14:solidFill>
              <w14:schemeClr w14:val="tx1"/>
            </w14:solidFill>
          </w14:textFill>
        </w:rPr>
        <w:t>。</w:t>
      </w:r>
    </w:p>
    <w:p w14:paraId="5C32B1DA">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（8）法律、行政法规或规章规定的其他串通行为。</w:t>
      </w:r>
    </w:p>
    <w:p w14:paraId="3EE9F72B">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418" w:name="_Toc21503"/>
      <w:bookmarkStart w:id="419" w:name="_Toc107998001"/>
      <w:bookmarkStart w:id="420" w:name="_Toc22575"/>
      <w:r>
        <w:rPr>
          <w:rFonts w:hint="default" w:ascii="Times New Roman" w:hAnsi="Times New Roman" w:eastAsia="黑体" w:cs="Times New Roman"/>
          <w:b/>
          <w:bCs/>
          <w:color w:val="000000" w:themeColor="text1"/>
          <w:sz w:val="28"/>
          <w:szCs w:val="28"/>
          <w:highlight w:val="none"/>
          <w14:textFill>
            <w14:solidFill>
              <w14:schemeClr w14:val="tx1"/>
            </w14:solidFill>
          </w14:textFill>
        </w:rPr>
        <w:t>六、成交结果信息公布与授予合同</w:t>
      </w:r>
      <w:bookmarkEnd w:id="418"/>
      <w:bookmarkEnd w:id="419"/>
      <w:bookmarkEnd w:id="420"/>
    </w:p>
    <w:p w14:paraId="1C65E71A">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21" w:name="_Toc107998002"/>
      <w:bookmarkStart w:id="422" w:name="_Toc107997875"/>
      <w:r>
        <w:rPr>
          <w:rFonts w:hint="default" w:ascii="Times New Roman" w:hAnsi="Times New Roman" w:eastAsia="黑体" w:cs="Times New Roman"/>
          <w:b/>
          <w:bCs/>
          <w:color w:val="000000" w:themeColor="text1"/>
          <w:sz w:val="24"/>
          <w:highlight w:val="none"/>
          <w14:textFill>
            <w14:solidFill>
              <w14:schemeClr w14:val="tx1"/>
            </w14:solidFill>
          </w14:textFill>
        </w:rPr>
        <w:t>34.成交信息的公布与成交通知书</w:t>
      </w:r>
      <w:bookmarkEnd w:id="421"/>
      <w:bookmarkEnd w:id="422"/>
    </w:p>
    <w:p w14:paraId="2A7A781F">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34.1采购人、采购代理机构应当自采购人确定成交供应商之日起2个工作日内，发出成交通知书，并在</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指定媒体上公告成交结果，竞争性</w:t>
      </w:r>
      <w:r>
        <w:rPr>
          <w:rFonts w:hint="default" w:ascii="Times New Roman" w:hAnsi="Times New Roman" w:cs="Times New Roman"/>
          <w:color w:val="000000" w:themeColor="text1"/>
          <w:szCs w:val="21"/>
          <w:highlight w:val="none"/>
          <w:lang w:eastAsia="zh-CN"/>
          <w14:textFill>
            <w14:solidFill>
              <w14:schemeClr w14:val="tx1"/>
            </w14:solidFill>
          </w14:textFill>
        </w:rPr>
        <w:t>谈判</w:t>
      </w:r>
      <w:r>
        <w:rPr>
          <w:rFonts w:hint="default" w:ascii="Times New Roman" w:hAnsi="Times New Roman" w:cs="Times New Roman"/>
          <w:color w:val="000000" w:themeColor="text1"/>
          <w:szCs w:val="21"/>
          <w:highlight w:val="none"/>
          <w14:textFill>
            <w14:solidFill>
              <w14:schemeClr w14:val="tx1"/>
            </w14:solidFill>
          </w14:textFill>
        </w:rPr>
        <w:t>文件随成交结果同时公告，成交结果公告期限为</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个工作日。</w:t>
      </w:r>
    </w:p>
    <w:p w14:paraId="2D3C9E87">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34.2成交供应商确定后，采购人、采购代理机构将以书面形式向成交供应商发出成交通知书。成交通知书对采购人和成交供应商具有同等法律效力。</w:t>
      </w:r>
    </w:p>
    <w:p w14:paraId="610DFBE3">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34.3成交通知书是合同文件的组成部分。</w:t>
      </w:r>
    </w:p>
    <w:p w14:paraId="21C1F8C3">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bookmarkStart w:id="423" w:name="_Toc107997876"/>
      <w:bookmarkStart w:id="424" w:name="_Toc107998003"/>
      <w:r>
        <w:rPr>
          <w:rFonts w:hint="default" w:ascii="Times New Roman" w:hAnsi="Times New Roman" w:eastAsia="黑体" w:cs="Times New Roman"/>
          <w:b/>
          <w:bCs/>
          <w:color w:val="000000" w:themeColor="text1"/>
          <w:sz w:val="24"/>
          <w:highlight w:val="none"/>
          <w14:textFill>
            <w14:solidFill>
              <w14:schemeClr w14:val="tx1"/>
            </w14:solidFill>
          </w14:textFill>
        </w:rPr>
        <w:t>35.询问及质疑</w:t>
      </w:r>
      <w:bookmarkEnd w:id="423"/>
      <w:bookmarkEnd w:id="424"/>
    </w:p>
    <w:p w14:paraId="30C7B1D7">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35.1供应商对政府采购活动事项有疑问的，可以向采购人、采购代理机构提出询问。采购人或采购代理机构将在3个工作日内作出答复。</w:t>
      </w:r>
    </w:p>
    <w:p w14:paraId="031F9D17">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35.2供应商若认为谈判文件、采购过程和成交结果使自己的权益受到损害，可以按法律、规章及《湖南省财政厅关于印发＜政府采购质疑答复和投诉处理操作规程＞的通知》(</w:t>
      </w:r>
      <w:r>
        <w:rPr>
          <w:rFonts w:hint="default" w:ascii="Times New Roman" w:hAnsi="Times New Roman" w:cs="Times New Roman"/>
          <w:color w:val="000000" w:themeColor="text1"/>
          <w:szCs w:val="21"/>
          <w:highlight w:val="none"/>
          <w:lang w:eastAsia="zh-CN"/>
          <w14:textFill>
            <w14:solidFill>
              <w14:schemeClr w14:val="tx1"/>
            </w14:solidFill>
          </w14:textFill>
        </w:rPr>
        <w:t>湘财购〔2024〕67号</w:t>
      </w:r>
      <w:r>
        <w:rPr>
          <w:rFonts w:hint="default" w:ascii="Times New Roman" w:hAnsi="Times New Roman" w:cs="Times New Roman"/>
          <w:color w:val="000000" w:themeColor="text1"/>
          <w:szCs w:val="21"/>
          <w:highlight w:val="none"/>
          <w14:textFill>
            <w14:solidFill>
              <w14:schemeClr w14:val="tx1"/>
            </w14:solidFill>
          </w14:textFill>
        </w:rPr>
        <w:t>)文件规定向采购人、采购代理机构提出质疑。供应商应当在法定质疑期内一次性提出针对同一采购程序环节的质疑。</w:t>
      </w:r>
    </w:p>
    <w:p w14:paraId="11E9FA39">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35.3供应商</w:t>
      </w:r>
      <w:r>
        <w:rPr>
          <w:rFonts w:hint="default" w:ascii="Times New Roman" w:hAnsi="Times New Roman" w:eastAsia="宋体" w:cs="Times New Roman"/>
          <w:color w:val="000000" w:themeColor="text1"/>
          <w:szCs w:val="21"/>
          <w:highlight w:val="none"/>
          <w14:textFill>
            <w14:solidFill>
              <w14:schemeClr w14:val="tx1"/>
            </w14:solidFill>
          </w14:textFill>
        </w:rPr>
        <w:t>提出质疑的，</w:t>
      </w:r>
      <w:r>
        <w:rPr>
          <w:rFonts w:hint="default" w:ascii="Times New Roman" w:hAnsi="Times New Roman" w:cs="Times New Roman"/>
          <w:color w:val="000000" w:themeColor="text1"/>
          <w:szCs w:val="21"/>
          <w:highlight w:val="none"/>
          <w14:textFill>
            <w14:solidFill>
              <w14:schemeClr w14:val="tx1"/>
            </w14:solidFill>
          </w14:textFill>
        </w:rPr>
        <w:t>质疑函</w:t>
      </w:r>
      <w:r>
        <w:rPr>
          <w:rFonts w:hint="default" w:ascii="Times New Roman" w:hAnsi="Times New Roman" w:eastAsia="宋体" w:cs="Times New Roman"/>
          <w:color w:val="000000" w:themeColor="text1"/>
          <w:szCs w:val="21"/>
          <w:highlight w:val="none"/>
          <w14:textFill>
            <w14:solidFill>
              <w14:schemeClr w14:val="tx1"/>
            </w14:solidFill>
          </w14:textFill>
        </w:rPr>
        <w:t>应按照《湖南省财政厅关于印发＜政府采购质疑答复和投诉处理操作规程＞的通知》规定制作、签署、送达。采购人、采购代理机构接收质疑函的联系部门、联系电话和通讯地址见</w:t>
      </w:r>
      <w:r>
        <w:rPr>
          <w:rFonts w:hint="default" w:ascii="Times New Roman" w:hAnsi="Times New Roman" w:eastAsia="宋体" w:cs="Times New Roman"/>
          <w:b/>
          <w:color w:val="000000" w:themeColor="text1"/>
          <w:szCs w:val="21"/>
          <w:highlight w:val="none"/>
          <w14:textFill>
            <w14:solidFill>
              <w14:schemeClr w14:val="tx1"/>
            </w14:solidFill>
          </w14:textFill>
        </w:rPr>
        <w:t>【谈判须知前附表】</w:t>
      </w:r>
      <w:r>
        <w:rPr>
          <w:rFonts w:hint="default" w:ascii="Times New Roman" w:hAnsi="Times New Roman" w:eastAsia="宋体" w:cs="Times New Roman"/>
          <w:color w:val="000000" w:themeColor="text1"/>
          <w:szCs w:val="21"/>
          <w:highlight w:val="none"/>
          <w14:textFill>
            <w14:solidFill>
              <w14:schemeClr w14:val="tx1"/>
            </w14:solidFill>
          </w14:textFill>
        </w:rPr>
        <w:t>。</w:t>
      </w:r>
    </w:p>
    <w:p w14:paraId="1AC5BF62">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35.4采购人、采购代理机构按照《湖南省财政厅关于印发＜政府采购质疑答复和投诉处理操作规程＞的通知》规定进行质疑答复。</w:t>
      </w:r>
    </w:p>
    <w:p w14:paraId="28243B05">
      <w:pPr>
        <w:pStyle w:val="61"/>
        <w:spacing w:line="36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532B6148">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36.履约担保</w:t>
      </w:r>
    </w:p>
    <w:p w14:paraId="6A479F47">
      <w:pPr>
        <w:adjustRightInd w:val="0"/>
        <w:snapToGrid w:val="0"/>
        <w:spacing w:before="50"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36.1</w:t>
      </w:r>
      <w:r>
        <w:rPr>
          <w:rFonts w:hint="default" w:ascii="Times New Roman" w:hAnsi="Times New Roman" w:cs="Times New Roman"/>
          <w:color w:val="000000" w:themeColor="text1"/>
          <w:szCs w:val="21"/>
          <w:highlight w:val="none"/>
          <w14:textFill>
            <w14:solidFill>
              <w14:schemeClr w14:val="tx1"/>
            </w14:solidFill>
          </w14:textFill>
        </w:rPr>
        <w:t>谈判文件要求成交供应商向采购人提交履约担保的，成交供应商应按照</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的规定提交，供应商可用保函替代履约保证金。联合体成交的，履约担保由联合体各方或联合体中牵头人的名义提交。</w:t>
      </w:r>
    </w:p>
    <w:p w14:paraId="5E0EE2D4">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36.2成交供应商</w:t>
      </w:r>
      <w:r>
        <w:rPr>
          <w:rFonts w:hint="default" w:ascii="Times New Roman" w:hAnsi="Times New Roman" w:cs="Times New Roman"/>
          <w:color w:val="000000" w:themeColor="text1"/>
          <w:spacing w:val="4"/>
          <w:szCs w:val="21"/>
          <w:highlight w:val="none"/>
          <w14:textFill>
            <w14:solidFill>
              <w14:schemeClr w14:val="tx1"/>
            </w14:solidFill>
          </w14:textFill>
        </w:rPr>
        <w:t>没有按照本章第36.1</w:t>
      </w:r>
      <w:r>
        <w:rPr>
          <w:rFonts w:hint="default" w:ascii="Times New Roman" w:hAnsi="Times New Roman" w:cs="Times New Roman"/>
          <w:color w:val="000000" w:themeColor="text1"/>
          <w:kern w:val="0"/>
          <w:szCs w:val="21"/>
          <w:highlight w:val="none"/>
          <w:lang w:val="zh-CN"/>
          <w14:textFill>
            <w14:solidFill>
              <w14:schemeClr w14:val="tx1"/>
            </w14:solidFill>
          </w14:textFill>
        </w:rPr>
        <w:t>款</w:t>
      </w:r>
      <w:r>
        <w:rPr>
          <w:rFonts w:hint="default" w:ascii="Times New Roman" w:hAnsi="Times New Roman" w:cs="Times New Roman"/>
          <w:color w:val="000000" w:themeColor="text1"/>
          <w:spacing w:val="4"/>
          <w:szCs w:val="21"/>
          <w:highlight w:val="none"/>
          <w14:textFill>
            <w14:solidFill>
              <w14:schemeClr w14:val="tx1"/>
            </w14:solidFill>
          </w14:textFill>
        </w:rPr>
        <w:t>规定</w:t>
      </w:r>
      <w:r>
        <w:rPr>
          <w:rFonts w:hint="default" w:ascii="Times New Roman" w:hAnsi="Times New Roman" w:cs="Times New Roman"/>
          <w:color w:val="000000" w:themeColor="text1"/>
          <w:szCs w:val="21"/>
          <w:highlight w:val="none"/>
          <w14:textFill>
            <w14:solidFill>
              <w14:schemeClr w14:val="tx1"/>
            </w14:solidFill>
          </w14:textFill>
        </w:rPr>
        <w:t>提交履约担保的</w:t>
      </w:r>
      <w:r>
        <w:rPr>
          <w:rFonts w:hint="default" w:ascii="Times New Roman" w:hAnsi="Times New Roman" w:cs="Times New Roman"/>
          <w:color w:val="000000" w:themeColor="text1"/>
          <w:spacing w:val="4"/>
          <w:szCs w:val="21"/>
          <w:highlight w:val="none"/>
          <w14:textFill>
            <w14:solidFill>
              <w14:schemeClr w14:val="tx1"/>
            </w14:solidFill>
          </w14:textFill>
        </w:rPr>
        <w:t>，视为放弃</w:t>
      </w:r>
      <w:r>
        <w:rPr>
          <w:rFonts w:hint="default" w:ascii="Times New Roman" w:hAnsi="Times New Roman" w:cs="Times New Roman"/>
          <w:color w:val="000000" w:themeColor="text1"/>
          <w:szCs w:val="21"/>
          <w:highlight w:val="none"/>
          <w14:textFill>
            <w14:solidFill>
              <w14:schemeClr w14:val="tx1"/>
            </w14:solidFill>
          </w14:textFill>
        </w:rPr>
        <w:t>成交资格</w:t>
      </w:r>
      <w:r>
        <w:rPr>
          <w:rFonts w:hint="default" w:ascii="Times New Roman" w:hAnsi="Times New Roman" w:cs="Times New Roman"/>
          <w:color w:val="000000" w:themeColor="text1"/>
          <w:spacing w:val="4"/>
          <w:szCs w:val="21"/>
          <w:highlight w:val="none"/>
          <w14:textFill>
            <w14:solidFill>
              <w14:schemeClr w14:val="tx1"/>
            </w14:solidFill>
          </w14:textFill>
        </w:rPr>
        <w:t>，</w:t>
      </w:r>
      <w:r>
        <w:rPr>
          <w:rFonts w:hint="default" w:ascii="Times New Roman" w:hAnsi="Times New Roman" w:cs="Times New Roman"/>
          <w:color w:val="000000" w:themeColor="text1"/>
          <w:spacing w:val="2"/>
          <w:szCs w:val="21"/>
          <w:highlight w:val="none"/>
          <w14:textFill>
            <w14:solidFill>
              <w14:schemeClr w14:val="tx1"/>
            </w14:solidFill>
          </w14:textFill>
        </w:rPr>
        <w:t>其谈判保证金不予退还。</w:t>
      </w:r>
    </w:p>
    <w:p w14:paraId="0B42B9FD">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37.签订合同</w:t>
      </w:r>
    </w:p>
    <w:p w14:paraId="7735892E">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37.1谈判文件、成交供应商的响应文件及其补充的响应文件等均为签订政府采购合同的依据。</w:t>
      </w:r>
    </w:p>
    <w:p w14:paraId="150C17E9">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37.2成交供应商应当在成交通知书发出之日起30日内与采购人签订政府采购合同。</w:t>
      </w:r>
    </w:p>
    <w:p w14:paraId="1E840969">
      <w:pPr>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37.3成交供应商应当按照合同约定履行义务。成交供应商不得向他人转让成交项目，也不得将成交项目分包后分别向他人转让。</w:t>
      </w:r>
    </w:p>
    <w:p w14:paraId="37C81E17">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425" w:name="_Toc595"/>
      <w:bookmarkStart w:id="426" w:name="_Toc107998006"/>
      <w:bookmarkStart w:id="427" w:name="_Toc18603"/>
      <w:r>
        <w:rPr>
          <w:rFonts w:hint="default" w:ascii="Times New Roman" w:hAnsi="Times New Roman" w:eastAsia="黑体" w:cs="Times New Roman"/>
          <w:b/>
          <w:bCs/>
          <w:color w:val="000000" w:themeColor="text1"/>
          <w:sz w:val="28"/>
          <w:szCs w:val="28"/>
          <w:highlight w:val="none"/>
          <w14:textFill>
            <w14:solidFill>
              <w14:schemeClr w14:val="tx1"/>
            </w14:solidFill>
          </w14:textFill>
        </w:rPr>
        <w:t>七、政府采购政策</w:t>
      </w:r>
      <w:bookmarkEnd w:id="425"/>
      <w:bookmarkEnd w:id="426"/>
      <w:bookmarkEnd w:id="427"/>
    </w:p>
    <w:p w14:paraId="7F036B46">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38.预留采购份额</w:t>
      </w:r>
    </w:p>
    <w:p w14:paraId="0DB567A9">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38.1执行中小企业预留采购份额政策的规定：</w:t>
      </w:r>
    </w:p>
    <w:p w14:paraId="147EB01F">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（1）预留份额的采购项目或者采购包，应明确该项目或相关采购包专门面向中小企业采购，并作为供应商资格条件。</w:t>
      </w:r>
    </w:p>
    <w:p w14:paraId="2499A296">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（2）要求以联合体形式参加或者合同分包的，应明确联合协议或者分包承诺中中小企业合同金额应当达到的比例，并作为供应商资格条件。</w:t>
      </w:r>
    </w:p>
    <w:p w14:paraId="5D53602B">
      <w:pPr>
        <w:adjustRightInd w:val="0"/>
        <w:snapToGrid w:val="0"/>
        <w:spacing w:line="360" w:lineRule="auto"/>
        <w:ind w:firstLine="420" w:firstLineChars="200"/>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（3）组成联合体或者接受分包合同的中小企业与联合体内其他企业(成员)、分包企业之间不得存在直接控股、管理关系。</w:t>
      </w:r>
    </w:p>
    <w:p w14:paraId="7CA8C98D">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39.强制采购</w:t>
      </w:r>
    </w:p>
    <w:p w14:paraId="175054C2">
      <w:pPr>
        <w:adjustRightInd w:val="0"/>
        <w:snapToGrid w:val="0"/>
        <w:spacing w:line="360" w:lineRule="auto"/>
        <w:ind w:firstLine="420" w:firstLineChars="200"/>
        <w:jc w:val="left"/>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color w:val="000000" w:themeColor="text1"/>
          <w:kern w:val="0"/>
          <w:highlight w:val="none"/>
          <w14:textFill>
            <w14:solidFill>
              <w14:schemeClr w14:val="tx1"/>
            </w14:solidFill>
          </w14:textFill>
        </w:rPr>
        <w:t>39.1纳入财政部会同国务院有关部门发布的节能产品政府采购品目清单（品目清单中标注</w:t>
      </w:r>
      <w:r>
        <w:rPr>
          <w:rFonts w:hint="default" w:ascii="Times New Roman" w:hAnsi="Times New Roman" w:eastAsia="宋体" w:cs="Times New Roman"/>
          <w:color w:val="000000" w:themeColor="text1"/>
          <w:kern w:val="0"/>
          <w:highlight w:val="none"/>
          <w14:textFill>
            <w14:solidFill>
              <w14:schemeClr w14:val="tx1"/>
            </w14:solidFill>
          </w14:textFill>
        </w:rPr>
        <w:sym w:font="Wingdings" w:char="F0AB"/>
      </w:r>
      <w:r>
        <w:rPr>
          <w:rFonts w:hint="default" w:ascii="Times New Roman" w:hAnsi="Times New Roman" w:eastAsia="宋体" w:cs="Times New Roman"/>
          <w:color w:val="000000" w:themeColor="text1"/>
          <w:kern w:val="0"/>
          <w:highlight w:val="none"/>
          <w14:textFill>
            <w14:solidFill>
              <w14:schemeClr w14:val="tx1"/>
            </w14:solidFill>
          </w14:textFill>
        </w:rPr>
        <w:t>符号产品），实施政府强制采购的，供应商提供的产品不符合强制采购规定，其</w:t>
      </w:r>
      <w:r>
        <w:rPr>
          <w:rFonts w:hint="default" w:ascii="Times New Roman" w:hAnsi="Times New Roman" w:eastAsia="宋体" w:cs="Times New Roman"/>
          <w:b/>
          <w:color w:val="000000" w:themeColor="text1"/>
          <w:kern w:val="0"/>
          <w:highlight w:val="none"/>
          <w14:textFill>
            <w14:solidFill>
              <w14:schemeClr w14:val="tx1"/>
            </w14:solidFill>
          </w14:textFill>
        </w:rPr>
        <w:t>响应</w:t>
      </w:r>
      <w:r>
        <w:rPr>
          <w:rFonts w:hint="default" w:ascii="Times New Roman" w:hAnsi="Times New Roman" w:eastAsia="宋体" w:cs="Times New Roman"/>
          <w:b/>
          <w:color w:val="000000" w:themeColor="text1"/>
          <w:kern w:val="0"/>
          <w:szCs w:val="21"/>
          <w:highlight w:val="none"/>
          <w14:textFill>
            <w14:solidFill>
              <w14:schemeClr w14:val="tx1"/>
            </w14:solidFill>
          </w14:textFill>
        </w:rPr>
        <w:t>无效</w:t>
      </w:r>
      <w:r>
        <w:rPr>
          <w:rFonts w:hint="default" w:ascii="Times New Roman" w:hAnsi="Times New Roman" w:eastAsia="宋体" w:cs="Times New Roman"/>
          <w:color w:val="000000" w:themeColor="text1"/>
          <w:kern w:val="0"/>
          <w:highlight w:val="none"/>
          <w14:textFill>
            <w14:solidFill>
              <w14:schemeClr w14:val="tx1"/>
            </w14:solidFill>
          </w14:textFill>
        </w:rPr>
        <w:t>。</w:t>
      </w:r>
    </w:p>
    <w:p w14:paraId="224CC995">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40.优先采购</w:t>
      </w:r>
    </w:p>
    <w:p w14:paraId="4BB3347F">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40.1</w:t>
      </w:r>
      <w:r>
        <w:rPr>
          <w:rFonts w:hint="default" w:ascii="Times New Roman" w:hAnsi="Times New Roman" w:cs="Times New Roman"/>
          <w:color w:val="000000" w:themeColor="text1"/>
          <w:highlight w:val="none"/>
          <w14:textFill>
            <w14:solidFill>
              <w14:schemeClr w14:val="tx1"/>
            </w14:solidFill>
          </w14:textFill>
        </w:rPr>
        <w:t>对</w:t>
      </w:r>
      <w:r>
        <w:rPr>
          <w:rFonts w:hint="default" w:ascii="Times New Roman" w:hAnsi="Times New Roman" w:cs="Times New Roman"/>
          <w:color w:val="000000" w:themeColor="text1"/>
          <w:szCs w:val="21"/>
          <w:highlight w:val="none"/>
          <w14:textFill>
            <w14:solidFill>
              <w14:schemeClr w14:val="tx1"/>
            </w14:solidFill>
          </w14:textFill>
        </w:rPr>
        <w:t>纳入财政部会同国务院有关部门发布的节能产品(未</w:t>
      </w:r>
      <w:r>
        <w:rPr>
          <w:rFonts w:hint="default" w:ascii="Times New Roman" w:hAnsi="Times New Roman" w:eastAsia="宋体" w:cs="Times New Roman"/>
          <w:color w:val="000000" w:themeColor="text1"/>
          <w:kern w:val="0"/>
          <w:highlight w:val="none"/>
          <w14:textFill>
            <w14:solidFill>
              <w14:schemeClr w14:val="tx1"/>
            </w14:solidFill>
          </w14:textFill>
        </w:rPr>
        <w:t>标注</w:t>
      </w:r>
      <w:r>
        <w:rPr>
          <w:rFonts w:hint="default" w:ascii="Times New Roman" w:hAnsi="Times New Roman" w:eastAsia="宋体" w:cs="Times New Roman"/>
          <w:color w:val="000000" w:themeColor="text1"/>
          <w:kern w:val="0"/>
          <w:highlight w:val="none"/>
          <w14:textFill>
            <w14:solidFill>
              <w14:schemeClr w14:val="tx1"/>
            </w14:solidFill>
          </w14:textFill>
        </w:rPr>
        <w:sym w:font="Wingdings" w:char="F0AB"/>
      </w:r>
      <w:r>
        <w:rPr>
          <w:rFonts w:hint="default" w:ascii="Times New Roman" w:hAnsi="Times New Roman" w:eastAsia="宋体" w:cs="Times New Roman"/>
          <w:color w:val="000000" w:themeColor="text1"/>
          <w:kern w:val="0"/>
          <w:highlight w:val="none"/>
          <w14:textFill>
            <w14:solidFill>
              <w14:schemeClr w14:val="tx1"/>
            </w14:solidFill>
          </w14:textFill>
        </w:rPr>
        <w:t>符号产品</w:t>
      </w:r>
      <w:r>
        <w:rPr>
          <w:rFonts w:hint="default" w:ascii="Times New Roman" w:hAnsi="Times New Roman" w:cs="Times New Roman"/>
          <w:color w:val="000000" w:themeColor="text1"/>
          <w:szCs w:val="21"/>
          <w:highlight w:val="none"/>
          <w14:textFill>
            <w14:solidFill>
              <w14:schemeClr w14:val="tx1"/>
            </w14:solidFill>
          </w14:textFill>
        </w:rPr>
        <w:t>)、环境标志产品政府采购品目清单，实施政府优先采购的，评审时</w:t>
      </w:r>
      <w:r>
        <w:rPr>
          <w:rFonts w:hint="default" w:ascii="Times New Roman" w:hAnsi="Times New Roman" w:cs="Times New Roman"/>
          <w:color w:val="000000" w:themeColor="text1"/>
          <w:szCs w:val="21"/>
          <w:highlight w:val="none"/>
          <w:lang w:val="en-US" w:eastAsia="zh-CN"/>
          <w14:textFill>
            <w14:solidFill>
              <w14:schemeClr w14:val="tx1"/>
            </w14:solidFill>
          </w14:textFill>
        </w:rPr>
        <w:t>对该部分产品</w:t>
      </w:r>
      <w:r>
        <w:rPr>
          <w:rFonts w:hint="default" w:ascii="Times New Roman" w:hAnsi="Times New Roman" w:cs="Times New Roman"/>
          <w:color w:val="000000" w:themeColor="text1"/>
          <w:szCs w:val="21"/>
          <w:highlight w:val="none"/>
          <w14:textFill>
            <w14:solidFill>
              <w14:schemeClr w14:val="tx1"/>
            </w14:solidFill>
          </w14:textFill>
        </w:rPr>
        <w:t>按</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规定给予价格折扣；</w:t>
      </w:r>
    </w:p>
    <w:p w14:paraId="126B6004">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41.价格评审优惠</w:t>
      </w:r>
    </w:p>
    <w:p w14:paraId="3D8189F5">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41.1在政府采购活动中，供应商提供的货物、工程或者服务符合下列情形的：（1）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给予一定比例的价格折扣，用扣除后的价格参与评审；</w:t>
      </w:r>
    </w:p>
    <w:p w14:paraId="4C197921">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41.2价格折扣比例</w:t>
      </w:r>
    </w:p>
    <w:p w14:paraId="46BF8E90">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（1）对于经主管预算单位统筹后未预留份额专门面向中小企业采购的采购项目，以及预留份额项目中的非预留部分采购包，符合小微企业生产的货物或者提供的服务、工程情形的，按照</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eastAsia="宋体" w:cs="Times New Roman"/>
          <w:color w:val="000000" w:themeColor="text1"/>
          <w:highlight w:val="none"/>
          <w14:textFill>
            <w14:solidFill>
              <w14:schemeClr w14:val="tx1"/>
            </w14:solidFill>
          </w14:textFill>
        </w:rPr>
        <w:t>规定的比例给予价格折扣，用扣除后的价格参与评审。</w:t>
      </w:r>
    </w:p>
    <w:p w14:paraId="1E9B5E60">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（2）接受大中型企业与小微企业组成联合体或者允许大中型企业向一家或者多家小微企业分包的采购项目，对于联合协议或者分包承诺约定小微企业的合同份额占到合同总金额30%以上的，按照</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eastAsia="宋体" w:cs="Times New Roman"/>
          <w:color w:val="000000" w:themeColor="text1"/>
          <w:highlight w:val="none"/>
          <w14:textFill>
            <w14:solidFill>
              <w14:schemeClr w14:val="tx1"/>
            </w14:solidFill>
          </w14:textFill>
        </w:rPr>
        <w:t>规定的比例给予价格折扣，用扣除后的价格参与评审。以联合体形式参加政府采购活动，联合体各方均为中小企业的，联合体视同中小企业。其中，联合体各方均为小微企业的，联合体视同小微企业。</w:t>
      </w:r>
    </w:p>
    <w:p w14:paraId="382BDA9C">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41.3符合中小企业划分标准的个体工商户视同中小企业，享受评审中价格扣除等促进中小企业发展的政府采购政策。</w:t>
      </w:r>
    </w:p>
    <w:p w14:paraId="6629CEFB">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41.4监狱企业、残疾人福利性单位视同小型、微型企业，享受评审中价格扣除等促进中小企业发展的政府采购政策。</w:t>
      </w:r>
    </w:p>
    <w:p w14:paraId="5B5501C4">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 xml:space="preserve">41.5与大企业的负责人为同一人，或者与大企业存在直接控股、管理关系的中小企业，不享受评审中价格扣除等促进中小企业发展的政府采购政策。 </w:t>
      </w:r>
    </w:p>
    <w:p w14:paraId="567E86C8">
      <w:pPr>
        <w:adjustRightInd w:val="0"/>
        <w:snapToGrid w:val="0"/>
        <w:spacing w:line="360" w:lineRule="auto"/>
        <w:ind w:firstLine="420" w:firstLineChars="20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41.6本章第1.2款规定采购项目或者采购包属于“预留采购份额”的，预留部分不再享受本款“价格评审优惠”的小微企业扶持政策。</w:t>
      </w:r>
    </w:p>
    <w:p w14:paraId="125B75C6">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42.政府采购政策其他规定</w:t>
      </w:r>
    </w:p>
    <w:p w14:paraId="72E9FE84">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42.1中型企业、小型企业和微型企业类型按照《关于印发＜政府采购促进中小企业发展办法＞的通知》(财库[2020]46号)和《关于印发中小企业划型标准规定的通知》（工信部联企业〔2011〕300号）规定认定。</w:t>
      </w:r>
    </w:p>
    <w:p w14:paraId="5CE58A48">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42.2</w:t>
      </w:r>
      <w:r>
        <w:rPr>
          <w:rFonts w:hint="default" w:ascii="Times New Roman" w:hAnsi="Times New Roman" w:cs="Times New Roman"/>
          <w:color w:val="000000" w:themeColor="text1"/>
          <w:highlight w:val="none"/>
          <w14:textFill>
            <w14:solidFill>
              <w14:schemeClr w14:val="tx1"/>
            </w14:solidFill>
          </w14:textFill>
        </w:rPr>
        <w:t>监狱企业、残</w:t>
      </w:r>
      <w:r>
        <w:rPr>
          <w:rFonts w:hint="default" w:ascii="Times New Roman" w:hAnsi="Times New Roman" w:cs="Times New Roman"/>
          <w:color w:val="000000" w:themeColor="text1"/>
          <w:szCs w:val="21"/>
          <w:highlight w:val="none"/>
          <w14:textFill>
            <w14:solidFill>
              <w14:schemeClr w14:val="tx1"/>
            </w14:solidFill>
          </w14:textFill>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60156CB3">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42.3以联合体形式参加政府采购活动，联合体各方均为中小企业的，联合体视同中小企业。其中，联合体各方均为小微企业的，联合体视同小微企业。</w:t>
      </w:r>
    </w:p>
    <w:p w14:paraId="716368DE">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42.4在货物采购项目中，供应商提供的货物既有中小企业制造货物，也有大型企业制造货物的，不享受中小企业扶持政策。</w:t>
      </w:r>
    </w:p>
    <w:p w14:paraId="35817418">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42.5供应商提供的产品取得两个及以上优先采购产品认证的，评审时只有其中一项产品能够享受优先采购优惠（供应商自行选择，并在响应文件中并填报相关信息及数据）。</w:t>
      </w:r>
    </w:p>
    <w:p w14:paraId="0BE24CC5">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42.6“</w:t>
      </w:r>
      <w:r>
        <w:rPr>
          <w:rFonts w:hint="default" w:ascii="Times New Roman" w:hAnsi="Times New Roman" w:cs="Times New Roman"/>
          <w:color w:val="000000" w:themeColor="text1"/>
          <w:highlight w:val="none"/>
          <w14:textFill>
            <w14:solidFill>
              <w14:schemeClr w14:val="tx1"/>
            </w14:solidFill>
          </w14:textFill>
        </w:rPr>
        <w:t>价格评审优惠”可以与同时属于“节能产品”、“环境标志产品”中的一项“优先采购”累加计算。</w:t>
      </w:r>
    </w:p>
    <w:p w14:paraId="4BE62E50">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43.供应商应提供的政府采购政策证明资料</w:t>
      </w:r>
    </w:p>
    <w:p w14:paraId="59A3AAC4">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43.1符合本章第38条、第39条、第40条、第41条规定的，供应商应在响应文件中提供相关证明资料。</w:t>
      </w:r>
    </w:p>
    <w:p w14:paraId="454EA308">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节能产品、环境标志产品：提供国家确定的认证机构出具的、处于有效期之内的节能产品、环境标志产品认证证书（复印件）。</w:t>
      </w:r>
    </w:p>
    <w:p w14:paraId="0F3AA0C2">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default" w:ascii="Times New Roman" w:hAnsi="Times New Roman" w:cs="Times New Roman"/>
          <w:color w:val="000000" w:themeColor="text1"/>
          <w:szCs w:val="21"/>
          <w:highlight w:val="none"/>
          <w14:textFill>
            <w14:solidFill>
              <w14:schemeClr w14:val="tx1"/>
            </w14:solidFill>
          </w14:textFill>
        </w:rPr>
        <w:t>。</w:t>
      </w:r>
    </w:p>
    <w:p w14:paraId="50E7C42A">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）监狱企业：按《关于政府采购支持监狱企业发展有关问题的通知》(财库〔2014〕68号)文件规定提供证明文件（复印件）。</w:t>
      </w:r>
    </w:p>
    <w:p w14:paraId="7EF44736">
      <w:pPr>
        <w:adjustRightInd w:val="0"/>
        <w:snapToGrid w:val="0"/>
        <w:spacing w:line="360" w:lineRule="auto"/>
        <w:ind w:firstLine="420" w:firstLineChars="20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）残疾人福利性单位：按《关于促进残疾人就业政府采购政策的通知》(财库〔2017〕141号)文件规定提供《残疾人福利性单位声明函》（格式）。</w:t>
      </w:r>
    </w:p>
    <w:p w14:paraId="52E48823">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44. 采购进口产品</w:t>
      </w:r>
    </w:p>
    <w:p w14:paraId="7C6C3436">
      <w:pPr>
        <w:adjustRightInd w:val="0"/>
        <w:snapToGrid w:val="0"/>
        <w:spacing w:line="360" w:lineRule="auto"/>
        <w:ind w:firstLine="420" w:firstLineChars="200"/>
        <w:jc w:val="left"/>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44.1</w:t>
      </w:r>
      <w:r>
        <w:rPr>
          <w:rFonts w:hint="default" w:ascii="Times New Roman" w:hAnsi="Times New Roman" w:cs="Times New Roman"/>
          <w:bCs/>
          <w:color w:val="000000" w:themeColor="text1"/>
          <w:kern w:val="0"/>
          <w:szCs w:val="21"/>
          <w:highlight w:val="none"/>
          <w:lang w:val="zh-CN"/>
          <w14:textFill>
            <w14:solidFill>
              <w14:schemeClr w14:val="tx1"/>
            </w14:solidFill>
          </w14:textFill>
        </w:rPr>
        <w:t>进口产品是指符合《政府采购进口产品管理办法》（财库〔2007〕119号）和《关于政府采购进口产品管理有关问题的通知》（财办库〔2008〕248号）文件规定的产品。</w:t>
      </w:r>
      <w:r>
        <w:rPr>
          <w:rFonts w:hint="default" w:ascii="Times New Roman" w:hAnsi="Times New Roman" w:cs="Times New Roman"/>
          <w:b/>
          <w:color w:val="000000" w:themeColor="text1"/>
          <w:kern w:val="0"/>
          <w:szCs w:val="21"/>
          <w:highlight w:val="none"/>
          <w:lang w:val="zh-CN"/>
          <w14:textFill>
            <w14:solidFill>
              <w14:schemeClr w14:val="tx1"/>
            </w14:solidFill>
          </w14:textFill>
        </w:rPr>
        <w:t>除【谈判须知前附表】另有规定外，采购项目拒绝进口产品参加谈判。</w:t>
      </w:r>
      <w:r>
        <w:rPr>
          <w:rFonts w:hint="default" w:ascii="Times New Roman" w:hAnsi="Times New Roman" w:cs="Times New Roman"/>
          <w:bCs/>
          <w:color w:val="000000" w:themeColor="text1"/>
          <w:kern w:val="0"/>
          <w:szCs w:val="21"/>
          <w:highlight w:val="none"/>
          <w:lang w:val="zh-CN"/>
          <w14:textFill>
            <w14:solidFill>
              <w14:schemeClr w14:val="tx1"/>
            </w14:solidFill>
          </w14:textFill>
        </w:rPr>
        <w:t>本款规定同意购买进口产品的，不限制满足谈判文件要求的国内产品参与谈判竞争。</w:t>
      </w:r>
    </w:p>
    <w:p w14:paraId="08BAC70B">
      <w:pPr>
        <w:adjustRightInd w:val="0"/>
        <w:snapToGrid w:val="0"/>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45.融资、担保</w:t>
      </w:r>
    </w:p>
    <w:p w14:paraId="7F4D6B99">
      <w:pPr>
        <w:adjustRightInd w:val="0"/>
        <w:snapToGrid w:val="0"/>
        <w:spacing w:line="360" w:lineRule="auto"/>
        <w:ind w:firstLine="42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45.1供应商有融资、担保需求的，可登陆中国湖南政府采购网查询相关银行、担保机构业务。</w:t>
      </w:r>
    </w:p>
    <w:p w14:paraId="1841A40E">
      <w:pPr>
        <w:adjustRightInd w:val="0"/>
        <w:snapToGrid w:val="0"/>
        <w:spacing w:line="360" w:lineRule="auto"/>
        <w:jc w:val="center"/>
        <w:outlineLvl w:val="2"/>
        <w:rPr>
          <w:rFonts w:hint="default" w:ascii="Times New Roman" w:hAnsi="Times New Roman" w:eastAsia="黑体" w:cs="Times New Roman"/>
          <w:b/>
          <w:bCs/>
          <w:color w:val="000000" w:themeColor="text1"/>
          <w:sz w:val="28"/>
          <w:szCs w:val="28"/>
          <w:highlight w:val="none"/>
          <w14:textFill>
            <w14:solidFill>
              <w14:schemeClr w14:val="tx1"/>
            </w14:solidFill>
          </w14:textFill>
        </w:rPr>
      </w:pPr>
      <w:bookmarkStart w:id="428" w:name="_Toc5168"/>
      <w:bookmarkStart w:id="429" w:name="_Toc32443"/>
      <w:r>
        <w:rPr>
          <w:rFonts w:hint="default" w:ascii="Times New Roman" w:hAnsi="Times New Roman" w:eastAsia="黑体" w:cs="Times New Roman"/>
          <w:b/>
          <w:bCs/>
          <w:color w:val="000000" w:themeColor="text1"/>
          <w:sz w:val="28"/>
          <w:szCs w:val="28"/>
          <w:highlight w:val="none"/>
          <w14:textFill>
            <w14:solidFill>
              <w14:schemeClr w14:val="tx1"/>
            </w14:solidFill>
          </w14:textFill>
        </w:rPr>
        <w:t>八、其他规定</w:t>
      </w:r>
      <w:bookmarkEnd w:id="428"/>
      <w:bookmarkEnd w:id="429"/>
    </w:p>
    <w:p w14:paraId="6C213432">
      <w:pPr>
        <w:spacing w:line="360" w:lineRule="auto"/>
        <w:outlineLvl w:val="3"/>
        <w:rPr>
          <w:rFonts w:hint="default" w:ascii="Times New Roman" w:hAnsi="Times New Roman" w:eastAsia="黑体" w:cs="Times New Roman"/>
          <w:b/>
          <w:bCs/>
          <w:color w:val="000000" w:themeColor="text1"/>
          <w:sz w:val="24"/>
          <w:highlight w:val="none"/>
          <w14:textFill>
            <w14:solidFill>
              <w14:schemeClr w14:val="tx1"/>
            </w14:solidFill>
          </w14:textFill>
        </w:rPr>
      </w:pPr>
      <w:r>
        <w:rPr>
          <w:rFonts w:hint="default" w:ascii="Times New Roman" w:hAnsi="Times New Roman" w:eastAsia="黑体" w:cs="Times New Roman"/>
          <w:b/>
          <w:bCs/>
          <w:color w:val="000000" w:themeColor="text1"/>
          <w:sz w:val="24"/>
          <w:highlight w:val="none"/>
          <w14:textFill>
            <w14:solidFill>
              <w14:schemeClr w14:val="tx1"/>
            </w14:solidFill>
          </w14:textFill>
        </w:rPr>
        <w:t>46.其他规定</w:t>
      </w:r>
    </w:p>
    <w:p w14:paraId="0A9E2CDB">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46.1合同价款支付</w:t>
      </w:r>
    </w:p>
    <w:p w14:paraId="55EA17F9">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（1）竞争性谈判文件规定支付合同预付款的，采购人应按</w:t>
      </w:r>
      <w:r>
        <w:rPr>
          <w:rFonts w:hint="default" w:ascii="Times New Roman" w:hAnsi="Times New Roman" w:cs="Times New Roman"/>
          <w:b/>
          <w:bCs/>
          <w:color w:val="000000" w:themeColor="text1"/>
          <w:highlight w:val="none"/>
          <w14:textFill>
            <w14:solidFill>
              <w14:schemeClr w14:val="tx1"/>
            </w14:solidFill>
          </w14:textFill>
        </w:rPr>
        <w:t>【谈判须知前附表】</w:t>
      </w:r>
      <w:r>
        <w:rPr>
          <w:rFonts w:hint="default" w:ascii="Times New Roman" w:hAnsi="Times New Roman" w:cs="Times New Roman"/>
          <w:color w:val="000000" w:themeColor="text1"/>
          <w:highlight w:val="none"/>
          <w14:textFill>
            <w14:solidFill>
              <w14:schemeClr w14:val="tx1"/>
            </w14:solidFill>
          </w14:textFill>
        </w:rPr>
        <w:t>规定的支付比例和支付条件向符合要求的成交供应商及时支付相应款项，并在政府采购合同中进行明确。</w:t>
      </w:r>
    </w:p>
    <w:p w14:paraId="528D1BE1">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（2）竞争性谈判文件规定需提交质量保证金的，采购人可以按</w:t>
      </w:r>
      <w:r>
        <w:rPr>
          <w:rFonts w:hint="default" w:ascii="Times New Roman" w:hAnsi="Times New Roman" w:cs="Times New Roman"/>
          <w:b/>
          <w:bCs/>
          <w:color w:val="000000" w:themeColor="text1"/>
          <w:highlight w:val="none"/>
          <w14:textFill>
            <w14:solidFill>
              <w14:schemeClr w14:val="tx1"/>
            </w14:solidFill>
          </w14:textFill>
        </w:rPr>
        <w:t>【谈判须知前附表】</w:t>
      </w:r>
      <w:r>
        <w:rPr>
          <w:rFonts w:hint="default" w:ascii="Times New Roman" w:hAnsi="Times New Roman" w:cs="Times New Roman"/>
          <w:color w:val="000000" w:themeColor="text1"/>
          <w:highlight w:val="none"/>
          <w14:textFill>
            <w14:solidFill>
              <w14:schemeClr w14:val="tx1"/>
            </w14:solidFill>
          </w14:textFill>
        </w:rPr>
        <w:t>规定要求成交供应商提交质量保证金，并在政府采购合同中进行明确。</w:t>
      </w:r>
    </w:p>
    <w:p w14:paraId="2D2D1070">
      <w:pPr>
        <w:adjustRightInd w:val="0"/>
        <w:snapToGrid w:val="0"/>
        <w:spacing w:line="360" w:lineRule="auto"/>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（3）供应商可以保函替代预付款担保、质量保证金。</w:t>
      </w:r>
    </w:p>
    <w:p w14:paraId="56D74DED">
      <w:pPr>
        <w:adjustRightInd w:val="0"/>
        <w:snapToGrid w:val="0"/>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46.2</w:t>
      </w:r>
      <w:r>
        <w:rPr>
          <w:rFonts w:hint="default" w:ascii="Times New Roman" w:hAnsi="Times New Roman" w:cs="Times New Roman"/>
          <w:color w:val="000000" w:themeColor="text1"/>
          <w:szCs w:val="21"/>
          <w:highlight w:val="none"/>
          <w14:textFill>
            <w14:solidFill>
              <w14:schemeClr w14:val="tx1"/>
            </w14:solidFill>
          </w14:textFill>
        </w:rPr>
        <w:t>谈判文件</w:t>
      </w:r>
      <w:r>
        <w:rPr>
          <w:rFonts w:hint="default" w:ascii="Times New Roman" w:hAnsi="Times New Roman" w:cs="Times New Roman"/>
          <w:color w:val="000000" w:themeColor="text1"/>
          <w:highlight w:val="none"/>
          <w14:textFill>
            <w14:solidFill>
              <w14:schemeClr w14:val="tx1"/>
            </w14:solidFill>
          </w14:textFill>
        </w:rPr>
        <w:t>的其他规定</w:t>
      </w:r>
      <w:r>
        <w:rPr>
          <w:rFonts w:hint="default" w:ascii="Times New Roman" w:hAnsi="Times New Roman" w:cs="Times New Roman"/>
          <w:color w:val="000000" w:themeColor="text1"/>
          <w:szCs w:val="21"/>
          <w:highlight w:val="none"/>
          <w14:textFill>
            <w14:solidFill>
              <w14:schemeClr w14:val="tx1"/>
            </w14:solidFill>
          </w14:textFill>
        </w:rPr>
        <w:t>见</w:t>
      </w:r>
      <w:r>
        <w:rPr>
          <w:rFonts w:hint="default" w:ascii="Times New Roman" w:hAnsi="Times New Roman" w:cs="Times New Roman"/>
          <w:b/>
          <w:color w:val="000000" w:themeColor="text1"/>
          <w:szCs w:val="21"/>
          <w:highlight w:val="none"/>
          <w14:textFill>
            <w14:solidFill>
              <w14:schemeClr w14:val="tx1"/>
            </w14:solidFill>
          </w14:textFill>
        </w:rPr>
        <w:t>【谈判须知前附表】</w:t>
      </w:r>
      <w:r>
        <w:rPr>
          <w:rFonts w:hint="default" w:ascii="Times New Roman" w:hAnsi="Times New Roman" w:cs="Times New Roman"/>
          <w:color w:val="000000" w:themeColor="text1"/>
          <w:szCs w:val="21"/>
          <w:highlight w:val="none"/>
          <w14:textFill>
            <w14:solidFill>
              <w14:schemeClr w14:val="tx1"/>
            </w14:solidFill>
          </w14:textFill>
        </w:rPr>
        <w:t>。</w:t>
      </w:r>
    </w:p>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14:paraId="5C23126A">
      <w:pPr>
        <w:pStyle w:val="2"/>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br w:type="page"/>
      </w:r>
      <w:bookmarkStart w:id="430" w:name="_Toc13763"/>
      <w:bookmarkStart w:id="431" w:name="_Toc23093"/>
      <w:bookmarkStart w:id="432" w:name="_Toc23529"/>
      <w:bookmarkStart w:id="433" w:name="_Toc22607"/>
      <w:bookmarkStart w:id="434" w:name="_Toc1183"/>
      <w:bookmarkStart w:id="435" w:name="_Toc34637773"/>
      <w:bookmarkStart w:id="436" w:name="_Toc25898"/>
      <w:bookmarkStart w:id="437" w:name="_Toc19107"/>
      <w:bookmarkStart w:id="438" w:name="_Toc17003"/>
      <w:bookmarkStart w:id="439" w:name="_Toc12643"/>
      <w:bookmarkStart w:id="440" w:name="_Toc6647"/>
      <w:bookmarkStart w:id="441" w:name="_Toc28497"/>
      <w:bookmarkStart w:id="442" w:name="_Toc8861"/>
      <w:bookmarkStart w:id="443" w:name="_Toc29765"/>
      <w:bookmarkStart w:id="444" w:name="_Toc9193"/>
      <w:bookmarkStart w:id="445" w:name="_Toc6840"/>
      <w:bookmarkStart w:id="446" w:name="_Toc24366"/>
      <w:bookmarkStart w:id="447" w:name="_Toc10541"/>
      <w:bookmarkStart w:id="448" w:name="_Toc4244"/>
      <w:bookmarkStart w:id="449" w:name="_Toc7089"/>
      <w:bookmarkStart w:id="450" w:name="_Toc21190"/>
      <w:bookmarkStart w:id="451" w:name="_Toc359"/>
      <w:bookmarkStart w:id="452" w:name="_Toc26012"/>
      <w:bookmarkStart w:id="453" w:name="_Toc32423"/>
      <w:bookmarkStart w:id="454" w:name="_Toc32439"/>
      <w:bookmarkStart w:id="455" w:name="_Toc27787"/>
      <w:r>
        <w:rPr>
          <w:rFonts w:hint="default" w:ascii="Times New Roman" w:hAnsi="Times New Roman" w:eastAsia="黑体" w:cs="Times New Roman"/>
          <w:color w:val="000000" w:themeColor="text1"/>
          <w:sz w:val="32"/>
          <w:szCs w:val="32"/>
          <w:highlight w:val="none"/>
          <w14:textFill>
            <w14:solidFill>
              <w14:schemeClr w14:val="tx1"/>
            </w14:solidFill>
          </w14:textFill>
        </w:rPr>
        <w:t>第三章 采购需求</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2D97A4AB">
      <w:pPr>
        <w:pStyle w:val="3"/>
        <w:adjustRightInd w:val="0"/>
        <w:snapToGrid w:val="0"/>
        <w:spacing w:before="156" w:beforeLines="50"/>
        <w:jc w:val="cente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pPr>
      <w:bookmarkStart w:id="456" w:name="_Toc31259"/>
      <w:bookmarkStart w:id="457" w:name="_Toc18438"/>
      <w:bookmarkStart w:id="458" w:name="_Toc28396"/>
      <w:bookmarkStart w:id="459" w:name="_Toc10089"/>
      <w:bookmarkStart w:id="460" w:name="_Toc10521"/>
      <w:bookmarkStart w:id="461" w:name="_Toc14061"/>
      <w:bookmarkStart w:id="462" w:name="_Toc25437"/>
      <w:bookmarkStart w:id="463" w:name="_Toc24729"/>
      <w:bookmarkStart w:id="464" w:name="_Toc6374"/>
      <w:bookmarkStart w:id="465" w:name="_Toc24829"/>
      <w:bookmarkStart w:id="466" w:name="_Toc29089"/>
      <w:bookmarkStart w:id="467" w:name="_Toc13079"/>
      <w:bookmarkStart w:id="468" w:name="_Toc7220"/>
      <w:bookmarkStart w:id="469" w:name="_Toc29837"/>
      <w:bookmarkStart w:id="470" w:name="_Toc21199"/>
      <w:bookmarkStart w:id="471" w:name="_Toc21775"/>
      <w:bookmarkStart w:id="472" w:name="_Toc31008"/>
      <w:bookmarkStart w:id="473" w:name="_Toc6444"/>
      <w:bookmarkStart w:id="474" w:name="_Toc29594"/>
      <w:bookmarkStart w:id="475" w:name="_Toc5929"/>
      <w:bookmarkStart w:id="476" w:name="_Toc32190"/>
      <w:bookmarkStart w:id="477" w:name="_Toc34637774"/>
      <w:bookmarkStart w:id="478" w:name="_Toc15109"/>
      <w:bookmarkStart w:id="479" w:name="_Toc2884"/>
      <w:bookmarkStart w:id="480" w:name="_Toc24762"/>
      <w:bookmarkStart w:id="481" w:name="_Toc14548_WPSOffice_Level2"/>
      <w:bookmarkStart w:id="482" w:name="_Toc29067"/>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t>第一节 采购清单一览表</w:t>
      </w:r>
      <w:bookmarkEnd w:id="456"/>
    </w:p>
    <w:tbl>
      <w:tblPr>
        <w:tblStyle w:val="44"/>
        <w:tblpPr w:leftFromText="180" w:rightFromText="180" w:vertAnchor="text" w:horzAnchor="page" w:tblpXSpec="center" w:tblpY="14"/>
        <w:tblOverlap w:val="never"/>
        <w:tblW w:w="933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62"/>
        <w:gridCol w:w="1725"/>
        <w:gridCol w:w="2245"/>
        <w:gridCol w:w="709"/>
        <w:gridCol w:w="750"/>
        <w:gridCol w:w="695"/>
        <w:gridCol w:w="732"/>
      </w:tblGrid>
      <w:tr w14:paraId="4EF369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721" w:type="dxa"/>
            <w:tcBorders>
              <w:tl2br w:val="nil"/>
              <w:tr2bl w:val="nil"/>
            </w:tcBorders>
            <w:noWrap w:val="0"/>
            <w:vAlign w:val="center"/>
          </w:tcPr>
          <w:p w14:paraId="459BF247">
            <w:pPr>
              <w:adjustRightInd w:val="0"/>
              <w:snapToGrid w:val="0"/>
              <w:spacing w:before="0" w:beforeLines="0" w:line="24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包</w:t>
            </w:r>
            <w:r>
              <w:rPr>
                <w:rFonts w:hint="default" w:ascii="Times New Roman" w:hAnsi="Times New Roman" w:cs="Times New Roman"/>
                <w:color w:val="000000" w:themeColor="text1"/>
                <w:szCs w:val="21"/>
                <w:highlight w:val="none"/>
                <w14:textFill>
                  <w14:solidFill>
                    <w14:schemeClr w14:val="tx1"/>
                  </w14:solidFill>
                </w14:textFill>
              </w:rPr>
              <w:t>号</w:t>
            </w:r>
          </w:p>
        </w:tc>
        <w:tc>
          <w:tcPr>
            <w:tcW w:w="1762" w:type="dxa"/>
            <w:tcBorders>
              <w:tl2br w:val="nil"/>
              <w:tr2bl w:val="nil"/>
            </w:tcBorders>
            <w:noWrap w:val="0"/>
            <w:vAlign w:val="center"/>
          </w:tcPr>
          <w:p w14:paraId="40AE1202">
            <w:pPr>
              <w:adjustRightInd w:val="0"/>
              <w:snapToGrid w:val="0"/>
              <w:spacing w:before="0" w:beforeLines="0" w:line="24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包名称</w:t>
            </w:r>
          </w:p>
        </w:tc>
        <w:tc>
          <w:tcPr>
            <w:tcW w:w="1725" w:type="dxa"/>
            <w:tcBorders>
              <w:tl2br w:val="nil"/>
              <w:tr2bl w:val="nil"/>
            </w:tcBorders>
            <w:noWrap w:val="0"/>
            <w:vAlign w:val="center"/>
          </w:tcPr>
          <w:p w14:paraId="5B6C4F7A">
            <w:pPr>
              <w:adjustRightInd w:val="0"/>
              <w:snapToGrid w:val="0"/>
              <w:spacing w:before="0" w:beforeLines="0" w:line="240" w:lineRule="exact"/>
              <w:jc w:val="center"/>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标的名称</w:t>
            </w:r>
          </w:p>
        </w:tc>
        <w:tc>
          <w:tcPr>
            <w:tcW w:w="2245" w:type="dxa"/>
            <w:tcBorders>
              <w:tl2br w:val="nil"/>
              <w:tr2bl w:val="nil"/>
            </w:tcBorders>
            <w:noWrap w:val="0"/>
            <w:vAlign w:val="center"/>
          </w:tcPr>
          <w:p w14:paraId="7431DFFE">
            <w:pPr>
              <w:adjustRightInd w:val="0"/>
              <w:snapToGrid w:val="0"/>
              <w:spacing w:before="0" w:beforeLines="0" w:line="24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简要技术要求</w:t>
            </w:r>
          </w:p>
        </w:tc>
        <w:tc>
          <w:tcPr>
            <w:tcW w:w="709" w:type="dxa"/>
            <w:tcBorders>
              <w:tl2br w:val="nil"/>
              <w:tr2bl w:val="nil"/>
            </w:tcBorders>
            <w:noWrap w:val="0"/>
            <w:vAlign w:val="center"/>
          </w:tcPr>
          <w:p w14:paraId="5DC0F903">
            <w:pPr>
              <w:adjustRightInd w:val="0"/>
              <w:snapToGrid w:val="0"/>
              <w:spacing w:beforeLines="0" w:line="240" w:lineRule="exact"/>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数量</w:t>
            </w:r>
          </w:p>
        </w:tc>
        <w:tc>
          <w:tcPr>
            <w:tcW w:w="750" w:type="dxa"/>
            <w:tcBorders>
              <w:tl2br w:val="nil"/>
              <w:tr2bl w:val="nil"/>
            </w:tcBorders>
            <w:noWrap w:val="0"/>
            <w:vAlign w:val="center"/>
          </w:tcPr>
          <w:p w14:paraId="1C3A1A0E">
            <w:pPr>
              <w:adjustRightInd w:val="0"/>
              <w:snapToGrid w:val="0"/>
              <w:spacing w:beforeLines="0" w:line="24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单位</w:t>
            </w:r>
          </w:p>
        </w:tc>
        <w:tc>
          <w:tcPr>
            <w:tcW w:w="695" w:type="dxa"/>
            <w:tcBorders>
              <w:tl2br w:val="nil"/>
              <w:tr2bl w:val="nil"/>
            </w:tcBorders>
            <w:noWrap w:val="0"/>
            <w:vAlign w:val="center"/>
          </w:tcPr>
          <w:p w14:paraId="170A3B72">
            <w:pPr>
              <w:adjustRightInd w:val="0"/>
              <w:snapToGrid w:val="0"/>
              <w:spacing w:beforeLines="0" w:line="240" w:lineRule="exact"/>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节能</w:t>
            </w:r>
          </w:p>
          <w:p w14:paraId="66CCAFC9">
            <w:pPr>
              <w:adjustRightInd w:val="0"/>
              <w:snapToGrid w:val="0"/>
              <w:spacing w:beforeLines="0" w:line="24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产品</w:t>
            </w:r>
          </w:p>
        </w:tc>
        <w:tc>
          <w:tcPr>
            <w:tcW w:w="732" w:type="dxa"/>
            <w:tcBorders>
              <w:tl2br w:val="nil"/>
              <w:tr2bl w:val="nil"/>
            </w:tcBorders>
            <w:noWrap w:val="0"/>
            <w:vAlign w:val="center"/>
          </w:tcPr>
          <w:p w14:paraId="322E7D2D">
            <w:pPr>
              <w:adjustRightInd w:val="0"/>
              <w:snapToGrid w:val="0"/>
              <w:spacing w:beforeLines="0" w:line="240" w:lineRule="exact"/>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进口</w:t>
            </w:r>
          </w:p>
          <w:p w14:paraId="09E7C6F3">
            <w:pPr>
              <w:adjustRightInd w:val="0"/>
              <w:snapToGrid w:val="0"/>
              <w:spacing w:beforeLines="0" w:line="24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产品</w:t>
            </w:r>
          </w:p>
        </w:tc>
      </w:tr>
      <w:tr w14:paraId="1351BF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06" w:hRule="atLeast"/>
          <w:jc w:val="center"/>
        </w:trPr>
        <w:tc>
          <w:tcPr>
            <w:tcW w:w="721" w:type="dxa"/>
            <w:tcBorders>
              <w:tl2br w:val="nil"/>
              <w:tr2bl w:val="nil"/>
            </w:tcBorders>
            <w:noWrap w:val="0"/>
            <w:vAlign w:val="center"/>
          </w:tcPr>
          <w:p w14:paraId="776C5CF6">
            <w:pPr>
              <w:adjustRightInd w:val="0"/>
              <w:snapToGrid w:val="0"/>
              <w:spacing w:before="0" w:beforeLines="0"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w:t>
            </w:r>
          </w:p>
        </w:tc>
        <w:tc>
          <w:tcPr>
            <w:tcW w:w="1762" w:type="dxa"/>
            <w:tcBorders>
              <w:tl2br w:val="nil"/>
              <w:tr2bl w:val="nil"/>
            </w:tcBorders>
            <w:noWrap w:val="0"/>
            <w:vAlign w:val="center"/>
          </w:tcPr>
          <w:p w14:paraId="105BCDA9">
            <w:pPr>
              <w:adjustRightInd w:val="0"/>
              <w:snapToGrid w:val="0"/>
              <w:spacing w:before="0" w:beforeLines="0" w:line="240" w:lineRule="auto"/>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机器视觉应用实训室建设项目</w:t>
            </w:r>
          </w:p>
        </w:tc>
        <w:tc>
          <w:tcPr>
            <w:tcW w:w="1725" w:type="dxa"/>
            <w:tcBorders>
              <w:tl2br w:val="nil"/>
              <w:tr2bl w:val="nil"/>
            </w:tcBorders>
            <w:noWrap w:val="0"/>
            <w:vAlign w:val="center"/>
          </w:tcPr>
          <w:p w14:paraId="5712497A">
            <w:pPr>
              <w:adjustRightInd w:val="0"/>
              <w:snapToGrid w:val="0"/>
              <w:spacing w:before="0" w:beforeLines="0" w:line="240" w:lineRule="auto"/>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机器视觉应用实训室建设项目</w:t>
            </w:r>
          </w:p>
        </w:tc>
        <w:tc>
          <w:tcPr>
            <w:tcW w:w="2245" w:type="dxa"/>
            <w:tcBorders>
              <w:tl2br w:val="nil"/>
              <w:tr2bl w:val="nil"/>
            </w:tcBorders>
            <w:noWrap w:val="0"/>
            <w:vAlign w:val="center"/>
          </w:tcPr>
          <w:p w14:paraId="43A6C19C">
            <w:pPr>
              <w:adjustRightInd w:val="0"/>
              <w:snapToGrid w:val="0"/>
              <w:spacing w:before="0" w:beforeLines="0"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Cs w:val="21"/>
                <w:highlight w:val="none"/>
                <w:lang w:val="en-US" w:eastAsia="zh-CN"/>
                <w14:textFill>
                  <w14:solidFill>
                    <w14:schemeClr w14:val="tx1"/>
                  </w14:solidFill>
                </w14:textFill>
              </w:rPr>
              <w:t>详见采购需求</w:t>
            </w:r>
          </w:p>
        </w:tc>
        <w:tc>
          <w:tcPr>
            <w:tcW w:w="709" w:type="dxa"/>
            <w:tcBorders>
              <w:tl2br w:val="nil"/>
              <w:tr2bl w:val="nil"/>
            </w:tcBorders>
            <w:noWrap w:val="0"/>
            <w:vAlign w:val="center"/>
          </w:tcPr>
          <w:p w14:paraId="4AB864A4">
            <w:pPr>
              <w:adjustRightInd w:val="0"/>
              <w:snapToGrid w:val="0"/>
              <w:spacing w:before="0" w:beforeLines="0"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w:t>
            </w:r>
          </w:p>
        </w:tc>
        <w:tc>
          <w:tcPr>
            <w:tcW w:w="750" w:type="dxa"/>
            <w:tcBorders>
              <w:tl2br w:val="nil"/>
              <w:tr2bl w:val="nil"/>
            </w:tcBorders>
            <w:noWrap w:val="0"/>
            <w:vAlign w:val="center"/>
          </w:tcPr>
          <w:p w14:paraId="702B174A">
            <w:pPr>
              <w:adjustRightInd w:val="0"/>
              <w:snapToGrid w:val="0"/>
              <w:spacing w:before="0" w:beforeLines="0" w:line="240" w:lineRule="auto"/>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批</w:t>
            </w:r>
          </w:p>
        </w:tc>
        <w:tc>
          <w:tcPr>
            <w:tcW w:w="695" w:type="dxa"/>
            <w:tcBorders>
              <w:tl2br w:val="nil"/>
              <w:tr2bl w:val="nil"/>
            </w:tcBorders>
            <w:noWrap w:val="0"/>
            <w:vAlign w:val="center"/>
          </w:tcPr>
          <w:p w14:paraId="6D0C96DF">
            <w:pPr>
              <w:adjustRightInd w:val="0"/>
              <w:snapToGrid w:val="0"/>
              <w:spacing w:before="0" w:beforeLines="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p>
        </w:tc>
        <w:tc>
          <w:tcPr>
            <w:tcW w:w="732" w:type="dxa"/>
            <w:tcBorders>
              <w:tl2br w:val="nil"/>
              <w:tr2bl w:val="nil"/>
            </w:tcBorders>
            <w:noWrap w:val="0"/>
            <w:vAlign w:val="center"/>
          </w:tcPr>
          <w:p w14:paraId="2F5CC669">
            <w:pPr>
              <w:adjustRightInd w:val="0"/>
              <w:snapToGrid w:val="0"/>
              <w:spacing w:before="0" w:beforeLines="0" w:line="240" w:lineRule="auto"/>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p>
        </w:tc>
      </w:tr>
    </w:tbl>
    <w:p w14:paraId="222E12BE">
      <w:pPr>
        <w:adjustRightInd w:val="0"/>
        <w:snapToGrid w:val="0"/>
        <w:spacing w:before="0" w:beforeLines="0" w:line="400" w:lineRule="exact"/>
        <w:ind w:firstLine="0" w:firstLineChars="0"/>
        <w:jc w:val="left"/>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注：1</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Cs w:val="21"/>
          <w:highlight w:val="none"/>
          <w14:textFill>
            <w14:solidFill>
              <w14:schemeClr w14:val="tx1"/>
            </w14:solidFill>
          </w14:textFill>
        </w:rPr>
        <w:t>“包”为最小合同单位。每“包”内容应细化到具体的标的。</w:t>
      </w:r>
    </w:p>
    <w:p w14:paraId="2D801258">
      <w:pPr>
        <w:adjustRightInd w:val="0"/>
        <w:snapToGrid w:val="0"/>
        <w:spacing w:before="0" w:beforeLines="0" w:line="400" w:lineRule="exact"/>
        <w:ind w:firstLine="420" w:firstLineChars="200"/>
        <w:jc w:val="left"/>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2"/>
          <w:szCs w:val="21"/>
          <w:highlight w:val="none"/>
          <w14:textFill>
            <w14:solidFill>
              <w14:schemeClr w14:val="tx1"/>
            </w14:solidFill>
          </w14:textFill>
        </w:rPr>
        <w:t>供应商应在响应文件</w:t>
      </w:r>
      <w:r>
        <w:rPr>
          <w:rFonts w:hint="default" w:ascii="Times New Roman" w:hAnsi="Times New Roman" w:eastAsia="宋体" w:cs="Times New Roman"/>
          <w:bCs/>
          <w:color w:val="000000" w:themeColor="text1"/>
          <w:kern w:val="2"/>
          <w:szCs w:val="21"/>
          <w:highlight w:val="none"/>
          <w14:textFill>
            <w14:solidFill>
              <w14:schemeClr w14:val="tx1"/>
            </w14:solidFill>
          </w14:textFill>
        </w:rPr>
        <w:t>“</w:t>
      </w:r>
      <w:r>
        <w:rPr>
          <w:rFonts w:hint="default" w:ascii="Times New Roman" w:hAnsi="Times New Roman" w:cs="Times New Roman"/>
          <w:bCs/>
          <w:color w:val="000000" w:themeColor="text1"/>
          <w:kern w:val="2"/>
          <w:szCs w:val="21"/>
          <w:highlight w:val="none"/>
          <w14:textFill>
            <w14:solidFill>
              <w14:schemeClr w14:val="tx1"/>
            </w14:solidFill>
          </w14:textFill>
        </w:rPr>
        <w:t>分项报价明细表</w:t>
      </w:r>
      <w:r>
        <w:rPr>
          <w:rFonts w:hint="default" w:ascii="Times New Roman" w:hAnsi="Times New Roman" w:eastAsia="宋体" w:cs="Times New Roman"/>
          <w:bCs/>
          <w:color w:val="000000" w:themeColor="text1"/>
          <w:kern w:val="2"/>
          <w:szCs w:val="21"/>
          <w:highlight w:val="none"/>
          <w14:textFill>
            <w14:solidFill>
              <w14:schemeClr w14:val="tx1"/>
            </w14:solidFill>
          </w14:textFill>
        </w:rPr>
        <w:t>”</w:t>
      </w:r>
      <w:r>
        <w:rPr>
          <w:rFonts w:hint="default" w:ascii="Times New Roman" w:hAnsi="Times New Roman" w:cs="Times New Roman"/>
          <w:bCs/>
          <w:color w:val="000000" w:themeColor="text1"/>
          <w:kern w:val="2"/>
          <w:szCs w:val="21"/>
          <w:highlight w:val="none"/>
          <w14:textFill>
            <w14:solidFill>
              <w14:schemeClr w14:val="tx1"/>
            </w14:solidFill>
          </w14:textFill>
        </w:rPr>
        <w:t>中按</w:t>
      </w:r>
      <w:r>
        <w:rPr>
          <w:rFonts w:hint="default" w:ascii="Times New Roman" w:hAnsi="Times New Roman" w:cs="Times New Roman"/>
          <w:bCs/>
          <w:color w:val="000000" w:themeColor="text1"/>
          <w:szCs w:val="21"/>
          <w:highlight w:val="none"/>
          <w14:textFill>
            <w14:solidFill>
              <w14:schemeClr w14:val="tx1"/>
            </w14:solidFill>
          </w14:textFill>
        </w:rPr>
        <w:t>标的名称</w:t>
      </w:r>
      <w:r>
        <w:rPr>
          <w:rFonts w:hint="default" w:ascii="Times New Roman" w:hAnsi="Times New Roman" w:cs="Times New Roman"/>
          <w:bCs/>
          <w:color w:val="000000" w:themeColor="text1"/>
          <w:kern w:val="2"/>
          <w:szCs w:val="21"/>
          <w:highlight w:val="none"/>
          <w14:textFill>
            <w14:solidFill>
              <w14:schemeClr w14:val="tx1"/>
            </w14:solidFill>
          </w14:textFill>
        </w:rPr>
        <w:t>顺序逐项填写，且每个标的均需按谈判文件规定报价。如有缺项、漏项，其</w:t>
      </w:r>
      <w:r>
        <w:rPr>
          <w:rFonts w:hint="default" w:ascii="Times New Roman" w:hAnsi="Times New Roman" w:cs="Times New Roman"/>
          <w:b w:val="0"/>
          <w:bCs/>
          <w:color w:val="000000" w:themeColor="text1"/>
          <w:kern w:val="2"/>
          <w:szCs w:val="21"/>
          <w:highlight w:val="none"/>
          <w14:textFill>
            <w14:solidFill>
              <w14:schemeClr w14:val="tx1"/>
            </w14:solidFill>
          </w14:textFill>
        </w:rPr>
        <w:t>响应无效</w:t>
      </w:r>
      <w:r>
        <w:rPr>
          <w:rFonts w:hint="default" w:ascii="Times New Roman" w:hAnsi="Times New Roman" w:cs="Times New Roman"/>
          <w:bCs/>
          <w:color w:val="000000" w:themeColor="text1"/>
          <w:kern w:val="2"/>
          <w:szCs w:val="21"/>
          <w:highlight w:val="none"/>
          <w14:textFill>
            <w14:solidFill>
              <w14:schemeClr w14:val="tx1"/>
            </w14:solidFill>
          </w14:textFill>
        </w:rPr>
        <w:t>。</w:t>
      </w:r>
    </w:p>
    <w:p w14:paraId="291E1368">
      <w:pPr>
        <w:adjustRightInd w:val="0"/>
        <w:snapToGrid w:val="0"/>
        <w:spacing w:before="156" w:beforeLines="50" w:line="360" w:lineRule="auto"/>
        <w:ind w:firstLine="0" w:firstLineChars="0"/>
        <w:jc w:val="cente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pPr>
    </w:p>
    <w:p w14:paraId="586CFEFC">
      <w:pP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br w:type="page"/>
      </w:r>
    </w:p>
    <w:p w14:paraId="6D43325F">
      <w:pPr>
        <w:pStyle w:val="3"/>
        <w:adjustRightInd w:val="0"/>
        <w:snapToGrid w:val="0"/>
        <w:spacing w:before="156" w:beforeLines="50" w:line="360" w:lineRule="auto"/>
        <w:ind w:firstLineChars="200"/>
        <w:jc w:val="cente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pPr>
      <w:bookmarkStart w:id="483" w:name="_Toc23483"/>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t>第二节 技术要求</w:t>
      </w:r>
      <w:bookmarkEnd w:id="483"/>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4"/>
        <w:gridCol w:w="3799"/>
        <w:gridCol w:w="1402"/>
        <w:gridCol w:w="1171"/>
        <w:gridCol w:w="1851"/>
      </w:tblGrid>
      <w:tr w14:paraId="322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trPr>
        <w:tc>
          <w:tcPr>
            <w:tcW w:w="1054" w:type="dxa"/>
            <w:vAlign w:val="center"/>
          </w:tcPr>
          <w:p w14:paraId="5B13161A">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序号</w:t>
            </w:r>
          </w:p>
        </w:tc>
        <w:tc>
          <w:tcPr>
            <w:tcW w:w="3799" w:type="dxa"/>
            <w:vAlign w:val="center"/>
          </w:tcPr>
          <w:p w14:paraId="1556A000">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标的名称</w:t>
            </w:r>
          </w:p>
        </w:tc>
        <w:tc>
          <w:tcPr>
            <w:tcW w:w="1402" w:type="dxa"/>
            <w:vAlign w:val="center"/>
          </w:tcPr>
          <w:p w14:paraId="5D84143F">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规格参数</w:t>
            </w:r>
          </w:p>
        </w:tc>
        <w:tc>
          <w:tcPr>
            <w:tcW w:w="1171" w:type="dxa"/>
            <w:vAlign w:val="center"/>
          </w:tcPr>
          <w:p w14:paraId="326F2B35">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数量</w:t>
            </w:r>
          </w:p>
        </w:tc>
        <w:tc>
          <w:tcPr>
            <w:tcW w:w="1851" w:type="dxa"/>
            <w:vAlign w:val="center"/>
          </w:tcPr>
          <w:p w14:paraId="50765E66">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单位</w:t>
            </w:r>
          </w:p>
        </w:tc>
      </w:tr>
      <w:tr w14:paraId="7E32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100315A1">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3799" w:type="dxa"/>
            <w:vAlign w:val="center"/>
          </w:tcPr>
          <w:p w14:paraId="3B2F058D">
            <w:pPr>
              <w:keepNext w:val="0"/>
              <w:keepLines w:val="0"/>
              <w:pageBreakBefore w:val="0"/>
              <w:widowControl/>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机器视觉基础套件</w:t>
            </w:r>
          </w:p>
        </w:tc>
        <w:tc>
          <w:tcPr>
            <w:tcW w:w="1402" w:type="dxa"/>
            <w:vMerge w:val="restart"/>
            <w:vAlign w:val="center"/>
          </w:tcPr>
          <w:p w14:paraId="57B99C43">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eastAsia" w:cs="Times New Roman"/>
                <w:sz w:val="24"/>
                <w:szCs w:val="24"/>
                <w:vertAlign w:val="baseline"/>
                <w:lang w:val="en-US" w:eastAsia="zh-CN"/>
              </w:rPr>
              <w:t>详见</w:t>
            </w:r>
            <w:r>
              <w:rPr>
                <w:rFonts w:hint="default" w:ascii="Times New Roman" w:hAnsi="Times New Roman" w:eastAsia="宋体" w:cs="Times New Roman"/>
                <w:sz w:val="24"/>
                <w:szCs w:val="24"/>
                <w:vertAlign w:val="baseline"/>
                <w:lang w:val="en-US" w:eastAsia="zh-CN"/>
              </w:rPr>
              <w:t>设备介绍及技术参数</w:t>
            </w:r>
          </w:p>
        </w:tc>
        <w:tc>
          <w:tcPr>
            <w:tcW w:w="1171" w:type="dxa"/>
            <w:vAlign w:val="center"/>
          </w:tcPr>
          <w:p w14:paraId="044E44D0">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851" w:type="dxa"/>
            <w:vAlign w:val="center"/>
          </w:tcPr>
          <w:p w14:paraId="56CD8E1D">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22EE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5FA4CDE3">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3799" w:type="dxa"/>
            <w:vAlign w:val="center"/>
          </w:tcPr>
          <w:p w14:paraId="6585CAB8">
            <w:pPr>
              <w:keepNext w:val="0"/>
              <w:keepLines w:val="0"/>
              <w:pageBreakBefore w:val="0"/>
              <w:widowControl/>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智能视觉应用套件扩展功能包</w:t>
            </w:r>
          </w:p>
        </w:tc>
        <w:tc>
          <w:tcPr>
            <w:tcW w:w="1402" w:type="dxa"/>
            <w:vMerge w:val="continue"/>
            <w:vAlign w:val="center"/>
          </w:tcPr>
          <w:p w14:paraId="49CD962A">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137F3B28">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851" w:type="dxa"/>
            <w:vAlign w:val="center"/>
          </w:tcPr>
          <w:p w14:paraId="5EEC6A5A">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3859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26DDF244">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3799" w:type="dxa"/>
            <w:vAlign w:val="center"/>
          </w:tcPr>
          <w:p w14:paraId="6630148A">
            <w:pPr>
              <w:keepNext w:val="0"/>
              <w:keepLines w:val="0"/>
              <w:pageBreakBefore w:val="0"/>
              <w:widowControl/>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机器视觉及电气综合实训平台</w:t>
            </w:r>
          </w:p>
        </w:tc>
        <w:tc>
          <w:tcPr>
            <w:tcW w:w="1402" w:type="dxa"/>
            <w:vMerge w:val="continue"/>
            <w:vAlign w:val="center"/>
          </w:tcPr>
          <w:p w14:paraId="61934502">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6523DAFB">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851" w:type="dxa"/>
            <w:vAlign w:val="center"/>
          </w:tcPr>
          <w:p w14:paraId="0EE3B5B3">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13BB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6F5128F6">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3799" w:type="dxa"/>
            <w:vAlign w:val="center"/>
          </w:tcPr>
          <w:p w14:paraId="1D871104">
            <w:pPr>
              <w:keepNext w:val="0"/>
              <w:keepLines w:val="0"/>
              <w:pageBreakBefore w:val="0"/>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AELOS SMART机器人</w:t>
            </w:r>
          </w:p>
        </w:tc>
        <w:tc>
          <w:tcPr>
            <w:tcW w:w="1402" w:type="dxa"/>
            <w:vMerge w:val="continue"/>
            <w:vAlign w:val="center"/>
          </w:tcPr>
          <w:p w14:paraId="497B4C70">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587CF9EC">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851" w:type="dxa"/>
            <w:vAlign w:val="center"/>
          </w:tcPr>
          <w:p w14:paraId="6729596D">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289E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7D304A29">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3799" w:type="dxa"/>
            <w:vAlign w:val="center"/>
          </w:tcPr>
          <w:p w14:paraId="6734DF42">
            <w:pPr>
              <w:keepNext w:val="0"/>
              <w:keepLines w:val="0"/>
              <w:pageBreakBefore w:val="0"/>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AELOS LITE机器人</w:t>
            </w:r>
          </w:p>
        </w:tc>
        <w:tc>
          <w:tcPr>
            <w:tcW w:w="1402" w:type="dxa"/>
            <w:vMerge w:val="continue"/>
            <w:vAlign w:val="center"/>
          </w:tcPr>
          <w:p w14:paraId="18B4A0B3">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2F553418">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851" w:type="dxa"/>
            <w:vAlign w:val="center"/>
          </w:tcPr>
          <w:p w14:paraId="701EFCB5">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32AA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2CFC2108">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3799" w:type="dxa"/>
            <w:vAlign w:val="center"/>
          </w:tcPr>
          <w:p w14:paraId="54D848E2">
            <w:pPr>
              <w:keepNext w:val="0"/>
              <w:keepLines w:val="0"/>
              <w:pageBreakBefore w:val="0"/>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机器视觉软件</w:t>
            </w:r>
          </w:p>
        </w:tc>
        <w:tc>
          <w:tcPr>
            <w:tcW w:w="1402" w:type="dxa"/>
            <w:vMerge w:val="continue"/>
            <w:vAlign w:val="center"/>
          </w:tcPr>
          <w:p w14:paraId="7ADED4D9">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31C3E9B7">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23</w:t>
            </w:r>
          </w:p>
        </w:tc>
        <w:tc>
          <w:tcPr>
            <w:tcW w:w="1851" w:type="dxa"/>
            <w:vAlign w:val="center"/>
          </w:tcPr>
          <w:p w14:paraId="5C5B77E2">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2A70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075240DC">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3799" w:type="dxa"/>
            <w:vAlign w:val="center"/>
          </w:tcPr>
          <w:p w14:paraId="726CC46F">
            <w:pPr>
              <w:keepNext w:val="0"/>
              <w:keepLines w:val="0"/>
              <w:pageBreakBefore w:val="0"/>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配套样品与资源</w:t>
            </w:r>
          </w:p>
        </w:tc>
        <w:tc>
          <w:tcPr>
            <w:tcW w:w="1402" w:type="dxa"/>
            <w:vMerge w:val="continue"/>
            <w:vAlign w:val="center"/>
          </w:tcPr>
          <w:p w14:paraId="7218A372">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471C1296">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851" w:type="dxa"/>
            <w:vAlign w:val="center"/>
          </w:tcPr>
          <w:p w14:paraId="3C282892">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套</w:t>
            </w:r>
          </w:p>
        </w:tc>
      </w:tr>
      <w:tr w14:paraId="74A2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25A93003">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3799" w:type="dxa"/>
            <w:vAlign w:val="center"/>
          </w:tcPr>
          <w:p w14:paraId="6725FCCB">
            <w:pPr>
              <w:keepNext w:val="0"/>
              <w:keepLines w:val="0"/>
              <w:pageBreakBefore w:val="0"/>
              <w:widowControl w:val="0"/>
              <w:kinsoku/>
              <w:wordWrap/>
              <w:overflowPunct/>
              <w:topLinePunct w:val="0"/>
              <w:bidi w:val="0"/>
              <w:adjustRightInd/>
              <w:snapToGrid/>
              <w:spacing w:after="0" w:line="360" w:lineRule="auto"/>
              <w:ind w:left="0" w:leftChars="0"/>
              <w:jc w:val="center"/>
              <w:rPr>
                <w:rFonts w:hint="default" w:ascii="Times New Roman" w:hAnsi="Times New Roman" w:eastAsia="宋体" w:cs="Times New Roman"/>
                <w:kern w:val="2"/>
                <w:sz w:val="24"/>
                <w:szCs w:val="24"/>
                <w:vertAlign w:val="baseline"/>
                <w:lang w:val="en-US" w:eastAsia="zh-CN" w:bidi="ar-SA"/>
              </w:rPr>
            </w:pPr>
            <w:r>
              <w:rPr>
                <w:rFonts w:hint="default" w:ascii="Times New Roman" w:hAnsi="Times New Roman" w:eastAsia="宋体" w:cs="Times New Roman"/>
                <w:color w:val="auto"/>
                <w:kern w:val="2"/>
                <w:sz w:val="24"/>
                <w:szCs w:val="24"/>
                <w:highlight w:val="none"/>
                <w:lang w:val="en-US" w:eastAsia="zh-CN" w:bidi="ar-SA"/>
              </w:rPr>
              <w:t>双层长桌</w:t>
            </w:r>
          </w:p>
        </w:tc>
        <w:tc>
          <w:tcPr>
            <w:tcW w:w="1402" w:type="dxa"/>
            <w:vMerge w:val="continue"/>
            <w:vAlign w:val="center"/>
          </w:tcPr>
          <w:p w14:paraId="2D678F09">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7BD274DD">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851" w:type="dxa"/>
            <w:vAlign w:val="center"/>
          </w:tcPr>
          <w:p w14:paraId="04849622">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张</w:t>
            </w:r>
          </w:p>
        </w:tc>
      </w:tr>
      <w:tr w14:paraId="128A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054" w:type="dxa"/>
            <w:vAlign w:val="center"/>
          </w:tcPr>
          <w:p w14:paraId="514B74BA">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3799" w:type="dxa"/>
            <w:vAlign w:val="center"/>
          </w:tcPr>
          <w:p w14:paraId="3A3CA7E6">
            <w:pPr>
              <w:keepNext w:val="0"/>
              <w:keepLines w:val="0"/>
              <w:pageBreakBefore w:val="0"/>
              <w:widowControl w:val="0"/>
              <w:kinsoku/>
              <w:wordWrap/>
              <w:overflowPunct/>
              <w:topLinePunct w:val="0"/>
              <w:bidi w:val="0"/>
              <w:adjustRightInd/>
              <w:snapToGrid/>
              <w:spacing w:after="0" w:line="360" w:lineRule="auto"/>
              <w:ind w:left="0" w:leftChars="0"/>
              <w:jc w:val="center"/>
              <w:rPr>
                <w:rFonts w:hint="default" w:ascii="Times New Roman" w:hAnsi="Times New Roman" w:eastAsia="宋体" w:cs="Times New Roman"/>
                <w:kern w:val="2"/>
                <w:sz w:val="24"/>
                <w:szCs w:val="24"/>
                <w:vertAlign w:val="baseline"/>
                <w:lang w:val="en-US" w:eastAsia="zh-CN" w:bidi="ar-SA"/>
              </w:rPr>
            </w:pPr>
            <w:r>
              <w:rPr>
                <w:rFonts w:hint="default" w:ascii="Times New Roman" w:hAnsi="Times New Roman" w:eastAsia="宋体" w:cs="Times New Roman"/>
                <w:color w:val="auto"/>
                <w:kern w:val="2"/>
                <w:sz w:val="24"/>
                <w:szCs w:val="24"/>
                <w:highlight w:val="none"/>
                <w:lang w:val="en-US" w:eastAsia="zh-CN" w:bidi="ar-SA"/>
              </w:rPr>
              <w:t>靠背椅</w:t>
            </w:r>
          </w:p>
        </w:tc>
        <w:tc>
          <w:tcPr>
            <w:tcW w:w="1402" w:type="dxa"/>
            <w:vMerge w:val="continue"/>
            <w:vAlign w:val="center"/>
          </w:tcPr>
          <w:p w14:paraId="2F31C41A">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7AC369BD">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1851" w:type="dxa"/>
            <w:vAlign w:val="center"/>
          </w:tcPr>
          <w:p w14:paraId="2D615A47">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条</w:t>
            </w:r>
          </w:p>
        </w:tc>
      </w:tr>
      <w:tr w14:paraId="7025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54" w:type="dxa"/>
            <w:vAlign w:val="center"/>
          </w:tcPr>
          <w:p w14:paraId="38C8925E">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3799" w:type="dxa"/>
            <w:vAlign w:val="center"/>
          </w:tcPr>
          <w:p w14:paraId="15C3A379">
            <w:pPr>
              <w:keepNext w:val="0"/>
              <w:keepLines w:val="0"/>
              <w:pageBreakBefore w:val="0"/>
              <w:kinsoku/>
              <w:wordWrap/>
              <w:overflowPunct/>
              <w:topLinePunct w:val="0"/>
              <w:bidi w:val="0"/>
              <w:adjustRightInd/>
              <w:snapToGrid/>
              <w:spacing w:line="360" w:lineRule="auto"/>
              <w:ind w:left="0" w:leftChars="0"/>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color w:val="auto"/>
                <w:kern w:val="2"/>
                <w:sz w:val="24"/>
                <w:szCs w:val="24"/>
                <w:highlight w:val="none"/>
                <w:lang w:val="en-US" w:eastAsia="zh-CN" w:bidi="ar-SA"/>
              </w:rPr>
              <w:t>环境建设</w:t>
            </w:r>
          </w:p>
        </w:tc>
        <w:tc>
          <w:tcPr>
            <w:tcW w:w="1402" w:type="dxa"/>
            <w:vMerge w:val="continue"/>
            <w:vAlign w:val="center"/>
          </w:tcPr>
          <w:p w14:paraId="33A1EF58">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p>
        </w:tc>
        <w:tc>
          <w:tcPr>
            <w:tcW w:w="1171" w:type="dxa"/>
            <w:vAlign w:val="center"/>
          </w:tcPr>
          <w:p w14:paraId="6DE423A4">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851" w:type="dxa"/>
            <w:vAlign w:val="center"/>
          </w:tcPr>
          <w:p w14:paraId="6D54E1DF">
            <w:pPr>
              <w:keepNext w:val="0"/>
              <w:keepLines w:val="0"/>
              <w:pageBreakBefore w:val="0"/>
              <w:widowControl/>
              <w:suppressLineNumbers w:val="0"/>
              <w:kinsoku/>
              <w:wordWrap/>
              <w:overflowPunct/>
              <w:topLinePunct w:val="0"/>
              <w:bidi w:val="0"/>
              <w:adjustRightInd/>
              <w:snapToGrid/>
              <w:spacing w:line="360" w:lineRule="auto"/>
              <w:ind w:left="0" w:leftChars="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项</w:t>
            </w:r>
          </w:p>
        </w:tc>
      </w:tr>
    </w:tbl>
    <w:p w14:paraId="61D68411">
      <w:pPr>
        <w:keepNext w:val="0"/>
        <w:keepLines w:val="0"/>
        <w:pageBreakBefore w:val="0"/>
        <w:kinsoku/>
        <w:wordWrap/>
        <w:overflowPunct/>
        <w:topLinePunct w:val="0"/>
        <w:bidi w:val="0"/>
        <w:adjustRightInd/>
        <w:snapToGrid/>
        <w:spacing w:line="360" w:lineRule="auto"/>
        <w:ind w:left="0" w:leftChars="0" w:firstLine="0" w:firstLineChars="0"/>
        <w:jc w:val="left"/>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z w:val="24"/>
          <w:szCs w:val="24"/>
        </w:rPr>
        <w:t>注</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、货物的主要技术参数或规格：</w:t>
      </w:r>
      <w:r>
        <w:rPr>
          <w:rFonts w:hint="default" w:ascii="Times New Roman" w:hAnsi="Times New Roman" w:eastAsia="宋体" w:cs="Times New Roman"/>
          <w:color w:val="000000"/>
          <w:kern w:val="0"/>
          <w:sz w:val="24"/>
          <w:szCs w:val="24"/>
        </w:rPr>
        <w:t>详见“技术要求”中的具体技术参数。</w:t>
      </w:r>
    </w:p>
    <w:p w14:paraId="00BF4F00">
      <w:pPr>
        <w:keepNext w:val="0"/>
        <w:keepLines w:val="0"/>
        <w:pageBreakBefore w:val="0"/>
        <w:kinsoku/>
        <w:wordWrap/>
        <w:overflowPunct/>
        <w:topLinePunct w:val="0"/>
        <w:bidi w:val="0"/>
        <w:adjustRightInd/>
        <w:snapToGrid/>
        <w:spacing w:line="360" w:lineRule="auto"/>
        <w:ind w:left="0" w:leftChars="0"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bCs/>
          <w:kern w:val="0"/>
          <w:sz w:val="24"/>
          <w:szCs w:val="24"/>
          <w:highlight w:val="none"/>
          <w:lang w:val="en-US" w:eastAsia="zh-CN"/>
        </w:rPr>
        <w:t>2</w:t>
      </w:r>
      <w:r>
        <w:rPr>
          <w:rFonts w:hint="default" w:ascii="Times New Roman" w:hAnsi="Times New Roman" w:eastAsia="宋体" w:cs="Times New Roman"/>
          <w:bCs/>
          <w:kern w:val="0"/>
          <w:sz w:val="24"/>
          <w:szCs w:val="24"/>
          <w:highlight w:val="none"/>
        </w:rPr>
        <w:t>、供应商应</w:t>
      </w:r>
      <w:r>
        <w:rPr>
          <w:rFonts w:hint="default" w:ascii="Times New Roman" w:hAnsi="Times New Roman" w:eastAsia="宋体" w:cs="Times New Roman"/>
          <w:kern w:val="0"/>
          <w:sz w:val="24"/>
          <w:szCs w:val="24"/>
          <w:highlight w:val="none"/>
        </w:rPr>
        <w:t>在响应文件“分项报价明细表”中按</w:t>
      </w:r>
      <w:r>
        <w:rPr>
          <w:rFonts w:hint="default" w:ascii="Times New Roman" w:hAnsi="Times New Roman" w:eastAsia="宋体" w:cs="Times New Roman"/>
          <w:color w:val="000000"/>
          <w:sz w:val="24"/>
          <w:szCs w:val="24"/>
          <w:highlight w:val="none"/>
        </w:rPr>
        <w:t>分项项目名称（包括</w:t>
      </w:r>
      <w:r>
        <w:rPr>
          <w:rFonts w:hint="default" w:ascii="Times New Roman" w:hAnsi="Times New Roman" w:eastAsia="宋体" w:cs="Times New Roman"/>
          <w:kern w:val="0"/>
          <w:sz w:val="24"/>
          <w:szCs w:val="24"/>
          <w:highlight w:val="none"/>
        </w:rPr>
        <w:t>条目号/品目名称）顺序逐项填写，且每个品目中的条目均需按谈判文件规定报价</w:t>
      </w:r>
      <w:r>
        <w:rPr>
          <w:rFonts w:hint="default" w:ascii="Times New Roman" w:hAnsi="Times New Roman" w:eastAsia="宋体" w:cs="Times New Roman"/>
          <w:kern w:val="0"/>
          <w:sz w:val="24"/>
          <w:szCs w:val="24"/>
          <w:highlight w:val="none"/>
          <w:lang w:val="en-US" w:eastAsia="zh-CN"/>
        </w:rPr>
        <w:t>。</w:t>
      </w:r>
      <w:r>
        <w:rPr>
          <w:rFonts w:hint="default" w:ascii="Times New Roman" w:hAnsi="Times New Roman" w:eastAsia="宋体" w:cs="Times New Roman"/>
          <w:kern w:val="0"/>
          <w:sz w:val="24"/>
          <w:szCs w:val="24"/>
          <w:highlight w:val="none"/>
        </w:rPr>
        <w:t>如有缺项、漏项，其</w:t>
      </w:r>
      <w:r>
        <w:rPr>
          <w:rFonts w:hint="default" w:ascii="Times New Roman" w:hAnsi="Times New Roman" w:eastAsia="宋体" w:cs="Times New Roman"/>
          <w:b/>
          <w:kern w:val="0"/>
          <w:sz w:val="24"/>
          <w:szCs w:val="24"/>
          <w:highlight w:val="none"/>
        </w:rPr>
        <w:t>响应无效</w:t>
      </w:r>
      <w:r>
        <w:rPr>
          <w:rFonts w:hint="default" w:ascii="Times New Roman" w:hAnsi="Times New Roman" w:eastAsia="宋体" w:cs="Times New Roman"/>
          <w:kern w:val="0"/>
          <w:sz w:val="24"/>
          <w:szCs w:val="24"/>
          <w:highlight w:val="none"/>
        </w:rPr>
        <w:t>。</w:t>
      </w:r>
    </w:p>
    <w:p w14:paraId="2980B14C">
      <w:pPr>
        <w:keepNext w:val="0"/>
        <w:keepLines w:val="0"/>
        <w:pageBreakBefore w:val="0"/>
        <w:kinsoku/>
        <w:wordWrap/>
        <w:overflowPunct/>
        <w:topLinePunct w:val="0"/>
        <w:bidi w:val="0"/>
        <w:adjustRightInd/>
        <w:snapToGrid/>
        <w:spacing w:line="360" w:lineRule="auto"/>
        <w:ind w:left="0" w:leftChars="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rPr>
        <w:t>设备</w:t>
      </w:r>
      <w:r>
        <w:rPr>
          <w:rFonts w:hint="default" w:ascii="Times New Roman" w:hAnsi="Times New Roman" w:eastAsia="宋体" w:cs="Times New Roman"/>
          <w:b/>
          <w:bCs/>
          <w:sz w:val="24"/>
          <w:szCs w:val="24"/>
          <w:lang w:eastAsia="zh-CN"/>
        </w:rPr>
        <w:t>介绍及技术参数</w:t>
      </w:r>
    </w:p>
    <w:tbl>
      <w:tblPr>
        <w:tblStyle w:val="45"/>
        <w:tblW w:w="53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70"/>
        <w:gridCol w:w="6492"/>
        <w:gridCol w:w="793"/>
        <w:gridCol w:w="897"/>
      </w:tblGrid>
      <w:tr w14:paraId="7ECE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91" w:type="dxa"/>
            <w:noWrap w:val="0"/>
            <w:vAlign w:val="center"/>
          </w:tcPr>
          <w:p w14:paraId="2DF80C8A">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b/>
                <w:bCs/>
                <w:color w:val="000000"/>
                <w:kern w:val="0"/>
                <w:sz w:val="21"/>
                <w:szCs w:val="21"/>
              </w:rPr>
              <w:t>序号</w:t>
            </w:r>
          </w:p>
        </w:tc>
        <w:tc>
          <w:tcPr>
            <w:tcW w:w="1073" w:type="dxa"/>
            <w:noWrap w:val="0"/>
            <w:vAlign w:val="center"/>
          </w:tcPr>
          <w:p w14:paraId="5780CDF1">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标的名称</w:t>
            </w:r>
          </w:p>
        </w:tc>
        <w:tc>
          <w:tcPr>
            <w:tcW w:w="5959" w:type="dxa"/>
            <w:noWrap w:val="0"/>
            <w:vAlign w:val="center"/>
          </w:tcPr>
          <w:p w14:paraId="15E175C3">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eastAsia="宋体" w:cs="Times New Roman"/>
                <w:b/>
                <w:bCs/>
                <w:color w:val="000000"/>
                <w:kern w:val="0"/>
                <w:sz w:val="21"/>
                <w:szCs w:val="21"/>
                <w:lang w:val="en-US" w:eastAsia="zh-CN"/>
              </w:rPr>
              <w:t>技术</w:t>
            </w:r>
            <w:r>
              <w:rPr>
                <w:rFonts w:hint="default" w:ascii="Times New Roman" w:hAnsi="Times New Roman" w:eastAsia="宋体" w:cs="Times New Roman"/>
                <w:b/>
                <w:bCs/>
                <w:color w:val="000000"/>
                <w:kern w:val="0"/>
                <w:sz w:val="21"/>
                <w:szCs w:val="21"/>
                <w:lang w:eastAsia="zh-CN"/>
              </w:rPr>
              <w:t>参数</w:t>
            </w:r>
          </w:p>
        </w:tc>
        <w:tc>
          <w:tcPr>
            <w:tcW w:w="727" w:type="dxa"/>
            <w:noWrap w:val="0"/>
            <w:vAlign w:val="center"/>
          </w:tcPr>
          <w:p w14:paraId="13790990">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b/>
                <w:bCs/>
                <w:color w:val="000000"/>
                <w:kern w:val="0"/>
                <w:sz w:val="21"/>
                <w:szCs w:val="21"/>
              </w:rPr>
              <w:t>单位</w:t>
            </w:r>
          </w:p>
        </w:tc>
        <w:tc>
          <w:tcPr>
            <w:tcW w:w="823" w:type="dxa"/>
            <w:noWrap w:val="0"/>
            <w:vAlign w:val="center"/>
          </w:tcPr>
          <w:p w14:paraId="002630AD">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b/>
                <w:bCs/>
                <w:color w:val="000000"/>
                <w:kern w:val="0"/>
                <w:sz w:val="21"/>
                <w:szCs w:val="21"/>
              </w:rPr>
              <w:t>数量</w:t>
            </w:r>
          </w:p>
        </w:tc>
      </w:tr>
      <w:tr w14:paraId="3166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591" w:type="dxa"/>
            <w:noWrap w:val="0"/>
            <w:vAlign w:val="center"/>
          </w:tcPr>
          <w:p w14:paraId="5DF35D3E">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1</w:t>
            </w:r>
          </w:p>
        </w:tc>
        <w:tc>
          <w:tcPr>
            <w:tcW w:w="1073" w:type="dxa"/>
            <w:noWrap w:val="0"/>
            <w:vAlign w:val="center"/>
          </w:tcPr>
          <w:p w14:paraId="255D0CC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机器视觉基础套件</w:t>
            </w:r>
          </w:p>
        </w:tc>
        <w:tc>
          <w:tcPr>
            <w:tcW w:w="5959" w:type="dxa"/>
            <w:noWrap w:val="0"/>
            <w:vAlign w:val="top"/>
          </w:tcPr>
          <w:p w14:paraId="12C02E70">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基本描述：适合于机器视觉基础实践教学，由视觉采集前端、运动执行机构、图形化机器视觉软件组成，可以学习机器视觉测量、识别、检测相关应用，通过PLC与电机的配合完成待检测品分拣，实现机器视觉与机构执行的闭环。</w:t>
            </w:r>
          </w:p>
          <w:p w14:paraId="14F7EF1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1.工业相机</w:t>
            </w:r>
          </w:p>
          <w:p w14:paraId="22A924E4">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（1）分辨率：≥2592*1944</w:t>
            </w:r>
          </w:p>
          <w:p w14:paraId="0329245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（2）帧率：≥20帧/秒</w:t>
            </w:r>
          </w:p>
          <w:p w14:paraId="5718EBF0">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（3）靶面：≥1/2.5”</w:t>
            </w:r>
          </w:p>
          <w:p w14:paraId="75DAF96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（4）像元：≥2.2um</w:t>
            </w:r>
          </w:p>
          <w:p w14:paraId="055DA7C4">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（5）颜色：彩色</w:t>
            </w:r>
          </w:p>
          <w:p w14:paraId="4170B3A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（6）支持自动或手动调节增益、曝光时间、白平衡、Gamma校正、LUT等</w:t>
            </w:r>
          </w:p>
          <w:p w14:paraId="086A37C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（7）支持自定义ROI，通过降低分辨率提高帧率，支持镜像输出，支持Binning模式，提升相机灵敏度</w:t>
            </w:r>
          </w:p>
          <w:p w14:paraId="1CCBB1B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（8）6-pin Hirose接头提供电源和I/O，包含1路光隔输入、1路光隔输出、1路双向可配置非隔离IO</w:t>
            </w:r>
          </w:p>
          <w:p w14:paraId="2CA9CDD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（9）协议/标准：至少支持GigE Vision V2.0、GenICam</w:t>
            </w:r>
          </w:p>
          <w:p w14:paraId="4690F20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2.工业镜头：</w:t>
            </w:r>
          </w:p>
          <w:p w14:paraId="2E2A0E9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（1）焦距：不小于16mm</w:t>
            </w:r>
          </w:p>
          <w:p w14:paraId="77BAE2DB">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（2）光圈：F2.8-F16.0</w:t>
            </w:r>
          </w:p>
          <w:p w14:paraId="6A0D82A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（3）像面尺寸：≥9.5mm</w:t>
            </w:r>
          </w:p>
          <w:p w14:paraId="35FA7DA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（4）分辨率：≥500万</w:t>
            </w:r>
          </w:p>
          <w:p w14:paraId="586FBFEB">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3.环形光源</w:t>
            </w:r>
          </w:p>
          <w:p w14:paraId="507017EB">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（1）发光尺寸：不小于Φ90mm</w:t>
            </w:r>
          </w:p>
          <w:p w14:paraId="0181093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（2）颜色：白色</w:t>
            </w:r>
          </w:p>
          <w:p w14:paraId="06187CB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（3）电源：24VDC</w:t>
            </w:r>
          </w:p>
          <w:p w14:paraId="5BC812C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4.实验装置</w:t>
            </w:r>
          </w:p>
          <w:p w14:paraId="5521AAEA">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（1）设备整体尺寸：≤450*450*750mm</w:t>
            </w:r>
          </w:p>
          <w:p w14:paraId="25E7FF9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（2）视觉实验架：相机、光源支架可灵活调整，满足不同工作距离、不同视场、不同角度取像要求，其中相机夹具宽度可调节范围不低于0-100mm</w:t>
            </w:r>
          </w:p>
          <w:p w14:paraId="394444F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（3）设备基座：铝制烤黑漆箱体，黑色阳极基板，可抽拉式电控盘</w:t>
            </w:r>
          </w:p>
          <w:p w14:paraId="3DAA8DC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（4）装置护罩：铝合金支架，带有遮光机构，保证实验环境不受环境光干扰；设备能在50℃左右环境高温贮存且能正常工作</w:t>
            </w:r>
          </w:p>
          <w:p w14:paraId="32FD852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5.配套执行机构：（内置于套件中）(1)PLC，以太网接口，板载数字I/O为12点输入/8点输出；(2)42步进电机，定制拨杆，定制分拣装置；(3)工业级5口千兆交换机</w:t>
            </w:r>
          </w:p>
          <w:p w14:paraId="6F69296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6.视觉控制系统：工控机不低于六核二十线程主频≥2.5G处理器、≥16GB内存、≥500G存储、显示器≥23.8英寸。</w:t>
            </w:r>
          </w:p>
          <w:p w14:paraId="1743D0B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lang w:val="en-US" w:eastAsia="zh-CN" w:bidi="ar-SA"/>
              </w:rPr>
              <w:t>7.其他附件：检测样品、标定工具、网线等</w:t>
            </w:r>
          </w:p>
        </w:tc>
        <w:tc>
          <w:tcPr>
            <w:tcW w:w="727" w:type="dxa"/>
            <w:noWrap w:val="0"/>
            <w:vAlign w:val="center"/>
          </w:tcPr>
          <w:p w14:paraId="230EA41B">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7336F007">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rPr>
              <w:t>20</w:t>
            </w:r>
            <w:r>
              <w:rPr>
                <w:rFonts w:hint="default" w:ascii="Times New Roman" w:hAnsi="Times New Roman" w:eastAsia="宋体" w:cs="Times New Roman"/>
                <w:color w:val="000000"/>
                <w:kern w:val="0"/>
                <w:sz w:val="21"/>
                <w:szCs w:val="21"/>
              </w:rPr>
              <w:t xml:space="preserve"> </w:t>
            </w:r>
          </w:p>
        </w:tc>
      </w:tr>
      <w:tr w14:paraId="399F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2D414620">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 xml:space="preserve">2 </w:t>
            </w:r>
          </w:p>
        </w:tc>
        <w:tc>
          <w:tcPr>
            <w:tcW w:w="1073" w:type="dxa"/>
            <w:noWrap w:val="0"/>
            <w:vAlign w:val="center"/>
          </w:tcPr>
          <w:p w14:paraId="4427DDC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智能视觉应用套件扩展功能包</w:t>
            </w:r>
          </w:p>
        </w:tc>
        <w:tc>
          <w:tcPr>
            <w:tcW w:w="5959" w:type="dxa"/>
            <w:noWrap w:val="0"/>
            <w:vAlign w:val="center"/>
          </w:tcPr>
          <w:p w14:paraId="037DBE3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基本描述：配合机器视觉实训套件使用，满足更多不同殊场景下的图像采集需要。</w:t>
            </w:r>
          </w:p>
          <w:p w14:paraId="1B88022E">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1.远心镜头</w:t>
            </w:r>
          </w:p>
          <w:p w14:paraId="33B4D21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（1）光学结构：物方远心</w:t>
            </w:r>
          </w:p>
          <w:p w14:paraId="0AB6D983">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（2）倍率：0.3</w:t>
            </w:r>
          </w:p>
          <w:p w14:paraId="0DD3FAA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（3）光圈：F15</w:t>
            </w:r>
          </w:p>
          <w:p w14:paraId="06688D77">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（4）物方视野Φ：≥25mm</w:t>
            </w:r>
          </w:p>
          <w:p w14:paraId="1E78EB46">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（5）像方视野Φ：≥6mm</w:t>
            </w:r>
          </w:p>
          <w:p w14:paraId="5A2E172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（6）工作距离：110mm±3%</w:t>
            </w:r>
          </w:p>
          <w:p w14:paraId="6D6AD11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2.12mm定焦镜头</w:t>
            </w:r>
          </w:p>
          <w:p w14:paraId="0D56960E">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（1）焦距：12mm</w:t>
            </w:r>
          </w:p>
          <w:p w14:paraId="22DD14C2">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（2）光圈范围：F2.8-16</w:t>
            </w:r>
          </w:p>
          <w:p w14:paraId="34369A28">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（3）分辨率：≥600万像素</w:t>
            </w:r>
          </w:p>
          <w:p w14:paraId="3619F648">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（4）接口：C口</w:t>
            </w:r>
          </w:p>
          <w:p w14:paraId="4CC56315">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3.35mm定焦镜头</w:t>
            </w:r>
          </w:p>
          <w:p w14:paraId="51350FB3">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（1）焦距：35mm</w:t>
            </w:r>
          </w:p>
          <w:p w14:paraId="1013662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（2）光圈范围：F2.8-16</w:t>
            </w:r>
          </w:p>
          <w:p w14:paraId="3CF3431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（3）分辨率：≥600万像素</w:t>
            </w:r>
          </w:p>
          <w:p w14:paraId="28DA7E5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（4）接口：C口</w:t>
            </w:r>
          </w:p>
          <w:p w14:paraId="68B476C6">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4.面光源</w:t>
            </w:r>
          </w:p>
          <w:p w14:paraId="566334D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（1）发光尺寸：≥100mm*100mm</w:t>
            </w:r>
          </w:p>
          <w:p w14:paraId="05B24C59">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653A7985">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6A459885">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5.0度环形光源</w:t>
            </w:r>
          </w:p>
          <w:p w14:paraId="271BBB0B">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（1）发光尺寸：外径≥Φ96mm，内径≥Φ60mm</w:t>
            </w:r>
          </w:p>
          <w:p w14:paraId="7726376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6334059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47B3BDF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（4）发光角度：0度</w:t>
            </w:r>
          </w:p>
          <w:p w14:paraId="595ED9E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6.45度环形光源</w:t>
            </w:r>
          </w:p>
          <w:p w14:paraId="3D249B1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（1）发光尺寸：外径≥Φ90mm，内径≥Φ50mm</w:t>
            </w:r>
          </w:p>
          <w:p w14:paraId="7F2F102C">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21400BB7">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0E4F349C">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（4）发光角度：45度</w:t>
            </w:r>
          </w:p>
          <w:p w14:paraId="624B272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7.90度偏振环形光源</w:t>
            </w:r>
          </w:p>
          <w:p w14:paraId="3ED439D9">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（1）发光尺寸：外径≥Φ73mm，内径≥Φ36mm</w:t>
            </w:r>
          </w:p>
          <w:p w14:paraId="78BE5326">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54C8E81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2DAC5919">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（4）发光角度：90度</w:t>
            </w:r>
          </w:p>
          <w:p w14:paraId="7491AC2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（5）自带偏振片</w:t>
            </w:r>
          </w:p>
          <w:p w14:paraId="1E6AA636">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8.同轴光源</w:t>
            </w:r>
          </w:p>
          <w:p w14:paraId="43A4C6B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（1）发光面：≥60mm*61mm</w:t>
            </w:r>
          </w:p>
          <w:p w14:paraId="287DBA9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63B9E03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1F90F987">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9.白色条形光源</w:t>
            </w:r>
          </w:p>
          <w:p w14:paraId="512097A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（1）发光尺寸：≥147mm*28mm</w:t>
            </w:r>
          </w:p>
          <w:p w14:paraId="6199E67A">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243564C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2716942D">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10.红色条形光源</w:t>
            </w:r>
          </w:p>
          <w:p w14:paraId="117E368E">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（1）发光尺寸：≥147mm*28mm</w:t>
            </w:r>
          </w:p>
          <w:p w14:paraId="732320F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（2）颜色：红色</w:t>
            </w:r>
          </w:p>
          <w:p w14:paraId="6E6CC015">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4023DD98">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11.绿色条形光源</w:t>
            </w:r>
          </w:p>
          <w:p w14:paraId="6EE6977B">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（1）发光尺寸：≥147mm*28mm</w:t>
            </w:r>
          </w:p>
          <w:p w14:paraId="3A8E53F3">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（2）颜色：绿色</w:t>
            </w:r>
          </w:p>
          <w:p w14:paraId="6F5EE4DD">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4A8AF2D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12.蓝色条形光源</w:t>
            </w:r>
          </w:p>
          <w:p w14:paraId="5C2889A7">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（1）发光尺寸：≥147mm*28mm</w:t>
            </w:r>
          </w:p>
          <w:p w14:paraId="5C27D0E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（2）颜色：蓝色</w:t>
            </w:r>
          </w:p>
          <w:p w14:paraId="014DB1BE">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407F1277">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13.红外条形光源</w:t>
            </w:r>
          </w:p>
          <w:p w14:paraId="2F701C5D">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（1）发光尺寸：≥57mm*28mm</w:t>
            </w:r>
          </w:p>
          <w:p w14:paraId="3A48BFE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（2）类别：红外线</w:t>
            </w:r>
          </w:p>
          <w:p w14:paraId="3E9A4963">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（3）中心波长：940nm</w:t>
            </w:r>
          </w:p>
          <w:p w14:paraId="7CB05245">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（4）电源：24VDC</w:t>
            </w:r>
          </w:p>
          <w:p w14:paraId="2D5B70D2">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14.紫外条形光源</w:t>
            </w:r>
          </w:p>
          <w:p w14:paraId="68701BC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（1）发光尺寸：≥57mm*28mm</w:t>
            </w:r>
          </w:p>
          <w:p w14:paraId="7A4FB4C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（2）类别：紫外线</w:t>
            </w:r>
          </w:p>
          <w:p w14:paraId="453C19FF">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（3）中心波长：365nm</w:t>
            </w:r>
          </w:p>
          <w:p w14:paraId="341E3208">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（4）电源：24VDC</w:t>
            </w:r>
          </w:p>
          <w:p w14:paraId="209DA238">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15.弧顶光源</w:t>
            </w:r>
          </w:p>
          <w:p w14:paraId="52905EA6">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（1）光源大小：直径≥Φ116mm，高度≥59mm</w:t>
            </w:r>
          </w:p>
          <w:p w14:paraId="35C6C7DA">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（2）颜色：白色</w:t>
            </w:r>
          </w:p>
          <w:p w14:paraId="74C9BD6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（3）电源：24VDC</w:t>
            </w:r>
          </w:p>
          <w:p w14:paraId="20CB5119">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16.滤镜：</w:t>
            </w:r>
          </w:p>
          <w:p w14:paraId="257915D3">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（1）螺纹尺寸：与镜头匹配</w:t>
            </w:r>
          </w:p>
          <w:p w14:paraId="15F2E18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（2）带宽：35-45nm</w:t>
            </w:r>
          </w:p>
          <w:p w14:paraId="15253094">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（3）中心波长：940n、470nm、365nm、525nm、630nm五种规格</w:t>
            </w:r>
          </w:p>
          <w:p w14:paraId="792B986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17.接圈：厚度分别为0.5mm、1mm、2mm、5mm四种规格</w:t>
            </w:r>
          </w:p>
          <w:p w14:paraId="5B0E4036">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18.三棱镜：等腰直角斜面镀膜棱镜，直角边尺寸≥50mm*50mm，宽≥50mm</w:t>
            </w:r>
          </w:p>
          <w:p w14:paraId="477E823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eastAsia" w:ascii="Times New Roman" w:hAnsi="Times New Roman" w:eastAsia="宋体" w:cs="Times New Roman"/>
                <w:sz w:val="21"/>
                <w:szCs w:val="21"/>
                <w:vertAlign w:val="baseline"/>
                <w:lang w:eastAsia="zh-CN"/>
              </w:rPr>
            </w:pPr>
            <w:r>
              <w:rPr>
                <w:rFonts w:hint="default" w:ascii="Times New Roman" w:hAnsi="Times New Roman" w:eastAsia="宋体" w:cs="Times New Roman"/>
                <w:bCs/>
                <w:sz w:val="21"/>
                <w:szCs w:val="21"/>
              </w:rPr>
              <w:t>19.专用器件箱：长宽高尺寸≥480*380*200±50mm，带提手，便于收纳上述各视觉前端部件，并按部件形状和尺寸特征定制了分隔的保护设施，确保各部件紧密固定、彼此隔离、无晃动</w:t>
            </w:r>
            <w:r>
              <w:rPr>
                <w:rFonts w:hint="eastAsia" w:ascii="Times New Roman" w:hAnsi="Times New Roman" w:eastAsia="宋体" w:cs="Times New Roman"/>
                <w:bCs/>
                <w:sz w:val="21"/>
                <w:szCs w:val="21"/>
                <w:lang w:eastAsia="zh-CN"/>
              </w:rPr>
              <w:t>。</w:t>
            </w:r>
          </w:p>
        </w:tc>
        <w:tc>
          <w:tcPr>
            <w:tcW w:w="727" w:type="dxa"/>
            <w:noWrap w:val="0"/>
            <w:vAlign w:val="center"/>
          </w:tcPr>
          <w:p w14:paraId="0A14BDED">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vertAlign w:val="baseline"/>
                <w:lang w:eastAsia="zh-CN"/>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3D63AD3F">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vertAlign w:val="baseline"/>
              </w:rPr>
            </w:pPr>
            <w:r>
              <w:rPr>
                <w:rFonts w:hint="default" w:ascii="Times New Roman" w:hAnsi="Times New Roman" w:eastAsia="宋体" w:cs="Times New Roman"/>
                <w:color w:val="000000"/>
                <w:kern w:val="0"/>
                <w:sz w:val="21"/>
                <w:szCs w:val="21"/>
                <w:lang w:val="en-US" w:eastAsia="zh-CN"/>
              </w:rPr>
              <w:t>1</w:t>
            </w:r>
            <w:r>
              <w:rPr>
                <w:rFonts w:hint="default" w:ascii="Times New Roman" w:hAnsi="Times New Roman" w:eastAsia="宋体" w:cs="Times New Roman"/>
                <w:color w:val="000000"/>
                <w:kern w:val="0"/>
                <w:sz w:val="21"/>
                <w:szCs w:val="21"/>
              </w:rPr>
              <w:t xml:space="preserve"> </w:t>
            </w:r>
          </w:p>
        </w:tc>
      </w:tr>
      <w:tr w14:paraId="3AC9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7F7D2172">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 xml:space="preserve">3 </w:t>
            </w:r>
          </w:p>
        </w:tc>
        <w:tc>
          <w:tcPr>
            <w:tcW w:w="1073" w:type="dxa"/>
            <w:noWrap w:val="0"/>
            <w:vAlign w:val="center"/>
          </w:tcPr>
          <w:p w14:paraId="02D27FE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机器视觉及电气综合实训平台</w:t>
            </w:r>
          </w:p>
        </w:tc>
        <w:tc>
          <w:tcPr>
            <w:tcW w:w="5959" w:type="dxa"/>
            <w:noWrap w:val="0"/>
            <w:vAlign w:val="center"/>
          </w:tcPr>
          <w:p w14:paraId="1B8B9D9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基本描述：适合机器视觉进阶学习，由机器视觉实训台、电气实训台组成，并扩展3D结构光工业相机，实现机器视觉与PLC、工业六轴模组联动，模拟工业生产中视觉引导定位抓取、流水线运动输送、视觉测量分检、视觉读码识别、视觉瑕疵检测、3D尺寸测量等应用场景。</w:t>
            </w:r>
          </w:p>
          <w:p w14:paraId="73E53A1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（一）上料单元视觉配置</w:t>
            </w:r>
          </w:p>
          <w:p w14:paraId="3FAD7ED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1.工业2D相机</w:t>
            </w:r>
          </w:p>
          <w:p w14:paraId="4251B9C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（1）分辨率：≥2592*1944</w:t>
            </w:r>
          </w:p>
          <w:p w14:paraId="7B662EB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（2）帧率：≥20帧/秒</w:t>
            </w:r>
          </w:p>
          <w:p w14:paraId="1ACFBCC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（3）靶面：≥1/2.5”</w:t>
            </w:r>
          </w:p>
          <w:p w14:paraId="1A85BDD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（4）像元：≥2.2um</w:t>
            </w:r>
          </w:p>
          <w:p w14:paraId="5F5EEC6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（5）供电方式：9~24V，支持PoE供电</w:t>
            </w:r>
          </w:p>
          <w:p w14:paraId="264A8DC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（6）支持自动或手动调节增益、曝光时间、Gamma校正、LUT等</w:t>
            </w:r>
          </w:p>
          <w:p w14:paraId="21A745C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（7）支持镜像输出，支持Binning模式，可提升相机灵敏度</w:t>
            </w:r>
          </w:p>
          <w:p w14:paraId="1D41EFA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（8）6-pin Hirose接头提供电源和I/O，包含1路光隔输入、1路光隔输出、1路双向可配置非隔离IO</w:t>
            </w:r>
          </w:p>
          <w:p w14:paraId="6C4C8BF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（9）协议/标准：至少支持GigE Vision V2.0、GenICam</w:t>
            </w:r>
          </w:p>
          <w:p w14:paraId="5D866DC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2.工业镜头</w:t>
            </w:r>
          </w:p>
          <w:p w14:paraId="34F9C43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焦距：≥16mm</w:t>
            </w:r>
          </w:p>
          <w:p w14:paraId="61C1F8F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光圈：F2.8-F16.0</w:t>
            </w:r>
          </w:p>
          <w:p w14:paraId="41EE6B2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支持靶面：≥1/2.5”</w:t>
            </w:r>
          </w:p>
          <w:p w14:paraId="0A4CEE6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分辨率：≥500万</w:t>
            </w:r>
          </w:p>
          <w:p w14:paraId="08C6DCC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3.光源A</w:t>
            </w:r>
          </w:p>
          <w:p w14:paraId="57648B8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发光尺寸：≥Φ73mm</w:t>
            </w:r>
          </w:p>
          <w:p w14:paraId="2D77BB2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电源：24VDC</w:t>
            </w:r>
          </w:p>
          <w:p w14:paraId="6A0A852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数量：3</w:t>
            </w:r>
          </w:p>
          <w:p w14:paraId="3480B14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4.光源B</w:t>
            </w:r>
          </w:p>
          <w:p w14:paraId="313ABED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发光尺寸：≥150mm*150mm</w:t>
            </w:r>
          </w:p>
          <w:p w14:paraId="11C7523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颜色：白色</w:t>
            </w:r>
          </w:p>
          <w:p w14:paraId="4D182F2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电源：24VDC</w:t>
            </w:r>
          </w:p>
          <w:p w14:paraId="0DE7C70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（二）装配单元视觉配置</w:t>
            </w:r>
          </w:p>
          <w:p w14:paraId="4F2D306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1.工业相机</w:t>
            </w:r>
          </w:p>
          <w:p w14:paraId="70FE316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（1）分辨率：≥2592*1944</w:t>
            </w:r>
          </w:p>
          <w:p w14:paraId="0FC4027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（2）帧率：≥20帧/秒</w:t>
            </w:r>
          </w:p>
          <w:p w14:paraId="62D64CB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（3）靶面：≥1/2.5”</w:t>
            </w:r>
          </w:p>
          <w:p w14:paraId="04AA20E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（4）像元：≥2.2um</w:t>
            </w:r>
          </w:p>
          <w:p w14:paraId="4387AEF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（5）供电方式：9~24V，支持PoE供电</w:t>
            </w:r>
          </w:p>
          <w:p w14:paraId="19D2336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（6）支持自动或手动调节增益、曝光时间、Gamma校正、LUT等</w:t>
            </w:r>
          </w:p>
          <w:p w14:paraId="765A176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（7）支持镜像输出，支持Binning模式，可提升相机灵敏度</w:t>
            </w:r>
          </w:p>
          <w:p w14:paraId="5BA1330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（8）6-pin,Hirose接头提供电源和I/O，包含1路光隔输入、1路光隔输出、1路双向可配置非隔离IO</w:t>
            </w:r>
          </w:p>
          <w:p w14:paraId="6449444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（9）协议/标准：至少支持GigE Vision V2.0、GenICam</w:t>
            </w:r>
          </w:p>
          <w:p w14:paraId="28FD5E7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2.工业镜头</w:t>
            </w:r>
          </w:p>
          <w:p w14:paraId="589AD85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焦距：≥16mm</w:t>
            </w:r>
          </w:p>
          <w:p w14:paraId="2C4BD83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光圈：F2.8-F16.0</w:t>
            </w:r>
          </w:p>
          <w:p w14:paraId="763D96F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支持靶面：≥1/2.5”</w:t>
            </w:r>
          </w:p>
          <w:p w14:paraId="6168E87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分辨率：≥500万</w:t>
            </w:r>
          </w:p>
          <w:p w14:paraId="5C354A9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3.光源A</w:t>
            </w:r>
          </w:p>
          <w:p w14:paraId="1BC9171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发光尺寸：≥225mm*38mm</w:t>
            </w:r>
          </w:p>
          <w:p w14:paraId="19D576A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颜色：白色</w:t>
            </w:r>
          </w:p>
          <w:p w14:paraId="452E939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电源：24VDC</w:t>
            </w:r>
          </w:p>
          <w:p w14:paraId="1615CEE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数量：2</w:t>
            </w:r>
          </w:p>
          <w:p w14:paraId="3DBA4F6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4.光源B</w:t>
            </w:r>
          </w:p>
          <w:p w14:paraId="53A2182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发光尺寸：≥150mm*150mm</w:t>
            </w:r>
          </w:p>
          <w:p w14:paraId="64557BB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颜色：白色</w:t>
            </w:r>
          </w:p>
          <w:p w14:paraId="766D014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电源：24VDC</w:t>
            </w:r>
          </w:p>
          <w:p w14:paraId="030D80A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（三）动态搬运单元视觉配置</w:t>
            </w:r>
          </w:p>
          <w:p w14:paraId="4C951FD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1.工业相机</w:t>
            </w:r>
          </w:p>
          <w:p w14:paraId="10F87B4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（1）分辨率：≥2592*1944</w:t>
            </w:r>
          </w:p>
          <w:p w14:paraId="3F4A057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（2）帧率：≥20帧/秒</w:t>
            </w:r>
          </w:p>
          <w:p w14:paraId="3E2AF24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（3）靶面：≥1/2.5”</w:t>
            </w:r>
          </w:p>
          <w:p w14:paraId="1CE9AE1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（4）像元：≥2.2um</w:t>
            </w:r>
          </w:p>
          <w:p w14:paraId="11D54E7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（5）供电方式：9~24V，支持PoE供电</w:t>
            </w:r>
          </w:p>
          <w:p w14:paraId="448C7F1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（6）支持自动或手动调节增益、曝光时间、Gamma校正、LUT等</w:t>
            </w:r>
          </w:p>
          <w:p w14:paraId="7706BD9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（7）支持镜像输出，支持Binning模式，可提升相机灵敏度</w:t>
            </w:r>
          </w:p>
          <w:p w14:paraId="5D2DABF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（8）6-pin Hirose接头提供电源和I/O，包含1路光隔输入、1路光隔输出、1路双向可配置非隔离IO</w:t>
            </w:r>
          </w:p>
          <w:p w14:paraId="1BA0AAB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（9）协议/标准：至少支持GigE Vision V2.0、GenICam</w:t>
            </w:r>
          </w:p>
          <w:p w14:paraId="0D15C1E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2.工业镜头</w:t>
            </w:r>
          </w:p>
          <w:p w14:paraId="4FA8217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焦距：≥16mm</w:t>
            </w:r>
          </w:p>
          <w:p w14:paraId="1148493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光圈：F2.8-F16.0</w:t>
            </w:r>
          </w:p>
          <w:p w14:paraId="28D5201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支持靶面：≥1/2.5”</w:t>
            </w:r>
          </w:p>
          <w:p w14:paraId="1960303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分辨率：≥500万</w:t>
            </w:r>
          </w:p>
          <w:p w14:paraId="356AFF6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3.光源</w:t>
            </w:r>
          </w:p>
          <w:p w14:paraId="746C175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发光尺寸：≥100mm*18mm</w:t>
            </w:r>
          </w:p>
          <w:p w14:paraId="04072D7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颜色：白色</w:t>
            </w:r>
          </w:p>
          <w:p w14:paraId="64D04C7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电源：24VDC</w:t>
            </w:r>
          </w:p>
          <w:p w14:paraId="3C62081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（四）3D视觉系统</w:t>
            </w:r>
          </w:p>
          <w:p w14:paraId="33C6D2F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（1）基准工作距离不小于150mm，基准工作距离时平面测量范围不低于100×70mm</w:t>
            </w:r>
          </w:p>
          <w:p w14:paraId="69D1CC6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（2）拍摄帧率不低于2fps</w:t>
            </w:r>
          </w:p>
          <w:p w14:paraId="20C8C1D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（3）深度测量范围不低于±10mm</w:t>
            </w:r>
          </w:p>
          <w:p w14:paraId="77B75A3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（4）分辨率不低于720×540</w:t>
            </w:r>
          </w:p>
          <w:p w14:paraId="7AE8E50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（5）支持3D点云输出。</w:t>
            </w:r>
          </w:p>
          <w:p w14:paraId="7C0BD0D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（五）视觉控制系统</w:t>
            </w:r>
          </w:p>
          <w:p w14:paraId="4E7C51D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1.主板：</w:t>
            </w:r>
            <w:r>
              <w:rPr>
                <w:rFonts w:hint="default" w:ascii="Times New Roman" w:hAnsi="Times New Roman" w:eastAsia="宋体" w:cs="Times New Roman"/>
                <w:sz w:val="21"/>
                <w:szCs w:val="21"/>
              </w:rPr>
              <w:t>不低于十六核二十四线程主频2.</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rPr>
              <w:t>G处理器</w:t>
            </w:r>
          </w:p>
          <w:p w14:paraId="06C511D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2.内存：不低于16G</w:t>
            </w:r>
          </w:p>
          <w:p w14:paraId="5F5DB6C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rPr>
              <w:t>3.硬盘：不低于</w:t>
            </w:r>
            <w:r>
              <w:rPr>
                <w:rFonts w:hint="default" w:ascii="Times New Roman" w:hAnsi="Times New Roman" w:eastAsia="宋体" w:cs="Times New Roman"/>
                <w:color w:val="000000"/>
                <w:kern w:val="0"/>
                <w:sz w:val="21"/>
                <w:szCs w:val="21"/>
                <w:lang w:val="en-US" w:eastAsia="zh-CN"/>
              </w:rPr>
              <w:t>500G</w:t>
            </w:r>
          </w:p>
          <w:p w14:paraId="3C2ED2E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lang w:eastAsia="zh-CN"/>
              </w:rPr>
            </w:pPr>
            <w:r>
              <w:rPr>
                <w:rFonts w:hint="default" w:ascii="Times New Roman" w:hAnsi="Times New Roman" w:eastAsia="宋体" w:cs="Times New Roman"/>
                <w:color w:val="000000"/>
                <w:kern w:val="0"/>
                <w:sz w:val="21"/>
                <w:szCs w:val="21"/>
              </w:rPr>
              <w:t>7.显示终端1个，不小于</w:t>
            </w:r>
            <w:r>
              <w:rPr>
                <w:rFonts w:hint="default" w:ascii="Times New Roman" w:hAnsi="Times New Roman" w:eastAsia="宋体" w:cs="Times New Roman"/>
                <w:color w:val="000000"/>
                <w:kern w:val="0"/>
                <w:sz w:val="21"/>
                <w:szCs w:val="21"/>
                <w:lang w:val="en-US" w:eastAsia="zh-CN"/>
              </w:rPr>
              <w:t>23.8</w:t>
            </w:r>
            <w:r>
              <w:rPr>
                <w:rFonts w:hint="default" w:ascii="Times New Roman" w:hAnsi="Times New Roman" w:eastAsia="宋体" w:cs="Times New Roman"/>
                <w:color w:val="000000"/>
                <w:kern w:val="0"/>
                <w:sz w:val="21"/>
                <w:szCs w:val="21"/>
              </w:rPr>
              <w:t>英寸，支持挂壁</w:t>
            </w:r>
            <w:r>
              <w:rPr>
                <w:rFonts w:hint="default" w:ascii="Times New Roman" w:hAnsi="Times New Roman" w:eastAsia="宋体" w:cs="Times New Roman"/>
                <w:color w:val="000000"/>
                <w:kern w:val="0"/>
                <w:sz w:val="21"/>
                <w:szCs w:val="21"/>
                <w:lang w:eastAsia="zh-CN"/>
              </w:rPr>
              <w:t>；</w:t>
            </w:r>
          </w:p>
          <w:p w14:paraId="0C7923E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（六）整体结构与取置料区域</w:t>
            </w:r>
          </w:p>
          <w:p w14:paraId="0ADDCBB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1.整体尺寸：高×长×宽为1600mm×1200mm×800mm±50mm</w:t>
            </w:r>
          </w:p>
          <w:p w14:paraId="48A594F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2.主体材质铝合金，全方位安全防护，含安全门开关、光栅防护、急停开关</w:t>
            </w:r>
          </w:p>
          <w:p w14:paraId="347BDBF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3.取料及装配料盘尺寸：≥160mm×190mm</w:t>
            </w:r>
          </w:p>
          <w:p w14:paraId="69DA9CB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4.小型桌面流水线，最大负载≥2kg</w:t>
            </w:r>
          </w:p>
          <w:p w14:paraId="52280A7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5.传送带的宽度不小于80mm</w:t>
            </w:r>
          </w:p>
          <w:p w14:paraId="57A6266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6.传送带的最大运行速度不低于500mm/s</w:t>
            </w:r>
          </w:p>
          <w:p w14:paraId="2F94A69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（七）运动模组技术参数</w:t>
            </w:r>
          </w:p>
          <w:p w14:paraId="40E2A15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1.运动轴数量：</w:t>
            </w:r>
            <w:r>
              <w:rPr>
                <w:rFonts w:hint="default" w:ascii="Times New Roman" w:hAnsi="Times New Roman" w:eastAsia="宋体" w:cs="Times New Roman"/>
                <w:color w:val="000000"/>
                <w:kern w:val="0"/>
                <w:sz w:val="21"/>
                <w:szCs w:val="21"/>
                <w:lang w:val="en-US" w:eastAsia="zh-CN"/>
              </w:rPr>
              <w:t>6</w:t>
            </w:r>
            <w:r>
              <w:rPr>
                <w:rFonts w:hint="default" w:ascii="Times New Roman" w:hAnsi="Times New Roman" w:eastAsia="宋体" w:cs="Times New Roman"/>
                <w:color w:val="000000"/>
                <w:kern w:val="0"/>
                <w:sz w:val="21"/>
                <w:szCs w:val="21"/>
              </w:rPr>
              <w:t>轴</w:t>
            </w:r>
          </w:p>
          <w:p w14:paraId="6C2E039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2.X轴行程：≥300mm</w:t>
            </w:r>
          </w:p>
          <w:p w14:paraId="29167D8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3.Y轴行程：≥300mm</w:t>
            </w:r>
          </w:p>
          <w:p w14:paraId="3E026FD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4.Z轴行程：≥100mm</w:t>
            </w:r>
          </w:p>
          <w:p w14:paraId="478602E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5.旋转轴θ：+/-180°</w:t>
            </w:r>
          </w:p>
          <w:p w14:paraId="7E565C3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6.重复精度：≤0.02mm</w:t>
            </w:r>
          </w:p>
          <w:p w14:paraId="4869DFB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7.最大负载：≥2Kg</w:t>
            </w:r>
          </w:p>
          <w:p w14:paraId="03CDF97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8.最大运行速度：≥500mm/s</w:t>
            </w:r>
          </w:p>
          <w:p w14:paraId="1151663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9.控制方式：</w:t>
            </w:r>
          </w:p>
          <w:p w14:paraId="20263A7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X轴、Y轴、Z轴采用高精度伺服电机控制，额定输出不小于0.2KW，额定转矩不小于0.64N.m，</w:t>
            </w:r>
            <w:r>
              <w:rPr>
                <w:rFonts w:hint="default" w:ascii="Times New Roman" w:hAnsi="Times New Roman" w:eastAsia="宋体" w:cs="Times New Roman"/>
                <w:color w:val="000000"/>
                <w:kern w:val="0"/>
                <w:sz w:val="21"/>
                <w:szCs w:val="21"/>
                <w:lang w:eastAsia="zh-CN"/>
              </w:rPr>
              <w:t>瞬时</w:t>
            </w:r>
            <w:r>
              <w:rPr>
                <w:rFonts w:hint="default" w:ascii="Times New Roman" w:hAnsi="Times New Roman" w:eastAsia="宋体" w:cs="Times New Roman"/>
                <w:color w:val="000000"/>
                <w:kern w:val="0"/>
                <w:sz w:val="21"/>
                <w:szCs w:val="21"/>
              </w:rPr>
              <w:t>最大转矩不小于2.24N.m，额定转速不小于3000rpm，最高转速不小于6000rpm，采用EtherCAT通信</w:t>
            </w:r>
          </w:p>
          <w:p w14:paraId="70247E9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(2)θ轴采用42步进电机，步进角≤1.8°，保持力矩≥0.28N</w:t>
            </w:r>
          </w:p>
          <w:p w14:paraId="7624E72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（八）PLC控制系统</w:t>
            </w:r>
          </w:p>
          <w:p w14:paraId="089CE6C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1.CPU特征用户存储：不小于100K/4MB</w:t>
            </w:r>
          </w:p>
          <w:p w14:paraId="35A8230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2.板载数字I/O：不少于16点输入/16点输出</w:t>
            </w:r>
          </w:p>
          <w:p w14:paraId="35B49E83">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3.板载模拟I/O：不少于2点输入/1点输出</w:t>
            </w:r>
          </w:p>
          <w:p w14:paraId="3FEB6A3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4.编程语言：至少支持梯形图示意图（LD）、结构图文本（ST）、功能模块图/梯形图语言（FBD/LD）</w:t>
            </w:r>
          </w:p>
          <w:p w14:paraId="4C0B6C3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 持续扫描：0.2～2000ms（可设定0.1ms为单位）</w:t>
            </w:r>
          </w:p>
          <w:p w14:paraId="7AE109A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6.指令处理速度：32ns</w:t>
            </w:r>
          </w:p>
          <w:p w14:paraId="5133BAF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7.网络通信：以太网，100/10Mb/s</w:t>
            </w:r>
          </w:p>
          <w:p w14:paraId="5084F6E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8.串口：支持RS-485（带MODBUS功能）</w:t>
            </w:r>
          </w:p>
          <w:p w14:paraId="015BFFE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（九）电气实训台</w:t>
            </w:r>
          </w:p>
          <w:p w14:paraId="5E6DEC6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1.至少包括PLC实训区、开关量操作区、模拟量实训区</w:t>
            </w:r>
          </w:p>
          <w:p w14:paraId="2B88A18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2.实时监测Y轴的具体位置</w:t>
            </w:r>
          </w:p>
          <w:p w14:paraId="4291239C">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3.在PID控制器和触摸屏上实时显示Y轴具体位置的数值</w:t>
            </w:r>
          </w:p>
          <w:p w14:paraId="3BB8EDB8">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4.PID控制器功能：</w:t>
            </w:r>
          </w:p>
          <w:p w14:paraId="6FC568A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显示距离的实时数据</w:t>
            </w:r>
          </w:p>
          <w:p w14:paraId="6B088EF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调节传感器的检测距离</w:t>
            </w:r>
          </w:p>
          <w:p w14:paraId="3EB6151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w:t>
            </w:r>
            <w:r>
              <w:rPr>
                <w:rFonts w:hint="default" w:ascii="Times New Roman" w:hAnsi="Times New Roman" w:eastAsia="宋体" w:cs="Times New Roman"/>
                <w:color w:val="000000"/>
                <w:kern w:val="0"/>
                <w:sz w:val="21"/>
                <w:szCs w:val="21"/>
              </w:rPr>
              <w:tab/>
            </w:r>
            <w:r>
              <w:rPr>
                <w:rFonts w:hint="default" w:ascii="Times New Roman" w:hAnsi="Times New Roman" w:eastAsia="宋体" w:cs="Times New Roman"/>
                <w:color w:val="000000"/>
                <w:kern w:val="0"/>
                <w:sz w:val="21"/>
                <w:szCs w:val="21"/>
              </w:rPr>
              <w:t>接通和屏蔽传感器</w:t>
            </w:r>
          </w:p>
          <w:p w14:paraId="2481172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5.开关按钮≥3个，指示灯≥8个，拨动开关≥10个</w:t>
            </w:r>
          </w:p>
          <w:p w14:paraId="1C83B65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6.触摸屏尺寸≥7寸，分辨率≥800x480</w:t>
            </w:r>
          </w:p>
          <w:p w14:paraId="70AB3C5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（十）光源控制器</w:t>
            </w:r>
          </w:p>
          <w:p w14:paraId="0346138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1.提供手动按键/RS232串行通信方式控制亮度</w:t>
            </w:r>
          </w:p>
          <w:p w14:paraId="2F342B0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2.单通道带负载额定输出电流不小于3A</w:t>
            </w:r>
          </w:p>
          <w:p w14:paraId="33C0242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3.提供多种工作模式：常亮/触发/频闪</w:t>
            </w:r>
          </w:p>
          <w:p w14:paraId="4EE7DFA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4.具有断电记忆功能、短路保护功能</w:t>
            </w:r>
          </w:p>
          <w:p w14:paraId="5817717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5.提供外部IO触发端口，兼容NPN/PNP方式触发</w:t>
            </w:r>
          </w:p>
          <w:p w14:paraId="58B29A1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6.输出接口定义：SMP-03V，1：输出+；2：NC；3：输出-</w:t>
            </w:r>
          </w:p>
          <w:p w14:paraId="28A3E81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color w:val="000000"/>
                <w:kern w:val="0"/>
                <w:sz w:val="21"/>
                <w:szCs w:val="21"/>
              </w:rPr>
              <w:t>7.输出功率：≥75W</w:t>
            </w:r>
          </w:p>
        </w:tc>
        <w:tc>
          <w:tcPr>
            <w:tcW w:w="727" w:type="dxa"/>
            <w:noWrap w:val="0"/>
            <w:vAlign w:val="center"/>
          </w:tcPr>
          <w:p w14:paraId="744BC8DC">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vertAlign w:val="baseline"/>
                <w:lang w:eastAsia="zh-CN"/>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6E56271E">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vertAlign w:val="baseline"/>
                <w:lang w:eastAsia="zh-CN"/>
              </w:rPr>
            </w:pPr>
            <w:r>
              <w:rPr>
                <w:rFonts w:hint="default" w:ascii="Times New Roman" w:hAnsi="Times New Roman" w:eastAsia="宋体" w:cs="Times New Roman"/>
                <w:color w:val="000000"/>
                <w:kern w:val="0"/>
                <w:sz w:val="21"/>
                <w:szCs w:val="21"/>
                <w:lang w:val="en-US" w:eastAsia="zh-CN"/>
              </w:rPr>
              <w:t>3</w:t>
            </w:r>
          </w:p>
        </w:tc>
      </w:tr>
      <w:tr w14:paraId="539D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705351B6">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4</w:t>
            </w:r>
          </w:p>
        </w:tc>
        <w:tc>
          <w:tcPr>
            <w:tcW w:w="1073" w:type="dxa"/>
            <w:noWrap w:val="0"/>
            <w:vAlign w:val="center"/>
          </w:tcPr>
          <w:p w14:paraId="0DBB6CF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机器人</w:t>
            </w:r>
          </w:p>
        </w:tc>
        <w:tc>
          <w:tcPr>
            <w:tcW w:w="5959" w:type="dxa"/>
            <w:noWrap w:val="0"/>
            <w:vAlign w:val="center"/>
          </w:tcPr>
          <w:p w14:paraId="4903BE9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default" w:ascii="Times New Roman" w:hAnsi="Times New Roman" w:eastAsia="宋体" w:cs="Times New Roman"/>
                <w:color w:val="000000"/>
                <w:kern w:val="0"/>
                <w:sz w:val="21"/>
                <w:szCs w:val="21"/>
                <w:lang w:eastAsia="zh-CN"/>
              </w:rPr>
              <w:t>体形</w:t>
            </w:r>
            <w:r>
              <w:rPr>
                <w:rFonts w:hint="default" w:ascii="Times New Roman" w:hAnsi="Times New Roman" w:eastAsia="宋体" w:cs="Times New Roman"/>
                <w:color w:val="000000"/>
                <w:kern w:val="0"/>
                <w:sz w:val="21"/>
                <w:szCs w:val="21"/>
              </w:rPr>
              <w:t>参数:高≥340mm；重量：≤1.8KG。</w:t>
            </w:r>
          </w:p>
          <w:p w14:paraId="4DDA372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2、控制方式：需支持2.4G群控。</w:t>
            </w:r>
          </w:p>
          <w:p w14:paraId="4DB9C4B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3、控制器：需采用不低于STM32核心，板载储存空间≥128M，可储存多个动作组。</w:t>
            </w:r>
          </w:p>
          <w:p w14:paraId="2971153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4、自由度：≥17个自由度。</w:t>
            </w:r>
          </w:p>
          <w:p w14:paraId="08EFDCF9">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 xml:space="preserve">5、电池：7.4V，容量≥3200mAH。 </w:t>
            </w:r>
          </w:p>
          <w:p w14:paraId="11D4032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6、音频输出：不低于1.5W，机体带有MP3模块和扬声器，可以播放音乐。</w:t>
            </w:r>
          </w:p>
          <w:p w14:paraId="054CBBD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7、开发平台：需采用不低于Raspberry Pi CM4，支持搭载至少两个摄像头。</w:t>
            </w:r>
          </w:p>
          <w:p w14:paraId="6F80D87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8、摄像头：镜头60度，≥500万像素。</w:t>
            </w:r>
          </w:p>
          <w:p w14:paraId="5391F576">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9、传感器：内置≥2个传感器，至少包含头部摄像头和胸部摄像头，机体前胸自带2个以上磁吸传感器扩展口，2个传感器扩展口均可实现传感器数据模拟输入和执行器数据输出。</w:t>
            </w:r>
          </w:p>
          <w:p w14:paraId="032F9F7B">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10、手柄操作：</w:t>
            </w:r>
          </w:p>
          <w:p w14:paraId="65E1B2D5">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发射控制：无线通信手柄，2.4G连接；发射频率可修改；</w:t>
            </w:r>
          </w:p>
          <w:p w14:paraId="5212E550">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按键：≥2个摇杆，10个自定义按键，3个功能按键；</w:t>
            </w:r>
          </w:p>
          <w:p w14:paraId="1D92A364">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rPr>
              <w:t>模式切换：可以切换4种模式，分别为兼容模式、拳击模式、足球模式和表演模式。</w:t>
            </w:r>
          </w:p>
        </w:tc>
        <w:tc>
          <w:tcPr>
            <w:tcW w:w="727" w:type="dxa"/>
            <w:noWrap w:val="0"/>
            <w:vAlign w:val="center"/>
          </w:tcPr>
          <w:p w14:paraId="3929EE12">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4EC85913">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1</w:t>
            </w:r>
          </w:p>
        </w:tc>
      </w:tr>
      <w:tr w14:paraId="7032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1932B590">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5</w:t>
            </w:r>
          </w:p>
        </w:tc>
        <w:tc>
          <w:tcPr>
            <w:tcW w:w="1073" w:type="dxa"/>
            <w:noWrap w:val="0"/>
            <w:vAlign w:val="center"/>
          </w:tcPr>
          <w:p w14:paraId="2907A54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机器人</w:t>
            </w:r>
          </w:p>
        </w:tc>
        <w:tc>
          <w:tcPr>
            <w:tcW w:w="5959" w:type="dxa"/>
            <w:noWrap w:val="0"/>
            <w:vAlign w:val="center"/>
          </w:tcPr>
          <w:p w14:paraId="772A876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1、体型参数:类人型机器人，高≥340mm；重量：≤1.8KG。</w:t>
            </w:r>
          </w:p>
          <w:p w14:paraId="27054D81">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2、控制方式：需支持2.4G群控，群体控制数量≥50。</w:t>
            </w:r>
          </w:p>
          <w:p w14:paraId="44C9D26A">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3、步态算法：慢走≥5厘米/秒，快走≥10厘米/秒；</w:t>
            </w:r>
          </w:p>
          <w:p w14:paraId="71D414DD">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4、控制器：需采用不低于STM32核心，板载储存空间≥128M。</w:t>
            </w:r>
          </w:p>
          <w:p w14:paraId="3259FD57">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5、自由度：≥17个自由度。</w:t>
            </w:r>
          </w:p>
          <w:p w14:paraId="4D4F2AD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6、遥控器：</w:t>
            </w:r>
          </w:p>
          <w:p w14:paraId="03BE75AE">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发射频率：可修改；</w:t>
            </w:r>
          </w:p>
          <w:p w14:paraId="3D460CF2">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rPr>
              <w:t>按键：</w:t>
            </w:r>
            <w:r>
              <w:rPr>
                <w:rFonts w:hint="default" w:ascii="Times New Roman" w:hAnsi="Times New Roman" w:eastAsia="宋体" w:cs="Times New Roman"/>
                <w:color w:val="000000"/>
                <w:kern w:val="0"/>
                <w:sz w:val="21"/>
                <w:szCs w:val="21"/>
                <w:lang w:eastAsia="zh-CN"/>
              </w:rPr>
              <w:t>须</w:t>
            </w:r>
            <w:r>
              <w:rPr>
                <w:rFonts w:hint="default" w:ascii="Times New Roman" w:hAnsi="Times New Roman" w:eastAsia="宋体" w:cs="Times New Roman"/>
                <w:color w:val="000000"/>
                <w:kern w:val="0"/>
                <w:sz w:val="21"/>
                <w:szCs w:val="21"/>
              </w:rPr>
              <w:t>具备至少2个摇杆，12个自定义按键，3个功能按键。</w:t>
            </w:r>
          </w:p>
        </w:tc>
        <w:tc>
          <w:tcPr>
            <w:tcW w:w="727" w:type="dxa"/>
            <w:noWrap w:val="0"/>
            <w:vAlign w:val="center"/>
          </w:tcPr>
          <w:p w14:paraId="462DF395">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577844BD">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1</w:t>
            </w:r>
          </w:p>
        </w:tc>
      </w:tr>
      <w:tr w14:paraId="471B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60EC0083">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6</w:t>
            </w:r>
          </w:p>
        </w:tc>
        <w:tc>
          <w:tcPr>
            <w:tcW w:w="1073" w:type="dxa"/>
            <w:noWrap w:val="0"/>
            <w:vAlign w:val="center"/>
          </w:tcPr>
          <w:p w14:paraId="64E4018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机器视觉软件</w:t>
            </w:r>
          </w:p>
        </w:tc>
        <w:tc>
          <w:tcPr>
            <w:tcW w:w="5959" w:type="dxa"/>
            <w:noWrap w:val="0"/>
            <w:vAlign w:val="center"/>
          </w:tcPr>
          <w:p w14:paraId="1A530C4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1.图形化机器视觉软件</w:t>
            </w:r>
          </w:p>
          <w:p w14:paraId="225C38A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(1)图形化机器视觉教学系统软件，提供拖拽式编程软件开发环境，可通过零代码编程完成所有教学方案。多线程底层机制，无需用户设置，系统自动识别运行可并行的流程、作业和模块</w:t>
            </w:r>
          </w:p>
          <w:p w14:paraId="07C7CD40">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(2)用户可使用图形化工具自定义配置视觉任务流程，实现从信号触发到图像采集、标定、算法处理、结果分析、结果显示、通讯发送、人机界面交互整个过程</w:t>
            </w:r>
          </w:p>
          <w:p w14:paraId="60C8FA3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(3)具有不低于90个图形化的工具模块。选用工具进行编程时，支持根据工具模块名称进行模糊搜索；支持根据名称元素、工具类型等关键字，快速在编程窗口中查找定位已使用的工具模块</w:t>
            </w:r>
          </w:p>
          <w:p w14:paraId="1C1B51A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(4)程序设计时，支持对一个工具模块或者多个工具模块进行复制并粘贴到编程框指定位置，支持对一个或多个工具模块的禁用和启用设置，便于程序设计与调试</w:t>
            </w:r>
          </w:p>
          <w:p w14:paraId="44FDBA6A">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(5)支持工具模块在编程窗口的位置拖动，支持工具模块的左对齐、右对齐、上对齐、下对齐、水平居中、垂直居中排列，以及水平等间距、垂直等间距等操作，实现编程界面的个性化但整齐排列</w:t>
            </w:r>
          </w:p>
          <w:p w14:paraId="4E5EC27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(6)各图形化工具模块运行时，输入输出结果可实时监控，能提示模块的配置错误信息，便于调试和维护</w:t>
            </w:r>
          </w:p>
          <w:p w14:paraId="1665CE8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(7)软件提供完整的用户手册。其中各图形化工具模块有独立的帮助信息，点击工具模块，能看到该模块的功能介绍与使用建议，便于工具的使用</w:t>
            </w:r>
          </w:p>
          <w:p w14:paraId="0E0C95B6">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(8)支持为每个独立的模块化工具添加运行日志，支持将工具的运行耗时、结果状态、错误代码、检测结果数值等信息写入日志，运行日志可以直接添加展示到生产运行界面</w:t>
            </w:r>
          </w:p>
          <w:p w14:paraId="63CF0FB6">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lang w:val="en-US" w:eastAsia="zh-CN" w:bidi="ar-SA"/>
              </w:rPr>
              <w:t>▲(9)在程序设计过程中，支持对图形化工具布局与名称修改等操作的</w:t>
            </w:r>
            <w:r>
              <w:rPr>
                <w:rFonts w:hint="default" w:ascii="Times New Roman" w:hAnsi="Times New Roman" w:eastAsia="宋体" w:cs="Times New Roman"/>
                <w:kern w:val="2"/>
                <w:sz w:val="21"/>
                <w:szCs w:val="21"/>
                <w:highlight w:val="none"/>
                <w:lang w:val="en-US" w:eastAsia="zh-CN" w:bidi="ar-SA"/>
              </w:rPr>
              <w:t>撤销（回退），以及反撤销（重做功能），以快速纠正误操作</w:t>
            </w:r>
            <w:r>
              <w:rPr>
                <w:rFonts w:hint="default" w:ascii="Times New Roman" w:hAnsi="Times New Roman" w:eastAsia="宋体" w:cs="Times New Roman"/>
                <w:b/>
                <w:kern w:val="2"/>
                <w:sz w:val="21"/>
                <w:szCs w:val="21"/>
                <w:highlight w:val="none"/>
                <w:lang w:val="en-US" w:eastAsia="zh-CN" w:bidi="ar-SA"/>
              </w:rPr>
              <w:t>（投标时须提供相关功能视频演示）</w:t>
            </w:r>
          </w:p>
          <w:p w14:paraId="53262B1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▲(10)软件具备信号源侦测功能，包括定时器触发、计划时间触发、内部触发、网络设备监听、PLC与IO卡扫描等</w:t>
            </w:r>
            <w:r>
              <w:rPr>
                <w:rFonts w:hint="default" w:ascii="Times New Roman" w:hAnsi="Times New Roman" w:eastAsia="宋体" w:cs="Times New Roman"/>
                <w:b/>
                <w:kern w:val="2"/>
                <w:sz w:val="21"/>
                <w:szCs w:val="21"/>
                <w:highlight w:val="none"/>
                <w:lang w:val="en-US" w:eastAsia="zh-CN" w:bidi="ar-SA"/>
              </w:rPr>
              <w:t>（投标时须提供相关功能视频演示）</w:t>
            </w:r>
          </w:p>
          <w:p w14:paraId="3A344A9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(11)支持GigE Vision、USB3 Vision标准接口工业相机，以及UVC协议的USB摄像头，支持外触发控制工业相机取像，所支持的2D相机厂家不低于10个。支持相机掉线自动重连</w:t>
            </w:r>
          </w:p>
          <w:p w14:paraId="2BFA904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(12)支持不少于10个市场主流厂家的3D相机管理与应用，支持3D相机掉线自动重连</w:t>
            </w:r>
          </w:p>
          <w:p w14:paraId="3736EBB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(13)支持不低于5个品牌光源控制器的接入，支持软件控制光源亮灭以及亮度调节</w:t>
            </w:r>
          </w:p>
          <w:p w14:paraId="0D67443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(14)支持以太网、串口通讯、支持10路以上串口和以太网并发通讯；支持不低于5个品牌IO卡的控制，支持液态镜头调焦</w:t>
            </w:r>
          </w:p>
          <w:p w14:paraId="05CFFEC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(15)支持连接不低于7种常见品牌PLC；支持PLC寄存器地址批量读写；支持OPCUA协议；支持Profinet通讯，支持PLC掉线自动重连</w:t>
            </w:r>
          </w:p>
          <w:p w14:paraId="614554DB">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(16)支持调用VisionPro算法库。支持对软件所采集的图像，实时调用VisionPro算法进行图像处理，结果可以实时发给软件进行逻辑处理，实现Toolblock的运行和输入输出的自动同步。支持调用包含PMAlign、NPointCalibration、ID、OCR、ColorMatch、PatInspect、Caliper、SearchMax、IPOneImage、PolarUnwrap、Histogram等80个以上的算法工</w:t>
            </w:r>
            <w:r>
              <w:rPr>
                <w:rFonts w:hint="default" w:ascii="Times New Roman" w:hAnsi="Times New Roman" w:eastAsia="宋体" w:cs="Times New Roman"/>
                <w:kern w:val="2"/>
                <w:sz w:val="21"/>
                <w:szCs w:val="21"/>
                <w:highlight w:val="none"/>
                <w:lang w:val="en-US" w:eastAsia="zh-CN" w:bidi="ar-SA"/>
              </w:rPr>
              <w:t>具</w:t>
            </w:r>
            <w:r>
              <w:rPr>
                <w:rFonts w:hint="default" w:ascii="Times New Roman" w:hAnsi="Times New Roman" w:eastAsia="宋体" w:cs="Times New Roman"/>
                <w:b/>
                <w:kern w:val="2"/>
                <w:sz w:val="21"/>
                <w:szCs w:val="21"/>
                <w:highlight w:val="none"/>
                <w:lang w:val="en-US" w:eastAsia="zh-CN" w:bidi="ar-SA"/>
              </w:rPr>
              <w:t>（投标时须提供相关功能视频演示）</w:t>
            </w:r>
          </w:p>
          <w:p w14:paraId="5C5D08F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(17)支持3D平面拟合、平面夹角、高度测量、3D图像拼接等3D视觉功能</w:t>
            </w:r>
          </w:p>
          <w:p w14:paraId="04A2CB79">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(18)具有良好的扩展性，软件支持C#脚本和表达式，支持C#二次开发并提供SDK；支持软件工具、Device和HMI控件的插件式二次开发；支持HMI界面、编程界面以及工具的子界面嵌入到第三方WPF、WinForm、LabVIEW界面</w:t>
            </w:r>
          </w:p>
          <w:p w14:paraId="55B91FC9">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(19)支持对OpenCV、Matlab、Python、VisionPro等算法平台的调用与二次开发，支持为VisionPro的工具箱自定义开发算法工具，包括2D算法工具不低于10个，3D算法工具不低于5个、深度学习工具不低于5个</w:t>
            </w:r>
          </w:p>
          <w:p w14:paraId="2ED1CB9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(20)支持向导式手眼标定，可以选择不同的机位数，不同的手眼安装方式，使用棋盘格或者实物，快速完成多相机标定校准</w:t>
            </w:r>
          </w:p>
          <w:p w14:paraId="3E91CF5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(21)支持扩展引导应用模块，支持以向导化的配置方式，调用标定示教结果，快速完成多场景机器视觉引导计算，并提供数据补偿和防呆功能</w:t>
            </w:r>
          </w:p>
          <w:p w14:paraId="5ADF575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(22)支持变量统一管理。针对产品的公差、光源的亮度、取料的位置等经常需要调整，或者不同工具模块之间需要相互调用的数据，以变量方式统一管理。变量支持String、Int、Boolean、Double等不同类型，支持默认值的设置，支持程序重启后恢复默认值</w:t>
            </w:r>
          </w:p>
          <w:p w14:paraId="3A5F735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(23)具备分支、循环、合并、流程选择等逻辑控制功能</w:t>
            </w:r>
          </w:p>
          <w:p w14:paraId="5891DA2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(24)具有人机交互界面设计器，提供不少于30种控件，提供不少于4个模板，以快速定制设计生产运行界面。可以加入设备状态、OK/NG产品的统计，相关工具模块的运行日志、PLC点位状态等。支持以阵列方式快速排布文本、检测结果数据</w:t>
            </w:r>
          </w:p>
          <w:p w14:paraId="228FF3CC">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(25)在生产运行界面设计时，具备控件的左对齐、右对齐、水平居中、上对齐、下对齐、垂直居中，以及控件的水平、垂直方向间距调节功能，实现生产运行界面的个性化但整齐排列</w:t>
            </w:r>
          </w:p>
          <w:p w14:paraId="588EB94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(26)支持开机时软件程序自动启动设置，支持软件启动时模式设置，以选择启动到编程模式或者生产运行模式。支持切换到生产运行界面时，程序自动运行</w:t>
            </w:r>
          </w:p>
          <w:p w14:paraId="49D052B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kern w:val="2"/>
                <w:sz w:val="21"/>
                <w:szCs w:val="21"/>
                <w:lang w:val="en-US" w:eastAsia="zh-CN" w:bidi="ar-SA"/>
              </w:rPr>
              <w:t>(27)支持扩展视觉测量应用模块，支持结合标准值、上公差、下公差批量对测量结果进行分析，支持对测量结果进行线性补偿，支持对多组分析结果进行合并判断，并支持测量结果的自动导出</w:t>
            </w:r>
          </w:p>
          <w:p w14:paraId="3CD459A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(28)支持扩展连接器分析检测模块，支持在设定基准后，以向导方式快速进行Pin的定位，并支持深度学习找Pin功能。支持对Pin的位置度进行计算，支持位置偏差补偿与上下限自动判定；具备连接器的交互式HMI数据图表显示</w:t>
            </w:r>
          </w:p>
          <w:p w14:paraId="48EC3F2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lang w:val="en-US" w:eastAsia="zh-CN" w:bidi="ar-SA"/>
              </w:rPr>
              <w:t>▲(29)</w:t>
            </w:r>
            <w:r>
              <w:rPr>
                <w:rFonts w:hint="default" w:ascii="Times New Roman" w:hAnsi="Times New Roman" w:eastAsia="宋体" w:cs="Times New Roman"/>
                <w:kern w:val="2"/>
                <w:sz w:val="21"/>
                <w:szCs w:val="21"/>
                <w:lang w:val="en-US" w:eastAsia="zh-CN" w:bidi="ar-SA"/>
              </w:rPr>
              <w:tab/>
            </w:r>
            <w:r>
              <w:rPr>
                <w:rFonts w:hint="default" w:ascii="Times New Roman" w:hAnsi="Times New Roman" w:eastAsia="宋体" w:cs="Times New Roman"/>
                <w:kern w:val="2"/>
                <w:sz w:val="21"/>
                <w:szCs w:val="21"/>
                <w:lang w:val="en-US" w:eastAsia="zh-CN" w:bidi="ar-SA"/>
              </w:rPr>
              <w:t>支持同时打开多个项目程序并同时运行，以供编程时借鉴参考。支持跨项目程序对单个工具、多个工具甚至整体流程的复</w:t>
            </w:r>
            <w:r>
              <w:rPr>
                <w:rFonts w:hint="default" w:ascii="Times New Roman" w:hAnsi="Times New Roman" w:eastAsia="宋体" w:cs="Times New Roman"/>
                <w:kern w:val="2"/>
                <w:sz w:val="21"/>
                <w:szCs w:val="21"/>
                <w:highlight w:val="none"/>
                <w:lang w:val="en-US" w:eastAsia="zh-CN" w:bidi="ar-SA"/>
              </w:rPr>
              <w:t>制</w:t>
            </w:r>
            <w:r>
              <w:rPr>
                <w:rFonts w:hint="default" w:ascii="Times New Roman" w:hAnsi="Times New Roman" w:eastAsia="宋体" w:cs="Times New Roman"/>
                <w:b/>
                <w:kern w:val="2"/>
                <w:sz w:val="21"/>
                <w:szCs w:val="21"/>
                <w:highlight w:val="none"/>
                <w:lang w:val="en-US" w:eastAsia="zh-CN" w:bidi="ar-SA"/>
              </w:rPr>
              <w:t>（投标时须提供相关功能视频演示）</w:t>
            </w:r>
          </w:p>
          <w:p w14:paraId="240F419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▲(30)软件至少集成了TCP/IP网络调试工具、网络测试工具、串口调试工具、PLC调试工具、虚拟键盘等调试和测试工具以便于项目调试</w:t>
            </w:r>
            <w:r>
              <w:rPr>
                <w:rFonts w:hint="default" w:ascii="Times New Roman" w:hAnsi="Times New Roman" w:eastAsia="宋体" w:cs="Times New Roman"/>
                <w:b/>
                <w:kern w:val="2"/>
                <w:sz w:val="21"/>
                <w:szCs w:val="21"/>
                <w:highlight w:val="none"/>
                <w:lang w:val="en-US" w:eastAsia="zh-CN" w:bidi="ar-SA"/>
              </w:rPr>
              <w:t>（投标时须提供相关功能视频演示）</w:t>
            </w:r>
          </w:p>
          <w:p w14:paraId="747FBC9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(31)提供多种类数据操作工具，用于软件平台输入数据与分析结果数据的处理，包括拼接、分割、替换、大小写转换、去空格、特定条件截取等字符串操作，数值比较、字符串比较、与、或、异或等逻辑判断操作，数值的加、减、乘、除、最大值、最小值以及sin、cos等三角函数计算，String、Boolean、Double、Int等数据类型间的转换</w:t>
            </w:r>
          </w:p>
          <w:p w14:paraId="3B81451C">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(32)支持将分析得到的字符串、数值、布尔量等各类数据采集到数据库统一管理，形成数据表和统计表，支持数据导出为CSV文件</w:t>
            </w:r>
          </w:p>
          <w:p w14:paraId="0F59E77D">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(33)支持采集的图像或者检测的结果图像进行保存，图像类型包括2D图像与3D图像，支持保存图像的名称根据时间等信息自动命名，支持根据逻辑判断结果分类保存图片，或者只保存NG品图片。2D图像支持保存成jpg、bmp、idb等格式。支持同步与异步的存图方式选择</w:t>
            </w:r>
          </w:p>
          <w:p w14:paraId="4B1993A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(34)支持在运行模式下，直接打开算法工具进行参数调整；支持在算法工具参数调整时日志自动记录，并自动录屏。录屏需要以显眼方式展示时间戳，以便于追溯确认</w:t>
            </w:r>
          </w:p>
          <w:p w14:paraId="7E4709C4">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(35)支持对视觉整体流程，或者局部流程的运行耗时进行计算，以便于针对性的程序优化，提升产线的运行效率</w:t>
            </w:r>
          </w:p>
          <w:p w14:paraId="3232A63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(36)支持CPU监控、内存监控、内存回收、文件删除、文件夹删除、移动文件夹、移动文件夹、复制文件、复制文件夹等系统管理功能</w:t>
            </w:r>
          </w:p>
          <w:p w14:paraId="4783E825">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(37)支持程序设计过程中的自动保存设置，可以选择是否保存，以及自定义自动保存时间；支持保存前备份当前程序，备份的路径与份数可选</w:t>
            </w:r>
          </w:p>
          <w:p w14:paraId="7EFF8A25">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highlight w:val="yellow"/>
                <w:lang w:val="en-US" w:eastAsia="zh-CN" w:bidi="ar-SA"/>
              </w:rPr>
            </w:pPr>
            <w:r>
              <w:rPr>
                <w:rFonts w:hint="default" w:ascii="Times New Roman" w:hAnsi="Times New Roman" w:eastAsia="宋体" w:cs="Times New Roman"/>
                <w:kern w:val="2"/>
                <w:sz w:val="21"/>
                <w:szCs w:val="21"/>
                <w:lang w:val="en-US" w:eastAsia="zh-CN" w:bidi="ar-SA"/>
              </w:rPr>
              <w:t>▲(38)支持在程序设计框添加便签，以给程序添加注释或者说明，并支持便签的展开与折叠，以便于程序的调整和维护</w:t>
            </w:r>
            <w:r>
              <w:rPr>
                <w:rFonts w:hint="default" w:ascii="Times New Roman" w:hAnsi="Times New Roman" w:eastAsia="宋体" w:cs="Times New Roman"/>
                <w:b/>
                <w:kern w:val="2"/>
                <w:sz w:val="21"/>
                <w:szCs w:val="21"/>
                <w:highlight w:val="none"/>
                <w:lang w:val="en-US" w:eastAsia="zh-CN" w:bidi="ar-SA"/>
              </w:rPr>
              <w:t>（投标时须提供相关功能视频演示）</w:t>
            </w:r>
          </w:p>
          <w:p w14:paraId="5978056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(39)支持调图模板功能，通过设置标准图像模板，得到可调用的视野、聚焦、亮度等可量化参数，实现复制线设备一致的图像效果快速调节</w:t>
            </w:r>
          </w:p>
          <w:p w14:paraId="728A231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(40)支持模组功能，多个工具模块形成模组，其他地方可以重复引用，便于程序移植，提升程序可读性</w:t>
            </w:r>
          </w:p>
          <w:p w14:paraId="77DBAC6B">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(41)支持配方功能，将产品的特征，如尺寸、颜色等信息，以String、Boolean、Double、Int等多种数据类型在配方中进行描述，结合模组等功能，实现视觉程序在不同产品，不同产品的不同型号之间快速切换，支持在生产运行界面直接切换不同配方</w:t>
            </w:r>
          </w:p>
          <w:p w14:paraId="2B8DBA00">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(42)软件入口中具有检测、测量、引导等应用的案例程序模板，并保存最近打开的程序的快捷方式，便于软件的使用</w:t>
            </w:r>
          </w:p>
          <w:p w14:paraId="477E720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(43)支持不少于3种语言版本（至少包括中文、英文），满足国际化交流与教学需要</w:t>
            </w:r>
          </w:p>
          <w:p w14:paraId="4314FA89">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(44)支持管理员、工程师、操作员等至少三级用户权限管理，支持用户的启用与禁用。支持各种功能的用户权限设置，包括访问主菜单、编辑流程、打开设备管理窗口、打开用户界面设计窗口、打开日志窗口、打开用户管理窗口等</w:t>
            </w:r>
          </w:p>
          <w:p w14:paraId="72BB553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kern w:val="2"/>
                <w:sz w:val="21"/>
                <w:szCs w:val="21"/>
                <w:lang w:val="en-US" w:eastAsia="zh-CN" w:bidi="ar-SA"/>
              </w:rPr>
              <w:t>▲(45)除设备配套的永久授权软件外，另提供不低于150点（至少满足三个班学生同时使用）的同款视觉软件（包括2D、3D、深度学习全面功能）临时授权并可持续使用，便于师生个人电脑安装并学习使用</w:t>
            </w:r>
            <w:r>
              <w:rPr>
                <w:rFonts w:hint="default" w:ascii="Times New Roman" w:hAnsi="Times New Roman" w:eastAsia="宋体" w:cs="Times New Roman"/>
                <w:b/>
                <w:kern w:val="2"/>
                <w:sz w:val="21"/>
                <w:szCs w:val="21"/>
                <w:lang w:val="en-US" w:eastAsia="zh-CN" w:bidi="ar-SA"/>
              </w:rPr>
              <w:t>（投标时须提供相关承诺书，并加盖公章）</w:t>
            </w:r>
          </w:p>
          <w:p w14:paraId="2AC3596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2.机器视觉方案设计软件</w:t>
            </w:r>
          </w:p>
          <w:p w14:paraId="03F5879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（1）软件需支持硬件素材库管理、型号筛选、智能选型计算三大核心功能，聚焦相机、镜头、光源等视觉系统核心硬件的选型与方案设计支持</w:t>
            </w:r>
          </w:p>
          <w:p w14:paraId="088EDC0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1)相机素材：包含2D线扫相机、3D相机、智能相机等类型相机，涵盖不少于8个相机厂家的型号</w:t>
            </w:r>
          </w:p>
          <w:p w14:paraId="4360E52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▲2)光源素材：包含环形光、条光、同轴光、面光（面光）、弧顶光（穹顶、圆顶）等不低于8种类型</w:t>
            </w:r>
            <w:r>
              <w:rPr>
                <w:rFonts w:hint="default" w:ascii="Times New Roman" w:hAnsi="Times New Roman" w:eastAsia="宋体" w:cs="Times New Roman"/>
                <w:b/>
                <w:kern w:val="2"/>
                <w:sz w:val="21"/>
                <w:szCs w:val="21"/>
                <w:lang w:val="en-US" w:eastAsia="zh-CN" w:bidi="ar-SA"/>
              </w:rPr>
              <w:t>（投标时须提供软件截图证明文件并加盖公章）</w:t>
            </w:r>
          </w:p>
          <w:p w14:paraId="5C418D7C">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3)镜头素材：包含定焦镜头、远心镜头、定倍镜头等类型</w:t>
            </w:r>
          </w:p>
          <w:p w14:paraId="1C0EE19C">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4)素材库涵盖的硬件型号总数不低于100种</w:t>
            </w:r>
          </w:p>
          <w:p w14:paraId="39CF1A80">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5)选中素材库中任意硬件后，可直接查看该硬件包含必要技术参数信息的2D图纸，并能自动复制其3D图纸到剪切板</w:t>
            </w:r>
          </w:p>
          <w:p w14:paraId="51F8DFAF">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（3）软件支持对素材库中的相机、镜头、光源等硬件进行选择，选择后可自动将该硬件的示意图复制到剪切板</w:t>
            </w:r>
          </w:p>
          <w:p w14:paraId="4A003085">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（4）软件需支持相机、镜头、光源3大类硬件的型号筛选，且具备模糊搜索功能，可快速定位目标硬件类型</w:t>
            </w:r>
          </w:p>
          <w:p w14:paraId="542A0FC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（5）选中素材库中某硬件后，软件需支持直接查看该硬件的2D图纸，并能自动复制其3D图纸到剪切板</w:t>
            </w:r>
          </w:p>
          <w:p w14:paraId="35CB4E0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▲（6）软件支持快速镜头选型功能：在完成相机基本参数选择、视野范围和工作距离选择后，自动推荐不同厂家不同类型的可用镜头，并列出镜头的型号、焦距、倍率等参数</w:t>
            </w:r>
            <w:r>
              <w:rPr>
                <w:rFonts w:hint="default" w:ascii="Times New Roman" w:hAnsi="Times New Roman" w:eastAsia="宋体" w:cs="Times New Roman"/>
                <w:b/>
                <w:kern w:val="2"/>
                <w:sz w:val="21"/>
                <w:szCs w:val="21"/>
                <w:lang w:val="en-US" w:eastAsia="zh-CN" w:bidi="ar-SA"/>
              </w:rPr>
              <w:t>（投标时须提供软件截图证明文件并加盖公章）</w:t>
            </w:r>
          </w:p>
          <w:p w14:paraId="0E31C54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（7）软件支持快速光源选型功能：在完成工作距离和视野范围相关要求输入后，自动输出合适的光源大小，确保方案可行性</w:t>
            </w:r>
          </w:p>
          <w:p w14:paraId="4C9D470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（8）软件对硬件型号的模糊搜索响应时间需≤2秒</w:t>
            </w:r>
          </w:p>
          <w:p w14:paraId="2E8D73E4">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（9）软件展示的2D图纸需包含必要的技术参数信息</w:t>
            </w:r>
          </w:p>
          <w:p w14:paraId="76BD806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（10）镜头选型推荐结果需确保与所选相机参数匹配，满足视野范围、工作距离等核心指标要求</w:t>
            </w:r>
          </w:p>
          <w:p w14:paraId="59332D3C">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（11）光源选型推荐结果需符合工作距离和视野范围的相关要求，保障方案在实际应用中的可行性</w:t>
            </w:r>
          </w:p>
          <w:p w14:paraId="076A89C9">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（12）本项目中涉及的视觉方案设计软件需支持永久升级。</w:t>
            </w:r>
          </w:p>
        </w:tc>
        <w:tc>
          <w:tcPr>
            <w:tcW w:w="727" w:type="dxa"/>
            <w:noWrap w:val="0"/>
            <w:vAlign w:val="center"/>
          </w:tcPr>
          <w:p w14:paraId="71BE7FFB">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297AB6D1">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23</w:t>
            </w:r>
          </w:p>
        </w:tc>
      </w:tr>
      <w:tr w14:paraId="13B7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0635F5CC">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7</w:t>
            </w:r>
          </w:p>
        </w:tc>
        <w:tc>
          <w:tcPr>
            <w:tcW w:w="1073" w:type="dxa"/>
            <w:noWrap w:val="0"/>
            <w:vAlign w:val="center"/>
          </w:tcPr>
          <w:p w14:paraId="274950D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配套样品与资源</w:t>
            </w:r>
          </w:p>
        </w:tc>
        <w:tc>
          <w:tcPr>
            <w:tcW w:w="5959" w:type="dxa"/>
            <w:noWrap w:val="0"/>
            <w:vAlign w:val="center"/>
          </w:tcPr>
          <w:p w14:paraId="41789CEB">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（1）配套48课时、64课时等不同课时教学大纲，以及配套的完整课件PPT资料、教学视频等资源，本次配套资源总量要求不低于20GB</w:t>
            </w:r>
          </w:p>
          <w:p w14:paraId="583A1D3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（2）线上学习平台。提供机器视觉线上学习课程供师生学习，所提供课时不低于48课时</w:t>
            </w:r>
          </w:p>
          <w:p w14:paraId="2AB240B5">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（3）提供软件示例程序安装包，覆盖引导定位、检测、测量、识别、3D等常见业务场景，便于软件学习</w:t>
            </w:r>
          </w:p>
          <w:p w14:paraId="3E2CE9F2">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（4）提供不少于12种检测样品实物，涵盖3C电子产品、汽车零部件、机加工件、食品、PCB等类别，配套检测要求、案例程序、图片素材、实训指导书等，覆盖测量、检测、识别等场景</w:t>
            </w:r>
          </w:p>
          <w:p w14:paraId="1E24B756">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工业应用案例集。提供不少于100个工业案例供行业认知，包括检测要求、项目背景、检测方案、产品图、效果图等内容，覆盖3C电子、汽车、半导体、医疗、食品等不少于6个行业，交付时提供胶装版案例集3份</w:t>
            </w:r>
          </w:p>
          <w:p w14:paraId="73453DBC">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（6）配套教材。提供不低于3本不同ISBN编号的已出版视觉教材信息供学校选用，要求教材基于所提供的机器视觉软件，能提供相关教材文本、范例配套图片、教材课件、教材配套视频等材料</w:t>
            </w:r>
          </w:p>
          <w:p w14:paraId="7BD0FD1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7）配套教案。提供机器视觉课程参考教案，要求基于所提供的机器视觉软件，满足不低于32课时教学需要，包括课程的教学目标、完整教学流程介绍、总结与拓展、任务实施记录等内容，交付时提供胶装版的3份</w:t>
            </w:r>
          </w:p>
          <w:p w14:paraId="59F3F849">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8）软件内嵌在线机器视觉大模型知识库入口，该知识库需具备机器视觉项目开发全流程的智能支持能力，包括但不限于基本原理介绍、视觉软件相关工具使用智能支持、编程逻辑错误提示与优化建议、硬件适配性分析、常见故障解决方案智能匹配等功能，除了软件中的入口，从厂家微信公众号、网站等处也</w:t>
            </w:r>
            <w:r>
              <w:rPr>
                <w:rFonts w:hint="default" w:ascii="Times New Roman" w:hAnsi="Times New Roman" w:eastAsia="宋体" w:cs="Times New Roman"/>
                <w:kern w:val="2"/>
                <w:sz w:val="21"/>
                <w:szCs w:val="21"/>
                <w:highlight w:val="none"/>
                <w:lang w:val="en-US" w:eastAsia="zh-CN" w:bidi="ar-SA"/>
              </w:rPr>
              <w:t>能访问</w:t>
            </w:r>
            <w:r>
              <w:rPr>
                <w:rFonts w:hint="default" w:ascii="Times New Roman" w:hAnsi="Times New Roman" w:eastAsia="宋体" w:cs="Times New Roman"/>
                <w:b/>
                <w:kern w:val="2"/>
                <w:sz w:val="21"/>
                <w:szCs w:val="21"/>
                <w:highlight w:val="none"/>
                <w:lang w:val="en-US" w:eastAsia="zh-CN" w:bidi="ar-SA"/>
              </w:rPr>
              <w:t>（投标时须提供机器视觉大模型知识库的截图证明文件并加盖公章）</w:t>
            </w:r>
          </w:p>
        </w:tc>
        <w:tc>
          <w:tcPr>
            <w:tcW w:w="727" w:type="dxa"/>
            <w:noWrap w:val="0"/>
            <w:vAlign w:val="center"/>
          </w:tcPr>
          <w:p w14:paraId="230B8D0D">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套</w:t>
            </w:r>
          </w:p>
        </w:tc>
        <w:tc>
          <w:tcPr>
            <w:tcW w:w="823" w:type="dxa"/>
            <w:noWrap w:val="0"/>
            <w:vAlign w:val="center"/>
          </w:tcPr>
          <w:p w14:paraId="26797B04">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1</w:t>
            </w:r>
          </w:p>
        </w:tc>
      </w:tr>
      <w:tr w14:paraId="1370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001E647B">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8</w:t>
            </w:r>
          </w:p>
        </w:tc>
        <w:tc>
          <w:tcPr>
            <w:tcW w:w="1073" w:type="dxa"/>
            <w:noWrap w:val="0"/>
            <w:vAlign w:val="center"/>
          </w:tcPr>
          <w:p w14:paraId="35ABB16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双层长桌</w:t>
            </w:r>
          </w:p>
        </w:tc>
        <w:tc>
          <w:tcPr>
            <w:tcW w:w="5959" w:type="dxa"/>
            <w:noWrap w:val="0"/>
            <w:vAlign w:val="center"/>
          </w:tcPr>
          <w:p w14:paraId="0E4E934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1.面板：采用≥25mm厚优质三聚氰胺实木颗粒板；四周全自动机器PVC近色封边。</w:t>
            </w:r>
          </w:p>
          <w:p w14:paraId="7ADD8C2A">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2.规格：≥1400*600*750mm。</w:t>
            </w:r>
          </w:p>
          <w:p w14:paraId="52BD997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3.桌架：采用优质钢型材料，侧脚方形冷轧钢管≥50*15*1.2mm；挡板采用片状采用优质冷轧钢板冲孔压型，厚度≥0.8；主机架门框方形冷轧钢管≥20*20*1.0mm；220度高温静电喷涂工艺，具有较强的耐蚀性及承重性。</w:t>
            </w:r>
          </w:p>
          <w:p w14:paraId="0F44ED03">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4.设计及功能：主机隐藏式收纳，可锁主机箱，方便使用，线路整洁摆放；桌面设有线孔方便走线。</w:t>
            </w:r>
          </w:p>
        </w:tc>
        <w:tc>
          <w:tcPr>
            <w:tcW w:w="727" w:type="dxa"/>
            <w:noWrap w:val="0"/>
            <w:vAlign w:val="center"/>
          </w:tcPr>
          <w:p w14:paraId="4F033BE0">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张</w:t>
            </w:r>
          </w:p>
        </w:tc>
        <w:tc>
          <w:tcPr>
            <w:tcW w:w="823" w:type="dxa"/>
            <w:noWrap w:val="0"/>
            <w:vAlign w:val="center"/>
          </w:tcPr>
          <w:p w14:paraId="20E8740E">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20</w:t>
            </w:r>
          </w:p>
        </w:tc>
      </w:tr>
      <w:tr w14:paraId="0C4E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6C4592FF">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9</w:t>
            </w:r>
          </w:p>
        </w:tc>
        <w:tc>
          <w:tcPr>
            <w:tcW w:w="1073" w:type="dxa"/>
            <w:noWrap w:val="0"/>
            <w:vAlign w:val="center"/>
          </w:tcPr>
          <w:p w14:paraId="467BA73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靠背椅</w:t>
            </w:r>
          </w:p>
        </w:tc>
        <w:tc>
          <w:tcPr>
            <w:tcW w:w="5959" w:type="dxa"/>
            <w:noWrap w:val="0"/>
            <w:vAlign w:val="center"/>
          </w:tcPr>
          <w:p w14:paraId="5B8F467E">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1.尺寸规格：椅子高度≥78cm，宽度≥50cm，座宽度≥45cm，座深≥44cm，座面距地高度≥43cm。</w:t>
            </w:r>
          </w:p>
          <w:p w14:paraId="016495A7">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2.椅架：采用≥12mm实心钢筋，钢架完整焊接，结实耐用，不轻易变形，220度高温静电喷涂工艺，具有较强的耐蚀性及承重性。</w:t>
            </w:r>
          </w:p>
          <w:p w14:paraId="48BA83A8">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3.胶壳：材质采用PP工程耐冲击塑料一次一体注塑成型，环保不褪色，质地轻、抗裂性强、耐腐蚀、耐老化，不含重金属及其他有毒物质，椅背两边L型不规则加强筋加固处理，厚≥20mm；拉力测试承重150KG。</w:t>
            </w:r>
          </w:p>
          <w:p w14:paraId="20184151">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4.脚垫：尼龙防滑塑料胶塞，保护地板不受伤害，移动时减少噪音。</w:t>
            </w:r>
          </w:p>
          <w:p w14:paraId="0CC7E905">
            <w:pPr>
              <w:keepNext w:val="0"/>
              <w:keepLines w:val="0"/>
              <w:pageBreakBefore w:val="0"/>
              <w:widowControl w:val="0"/>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5.外观设计及亮点：椅子可层叠，方便收纳、节省空间；椅背弧度设计符合人体工程学原理，贴合脊柱以及背部曲线，顺应背部受力点的支撑需求，坐感舒适度更佳，久坐不累。</w:t>
            </w:r>
          </w:p>
        </w:tc>
        <w:tc>
          <w:tcPr>
            <w:tcW w:w="727" w:type="dxa"/>
            <w:noWrap w:val="0"/>
            <w:vAlign w:val="center"/>
          </w:tcPr>
          <w:p w14:paraId="6FF4B4F2">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张</w:t>
            </w:r>
          </w:p>
        </w:tc>
        <w:tc>
          <w:tcPr>
            <w:tcW w:w="823" w:type="dxa"/>
            <w:noWrap w:val="0"/>
            <w:vAlign w:val="center"/>
          </w:tcPr>
          <w:p w14:paraId="33B6D497">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50</w:t>
            </w:r>
          </w:p>
        </w:tc>
      </w:tr>
      <w:tr w14:paraId="2FAD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noWrap w:val="0"/>
            <w:vAlign w:val="center"/>
          </w:tcPr>
          <w:p w14:paraId="7E731AD3">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color w:val="000000"/>
                <w:kern w:val="0"/>
                <w:sz w:val="21"/>
                <w:szCs w:val="21"/>
                <w:lang w:val="en-US" w:eastAsia="zh-CN"/>
              </w:rPr>
              <w:t>10</w:t>
            </w:r>
            <w:r>
              <w:rPr>
                <w:rFonts w:hint="default" w:ascii="Times New Roman" w:hAnsi="Times New Roman" w:eastAsia="宋体" w:cs="Times New Roman"/>
                <w:color w:val="000000"/>
                <w:kern w:val="0"/>
                <w:sz w:val="21"/>
                <w:szCs w:val="21"/>
              </w:rPr>
              <w:t xml:space="preserve"> </w:t>
            </w:r>
          </w:p>
        </w:tc>
        <w:tc>
          <w:tcPr>
            <w:tcW w:w="1073" w:type="dxa"/>
            <w:noWrap w:val="0"/>
            <w:vAlign w:val="center"/>
          </w:tcPr>
          <w:p w14:paraId="2FC3CC6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vertAlign w:val="baseline"/>
                <w:lang w:val="en-US" w:eastAsia="zh-CN" w:bidi="ar-SA"/>
              </w:rPr>
              <w:t>环境建设</w:t>
            </w:r>
          </w:p>
        </w:tc>
        <w:tc>
          <w:tcPr>
            <w:tcW w:w="5959" w:type="dxa"/>
            <w:noWrap w:val="0"/>
            <w:vAlign w:val="center"/>
          </w:tcPr>
          <w:p w14:paraId="47A05F80">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1.实训室配套文化宣传内容</w:t>
            </w:r>
          </w:p>
          <w:p w14:paraId="3DBE85FE">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2.</w:t>
            </w:r>
            <w:r>
              <w:rPr>
                <w:rFonts w:hint="default" w:ascii="Times New Roman" w:hAnsi="Times New Roman" w:eastAsia="宋体" w:cs="Times New Roman"/>
                <w:bCs/>
                <w:kern w:val="2"/>
                <w:sz w:val="21"/>
                <w:szCs w:val="21"/>
                <w:lang w:val="en-US" w:eastAsia="zh-CN" w:bidi="ar-SA"/>
              </w:rPr>
              <w:t>≥</w:t>
            </w:r>
            <w:r>
              <w:rPr>
                <w:rFonts w:hint="default" w:ascii="Times New Roman" w:hAnsi="Times New Roman" w:eastAsia="宋体" w:cs="Times New Roman"/>
                <w:kern w:val="2"/>
                <w:sz w:val="21"/>
                <w:szCs w:val="21"/>
                <w:lang w:val="en-US" w:eastAsia="zh-CN" w:bidi="ar-SA"/>
              </w:rPr>
              <w:t>48口千兆交换机</w:t>
            </w:r>
          </w:p>
          <w:p w14:paraId="47340B07">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3.机柜1个，六类千兆网线</w:t>
            </w:r>
          </w:p>
          <w:p w14:paraId="4914414A">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left"/>
              <w:textAlignment w:val="auto"/>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kern w:val="2"/>
                <w:sz w:val="21"/>
                <w:szCs w:val="21"/>
                <w:lang w:val="en-US" w:eastAsia="zh-CN" w:bidi="ar-SA"/>
              </w:rPr>
              <w:t>4.实验室线路施工、耗材等</w:t>
            </w:r>
          </w:p>
        </w:tc>
        <w:tc>
          <w:tcPr>
            <w:tcW w:w="727" w:type="dxa"/>
            <w:noWrap w:val="0"/>
            <w:vAlign w:val="center"/>
          </w:tcPr>
          <w:p w14:paraId="59C42905">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vertAlign w:val="baseline"/>
                <w:lang w:val="en-US" w:eastAsia="zh-CN"/>
              </w:rPr>
            </w:pPr>
            <w:r>
              <w:rPr>
                <w:rFonts w:hint="default" w:ascii="Times New Roman" w:hAnsi="Times New Roman" w:eastAsia="宋体" w:cs="Times New Roman"/>
                <w:color w:val="000000"/>
                <w:kern w:val="0"/>
                <w:sz w:val="21"/>
                <w:szCs w:val="21"/>
                <w:vertAlign w:val="baseline"/>
                <w:lang w:val="en-US" w:eastAsia="zh-CN"/>
              </w:rPr>
              <w:t>项</w:t>
            </w:r>
          </w:p>
        </w:tc>
        <w:tc>
          <w:tcPr>
            <w:tcW w:w="823" w:type="dxa"/>
            <w:noWrap w:val="0"/>
            <w:vAlign w:val="center"/>
          </w:tcPr>
          <w:p w14:paraId="527FC47A">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kern w:val="0"/>
                <w:sz w:val="21"/>
                <w:szCs w:val="21"/>
                <w:vertAlign w:val="baseline"/>
              </w:rPr>
            </w:pPr>
            <w:r>
              <w:rPr>
                <w:rFonts w:hint="default" w:ascii="Times New Roman" w:hAnsi="Times New Roman" w:eastAsia="宋体" w:cs="Times New Roman"/>
                <w:color w:val="000000"/>
                <w:kern w:val="0"/>
                <w:sz w:val="21"/>
                <w:szCs w:val="21"/>
              </w:rPr>
              <w:t xml:space="preserve">1 </w:t>
            </w:r>
          </w:p>
        </w:tc>
      </w:tr>
    </w:tbl>
    <w:p w14:paraId="31041840">
      <w:pPr>
        <w:rPr>
          <w:rFonts w:hint="default" w:ascii="Times New Roman" w:hAnsi="Times New Roman" w:eastAsia="黑体" w:cs="Times New Roman"/>
          <w:b w:val="0"/>
          <w:bCs w:val="0"/>
          <w:color w:val="000000" w:themeColor="text1"/>
          <w:kern w:val="2"/>
          <w:sz w:val="28"/>
          <w:szCs w:val="28"/>
          <w:highlight w:val="none"/>
          <w:lang w:val="en-US" w:eastAsia="zh-CN" w:bidi="ar-SA"/>
          <w14:textFill>
            <w14:solidFill>
              <w14:schemeClr w14:val="tx1"/>
            </w14:solidFill>
          </w14:textFill>
        </w:rPr>
      </w:pPr>
    </w:p>
    <w:p w14:paraId="64E8B5A0">
      <w:pPr>
        <w:rPr>
          <w:rFonts w:hint="default" w:ascii="Times New Roman" w:hAnsi="Times New Roman" w:eastAsia="黑体" w:cs="Times New Roman"/>
          <w:b w:val="0"/>
          <w:bCs w:val="0"/>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黑体" w:cs="Times New Roman"/>
          <w:b w:val="0"/>
          <w:bCs w:val="0"/>
          <w:color w:val="000000" w:themeColor="text1"/>
          <w:kern w:val="2"/>
          <w:sz w:val="28"/>
          <w:szCs w:val="28"/>
          <w:highlight w:val="none"/>
          <w:lang w:val="en-US" w:eastAsia="zh-CN" w:bidi="ar-SA"/>
          <w14:textFill>
            <w14:solidFill>
              <w14:schemeClr w14:val="tx1"/>
            </w14:solidFill>
          </w14:textFill>
        </w:rPr>
        <w:br w:type="page"/>
      </w:r>
    </w:p>
    <w:p w14:paraId="489BEB65">
      <w:pPr>
        <w:keepNext/>
        <w:keepLines/>
        <w:widowControl w:val="0"/>
        <w:adjustRightInd w:val="0"/>
        <w:snapToGrid w:val="0"/>
        <w:spacing w:before="156" w:beforeLines="50" w:line="360" w:lineRule="auto"/>
        <w:ind w:firstLineChars="200"/>
        <w:jc w:val="center"/>
        <w:outlineLvl w:val="1"/>
        <w:rPr>
          <w:rFonts w:hint="default" w:ascii="Times New Roman" w:hAnsi="Times New Roman" w:eastAsia="黑体" w:cs="Times New Roman"/>
          <w:b w:val="0"/>
          <w:bCs w:val="0"/>
          <w:color w:val="000000" w:themeColor="text1"/>
          <w:kern w:val="2"/>
          <w:sz w:val="28"/>
          <w:szCs w:val="28"/>
          <w:highlight w:val="none"/>
          <w:lang w:val="en-US" w:eastAsia="zh-CN" w:bidi="ar-SA"/>
          <w14:textFill>
            <w14:solidFill>
              <w14:schemeClr w14:val="tx1"/>
            </w14:solidFill>
          </w14:textFill>
        </w:rPr>
      </w:pPr>
      <w:bookmarkStart w:id="484" w:name="_Toc3854"/>
      <w:r>
        <w:rPr>
          <w:rFonts w:hint="default" w:ascii="Times New Roman" w:hAnsi="Times New Roman" w:eastAsia="黑体" w:cs="Times New Roman"/>
          <w:b w:val="0"/>
          <w:bCs w:val="0"/>
          <w:color w:val="000000" w:themeColor="text1"/>
          <w:kern w:val="2"/>
          <w:sz w:val="28"/>
          <w:szCs w:val="28"/>
          <w:highlight w:val="none"/>
          <w:lang w:val="en-US" w:eastAsia="zh-CN" w:bidi="ar-SA"/>
          <w14:textFill>
            <w14:solidFill>
              <w14:schemeClr w14:val="tx1"/>
            </w14:solidFill>
          </w14:textFill>
        </w:rPr>
        <w:t>第三节 商务要求</w:t>
      </w:r>
      <w:bookmarkEnd w:id="484"/>
    </w:p>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14:paraId="627DA450">
      <w:pPr>
        <w:ind w:firstLine="442" w:firstLineChars="200"/>
        <w:jc w:val="left"/>
        <w:rPr>
          <w:rFonts w:hint="default" w:ascii="Times New Roman" w:hAnsi="Times New Roman" w:eastAsia="宋体" w:cs="Times New Roman"/>
          <w:b/>
          <w:bCs/>
          <w:color w:val="000000"/>
          <w:sz w:val="22"/>
          <w:szCs w:val="22"/>
          <w:highlight w:val="none"/>
        </w:rPr>
      </w:pPr>
      <w:bookmarkStart w:id="485" w:name="_Toc12573"/>
      <w:bookmarkStart w:id="486" w:name="_Toc24401"/>
      <w:bookmarkStart w:id="487" w:name="_Toc2431"/>
      <w:bookmarkStart w:id="488" w:name="_Toc18551"/>
      <w:bookmarkStart w:id="489" w:name="_Toc16936"/>
      <w:bookmarkStart w:id="490" w:name="_Toc27475"/>
      <w:bookmarkStart w:id="491" w:name="_Toc30212"/>
      <w:bookmarkStart w:id="492" w:name="_Toc1061"/>
      <w:bookmarkStart w:id="493" w:name="_Toc1744"/>
      <w:bookmarkStart w:id="494" w:name="_Toc5155"/>
      <w:bookmarkStart w:id="495" w:name="_Toc26964"/>
      <w:bookmarkStart w:id="496" w:name="_Toc31065"/>
      <w:bookmarkStart w:id="497" w:name="_Toc16074"/>
      <w:bookmarkStart w:id="498" w:name="_Toc2567"/>
      <w:bookmarkStart w:id="499" w:name="_Toc20951"/>
      <w:r>
        <w:rPr>
          <w:rFonts w:hint="default" w:ascii="Times New Roman" w:hAnsi="Times New Roman" w:eastAsia="宋体" w:cs="Times New Roman"/>
          <w:b/>
          <w:bCs/>
          <w:color w:val="000000"/>
          <w:sz w:val="22"/>
          <w:szCs w:val="22"/>
          <w:highlight w:val="none"/>
          <w:lang w:val="en-US" w:eastAsia="zh-CN"/>
        </w:rPr>
        <w:t>一</w:t>
      </w:r>
      <w:r>
        <w:rPr>
          <w:rFonts w:hint="default" w:ascii="Times New Roman" w:hAnsi="Times New Roman" w:eastAsia="宋体" w:cs="Times New Roman"/>
          <w:b/>
          <w:bCs/>
          <w:color w:val="000000"/>
          <w:sz w:val="22"/>
          <w:szCs w:val="22"/>
          <w:highlight w:val="none"/>
        </w:rPr>
        <w:t>、交货及运输、安装、调试、验收、付款及售后服务：</w:t>
      </w:r>
    </w:p>
    <w:p w14:paraId="24C36553">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1、交货及运输</w:t>
      </w:r>
    </w:p>
    <w:p w14:paraId="157EB989">
      <w:pPr>
        <w:adjustRightInd w:val="0"/>
        <w:snapToGrid w:val="0"/>
        <w:spacing w:line="440" w:lineRule="exact"/>
        <w:ind w:firstLine="420" w:firstLineChars="200"/>
        <w:rPr>
          <w:rFonts w:hint="default" w:ascii="Times New Roman" w:hAnsi="Times New Roman" w:eastAsia="宋体" w:cs="Times New Roman"/>
          <w:b/>
          <w:bCs/>
          <w:snapToGrid w:val="0"/>
          <w:color w:val="000000"/>
          <w:kern w:val="0"/>
          <w:szCs w:val="21"/>
          <w:highlight w:val="none"/>
        </w:rPr>
      </w:pPr>
      <w:r>
        <w:rPr>
          <w:rFonts w:hint="default" w:ascii="Times New Roman" w:hAnsi="Times New Roman" w:eastAsia="宋体" w:cs="Times New Roman"/>
          <w:bCs/>
          <w:color w:val="000000"/>
          <w:szCs w:val="21"/>
          <w:highlight w:val="none"/>
        </w:rPr>
        <w:t>1.1</w:t>
      </w:r>
      <w:r>
        <w:rPr>
          <w:rFonts w:hint="default" w:ascii="Times New Roman" w:hAnsi="Times New Roman" w:eastAsia="宋体" w:cs="Times New Roman"/>
          <w:snapToGrid w:val="0"/>
          <w:color w:val="000000"/>
          <w:kern w:val="0"/>
          <w:szCs w:val="21"/>
          <w:highlight w:val="none"/>
        </w:rPr>
        <w:t>交货</w:t>
      </w:r>
      <w:r>
        <w:rPr>
          <w:rFonts w:hint="default" w:ascii="Times New Roman" w:hAnsi="Times New Roman" w:eastAsia="宋体" w:cs="Times New Roman"/>
          <w:bCs/>
          <w:color w:val="000000"/>
          <w:szCs w:val="21"/>
          <w:highlight w:val="none"/>
        </w:rPr>
        <w:t>时间：</w:t>
      </w:r>
      <w:r>
        <w:rPr>
          <w:rFonts w:hint="default" w:ascii="Times New Roman" w:hAnsi="Times New Roman" w:eastAsia="宋体" w:cs="Times New Roman"/>
          <w:b/>
          <w:bCs/>
          <w:snapToGrid w:val="0"/>
          <w:color w:val="000000"/>
          <w:kern w:val="0"/>
          <w:szCs w:val="21"/>
          <w:highlight w:val="none"/>
        </w:rPr>
        <w:t>合同签订，盖章生效后的壹个月内，完成全部货物交货、运输、安装、检测、验收，供采购人使用。</w:t>
      </w:r>
    </w:p>
    <w:p w14:paraId="72FEB51B">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1.2</w:t>
      </w:r>
      <w:r>
        <w:rPr>
          <w:rFonts w:hint="default" w:ascii="Times New Roman" w:hAnsi="Times New Roman" w:eastAsia="宋体" w:cs="Times New Roman"/>
          <w:snapToGrid w:val="0"/>
          <w:color w:val="000000"/>
          <w:kern w:val="0"/>
          <w:szCs w:val="21"/>
          <w:highlight w:val="none"/>
        </w:rPr>
        <w:t>交货</w:t>
      </w:r>
      <w:r>
        <w:rPr>
          <w:rFonts w:hint="default" w:ascii="Times New Roman" w:hAnsi="Times New Roman" w:eastAsia="宋体" w:cs="Times New Roman"/>
          <w:bCs/>
          <w:color w:val="000000"/>
          <w:szCs w:val="21"/>
          <w:highlight w:val="none"/>
        </w:rPr>
        <w:t>地点：采购人指定安装地点。</w:t>
      </w:r>
    </w:p>
    <w:p w14:paraId="721DC761">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1.3中标单位负责产品到交货地点的全部运输，包括装卸、现场运送等。</w:t>
      </w:r>
    </w:p>
    <w:p w14:paraId="22834FA5">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2、安装、调试</w:t>
      </w:r>
    </w:p>
    <w:p w14:paraId="337EFECB">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2.1在货物到达使用单位，现场场地符合安装条件后，采购人将通知中标人派技术人员对所投设备全面进行安装、调试。中标人应派技术人员在采购人要求时间内到达采购人指定安装地点，并在采购人技术人员在场的情况下开箱清点货物，组织安装、调试，并承担因此发生的一切费用。</w:t>
      </w:r>
    </w:p>
    <w:p w14:paraId="27D2134E">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2.2所有设备的现场安装及调试等工作均由中标人负责，所有安装流程应严格按照国家及行业相关规定及标准实施，所有安装、调试所需的专业设备、仪器及相关工具由中标人自行负责，有关费用包含在投标报价中。</w:t>
      </w:r>
    </w:p>
    <w:p w14:paraId="4161C12D">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2.3项目实施过程中，中标人应做好相关人员的安全防护措施，实施过程中所有人员的安全事故责任均由中标人自行承担，采购人将派专人负责现场协调工作。</w:t>
      </w:r>
    </w:p>
    <w:p w14:paraId="5676AF8B">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2.4全部设备安装、调试完成后，中标人须自行组织初步测验，测验合格后方可申请项目验收工作。</w:t>
      </w:r>
    </w:p>
    <w:p w14:paraId="05DF5292">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2.5</w:t>
      </w:r>
      <w:r>
        <w:rPr>
          <w:rFonts w:hint="eastAsia" w:ascii="Times New Roman" w:hAnsi="Times New Roman" w:eastAsia="宋体" w:cs="Times New Roman"/>
          <w:bCs/>
          <w:color w:val="000000"/>
          <w:szCs w:val="21"/>
          <w:highlight w:val="none"/>
          <w:lang w:eastAsia="zh-CN"/>
        </w:rPr>
        <w:t>供应商</w:t>
      </w:r>
      <w:r>
        <w:rPr>
          <w:rFonts w:hint="default" w:ascii="Times New Roman" w:hAnsi="Times New Roman" w:eastAsia="宋体" w:cs="Times New Roman"/>
          <w:bCs/>
          <w:color w:val="000000"/>
          <w:szCs w:val="21"/>
          <w:highlight w:val="none"/>
        </w:rPr>
        <w:t>负责所有硬件、软件系统的安装、调试等工作。</w:t>
      </w:r>
    </w:p>
    <w:p w14:paraId="58808809">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3、验收要求及交付</w:t>
      </w:r>
    </w:p>
    <w:p w14:paraId="4A76DD2D">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3.1验收小组由采购人及产品使用方共同组织，并按照国家及行业标准对照本项目招标文件、中标人投标文件约定的技术要求进行现场正式验收工作。</w:t>
      </w:r>
    </w:p>
    <w:p w14:paraId="442E9035">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3.2项目验收严格按招标文件设备清单及要求、采购合同的有关规定执行。国家有强制性规定的，按国家规定执行，验收费用由中标人承担，验收报告作为申请付款的凭证之一。</w:t>
      </w:r>
    </w:p>
    <w:p w14:paraId="78F0EA48">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3.3验收过程中产生纠纷的，由质量技术监督部门认定的检测机构检测,如为中标人原因造成的，由中标人承担检测费用；否则，由采购人承担。</w:t>
      </w:r>
    </w:p>
    <w:p w14:paraId="28E4BEB8">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3.4项目验收不合格，由中标人返工直至合格，有关返工、再行验收，以及给采购人造成的损失等费用由中标人承担。连续两次项目验收不合格的，采购人可终止合同，由此带来的一切损失由中标人承担。</w:t>
      </w:r>
    </w:p>
    <w:p w14:paraId="3F7D6995">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3.5验收方式：本项目的履约验收为采购人自行组织验收，具体验收方法按照《株洲市政府采购项目履约验收管理暂行办法》株财发【2020】9 号的相关规定执行。</w:t>
      </w:r>
    </w:p>
    <w:p w14:paraId="4E3059A2">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3.6本项目所有货物安装调试完毕并经验收合格后，视为完成交付，交付前的风险及损失中标人承担。</w:t>
      </w:r>
    </w:p>
    <w:p w14:paraId="24D60E03">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4、付款方式</w:t>
      </w:r>
    </w:p>
    <w:p w14:paraId="70010D22">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（1）合同签订后，所有设备送至指定地点，经查验型号、数量等设备全部到位，</w:t>
      </w:r>
      <w:r>
        <w:rPr>
          <w:rFonts w:hint="default" w:ascii="Times New Roman" w:hAnsi="Times New Roman" w:eastAsia="宋体" w:cs="Times New Roman"/>
          <w:bCs/>
          <w:color w:val="000000"/>
          <w:szCs w:val="21"/>
          <w:highlight w:val="none"/>
          <w:lang w:val="en-US" w:eastAsia="zh-CN"/>
        </w:rPr>
        <w:t>设备完整组装，经采购人预验收通过后，</w:t>
      </w:r>
      <w:r>
        <w:rPr>
          <w:rFonts w:hint="default" w:ascii="Times New Roman" w:hAnsi="Times New Roman" w:eastAsia="宋体" w:cs="Times New Roman"/>
          <w:bCs/>
          <w:color w:val="000000"/>
          <w:szCs w:val="21"/>
          <w:highlight w:val="none"/>
        </w:rPr>
        <w:t>支付合同金额40%的货款；</w:t>
      </w:r>
    </w:p>
    <w:p w14:paraId="2C7D1DDB">
      <w:pPr>
        <w:adjustRightInd w:val="0"/>
        <w:snapToGrid w:val="0"/>
        <w:spacing w:line="440" w:lineRule="exact"/>
        <w:ind w:firstLine="420" w:firstLineChars="200"/>
        <w:rPr>
          <w:rFonts w:hint="default" w:ascii="Times New Roman" w:hAnsi="Times New Roman" w:eastAsia="宋体" w:cs="Times New Roman"/>
          <w:bCs/>
          <w:color w:val="000000"/>
          <w:szCs w:val="21"/>
          <w:highlight w:val="none"/>
          <w:lang w:val="en-US" w:eastAsia="zh-CN"/>
        </w:rPr>
      </w:pPr>
      <w:r>
        <w:rPr>
          <w:rFonts w:hint="default" w:ascii="Times New Roman" w:hAnsi="Times New Roman" w:eastAsia="宋体" w:cs="Times New Roman"/>
          <w:bCs/>
          <w:color w:val="000000"/>
          <w:szCs w:val="21"/>
          <w:highlight w:val="none"/>
          <w:lang w:val="en-US" w:eastAsia="zh-CN"/>
        </w:rPr>
        <w:t>（2）</w:t>
      </w:r>
      <w:r>
        <w:rPr>
          <w:rFonts w:hint="default" w:ascii="Times New Roman" w:hAnsi="Times New Roman" w:eastAsia="宋体" w:cs="Times New Roman"/>
          <w:bCs/>
          <w:color w:val="000000"/>
          <w:szCs w:val="21"/>
          <w:highlight w:val="none"/>
        </w:rPr>
        <w:t>按合同要求正常交付使用，验收合格，支付至</w:t>
      </w:r>
      <w:r>
        <w:rPr>
          <w:rFonts w:hint="default" w:ascii="Times New Roman" w:hAnsi="Times New Roman" w:eastAsia="宋体" w:cs="Times New Roman"/>
          <w:bCs/>
          <w:color w:val="000000"/>
          <w:szCs w:val="21"/>
          <w:highlight w:val="none"/>
          <w:lang w:eastAsia="zh-CN"/>
        </w:rPr>
        <w:t>合同金额的</w:t>
      </w:r>
      <w:r>
        <w:rPr>
          <w:rFonts w:hint="default" w:ascii="Times New Roman" w:hAnsi="Times New Roman" w:eastAsia="宋体" w:cs="Times New Roman"/>
          <w:bCs/>
          <w:color w:val="000000"/>
          <w:szCs w:val="21"/>
          <w:highlight w:val="none"/>
          <w:lang w:val="en-US" w:eastAsia="zh-CN"/>
        </w:rPr>
        <w:t>95%；</w:t>
      </w:r>
    </w:p>
    <w:p w14:paraId="074614C3">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w:t>
      </w:r>
      <w:r>
        <w:rPr>
          <w:rFonts w:hint="default" w:ascii="Times New Roman" w:hAnsi="Times New Roman" w:eastAsia="宋体" w:cs="Times New Roman"/>
          <w:bCs/>
          <w:color w:val="000000"/>
          <w:szCs w:val="21"/>
          <w:highlight w:val="none"/>
          <w:lang w:val="en-US" w:eastAsia="zh-CN"/>
        </w:rPr>
        <w:t>3</w:t>
      </w:r>
      <w:r>
        <w:rPr>
          <w:rFonts w:hint="default" w:ascii="Times New Roman" w:hAnsi="Times New Roman" w:eastAsia="宋体" w:cs="Times New Roman"/>
          <w:bCs/>
          <w:color w:val="000000"/>
          <w:szCs w:val="21"/>
          <w:highlight w:val="none"/>
        </w:rPr>
        <w:t>）</w:t>
      </w:r>
      <w:r>
        <w:rPr>
          <w:rFonts w:hint="default" w:ascii="Times New Roman" w:hAnsi="Times New Roman" w:eastAsia="宋体" w:cs="Times New Roman"/>
          <w:bCs/>
          <w:color w:val="000000"/>
          <w:szCs w:val="21"/>
          <w:highlight w:val="none"/>
          <w:lang w:val="en-US" w:eastAsia="zh-CN"/>
        </w:rPr>
        <w:t>项目正常运行</w:t>
      </w:r>
      <w:r>
        <w:rPr>
          <w:rFonts w:hint="eastAsia" w:ascii="Times New Roman" w:hAnsi="Times New Roman" w:eastAsia="宋体" w:cs="Times New Roman"/>
          <w:bCs/>
          <w:color w:val="000000"/>
          <w:szCs w:val="21"/>
          <w:highlight w:val="none"/>
          <w:lang w:val="en-US" w:eastAsia="zh-CN"/>
        </w:rPr>
        <w:t>1</w:t>
      </w:r>
      <w:r>
        <w:rPr>
          <w:rFonts w:hint="default" w:ascii="Times New Roman" w:hAnsi="Times New Roman" w:eastAsia="宋体" w:cs="Times New Roman"/>
          <w:bCs/>
          <w:color w:val="000000"/>
          <w:szCs w:val="21"/>
          <w:highlight w:val="none"/>
        </w:rPr>
        <w:t>年。期满后由双方进行核实和结算，对核实和结算无异议后，于核实和结算完成之日起的十五日内</w:t>
      </w:r>
      <w:r>
        <w:rPr>
          <w:rFonts w:hint="default" w:ascii="Times New Roman" w:hAnsi="Times New Roman" w:eastAsia="宋体" w:cs="Times New Roman"/>
          <w:bCs/>
          <w:color w:val="000000"/>
          <w:szCs w:val="21"/>
          <w:highlight w:val="none"/>
          <w:lang w:val="en-US" w:eastAsia="zh-CN"/>
        </w:rPr>
        <w:t>支付</w:t>
      </w:r>
      <w:r>
        <w:rPr>
          <w:rFonts w:hint="default" w:ascii="Times New Roman" w:hAnsi="Times New Roman" w:eastAsia="宋体" w:cs="Times New Roman"/>
          <w:bCs/>
          <w:color w:val="000000"/>
          <w:szCs w:val="21"/>
          <w:highlight w:val="none"/>
        </w:rPr>
        <w:t>。</w:t>
      </w:r>
    </w:p>
    <w:p w14:paraId="0BA9E41B">
      <w:pPr>
        <w:adjustRightInd w:val="0"/>
        <w:snapToGrid w:val="0"/>
        <w:spacing w:line="440" w:lineRule="exact"/>
        <w:ind w:firstLine="420" w:firstLineChars="200"/>
        <w:rPr>
          <w:rFonts w:hint="default" w:ascii="Times New Roman" w:hAnsi="Times New Roman" w:eastAsia="宋体" w:cs="Times New Roman"/>
          <w:bCs/>
          <w:color w:val="000000"/>
          <w:szCs w:val="21"/>
          <w:highlight w:val="none"/>
          <w:lang w:eastAsia="zh-CN"/>
        </w:rPr>
      </w:pPr>
      <w:r>
        <w:rPr>
          <w:rFonts w:hint="default" w:ascii="Times New Roman" w:hAnsi="Times New Roman" w:eastAsia="宋体" w:cs="Times New Roman"/>
          <w:bCs/>
          <w:color w:val="000000"/>
          <w:szCs w:val="21"/>
          <w:highlight w:val="none"/>
          <w:lang w:val="en-US" w:eastAsia="zh-CN"/>
        </w:rPr>
        <w:t>4.5</w:t>
      </w:r>
      <w:r>
        <w:rPr>
          <w:rFonts w:hint="default" w:ascii="Times New Roman" w:hAnsi="Times New Roman" w:eastAsia="宋体" w:cs="Times New Roman"/>
          <w:bCs/>
          <w:color w:val="000000"/>
          <w:szCs w:val="21"/>
          <w:highlight w:val="none"/>
        </w:rPr>
        <w:t>最终以合同签订为准</w:t>
      </w:r>
      <w:r>
        <w:rPr>
          <w:rFonts w:hint="default" w:ascii="Times New Roman" w:hAnsi="Times New Roman" w:eastAsia="宋体" w:cs="Times New Roman"/>
          <w:bCs/>
          <w:color w:val="000000"/>
          <w:szCs w:val="21"/>
          <w:highlight w:val="none"/>
          <w:lang w:eastAsia="zh-CN"/>
        </w:rPr>
        <w:t>。</w:t>
      </w:r>
    </w:p>
    <w:p w14:paraId="422C73F0">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5、辅助服务</w:t>
      </w:r>
    </w:p>
    <w:p w14:paraId="46FC9EDA">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中标人还应提供下列服务：</w:t>
      </w:r>
    </w:p>
    <w:p w14:paraId="076D748D">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5.1硬件设备的现场移动、安装、调试、启动监督及技术支持；</w:t>
      </w:r>
    </w:p>
    <w:p w14:paraId="2491E1BF">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5.2提供设备组装和维修所需的专用工具和辅助材料；</w:t>
      </w:r>
    </w:p>
    <w:p w14:paraId="1C6176E8">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5.3在质量保证期内对交付的系统实施运行监督、维护、维修；</w:t>
      </w:r>
    </w:p>
    <w:p w14:paraId="5BB258E7">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5.4中标人应根据项目实施的计划、进度和需要与客户的合理要求，及时安排对采购人的相关人员进行培训。培训内容、时间及相关安排必须与用户单位协商，在征得用户单位同意后方可实施。培训应包括本项目包含的所有软件系统和应用软件等。所有的培训教员必须用中文授课，除非有其它的协议规定。</w:t>
      </w:r>
    </w:p>
    <w:p w14:paraId="4BD63FC6">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5.5辅助服务的费用应包含在投标报价中，采购人不再另行支付。</w:t>
      </w:r>
    </w:p>
    <w:p w14:paraId="117EAFA4">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6、质量保证及售后服务</w:t>
      </w:r>
    </w:p>
    <w:p w14:paraId="408A3707">
      <w:pPr>
        <w:spacing w:line="360" w:lineRule="auto"/>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bCs/>
          <w:snapToGrid w:val="0"/>
          <w:color w:val="000000"/>
          <w:kern w:val="0"/>
          <w:szCs w:val="21"/>
          <w:highlight w:val="none"/>
        </w:rPr>
        <w:t>6.1质量要求：</w:t>
      </w:r>
      <w:r>
        <w:rPr>
          <w:rFonts w:hint="eastAsia" w:ascii="Times New Roman" w:hAnsi="Times New Roman" w:eastAsia="宋体" w:cs="Times New Roman"/>
          <w:snapToGrid w:val="0"/>
          <w:color w:val="000000"/>
          <w:kern w:val="0"/>
          <w:szCs w:val="21"/>
          <w:highlight w:val="none"/>
          <w:lang w:eastAsia="zh-CN"/>
        </w:rPr>
        <w:t>供应商</w:t>
      </w:r>
      <w:r>
        <w:rPr>
          <w:rFonts w:hint="default" w:ascii="Times New Roman" w:hAnsi="Times New Roman" w:eastAsia="宋体" w:cs="Times New Roman"/>
          <w:color w:val="000000"/>
          <w:highlight w:val="none"/>
        </w:rPr>
        <w:t>必须保证</w:t>
      </w:r>
      <w:r>
        <w:rPr>
          <w:rFonts w:hint="default" w:ascii="Times New Roman" w:hAnsi="Times New Roman" w:eastAsia="宋体" w:cs="Times New Roman"/>
          <w:snapToGrid w:val="0"/>
          <w:color w:val="000000"/>
          <w:kern w:val="0"/>
          <w:szCs w:val="21"/>
          <w:highlight w:val="none"/>
        </w:rPr>
        <w:t>所提供产品必须是全新</w:t>
      </w:r>
      <w:r>
        <w:rPr>
          <w:rFonts w:hint="default" w:ascii="Times New Roman" w:hAnsi="Times New Roman" w:eastAsia="宋体" w:cs="Times New Roman"/>
          <w:color w:val="000000"/>
          <w:highlight w:val="none"/>
        </w:rPr>
        <w:t>原装</w:t>
      </w:r>
      <w:r>
        <w:rPr>
          <w:rFonts w:hint="default" w:ascii="Times New Roman" w:hAnsi="Times New Roman" w:eastAsia="宋体" w:cs="Times New Roman"/>
          <w:snapToGrid w:val="0"/>
          <w:color w:val="000000"/>
          <w:kern w:val="0"/>
          <w:szCs w:val="21"/>
          <w:highlight w:val="none"/>
        </w:rPr>
        <w:t>、完整、未使用过的，且满足本项目</w:t>
      </w:r>
      <w:r>
        <w:rPr>
          <w:rFonts w:hint="default" w:ascii="Times New Roman" w:hAnsi="Times New Roman" w:eastAsia="宋体" w:cs="Times New Roman"/>
          <w:color w:val="000000"/>
          <w:highlight w:val="none"/>
        </w:rPr>
        <w:t>需要的技术参数及性能（配置）要求的产品。质量保证期从项目全部货物安装调试完毕并经采购人验收合格后之日起计算，整体设备质保一年，厂家质保高于一年的按厂家质保时间执行。若技术参数中对售后服务有明确要求，以技术参数的明确要求为准。</w:t>
      </w:r>
    </w:p>
    <w:p w14:paraId="1925439E">
      <w:pPr>
        <w:spacing w:line="360" w:lineRule="auto"/>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6.2售后服务要求：</w:t>
      </w:r>
      <w:r>
        <w:rPr>
          <w:rFonts w:hint="eastAsia" w:ascii="Times New Roman" w:hAnsi="Times New Roman" w:eastAsia="宋体" w:cs="Times New Roman"/>
          <w:color w:val="000000"/>
          <w:szCs w:val="21"/>
          <w:highlight w:val="none"/>
          <w:lang w:val="zh-CN"/>
        </w:rPr>
        <w:t>供应商</w:t>
      </w:r>
      <w:r>
        <w:rPr>
          <w:rFonts w:hint="default" w:ascii="Times New Roman" w:hAnsi="Times New Roman" w:eastAsia="宋体" w:cs="Times New Roman"/>
          <w:color w:val="000000"/>
          <w:szCs w:val="21"/>
          <w:highlight w:val="none"/>
        </w:rPr>
        <w:t>应</w:t>
      </w:r>
      <w:r>
        <w:rPr>
          <w:rFonts w:hint="default" w:ascii="Times New Roman" w:hAnsi="Times New Roman" w:eastAsia="宋体" w:cs="Times New Roman"/>
          <w:color w:val="000000"/>
          <w:szCs w:val="21"/>
          <w:highlight w:val="none"/>
          <w:lang w:val="zh-CN"/>
        </w:rPr>
        <w:t>提供详细的售前、售中、售后服务计划及承诺。</w:t>
      </w:r>
    </w:p>
    <w:p w14:paraId="414A3A0F">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6.3技术支持：提供7×24小时的技术咨询服务。</w:t>
      </w:r>
    </w:p>
    <w:p w14:paraId="0D0B21EC">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6.4故障响应</w:t>
      </w:r>
    </w:p>
    <w:p w14:paraId="06E4F53F">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（一）一般故障（IV级）：4小时以内解决故障；</w:t>
      </w:r>
    </w:p>
    <w:p w14:paraId="0FB986EB">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（二）较大故障（III级）：12小时以内解决故障；</w:t>
      </w:r>
    </w:p>
    <w:p w14:paraId="34E53A70">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（三）重大故障（II级）、特别重大故障（I级）：24小时以内解决故障。</w:t>
      </w:r>
    </w:p>
    <w:p w14:paraId="73364E19">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（四）备件服务：遇到重大故障，提供所需更换的任何备件。</w:t>
      </w:r>
    </w:p>
    <w:p w14:paraId="422A03F8">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（五）免费维护期外中标人应提供系统和软件的终身维护，免费维护期过后，维护费另行协商。</w:t>
      </w:r>
    </w:p>
    <w:p w14:paraId="4D035780">
      <w:pPr>
        <w:adjustRightInd w:val="0"/>
        <w:snapToGrid w:val="0"/>
        <w:spacing w:line="440" w:lineRule="exact"/>
        <w:ind w:firstLine="420" w:firstLineChars="200"/>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6.5质保期内出现任何质量问题（人为破坏或自然灾害等不可抗力除外），由中标人负责全免费（免全部工时费、材料费、管理费、财务费等等）更换或维修。质保期满后，无论采购人是否另行选择维保供应商，中标人应及时优惠提供所需的备品备件。</w:t>
      </w:r>
    </w:p>
    <w:p w14:paraId="537A79CF">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6.6提供售后服务机构详细资料（包括服务机构地址、联系人、售后服务热线、维修技术人员等内容），以证明其具备能响应本项目售后服务的能力。</w:t>
      </w:r>
    </w:p>
    <w:p w14:paraId="18E1A2D2">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lang w:val="en-US" w:eastAsia="zh-CN"/>
        </w:rPr>
        <w:t>二</w:t>
      </w:r>
      <w:r>
        <w:rPr>
          <w:rFonts w:hint="default" w:ascii="Times New Roman" w:hAnsi="Times New Roman" w:eastAsia="宋体" w:cs="Times New Roman"/>
          <w:b/>
          <w:color w:val="000000"/>
          <w:szCs w:val="21"/>
          <w:highlight w:val="none"/>
        </w:rPr>
        <w:t>、其他说明</w:t>
      </w:r>
    </w:p>
    <w:p w14:paraId="0CFFDE4F">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1、</w:t>
      </w:r>
      <w:r>
        <w:rPr>
          <w:rFonts w:hint="eastAsia" w:ascii="Times New Roman" w:hAnsi="Times New Roman" w:eastAsia="宋体" w:cs="Times New Roman"/>
          <w:bCs/>
          <w:color w:val="000000"/>
          <w:szCs w:val="21"/>
          <w:highlight w:val="none"/>
          <w:lang w:eastAsia="zh-CN"/>
        </w:rPr>
        <w:t>供应商</w:t>
      </w:r>
      <w:r>
        <w:rPr>
          <w:rFonts w:hint="default" w:ascii="Times New Roman" w:hAnsi="Times New Roman" w:eastAsia="宋体" w:cs="Times New Roman"/>
          <w:bCs/>
          <w:color w:val="000000"/>
          <w:szCs w:val="21"/>
          <w:highlight w:val="none"/>
        </w:rPr>
        <w:t>应确保所供货物技术指标符合项目采购技术文件、以及国家或行业标准要求。</w:t>
      </w:r>
    </w:p>
    <w:p w14:paraId="2202D8F6">
      <w:pPr>
        <w:adjustRightInd w:val="0"/>
        <w:snapToGrid w:val="0"/>
        <w:spacing w:line="440" w:lineRule="exact"/>
        <w:ind w:firstLine="422" w:firstLineChars="200"/>
        <w:rPr>
          <w:rFonts w:hint="default" w:ascii="Times New Roman" w:hAnsi="Times New Roman" w:eastAsia="宋体" w:cs="Times New Roman"/>
          <w:b/>
          <w:color w:val="000000"/>
          <w:szCs w:val="21"/>
          <w:highlight w:val="none"/>
        </w:rPr>
      </w:pPr>
      <w:r>
        <w:rPr>
          <w:rFonts w:hint="default" w:ascii="Times New Roman" w:hAnsi="Times New Roman" w:eastAsia="宋体" w:cs="Times New Roman"/>
          <w:b/>
          <w:color w:val="000000"/>
          <w:szCs w:val="21"/>
          <w:highlight w:val="none"/>
        </w:rPr>
        <w:t>2、</w:t>
      </w:r>
      <w:r>
        <w:rPr>
          <w:rFonts w:hint="eastAsia" w:ascii="宋体" w:hAnsi="宋体" w:cs="宋体"/>
          <w:b/>
          <w:color w:val="000000"/>
          <w:szCs w:val="21"/>
          <w:highlight w:val="none"/>
          <w:lang w:val="en-US" w:eastAsia="zh-CN"/>
        </w:rPr>
        <w:t>供应商</w:t>
      </w:r>
      <w:r>
        <w:rPr>
          <w:rFonts w:hint="eastAsia" w:ascii="宋体" w:hAnsi="宋体" w:eastAsia="宋体" w:cs="宋体"/>
          <w:b/>
          <w:color w:val="000000"/>
          <w:szCs w:val="21"/>
          <w:highlight w:val="none"/>
        </w:rPr>
        <w:t>应确保其投标产品技术参数的真实性。采购人在正式合同签订前，有权对</w:t>
      </w:r>
      <w:r>
        <w:rPr>
          <w:rFonts w:hint="eastAsia" w:ascii="宋体" w:hAnsi="宋体" w:cs="宋体"/>
          <w:b/>
          <w:color w:val="000000"/>
          <w:szCs w:val="21"/>
          <w:highlight w:val="none"/>
          <w:lang w:val="en-US" w:eastAsia="zh-CN"/>
        </w:rPr>
        <w:t>成交</w:t>
      </w:r>
      <w:r>
        <w:rPr>
          <w:rFonts w:hint="eastAsia" w:ascii="宋体" w:hAnsi="宋体" w:eastAsia="宋体" w:cs="宋体"/>
          <w:b/>
          <w:color w:val="000000"/>
          <w:szCs w:val="21"/>
          <w:highlight w:val="none"/>
        </w:rPr>
        <w:t>产品的技术参数进行核查，</w:t>
      </w:r>
      <w:r>
        <w:rPr>
          <w:rFonts w:hint="eastAsia" w:ascii="宋体" w:hAnsi="宋体" w:cs="宋体"/>
          <w:b/>
          <w:color w:val="000000"/>
          <w:szCs w:val="21"/>
          <w:highlight w:val="none"/>
          <w:lang w:val="en-US" w:eastAsia="zh-CN"/>
        </w:rPr>
        <w:t>成交供应商</w:t>
      </w:r>
      <w:r>
        <w:rPr>
          <w:rFonts w:hint="eastAsia" w:ascii="宋体" w:hAnsi="宋体" w:eastAsia="宋体" w:cs="宋体"/>
          <w:b/>
          <w:color w:val="000000"/>
          <w:szCs w:val="21"/>
          <w:highlight w:val="none"/>
        </w:rPr>
        <w:t>应无条件配合并按采购人要求提供相关证明材料。如</w:t>
      </w:r>
      <w:r>
        <w:rPr>
          <w:rFonts w:hint="eastAsia" w:ascii="宋体" w:hAnsi="宋体" w:cs="宋体"/>
          <w:b/>
          <w:color w:val="000000"/>
          <w:szCs w:val="21"/>
          <w:highlight w:val="none"/>
          <w:lang w:val="en-US" w:eastAsia="zh-CN"/>
        </w:rPr>
        <w:t>成交供应商</w:t>
      </w:r>
      <w:r>
        <w:rPr>
          <w:rFonts w:hint="eastAsia" w:ascii="宋体" w:hAnsi="宋体" w:eastAsia="宋体" w:cs="宋体"/>
          <w:b/>
          <w:color w:val="000000"/>
          <w:szCs w:val="21"/>
          <w:highlight w:val="none"/>
        </w:rPr>
        <w:t>拒不配合或无法提供佐证材料证明其参数真实性的，按照虚假应标处理，采购人将依法取消其</w:t>
      </w:r>
      <w:r>
        <w:rPr>
          <w:rFonts w:hint="eastAsia" w:ascii="宋体" w:hAnsi="宋体" w:cs="宋体"/>
          <w:b/>
          <w:color w:val="000000"/>
          <w:szCs w:val="21"/>
          <w:highlight w:val="none"/>
          <w:lang w:val="en-US" w:eastAsia="zh-CN"/>
        </w:rPr>
        <w:t>成交</w:t>
      </w:r>
      <w:r>
        <w:rPr>
          <w:rFonts w:hint="eastAsia" w:ascii="宋体" w:hAnsi="宋体" w:eastAsia="宋体" w:cs="宋体"/>
          <w:b/>
          <w:color w:val="000000"/>
          <w:szCs w:val="21"/>
          <w:highlight w:val="none"/>
        </w:rPr>
        <w:t>资格，并上报财政部门</w:t>
      </w:r>
      <w:r>
        <w:rPr>
          <w:rFonts w:hint="default" w:ascii="Times New Roman" w:hAnsi="Times New Roman" w:eastAsia="宋体" w:cs="Times New Roman"/>
          <w:b/>
          <w:color w:val="000000"/>
          <w:szCs w:val="21"/>
          <w:highlight w:val="none"/>
        </w:rPr>
        <w:t>。</w:t>
      </w:r>
    </w:p>
    <w:p w14:paraId="64918326">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3、</w:t>
      </w:r>
      <w:r>
        <w:rPr>
          <w:rFonts w:hint="eastAsia" w:ascii="宋体" w:hAnsi="宋体" w:cs="宋体"/>
          <w:bCs/>
          <w:szCs w:val="21"/>
          <w:lang w:val="en-US" w:eastAsia="zh-CN"/>
        </w:rPr>
        <w:t>本项目为交钥匙工程采用固定总价合同方式</w:t>
      </w:r>
      <w:r>
        <w:rPr>
          <w:rFonts w:hint="eastAsia" w:ascii="宋体" w:hAnsi="宋体" w:eastAsia="宋体" w:cs="宋体"/>
          <w:bCs/>
          <w:color w:val="000000"/>
          <w:szCs w:val="21"/>
          <w:highlight w:val="none"/>
        </w:rPr>
        <w:t>，</w:t>
      </w:r>
      <w:r>
        <w:rPr>
          <w:rFonts w:hint="eastAsia" w:ascii="宋体" w:hAnsi="宋体" w:cs="宋体"/>
          <w:bCs/>
          <w:color w:val="000000"/>
          <w:szCs w:val="21"/>
          <w:highlight w:val="none"/>
          <w:lang w:val="en-US" w:eastAsia="zh-CN"/>
        </w:rPr>
        <w:t>供应商</w:t>
      </w:r>
      <w:r>
        <w:rPr>
          <w:rFonts w:hint="eastAsia" w:ascii="宋体" w:hAnsi="宋体" w:eastAsia="宋体" w:cs="宋体"/>
          <w:bCs/>
          <w:color w:val="000000"/>
          <w:szCs w:val="21"/>
          <w:highlight w:val="none"/>
        </w:rPr>
        <w:t>的投标报价应包括完成本项目所需的设备费、材料费、运输费、安装费、调试费、检测费、验收费、管理费、税金以及参与政府采购活动等所需的全部费用。除中标人报价外，采购人不再额外支付任何其他费用</w:t>
      </w:r>
      <w:r>
        <w:rPr>
          <w:rFonts w:hint="default" w:ascii="Times New Roman" w:hAnsi="Times New Roman" w:eastAsia="宋体" w:cs="Times New Roman"/>
          <w:bCs/>
          <w:color w:val="000000"/>
          <w:szCs w:val="21"/>
          <w:highlight w:val="none"/>
        </w:rPr>
        <w:t>。</w:t>
      </w:r>
    </w:p>
    <w:p w14:paraId="6A3E5CAE">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default" w:ascii="Times New Roman" w:hAnsi="Times New Roman" w:eastAsia="宋体" w:cs="Times New Roman"/>
          <w:bCs/>
          <w:color w:val="000000"/>
          <w:szCs w:val="21"/>
          <w:highlight w:val="none"/>
        </w:rPr>
        <w:t>4、安全承诺：本项目履行过程中中标人在采购人单位发生任何安全事故由中标人承担全部责任，与采购人无关。</w:t>
      </w:r>
    </w:p>
    <w:p w14:paraId="048C5B7D">
      <w:pPr>
        <w:adjustRightInd w:val="0"/>
        <w:snapToGrid w:val="0"/>
        <w:spacing w:line="440" w:lineRule="exact"/>
        <w:ind w:firstLine="420" w:firstLineChars="200"/>
        <w:rPr>
          <w:rFonts w:hint="eastAsia" w:ascii="Times New Roman" w:hAnsi="Times New Roman" w:eastAsia="宋体" w:cs="Times New Roman"/>
          <w:bCs/>
          <w:color w:val="000000"/>
          <w:szCs w:val="21"/>
          <w:highlight w:val="none"/>
          <w:lang w:val="en-US" w:eastAsia="zh-CN"/>
        </w:rPr>
      </w:pPr>
      <w:r>
        <w:rPr>
          <w:rFonts w:hint="eastAsia" w:cs="Times New Roman"/>
          <w:bCs/>
          <w:color w:val="000000"/>
          <w:szCs w:val="21"/>
          <w:highlight w:val="none"/>
          <w:lang w:val="en-US" w:eastAsia="zh-CN"/>
        </w:rPr>
        <w:t>5、</w:t>
      </w:r>
      <w:r>
        <w:rPr>
          <w:rFonts w:hint="eastAsia" w:cs="Times New Roman"/>
          <w:b/>
          <w:bCs w:val="0"/>
          <w:color w:val="000000"/>
          <w:szCs w:val="21"/>
          <w:highlight w:val="none"/>
          <w:lang w:val="en-US" w:eastAsia="zh-CN"/>
        </w:rPr>
        <w:t>演示要求：以上内容总演示时长不超过10分钟，供应商应确保视频的完整性及可正常打开、画面及声音清晰无卡顿；若提交的视频无法正常播放、播放中断、画面模糊或无声音的，相关后果由供应商自行承担；视频格式符合</w:t>
      </w: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株洲市采购交易系统</w:t>
      </w:r>
      <w:r>
        <w:rPr>
          <w:rFonts w:hint="eastAsia" w:cs="Times New Roman"/>
          <w:b/>
          <w:bCs w:val="0"/>
          <w:color w:val="000000"/>
          <w:szCs w:val="21"/>
          <w:highlight w:val="none"/>
          <w:lang w:val="en-US" w:eastAsia="zh-CN"/>
        </w:rPr>
        <w:t>的相关规定，具体格式要求由供应商自行登录</w:t>
      </w: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株洲市采购交易系统</w:t>
      </w:r>
      <w:r>
        <w:rPr>
          <w:rFonts w:hint="eastAsia" w:cs="Times New Roman"/>
          <w:b/>
          <w:bCs w:val="0"/>
          <w:color w:val="000000"/>
          <w:szCs w:val="21"/>
          <w:highlight w:val="none"/>
          <w:lang w:val="en-US" w:eastAsia="zh-CN"/>
        </w:rPr>
        <w:t>查询确认。</w:t>
      </w:r>
    </w:p>
    <w:p w14:paraId="52B07076">
      <w:pPr>
        <w:adjustRightInd w:val="0"/>
        <w:snapToGrid w:val="0"/>
        <w:spacing w:line="440" w:lineRule="exact"/>
        <w:ind w:firstLine="420" w:firstLineChars="200"/>
        <w:rPr>
          <w:rFonts w:hint="default" w:ascii="Times New Roman" w:hAnsi="Times New Roman" w:eastAsia="宋体" w:cs="Times New Roman"/>
          <w:bCs/>
          <w:color w:val="000000"/>
          <w:szCs w:val="21"/>
          <w:highlight w:val="none"/>
        </w:rPr>
      </w:pPr>
      <w:r>
        <w:rPr>
          <w:rFonts w:hint="eastAsia" w:cs="Times New Roman"/>
          <w:bCs/>
          <w:color w:val="000000"/>
          <w:szCs w:val="21"/>
          <w:highlight w:val="none"/>
          <w:lang w:val="en-US" w:eastAsia="zh-CN"/>
        </w:rPr>
        <w:t>6</w:t>
      </w:r>
      <w:r>
        <w:rPr>
          <w:rFonts w:hint="default" w:ascii="Times New Roman" w:hAnsi="Times New Roman" w:eastAsia="宋体" w:cs="Times New Roman"/>
          <w:bCs/>
          <w:color w:val="000000"/>
          <w:szCs w:val="21"/>
          <w:highlight w:val="none"/>
        </w:rPr>
        <w:t>、其它未尽事宜以合同约定为准，双方友好协商确定。</w:t>
      </w:r>
    </w:p>
    <w:p w14:paraId="3EE62427">
      <w:pPr>
        <w:widowControl w:val="0"/>
        <w:spacing w:line="480" w:lineRule="exact"/>
        <w:jc w:val="both"/>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重要说明：</w:t>
      </w:r>
    </w:p>
    <w:p w14:paraId="5791A8C8">
      <w:pPr>
        <w:widowControl w:val="0"/>
        <w:spacing w:line="480" w:lineRule="exact"/>
        <w:ind w:firstLine="422" w:firstLineChars="200"/>
        <w:jc w:val="both"/>
        <w:rPr>
          <w:rFonts w:hint="default" w:ascii="Times New Roman" w:hAnsi="Times New Roman" w:eastAsia="宋体" w:cs="Times New Roman"/>
          <w:b/>
          <w:bCs/>
          <w:color w:val="000000"/>
          <w:kern w:val="2"/>
          <w:sz w:val="21"/>
          <w:szCs w:val="21"/>
          <w:highlight w:val="none"/>
          <w:lang w:val="en-US" w:eastAsia="zh-CN" w:bidi="ar-SA"/>
        </w:rPr>
      </w:pPr>
      <w:r>
        <w:rPr>
          <w:rFonts w:hint="eastAsia" w:cs="Times New Roman"/>
          <w:b/>
          <w:bCs/>
          <w:color w:val="000000"/>
          <w:kern w:val="2"/>
          <w:sz w:val="21"/>
          <w:szCs w:val="21"/>
          <w:highlight w:val="none"/>
          <w:lang w:val="en-US" w:eastAsia="zh-CN" w:bidi="ar-SA"/>
        </w:rPr>
        <w:t>1</w:t>
      </w:r>
      <w:r>
        <w:rPr>
          <w:rFonts w:hint="default" w:ascii="Times New Roman" w:hAnsi="Times New Roman" w:eastAsia="宋体" w:cs="Times New Roman"/>
          <w:b/>
          <w:bCs/>
          <w:color w:val="000000"/>
          <w:kern w:val="2"/>
          <w:sz w:val="21"/>
          <w:szCs w:val="21"/>
          <w:highlight w:val="none"/>
          <w:lang w:val="en-US" w:eastAsia="zh-CN" w:bidi="ar-SA"/>
        </w:rPr>
        <w:t>、</w:t>
      </w:r>
      <w:r>
        <w:rPr>
          <w:rFonts w:hint="eastAsia" w:ascii="Times New Roman" w:hAnsi="Times New Roman" w:eastAsia="宋体" w:cs="Times New Roman"/>
          <w:b/>
          <w:bCs/>
          <w:color w:val="000000"/>
          <w:kern w:val="2"/>
          <w:sz w:val="21"/>
          <w:szCs w:val="21"/>
          <w:highlight w:val="none"/>
          <w:lang w:val="en-US" w:eastAsia="zh-CN" w:bidi="ar-SA"/>
        </w:rPr>
        <w:t>供应商</w:t>
      </w:r>
      <w:r>
        <w:rPr>
          <w:rFonts w:hint="default" w:ascii="Times New Roman" w:hAnsi="Times New Roman" w:eastAsia="宋体" w:cs="Times New Roman"/>
          <w:b/>
          <w:bCs/>
          <w:color w:val="000000"/>
          <w:kern w:val="2"/>
          <w:sz w:val="21"/>
          <w:szCs w:val="21"/>
          <w:highlight w:val="none"/>
          <w:lang w:val="en-US" w:eastAsia="zh-CN" w:bidi="ar-SA"/>
        </w:rPr>
        <w:t>在投标文件中有隐瞒事实、弄虚作假的行为，或有不按招标文件的要求如实提供有关情况、文件、证明等资料的行为，或有所提供的有关情况、文件、证明等资料与经查实的事实不符的行为，且上述行为对该</w:t>
      </w:r>
      <w:r>
        <w:rPr>
          <w:rFonts w:hint="eastAsia" w:ascii="Times New Roman" w:hAnsi="Times New Roman" w:eastAsia="宋体" w:cs="Times New Roman"/>
          <w:b/>
          <w:bCs/>
          <w:color w:val="000000"/>
          <w:kern w:val="2"/>
          <w:sz w:val="21"/>
          <w:szCs w:val="21"/>
          <w:highlight w:val="none"/>
          <w:lang w:val="en-US" w:eastAsia="zh-CN" w:bidi="ar-SA"/>
        </w:rPr>
        <w:t>供应商</w:t>
      </w:r>
      <w:r>
        <w:rPr>
          <w:rFonts w:hint="default" w:ascii="Times New Roman" w:hAnsi="Times New Roman" w:eastAsia="宋体" w:cs="Times New Roman"/>
          <w:b/>
          <w:bCs/>
          <w:color w:val="000000"/>
          <w:kern w:val="2"/>
          <w:sz w:val="21"/>
          <w:szCs w:val="21"/>
          <w:highlight w:val="none"/>
          <w:lang w:val="en-US" w:eastAsia="zh-CN" w:bidi="ar-SA"/>
        </w:rPr>
        <w:t>有利的，按照不合格</w:t>
      </w:r>
      <w:r>
        <w:rPr>
          <w:rFonts w:hint="eastAsia" w:ascii="Times New Roman" w:hAnsi="Times New Roman" w:eastAsia="宋体" w:cs="Times New Roman"/>
          <w:b/>
          <w:bCs/>
          <w:color w:val="000000"/>
          <w:kern w:val="2"/>
          <w:sz w:val="21"/>
          <w:szCs w:val="21"/>
          <w:highlight w:val="none"/>
          <w:lang w:val="en-US" w:eastAsia="zh-CN" w:bidi="ar-SA"/>
        </w:rPr>
        <w:t>供应商</w:t>
      </w:r>
      <w:r>
        <w:rPr>
          <w:rFonts w:hint="default" w:ascii="Times New Roman" w:hAnsi="Times New Roman" w:eastAsia="宋体" w:cs="Times New Roman"/>
          <w:b/>
          <w:bCs/>
          <w:color w:val="000000"/>
          <w:kern w:val="2"/>
          <w:sz w:val="21"/>
          <w:szCs w:val="21"/>
          <w:highlight w:val="none"/>
          <w:lang w:val="en-US" w:eastAsia="zh-CN" w:bidi="ar-SA"/>
        </w:rPr>
        <w:t>处理。已被列为中标候选人的，取消其中标候选人资格。已中标的，取消其中标资格，并送财政监管部门依法追究其法律责任。</w:t>
      </w:r>
    </w:p>
    <w:p w14:paraId="349143C3">
      <w:pPr>
        <w:spacing w:line="440" w:lineRule="exact"/>
        <w:ind w:firstLine="422" w:firstLineChars="200"/>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eastAsia" w:cs="Times New Roman"/>
          <w:b/>
          <w:color w:val="000000"/>
          <w:kern w:val="2"/>
          <w:sz w:val="21"/>
          <w:szCs w:val="21"/>
          <w:highlight w:val="none"/>
          <w:lang w:val="en-US" w:eastAsia="zh-CN" w:bidi="ar-SA"/>
        </w:rPr>
        <w:t>2</w:t>
      </w:r>
      <w:r>
        <w:rPr>
          <w:rFonts w:hint="default" w:ascii="Times New Roman" w:hAnsi="Times New Roman" w:eastAsia="宋体" w:cs="Times New Roman"/>
          <w:b/>
          <w:bCs/>
          <w:color w:val="000000"/>
          <w:kern w:val="2"/>
          <w:sz w:val="21"/>
          <w:szCs w:val="21"/>
          <w:highlight w:val="none"/>
          <w:lang w:val="en-US" w:eastAsia="zh-CN" w:bidi="ar-SA"/>
        </w:rPr>
        <w:t>、如</w:t>
      </w:r>
      <w:r>
        <w:rPr>
          <w:rFonts w:hint="eastAsia" w:ascii="Times New Roman" w:hAnsi="Times New Roman" w:eastAsia="宋体" w:cs="Times New Roman"/>
          <w:b/>
          <w:bCs/>
          <w:color w:val="000000"/>
          <w:kern w:val="2"/>
          <w:sz w:val="21"/>
          <w:szCs w:val="21"/>
          <w:highlight w:val="none"/>
          <w:lang w:val="en-US" w:eastAsia="zh-CN" w:bidi="ar-SA"/>
        </w:rPr>
        <w:t>供应商</w:t>
      </w:r>
      <w:r>
        <w:rPr>
          <w:rFonts w:hint="default" w:ascii="Times New Roman" w:hAnsi="Times New Roman" w:eastAsia="宋体" w:cs="Times New Roman"/>
          <w:b/>
          <w:bCs/>
          <w:color w:val="000000"/>
          <w:kern w:val="2"/>
          <w:sz w:val="21"/>
          <w:szCs w:val="21"/>
          <w:highlight w:val="none"/>
          <w:lang w:val="en-US" w:eastAsia="zh-CN" w:bidi="ar-SA"/>
        </w:rPr>
        <w:t>提供虚假材料谋取中标，在评标环节发现的，按无效投标处理。如中标后发现的，取消其中标资格，并送财政监管部门依法追究其法律责任</w:t>
      </w:r>
      <w:r>
        <w:rPr>
          <w:rFonts w:hint="eastAsia" w:cs="Times New Roman"/>
          <w:b/>
          <w:bCs/>
          <w:color w:val="000000"/>
          <w:kern w:val="2"/>
          <w:sz w:val="21"/>
          <w:szCs w:val="21"/>
          <w:highlight w:val="none"/>
          <w:lang w:val="en-US" w:eastAsia="zh-CN" w:bidi="ar-SA"/>
        </w:rPr>
        <w:t>。</w:t>
      </w:r>
    </w:p>
    <w:p w14:paraId="5C1B8870">
      <w:pPr>
        <w:rPr>
          <w:rStyle w:val="81"/>
          <w:rFonts w:hint="default" w:ascii="Times New Roman" w:hAnsi="Times New Roman" w:eastAsia="黑体" w:cs="Times New Roman"/>
          <w:b/>
          <w:bCs/>
          <w:color w:val="000000" w:themeColor="text1"/>
          <w:sz w:val="32"/>
          <w:szCs w:val="32"/>
          <w:highlight w:val="none"/>
          <w14:textFill>
            <w14:solidFill>
              <w14:schemeClr w14:val="tx1"/>
            </w14:solidFill>
          </w14:textFill>
        </w:rPr>
      </w:pPr>
      <w:bookmarkStart w:id="500" w:name="_Toc20786"/>
      <w:r>
        <w:rPr>
          <w:rStyle w:val="81"/>
          <w:rFonts w:hint="default" w:ascii="Times New Roman" w:hAnsi="Times New Roman" w:eastAsia="黑体" w:cs="Times New Roman"/>
          <w:b/>
          <w:bCs/>
          <w:color w:val="000000" w:themeColor="text1"/>
          <w:sz w:val="32"/>
          <w:szCs w:val="32"/>
          <w:highlight w:val="none"/>
          <w14:textFill>
            <w14:solidFill>
              <w14:schemeClr w14:val="tx1"/>
            </w14:solidFill>
          </w14:textFill>
        </w:rPr>
        <w:br w:type="page"/>
      </w:r>
    </w:p>
    <w:p w14:paraId="278D0A34">
      <w:pPr>
        <w:pStyle w:val="3"/>
        <w:jc w:val="center"/>
        <w:outlineLvl w:val="0"/>
        <w:rPr>
          <w:rStyle w:val="81"/>
          <w:rFonts w:hint="default" w:ascii="Times New Roman" w:hAnsi="Times New Roman" w:eastAsia="黑体" w:cs="Times New Roman"/>
          <w:b/>
          <w:bCs/>
          <w:color w:val="000000" w:themeColor="text1"/>
          <w:sz w:val="32"/>
          <w:szCs w:val="32"/>
          <w:highlight w:val="none"/>
          <w14:textFill>
            <w14:solidFill>
              <w14:schemeClr w14:val="tx1"/>
            </w14:solidFill>
          </w14:textFill>
        </w:rPr>
      </w:pPr>
      <w:r>
        <w:rPr>
          <w:rStyle w:val="81"/>
          <w:rFonts w:hint="default" w:ascii="Times New Roman" w:hAnsi="Times New Roman" w:eastAsia="黑体" w:cs="Times New Roman"/>
          <w:b/>
          <w:bCs/>
          <w:color w:val="000000" w:themeColor="text1"/>
          <w:sz w:val="32"/>
          <w:szCs w:val="32"/>
          <w:highlight w:val="none"/>
          <w14:textFill>
            <w14:solidFill>
              <w14:schemeClr w14:val="tx1"/>
            </w14:solidFill>
          </w14:textFill>
        </w:rPr>
        <w:t>第四章 合同草案条款</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bookmarkEnd w:id="481"/>
    <w:bookmarkEnd w:id="482"/>
    <w:p w14:paraId="48DE625A">
      <w:pPr>
        <w:keepNext/>
        <w:keepLines/>
        <w:widowControl w:val="0"/>
        <w:adjustRightInd w:val="0"/>
        <w:snapToGrid w:val="0"/>
        <w:spacing w:before="156" w:beforeLines="50" w:line="360" w:lineRule="auto"/>
        <w:ind w:left="420" w:leftChars="200"/>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bookmarkStart w:id="501" w:name="_Toc7762"/>
      <w:bookmarkStart w:id="502" w:name="_Toc23075"/>
      <w:bookmarkStart w:id="503" w:name="_Toc23333"/>
      <w:bookmarkStart w:id="504" w:name="_Toc18523"/>
      <w:bookmarkStart w:id="505" w:name="_Toc8513"/>
      <w:bookmarkStart w:id="506" w:name="_Toc30031"/>
      <w:bookmarkStart w:id="507" w:name="_Toc6107"/>
      <w:bookmarkStart w:id="508" w:name="_Toc27242"/>
      <w:bookmarkStart w:id="509" w:name="_Toc16484"/>
      <w:bookmarkStart w:id="510" w:name="_Toc14825"/>
      <w:bookmarkStart w:id="511" w:name="_Toc8885"/>
      <w:bookmarkStart w:id="512" w:name="_Toc14267"/>
      <w:bookmarkStart w:id="513" w:name="_Toc21203"/>
      <w:bookmarkStart w:id="514" w:name="_Toc9393"/>
      <w:bookmarkStart w:id="515" w:name="_Toc17149"/>
      <w:bookmarkStart w:id="516" w:name="_Toc28608"/>
      <w:bookmarkStart w:id="517" w:name="_Toc16985"/>
      <w:bookmarkStart w:id="518" w:name="_Toc1426"/>
      <w:bookmarkStart w:id="519" w:name="_Toc28101"/>
      <w:bookmarkStart w:id="520" w:name="_Toc30549"/>
      <w:bookmarkStart w:id="521" w:name="_Toc8601"/>
      <w:bookmarkStart w:id="522" w:name="_Toc2146"/>
      <w:bookmarkStart w:id="523" w:name="_Toc1253"/>
      <w:r>
        <w:rPr>
          <w:rFonts w:hint="default" w:ascii="Times New Roman" w:hAnsi="Times New Roman" w:cs="Times New Roman" w:eastAsiaTheme="minorEastAsia"/>
          <w:b/>
          <w:bCs/>
          <w:color w:val="auto"/>
          <w:kern w:val="2"/>
          <w:sz w:val="28"/>
          <w:szCs w:val="28"/>
          <w:highlight w:val="none"/>
          <w:lang w:val="en-US" w:eastAsia="zh-CN" w:bidi="ar-SA"/>
        </w:rPr>
        <w:t>第一节 合同协议书</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4CD442B8">
      <w:pPr>
        <w:adjustRightInd w:val="0"/>
        <w:snapToGrid w:val="0"/>
        <w:spacing w:before="156" w:beforeLines="50" w:line="360" w:lineRule="auto"/>
        <w:ind w:firstLine="5460" w:firstLineChars="2600"/>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采购合同编号：</w:t>
      </w:r>
      <w:r>
        <w:rPr>
          <w:rFonts w:hint="default" w:ascii="Times New Roman" w:hAnsi="Times New Roman" w:cs="Times New Roman" w:eastAsiaTheme="minorEastAsia"/>
          <w:color w:val="auto"/>
          <w:szCs w:val="21"/>
          <w:highlight w:val="none"/>
          <w:u w:val="single"/>
        </w:rPr>
        <w:t xml:space="preserve">                 </w:t>
      </w:r>
    </w:p>
    <w:p w14:paraId="0AC8D4C4">
      <w:pPr>
        <w:adjustRightInd w:val="0"/>
        <w:snapToGrid w:val="0"/>
        <w:spacing w:before="156" w:beforeLines="50" w:line="360" w:lineRule="auto"/>
        <w:jc w:val="center"/>
        <w:rPr>
          <w:rFonts w:hint="default" w:ascii="Times New Roman" w:hAnsi="Times New Roman" w:cs="Times New Roman" w:eastAsiaTheme="minorEastAsia"/>
          <w:b/>
          <w:color w:val="auto"/>
          <w:szCs w:val="21"/>
          <w:highlight w:val="none"/>
        </w:rPr>
      </w:pPr>
    </w:p>
    <w:p w14:paraId="6DFCCD39">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采购人（全称）：</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（甲方）</w:t>
      </w:r>
    </w:p>
    <w:p w14:paraId="7F27A2C7">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供应商（全称）：</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（乙方）</w:t>
      </w:r>
    </w:p>
    <w:p w14:paraId="793B0803">
      <w:pPr>
        <w:widowControl w:val="0"/>
        <w:adjustRightInd w:val="0"/>
        <w:snapToGrid w:val="0"/>
        <w:spacing w:before="156" w:beforeLines="50" w:after="0" w:line="360" w:lineRule="auto"/>
        <w:ind w:left="420" w:leftChars="200"/>
        <w:jc w:val="both"/>
        <w:rPr>
          <w:rFonts w:hint="default" w:ascii="Times New Roman" w:hAnsi="Times New Roman" w:cs="Times New Roman" w:eastAsiaTheme="minorEastAsia"/>
          <w:color w:val="auto"/>
          <w:kern w:val="2"/>
          <w:sz w:val="21"/>
          <w:szCs w:val="21"/>
          <w:highlight w:val="none"/>
          <w:lang w:val="en-US" w:eastAsia="zh-CN" w:bidi="ar-SA"/>
        </w:rPr>
      </w:pPr>
    </w:p>
    <w:p w14:paraId="3B37AAFA">
      <w:pPr>
        <w:widowControl w:val="0"/>
        <w:adjustRightInd w:val="0"/>
        <w:snapToGrid w:val="0"/>
        <w:spacing w:before="156" w:beforeLines="50" w:after="0" w:line="360" w:lineRule="auto"/>
        <w:ind w:left="0" w:leftChars="0" w:firstLine="420" w:firstLineChars="200"/>
        <w:jc w:val="both"/>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为了保护甲、乙双方合法权益，根据《中华人民共和国合同法》、《中华人民共和国政府采购法》及其他有关法律、法规、规章，双方签订本合同协议书。</w:t>
      </w:r>
    </w:p>
    <w:p w14:paraId="36075E63">
      <w:pPr>
        <w:keepNext/>
        <w:keepLines/>
        <w:widowControl w:val="0"/>
        <w:adjustRightInd w:val="0"/>
        <w:snapToGrid w:val="0"/>
        <w:spacing w:before="50" w:after="0" w:line="360" w:lineRule="auto"/>
        <w:jc w:val="both"/>
        <w:outlineLvl w:val="2"/>
        <w:rPr>
          <w:rFonts w:hint="default" w:ascii="Times New Roman" w:hAnsi="Times New Roman" w:cs="Times New Roman" w:eastAsiaTheme="minorEastAsia"/>
          <w:b/>
          <w:bCs/>
          <w:color w:val="auto"/>
          <w:kern w:val="2"/>
          <w:sz w:val="24"/>
          <w:szCs w:val="24"/>
          <w:highlight w:val="none"/>
          <w:lang w:val="en-US" w:eastAsia="zh-CN" w:bidi="ar-SA"/>
        </w:rPr>
      </w:pPr>
      <w:bookmarkStart w:id="524" w:name="_Toc28332"/>
      <w:bookmarkStart w:id="525" w:name="_Toc10187"/>
      <w:bookmarkStart w:id="526" w:name="_Toc17146"/>
      <w:r>
        <w:rPr>
          <w:rFonts w:hint="default" w:ascii="Times New Roman" w:hAnsi="Times New Roman" w:cs="Times New Roman" w:eastAsiaTheme="minorEastAsia"/>
          <w:b/>
          <w:bCs/>
          <w:color w:val="auto"/>
          <w:kern w:val="2"/>
          <w:sz w:val="24"/>
          <w:szCs w:val="24"/>
          <w:highlight w:val="none"/>
          <w:lang w:val="en-US" w:eastAsia="zh-CN" w:bidi="ar-SA"/>
        </w:rPr>
        <w:t>1.项目信息</w:t>
      </w:r>
      <w:bookmarkEnd w:id="524"/>
      <w:bookmarkEnd w:id="525"/>
      <w:bookmarkEnd w:id="526"/>
    </w:p>
    <w:p w14:paraId="40E79562">
      <w:pPr>
        <w:widowControl w:val="0"/>
        <w:adjustRightInd w:val="0"/>
        <w:snapToGrid w:val="0"/>
        <w:spacing w:before="156" w:beforeLines="50" w:after="0" w:line="360" w:lineRule="auto"/>
        <w:ind w:left="420" w:leftChars="200"/>
        <w:jc w:val="both"/>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（1）采购项目名称：</w:t>
      </w:r>
      <w:r>
        <w:rPr>
          <w:rFonts w:hint="default" w:ascii="Times New Roman" w:hAnsi="Times New Roman" w:cs="Times New Roman" w:eastAsiaTheme="minorEastAsia"/>
          <w:color w:val="auto"/>
          <w:kern w:val="2"/>
          <w:sz w:val="21"/>
          <w:szCs w:val="21"/>
          <w:highlight w:val="none"/>
          <w:u w:val="single"/>
          <w:lang w:val="en-US" w:eastAsia="zh-CN" w:bidi="ar-SA"/>
        </w:rPr>
        <w:t xml:space="preserve">                                          </w:t>
      </w:r>
    </w:p>
    <w:p w14:paraId="7D5A7B18">
      <w:pPr>
        <w:widowControl w:val="0"/>
        <w:adjustRightInd w:val="0"/>
        <w:snapToGrid w:val="0"/>
        <w:spacing w:before="156" w:beforeLines="50" w:after="0" w:line="360" w:lineRule="auto"/>
        <w:ind w:left="420" w:leftChars="200"/>
        <w:jc w:val="both"/>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（2）政府采购计划编号：</w:t>
      </w:r>
      <w:r>
        <w:rPr>
          <w:rFonts w:hint="default" w:ascii="Times New Roman" w:hAnsi="Times New Roman" w:cs="Times New Roman" w:eastAsiaTheme="minorEastAsia"/>
          <w:color w:val="auto"/>
          <w:kern w:val="2"/>
          <w:sz w:val="21"/>
          <w:szCs w:val="21"/>
          <w:highlight w:val="none"/>
          <w:u w:val="single"/>
          <w:lang w:val="en-US" w:eastAsia="zh-CN" w:bidi="ar-SA"/>
        </w:rPr>
        <w:t xml:space="preserve">                          </w:t>
      </w:r>
      <w:r>
        <w:rPr>
          <w:rFonts w:hint="default" w:ascii="Times New Roman" w:hAnsi="Times New Roman" w:cs="Times New Roman" w:eastAsiaTheme="minorEastAsia"/>
          <w:color w:val="auto"/>
          <w:kern w:val="2"/>
          <w:sz w:val="21"/>
          <w:szCs w:val="21"/>
          <w:highlight w:val="none"/>
          <w:lang w:val="en-US" w:eastAsia="zh-CN" w:bidi="ar-SA"/>
        </w:rPr>
        <w:t xml:space="preserve"> </w:t>
      </w:r>
    </w:p>
    <w:p w14:paraId="5383EF2B">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（3）项目内容：</w:t>
      </w:r>
      <w:r>
        <w:rPr>
          <w:rFonts w:hint="default" w:ascii="Times New Roman" w:hAnsi="Times New Roman" w:cs="Times New Roman" w:eastAsiaTheme="minorEastAsia"/>
          <w:color w:val="auto"/>
          <w:szCs w:val="21"/>
          <w:highlight w:val="none"/>
          <w:u w:val="single"/>
        </w:rPr>
        <w:t xml:space="preserve">                             </w:t>
      </w:r>
    </w:p>
    <w:p w14:paraId="72F522B5">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bookmarkStart w:id="527" w:name="_Toc29131"/>
      <w:bookmarkStart w:id="528" w:name="_Toc13534"/>
      <w:bookmarkStart w:id="529" w:name="_Toc17536"/>
      <w:r>
        <w:rPr>
          <w:rFonts w:hint="default" w:ascii="Times New Roman" w:hAnsi="Times New Roman" w:cs="Times New Roman" w:eastAsiaTheme="minorEastAsia"/>
          <w:color w:val="auto"/>
          <w:szCs w:val="21"/>
          <w:highlight w:val="none"/>
        </w:rPr>
        <w:t>（4）是否分包：</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w:t>
      </w:r>
    </w:p>
    <w:p w14:paraId="0E19F7CD">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（5）项目负责人：</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w:t>
      </w:r>
    </w:p>
    <w:p w14:paraId="63C13538">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（6）联系电话：</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w:t>
      </w:r>
    </w:p>
    <w:p w14:paraId="11FBBDF8">
      <w:pPr>
        <w:keepNext/>
        <w:keepLines/>
        <w:widowControl w:val="0"/>
        <w:adjustRightInd w:val="0"/>
        <w:snapToGrid w:val="0"/>
        <w:spacing w:before="50" w:after="0" w:line="360" w:lineRule="auto"/>
        <w:jc w:val="both"/>
        <w:outlineLvl w:val="2"/>
        <w:rPr>
          <w:rFonts w:hint="default" w:ascii="Times New Roman" w:hAnsi="Times New Roman" w:cs="Times New Roman" w:eastAsiaTheme="minorEastAsia"/>
          <w:b/>
          <w:bCs/>
          <w:color w:val="auto"/>
          <w:kern w:val="2"/>
          <w:sz w:val="24"/>
          <w:szCs w:val="24"/>
          <w:highlight w:val="none"/>
          <w:lang w:val="en-US" w:eastAsia="zh-CN" w:bidi="ar-SA"/>
        </w:rPr>
      </w:pPr>
      <w:r>
        <w:rPr>
          <w:rFonts w:hint="default" w:ascii="Times New Roman" w:hAnsi="Times New Roman" w:cs="Times New Roman" w:eastAsiaTheme="minorEastAsia"/>
          <w:b/>
          <w:bCs/>
          <w:color w:val="auto"/>
          <w:kern w:val="2"/>
          <w:sz w:val="24"/>
          <w:szCs w:val="24"/>
          <w:highlight w:val="none"/>
          <w:lang w:val="en-US" w:eastAsia="zh-CN" w:bidi="ar-SA"/>
        </w:rPr>
        <w:t>2.合同金额</w:t>
      </w:r>
      <w:bookmarkEnd w:id="527"/>
      <w:bookmarkEnd w:id="528"/>
      <w:bookmarkEnd w:id="529"/>
    </w:p>
    <w:p w14:paraId="38338F1C">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（1）合同金额小写：</w:t>
      </w:r>
      <w:r>
        <w:rPr>
          <w:rFonts w:hint="default" w:ascii="Times New Roman" w:hAnsi="Times New Roman" w:cs="Times New Roman" w:eastAsiaTheme="minorEastAsia"/>
          <w:color w:val="auto"/>
          <w:szCs w:val="21"/>
          <w:highlight w:val="none"/>
          <w:u w:val="single"/>
        </w:rPr>
        <w:t xml:space="preserve">                      </w:t>
      </w:r>
    </w:p>
    <w:p w14:paraId="4C2D578D">
      <w:pPr>
        <w:adjustRightInd w:val="0"/>
        <w:snapToGrid w:val="0"/>
        <w:spacing w:before="156" w:beforeLines="50" w:line="360" w:lineRule="auto"/>
        <w:ind w:firstLine="1890" w:firstLineChars="900"/>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大写：</w:t>
      </w:r>
      <w:r>
        <w:rPr>
          <w:rFonts w:hint="default" w:ascii="Times New Roman" w:hAnsi="Times New Roman" w:cs="Times New Roman" w:eastAsiaTheme="minorEastAsia"/>
          <w:color w:val="auto"/>
          <w:szCs w:val="21"/>
          <w:highlight w:val="none"/>
          <w:u w:val="single"/>
        </w:rPr>
        <w:t xml:space="preserve">                      </w:t>
      </w:r>
    </w:p>
    <w:p w14:paraId="786D5A75">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（2）具体标的见附件。</w:t>
      </w:r>
    </w:p>
    <w:p w14:paraId="087A9183">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（3）合同定价方式：</w:t>
      </w:r>
      <w:r>
        <w:rPr>
          <w:rFonts w:hint="default" w:ascii="Times New Roman" w:hAnsi="Times New Roman" w:cs="Times New Roman" w:eastAsiaTheme="minorEastAsia"/>
          <w:iCs/>
          <w:color w:val="auto"/>
          <w:szCs w:val="21"/>
          <w:highlight w:val="none"/>
        </w:rPr>
        <w:sym w:font="Wingdings" w:char="00A8"/>
      </w:r>
      <w:r>
        <w:rPr>
          <w:rFonts w:hint="default" w:ascii="Times New Roman" w:hAnsi="Times New Roman" w:cs="Times New Roman" w:eastAsiaTheme="minorEastAsia"/>
          <w:iCs/>
          <w:color w:val="auto"/>
          <w:szCs w:val="21"/>
          <w:highlight w:val="none"/>
        </w:rPr>
        <w:t xml:space="preserve">固定总价 </w:t>
      </w:r>
      <w:r>
        <w:rPr>
          <w:rFonts w:hint="default" w:ascii="Times New Roman" w:hAnsi="Times New Roman" w:cs="Times New Roman" w:eastAsiaTheme="minorEastAsia"/>
          <w:iCs/>
          <w:color w:val="auto"/>
          <w:szCs w:val="21"/>
          <w:highlight w:val="none"/>
        </w:rPr>
        <w:sym w:font="Wingdings" w:char="00A8"/>
      </w:r>
      <w:r>
        <w:rPr>
          <w:rFonts w:hint="default" w:ascii="Times New Roman" w:hAnsi="Times New Roman" w:cs="Times New Roman" w:eastAsiaTheme="minorEastAsia"/>
          <w:iCs/>
          <w:color w:val="auto"/>
          <w:szCs w:val="21"/>
          <w:highlight w:val="none"/>
        </w:rPr>
        <w:t xml:space="preserve">固定单价 </w:t>
      </w:r>
      <w:r>
        <w:rPr>
          <w:rFonts w:hint="default" w:ascii="Times New Roman" w:hAnsi="Times New Roman" w:cs="Times New Roman" w:eastAsiaTheme="minorEastAsia"/>
          <w:iCs/>
          <w:color w:val="auto"/>
          <w:szCs w:val="21"/>
          <w:highlight w:val="none"/>
        </w:rPr>
        <w:sym w:font="Wingdings" w:char="00A8"/>
      </w:r>
      <w:r>
        <w:rPr>
          <w:rFonts w:hint="default" w:ascii="Times New Roman" w:hAnsi="Times New Roman" w:cs="Times New Roman" w:eastAsiaTheme="minorEastAsia"/>
          <w:iCs/>
          <w:color w:val="auto"/>
          <w:szCs w:val="21"/>
          <w:highlight w:val="none"/>
        </w:rPr>
        <w:t xml:space="preserve">成本补偿 </w:t>
      </w:r>
      <w:r>
        <w:rPr>
          <w:rFonts w:hint="default" w:ascii="Times New Roman" w:hAnsi="Times New Roman" w:cs="Times New Roman" w:eastAsiaTheme="minorEastAsia"/>
          <w:iCs/>
          <w:color w:val="auto"/>
          <w:szCs w:val="21"/>
          <w:highlight w:val="none"/>
        </w:rPr>
        <w:sym w:font="Wingdings" w:char="00A8"/>
      </w:r>
      <w:r>
        <w:rPr>
          <w:rFonts w:hint="default" w:ascii="Times New Roman" w:hAnsi="Times New Roman" w:cs="Times New Roman" w:eastAsiaTheme="minorEastAsia"/>
          <w:iCs/>
          <w:color w:val="auto"/>
          <w:szCs w:val="21"/>
          <w:highlight w:val="none"/>
        </w:rPr>
        <w:t>绩效激励</w:t>
      </w:r>
    </w:p>
    <w:p w14:paraId="5D1EA2D7">
      <w:pPr>
        <w:spacing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（4）付款方式（按项目实际勾选填写）：</w:t>
      </w:r>
    </w:p>
    <w:p w14:paraId="2F345D62">
      <w:pPr>
        <w:adjustRightInd w:val="0"/>
        <w:snapToGrid w:val="0"/>
        <w:spacing w:before="156" w:beforeLines="50" w:line="360" w:lineRule="auto"/>
        <w:ind w:firstLine="630" w:firstLineChars="300"/>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sym w:font="Wingdings" w:char="00A8"/>
      </w:r>
      <w:r>
        <w:rPr>
          <w:rFonts w:hint="default" w:ascii="Times New Roman" w:hAnsi="Times New Roman" w:cs="Times New Roman" w:eastAsiaTheme="minorEastAsia"/>
          <w:color w:val="auto"/>
          <w:szCs w:val="21"/>
          <w:highlight w:val="none"/>
        </w:rPr>
        <w:t>全额付款：</w:t>
      </w:r>
      <w:r>
        <w:rPr>
          <w:rFonts w:hint="default" w:ascii="Times New Roman" w:hAnsi="Times New Roman" w:cs="Times New Roman" w:eastAsiaTheme="minorEastAsia"/>
          <w:color w:val="auto"/>
          <w:szCs w:val="21"/>
          <w:highlight w:val="none"/>
          <w:u w:val="single"/>
        </w:rPr>
        <w:t xml:space="preserve">     （应一次性支付全部合同款项）                    </w:t>
      </w:r>
    </w:p>
    <w:p w14:paraId="03D216B6">
      <w:pPr>
        <w:adjustRightInd w:val="0"/>
        <w:snapToGrid w:val="0"/>
        <w:spacing w:before="156" w:beforeLines="50" w:line="360" w:lineRule="auto"/>
        <w:ind w:firstLine="630" w:firstLineChars="300"/>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sym w:font="Wingdings" w:char="00A8"/>
      </w:r>
      <w:r>
        <w:rPr>
          <w:rFonts w:hint="default" w:ascii="Times New Roman" w:hAnsi="Times New Roman" w:cs="Times New Roman" w:eastAsiaTheme="minorEastAsia"/>
          <w:color w:val="auto"/>
          <w:szCs w:val="21"/>
          <w:highlight w:val="none"/>
        </w:rPr>
        <w:t>预付款：</w:t>
      </w:r>
      <w:r>
        <w:rPr>
          <w:rFonts w:hint="default" w:ascii="Times New Roman" w:hAnsi="Times New Roman" w:cs="Times New Roman" w:eastAsiaTheme="minorEastAsia"/>
          <w:color w:val="auto"/>
          <w:szCs w:val="21"/>
          <w:highlight w:val="none"/>
          <w:u w:val="single"/>
        </w:rPr>
        <w:t xml:space="preserve">    （应明确预付款的支付比例和支付条件）               </w:t>
      </w:r>
    </w:p>
    <w:p w14:paraId="40C96ED1">
      <w:pPr>
        <w:adjustRightInd w:val="0"/>
        <w:snapToGrid w:val="0"/>
        <w:spacing w:before="156" w:beforeLines="50" w:line="360" w:lineRule="auto"/>
        <w:ind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sym w:font="Wingdings" w:char="00A8"/>
      </w:r>
      <w:r>
        <w:rPr>
          <w:rFonts w:hint="default" w:ascii="Times New Roman" w:hAnsi="Times New Roman" w:cs="Times New Roman" w:eastAsiaTheme="minorEastAsia"/>
          <w:color w:val="auto"/>
          <w:szCs w:val="21"/>
          <w:highlight w:val="none"/>
        </w:rPr>
        <w:t>分期付款：</w:t>
      </w:r>
      <w:r>
        <w:rPr>
          <w:rFonts w:hint="default" w:ascii="Times New Roman" w:hAnsi="Times New Roman" w:cs="Times New Roman" w:eastAsiaTheme="minorEastAsia"/>
          <w:color w:val="auto"/>
          <w:szCs w:val="21"/>
          <w:highlight w:val="none"/>
          <w:u w:val="single"/>
        </w:rPr>
        <w:t xml:space="preserve">     （应按照季度分期支付合同款项）                   </w:t>
      </w:r>
    </w:p>
    <w:p w14:paraId="33EB2C22">
      <w:pPr>
        <w:adjustRightInd w:val="0"/>
        <w:snapToGrid w:val="0"/>
        <w:spacing w:before="156" w:beforeLines="50" w:line="360" w:lineRule="auto"/>
        <w:ind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sym w:font="Wingdings" w:char="00A8"/>
      </w:r>
      <w:r>
        <w:rPr>
          <w:rFonts w:hint="default" w:ascii="Times New Roman" w:hAnsi="Times New Roman" w:cs="Times New Roman" w:eastAsiaTheme="minorEastAsia"/>
          <w:color w:val="auto"/>
          <w:szCs w:val="21"/>
          <w:highlight w:val="none"/>
        </w:rPr>
        <w:t>成本补偿：</w:t>
      </w:r>
      <w:r>
        <w:rPr>
          <w:rFonts w:hint="default" w:ascii="Times New Roman" w:hAnsi="Times New Roman" w:cs="Times New Roman" w:eastAsiaTheme="minorEastAsia"/>
          <w:color w:val="auto"/>
          <w:szCs w:val="21"/>
          <w:highlight w:val="none"/>
          <w:u w:val="single"/>
        </w:rPr>
        <w:t xml:space="preserve">      （应明确按照成本补偿方式的支付方式和支付条件）   </w:t>
      </w:r>
    </w:p>
    <w:p w14:paraId="35D0C021">
      <w:pPr>
        <w:adjustRightInd w:val="0"/>
        <w:snapToGrid w:val="0"/>
        <w:spacing w:before="156" w:beforeLines="50" w:line="360" w:lineRule="auto"/>
        <w:ind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sym w:font="Wingdings" w:char="00A8"/>
      </w:r>
      <w:r>
        <w:rPr>
          <w:rFonts w:hint="default" w:ascii="Times New Roman" w:hAnsi="Times New Roman" w:cs="Times New Roman" w:eastAsiaTheme="minorEastAsia"/>
          <w:color w:val="auto"/>
          <w:szCs w:val="21"/>
          <w:highlight w:val="none"/>
        </w:rPr>
        <w:t>绩效激励：</w:t>
      </w:r>
      <w:r>
        <w:rPr>
          <w:rFonts w:hint="default" w:ascii="Times New Roman" w:hAnsi="Times New Roman" w:cs="Times New Roman" w:eastAsiaTheme="minorEastAsia"/>
          <w:color w:val="auto"/>
          <w:szCs w:val="21"/>
          <w:highlight w:val="none"/>
          <w:u w:val="single"/>
        </w:rPr>
        <w:t xml:space="preserve">      （应明确按照绩效激励方式的支付方式和支付条件）   </w:t>
      </w:r>
    </w:p>
    <w:p w14:paraId="245BDEE5">
      <w:pPr>
        <w:keepNext/>
        <w:keepLines/>
        <w:widowControl w:val="0"/>
        <w:adjustRightInd w:val="0"/>
        <w:snapToGrid w:val="0"/>
        <w:spacing w:before="50" w:after="0" w:line="360" w:lineRule="auto"/>
        <w:jc w:val="both"/>
        <w:outlineLvl w:val="2"/>
        <w:rPr>
          <w:rFonts w:hint="default" w:ascii="Times New Roman" w:hAnsi="Times New Roman" w:cs="Times New Roman" w:eastAsiaTheme="minorEastAsia"/>
          <w:b/>
          <w:bCs/>
          <w:color w:val="auto"/>
          <w:kern w:val="2"/>
          <w:sz w:val="24"/>
          <w:szCs w:val="24"/>
          <w:highlight w:val="none"/>
          <w:u w:val="single"/>
          <w:lang w:val="en-US" w:eastAsia="zh-CN" w:bidi="ar-SA"/>
        </w:rPr>
      </w:pPr>
      <w:bookmarkStart w:id="530" w:name="_Toc713"/>
      <w:bookmarkStart w:id="531" w:name="_Toc16329"/>
      <w:bookmarkStart w:id="532" w:name="_Toc214"/>
      <w:r>
        <w:rPr>
          <w:rFonts w:hint="default" w:ascii="Times New Roman" w:hAnsi="Times New Roman" w:cs="Times New Roman" w:eastAsiaTheme="minorEastAsia"/>
          <w:b/>
          <w:bCs/>
          <w:color w:val="auto"/>
          <w:kern w:val="2"/>
          <w:sz w:val="24"/>
          <w:szCs w:val="24"/>
          <w:highlight w:val="none"/>
          <w:lang w:val="en-US" w:eastAsia="zh-CN" w:bidi="ar-SA"/>
        </w:rPr>
        <w:t>3.合同</w:t>
      </w:r>
      <w:bookmarkEnd w:id="530"/>
      <w:bookmarkEnd w:id="531"/>
      <w:bookmarkEnd w:id="532"/>
      <w:r>
        <w:rPr>
          <w:rFonts w:hint="default" w:ascii="Times New Roman" w:hAnsi="Times New Roman" w:cs="Times New Roman" w:eastAsiaTheme="minorEastAsia"/>
          <w:b/>
          <w:bCs/>
          <w:color w:val="auto"/>
          <w:kern w:val="2"/>
          <w:sz w:val="24"/>
          <w:szCs w:val="24"/>
          <w:highlight w:val="none"/>
          <w:lang w:val="en-US" w:eastAsia="zh-CN" w:bidi="ar-SA"/>
        </w:rPr>
        <w:t>履行</w:t>
      </w:r>
    </w:p>
    <w:p w14:paraId="0B076929">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bookmarkStart w:id="533" w:name="_Toc13030"/>
      <w:bookmarkStart w:id="534" w:name="_Toc3513"/>
      <w:bookmarkStart w:id="535" w:name="_Toc22384"/>
      <w:r>
        <w:rPr>
          <w:rFonts w:hint="default" w:ascii="Times New Roman" w:hAnsi="Times New Roman" w:cs="Times New Roman" w:eastAsiaTheme="minorEastAsia"/>
          <w:color w:val="auto"/>
          <w:szCs w:val="21"/>
          <w:highlight w:val="none"/>
        </w:rPr>
        <w:t>（1）起始日期：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日，完成日期：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日。总日历天数：</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天。</w:t>
      </w:r>
    </w:p>
    <w:p w14:paraId="1CC1DC13">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t>（2）地点</w:t>
      </w:r>
      <w:r>
        <w:rPr>
          <w:rFonts w:hint="default" w:ascii="Times New Roman" w:hAnsi="Times New Roman" w:cs="Times New Roman" w:eastAsiaTheme="minorEastAsia"/>
          <w:b/>
          <w:color w:val="auto"/>
          <w:szCs w:val="21"/>
          <w:highlight w:val="none"/>
        </w:rPr>
        <w:t>：</w:t>
      </w:r>
      <w:r>
        <w:rPr>
          <w:rFonts w:hint="default" w:ascii="Times New Roman" w:hAnsi="Times New Roman" w:cs="Times New Roman" w:eastAsiaTheme="minorEastAsia"/>
          <w:color w:val="auto"/>
          <w:szCs w:val="21"/>
          <w:highlight w:val="none"/>
          <w:u w:val="single"/>
        </w:rPr>
        <w:t xml:space="preserve">                             </w:t>
      </w:r>
    </w:p>
    <w:p w14:paraId="42080A8F">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t>（3）方式：</w:t>
      </w:r>
      <w:r>
        <w:rPr>
          <w:rFonts w:hint="default" w:ascii="Times New Roman" w:hAnsi="Times New Roman" w:cs="Times New Roman" w:eastAsiaTheme="minorEastAsia"/>
          <w:color w:val="auto"/>
          <w:szCs w:val="21"/>
          <w:highlight w:val="none"/>
          <w:u w:val="single"/>
        </w:rPr>
        <w:t xml:space="preserve">                             </w:t>
      </w:r>
    </w:p>
    <w:p w14:paraId="310E51F3">
      <w:pPr>
        <w:adjustRightInd w:val="0"/>
        <w:snapToGrid w:val="0"/>
        <w:spacing w:before="156" w:beforeLines="50" w:line="360" w:lineRule="auto"/>
        <w:ind w:firstLine="420" w:firstLineChars="2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bCs/>
          <w:color w:val="auto"/>
          <w:szCs w:val="21"/>
          <w:highlight w:val="none"/>
        </w:rPr>
        <w:t>（4）履约担保：</w:t>
      </w:r>
      <w:r>
        <w:rPr>
          <w:rFonts w:hint="default" w:ascii="Times New Roman" w:hAnsi="Times New Roman" w:cs="Times New Roman" w:eastAsiaTheme="minorEastAsia"/>
          <w:bCs/>
          <w:color w:val="auto"/>
          <w:szCs w:val="21"/>
          <w:highlight w:val="none"/>
          <w:u w:val="single"/>
        </w:rPr>
        <w:t>履约担保的金额、形式和期限要求</w:t>
      </w:r>
      <w:r>
        <w:rPr>
          <w:rFonts w:hint="default" w:ascii="Times New Roman" w:hAnsi="Times New Roman" w:cs="Times New Roman" w:eastAsiaTheme="minorEastAsia"/>
          <w:bCs/>
          <w:color w:val="auto"/>
          <w:szCs w:val="21"/>
          <w:highlight w:val="none"/>
        </w:rPr>
        <w:t>。</w:t>
      </w:r>
    </w:p>
    <w:p w14:paraId="4621B631">
      <w:pPr>
        <w:adjustRightInd w:val="0"/>
        <w:snapToGrid w:val="0"/>
        <w:spacing w:before="156" w:beforeLines="50" w:line="360" w:lineRule="auto"/>
        <w:ind w:firstLine="420" w:firstLineChars="2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bCs/>
          <w:color w:val="auto"/>
          <w:szCs w:val="21"/>
          <w:highlight w:val="none"/>
        </w:rPr>
        <w:t>（5）质量保证金：</w:t>
      </w:r>
      <w:r>
        <w:rPr>
          <w:rFonts w:hint="default" w:ascii="Times New Roman" w:hAnsi="Times New Roman" w:cs="Times New Roman" w:eastAsiaTheme="minorEastAsia"/>
          <w:bCs/>
          <w:color w:val="auto"/>
          <w:szCs w:val="21"/>
          <w:highlight w:val="none"/>
          <w:u w:val="single"/>
        </w:rPr>
        <w:t>质量保证金的金额、形式和期限要求</w:t>
      </w:r>
      <w:r>
        <w:rPr>
          <w:rFonts w:hint="default" w:ascii="Times New Roman" w:hAnsi="Times New Roman" w:cs="Times New Roman" w:eastAsiaTheme="minorEastAsia"/>
          <w:bCs/>
          <w:color w:val="auto"/>
          <w:szCs w:val="21"/>
          <w:highlight w:val="none"/>
        </w:rPr>
        <w:t>。</w:t>
      </w:r>
    </w:p>
    <w:bookmarkEnd w:id="533"/>
    <w:bookmarkEnd w:id="534"/>
    <w:bookmarkEnd w:id="535"/>
    <w:p w14:paraId="6A11E243">
      <w:pPr>
        <w:keepNext/>
        <w:keepLines/>
        <w:widowControl w:val="0"/>
        <w:adjustRightInd w:val="0"/>
        <w:snapToGrid w:val="0"/>
        <w:spacing w:before="50" w:beforeLines="50" w:after="260" w:line="360" w:lineRule="auto"/>
        <w:ind w:firstLine="482" w:firstLineChars="200"/>
        <w:jc w:val="both"/>
        <w:outlineLvl w:val="2"/>
        <w:rPr>
          <w:rFonts w:hint="default" w:ascii="Times New Roman" w:hAnsi="Times New Roman" w:cs="Times New Roman" w:eastAsiaTheme="minorEastAsia"/>
          <w:b/>
          <w:bCs/>
          <w:color w:val="auto"/>
          <w:kern w:val="2"/>
          <w:sz w:val="24"/>
          <w:szCs w:val="24"/>
          <w:highlight w:val="none"/>
          <w:lang w:val="en-US" w:eastAsia="zh-CN" w:bidi="ar-SA"/>
        </w:rPr>
      </w:pPr>
      <w:bookmarkStart w:id="536" w:name="_Toc19506"/>
      <w:bookmarkStart w:id="537" w:name="_Toc19527"/>
      <w:bookmarkStart w:id="538" w:name="_Toc6341"/>
      <w:r>
        <w:rPr>
          <w:rFonts w:hint="default" w:ascii="Times New Roman" w:hAnsi="Times New Roman" w:cs="Times New Roman" w:eastAsiaTheme="minorEastAsia"/>
          <w:b/>
          <w:bCs/>
          <w:color w:val="auto"/>
          <w:kern w:val="2"/>
          <w:sz w:val="24"/>
          <w:szCs w:val="24"/>
          <w:highlight w:val="none"/>
          <w:lang w:val="en-US" w:eastAsia="zh-CN" w:bidi="ar-SA"/>
        </w:rPr>
        <w:t>4.合同验收</w:t>
      </w:r>
    </w:p>
    <w:p w14:paraId="71C8B55E">
      <w:pPr>
        <w:adjustRightInd w:val="0"/>
        <w:snapToGrid w:val="0"/>
        <w:spacing w:before="156" w:beforeLines="50" w:line="360" w:lineRule="auto"/>
        <w:ind w:firstLine="420" w:firstLineChars="2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bCs/>
          <w:color w:val="auto"/>
          <w:szCs w:val="21"/>
          <w:highlight w:val="none"/>
        </w:rPr>
        <w:t>（1）验收主体：</w:t>
      </w:r>
      <w:r>
        <w:rPr>
          <w:rFonts w:hint="default" w:ascii="Times New Roman" w:hAnsi="Times New Roman" w:cs="Times New Roman" w:eastAsiaTheme="minorEastAsia"/>
          <w:bCs/>
          <w:color w:val="auto"/>
          <w:szCs w:val="21"/>
          <w:highlight w:val="none"/>
          <w:u w:val="single"/>
        </w:rPr>
        <w:t xml:space="preserve">                             </w:t>
      </w:r>
      <w:r>
        <w:rPr>
          <w:rFonts w:hint="default" w:ascii="Times New Roman" w:hAnsi="Times New Roman" w:cs="Times New Roman" w:eastAsiaTheme="minorEastAsia"/>
          <w:bCs/>
          <w:color w:val="auto"/>
          <w:szCs w:val="21"/>
          <w:highlight w:val="none"/>
        </w:rPr>
        <w:t>。</w:t>
      </w:r>
    </w:p>
    <w:p w14:paraId="164A0030">
      <w:pPr>
        <w:adjustRightInd w:val="0"/>
        <w:snapToGrid w:val="0"/>
        <w:spacing w:before="156" w:beforeLines="50" w:line="360" w:lineRule="auto"/>
        <w:ind w:firstLine="420" w:firstLineChars="2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bCs/>
          <w:color w:val="auto"/>
          <w:szCs w:val="21"/>
          <w:highlight w:val="none"/>
        </w:rPr>
        <w:t>（2）验收方式：</w:t>
      </w:r>
      <w:r>
        <w:rPr>
          <w:rFonts w:hint="default" w:ascii="Times New Roman" w:hAnsi="Times New Roman" w:cs="Times New Roman" w:eastAsiaTheme="minorEastAsia"/>
          <w:bCs/>
          <w:color w:val="auto"/>
          <w:szCs w:val="21"/>
          <w:highlight w:val="none"/>
          <w:u w:val="single"/>
        </w:rPr>
        <w:t xml:space="preserve">                             </w:t>
      </w:r>
      <w:r>
        <w:rPr>
          <w:rFonts w:hint="default" w:ascii="Times New Roman" w:hAnsi="Times New Roman" w:cs="Times New Roman" w:eastAsiaTheme="minorEastAsia"/>
          <w:bCs/>
          <w:color w:val="auto"/>
          <w:szCs w:val="21"/>
          <w:highlight w:val="none"/>
        </w:rPr>
        <w:t>。</w:t>
      </w:r>
    </w:p>
    <w:p w14:paraId="7DDEE05A">
      <w:pPr>
        <w:adjustRightInd w:val="0"/>
        <w:snapToGrid w:val="0"/>
        <w:spacing w:before="156" w:beforeLines="50" w:line="360" w:lineRule="auto"/>
        <w:ind w:firstLine="420" w:firstLineChars="2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bCs/>
          <w:color w:val="auto"/>
          <w:szCs w:val="21"/>
          <w:highlight w:val="none"/>
        </w:rPr>
        <w:t>（3）验收标准：</w:t>
      </w:r>
      <w:r>
        <w:rPr>
          <w:rFonts w:hint="default" w:ascii="Times New Roman" w:hAnsi="Times New Roman" w:cs="Times New Roman" w:eastAsiaTheme="minorEastAsia"/>
          <w:bCs/>
          <w:color w:val="auto"/>
          <w:szCs w:val="21"/>
          <w:highlight w:val="none"/>
          <w:u w:val="single"/>
        </w:rPr>
        <w:t xml:space="preserve">                             </w:t>
      </w:r>
      <w:r>
        <w:rPr>
          <w:rFonts w:hint="default" w:ascii="Times New Roman" w:hAnsi="Times New Roman" w:cs="Times New Roman" w:eastAsiaTheme="minorEastAsia"/>
          <w:bCs/>
          <w:color w:val="auto"/>
          <w:szCs w:val="21"/>
          <w:highlight w:val="none"/>
        </w:rPr>
        <w:t>。</w:t>
      </w:r>
    </w:p>
    <w:bookmarkEnd w:id="536"/>
    <w:bookmarkEnd w:id="537"/>
    <w:bookmarkEnd w:id="538"/>
    <w:p w14:paraId="59073E38">
      <w:pPr>
        <w:adjustRightInd w:val="0"/>
        <w:snapToGrid w:val="0"/>
        <w:spacing w:before="156" w:beforeLines="50" w:line="360" w:lineRule="auto"/>
        <w:ind w:firstLine="422" w:firstLineChars="200"/>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5.组成合同的文件</w:t>
      </w:r>
    </w:p>
    <w:p w14:paraId="1624BCD8">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本协议书与下列文件一起构成合同文件，如下述文件之间有任何抵触、矛盾或歧义，应按以下顺序解释：</w:t>
      </w:r>
    </w:p>
    <w:p w14:paraId="74642582">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（1）在采购或合同履行过程中乙方作出的承诺以及双方协商达成的变更或补充协议</w:t>
      </w:r>
    </w:p>
    <w:p w14:paraId="2F451F6E">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（2）本合同协议书</w:t>
      </w:r>
    </w:p>
    <w:p w14:paraId="5BAC805C">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（3）成交通知书</w:t>
      </w:r>
    </w:p>
    <w:p w14:paraId="603995C3">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（4）响应文件</w:t>
      </w:r>
    </w:p>
    <w:p w14:paraId="4380A96D">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（5）政府采购合同专用条款</w:t>
      </w:r>
    </w:p>
    <w:p w14:paraId="30376D53">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（6）政府采购合同通用条款</w:t>
      </w:r>
    </w:p>
    <w:p w14:paraId="3B24AB1C">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（7）标准、规范及有关技术文件，图纸。</w:t>
      </w:r>
    </w:p>
    <w:p w14:paraId="6A3853D7">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（8）其他合同文件。</w:t>
      </w:r>
    </w:p>
    <w:p w14:paraId="610427F6">
      <w:pPr>
        <w:adjustRightInd w:val="0"/>
        <w:snapToGrid w:val="0"/>
        <w:spacing w:before="156" w:beforeLines="50" w:line="360" w:lineRule="auto"/>
        <w:ind w:firstLine="310" w:firstLineChars="147"/>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6.合同生效</w:t>
      </w:r>
    </w:p>
    <w:p w14:paraId="78E7751D">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本合同自</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生效。</w:t>
      </w:r>
    </w:p>
    <w:p w14:paraId="19DEEA90">
      <w:pPr>
        <w:adjustRightInd w:val="0"/>
        <w:snapToGrid w:val="0"/>
        <w:spacing w:before="156" w:beforeLines="50" w:line="360" w:lineRule="auto"/>
        <w:ind w:firstLine="310" w:firstLineChars="147"/>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7.合同份数</w:t>
      </w:r>
    </w:p>
    <w:p w14:paraId="2CF6CB71">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本合同一式</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份，采购人执</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份，供应商执</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份，均具有同等法律效力。</w:t>
      </w:r>
    </w:p>
    <w:p w14:paraId="456D865E">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p>
    <w:p w14:paraId="293412A4">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合同订立时间：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7715116D">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合同订立地点：</w:t>
      </w:r>
      <w:r>
        <w:rPr>
          <w:rFonts w:hint="default" w:ascii="Times New Roman" w:hAnsi="Times New Roman" w:cs="Times New Roman" w:eastAsiaTheme="minorEastAsia"/>
          <w:color w:val="auto"/>
          <w:szCs w:val="21"/>
          <w:highlight w:val="none"/>
          <w:u w:val="single"/>
        </w:rPr>
        <w:t xml:space="preserve">                           </w:t>
      </w:r>
    </w:p>
    <w:p w14:paraId="76C2AE6A">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附件：</w:t>
      </w:r>
      <w:r>
        <w:rPr>
          <w:rFonts w:hint="default" w:ascii="Times New Roman" w:hAnsi="Times New Roman" w:cs="Times New Roman" w:eastAsiaTheme="minorEastAsia"/>
          <w:color w:val="auto"/>
          <w:szCs w:val="21"/>
          <w:highlight w:val="none"/>
          <w:lang w:val="en-US" w:eastAsia="zh-CN"/>
        </w:rPr>
        <w:t>具体标的明细、分包合同等。</w:t>
      </w:r>
      <w:r>
        <w:rPr>
          <w:rFonts w:hint="default" w:ascii="Times New Roman" w:hAnsi="Times New Roman" w:cs="Times New Roman" w:eastAsiaTheme="minorEastAsia"/>
          <w:color w:val="auto"/>
          <w:szCs w:val="21"/>
          <w:highlight w:val="none"/>
        </w:rPr>
        <w:t xml:space="preserve"> </w:t>
      </w:r>
    </w:p>
    <w:p w14:paraId="1BE4F5CF">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 xml:space="preserve"> </w:t>
      </w:r>
      <w:r>
        <w:rPr>
          <w:rFonts w:hint="default" w:ascii="Times New Roman" w:hAnsi="Times New Roman" w:cs="Times New Roman" w:eastAsiaTheme="minorEastAsia"/>
          <w:color w:val="auto"/>
          <w:szCs w:val="21"/>
          <w:highlight w:val="none"/>
        </w:rPr>
        <w:t xml:space="preserve">    </w:t>
      </w:r>
    </w:p>
    <w:p w14:paraId="02D711F5">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甲      方：（公章）                     乙      方：（公章）</w:t>
      </w:r>
    </w:p>
    <w:p w14:paraId="2D6F5F1C">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法定代表人：</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法定代表人：</w:t>
      </w:r>
      <w:r>
        <w:rPr>
          <w:rFonts w:hint="default" w:ascii="Times New Roman" w:hAnsi="Times New Roman" w:cs="Times New Roman" w:eastAsiaTheme="minorEastAsia"/>
          <w:color w:val="auto"/>
          <w:szCs w:val="21"/>
          <w:highlight w:val="none"/>
          <w:u w:val="single"/>
        </w:rPr>
        <w:t xml:space="preserve">                   </w:t>
      </w:r>
    </w:p>
    <w:p w14:paraId="671DD8B2">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委托代理人：</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委托代理人：</w:t>
      </w:r>
      <w:r>
        <w:rPr>
          <w:rFonts w:hint="default" w:ascii="Times New Roman" w:hAnsi="Times New Roman" w:cs="Times New Roman" w:eastAsiaTheme="minorEastAsia"/>
          <w:color w:val="auto"/>
          <w:szCs w:val="21"/>
          <w:highlight w:val="none"/>
          <w:u w:val="single"/>
        </w:rPr>
        <w:t xml:space="preserve">                   </w:t>
      </w:r>
    </w:p>
    <w:p w14:paraId="053B1ABF">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电      话：</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电      话：</w:t>
      </w:r>
      <w:r>
        <w:rPr>
          <w:rFonts w:hint="default" w:ascii="Times New Roman" w:hAnsi="Times New Roman" w:cs="Times New Roman" w:eastAsiaTheme="minorEastAsia"/>
          <w:color w:val="auto"/>
          <w:szCs w:val="21"/>
          <w:highlight w:val="none"/>
          <w:u w:val="single"/>
        </w:rPr>
        <w:t xml:space="preserve">                   </w:t>
      </w:r>
    </w:p>
    <w:p w14:paraId="41EDE9AB">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传      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传      真：</w:t>
      </w:r>
      <w:r>
        <w:rPr>
          <w:rFonts w:hint="default" w:ascii="Times New Roman" w:hAnsi="Times New Roman" w:cs="Times New Roman" w:eastAsiaTheme="minorEastAsia"/>
          <w:color w:val="auto"/>
          <w:szCs w:val="21"/>
          <w:highlight w:val="none"/>
          <w:u w:val="single"/>
        </w:rPr>
        <w:t xml:space="preserve">                   </w:t>
      </w:r>
    </w:p>
    <w:p w14:paraId="245FCF8D">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 xml:space="preserve">                                    开 户 银 行：</w:t>
      </w:r>
      <w:r>
        <w:rPr>
          <w:rFonts w:hint="default" w:ascii="Times New Roman" w:hAnsi="Times New Roman" w:cs="Times New Roman" w:eastAsiaTheme="minorEastAsia"/>
          <w:color w:val="auto"/>
          <w:szCs w:val="21"/>
          <w:highlight w:val="none"/>
          <w:u w:val="single"/>
        </w:rPr>
        <w:t xml:space="preserve">                   </w:t>
      </w:r>
    </w:p>
    <w:p w14:paraId="736A198D">
      <w:pPr>
        <w:adjustRightInd w:val="0"/>
        <w:snapToGrid w:val="0"/>
        <w:spacing w:before="156" w:beforeLines="50" w:line="360" w:lineRule="auto"/>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 xml:space="preserve">         帐       号：</w:t>
      </w:r>
      <w:r>
        <w:rPr>
          <w:rFonts w:hint="default" w:ascii="Times New Roman" w:hAnsi="Times New Roman" w:cs="Times New Roman" w:eastAsiaTheme="minorEastAsia"/>
          <w:color w:val="auto"/>
          <w:szCs w:val="21"/>
          <w:highlight w:val="none"/>
          <w:u w:val="single"/>
        </w:rPr>
        <w:t xml:space="preserve">                 </w:t>
      </w:r>
    </w:p>
    <w:p w14:paraId="64D1E734">
      <w:pPr>
        <w:adjustRightInd w:val="0"/>
        <w:spacing w:before="156" w:beforeLines="50"/>
        <w:jc w:val="left"/>
        <w:rPr>
          <w:rFonts w:hint="default" w:ascii="Times New Roman" w:hAnsi="Times New Roman" w:cs="Times New Roman" w:eastAsiaTheme="minorEastAsia"/>
          <w:b w:val="0"/>
          <w:bCs w:val="0"/>
          <w:color w:val="auto"/>
          <w:kern w:val="2"/>
          <w:sz w:val="21"/>
          <w:szCs w:val="21"/>
          <w:highlight w:val="none"/>
          <w:lang w:val="en-US" w:eastAsia="zh-CN"/>
        </w:rPr>
      </w:pPr>
      <w:r>
        <w:rPr>
          <w:rFonts w:hint="default" w:ascii="Times New Roman" w:hAnsi="Times New Roman" w:cs="Times New Roman" w:eastAsiaTheme="minorEastAsia"/>
          <w:color w:val="auto"/>
          <w:sz w:val="21"/>
          <w:szCs w:val="21"/>
          <w:highlight w:val="none"/>
          <w:u w:val="single"/>
        </w:rPr>
        <w:br w:type="page"/>
      </w:r>
    </w:p>
    <w:p w14:paraId="6E777A27">
      <w:pPr>
        <w:keepNext/>
        <w:keepLines/>
        <w:widowControl w:val="0"/>
        <w:adjustRightInd w:val="0"/>
        <w:snapToGrid w:val="0"/>
        <w:spacing w:before="156" w:beforeLines="50" w:line="360" w:lineRule="auto"/>
        <w:ind w:left="420" w:leftChars="200"/>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bookmarkStart w:id="539" w:name="_Toc20358"/>
      <w:bookmarkStart w:id="540" w:name="_Toc25072"/>
      <w:bookmarkStart w:id="541" w:name="_Toc8900"/>
      <w:bookmarkStart w:id="542" w:name="_Toc18210"/>
      <w:bookmarkStart w:id="543" w:name="_Toc6267"/>
      <w:bookmarkStart w:id="544" w:name="_Toc22274"/>
      <w:bookmarkStart w:id="545" w:name="_Toc16089"/>
      <w:bookmarkStart w:id="546" w:name="_Toc12866"/>
      <w:bookmarkStart w:id="547" w:name="_Toc11082"/>
      <w:bookmarkStart w:id="548" w:name="_Toc29740"/>
      <w:bookmarkStart w:id="549" w:name="_Toc2600"/>
      <w:bookmarkStart w:id="550" w:name="_Toc15169"/>
      <w:bookmarkStart w:id="551" w:name="_Toc1879"/>
      <w:bookmarkStart w:id="552" w:name="_Toc2941"/>
      <w:bookmarkStart w:id="553" w:name="_Toc19910"/>
      <w:bookmarkStart w:id="554" w:name="_Toc29964"/>
      <w:bookmarkStart w:id="555" w:name="_Toc27162"/>
      <w:bookmarkStart w:id="556" w:name="_Toc12584"/>
      <w:bookmarkStart w:id="557" w:name="_Toc17201"/>
      <w:bookmarkStart w:id="558" w:name="_Toc31894"/>
      <w:bookmarkStart w:id="559" w:name="_Toc10615"/>
      <w:bookmarkStart w:id="560" w:name="_Toc8857"/>
      <w:bookmarkStart w:id="561" w:name="_Toc13935"/>
      <w:r>
        <w:rPr>
          <w:rFonts w:hint="default" w:ascii="Times New Roman" w:hAnsi="Times New Roman" w:cs="Times New Roman" w:eastAsiaTheme="minorEastAsia"/>
          <w:b/>
          <w:bCs/>
          <w:color w:val="auto"/>
          <w:kern w:val="2"/>
          <w:sz w:val="28"/>
          <w:szCs w:val="28"/>
          <w:highlight w:val="none"/>
          <w:lang w:val="en-US" w:eastAsia="zh-CN" w:bidi="ar-SA"/>
        </w:rPr>
        <w:t>第二节 政府采购合同</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2BAD1239">
      <w:pPr>
        <w:tabs>
          <w:tab w:val="left" w:pos="8820"/>
          <w:tab w:val="left" w:pos="9345"/>
          <w:tab w:val="left" w:pos="9765"/>
        </w:tabs>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color w:val="auto"/>
          <w:sz w:val="21"/>
          <w:szCs w:val="21"/>
          <w:highlight w:val="none"/>
        </w:rPr>
        <w:t>1.</w:t>
      </w:r>
      <w:r>
        <w:rPr>
          <w:rFonts w:hint="default" w:ascii="Times New Roman" w:hAnsi="Times New Roman" w:cs="Times New Roman" w:eastAsiaTheme="minorEastAsia"/>
          <w:b/>
          <w:bCs/>
          <w:color w:val="auto"/>
          <w:sz w:val="21"/>
          <w:szCs w:val="21"/>
          <w:highlight w:val="none"/>
        </w:rPr>
        <w:t>定义</w:t>
      </w:r>
    </w:p>
    <w:p w14:paraId="1859FE75">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1.1合同当事人</w:t>
      </w:r>
    </w:p>
    <w:p w14:paraId="766BCFB7">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（1）采购人（以下称甲方）是指使用财政性资金，通过政府采购程序向供应商购买货物、服务的国家机关、事业单位、团体组织。本次采购的甲方名称、地址见</w:t>
      </w:r>
      <w:r>
        <w:rPr>
          <w:rFonts w:hint="default" w:ascii="Times New Roman" w:hAnsi="Times New Roman" w:cs="Times New Roman" w:eastAsiaTheme="minorEastAsia"/>
          <w:b/>
          <w:color w:val="auto"/>
          <w:sz w:val="21"/>
          <w:szCs w:val="21"/>
          <w:highlight w:val="none"/>
        </w:rPr>
        <w:t>【政府采购合同专用条款】。</w:t>
      </w:r>
    </w:p>
    <w:p w14:paraId="466A15E2">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color w:val="auto"/>
          <w:sz w:val="21"/>
          <w:szCs w:val="21"/>
          <w:highlight w:val="none"/>
        </w:rPr>
        <w:t>（2）供应商（以下称乙方）是指参加政府采购活动而取得中标结果，并向采购人提供货物、服务的法人、其他组织或者自然人。</w:t>
      </w:r>
    </w:p>
    <w:p w14:paraId="2B6B5855">
      <w:pPr>
        <w:tabs>
          <w:tab w:val="left" w:pos="570"/>
          <w:tab w:val="left" w:pos="924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1.2本合同下列术语应解释为：</w:t>
      </w:r>
    </w:p>
    <w:p w14:paraId="75B397A7">
      <w:pPr>
        <w:tabs>
          <w:tab w:val="left" w:pos="570"/>
          <w:tab w:val="left" w:pos="924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（1）“合同”系指甲乙双方签署的、政府采购合同协议书中载明的甲乙双方所达成的协议，包括所有的附件、附录和上述文件所提到的构成合同的所有文件。</w:t>
      </w:r>
    </w:p>
    <w:p w14:paraId="5B4FFF57">
      <w:pPr>
        <w:tabs>
          <w:tab w:val="left" w:pos="570"/>
          <w:tab w:val="left" w:pos="924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（2）“合同价”系指根据本合同规定乙方在正确地完全履行合同义务后甲方应支付给乙方的价款。</w:t>
      </w:r>
    </w:p>
    <w:p w14:paraId="4A08A190">
      <w:pPr>
        <w:tabs>
          <w:tab w:val="left" w:pos="570"/>
          <w:tab w:val="left" w:pos="924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（3）“货物”系指乙方根据本合同规定须向甲方提供的各种形态和种类的物品，包括原材料、设备、产品（包括软件）及相关的其备品备件、工具、手册及其它技术资料和材料。</w:t>
      </w:r>
    </w:p>
    <w:p w14:paraId="31D2E4E8">
      <w:pPr>
        <w:tabs>
          <w:tab w:val="left" w:pos="570"/>
          <w:tab w:val="left" w:pos="888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433ACCD">
      <w:pPr>
        <w:tabs>
          <w:tab w:val="left" w:pos="570"/>
          <w:tab w:val="left" w:pos="924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（5）“合同条款”系指本合同条款。</w:t>
      </w:r>
    </w:p>
    <w:p w14:paraId="38C52E2B">
      <w:pPr>
        <w:tabs>
          <w:tab w:val="left" w:pos="570"/>
          <w:tab w:val="left" w:pos="9240"/>
          <w:tab w:val="left" w:pos="9555"/>
        </w:tabs>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（6）“项目现场”系指本合同项下货物安装、运行的现场，其名称见</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w:t>
      </w:r>
    </w:p>
    <w:p w14:paraId="79E1188D">
      <w:pPr>
        <w:autoSpaceDE w:val="0"/>
        <w:autoSpaceDN w:val="0"/>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2.合同的适用范围</w:t>
      </w:r>
    </w:p>
    <w:p w14:paraId="77BFA8D5">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2.1 本合同条款适用于没有被本合同其他部分的条款所取代的范围。</w:t>
      </w:r>
    </w:p>
    <w:p w14:paraId="3A7B9E13">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2.2 合同内容根据招标文件、投标文件而确定。</w:t>
      </w:r>
    </w:p>
    <w:p w14:paraId="6363A891">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3.</w:t>
      </w:r>
      <w:r>
        <w:rPr>
          <w:rFonts w:hint="default" w:ascii="Times New Roman" w:hAnsi="Times New Roman" w:cs="Times New Roman" w:eastAsiaTheme="minorEastAsia"/>
          <w:b/>
          <w:color w:val="auto"/>
          <w:sz w:val="21"/>
          <w:szCs w:val="21"/>
          <w:highlight w:val="none"/>
        </w:rPr>
        <w:t>合同标的及金额</w:t>
      </w:r>
    </w:p>
    <w:p w14:paraId="4BE7A1F7">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3.1 合同标的及金额应与中标结果一致。</w:t>
      </w:r>
    </w:p>
    <w:p w14:paraId="37509376">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4.</w:t>
      </w:r>
      <w:r>
        <w:rPr>
          <w:rFonts w:hint="default" w:ascii="Times New Roman" w:hAnsi="Times New Roman" w:cs="Times New Roman" w:eastAsiaTheme="minorEastAsia"/>
          <w:b/>
          <w:color w:val="auto"/>
          <w:sz w:val="21"/>
          <w:szCs w:val="21"/>
          <w:highlight w:val="none"/>
        </w:rPr>
        <w:t>合同价款</w:t>
      </w:r>
    </w:p>
    <w:p w14:paraId="395BEB34">
      <w:pPr>
        <w:adjustRightInd w:val="0"/>
        <w:snapToGrid w:val="0"/>
        <w:spacing w:before="50" w:line="360" w:lineRule="auto"/>
        <w:ind w:firstLine="420" w:firstLineChars="200"/>
        <w:jc w:val="left"/>
        <w:rPr>
          <w:rFonts w:hint="default" w:ascii="Times New Roman" w:hAnsi="Times New Roman" w:cs="Times New Roman" w:eastAsiaTheme="minorEastAsia"/>
          <w:b/>
          <w:bCs/>
          <w:i/>
          <w:iCs/>
          <w:color w:val="auto"/>
          <w:sz w:val="21"/>
          <w:szCs w:val="21"/>
          <w:highlight w:val="none"/>
        </w:rPr>
      </w:pPr>
      <w:r>
        <w:rPr>
          <w:rFonts w:hint="default" w:ascii="Times New Roman" w:hAnsi="Times New Roman" w:cs="Times New Roman" w:eastAsiaTheme="minorEastAsia"/>
          <w:color w:val="auto"/>
          <w:sz w:val="21"/>
          <w:szCs w:val="21"/>
          <w:highlight w:val="none"/>
        </w:rPr>
        <w:t>4.1具体合同价款见本合同第3.1条。乙方为履行本合同而发生的所有费用均应包含在合同价款中，甲方不再另行支付其它任何费用。</w:t>
      </w:r>
    </w:p>
    <w:p w14:paraId="31E8FE9C">
      <w:pPr>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5.履行合同的时间、地点和方式</w:t>
      </w:r>
    </w:p>
    <w:p w14:paraId="1CF4687E">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5.1 乙方应当在甲方确定的时间、指定的地点履行合同，具体的交货时间、地点和方式见</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w:t>
      </w:r>
    </w:p>
    <w:p w14:paraId="0620B6D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5.2 乙方提供服务的应当在甲方指定的地点完成服务项目。</w:t>
      </w:r>
    </w:p>
    <w:p w14:paraId="5239F7B5">
      <w:pPr>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6.</w:t>
      </w:r>
      <w:r>
        <w:rPr>
          <w:rFonts w:hint="default" w:ascii="Times New Roman" w:hAnsi="Times New Roman" w:cs="Times New Roman" w:eastAsiaTheme="minorEastAsia"/>
          <w:b/>
          <w:color w:val="auto"/>
          <w:sz w:val="21"/>
          <w:szCs w:val="21"/>
          <w:highlight w:val="none"/>
        </w:rPr>
        <w:t>货物的验收</w:t>
      </w:r>
    </w:p>
    <w:p w14:paraId="401B9EC8">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6.1 甲方在收到乙方交付的货物后应当及时组织验收。</w:t>
      </w:r>
    </w:p>
    <w:p w14:paraId="41F3B3F0">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6.2 货物的表面瑕疵，甲方应在验收时当面提出；对质量问题有异议的应在安装调试后十个工作日内提出。</w:t>
      </w:r>
    </w:p>
    <w:p w14:paraId="786A9CB2">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6.3 在验收过程中发现数量不足或有质量、技术等问题，乙方应负责按照甲方的要求采取补足、更换或退货等处理措施，并承担由此发生的一切费用和损失。</w:t>
      </w:r>
    </w:p>
    <w:p w14:paraId="2CCE4416">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6.4 甲方在乙方按合同规定交货或安装、调试后，无正当理由而拖延接收、验收或拒绝接收、验收的，应承担因此给乙方造成的直接损失。</w:t>
      </w:r>
    </w:p>
    <w:p w14:paraId="294A255C">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6.5 甲方对货物进行检查验收合格后，应当收取发票并在《交货验收单》上签署验收意见及加盖单位印章。</w:t>
      </w:r>
    </w:p>
    <w:p w14:paraId="2431E13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6.6 大型或者复杂的货物采购项目，甲方可以邀请国家认可的质量检测机构参加验收工作，并由其出具验收报告单。</w:t>
      </w:r>
    </w:p>
    <w:p w14:paraId="48C49E1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6.7 乙方提供的进口产品，乙方应出示中华人民共和国进出口商品检验部门出具的检验证书（招标文件第</w:t>
      </w:r>
      <w:r>
        <w:rPr>
          <w:rFonts w:hint="default" w:ascii="Times New Roman" w:hAnsi="Times New Roman" w:cs="Times New Roman" w:eastAsiaTheme="minorEastAsia"/>
          <w:color w:val="auto"/>
          <w:sz w:val="21"/>
          <w:szCs w:val="21"/>
          <w:highlight w:val="none"/>
          <w:lang w:eastAsia="zh-CN"/>
        </w:rPr>
        <w:t>三</w:t>
      </w:r>
      <w:r>
        <w:rPr>
          <w:rFonts w:hint="default" w:ascii="Times New Roman" w:hAnsi="Times New Roman" w:cs="Times New Roman" w:eastAsiaTheme="minorEastAsia"/>
          <w:color w:val="auto"/>
          <w:sz w:val="21"/>
          <w:szCs w:val="21"/>
          <w:highlight w:val="none"/>
        </w:rPr>
        <w:t>章采购需求另有约定的除外）。</w:t>
      </w:r>
    </w:p>
    <w:p w14:paraId="655D5B18">
      <w:pPr>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7.货物包装要求</w:t>
      </w:r>
    </w:p>
    <w:p w14:paraId="435242DD">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30B5E7B8">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7.2 每一个包装箱内应附一份详细装箱单、质量证书和保修保养证书。</w:t>
      </w:r>
    </w:p>
    <w:p w14:paraId="1ABDAD1E">
      <w:pPr>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8.运输和保险</w:t>
      </w:r>
    </w:p>
    <w:p w14:paraId="29FBB446">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8.1乙方负责办理将货物运抵本合同第5.1条规定的交货地点的一切运输事项，相关费用应包括在合同总价中。</w:t>
      </w:r>
    </w:p>
    <w:p w14:paraId="4C876493">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8.2乙方应向保险公司投保以甲方为受益人的发运合同货物发票金额的110％运输一切险。</w:t>
      </w:r>
    </w:p>
    <w:p w14:paraId="1D9DBAAF">
      <w:pPr>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9.质量标准和保证</w:t>
      </w:r>
    </w:p>
    <w:p w14:paraId="4691C917">
      <w:pPr>
        <w:widowControl w:val="0"/>
        <w:adjustRightInd w:val="0"/>
        <w:snapToGrid w:val="0"/>
        <w:spacing w:before="50" w:line="360" w:lineRule="auto"/>
        <w:ind w:firstLine="420" w:firstLineChars="200"/>
        <w:jc w:val="left"/>
        <w:rPr>
          <w:rFonts w:hint="default" w:ascii="Times New Roman" w:hAnsi="Times New Roman" w:cs="Times New Roman" w:eastAsiaTheme="minorEastAsia"/>
          <w:b/>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9.1 质量标准</w:t>
      </w:r>
    </w:p>
    <w:p w14:paraId="24E1187D">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（1）本合同下交付的货物应符合招标文件第四章“技术规格、参数与要求”所述的标准。如果没有提及适用标准，则应符合中华人民共和国有关机构发布的最新版本的标准。</w:t>
      </w:r>
    </w:p>
    <w:p w14:paraId="1B397A7E">
      <w:pPr>
        <w:widowControl w:val="0"/>
        <w:adjustRightInd w:val="0"/>
        <w:snapToGrid w:val="0"/>
        <w:spacing w:before="50" w:line="360" w:lineRule="auto"/>
        <w:ind w:firstLine="420" w:firstLineChars="200"/>
        <w:jc w:val="left"/>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（2）采用中华人民共和国法定计量单位。</w:t>
      </w:r>
    </w:p>
    <w:p w14:paraId="4AF08D2A">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（3）乙方所出售的货物还应符合国家有关安全、环保、卫生之规定。</w:t>
      </w:r>
    </w:p>
    <w:p w14:paraId="7BEB27D9">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9.2 保证</w:t>
      </w:r>
    </w:p>
    <w:p w14:paraId="62864DFC">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规定或乙方承诺（两者以较长的为准）的质量保证期内，本保证保持有效。</w:t>
      </w:r>
    </w:p>
    <w:p w14:paraId="6B6665D7">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（2）在质量保证期内所发现的缺陷，甲方应尽快以书面形式通知乙方。</w:t>
      </w:r>
    </w:p>
    <w:p w14:paraId="132DD942">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（3）乙方收到通知后应在</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规定的响应时间内以合理的速度免费维修或更换有缺陷的货物或部件。</w:t>
      </w:r>
    </w:p>
    <w:p w14:paraId="41A56BA0">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54B8C625">
      <w:pPr>
        <w:adjustRightInd w:val="0"/>
        <w:snapToGrid w:val="0"/>
        <w:spacing w:before="50" w:line="360" w:lineRule="auto"/>
        <w:ind w:firstLine="420" w:firstLineChars="200"/>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color w:val="auto"/>
          <w:sz w:val="21"/>
          <w:szCs w:val="21"/>
          <w:highlight w:val="none"/>
        </w:rPr>
        <w:t>（5）乙方在约定的时间内未能弥补缺陷，甲方可采取必要的补救措施，但其风险和费用将由乙方承担，甲方根据合同规定对乙方行使的其他权利不受影响。</w:t>
      </w:r>
    </w:p>
    <w:p w14:paraId="02C11E94">
      <w:pPr>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10.权利瑕疵担保</w:t>
      </w:r>
    </w:p>
    <w:p w14:paraId="343B062D">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10.1 乙方保证对其出售的货物享有合法的权利。</w:t>
      </w:r>
    </w:p>
    <w:p w14:paraId="5C1D1DDC">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10.2 乙方保证在其出售的货物上不存在任何未曾向甲方透露的担保物权，如抵押权、质押权、留置权等。</w:t>
      </w:r>
    </w:p>
    <w:p w14:paraId="3D3B383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10.3 如甲方使用该货物构成上述侵权的，则由乙方承担全部责任。</w:t>
      </w:r>
    </w:p>
    <w:p w14:paraId="4D494929">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11.知识产权保护</w:t>
      </w:r>
    </w:p>
    <w:p w14:paraId="76111A05">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11.1 乙方对其所销售的货物应当享有知识产权或经权利人合法授权，保证没有侵犯任何第三人的知识产权和商业秘密等权利。</w:t>
      </w:r>
    </w:p>
    <w:p w14:paraId="62E383DA">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11.2 甲方使用乙方提供的货物对第三人构成侵权的，应当由乙方承担全部法律责任，给甲方造成损害的，乙方应当承担赔偿责任。</w:t>
      </w:r>
    </w:p>
    <w:p w14:paraId="742ACBF7">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11.3 甲方委托乙方开发的产品，甲方享有知识产权，未经甲方许可不得转让任何第三人。</w:t>
      </w:r>
    </w:p>
    <w:p w14:paraId="1862CB15">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12.保密义务</w:t>
      </w:r>
    </w:p>
    <w:p w14:paraId="4ABCA1DC">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12.1 甲、乙双方在采购和履行合同过程中所获悉的对方属于保密的内容，双方均有保密义务。</w:t>
      </w:r>
    </w:p>
    <w:p w14:paraId="78440914">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13.合同价款支付</w:t>
      </w:r>
    </w:p>
    <w:p w14:paraId="79612237">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13.1验收合格后，乙方出具正规发票给甲方，凭甲方开具的《政府采购合同验收报告单》办理合同价</w:t>
      </w:r>
      <w:r>
        <w:rPr>
          <w:rFonts w:hint="default" w:ascii="Times New Roman" w:hAnsi="Times New Roman" w:cs="Times New Roman" w:eastAsiaTheme="minorEastAsia"/>
          <w:bCs/>
          <w:color w:val="auto"/>
          <w:sz w:val="21"/>
          <w:szCs w:val="21"/>
          <w:highlight w:val="none"/>
        </w:rPr>
        <w:t>款</w:t>
      </w:r>
      <w:r>
        <w:rPr>
          <w:rFonts w:hint="default" w:ascii="Times New Roman" w:hAnsi="Times New Roman" w:cs="Times New Roman" w:eastAsiaTheme="minorEastAsia"/>
          <w:color w:val="auto"/>
          <w:sz w:val="21"/>
          <w:szCs w:val="21"/>
          <w:highlight w:val="none"/>
        </w:rPr>
        <w:t>结算手续。</w:t>
      </w:r>
    </w:p>
    <w:p w14:paraId="556A55E0">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13.2 合同价款构成中应当由财政支付的部分，甲方应当在货物验收合格后的十五个工作日内向国库管理部门申请支付，经国库管理部门审核后直接支付给乙方。</w:t>
      </w:r>
    </w:p>
    <w:p w14:paraId="370F9995">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13.3 合同价款构成中应当由甲方自行支付的部分，甲方应当在货物验收合格后十五个工作内支付。</w:t>
      </w:r>
    </w:p>
    <w:p w14:paraId="610CD7D9">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13.4支付合同价</w:t>
      </w:r>
      <w:r>
        <w:rPr>
          <w:rFonts w:hint="default" w:ascii="Times New Roman" w:hAnsi="Times New Roman" w:cs="Times New Roman" w:eastAsiaTheme="minorEastAsia"/>
          <w:bCs/>
          <w:color w:val="auto"/>
          <w:sz w:val="21"/>
          <w:szCs w:val="21"/>
          <w:highlight w:val="none"/>
        </w:rPr>
        <w:t>款</w:t>
      </w:r>
      <w:r>
        <w:rPr>
          <w:rFonts w:hint="default" w:ascii="Times New Roman" w:hAnsi="Times New Roman" w:cs="Times New Roman" w:eastAsiaTheme="minorEastAsia"/>
          <w:color w:val="auto"/>
          <w:sz w:val="21"/>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2A42F6FF">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13.5 合同价款支付方式</w:t>
      </w:r>
      <w:r>
        <w:rPr>
          <w:rFonts w:hint="default" w:ascii="Times New Roman" w:hAnsi="Times New Roman" w:cs="Times New Roman" w:eastAsiaTheme="minorEastAsia"/>
          <w:bCs/>
          <w:color w:val="auto"/>
          <w:sz w:val="21"/>
          <w:szCs w:val="21"/>
          <w:highlight w:val="none"/>
        </w:rPr>
        <w:t>和条件在</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中另有规定。</w:t>
      </w:r>
    </w:p>
    <w:p w14:paraId="607EEE0C">
      <w:pPr>
        <w:autoSpaceDE w:val="0"/>
        <w:autoSpaceDN w:val="0"/>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bCs/>
          <w:color w:val="auto"/>
          <w:sz w:val="21"/>
          <w:szCs w:val="21"/>
          <w:highlight w:val="none"/>
        </w:rPr>
        <w:t>14.</w:t>
      </w:r>
      <w:r>
        <w:rPr>
          <w:rFonts w:hint="default" w:ascii="Times New Roman" w:hAnsi="Times New Roman" w:cs="Times New Roman" w:eastAsiaTheme="minorEastAsia"/>
          <w:b/>
          <w:color w:val="auto"/>
          <w:sz w:val="21"/>
          <w:szCs w:val="21"/>
          <w:highlight w:val="none"/>
        </w:rPr>
        <w:t>乙方应提供的服务</w:t>
      </w:r>
    </w:p>
    <w:p w14:paraId="35B64A4F">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14.1 乙方应向甲方提交所提供货物的技术文件，包括相应的中文技术文件，如：产品目录、图纸、操作手册、使用说明、维护手册或服务指南。这些文件应包装好随同货物一起发运。</w:t>
      </w:r>
    </w:p>
    <w:p w14:paraId="353CABC5">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14.2 乙方还应提供下列服务：</w:t>
      </w:r>
    </w:p>
    <w:p w14:paraId="0F7BEAF8">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（1）货物的现场移动、安装、调试、启动监督及技术支持；</w:t>
      </w:r>
    </w:p>
    <w:p w14:paraId="0A376020">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（2）提供货物组装和维修所需的专用工具和辅助材料；</w:t>
      </w:r>
    </w:p>
    <w:p w14:paraId="4C3E8052">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（3）在合同各方商定的一定期限内对所有的货物实施运行监督、维修，但前提条件是该服务并不能免除乙方在质量保证期内所承担的义务；</w:t>
      </w:r>
    </w:p>
    <w:p w14:paraId="5459F26B">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（4）在制造商或项目现场就货物的安装、启动、运营、维护对甲方操作人员进行培训；</w:t>
      </w:r>
    </w:p>
    <w:p w14:paraId="649F4F92">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规定由乙方提供的其他服务。</w:t>
      </w:r>
    </w:p>
    <w:p w14:paraId="39C2BFEE">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14.3 乙方提供的服务的费用应包含在合同价款中，甲方不再另行支付。</w:t>
      </w:r>
    </w:p>
    <w:p w14:paraId="37BD2980">
      <w:pPr>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15.违约责任</w:t>
      </w:r>
    </w:p>
    <w:p w14:paraId="0EBBFC35">
      <w:pPr>
        <w:adjustRightInd w:val="0"/>
        <w:snapToGrid w:val="0"/>
        <w:spacing w:before="50" w:line="360" w:lineRule="auto"/>
        <w:ind w:firstLine="420" w:firstLineChars="200"/>
        <w:jc w:val="left"/>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15.1质量瑕疵的补救措施和索赔</w:t>
      </w:r>
    </w:p>
    <w:p w14:paraId="698EA68D">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3FE20D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①乙方同意退货并将货款退还给甲方，由此发生的一切费用和损失由乙方承担。</w:t>
      </w:r>
    </w:p>
    <w:p w14:paraId="1A4FFA0F">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②根据货物的质量状况以及甲方所遭受的损失，经过甲乙双方商定降低货物的价格。</w:t>
      </w:r>
    </w:p>
    <w:p w14:paraId="2B9B3E0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A3D0789">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47D097D">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15.2 迟延交货的违约责任</w:t>
      </w:r>
    </w:p>
    <w:p w14:paraId="3C97A649">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00CDD9AC">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（2）除本合同</w:t>
      </w:r>
      <w:r>
        <w:rPr>
          <w:rFonts w:hint="default" w:ascii="Times New Roman" w:hAnsi="Times New Roman" w:cs="Times New Roman" w:eastAsiaTheme="minorEastAsia"/>
          <w:bCs/>
          <w:color w:val="auto"/>
          <w:sz w:val="21"/>
          <w:szCs w:val="21"/>
          <w:highlight w:val="none"/>
        </w:rPr>
        <w:t>第20条</w:t>
      </w:r>
      <w:r>
        <w:rPr>
          <w:rFonts w:hint="default" w:ascii="Times New Roman" w:hAnsi="Times New Roman" w:cs="Times New Roman" w:eastAsiaTheme="minorEastAsia"/>
          <w:color w:val="auto"/>
          <w:sz w:val="21"/>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C65D2FE">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6791D735">
      <w:pPr>
        <w:autoSpaceDE w:val="0"/>
        <w:autoSpaceDN w:val="0"/>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16.合同的变更</w:t>
      </w:r>
    </w:p>
    <w:p w14:paraId="2C9734A0">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16.1 在合同履行过程中，甲、乙双方可就合同履行的时间、地点和方式等协商进行变更。协商一致后，双方应签订书面的补充协议。</w:t>
      </w:r>
    </w:p>
    <w:p w14:paraId="1E46A49A">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16.2 在不改变合同其他条款的前提下，甲方有权在合同价款百分之十的范围内追加与合同标的相同的货物或服务，并就此与乙方签订补充合同，乙方不得拒绝。</w:t>
      </w:r>
    </w:p>
    <w:p w14:paraId="064D5D87">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16.3 除双方签署书面协议，并成为合同不可分割的一部分外，本合同条件不得有任何变更。</w:t>
      </w:r>
    </w:p>
    <w:p w14:paraId="0B7FDD9E">
      <w:pPr>
        <w:autoSpaceDE w:val="0"/>
        <w:autoSpaceDN w:val="0"/>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17.合同中止与终止</w:t>
      </w:r>
    </w:p>
    <w:p w14:paraId="17100C76">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17.1合同的中止</w:t>
      </w:r>
    </w:p>
    <w:p w14:paraId="4916C65F">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（1）合同在履行过程中，因采购计划调整，甲方可以要求中止履行，待计划确定后继续履行；</w:t>
      </w:r>
    </w:p>
    <w:p w14:paraId="60EF4B58">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（2）合同履行过程中因供应商就采购过程或结果提起投诉的，甲方认为有必要或财政部门责令中止的，应当中止合同的履行。</w:t>
      </w:r>
    </w:p>
    <w:p w14:paraId="23F65378">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17.2合同的终止</w:t>
      </w:r>
    </w:p>
    <w:p w14:paraId="1ADA9C33">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（1）合同因有效期限届满而终止；</w:t>
      </w:r>
    </w:p>
    <w:p w14:paraId="429B17E7">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（2）乙方未能依照本合同约定条件履行合同，已构成根本性违约的，甲方有权终止本合同，并追究乙方的违约责任。</w:t>
      </w:r>
    </w:p>
    <w:p w14:paraId="11C8F606">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（3）如果乙方丧失履约能力或被宣告破产，甲方可在任何时候以书面形式通知乙方终止合同而不给乙方补偿。</w:t>
      </w:r>
    </w:p>
    <w:p w14:paraId="62CBB7E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（4）如果乙方在履行合同过程中有不正当竞争行为，甲方有权解除合同，并按《中华人民共和国反不正当竞争法》规定由有关部门追究其法律责任。</w:t>
      </w:r>
    </w:p>
    <w:p w14:paraId="6FE035F3">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（5）如果合同的履行将损害国家利益或社会公共利益，甲方有权终止合同的履行，给乙方造成损失的予以相应补偿。</w:t>
      </w:r>
    </w:p>
    <w:p w14:paraId="03D58BD7">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18.合同转让和分包</w:t>
      </w:r>
    </w:p>
    <w:p w14:paraId="55949BAD">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18.1 乙方不得以任何形式将合同转包。</w:t>
      </w:r>
    </w:p>
    <w:p w14:paraId="001E35EE">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18.2 乙方未在投标文件中说明，不得将</w:t>
      </w:r>
      <w:r>
        <w:rPr>
          <w:rFonts w:hint="default" w:ascii="Times New Roman" w:hAnsi="Times New Roman" w:cs="Times New Roman" w:eastAsiaTheme="minorEastAsia"/>
          <w:bCs/>
          <w:color w:val="auto"/>
          <w:sz w:val="21"/>
          <w:szCs w:val="21"/>
          <w:highlight w:val="none"/>
        </w:rPr>
        <w:t>合同</w:t>
      </w:r>
      <w:r>
        <w:rPr>
          <w:rFonts w:hint="default" w:ascii="Times New Roman" w:hAnsi="Times New Roman" w:cs="Times New Roman" w:eastAsiaTheme="minorEastAsia"/>
          <w:color w:val="auto"/>
          <w:sz w:val="21"/>
          <w:szCs w:val="21"/>
          <w:highlight w:val="none"/>
        </w:rPr>
        <w:t>的非主体、非关键性工作分包给他人。</w:t>
      </w:r>
    </w:p>
    <w:p w14:paraId="1E3EB596">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19.不可抗力</w:t>
      </w:r>
    </w:p>
    <w:p w14:paraId="58496AF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19.1 不可抗力是指合同双方不可预见、不可避免、不可克服的自然灾害和社会事件。</w:t>
      </w:r>
    </w:p>
    <w:p w14:paraId="44B9C221">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19.2 任何一方对由于不可抗力造成的部分或全部不能履行合同不承担违约责任。但迟延履行后发生不可抗力的，不能免除责任。</w:t>
      </w:r>
    </w:p>
    <w:p w14:paraId="5510D4B0">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19.3 遇有不可抗力的一方，应在三日内将事件的情况以书面形式通知另一方，并在事件发生后十日内，向另一方提交合同不能履行或部分不能履行或需要延期履行理由的报告。</w:t>
      </w:r>
    </w:p>
    <w:p w14:paraId="0CD0C634">
      <w:pPr>
        <w:autoSpaceDE w:val="0"/>
        <w:autoSpaceDN w:val="0"/>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20.解决争议的方法</w:t>
      </w:r>
    </w:p>
    <w:p w14:paraId="6432036C">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20.1 合同各方应通过友好协商，解决在执行合同过程中所发生的或与合同有关的一切争端。如从协商开始后十日内仍不能解决，可以向财政部门提请调解。</w:t>
      </w:r>
    </w:p>
    <w:p w14:paraId="12BE92D4">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20.2 调解不成可以按</w:t>
      </w:r>
      <w:r>
        <w:rPr>
          <w:rFonts w:hint="default" w:ascii="Times New Roman" w:hAnsi="Times New Roman" w:cs="Times New Roman" w:eastAsiaTheme="minorEastAsia"/>
          <w:b/>
          <w:color w:val="auto"/>
          <w:sz w:val="21"/>
          <w:szCs w:val="21"/>
          <w:highlight w:val="none"/>
        </w:rPr>
        <w:t>【政府采购合同专用条款】</w:t>
      </w:r>
      <w:r>
        <w:rPr>
          <w:rFonts w:hint="default" w:ascii="Times New Roman" w:hAnsi="Times New Roman" w:cs="Times New Roman" w:eastAsiaTheme="minorEastAsia"/>
          <w:color w:val="auto"/>
          <w:sz w:val="21"/>
          <w:szCs w:val="21"/>
          <w:highlight w:val="none"/>
        </w:rPr>
        <w:t>中约定中规定下列方式之一提起仲裁或诉讼：</w:t>
      </w:r>
    </w:p>
    <w:p w14:paraId="18E26BC4">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（1）向甲方所在地仲裁机构提起仲裁；</w:t>
      </w:r>
    </w:p>
    <w:p w14:paraId="301DA036">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（2）向甲方所在地人民法院提起诉讼。</w:t>
      </w:r>
    </w:p>
    <w:p w14:paraId="7DFF7A52">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20.3 如仲裁或诉讼事项不影响合同其它部分的履行，则在仲裁或诉讼期间，除正在进行仲裁或诉讼的部分外，合同的其它部分应继续执行。</w:t>
      </w:r>
    </w:p>
    <w:p w14:paraId="33ED3210">
      <w:pPr>
        <w:autoSpaceDE w:val="0"/>
        <w:autoSpaceDN w:val="0"/>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color w:val="auto"/>
          <w:sz w:val="21"/>
          <w:szCs w:val="21"/>
          <w:highlight w:val="none"/>
        </w:rPr>
        <w:t>21.法律适用</w:t>
      </w:r>
    </w:p>
    <w:p w14:paraId="45D48D44">
      <w:pPr>
        <w:autoSpaceDE w:val="0"/>
        <w:autoSpaceDN w:val="0"/>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21.1 本合同适用中华人民共和国现行法律、行政法规和规章，如合同条款与法律、行政法规和规章不一致的，按照法律、行政法规和规章修改本合同。</w:t>
      </w:r>
    </w:p>
    <w:p w14:paraId="12AAE8F8">
      <w:pPr>
        <w:autoSpaceDE w:val="0"/>
        <w:autoSpaceDN w:val="0"/>
        <w:adjustRightInd w:val="0"/>
        <w:snapToGrid w:val="0"/>
        <w:spacing w:before="50" w:line="360" w:lineRule="auto"/>
        <w:jc w:val="left"/>
        <w:rPr>
          <w:rFonts w:hint="default" w:ascii="Times New Roman" w:hAnsi="Times New Roman" w:cs="Times New Roman" w:eastAsiaTheme="minorEastAsia"/>
          <w:b/>
          <w:color w:val="auto"/>
          <w:sz w:val="21"/>
          <w:szCs w:val="21"/>
          <w:highlight w:val="none"/>
        </w:rPr>
      </w:pPr>
      <w:r>
        <w:rPr>
          <w:rFonts w:hint="default" w:ascii="Times New Roman" w:hAnsi="Times New Roman" w:cs="Times New Roman" w:eastAsiaTheme="minorEastAsia"/>
          <w:b/>
          <w:bCs/>
          <w:color w:val="auto"/>
          <w:sz w:val="21"/>
          <w:szCs w:val="21"/>
          <w:highlight w:val="none"/>
        </w:rPr>
        <w:t>22.</w:t>
      </w:r>
      <w:r>
        <w:rPr>
          <w:rFonts w:hint="default" w:ascii="Times New Roman" w:hAnsi="Times New Roman" w:cs="Times New Roman" w:eastAsiaTheme="minorEastAsia"/>
          <w:b/>
          <w:color w:val="auto"/>
          <w:sz w:val="21"/>
          <w:szCs w:val="21"/>
          <w:highlight w:val="none"/>
        </w:rPr>
        <w:t>通知</w:t>
      </w:r>
    </w:p>
    <w:p w14:paraId="3CBBFC86">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22.1本合同一方给另一方的通知均应采用书面形式，传真或快递送到本合同中规定的对方的地址和办理签收手续，</w:t>
      </w:r>
    </w:p>
    <w:p w14:paraId="34E67369">
      <w:pPr>
        <w:adjustRightInd w:val="0"/>
        <w:snapToGrid w:val="0"/>
        <w:spacing w:before="50" w:line="360" w:lineRule="auto"/>
        <w:ind w:firstLine="420" w:firstLineChars="200"/>
        <w:jc w:val="left"/>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22.2通知以送到之日或通知书中规定的生效之日起生效，两者中以较迟之日为准。</w:t>
      </w:r>
    </w:p>
    <w:p w14:paraId="511F75CD">
      <w:pPr>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23. 合同未尽事项</w:t>
      </w:r>
    </w:p>
    <w:p w14:paraId="763BDB53">
      <w:pPr>
        <w:adjustRightInd w:val="0"/>
        <w:snapToGrid w:val="0"/>
        <w:spacing w:before="50" w:line="360" w:lineRule="auto"/>
        <w:ind w:firstLine="420" w:firstLineChars="200"/>
        <w:jc w:val="left"/>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23.1合同未尽事项见</w:t>
      </w:r>
      <w:r>
        <w:rPr>
          <w:rFonts w:hint="default" w:ascii="Times New Roman" w:hAnsi="Times New Roman" w:cs="Times New Roman" w:eastAsiaTheme="minorEastAsia"/>
          <w:b/>
          <w:color w:val="auto"/>
          <w:sz w:val="21"/>
          <w:szCs w:val="21"/>
          <w:highlight w:val="none"/>
        </w:rPr>
        <w:t>【政府采购合同专用条款】。</w:t>
      </w:r>
    </w:p>
    <w:p w14:paraId="4D2BD2B0">
      <w:pPr>
        <w:adjustRightInd w:val="0"/>
        <w:snapToGrid w:val="0"/>
        <w:spacing w:before="50" w:line="360" w:lineRule="auto"/>
        <w:jc w:val="left"/>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24.合同生效</w:t>
      </w:r>
    </w:p>
    <w:p w14:paraId="71C7C0EF">
      <w:pPr>
        <w:autoSpaceDE w:val="0"/>
        <w:autoSpaceDN w:val="0"/>
        <w:adjustRightInd w:val="0"/>
        <w:snapToGrid w:val="0"/>
        <w:spacing w:before="50" w:line="360" w:lineRule="auto"/>
        <w:ind w:firstLine="420" w:firstLineChars="200"/>
        <w:jc w:val="both"/>
        <w:rPr>
          <w:rFonts w:hint="default" w:ascii="Times New Roman" w:hAnsi="Times New Roman" w:cs="Times New Roman" w:eastAsiaTheme="minorEastAsia"/>
          <w:color w:val="auto"/>
          <w:sz w:val="21"/>
          <w:szCs w:val="21"/>
          <w:highlight w:val="none"/>
        </w:rPr>
        <w:sectPr>
          <w:footerReference r:id="rId5" w:type="default"/>
          <w:pgSz w:w="11906" w:h="16838"/>
          <w:pgMar w:top="1304" w:right="1417" w:bottom="1304" w:left="1417" w:header="851" w:footer="992" w:gutter="0"/>
          <w:pgBorders>
            <w:top w:val="none" w:sz="0" w:space="0"/>
            <w:left w:val="none" w:sz="0" w:space="0"/>
            <w:bottom w:val="none" w:sz="0" w:space="0"/>
            <w:right w:val="none" w:sz="0" w:space="0"/>
          </w:pgBorders>
          <w:pgNumType w:fmt="decimal" w:start="16"/>
          <w:cols w:space="720" w:num="1"/>
          <w:docGrid w:type="lines" w:linePitch="312" w:charSpace="0"/>
        </w:sectPr>
      </w:pPr>
      <w:r>
        <w:rPr>
          <w:rFonts w:hint="default" w:ascii="Times New Roman" w:hAnsi="Times New Roman" w:cs="Times New Roman" w:eastAsiaTheme="minorEastAsia"/>
          <w:color w:val="auto"/>
          <w:sz w:val="21"/>
          <w:szCs w:val="21"/>
          <w:highlight w:val="none"/>
        </w:rPr>
        <w:t>24.1 本合同在合同双方签字盖章后生效。</w:t>
      </w:r>
    </w:p>
    <w:p w14:paraId="557CC006">
      <w:pPr>
        <w:keepNext/>
        <w:keepLines/>
        <w:widowControl w:val="0"/>
        <w:autoSpaceDE w:val="0"/>
        <w:autoSpaceDN w:val="0"/>
        <w:adjustRightInd w:val="0"/>
        <w:snapToGrid w:val="0"/>
        <w:spacing w:before="50" w:line="360" w:lineRule="auto"/>
        <w:ind w:left="420" w:leftChars="200" w:firstLine="560" w:firstLineChars="200"/>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bookmarkStart w:id="562" w:name="_Toc7729"/>
      <w:bookmarkStart w:id="563" w:name="_Toc20901"/>
      <w:bookmarkStart w:id="564" w:name="_Toc23004"/>
      <w:bookmarkStart w:id="565" w:name="_Toc2269"/>
      <w:bookmarkStart w:id="566" w:name="_Toc9015"/>
      <w:bookmarkStart w:id="567" w:name="_Toc20651239"/>
      <w:bookmarkStart w:id="568" w:name="_Toc25344"/>
      <w:bookmarkStart w:id="569" w:name="_Toc11190"/>
      <w:bookmarkStart w:id="570" w:name="_Toc5635"/>
      <w:bookmarkStart w:id="571" w:name="_Toc22656"/>
      <w:bookmarkStart w:id="572" w:name="_Toc14726"/>
      <w:bookmarkStart w:id="573" w:name="_Toc26237"/>
      <w:bookmarkStart w:id="574" w:name="_Toc9208"/>
      <w:bookmarkStart w:id="575" w:name="_Toc12991"/>
      <w:bookmarkStart w:id="576" w:name="_Toc24176"/>
      <w:bookmarkStart w:id="577" w:name="_Toc9635"/>
      <w:bookmarkStart w:id="578" w:name="_Toc21468"/>
      <w:bookmarkStart w:id="579" w:name="_Toc22201136"/>
      <w:r>
        <w:rPr>
          <w:rFonts w:hint="default" w:ascii="Times New Roman" w:hAnsi="Times New Roman" w:cs="Times New Roman" w:eastAsiaTheme="minorEastAsia"/>
          <w:b/>
          <w:bCs/>
          <w:color w:val="auto"/>
          <w:kern w:val="2"/>
          <w:sz w:val="28"/>
          <w:szCs w:val="28"/>
          <w:highlight w:val="none"/>
          <w:lang w:val="en-US" w:eastAsia="zh-CN" w:bidi="ar-SA"/>
        </w:rPr>
        <w:t>第三节 政府采购合同专用条款</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73A5C9F9">
      <w:pPr>
        <w:adjustRightInd w:val="0"/>
        <w:snapToGrid w:val="0"/>
        <w:spacing w:line="360" w:lineRule="auto"/>
        <w:jc w:val="center"/>
        <w:rPr>
          <w:rFonts w:hint="default" w:ascii="Times New Roman" w:hAnsi="Times New Roman" w:cs="Times New Roman" w:eastAsiaTheme="minorEastAsia"/>
          <w:color w:val="auto"/>
          <w:sz w:val="24"/>
          <w:highlight w:val="none"/>
        </w:rPr>
      </w:pPr>
    </w:p>
    <w:tbl>
      <w:tblPr>
        <w:tblStyle w:val="44"/>
        <w:tblW w:w="900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gridCol w:w="5464"/>
      </w:tblGrid>
      <w:tr w14:paraId="18EBAD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7D66B89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7DD07D5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第1.1款</w:t>
            </w:r>
          </w:p>
        </w:tc>
        <w:tc>
          <w:tcPr>
            <w:tcW w:w="1843" w:type="dxa"/>
            <w:tcBorders>
              <w:tl2br w:val="nil"/>
              <w:tr2bl w:val="nil"/>
            </w:tcBorders>
            <w:noWrap w:val="0"/>
            <w:vAlign w:val="center"/>
          </w:tcPr>
          <w:p w14:paraId="01149D0C">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 xml:space="preserve">甲方名称、地址 </w:t>
            </w:r>
          </w:p>
        </w:tc>
        <w:tc>
          <w:tcPr>
            <w:tcW w:w="5464" w:type="dxa"/>
            <w:tcBorders>
              <w:tl2br w:val="nil"/>
              <w:tr2bl w:val="nil"/>
            </w:tcBorders>
            <w:noWrap w:val="0"/>
            <w:vAlign w:val="center"/>
          </w:tcPr>
          <w:p w14:paraId="47381C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color w:val="auto"/>
                <w:highlight w:val="none"/>
                <w:u w:val="none"/>
                <w:lang w:eastAsia="zh-CN"/>
              </w:rPr>
            </w:pPr>
            <w:r>
              <w:rPr>
                <w:rFonts w:hint="default" w:ascii="Times New Roman" w:hAnsi="Times New Roman" w:cs="Times New Roman" w:eastAsiaTheme="minorEastAsia"/>
                <w:color w:val="auto"/>
                <w:highlight w:val="none"/>
                <w:u w:val="none"/>
                <w:lang w:eastAsia="zh-CN"/>
              </w:rPr>
              <w:t>采购人名称：</w:t>
            </w:r>
            <w:r>
              <w:rPr>
                <w:rFonts w:hint="eastAsia" w:cs="Times New Roman" w:eastAsiaTheme="minorEastAsia"/>
                <w:color w:val="auto"/>
                <w:kern w:val="0"/>
                <w:sz w:val="21"/>
                <w:szCs w:val="21"/>
                <w:highlight w:val="none"/>
                <w:u w:val="none"/>
                <w:lang w:eastAsia="zh-CN"/>
              </w:rPr>
              <w:t>湖南汽车工程职业大学</w:t>
            </w:r>
            <w:r>
              <w:rPr>
                <w:rFonts w:hint="default" w:ascii="Times New Roman" w:hAnsi="Times New Roman" w:cs="Times New Roman" w:eastAsiaTheme="minorEastAsia"/>
                <w:color w:val="auto"/>
                <w:kern w:val="0"/>
                <w:szCs w:val="21"/>
                <w:highlight w:val="none"/>
                <w:u w:val="none"/>
                <w:lang w:val="en-US" w:eastAsia="zh-CN"/>
              </w:rPr>
              <w:t xml:space="preserve">   </w:t>
            </w:r>
            <w:r>
              <w:rPr>
                <w:rFonts w:hint="default" w:ascii="Times New Roman" w:hAnsi="Times New Roman" w:cs="Times New Roman" w:eastAsiaTheme="minorEastAsia"/>
                <w:color w:val="auto"/>
                <w:highlight w:val="none"/>
                <w:u w:val="none"/>
                <w:lang w:eastAsia="zh-CN"/>
              </w:rPr>
              <w:t xml:space="preserve">                          </w:t>
            </w:r>
          </w:p>
          <w:p w14:paraId="0D641C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color w:val="auto"/>
                <w:highlight w:val="none"/>
                <w:u w:val="none"/>
                <w:lang w:eastAsia="zh-CN"/>
              </w:rPr>
            </w:pPr>
            <w:r>
              <w:rPr>
                <w:rFonts w:hint="default" w:ascii="Times New Roman" w:hAnsi="Times New Roman" w:cs="Times New Roman" w:eastAsiaTheme="minorEastAsia"/>
                <w:color w:val="auto"/>
                <w:highlight w:val="none"/>
                <w:u w:val="none"/>
                <w:lang w:eastAsia="zh-CN"/>
              </w:rPr>
              <w:t>地</w:t>
            </w:r>
            <w:r>
              <w:rPr>
                <w:rFonts w:hint="default" w:ascii="Times New Roman" w:hAnsi="Times New Roman" w:cs="Times New Roman" w:eastAsiaTheme="minorEastAsia"/>
                <w:color w:val="auto"/>
                <w:highlight w:val="none"/>
                <w:u w:val="none"/>
                <w:lang w:val="en-US" w:eastAsia="zh-CN"/>
              </w:rPr>
              <w:t xml:space="preserve">  </w:t>
            </w:r>
            <w:r>
              <w:rPr>
                <w:rFonts w:hint="default" w:ascii="Times New Roman" w:hAnsi="Times New Roman" w:cs="Times New Roman" w:eastAsiaTheme="minorEastAsia"/>
                <w:color w:val="auto"/>
                <w:highlight w:val="none"/>
                <w:u w:val="none"/>
                <w:lang w:eastAsia="zh-CN"/>
              </w:rPr>
              <w:t>址：</w:t>
            </w:r>
            <w:r>
              <w:rPr>
                <w:rFonts w:hint="default" w:ascii="Times New Roman" w:hAnsi="Times New Roman" w:cs="Times New Roman" w:eastAsiaTheme="minorEastAsia"/>
                <w:color w:val="auto"/>
                <w:szCs w:val="21"/>
                <w:highlight w:val="none"/>
                <w:u w:val="none"/>
                <w:lang w:eastAsia="zh-CN"/>
              </w:rPr>
              <w:t>湖南省株洲市云龙示范区智慧路79号</w:t>
            </w:r>
          </w:p>
          <w:p w14:paraId="0723A65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color w:val="auto"/>
                <w:highlight w:val="none"/>
                <w:u w:val="none"/>
              </w:rPr>
            </w:pPr>
            <w:r>
              <w:rPr>
                <w:rFonts w:hint="default" w:ascii="Times New Roman" w:hAnsi="Times New Roman" w:cs="Times New Roman" w:eastAsiaTheme="minorEastAsia"/>
                <w:color w:val="auto"/>
                <w:highlight w:val="none"/>
                <w:u w:val="none"/>
                <w:lang w:eastAsia="zh-CN"/>
              </w:rPr>
              <w:t>联</w:t>
            </w:r>
            <w:r>
              <w:rPr>
                <w:rFonts w:hint="default" w:ascii="Times New Roman" w:hAnsi="Times New Roman" w:cs="Times New Roman" w:eastAsiaTheme="minorEastAsia"/>
                <w:color w:val="auto"/>
                <w:highlight w:val="none"/>
                <w:u w:val="none"/>
                <w:lang w:val="en-US" w:eastAsia="zh-CN"/>
              </w:rPr>
              <w:t xml:space="preserve"> </w:t>
            </w:r>
            <w:r>
              <w:rPr>
                <w:rFonts w:hint="default" w:ascii="Times New Roman" w:hAnsi="Times New Roman" w:cs="Times New Roman" w:eastAsiaTheme="minorEastAsia"/>
                <w:color w:val="auto"/>
                <w:highlight w:val="none"/>
                <w:u w:val="none"/>
                <w:lang w:eastAsia="zh-CN"/>
              </w:rPr>
              <w:t>系</w:t>
            </w:r>
            <w:r>
              <w:rPr>
                <w:rFonts w:hint="default" w:ascii="Times New Roman" w:hAnsi="Times New Roman" w:cs="Times New Roman" w:eastAsiaTheme="minorEastAsia"/>
                <w:color w:val="auto"/>
                <w:highlight w:val="none"/>
                <w:u w:val="none"/>
                <w:lang w:val="en-US" w:eastAsia="zh-CN"/>
              </w:rPr>
              <w:t xml:space="preserve"> </w:t>
            </w:r>
            <w:r>
              <w:rPr>
                <w:rFonts w:hint="default" w:ascii="Times New Roman" w:hAnsi="Times New Roman" w:cs="Times New Roman" w:eastAsiaTheme="minorEastAsia"/>
                <w:color w:val="auto"/>
                <w:highlight w:val="none"/>
                <w:u w:val="none"/>
                <w:lang w:eastAsia="zh-CN"/>
              </w:rPr>
              <w:t>人：</w:t>
            </w:r>
            <w:r>
              <w:rPr>
                <w:rFonts w:hint="default" w:ascii="Times New Roman" w:hAnsi="Times New Roman" w:cs="Times New Roman" w:eastAsiaTheme="minorEastAsia"/>
                <w:iCs/>
                <w:color w:val="auto"/>
                <w:szCs w:val="21"/>
                <w:highlight w:val="none"/>
                <w:u w:val="none"/>
                <w:lang w:eastAsia="zh-CN"/>
              </w:rPr>
              <w:t>陈洁</w:t>
            </w:r>
            <w:r>
              <w:rPr>
                <w:rFonts w:hint="default" w:ascii="Times New Roman" w:hAnsi="Times New Roman" w:cs="Times New Roman" w:eastAsiaTheme="minorEastAsia"/>
                <w:color w:val="auto"/>
                <w:kern w:val="0"/>
                <w:szCs w:val="21"/>
                <w:highlight w:val="none"/>
                <w:u w:val="none"/>
                <w:lang w:val="en-US" w:eastAsia="zh-CN"/>
              </w:rPr>
              <w:t xml:space="preserve">                           </w:t>
            </w:r>
            <w:r>
              <w:rPr>
                <w:rFonts w:hint="default" w:ascii="Times New Roman" w:hAnsi="Times New Roman" w:cs="Times New Roman" w:eastAsiaTheme="minorEastAsia"/>
                <w:color w:val="auto"/>
                <w:highlight w:val="none"/>
                <w:u w:val="none"/>
                <w:lang w:eastAsia="zh-CN"/>
              </w:rPr>
              <w:t xml:space="preserve">                    </w:t>
            </w:r>
          </w:p>
        </w:tc>
      </w:tr>
      <w:tr w14:paraId="40086C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4801653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28048A5C">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第1.2（6）项</w:t>
            </w:r>
          </w:p>
        </w:tc>
        <w:tc>
          <w:tcPr>
            <w:tcW w:w="1843" w:type="dxa"/>
            <w:tcBorders>
              <w:tl2br w:val="nil"/>
              <w:tr2bl w:val="nil"/>
            </w:tcBorders>
            <w:noWrap w:val="0"/>
            <w:vAlign w:val="center"/>
          </w:tcPr>
          <w:p w14:paraId="7571AA93">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项目现场</w:t>
            </w:r>
          </w:p>
        </w:tc>
        <w:tc>
          <w:tcPr>
            <w:tcW w:w="5464" w:type="dxa"/>
            <w:tcBorders>
              <w:tl2br w:val="nil"/>
              <w:tr2bl w:val="nil"/>
            </w:tcBorders>
            <w:noWrap w:val="0"/>
            <w:vAlign w:val="center"/>
          </w:tcPr>
          <w:p w14:paraId="55DEC667">
            <w:pPr>
              <w:adjustRightInd w:val="0"/>
              <w:snapToGrid w:val="0"/>
              <w:spacing w:line="360" w:lineRule="auto"/>
              <w:jc w:val="left"/>
              <w:rPr>
                <w:rFonts w:hint="default" w:ascii="Times New Roman" w:hAnsi="Times New Roman" w:cs="Times New Roman" w:eastAsiaTheme="minorEastAsia"/>
                <w:color w:val="auto"/>
                <w:highlight w:val="none"/>
                <w:u w:val="none"/>
                <w:lang w:eastAsia="zh-CN"/>
              </w:rPr>
            </w:pPr>
            <w:r>
              <w:rPr>
                <w:rFonts w:hint="default" w:ascii="Times New Roman" w:hAnsi="Times New Roman" w:cs="Times New Roman" w:eastAsiaTheme="minorEastAsia"/>
                <w:color w:val="auto"/>
                <w:szCs w:val="21"/>
                <w:highlight w:val="none"/>
                <w:u w:val="none"/>
                <w:lang w:eastAsia="zh-CN"/>
              </w:rPr>
              <w:t>湖南省株洲市云龙示范区智慧路79号</w:t>
            </w:r>
          </w:p>
        </w:tc>
      </w:tr>
      <w:tr w14:paraId="32F87E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27789FF1">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51D3E543">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第5.1款</w:t>
            </w:r>
          </w:p>
        </w:tc>
        <w:tc>
          <w:tcPr>
            <w:tcW w:w="1843" w:type="dxa"/>
            <w:tcBorders>
              <w:tl2br w:val="nil"/>
              <w:tr2bl w:val="nil"/>
            </w:tcBorders>
            <w:noWrap w:val="0"/>
            <w:vAlign w:val="center"/>
          </w:tcPr>
          <w:p w14:paraId="57D30BEF">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履行合同的时间、地点及方式</w:t>
            </w:r>
          </w:p>
        </w:tc>
        <w:tc>
          <w:tcPr>
            <w:tcW w:w="5464" w:type="dxa"/>
            <w:tcBorders>
              <w:tl2br w:val="nil"/>
              <w:tr2bl w:val="nil"/>
            </w:tcBorders>
            <w:noWrap w:val="0"/>
            <w:vAlign w:val="center"/>
          </w:tcPr>
          <w:p w14:paraId="042D492E">
            <w:pPr>
              <w:adjustRightInd w:val="0"/>
              <w:snapToGrid w:val="0"/>
              <w:spacing w:line="360" w:lineRule="auto"/>
              <w:jc w:val="left"/>
              <w:rPr>
                <w:rFonts w:hint="default" w:ascii="Times New Roman" w:hAnsi="Times New Roman" w:cs="Times New Roman" w:eastAsiaTheme="minorEastAsia"/>
                <w:color w:val="auto"/>
                <w:szCs w:val="21"/>
                <w:highlight w:val="none"/>
                <w:u w:val="none"/>
                <w:lang w:val="en-US" w:eastAsia="zh-CN"/>
              </w:rPr>
            </w:pPr>
            <w:r>
              <w:rPr>
                <w:rFonts w:hint="default" w:ascii="Times New Roman" w:hAnsi="Times New Roman" w:cs="Times New Roman" w:eastAsiaTheme="minorEastAsia"/>
                <w:color w:val="auto"/>
                <w:szCs w:val="21"/>
                <w:highlight w:val="none"/>
                <w:u w:val="none"/>
              </w:rPr>
              <w:t>交货时间：</w:t>
            </w:r>
            <w:r>
              <w:rPr>
                <w:rFonts w:hint="default" w:ascii="Times New Roman" w:hAnsi="Times New Roman" w:cs="Times New Roman" w:eastAsiaTheme="minorEastAsia"/>
                <w:color w:val="auto"/>
                <w:highlight w:val="none"/>
                <w:lang w:eastAsia="zh-CN"/>
              </w:rPr>
              <w:t>合同签订，盖章生效后的壹个月内</w:t>
            </w:r>
          </w:p>
          <w:p w14:paraId="329960D3">
            <w:pPr>
              <w:adjustRightInd w:val="0"/>
              <w:snapToGrid w:val="0"/>
              <w:spacing w:line="360" w:lineRule="auto"/>
              <w:jc w:val="left"/>
              <w:rPr>
                <w:rFonts w:hint="default" w:ascii="Times New Roman" w:hAnsi="Times New Roman" w:cs="Times New Roman" w:eastAsiaTheme="minorEastAsia"/>
                <w:color w:val="auto"/>
                <w:szCs w:val="21"/>
                <w:highlight w:val="none"/>
                <w:u w:val="none"/>
              </w:rPr>
            </w:pPr>
            <w:r>
              <w:rPr>
                <w:rFonts w:hint="default" w:ascii="Times New Roman" w:hAnsi="Times New Roman" w:cs="Times New Roman" w:eastAsiaTheme="minorEastAsia"/>
                <w:color w:val="auto"/>
                <w:szCs w:val="21"/>
                <w:highlight w:val="none"/>
                <w:u w:val="none"/>
              </w:rPr>
              <w:t>交货地点：</w:t>
            </w:r>
            <w:r>
              <w:rPr>
                <w:rFonts w:hint="default" w:ascii="Times New Roman" w:hAnsi="Times New Roman" w:cs="Times New Roman" w:eastAsiaTheme="minorEastAsia"/>
                <w:color w:val="auto"/>
                <w:szCs w:val="21"/>
                <w:highlight w:val="none"/>
                <w:u w:val="none"/>
                <w:lang w:eastAsia="zh-CN"/>
              </w:rPr>
              <w:t>甲方指定地点</w:t>
            </w:r>
          </w:p>
          <w:p w14:paraId="5FED169F">
            <w:pPr>
              <w:adjustRightInd w:val="0"/>
              <w:snapToGrid w:val="0"/>
              <w:spacing w:line="360" w:lineRule="auto"/>
              <w:jc w:val="left"/>
              <w:rPr>
                <w:rFonts w:hint="default" w:ascii="Times New Roman" w:hAnsi="Times New Roman" w:cs="Times New Roman" w:eastAsiaTheme="minorEastAsia"/>
                <w:color w:val="auto"/>
                <w:szCs w:val="21"/>
                <w:highlight w:val="none"/>
                <w:u w:val="none"/>
              </w:rPr>
            </w:pPr>
            <w:r>
              <w:rPr>
                <w:rFonts w:hint="default" w:ascii="Times New Roman" w:hAnsi="Times New Roman" w:cs="Times New Roman" w:eastAsiaTheme="minorEastAsia"/>
                <w:color w:val="auto"/>
                <w:szCs w:val="21"/>
                <w:highlight w:val="none"/>
                <w:u w:val="none"/>
              </w:rPr>
              <w:t>交货方式：</w:t>
            </w:r>
            <w:r>
              <w:rPr>
                <w:rFonts w:hint="default" w:ascii="Times New Roman" w:hAnsi="Times New Roman" w:cs="Times New Roman" w:eastAsiaTheme="minorEastAsia"/>
                <w:color w:val="auto"/>
                <w:szCs w:val="21"/>
                <w:highlight w:val="none"/>
                <w:u w:val="none"/>
                <w:lang w:eastAsia="zh-CN"/>
              </w:rPr>
              <w:t>详见采购需求</w:t>
            </w:r>
          </w:p>
        </w:tc>
      </w:tr>
      <w:tr w14:paraId="029F66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7E1606A4">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7E2982B7">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第9.2（1）项</w:t>
            </w:r>
          </w:p>
        </w:tc>
        <w:tc>
          <w:tcPr>
            <w:tcW w:w="1843" w:type="dxa"/>
            <w:tcBorders>
              <w:tl2br w:val="nil"/>
              <w:tr2bl w:val="nil"/>
            </w:tcBorders>
            <w:noWrap w:val="0"/>
            <w:vAlign w:val="center"/>
          </w:tcPr>
          <w:p w14:paraId="677CB637">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质量保证期</w:t>
            </w:r>
          </w:p>
        </w:tc>
        <w:tc>
          <w:tcPr>
            <w:tcW w:w="5464" w:type="dxa"/>
            <w:tcBorders>
              <w:tl2br w:val="nil"/>
              <w:tr2bl w:val="nil"/>
            </w:tcBorders>
            <w:noWrap w:val="0"/>
            <w:vAlign w:val="center"/>
          </w:tcPr>
          <w:p w14:paraId="1372A1D9">
            <w:pPr>
              <w:autoSpaceDE w:val="0"/>
              <w:autoSpaceDN w:val="0"/>
              <w:adjustRightInd w:val="0"/>
              <w:snapToGrid w:val="0"/>
              <w:spacing w:line="360" w:lineRule="auto"/>
              <w:jc w:val="left"/>
              <w:rPr>
                <w:rFonts w:hint="default" w:ascii="Times New Roman" w:hAnsi="Times New Roman" w:cs="Times New Roman" w:eastAsiaTheme="minorEastAsia"/>
                <w:color w:val="auto"/>
                <w:szCs w:val="21"/>
                <w:highlight w:val="none"/>
                <w:u w:val="none"/>
                <w:lang w:eastAsia="zh-CN"/>
              </w:rPr>
            </w:pPr>
            <w:r>
              <w:rPr>
                <w:rFonts w:hint="default" w:ascii="Times New Roman" w:hAnsi="Times New Roman" w:cs="Times New Roman" w:eastAsiaTheme="minorEastAsia"/>
                <w:color w:val="auto"/>
                <w:szCs w:val="21"/>
                <w:highlight w:val="none"/>
                <w:u w:val="none"/>
                <w:lang w:eastAsia="zh-CN"/>
              </w:rPr>
              <w:t>详见采购需求</w:t>
            </w:r>
          </w:p>
        </w:tc>
      </w:tr>
      <w:tr w14:paraId="794E0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16A00ED5">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5095CA30">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第9.2（3）项</w:t>
            </w:r>
          </w:p>
        </w:tc>
        <w:tc>
          <w:tcPr>
            <w:tcW w:w="1843" w:type="dxa"/>
            <w:tcBorders>
              <w:tl2br w:val="nil"/>
              <w:tr2bl w:val="nil"/>
            </w:tcBorders>
            <w:noWrap w:val="0"/>
            <w:vAlign w:val="center"/>
          </w:tcPr>
          <w:p w14:paraId="4F29D859">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响应时间</w:t>
            </w:r>
          </w:p>
        </w:tc>
        <w:tc>
          <w:tcPr>
            <w:tcW w:w="5464" w:type="dxa"/>
            <w:tcBorders>
              <w:tl2br w:val="nil"/>
              <w:tr2bl w:val="nil"/>
            </w:tcBorders>
            <w:noWrap w:val="0"/>
            <w:vAlign w:val="center"/>
          </w:tcPr>
          <w:p w14:paraId="1DFC1AA7">
            <w:pPr>
              <w:adjustRightInd w:val="0"/>
              <w:snapToGrid w:val="0"/>
              <w:spacing w:line="360" w:lineRule="auto"/>
              <w:jc w:val="left"/>
              <w:rPr>
                <w:rFonts w:hint="default" w:ascii="Times New Roman" w:hAnsi="Times New Roman" w:cs="Times New Roman" w:eastAsiaTheme="minorEastAsia"/>
                <w:color w:val="auto"/>
                <w:szCs w:val="21"/>
                <w:highlight w:val="none"/>
                <w:u w:val="none"/>
                <w:lang w:eastAsia="zh-CN"/>
              </w:rPr>
            </w:pPr>
            <w:r>
              <w:rPr>
                <w:rFonts w:hint="default" w:ascii="Times New Roman" w:hAnsi="Times New Roman" w:cs="Times New Roman" w:eastAsiaTheme="minorEastAsia"/>
                <w:color w:val="auto"/>
                <w:szCs w:val="21"/>
                <w:highlight w:val="none"/>
                <w:u w:val="none"/>
                <w:lang w:eastAsia="zh-CN"/>
              </w:rPr>
              <w:t>详见采购需求</w:t>
            </w:r>
          </w:p>
        </w:tc>
      </w:tr>
      <w:tr w14:paraId="45E93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47A03B50">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2C2F9D41">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第13.5款</w:t>
            </w:r>
          </w:p>
        </w:tc>
        <w:tc>
          <w:tcPr>
            <w:tcW w:w="1843" w:type="dxa"/>
            <w:tcBorders>
              <w:tl2br w:val="nil"/>
              <w:tr2bl w:val="nil"/>
            </w:tcBorders>
            <w:noWrap w:val="0"/>
            <w:vAlign w:val="center"/>
          </w:tcPr>
          <w:p w14:paraId="26927677">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合同价款支付方式</w:t>
            </w:r>
            <w:r>
              <w:rPr>
                <w:rFonts w:hint="default" w:ascii="Times New Roman" w:hAnsi="Times New Roman" w:cs="Times New Roman" w:eastAsiaTheme="minorEastAsia"/>
                <w:bCs/>
                <w:color w:val="auto"/>
                <w:szCs w:val="21"/>
                <w:highlight w:val="none"/>
              </w:rPr>
              <w:t>和条件</w:t>
            </w:r>
          </w:p>
        </w:tc>
        <w:tc>
          <w:tcPr>
            <w:tcW w:w="5464" w:type="dxa"/>
            <w:tcBorders>
              <w:tl2br w:val="nil"/>
              <w:tr2bl w:val="nil"/>
            </w:tcBorders>
            <w:noWrap w:val="0"/>
            <w:vAlign w:val="center"/>
          </w:tcPr>
          <w:p w14:paraId="2DECB744">
            <w:pPr>
              <w:adjustRightInd w:val="0"/>
              <w:snapToGrid w:val="0"/>
              <w:spacing w:line="360" w:lineRule="auto"/>
              <w:jc w:val="left"/>
              <w:rPr>
                <w:rFonts w:hint="default" w:ascii="Times New Roman" w:hAnsi="Times New Roman" w:cs="Times New Roman" w:eastAsiaTheme="minorEastAsia"/>
                <w:color w:val="auto"/>
                <w:szCs w:val="21"/>
                <w:highlight w:val="none"/>
                <w:u w:val="none"/>
                <w:lang w:val="en-US" w:eastAsia="zh-CN"/>
              </w:rPr>
            </w:pPr>
            <w:r>
              <w:rPr>
                <w:rFonts w:hint="default" w:ascii="Times New Roman" w:hAnsi="Times New Roman" w:cs="Times New Roman" w:eastAsiaTheme="minorEastAsia"/>
                <w:color w:val="auto"/>
                <w:szCs w:val="21"/>
                <w:highlight w:val="none"/>
                <w:u w:val="none"/>
                <w:lang w:val="en-US" w:eastAsia="zh-CN"/>
              </w:rPr>
              <w:t>具体以双方签订合同为准</w:t>
            </w:r>
          </w:p>
        </w:tc>
      </w:tr>
      <w:tr w14:paraId="07858F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708C98E9">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78E7489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第14.2（6）项</w:t>
            </w:r>
          </w:p>
        </w:tc>
        <w:tc>
          <w:tcPr>
            <w:tcW w:w="1843" w:type="dxa"/>
            <w:tcBorders>
              <w:tl2br w:val="nil"/>
              <w:tr2bl w:val="nil"/>
            </w:tcBorders>
            <w:noWrap w:val="0"/>
            <w:vAlign w:val="center"/>
          </w:tcPr>
          <w:p w14:paraId="3A98F007">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乙方提供的其他服务</w:t>
            </w:r>
          </w:p>
        </w:tc>
        <w:tc>
          <w:tcPr>
            <w:tcW w:w="5464" w:type="dxa"/>
            <w:tcBorders>
              <w:tl2br w:val="nil"/>
              <w:tr2bl w:val="nil"/>
            </w:tcBorders>
            <w:noWrap w:val="0"/>
            <w:vAlign w:val="center"/>
          </w:tcPr>
          <w:p w14:paraId="54EC9E36">
            <w:pPr>
              <w:adjustRightInd w:val="0"/>
              <w:snapToGrid w:val="0"/>
              <w:spacing w:line="360" w:lineRule="auto"/>
              <w:jc w:val="left"/>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u w:val="single"/>
                <w:lang w:eastAsia="zh-CN"/>
              </w:rPr>
              <w:t>无</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lang w:val="en-US" w:eastAsia="zh-CN"/>
              </w:rPr>
              <w:t xml:space="preserve"> </w:t>
            </w:r>
          </w:p>
        </w:tc>
      </w:tr>
      <w:tr w14:paraId="69783E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75F107C6">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55DEB00D">
            <w:pPr>
              <w:adjustRightInd w:val="0"/>
              <w:snapToGrid w:val="0"/>
              <w:spacing w:line="360" w:lineRule="auto"/>
              <w:jc w:val="center"/>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color w:val="auto"/>
                <w:szCs w:val="21"/>
                <w:highlight w:val="none"/>
              </w:rPr>
              <w:t>第20.2款</w:t>
            </w:r>
          </w:p>
        </w:tc>
        <w:tc>
          <w:tcPr>
            <w:tcW w:w="1843" w:type="dxa"/>
            <w:tcBorders>
              <w:tl2br w:val="nil"/>
              <w:tr2bl w:val="nil"/>
            </w:tcBorders>
            <w:noWrap w:val="0"/>
            <w:vAlign w:val="center"/>
          </w:tcPr>
          <w:p w14:paraId="2E68B7A2">
            <w:pPr>
              <w:adjustRightInd w:val="0"/>
              <w:snapToGrid w:val="0"/>
              <w:spacing w:line="360" w:lineRule="auto"/>
              <w:jc w:val="left"/>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color w:val="auto"/>
                <w:szCs w:val="21"/>
                <w:highlight w:val="none"/>
              </w:rPr>
              <w:t>解决争议的方式</w:t>
            </w:r>
          </w:p>
        </w:tc>
        <w:tc>
          <w:tcPr>
            <w:tcW w:w="5464" w:type="dxa"/>
            <w:tcBorders>
              <w:tl2br w:val="nil"/>
              <w:tr2bl w:val="nil"/>
            </w:tcBorders>
            <w:noWrap w:val="0"/>
            <w:vAlign w:val="center"/>
          </w:tcPr>
          <w:p w14:paraId="68350AD5">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eastAsia="zh-CN"/>
              </w:rPr>
              <w:t>☑</w:t>
            </w:r>
            <w:r>
              <w:rPr>
                <w:rFonts w:hint="default" w:ascii="Times New Roman" w:hAnsi="Times New Roman" w:cs="Times New Roman" w:eastAsiaTheme="minorEastAsia"/>
                <w:color w:val="auto"/>
                <w:szCs w:val="21"/>
                <w:highlight w:val="none"/>
              </w:rPr>
              <w:t xml:space="preserve"> 诉讼</w:t>
            </w:r>
          </w:p>
          <w:p w14:paraId="10D3F70C">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 仲裁</w:t>
            </w:r>
          </w:p>
        </w:tc>
      </w:tr>
      <w:tr w14:paraId="6BE23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noWrap w:val="0"/>
            <w:vAlign w:val="center"/>
          </w:tcPr>
          <w:p w14:paraId="14DB443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本章第二节</w:t>
            </w:r>
          </w:p>
          <w:p w14:paraId="6974D7AE">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第23.1款</w:t>
            </w:r>
          </w:p>
        </w:tc>
        <w:tc>
          <w:tcPr>
            <w:tcW w:w="1843" w:type="dxa"/>
            <w:tcBorders>
              <w:tl2br w:val="nil"/>
              <w:tr2bl w:val="nil"/>
            </w:tcBorders>
            <w:noWrap w:val="0"/>
            <w:vAlign w:val="center"/>
          </w:tcPr>
          <w:p w14:paraId="6C4CE0E3">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Cs/>
                <w:color w:val="auto"/>
                <w:szCs w:val="21"/>
                <w:highlight w:val="none"/>
              </w:rPr>
              <w:t>合同未尽事项</w:t>
            </w:r>
          </w:p>
        </w:tc>
        <w:tc>
          <w:tcPr>
            <w:tcW w:w="5464" w:type="dxa"/>
            <w:tcBorders>
              <w:tl2br w:val="nil"/>
              <w:tr2bl w:val="nil"/>
            </w:tcBorders>
            <w:noWrap w:val="0"/>
            <w:vAlign w:val="center"/>
          </w:tcPr>
          <w:p w14:paraId="5B22608D">
            <w:pPr>
              <w:adjustRightInd w:val="0"/>
              <w:snapToGrid w:val="0"/>
              <w:spacing w:line="360" w:lineRule="auto"/>
              <w:jc w:val="left"/>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eastAsiaTheme="minorEastAsia"/>
                <w:color w:val="auto"/>
                <w:szCs w:val="21"/>
                <w:highlight w:val="none"/>
                <w:lang w:eastAsia="zh-CN"/>
              </w:rPr>
              <w:t>双方协商</w:t>
            </w:r>
          </w:p>
        </w:tc>
      </w:tr>
    </w:tbl>
    <w:p w14:paraId="6BD76144">
      <w:pPr>
        <w:keepNext/>
        <w:keepLines/>
        <w:widowControl w:val="0"/>
        <w:adjustRightInd w:val="0"/>
        <w:snapToGrid w:val="0"/>
        <w:spacing w:line="360" w:lineRule="auto"/>
        <w:ind w:left="420" w:leftChars="200"/>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r>
        <w:rPr>
          <w:rFonts w:hint="default" w:ascii="Times New Roman" w:hAnsi="Times New Roman" w:cs="Times New Roman" w:eastAsiaTheme="minorEastAsia"/>
          <w:b/>
          <w:bCs/>
          <w:color w:val="auto"/>
          <w:kern w:val="2"/>
          <w:sz w:val="24"/>
          <w:szCs w:val="32"/>
          <w:highlight w:val="none"/>
          <w:lang w:val="en-US" w:eastAsia="zh-CN" w:bidi="ar-SA"/>
        </w:rPr>
        <w:br w:type="page"/>
      </w:r>
      <w:bookmarkEnd w:id="579"/>
      <w:bookmarkStart w:id="580" w:name="_Toc24509"/>
      <w:bookmarkStart w:id="581" w:name="_Toc34637788"/>
      <w:bookmarkStart w:id="582" w:name="_Toc5119"/>
      <w:bookmarkStart w:id="583" w:name="_Toc12810"/>
      <w:bookmarkStart w:id="584" w:name="_Toc13222"/>
      <w:bookmarkStart w:id="585" w:name="_Toc11205"/>
      <w:bookmarkStart w:id="586" w:name="_Toc10786"/>
      <w:bookmarkStart w:id="587" w:name="_Toc1128"/>
      <w:bookmarkStart w:id="588" w:name="_Toc3386"/>
      <w:bookmarkStart w:id="589" w:name="_Toc27868"/>
      <w:bookmarkStart w:id="590" w:name="_Toc12250"/>
      <w:bookmarkStart w:id="591" w:name="_Toc16811"/>
      <w:bookmarkStart w:id="592" w:name="_Toc13778"/>
      <w:bookmarkStart w:id="593" w:name="_Toc25906"/>
      <w:bookmarkStart w:id="594" w:name="_Toc17289"/>
      <w:bookmarkStart w:id="595" w:name="_Toc10044"/>
      <w:bookmarkStart w:id="596" w:name="_Toc18910"/>
      <w:bookmarkStart w:id="597" w:name="_Toc31679"/>
      <w:bookmarkStart w:id="598" w:name="_Toc19642"/>
      <w:bookmarkStart w:id="599" w:name="_Toc19628646"/>
      <w:bookmarkStart w:id="600" w:name="_Toc19807"/>
      <w:bookmarkStart w:id="601" w:name="_Toc1857"/>
      <w:bookmarkStart w:id="602" w:name="_Toc26383"/>
      <w:bookmarkStart w:id="603" w:name="_Toc3101"/>
      <w:bookmarkStart w:id="604" w:name="_Toc15612"/>
      <w:bookmarkStart w:id="605" w:name="_Toc24394"/>
      <w:bookmarkStart w:id="606" w:name="_Toc19382"/>
      <w:r>
        <w:rPr>
          <w:rFonts w:hint="default" w:ascii="Times New Roman" w:hAnsi="Times New Roman" w:cs="Times New Roman" w:eastAsiaTheme="minorEastAsia"/>
          <w:b/>
          <w:bCs/>
          <w:color w:val="auto"/>
          <w:kern w:val="2"/>
          <w:sz w:val="32"/>
          <w:szCs w:val="32"/>
          <w:highlight w:val="none"/>
          <w:lang w:val="en-US" w:eastAsia="zh-CN" w:bidi="ar-SA"/>
        </w:rPr>
        <w:t>第五章 响应文件组成</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1387907B">
      <w:pPr>
        <w:widowControl/>
        <w:tabs>
          <w:tab w:val="left" w:pos="753"/>
        </w:tabs>
        <w:adjustRightInd w:val="0"/>
        <w:snapToGrid w:val="0"/>
        <w:spacing w:before="156" w:beforeLines="50" w:line="360" w:lineRule="auto"/>
        <w:ind w:firstLine="4200" w:firstLineChars="1500"/>
        <w:jc w:val="both"/>
        <w:rPr>
          <w:rFonts w:hint="default" w:ascii="Times New Roman" w:hAnsi="Times New Roman" w:cs="Times New Roman" w:eastAsiaTheme="minorEastAsia"/>
          <w:color w:val="auto"/>
          <w:sz w:val="28"/>
          <w:szCs w:val="28"/>
          <w:highlight w:val="none"/>
        </w:rPr>
      </w:pPr>
      <w:bookmarkStart w:id="607" w:name="_Toc9202"/>
      <w:r>
        <w:rPr>
          <w:rFonts w:hint="default" w:ascii="Times New Roman" w:hAnsi="Times New Roman" w:cs="Times New Roman" w:eastAsiaTheme="minorEastAsia"/>
          <w:color w:val="auto"/>
          <w:sz w:val="28"/>
          <w:szCs w:val="28"/>
          <w:highlight w:val="none"/>
        </w:rPr>
        <w:t>目录</w:t>
      </w:r>
      <w:bookmarkEnd w:id="607"/>
    </w:p>
    <w:p w14:paraId="29700781">
      <w:pPr>
        <w:adjustRightInd w:val="0"/>
        <w:snapToGrid w:val="0"/>
        <w:spacing w:before="156" w:beforeLines="50" w:line="360" w:lineRule="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供应商的响应文件应包含以下部分：</w:t>
      </w:r>
    </w:p>
    <w:p w14:paraId="10FA729E">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一、报价表及报价文件(格式)</w:t>
      </w:r>
    </w:p>
    <w:p w14:paraId="0EDDEBB7">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二、谈判响应声明(格式)</w:t>
      </w:r>
    </w:p>
    <w:p w14:paraId="30625C1A">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三、保证金</w:t>
      </w:r>
    </w:p>
    <w:p w14:paraId="5E1A740E">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四、授权委托书(格式)</w:t>
      </w:r>
    </w:p>
    <w:p w14:paraId="1EFE5293">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五、</w:t>
      </w:r>
      <w:r>
        <w:rPr>
          <w:rFonts w:hint="default" w:ascii="Times New Roman" w:hAnsi="Times New Roman" w:cs="Times New Roman" w:eastAsiaTheme="minorEastAsia"/>
          <w:color w:val="auto"/>
          <w:kern w:val="32"/>
          <w:szCs w:val="21"/>
          <w:highlight w:val="none"/>
        </w:rPr>
        <w:t>供应商资格审查材料</w:t>
      </w:r>
    </w:p>
    <w:p w14:paraId="728D7266">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eastAsiaTheme="minorEastAsia"/>
          <w:color w:val="auto"/>
          <w:szCs w:val="21"/>
          <w:highlight w:val="none"/>
        </w:rPr>
        <w:t>六、采购需求响应</w:t>
      </w:r>
    </w:p>
    <w:p w14:paraId="26284155">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七、合同条款偏离表</w:t>
      </w:r>
    </w:p>
    <w:p w14:paraId="6DBD0161">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八、采购需求偏离表</w:t>
      </w:r>
    </w:p>
    <w:p w14:paraId="292DA43D">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九、享受政府采购政策的证明资料</w:t>
      </w:r>
    </w:p>
    <w:p w14:paraId="60D13FC3">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kern w:val="32"/>
          <w:szCs w:val="21"/>
          <w:highlight w:val="none"/>
        </w:rPr>
        <w:t>十、</w:t>
      </w:r>
      <w:r>
        <w:rPr>
          <w:rFonts w:hint="default" w:ascii="Times New Roman" w:hAnsi="Times New Roman" w:cs="Times New Roman" w:eastAsiaTheme="minorEastAsia"/>
          <w:color w:val="auto"/>
          <w:szCs w:val="21"/>
          <w:highlight w:val="none"/>
        </w:rPr>
        <w:t>响应标的符合谈判文件规定的证明文件</w:t>
      </w:r>
    </w:p>
    <w:p w14:paraId="3E28BF4D">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十一、供应商认为需提供的其他资料（如有）</w:t>
      </w:r>
    </w:p>
    <w:p w14:paraId="3758703E">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十二、最后报价</w:t>
      </w:r>
    </w:p>
    <w:p w14:paraId="57D868B3">
      <w:pPr>
        <w:widowControl/>
        <w:tabs>
          <w:tab w:val="left" w:pos="753"/>
        </w:tabs>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43439CFB">
      <w:pPr>
        <w:adjustRightInd w:val="0"/>
        <w:snapToGrid w:val="0"/>
        <w:spacing w:before="156" w:beforeLines="50" w:line="360" w:lineRule="auto"/>
        <w:rPr>
          <w:rFonts w:hint="default" w:ascii="Times New Roman" w:hAnsi="Times New Roman" w:cs="Times New Roman" w:eastAsiaTheme="minorEastAsia"/>
          <w:color w:val="auto"/>
          <w:highlight w:val="none"/>
        </w:rPr>
      </w:pPr>
    </w:p>
    <w:p w14:paraId="37EFE07A">
      <w:pPr>
        <w:spacing w:line="360" w:lineRule="exact"/>
        <w:jc w:val="center"/>
        <w:rPr>
          <w:rFonts w:hint="default" w:ascii="Times New Roman" w:hAnsi="Times New Roman" w:cs="Times New Roman" w:eastAsiaTheme="minorEastAsia"/>
          <w:b/>
          <w:color w:val="auto"/>
          <w:sz w:val="32"/>
          <w:szCs w:val="32"/>
          <w:highlight w:val="none"/>
        </w:rPr>
      </w:pPr>
    </w:p>
    <w:p w14:paraId="51F4D8C7">
      <w:pPr>
        <w:spacing w:line="360" w:lineRule="exact"/>
        <w:jc w:val="center"/>
        <w:rPr>
          <w:rFonts w:hint="default" w:ascii="Times New Roman" w:hAnsi="Times New Roman" w:cs="Times New Roman" w:eastAsiaTheme="minorEastAsia"/>
          <w:b/>
          <w:color w:val="auto"/>
          <w:sz w:val="32"/>
          <w:szCs w:val="32"/>
          <w:highlight w:val="none"/>
        </w:rPr>
      </w:pPr>
    </w:p>
    <w:p w14:paraId="31E5669E">
      <w:pPr>
        <w:spacing w:line="360" w:lineRule="exact"/>
        <w:jc w:val="center"/>
        <w:rPr>
          <w:rFonts w:hint="default" w:ascii="Times New Roman" w:hAnsi="Times New Roman" w:cs="Times New Roman" w:eastAsiaTheme="minorEastAsia"/>
          <w:b/>
          <w:color w:val="auto"/>
          <w:sz w:val="32"/>
          <w:szCs w:val="32"/>
          <w:highlight w:val="none"/>
        </w:rPr>
      </w:pPr>
    </w:p>
    <w:p w14:paraId="17B7A6E2">
      <w:pPr>
        <w:spacing w:line="360" w:lineRule="exact"/>
        <w:jc w:val="center"/>
        <w:rPr>
          <w:rFonts w:hint="default" w:ascii="Times New Roman" w:hAnsi="Times New Roman" w:cs="Times New Roman" w:eastAsiaTheme="minorEastAsia"/>
          <w:b/>
          <w:color w:val="auto"/>
          <w:sz w:val="32"/>
          <w:szCs w:val="32"/>
          <w:highlight w:val="none"/>
        </w:rPr>
      </w:pPr>
    </w:p>
    <w:p w14:paraId="72AE21D1">
      <w:pPr>
        <w:spacing w:line="360" w:lineRule="exact"/>
        <w:jc w:val="center"/>
        <w:rPr>
          <w:rFonts w:hint="default" w:ascii="Times New Roman" w:hAnsi="Times New Roman" w:cs="Times New Roman" w:eastAsiaTheme="minorEastAsia"/>
          <w:b/>
          <w:color w:val="auto"/>
          <w:sz w:val="32"/>
          <w:szCs w:val="32"/>
          <w:highlight w:val="none"/>
        </w:rPr>
      </w:pPr>
    </w:p>
    <w:p w14:paraId="737B3C24">
      <w:pPr>
        <w:spacing w:line="360" w:lineRule="exact"/>
        <w:jc w:val="center"/>
        <w:rPr>
          <w:rFonts w:hint="default" w:ascii="Times New Roman" w:hAnsi="Times New Roman" w:cs="Times New Roman" w:eastAsiaTheme="minorEastAsia"/>
          <w:b/>
          <w:color w:val="auto"/>
          <w:sz w:val="32"/>
          <w:szCs w:val="32"/>
          <w:highlight w:val="none"/>
        </w:rPr>
      </w:pPr>
    </w:p>
    <w:p w14:paraId="689B1AB5">
      <w:pPr>
        <w:spacing w:line="360" w:lineRule="exact"/>
        <w:jc w:val="center"/>
        <w:rPr>
          <w:rFonts w:hint="default" w:ascii="Times New Roman" w:hAnsi="Times New Roman" w:cs="Times New Roman" w:eastAsiaTheme="minorEastAsia"/>
          <w:b/>
          <w:color w:val="auto"/>
          <w:sz w:val="32"/>
          <w:szCs w:val="32"/>
          <w:highlight w:val="none"/>
        </w:rPr>
      </w:pPr>
    </w:p>
    <w:p w14:paraId="02348394">
      <w:pPr>
        <w:spacing w:line="360" w:lineRule="exact"/>
        <w:jc w:val="center"/>
        <w:rPr>
          <w:rFonts w:hint="default" w:ascii="Times New Roman" w:hAnsi="Times New Roman" w:cs="Times New Roman" w:eastAsiaTheme="minorEastAsia"/>
          <w:b/>
          <w:color w:val="auto"/>
          <w:sz w:val="32"/>
          <w:szCs w:val="32"/>
          <w:highlight w:val="none"/>
        </w:rPr>
      </w:pPr>
    </w:p>
    <w:p w14:paraId="2BCAC3C6">
      <w:pPr>
        <w:adjustRightInd w:val="0"/>
        <w:snapToGrid w:val="0"/>
        <w:spacing w:line="360" w:lineRule="auto"/>
        <w:jc w:val="center"/>
        <w:rPr>
          <w:rFonts w:hint="default" w:ascii="Times New Roman" w:hAnsi="Times New Roman" w:cs="Times New Roman" w:eastAsiaTheme="minorEastAsia"/>
          <w:color w:val="auto"/>
          <w:sz w:val="32"/>
          <w:szCs w:val="32"/>
          <w:highlight w:val="none"/>
        </w:rPr>
      </w:pPr>
      <w:r>
        <w:rPr>
          <w:rFonts w:hint="default" w:ascii="Times New Roman" w:hAnsi="Times New Roman" w:cs="Times New Roman" w:eastAsiaTheme="minorEastAsia"/>
          <w:color w:val="auto"/>
          <w:highlight w:val="none"/>
        </w:rPr>
        <w:br w:type="page"/>
      </w:r>
    </w:p>
    <w:p w14:paraId="6641DA30">
      <w:pPr>
        <w:adjustRightInd w:val="0"/>
        <w:snapToGrid w:val="0"/>
        <w:spacing w:line="360" w:lineRule="auto"/>
        <w:jc w:val="center"/>
        <w:rPr>
          <w:rFonts w:hint="default" w:ascii="Times New Roman" w:hAnsi="Times New Roman" w:cs="Times New Roman" w:eastAsiaTheme="minorEastAsia"/>
          <w:color w:val="auto"/>
          <w:sz w:val="32"/>
          <w:szCs w:val="32"/>
          <w:highlight w:val="none"/>
        </w:rPr>
      </w:pPr>
    </w:p>
    <w:p w14:paraId="66F0820F">
      <w:pPr>
        <w:widowControl w:val="0"/>
        <w:adjustRightInd w:val="0"/>
        <w:snapToGrid w:val="0"/>
        <w:spacing w:line="360" w:lineRule="auto"/>
        <w:jc w:val="center"/>
        <w:rPr>
          <w:rFonts w:hint="default" w:ascii="Times New Roman" w:hAnsi="Times New Roman" w:cs="Times New Roman" w:eastAsiaTheme="minorEastAsia"/>
          <w:b/>
          <w:bCs/>
          <w:color w:val="auto"/>
          <w:kern w:val="2"/>
          <w:sz w:val="72"/>
          <w:szCs w:val="72"/>
          <w:highlight w:val="none"/>
          <w:lang w:val="en-US" w:eastAsia="zh-CN" w:bidi="ar-SA"/>
        </w:rPr>
      </w:pPr>
      <w:r>
        <w:rPr>
          <w:rFonts w:hint="default" w:ascii="Times New Roman" w:hAnsi="Times New Roman" w:cs="Times New Roman" w:eastAsiaTheme="minorEastAsia"/>
          <w:b/>
          <w:bCs/>
          <w:color w:val="auto"/>
          <w:kern w:val="2"/>
          <w:sz w:val="72"/>
          <w:szCs w:val="72"/>
          <w:highlight w:val="none"/>
          <w:lang w:val="en-US" w:eastAsia="zh-CN" w:bidi="ar-SA"/>
        </w:rPr>
        <w:t>政府采购</w:t>
      </w:r>
    </w:p>
    <w:p w14:paraId="087D7977">
      <w:pPr>
        <w:adjustRightInd w:val="0"/>
        <w:snapToGrid w:val="0"/>
        <w:spacing w:line="360" w:lineRule="auto"/>
        <w:jc w:val="center"/>
        <w:rPr>
          <w:rFonts w:hint="default" w:ascii="Times New Roman" w:hAnsi="Times New Roman" w:cs="Times New Roman" w:eastAsiaTheme="minorEastAsia"/>
          <w:b/>
          <w:bCs/>
          <w:color w:val="auto"/>
          <w:sz w:val="84"/>
          <w:szCs w:val="84"/>
          <w:highlight w:val="none"/>
        </w:rPr>
      </w:pPr>
      <w:r>
        <w:rPr>
          <w:rFonts w:hint="default" w:ascii="Times New Roman" w:hAnsi="Times New Roman" w:cs="Times New Roman" w:eastAsiaTheme="minorEastAsia"/>
          <w:b/>
          <w:bCs/>
          <w:color w:val="auto"/>
          <w:sz w:val="84"/>
          <w:szCs w:val="84"/>
          <w:highlight w:val="none"/>
        </w:rPr>
        <w:t>响 应 文 件</w:t>
      </w:r>
    </w:p>
    <w:p w14:paraId="1B579B75">
      <w:pPr>
        <w:adjustRightInd w:val="0"/>
        <w:snapToGrid w:val="0"/>
        <w:spacing w:line="360" w:lineRule="auto"/>
        <w:rPr>
          <w:rFonts w:hint="default" w:ascii="Times New Roman" w:hAnsi="Times New Roman" w:cs="Times New Roman" w:eastAsiaTheme="minorEastAsia"/>
          <w:b/>
          <w:color w:val="auto"/>
          <w:sz w:val="32"/>
          <w:szCs w:val="32"/>
          <w:highlight w:val="none"/>
        </w:rPr>
      </w:pPr>
    </w:p>
    <w:p w14:paraId="2E47B258">
      <w:pPr>
        <w:adjustRightInd w:val="0"/>
        <w:snapToGrid w:val="0"/>
        <w:spacing w:line="360" w:lineRule="auto"/>
        <w:rPr>
          <w:rFonts w:hint="default" w:ascii="Times New Roman" w:hAnsi="Times New Roman" w:cs="Times New Roman" w:eastAsiaTheme="minorEastAsia"/>
          <w:b/>
          <w:color w:val="auto"/>
          <w:sz w:val="30"/>
          <w:szCs w:val="30"/>
          <w:highlight w:val="none"/>
        </w:rPr>
      </w:pPr>
      <w:r>
        <w:rPr>
          <w:rFonts w:hint="default" w:ascii="Times New Roman" w:hAnsi="Times New Roman" w:cs="Times New Roman" w:eastAsiaTheme="minorEastAsia"/>
          <w:b/>
          <w:color w:val="auto"/>
          <w:sz w:val="32"/>
          <w:szCs w:val="32"/>
          <w:highlight w:val="none"/>
        </w:rPr>
        <w:t xml:space="preserve">                     </w:t>
      </w:r>
    </w:p>
    <w:p w14:paraId="07E2378E">
      <w:pPr>
        <w:widowControl w:val="0"/>
        <w:adjustRightInd w:val="0"/>
        <w:snapToGrid w:val="0"/>
        <w:spacing w:line="360" w:lineRule="auto"/>
        <w:ind w:firstLine="1980" w:firstLineChars="660"/>
        <w:jc w:val="both"/>
        <w:rPr>
          <w:rFonts w:hint="default" w:ascii="Times New Roman" w:hAnsi="Times New Roman" w:cs="Times New Roman" w:eastAsiaTheme="minorEastAsia"/>
          <w:b/>
          <w:bCs/>
          <w:color w:val="auto"/>
          <w:kern w:val="2"/>
          <w:sz w:val="30"/>
          <w:szCs w:val="30"/>
          <w:highlight w:val="none"/>
          <w:u w:val="single"/>
          <w:lang w:val="en-US" w:eastAsia="zh-CN" w:bidi="ar-SA"/>
        </w:rPr>
      </w:pPr>
      <w:r>
        <w:rPr>
          <w:rFonts w:hint="default" w:ascii="Times New Roman" w:hAnsi="Times New Roman" w:cs="Times New Roman" w:eastAsiaTheme="minorEastAsia"/>
          <w:b/>
          <w:bCs/>
          <w:color w:val="auto"/>
          <w:kern w:val="2"/>
          <w:sz w:val="30"/>
          <w:szCs w:val="30"/>
          <w:highlight w:val="none"/>
          <w:lang w:val="en-US" w:eastAsia="zh-CN" w:bidi="ar-SA"/>
        </w:rPr>
        <w:t>采购项目名称:</w:t>
      </w:r>
      <w:r>
        <w:rPr>
          <w:rFonts w:hint="default" w:ascii="Times New Roman" w:hAnsi="Times New Roman" w:cs="Times New Roman" w:eastAsiaTheme="minorEastAsia"/>
          <w:b/>
          <w:bCs/>
          <w:color w:val="auto"/>
          <w:kern w:val="2"/>
          <w:sz w:val="30"/>
          <w:szCs w:val="30"/>
          <w:highlight w:val="none"/>
          <w:u w:val="single"/>
          <w:lang w:val="en-US" w:eastAsia="zh-CN" w:bidi="ar-SA"/>
        </w:rPr>
        <w:t xml:space="preserve">                       </w:t>
      </w:r>
    </w:p>
    <w:p w14:paraId="34CC152B">
      <w:pPr>
        <w:widowControl w:val="0"/>
        <w:adjustRightInd w:val="0"/>
        <w:snapToGrid w:val="0"/>
        <w:spacing w:line="360" w:lineRule="auto"/>
        <w:ind w:firstLine="1980" w:firstLineChars="660"/>
        <w:jc w:val="both"/>
        <w:rPr>
          <w:rFonts w:hint="default" w:ascii="Times New Roman" w:hAnsi="Times New Roman" w:cs="Times New Roman" w:eastAsiaTheme="minorEastAsia"/>
          <w:b/>
          <w:bCs/>
          <w:color w:val="auto"/>
          <w:kern w:val="2"/>
          <w:sz w:val="30"/>
          <w:szCs w:val="30"/>
          <w:highlight w:val="none"/>
          <w:lang w:val="en-US" w:eastAsia="zh-CN" w:bidi="ar-SA"/>
        </w:rPr>
      </w:pPr>
      <w:r>
        <w:rPr>
          <w:rFonts w:hint="default" w:ascii="Times New Roman" w:hAnsi="Times New Roman" w:cs="Times New Roman" w:eastAsiaTheme="minorEastAsia"/>
          <w:b/>
          <w:bCs/>
          <w:color w:val="auto"/>
          <w:kern w:val="2"/>
          <w:sz w:val="30"/>
          <w:szCs w:val="30"/>
          <w:highlight w:val="none"/>
          <w:lang w:val="en-US" w:eastAsia="zh-CN" w:bidi="ar-SA"/>
        </w:rPr>
        <w:t>采   购   人：</w:t>
      </w:r>
      <w:r>
        <w:rPr>
          <w:rFonts w:hint="default" w:ascii="Times New Roman" w:hAnsi="Times New Roman" w:cs="Times New Roman" w:eastAsiaTheme="minorEastAsia"/>
          <w:b/>
          <w:bCs/>
          <w:color w:val="auto"/>
          <w:kern w:val="2"/>
          <w:sz w:val="30"/>
          <w:szCs w:val="30"/>
          <w:highlight w:val="none"/>
          <w:u w:val="single"/>
          <w:lang w:val="en-US" w:eastAsia="zh-CN" w:bidi="ar-SA"/>
        </w:rPr>
        <w:t xml:space="preserve">                       </w:t>
      </w:r>
    </w:p>
    <w:p w14:paraId="174A2F9C">
      <w:pPr>
        <w:widowControl w:val="0"/>
        <w:adjustRightInd w:val="0"/>
        <w:snapToGrid w:val="0"/>
        <w:spacing w:line="360" w:lineRule="auto"/>
        <w:ind w:firstLine="1980" w:firstLineChars="660"/>
        <w:jc w:val="both"/>
        <w:rPr>
          <w:rFonts w:hint="default" w:ascii="Times New Roman" w:hAnsi="Times New Roman" w:cs="Times New Roman" w:eastAsiaTheme="minorEastAsia"/>
          <w:b/>
          <w:bCs/>
          <w:color w:val="auto"/>
          <w:kern w:val="2"/>
          <w:sz w:val="30"/>
          <w:szCs w:val="30"/>
          <w:highlight w:val="none"/>
          <w:u w:val="single"/>
          <w:lang w:val="en-US" w:eastAsia="zh-CN" w:bidi="ar-SA"/>
        </w:rPr>
      </w:pPr>
      <w:r>
        <w:rPr>
          <w:rFonts w:hint="default" w:ascii="Times New Roman" w:hAnsi="Times New Roman" w:cs="Times New Roman" w:eastAsiaTheme="minorEastAsia"/>
          <w:b/>
          <w:bCs/>
          <w:color w:val="auto"/>
          <w:kern w:val="2"/>
          <w:sz w:val="30"/>
          <w:szCs w:val="30"/>
          <w:highlight w:val="none"/>
          <w:lang w:val="en-US" w:eastAsia="zh-CN" w:bidi="ar-SA"/>
        </w:rPr>
        <w:t>政府采购编号:</w:t>
      </w:r>
      <w:r>
        <w:rPr>
          <w:rFonts w:hint="default" w:ascii="Times New Roman" w:hAnsi="Times New Roman" w:cs="Times New Roman" w:eastAsiaTheme="minorEastAsia"/>
          <w:b/>
          <w:bCs/>
          <w:color w:val="auto"/>
          <w:kern w:val="2"/>
          <w:sz w:val="30"/>
          <w:szCs w:val="30"/>
          <w:highlight w:val="none"/>
          <w:u w:val="single"/>
          <w:lang w:val="en-US" w:eastAsia="zh-CN" w:bidi="ar-SA"/>
        </w:rPr>
        <w:t xml:space="preserve">                       </w:t>
      </w:r>
    </w:p>
    <w:p w14:paraId="308F6357">
      <w:pPr>
        <w:widowControl w:val="0"/>
        <w:adjustRightInd w:val="0"/>
        <w:snapToGrid w:val="0"/>
        <w:spacing w:line="360" w:lineRule="auto"/>
        <w:ind w:firstLine="1980" w:firstLineChars="660"/>
        <w:jc w:val="both"/>
        <w:rPr>
          <w:rFonts w:hint="default" w:ascii="Times New Roman" w:hAnsi="Times New Roman" w:cs="Times New Roman" w:eastAsiaTheme="minorEastAsia"/>
          <w:b/>
          <w:bCs/>
          <w:color w:val="auto"/>
          <w:kern w:val="2"/>
          <w:sz w:val="30"/>
          <w:szCs w:val="30"/>
          <w:highlight w:val="none"/>
          <w:u w:val="single"/>
          <w:lang w:val="en-US" w:eastAsia="zh-CN" w:bidi="ar-SA"/>
        </w:rPr>
      </w:pPr>
      <w:r>
        <w:rPr>
          <w:rFonts w:hint="default" w:ascii="Times New Roman" w:hAnsi="Times New Roman" w:cs="Times New Roman" w:eastAsiaTheme="minorEastAsia"/>
          <w:b/>
          <w:bCs/>
          <w:color w:val="auto"/>
          <w:kern w:val="2"/>
          <w:sz w:val="30"/>
          <w:szCs w:val="30"/>
          <w:highlight w:val="none"/>
          <w:lang w:val="en-US" w:eastAsia="zh-CN" w:bidi="ar-SA"/>
        </w:rPr>
        <w:t>采购代理编号:</w:t>
      </w:r>
      <w:r>
        <w:rPr>
          <w:rFonts w:hint="default" w:ascii="Times New Roman" w:hAnsi="Times New Roman" w:cs="Times New Roman" w:eastAsiaTheme="minorEastAsia"/>
          <w:b/>
          <w:bCs/>
          <w:color w:val="auto"/>
          <w:kern w:val="2"/>
          <w:sz w:val="30"/>
          <w:szCs w:val="30"/>
          <w:highlight w:val="none"/>
          <w:u w:val="single"/>
          <w:lang w:val="en-US" w:eastAsia="zh-CN" w:bidi="ar-SA"/>
        </w:rPr>
        <w:t xml:space="preserve">                       </w:t>
      </w:r>
    </w:p>
    <w:p w14:paraId="5D6DCD24">
      <w:pPr>
        <w:widowControl w:val="0"/>
        <w:adjustRightInd w:val="0"/>
        <w:snapToGrid w:val="0"/>
        <w:spacing w:line="360" w:lineRule="auto"/>
        <w:ind w:firstLine="1980" w:firstLineChars="660"/>
        <w:jc w:val="both"/>
        <w:rPr>
          <w:rFonts w:hint="default" w:ascii="Times New Roman" w:hAnsi="Times New Roman" w:cs="Times New Roman" w:eastAsiaTheme="minorEastAsia"/>
          <w:b/>
          <w:bCs/>
          <w:color w:val="auto"/>
          <w:kern w:val="2"/>
          <w:sz w:val="30"/>
          <w:szCs w:val="30"/>
          <w:highlight w:val="none"/>
          <w:u w:val="single"/>
          <w:lang w:val="en-US" w:eastAsia="zh-CN" w:bidi="ar-SA"/>
        </w:rPr>
      </w:pPr>
      <w:r>
        <w:rPr>
          <w:rFonts w:hint="default" w:ascii="Times New Roman" w:hAnsi="Times New Roman" w:cs="Times New Roman" w:eastAsiaTheme="minorEastAsia"/>
          <w:b/>
          <w:bCs/>
          <w:color w:val="auto"/>
          <w:kern w:val="2"/>
          <w:sz w:val="30"/>
          <w:szCs w:val="30"/>
          <w:highlight w:val="none"/>
          <w:lang w:val="en-US" w:eastAsia="zh-CN" w:bidi="ar-SA"/>
        </w:rPr>
        <w:t>采购代理机构：</w:t>
      </w:r>
      <w:r>
        <w:rPr>
          <w:rFonts w:hint="default" w:ascii="Times New Roman" w:hAnsi="Times New Roman" w:cs="Times New Roman" w:eastAsiaTheme="minorEastAsia"/>
          <w:b/>
          <w:bCs/>
          <w:color w:val="auto"/>
          <w:kern w:val="2"/>
          <w:sz w:val="30"/>
          <w:szCs w:val="30"/>
          <w:highlight w:val="none"/>
          <w:u w:val="single"/>
          <w:lang w:val="en-US" w:eastAsia="zh-CN" w:bidi="ar-SA"/>
        </w:rPr>
        <w:t xml:space="preserve">                      </w:t>
      </w:r>
    </w:p>
    <w:p w14:paraId="5DA09139">
      <w:pPr>
        <w:adjustRightInd w:val="0"/>
        <w:snapToGrid w:val="0"/>
        <w:spacing w:line="360" w:lineRule="auto"/>
        <w:rPr>
          <w:rFonts w:hint="default" w:ascii="Times New Roman" w:hAnsi="Times New Roman" w:cs="Times New Roman" w:eastAsiaTheme="minorEastAsia"/>
          <w:color w:val="auto"/>
          <w:sz w:val="30"/>
          <w:szCs w:val="30"/>
          <w:highlight w:val="none"/>
        </w:rPr>
      </w:pPr>
    </w:p>
    <w:p w14:paraId="60AA4DF8">
      <w:pPr>
        <w:adjustRightInd w:val="0"/>
        <w:snapToGrid w:val="0"/>
        <w:rPr>
          <w:rFonts w:hint="default" w:ascii="Times New Roman" w:hAnsi="Times New Roman" w:cs="Times New Roman" w:eastAsiaTheme="minorEastAsia"/>
          <w:color w:val="auto"/>
          <w:sz w:val="30"/>
          <w:szCs w:val="30"/>
          <w:highlight w:val="none"/>
        </w:rPr>
      </w:pPr>
    </w:p>
    <w:p w14:paraId="4B92DCDC">
      <w:pPr>
        <w:adjustRightInd w:val="0"/>
        <w:snapToGrid w:val="0"/>
        <w:spacing w:line="360" w:lineRule="auto"/>
        <w:rPr>
          <w:rFonts w:hint="default" w:ascii="Times New Roman" w:hAnsi="Times New Roman" w:cs="Times New Roman" w:eastAsiaTheme="minorEastAsia"/>
          <w:color w:val="auto"/>
          <w:sz w:val="30"/>
          <w:szCs w:val="30"/>
          <w:highlight w:val="none"/>
        </w:rPr>
      </w:pPr>
    </w:p>
    <w:p w14:paraId="190FC5A0">
      <w:pPr>
        <w:adjustRightInd w:val="0"/>
        <w:snapToGrid w:val="0"/>
        <w:spacing w:line="360" w:lineRule="auto"/>
        <w:rPr>
          <w:rFonts w:hint="default" w:ascii="Times New Roman" w:hAnsi="Times New Roman" w:cs="Times New Roman" w:eastAsiaTheme="minorEastAsia"/>
          <w:color w:val="auto"/>
          <w:sz w:val="30"/>
          <w:szCs w:val="30"/>
          <w:highlight w:val="none"/>
        </w:rPr>
      </w:pPr>
    </w:p>
    <w:p w14:paraId="1FAE3A7D">
      <w:pPr>
        <w:adjustRightInd w:val="0"/>
        <w:snapToGrid w:val="0"/>
        <w:spacing w:line="360" w:lineRule="auto"/>
        <w:rPr>
          <w:rFonts w:hint="default" w:ascii="Times New Roman" w:hAnsi="Times New Roman" w:cs="Times New Roman" w:eastAsiaTheme="minorEastAsia"/>
          <w:color w:val="auto"/>
          <w:sz w:val="30"/>
          <w:szCs w:val="30"/>
          <w:highlight w:val="none"/>
        </w:rPr>
      </w:pPr>
    </w:p>
    <w:p w14:paraId="5B297F33">
      <w:pPr>
        <w:adjustRightInd w:val="0"/>
        <w:snapToGrid w:val="0"/>
        <w:spacing w:line="360" w:lineRule="auto"/>
        <w:ind w:firstLine="1984" w:firstLineChars="620"/>
        <w:rPr>
          <w:rFonts w:hint="default" w:ascii="Times New Roman" w:hAnsi="Times New Roman" w:cs="Times New Roman" w:eastAsiaTheme="minorEastAsia"/>
          <w:color w:val="auto"/>
          <w:sz w:val="32"/>
          <w:szCs w:val="32"/>
          <w:highlight w:val="none"/>
          <w:u w:val="single"/>
        </w:rPr>
      </w:pPr>
      <w:r>
        <w:rPr>
          <w:rFonts w:hint="default" w:ascii="Times New Roman" w:hAnsi="Times New Roman" w:cs="Times New Roman" w:eastAsiaTheme="minorEastAsia"/>
          <w:color w:val="auto"/>
          <w:sz w:val="32"/>
          <w:szCs w:val="32"/>
          <w:highlight w:val="none"/>
        </w:rPr>
        <w:t>供应商</w:t>
      </w:r>
      <w:r>
        <w:rPr>
          <w:rFonts w:hint="default" w:ascii="Times New Roman" w:hAnsi="Times New Roman" w:cs="Times New Roman" w:eastAsiaTheme="minorEastAsia"/>
          <w:color w:val="auto"/>
          <w:sz w:val="32"/>
          <w:szCs w:val="32"/>
          <w:highlight w:val="none"/>
          <w:u w:val="single"/>
        </w:rPr>
        <w:t xml:space="preserve">                         </w:t>
      </w:r>
    </w:p>
    <w:p w14:paraId="13DDD8D4">
      <w:pPr>
        <w:jc w:val="center"/>
        <w:rPr>
          <w:rFonts w:hint="default" w:ascii="Times New Roman" w:hAnsi="Times New Roman" w:cs="Times New Roman" w:eastAsiaTheme="minorEastAsia"/>
          <w:color w:val="auto"/>
          <w:sz w:val="32"/>
          <w:szCs w:val="32"/>
          <w:highlight w:val="none"/>
        </w:rPr>
      </w:pPr>
      <w:r>
        <w:rPr>
          <w:rFonts w:hint="default" w:ascii="Times New Roman" w:hAnsi="Times New Roman" w:cs="Times New Roman" w:eastAsiaTheme="minorEastAsia"/>
          <w:color w:val="auto"/>
          <w:sz w:val="32"/>
          <w:szCs w:val="32"/>
          <w:highlight w:val="none"/>
        </w:rPr>
        <w:t>年  月  日</w:t>
      </w:r>
    </w:p>
    <w:p w14:paraId="06DF6688">
      <w:pPr>
        <w:rPr>
          <w:rFonts w:hint="default" w:ascii="Times New Roman" w:hAnsi="Times New Roman" w:cs="Times New Roman" w:eastAsiaTheme="minorEastAsia"/>
          <w:color w:val="auto"/>
          <w:sz w:val="21"/>
          <w:szCs w:val="21"/>
          <w:highlight w:val="none"/>
        </w:rPr>
      </w:pPr>
      <w:bookmarkStart w:id="608" w:name="_Toc22201151"/>
      <w:bookmarkStart w:id="609" w:name="_Toc34637789"/>
      <w:r>
        <w:rPr>
          <w:rFonts w:hint="default" w:ascii="Times New Roman" w:hAnsi="Times New Roman" w:cs="Times New Roman" w:eastAsiaTheme="minorEastAsia"/>
          <w:color w:val="auto"/>
          <w:sz w:val="21"/>
          <w:szCs w:val="21"/>
          <w:highlight w:val="none"/>
        </w:rPr>
        <w:br w:type="page"/>
      </w:r>
    </w:p>
    <w:p w14:paraId="72392C5C">
      <w:pPr>
        <w:keepNext/>
        <w:keepLines/>
        <w:widowControl w:val="0"/>
        <w:adjustRightInd w:val="0"/>
        <w:snapToGrid w:val="0"/>
        <w:spacing w:line="360" w:lineRule="auto"/>
        <w:ind w:left="420" w:leftChars="200"/>
        <w:jc w:val="both"/>
        <w:outlineLvl w:val="1"/>
        <w:rPr>
          <w:rFonts w:hint="default" w:ascii="Times New Roman" w:hAnsi="Times New Roman" w:cs="Times New Roman" w:eastAsiaTheme="minorEastAsia"/>
          <w:b/>
          <w:bCs/>
          <w:color w:val="auto"/>
          <w:kern w:val="2"/>
          <w:sz w:val="21"/>
          <w:szCs w:val="21"/>
          <w:highlight w:val="none"/>
          <w:lang w:val="en-US" w:eastAsia="zh-CN" w:bidi="ar-SA"/>
        </w:rPr>
      </w:pPr>
      <w:bookmarkStart w:id="610" w:name="_Toc19585"/>
      <w:bookmarkStart w:id="611" w:name="_Toc26020"/>
      <w:bookmarkStart w:id="612" w:name="_Toc20741"/>
      <w:bookmarkStart w:id="613" w:name="_Toc7824"/>
      <w:bookmarkStart w:id="614" w:name="_Toc15262"/>
      <w:bookmarkStart w:id="615" w:name="_Toc998"/>
      <w:bookmarkStart w:id="616" w:name="_Toc27748"/>
      <w:bookmarkStart w:id="617" w:name="_Toc15856"/>
      <w:bookmarkStart w:id="618" w:name="_Toc30834"/>
      <w:bookmarkStart w:id="619" w:name="_Toc4851"/>
      <w:bookmarkStart w:id="620" w:name="_Toc4261"/>
      <w:bookmarkStart w:id="621" w:name="_Toc22620"/>
      <w:bookmarkStart w:id="622" w:name="_Toc14167"/>
      <w:bookmarkStart w:id="623" w:name="_Toc7327"/>
      <w:bookmarkStart w:id="624" w:name="_Toc2209"/>
      <w:bookmarkStart w:id="625" w:name="_Toc14175"/>
      <w:bookmarkStart w:id="626" w:name="_Toc7278"/>
      <w:bookmarkStart w:id="627" w:name="_Toc7165"/>
      <w:bookmarkStart w:id="628" w:name="_Toc15491"/>
      <w:bookmarkStart w:id="629" w:name="_Toc26932"/>
      <w:bookmarkStart w:id="630" w:name="_Toc8188"/>
      <w:bookmarkStart w:id="631" w:name="_Toc30429"/>
      <w:bookmarkStart w:id="632" w:name="_Toc11324"/>
      <w:bookmarkStart w:id="633" w:name="_Toc7821"/>
      <w:r>
        <w:rPr>
          <w:rFonts w:hint="default" w:ascii="Times New Roman" w:hAnsi="Times New Roman" w:cs="Times New Roman" w:eastAsiaTheme="minorEastAsia"/>
          <w:b/>
          <w:bCs/>
          <w:color w:val="auto"/>
          <w:kern w:val="2"/>
          <w:sz w:val="21"/>
          <w:szCs w:val="21"/>
          <w:highlight w:val="none"/>
          <w:lang w:val="en-US" w:eastAsia="zh-CN" w:bidi="ar-SA"/>
        </w:rPr>
        <w:t>索引表 符合性审查索引表</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5CF57C3A">
      <w:pPr>
        <w:adjustRightInd w:val="0"/>
        <w:spacing w:before="156" w:beforeLines="50" w:line="360" w:lineRule="auto"/>
        <w:jc w:val="center"/>
        <w:rPr>
          <w:rFonts w:hint="default" w:ascii="Times New Roman" w:hAnsi="Times New Roman" w:cs="Times New Roman" w:eastAsiaTheme="minorEastAsia"/>
          <w:b/>
          <w:color w:val="auto"/>
          <w:sz w:val="28"/>
          <w:szCs w:val="28"/>
          <w:highlight w:val="none"/>
        </w:rPr>
      </w:pPr>
      <w:r>
        <w:rPr>
          <w:rFonts w:hint="default" w:ascii="Times New Roman" w:hAnsi="Times New Roman" w:cs="Times New Roman" w:eastAsiaTheme="minorEastAsia"/>
          <w:b/>
          <w:color w:val="auto"/>
          <w:sz w:val="28"/>
          <w:szCs w:val="28"/>
          <w:highlight w:val="none"/>
        </w:rPr>
        <w:t>符合性审查索引表</w:t>
      </w: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0A8A22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14:paraId="0F414A5E">
            <w:pPr>
              <w:adjustRightInd w:val="0"/>
              <w:snapToGrid w:val="0"/>
              <w:spacing w:before="156" w:beforeLines="50" w:line="360" w:lineRule="auto"/>
              <w:jc w:val="center"/>
              <w:rPr>
                <w:rFonts w:hint="default" w:ascii="Times New Roman" w:hAnsi="Times New Roman" w:cs="Times New Roman" w:eastAsiaTheme="minorEastAsia"/>
                <w:b/>
                <w:color w:val="auto"/>
                <w:kern w:val="0"/>
                <w:szCs w:val="21"/>
                <w:highlight w:val="none"/>
              </w:rPr>
            </w:pPr>
            <w:r>
              <w:rPr>
                <w:rFonts w:hint="default" w:ascii="Times New Roman" w:hAnsi="Times New Roman" w:cs="Times New Roman" w:eastAsiaTheme="minorEastAsia"/>
                <w:b/>
                <w:color w:val="auto"/>
                <w:kern w:val="0"/>
                <w:szCs w:val="21"/>
                <w:highlight w:val="none"/>
              </w:rPr>
              <w:t>序号</w:t>
            </w:r>
          </w:p>
        </w:tc>
        <w:tc>
          <w:tcPr>
            <w:tcW w:w="1871" w:type="dxa"/>
            <w:tcBorders>
              <w:right w:val="single" w:color="auto" w:sz="4" w:space="0"/>
            </w:tcBorders>
            <w:shd w:val="clear" w:color="auto" w:fill="auto"/>
            <w:vAlign w:val="center"/>
          </w:tcPr>
          <w:p w14:paraId="4370A66E">
            <w:pPr>
              <w:adjustRightInd w:val="0"/>
              <w:snapToGrid w:val="0"/>
              <w:spacing w:before="156" w:beforeLines="50" w:line="360" w:lineRule="auto"/>
              <w:jc w:val="center"/>
              <w:rPr>
                <w:rFonts w:hint="default" w:ascii="Times New Roman" w:hAnsi="Times New Roman" w:cs="Times New Roman" w:eastAsiaTheme="minorEastAsia"/>
                <w:b/>
                <w:color w:val="auto"/>
                <w:kern w:val="0"/>
                <w:sz w:val="20"/>
                <w:szCs w:val="21"/>
                <w:highlight w:val="none"/>
              </w:rPr>
            </w:pPr>
            <w:r>
              <w:rPr>
                <w:rFonts w:hint="default" w:ascii="Times New Roman" w:hAnsi="Times New Roman" w:cs="Times New Roman" w:eastAsiaTheme="minorEastAsia"/>
                <w:b/>
                <w:color w:val="auto"/>
                <w:kern w:val="0"/>
                <w:sz w:val="20"/>
                <w:szCs w:val="21"/>
                <w:highlight w:val="none"/>
              </w:rPr>
              <w:t>谈判文件条款号</w:t>
            </w:r>
          </w:p>
        </w:tc>
        <w:tc>
          <w:tcPr>
            <w:tcW w:w="2410" w:type="dxa"/>
            <w:tcBorders>
              <w:left w:val="single" w:color="auto" w:sz="4" w:space="0"/>
            </w:tcBorders>
            <w:shd w:val="clear" w:color="auto" w:fill="auto"/>
            <w:vAlign w:val="center"/>
          </w:tcPr>
          <w:p w14:paraId="601BB2C5">
            <w:pPr>
              <w:adjustRightInd w:val="0"/>
              <w:snapToGrid w:val="0"/>
              <w:spacing w:before="156" w:beforeLines="50" w:line="360" w:lineRule="auto"/>
              <w:jc w:val="center"/>
              <w:rPr>
                <w:rFonts w:hint="default" w:ascii="Times New Roman" w:hAnsi="Times New Roman" w:cs="Times New Roman" w:eastAsiaTheme="minorEastAsia"/>
                <w:b/>
                <w:color w:val="auto"/>
                <w:kern w:val="0"/>
                <w:sz w:val="20"/>
                <w:szCs w:val="21"/>
                <w:highlight w:val="none"/>
              </w:rPr>
            </w:pPr>
            <w:r>
              <w:rPr>
                <w:rFonts w:hint="default" w:ascii="Times New Roman" w:hAnsi="Times New Roman" w:cs="Times New Roman" w:eastAsiaTheme="minorEastAsia"/>
                <w:b/>
                <w:color w:val="auto"/>
                <w:kern w:val="0"/>
                <w:szCs w:val="21"/>
                <w:highlight w:val="none"/>
              </w:rPr>
              <w:t>审查内容及标准</w:t>
            </w:r>
          </w:p>
        </w:tc>
        <w:tc>
          <w:tcPr>
            <w:tcW w:w="2268" w:type="dxa"/>
            <w:shd w:val="clear" w:color="auto" w:fill="auto"/>
            <w:vAlign w:val="center"/>
          </w:tcPr>
          <w:p w14:paraId="0DC6730C">
            <w:pPr>
              <w:adjustRightInd w:val="0"/>
              <w:snapToGrid w:val="0"/>
              <w:spacing w:before="156" w:beforeLines="50" w:line="360" w:lineRule="auto"/>
              <w:jc w:val="center"/>
              <w:rPr>
                <w:rFonts w:hint="default" w:ascii="Times New Roman" w:hAnsi="Times New Roman" w:cs="Times New Roman" w:eastAsiaTheme="minorEastAsia"/>
                <w:b/>
                <w:color w:val="auto"/>
                <w:kern w:val="0"/>
                <w:szCs w:val="21"/>
                <w:highlight w:val="none"/>
              </w:rPr>
            </w:pPr>
            <w:r>
              <w:rPr>
                <w:rFonts w:hint="default" w:ascii="Times New Roman" w:hAnsi="Times New Roman" w:cs="Times New Roman" w:eastAsiaTheme="minorEastAsia"/>
                <w:b/>
                <w:color w:val="auto"/>
                <w:kern w:val="0"/>
                <w:szCs w:val="21"/>
                <w:highlight w:val="none"/>
              </w:rPr>
              <w:t>响应文件及证明材料</w:t>
            </w:r>
          </w:p>
        </w:tc>
        <w:tc>
          <w:tcPr>
            <w:tcW w:w="1722" w:type="dxa"/>
            <w:shd w:val="clear" w:color="auto" w:fill="auto"/>
            <w:vAlign w:val="center"/>
          </w:tcPr>
          <w:p w14:paraId="3181A468">
            <w:pPr>
              <w:adjustRightInd w:val="0"/>
              <w:snapToGrid w:val="0"/>
              <w:spacing w:before="156" w:beforeLines="50" w:line="360" w:lineRule="auto"/>
              <w:jc w:val="center"/>
              <w:rPr>
                <w:rFonts w:hint="default" w:ascii="Times New Roman" w:hAnsi="Times New Roman" w:cs="Times New Roman" w:eastAsiaTheme="minorEastAsia"/>
                <w:b/>
                <w:color w:val="auto"/>
                <w:kern w:val="0"/>
                <w:sz w:val="20"/>
                <w:szCs w:val="21"/>
                <w:highlight w:val="none"/>
              </w:rPr>
            </w:pPr>
            <w:r>
              <w:rPr>
                <w:rFonts w:hint="default" w:ascii="Times New Roman" w:hAnsi="Times New Roman" w:cs="Times New Roman" w:eastAsiaTheme="minorEastAsia"/>
                <w:b/>
                <w:color w:val="auto"/>
                <w:kern w:val="0"/>
                <w:szCs w:val="21"/>
                <w:highlight w:val="none"/>
              </w:rPr>
              <w:t>响应文件对应内容的册及页码</w:t>
            </w:r>
          </w:p>
        </w:tc>
      </w:tr>
      <w:tr w14:paraId="4C60F5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A32A812">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rPr>
            </w:pPr>
          </w:p>
        </w:tc>
        <w:tc>
          <w:tcPr>
            <w:tcW w:w="1871" w:type="dxa"/>
            <w:tcBorders>
              <w:right w:val="single" w:color="auto" w:sz="4" w:space="0"/>
            </w:tcBorders>
            <w:shd w:val="clear" w:color="auto" w:fill="auto"/>
          </w:tcPr>
          <w:p w14:paraId="11F3534C">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771F1CD3">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540A4E83">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rPr>
            </w:pPr>
          </w:p>
        </w:tc>
        <w:tc>
          <w:tcPr>
            <w:tcW w:w="1722" w:type="dxa"/>
            <w:shd w:val="clear" w:color="auto" w:fill="auto"/>
          </w:tcPr>
          <w:p w14:paraId="14BBA997">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46BBDD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DAD7C88">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37896A4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3EBC96C3">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34191D94">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5461C83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078867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107E943E">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17EA48C3">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27B86AD9">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24DF3B8F">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31CBB90B">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1B0FEB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90A7FD2">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75D18109">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5CDAB9ED">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2CFADC5D">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20A72B68">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3B20EA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6F8CABB">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37AC3746">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264DE516">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3147777F">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5B265AA2">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41E930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DF29DD5">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038948CA">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37980D6E">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1722452A">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62DD83A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1D0888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57141968">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46D7D4D2">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3553C707">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4CF9651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0157B246">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2E1B98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169B0ACD">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5D340407">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418CD11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532FA0C5">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01B66E5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5FA175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244AEA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602BE311">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3E0DC06E">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458EA084">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61B6C5ED">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35FF39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2C8363A">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34967C37">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312B637F">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54D8465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1975B26C">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r w14:paraId="3170C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14:paraId="116B6A70">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871" w:type="dxa"/>
            <w:tcBorders>
              <w:right w:val="single" w:color="auto" w:sz="4" w:space="0"/>
            </w:tcBorders>
            <w:shd w:val="clear" w:color="auto" w:fill="auto"/>
          </w:tcPr>
          <w:p w14:paraId="3BA8796D">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410" w:type="dxa"/>
            <w:tcBorders>
              <w:left w:val="single" w:color="auto" w:sz="4" w:space="0"/>
            </w:tcBorders>
            <w:shd w:val="clear" w:color="auto" w:fill="auto"/>
          </w:tcPr>
          <w:p w14:paraId="11E291FC">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2268" w:type="dxa"/>
            <w:shd w:val="clear" w:color="auto" w:fill="auto"/>
          </w:tcPr>
          <w:p w14:paraId="2C2E7482">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c>
          <w:tcPr>
            <w:tcW w:w="1722" w:type="dxa"/>
            <w:shd w:val="clear" w:color="auto" w:fill="auto"/>
          </w:tcPr>
          <w:p w14:paraId="0D580922">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p>
        </w:tc>
      </w:tr>
    </w:tbl>
    <w:p w14:paraId="40013AA7">
      <w:pPr>
        <w:rPr>
          <w:rFonts w:hint="default" w:ascii="Times New Roman" w:hAnsi="Times New Roman" w:cs="Times New Roman" w:eastAsiaTheme="minorEastAsia"/>
          <w:color w:val="auto"/>
          <w:highlight w:val="none"/>
        </w:rPr>
      </w:pPr>
    </w:p>
    <w:p w14:paraId="2FBBDD0C">
      <w:pPr>
        <w:keepNext/>
        <w:keepLines/>
        <w:spacing w:line="360" w:lineRule="auto"/>
        <w:jc w:val="center"/>
        <w:outlineLvl w:val="1"/>
        <w:rPr>
          <w:rFonts w:hint="default" w:ascii="Times New Roman" w:hAnsi="Times New Roman" w:cs="Times New Roman" w:eastAsiaTheme="minorEastAsia"/>
          <w:b/>
          <w:bCs/>
          <w:color w:val="auto"/>
          <w:sz w:val="28"/>
          <w:szCs w:val="28"/>
          <w:highlight w:val="none"/>
        </w:rPr>
      </w:pPr>
      <w:r>
        <w:rPr>
          <w:rFonts w:hint="default" w:ascii="Times New Roman" w:hAnsi="Times New Roman" w:cs="Times New Roman" w:eastAsiaTheme="minorEastAsia"/>
          <w:color w:val="auto"/>
          <w:highlight w:val="none"/>
        </w:rPr>
        <w:br w:type="page"/>
      </w:r>
      <w:bookmarkStart w:id="634" w:name="_Toc12741"/>
      <w:bookmarkStart w:id="635" w:name="_Toc1827"/>
      <w:bookmarkStart w:id="636" w:name="_Toc22413"/>
      <w:bookmarkStart w:id="637" w:name="_Toc15432"/>
      <w:bookmarkStart w:id="638" w:name="_Toc107998028"/>
      <w:bookmarkStart w:id="639" w:name="_Toc34637800"/>
      <w:r>
        <w:rPr>
          <w:rFonts w:hint="default" w:ascii="Times New Roman" w:hAnsi="Times New Roman" w:cs="Times New Roman" w:eastAsiaTheme="minorEastAsia"/>
          <w:b/>
          <w:bCs/>
          <w:color w:val="auto"/>
          <w:sz w:val="28"/>
          <w:szCs w:val="28"/>
          <w:highlight w:val="none"/>
        </w:rPr>
        <w:t>一、报价表及报价文件(格式)</w:t>
      </w:r>
      <w:bookmarkEnd w:id="634"/>
      <w:bookmarkEnd w:id="635"/>
      <w:bookmarkEnd w:id="636"/>
      <w:bookmarkEnd w:id="637"/>
      <w:bookmarkEnd w:id="638"/>
    </w:p>
    <w:p w14:paraId="1FB74051">
      <w:pPr>
        <w:keepNext/>
        <w:keepLines/>
        <w:spacing w:before="260" w:after="260" w:line="416" w:lineRule="auto"/>
        <w:outlineLvl w:val="2"/>
        <w:rPr>
          <w:rFonts w:hint="default" w:ascii="Times New Roman" w:hAnsi="Times New Roman" w:cs="Times New Roman" w:eastAsiaTheme="minorEastAsia"/>
          <w:b/>
          <w:bCs/>
          <w:color w:val="auto"/>
          <w:szCs w:val="21"/>
          <w:highlight w:val="none"/>
        </w:rPr>
      </w:pPr>
      <w:bookmarkStart w:id="640" w:name="_Toc10964"/>
      <w:bookmarkStart w:id="641" w:name="_Toc107998029"/>
      <w:bookmarkStart w:id="642" w:name="_Toc20780"/>
      <w:bookmarkStart w:id="643" w:name="_Toc26357"/>
      <w:r>
        <w:rPr>
          <w:rFonts w:hint="default" w:ascii="Times New Roman" w:hAnsi="Times New Roman" w:cs="Times New Roman" w:eastAsiaTheme="minorEastAsia"/>
          <w:b/>
          <w:bCs/>
          <w:color w:val="auto"/>
          <w:szCs w:val="21"/>
          <w:highlight w:val="none"/>
        </w:rPr>
        <w:t>附件1-1 报价表</w:t>
      </w:r>
      <w:bookmarkEnd w:id="640"/>
      <w:bookmarkEnd w:id="641"/>
      <w:bookmarkEnd w:id="642"/>
      <w:bookmarkEnd w:id="643"/>
    </w:p>
    <w:p w14:paraId="59156B76">
      <w:pPr>
        <w:jc w:val="center"/>
        <w:rPr>
          <w:rFonts w:hint="default" w:ascii="Times New Roman" w:hAnsi="Times New Roman" w:cs="Times New Roman" w:eastAsiaTheme="minorEastAsia"/>
          <w:b/>
          <w:color w:val="auto"/>
          <w:sz w:val="28"/>
          <w:szCs w:val="28"/>
          <w:highlight w:val="none"/>
        </w:rPr>
      </w:pPr>
      <w:r>
        <w:rPr>
          <w:rFonts w:hint="default" w:ascii="Times New Roman" w:hAnsi="Times New Roman" w:cs="Times New Roman" w:eastAsiaTheme="minorEastAsia"/>
          <w:b/>
          <w:color w:val="auto"/>
          <w:sz w:val="28"/>
          <w:szCs w:val="28"/>
          <w:highlight w:val="none"/>
        </w:rPr>
        <w:t>报价表</w:t>
      </w:r>
    </w:p>
    <w:p w14:paraId="7CA19C93">
      <w:pPr>
        <w:adjustRightInd w:val="0"/>
        <w:snapToGrid w:val="0"/>
        <w:spacing w:line="360" w:lineRule="auto"/>
        <w:ind w:left="-88" w:leftChars="-42"/>
        <w:jc w:val="center"/>
        <w:rPr>
          <w:rFonts w:hint="default" w:ascii="Times New Roman" w:hAnsi="Times New Roman" w:cs="Times New Roman" w:eastAsiaTheme="minorEastAsia"/>
          <w:color w:val="auto"/>
          <w:sz w:val="24"/>
          <w:highlight w:val="none"/>
        </w:rPr>
      </w:pPr>
    </w:p>
    <w:p w14:paraId="6B7C99B9">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政府采购计划编号：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项目名称：</w:t>
      </w:r>
      <w:r>
        <w:rPr>
          <w:rFonts w:hint="default" w:ascii="Times New Roman" w:hAnsi="Times New Roman" w:cs="Times New Roman" w:eastAsiaTheme="minorEastAsia"/>
          <w:color w:val="auto"/>
          <w:szCs w:val="21"/>
          <w:highlight w:val="none"/>
          <w:u w:val="single"/>
        </w:rPr>
        <w:t xml:space="preserve">                        </w:t>
      </w:r>
    </w:p>
    <w:p w14:paraId="1D9D9439">
      <w:pPr>
        <w:adjustRightInd w:val="0"/>
        <w:snapToGrid w:val="0"/>
        <w:spacing w:before="156" w:beforeLines="50" w:line="360" w:lineRule="auto"/>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包号：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包名称：</w:t>
      </w:r>
      <w:r>
        <w:rPr>
          <w:rFonts w:hint="default" w:ascii="Times New Roman" w:hAnsi="Times New Roman" w:cs="Times New Roman" w:eastAsiaTheme="minorEastAsia"/>
          <w:color w:val="auto"/>
          <w:szCs w:val="21"/>
          <w:highlight w:val="none"/>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A9B52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7A6FA18A">
            <w:pPr>
              <w:adjustRightInd w:val="0"/>
              <w:snapToGrid w:val="0"/>
              <w:spacing w:before="156" w:beforeLines="50" w:line="360" w:lineRule="auto"/>
              <w:jc w:val="center"/>
              <w:rPr>
                <w:rFonts w:hint="default" w:ascii="Times New Roman" w:hAnsi="Times New Roman" w:cs="Times New Roman" w:eastAsiaTheme="minorEastAsia"/>
                <w:b/>
                <w:color w:val="auto"/>
                <w:kern w:val="0"/>
                <w:sz w:val="20"/>
                <w:szCs w:val="21"/>
                <w:highlight w:val="none"/>
              </w:rPr>
            </w:pPr>
            <w:r>
              <w:rPr>
                <w:rFonts w:hint="default" w:ascii="Times New Roman" w:hAnsi="Times New Roman" w:cs="Times New Roman" w:eastAsiaTheme="minorEastAsia"/>
                <w:b/>
                <w:color w:val="auto"/>
                <w:kern w:val="0"/>
                <w:szCs w:val="21"/>
                <w:highlight w:val="none"/>
              </w:rPr>
              <w:t>报价</w:t>
            </w:r>
          </w:p>
        </w:tc>
        <w:tc>
          <w:tcPr>
            <w:tcW w:w="3119" w:type="dxa"/>
            <w:noWrap w:val="0"/>
            <w:vAlign w:val="center"/>
          </w:tcPr>
          <w:p w14:paraId="33F8B75D">
            <w:pPr>
              <w:adjustRightInd w:val="0"/>
              <w:snapToGrid w:val="0"/>
              <w:spacing w:before="156" w:beforeLines="50" w:line="360" w:lineRule="auto"/>
              <w:jc w:val="center"/>
              <w:rPr>
                <w:rFonts w:hint="default" w:ascii="Times New Roman" w:hAnsi="Times New Roman" w:cs="Times New Roman" w:eastAsiaTheme="minorEastAsia"/>
                <w:b/>
                <w:color w:val="auto"/>
                <w:kern w:val="0"/>
                <w:szCs w:val="21"/>
                <w:highlight w:val="none"/>
              </w:rPr>
            </w:pPr>
            <w:r>
              <w:rPr>
                <w:rFonts w:hint="default" w:ascii="Times New Roman" w:hAnsi="Times New Roman" w:cs="Times New Roman" w:eastAsiaTheme="minorEastAsia"/>
                <w:b/>
                <w:color w:val="auto"/>
                <w:kern w:val="0"/>
                <w:szCs w:val="21"/>
                <w:highlight w:val="none"/>
              </w:rPr>
              <w:t>其他内容</w:t>
            </w:r>
          </w:p>
        </w:tc>
      </w:tr>
      <w:tr w14:paraId="239491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EB9A224">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小写金额：</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kern w:val="0"/>
                <w:sz w:val="20"/>
                <w:szCs w:val="21"/>
                <w:highlight w:val="none"/>
              </w:rPr>
              <w:t>人民币元</w:t>
            </w:r>
            <w:r>
              <w:rPr>
                <w:rFonts w:hint="default" w:ascii="Times New Roman" w:hAnsi="Times New Roman" w:cs="Times New Roman" w:eastAsiaTheme="minorEastAsia"/>
                <w:color w:val="auto"/>
                <w:kern w:val="0"/>
                <w:szCs w:val="21"/>
                <w:highlight w:val="none"/>
              </w:rPr>
              <w:t>）</w:t>
            </w:r>
          </w:p>
          <w:p w14:paraId="79E0209E">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u w:val="single"/>
              </w:rPr>
            </w:pPr>
            <w:r>
              <w:rPr>
                <w:rFonts w:hint="default" w:ascii="Times New Roman" w:hAnsi="Times New Roman" w:cs="Times New Roman" w:eastAsiaTheme="minorEastAsia"/>
                <w:color w:val="auto"/>
                <w:kern w:val="0"/>
                <w:szCs w:val="21"/>
                <w:highlight w:val="none"/>
              </w:rPr>
              <w:t>大写金额：</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kern w:val="0"/>
                <w:sz w:val="20"/>
                <w:szCs w:val="21"/>
                <w:highlight w:val="none"/>
              </w:rPr>
              <w:t>人民币元</w:t>
            </w:r>
            <w:r>
              <w:rPr>
                <w:rFonts w:hint="default" w:ascii="Times New Roman" w:hAnsi="Times New Roman" w:cs="Times New Roman" w:eastAsiaTheme="minorEastAsia"/>
                <w:color w:val="auto"/>
                <w:kern w:val="0"/>
                <w:szCs w:val="21"/>
                <w:highlight w:val="none"/>
              </w:rPr>
              <w:t>）</w:t>
            </w:r>
          </w:p>
          <w:p w14:paraId="6B76BBE7">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kern w:val="0"/>
                <w:sz w:val="24"/>
                <w:highlight w:val="none"/>
              </w:rPr>
              <w:t>大写金额与小写金额不一致时，以大写金额为准</w:t>
            </w:r>
            <w:r>
              <w:rPr>
                <w:rFonts w:hint="default" w:ascii="Times New Roman" w:hAnsi="Times New Roman" w:cs="Times New Roman" w:eastAsiaTheme="minorEastAsia"/>
                <w:color w:val="auto"/>
                <w:kern w:val="0"/>
                <w:szCs w:val="21"/>
                <w:highlight w:val="none"/>
              </w:rPr>
              <w:t>）</w:t>
            </w:r>
          </w:p>
        </w:tc>
        <w:tc>
          <w:tcPr>
            <w:tcW w:w="3119" w:type="dxa"/>
            <w:noWrap w:val="0"/>
            <w:vAlign w:val="center"/>
          </w:tcPr>
          <w:p w14:paraId="7E4AD9A8">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rPr>
            </w:pPr>
          </w:p>
        </w:tc>
      </w:tr>
    </w:tbl>
    <w:p w14:paraId="228AA10D">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 w:val="0"/>
          <w:bCs/>
          <w:color w:val="auto"/>
          <w:szCs w:val="21"/>
          <w:highlight w:val="none"/>
        </w:rPr>
        <w:t>注：</w:t>
      </w:r>
      <w:r>
        <w:rPr>
          <w:rFonts w:hint="default" w:ascii="Times New Roman" w:hAnsi="Times New Roman" w:cs="Times New Roman" w:eastAsiaTheme="minorEastAsia"/>
          <w:color w:val="auto"/>
          <w:szCs w:val="21"/>
          <w:highlight w:val="none"/>
        </w:rPr>
        <w:t>本表须按包填写，一个“包号”一份。</w:t>
      </w:r>
    </w:p>
    <w:p w14:paraId="642777CA">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5DE45734">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0F0AD2D8">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78CCBB18">
      <w:pPr>
        <w:adjustRightInd w:val="0"/>
        <w:snapToGrid w:val="0"/>
        <w:spacing w:line="360" w:lineRule="auto"/>
        <w:rPr>
          <w:rFonts w:hint="default" w:ascii="Times New Roman" w:hAnsi="Times New Roman" w:cs="Times New Roman" w:eastAsiaTheme="minorEastAsia"/>
          <w:color w:val="auto"/>
          <w:szCs w:val="21"/>
          <w:highlight w:val="none"/>
        </w:rPr>
      </w:pPr>
    </w:p>
    <w:p w14:paraId="2269E353">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1C0E83FF">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0467F71E">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0E1A0FA5">
      <w:pPr>
        <w:adjustRightInd w:val="0"/>
        <w:snapToGrid w:val="0"/>
        <w:jc w:val="center"/>
        <w:rPr>
          <w:rFonts w:hint="default" w:ascii="Times New Roman" w:hAnsi="Times New Roman" w:cs="Times New Roman" w:eastAsiaTheme="minorEastAsia"/>
          <w:bCs/>
          <w:color w:val="auto"/>
          <w:sz w:val="30"/>
          <w:szCs w:val="30"/>
          <w:highlight w:val="none"/>
        </w:rPr>
        <w:sectPr>
          <w:pgSz w:w="11906" w:h="16838"/>
          <w:pgMar w:top="1418" w:right="1418" w:bottom="1134" w:left="1418"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5CBA05AD">
      <w:pPr>
        <w:keepNext/>
        <w:keepLines/>
        <w:adjustRightInd w:val="0"/>
        <w:snapToGrid w:val="0"/>
        <w:spacing w:before="156" w:beforeLines="50" w:line="360" w:lineRule="auto"/>
        <w:outlineLvl w:val="2"/>
        <w:rPr>
          <w:rFonts w:hint="default" w:ascii="Times New Roman" w:hAnsi="Times New Roman" w:cs="Times New Roman" w:eastAsiaTheme="minorEastAsia"/>
          <w:b/>
          <w:bCs/>
          <w:color w:val="auto"/>
          <w:szCs w:val="21"/>
          <w:highlight w:val="none"/>
        </w:rPr>
      </w:pPr>
      <w:bookmarkStart w:id="644" w:name="_Toc19556"/>
      <w:bookmarkStart w:id="645" w:name="_Toc18894"/>
      <w:bookmarkStart w:id="646" w:name="_Toc107998030"/>
      <w:bookmarkStart w:id="647" w:name="_Toc20375"/>
      <w:r>
        <w:rPr>
          <w:rFonts w:hint="default" w:ascii="Times New Roman" w:hAnsi="Times New Roman" w:cs="Times New Roman" w:eastAsiaTheme="minorEastAsia"/>
          <w:b/>
          <w:bCs/>
          <w:color w:val="auto"/>
          <w:szCs w:val="21"/>
          <w:highlight w:val="none"/>
        </w:rPr>
        <w:t>附件1-2分项报价说明</w:t>
      </w:r>
      <w:bookmarkEnd w:id="644"/>
      <w:bookmarkEnd w:id="645"/>
      <w:bookmarkEnd w:id="646"/>
      <w:bookmarkEnd w:id="647"/>
    </w:p>
    <w:p w14:paraId="68FDE831">
      <w:pPr>
        <w:autoSpaceDE w:val="0"/>
        <w:autoSpaceDN w:val="0"/>
        <w:adjustRightInd w:val="0"/>
        <w:snapToGrid w:val="0"/>
        <w:spacing w:before="156" w:beforeLines="50" w:line="360" w:lineRule="auto"/>
        <w:jc w:val="center"/>
        <w:rPr>
          <w:rFonts w:hint="default" w:ascii="Times New Roman" w:hAnsi="Times New Roman" w:cs="Times New Roman" w:eastAsiaTheme="minorEastAsia"/>
          <w:b/>
          <w:color w:val="auto"/>
          <w:kern w:val="0"/>
          <w:sz w:val="28"/>
          <w:szCs w:val="28"/>
          <w:highlight w:val="none"/>
        </w:rPr>
      </w:pPr>
      <w:r>
        <w:rPr>
          <w:rFonts w:hint="default" w:ascii="Times New Roman" w:hAnsi="Times New Roman" w:cs="Times New Roman" w:eastAsiaTheme="minorEastAsia"/>
          <w:b/>
          <w:color w:val="auto"/>
          <w:spacing w:val="-2"/>
          <w:kern w:val="0"/>
          <w:sz w:val="28"/>
          <w:szCs w:val="28"/>
          <w:highlight w:val="none"/>
        </w:rPr>
        <w:t>分</w:t>
      </w:r>
      <w:r>
        <w:rPr>
          <w:rFonts w:hint="default" w:ascii="Times New Roman" w:hAnsi="Times New Roman" w:cs="Times New Roman" w:eastAsiaTheme="minorEastAsia"/>
          <w:b/>
          <w:color w:val="auto"/>
          <w:kern w:val="0"/>
          <w:sz w:val="28"/>
          <w:szCs w:val="28"/>
          <w:highlight w:val="none"/>
        </w:rPr>
        <w:t>项</w:t>
      </w:r>
      <w:r>
        <w:rPr>
          <w:rFonts w:hint="default" w:ascii="Times New Roman" w:hAnsi="Times New Roman" w:cs="Times New Roman" w:eastAsiaTheme="minorEastAsia"/>
          <w:b/>
          <w:color w:val="auto"/>
          <w:spacing w:val="-2"/>
          <w:kern w:val="0"/>
          <w:sz w:val="28"/>
          <w:szCs w:val="28"/>
          <w:highlight w:val="none"/>
        </w:rPr>
        <w:t>报</w:t>
      </w:r>
      <w:r>
        <w:rPr>
          <w:rFonts w:hint="default" w:ascii="Times New Roman" w:hAnsi="Times New Roman" w:cs="Times New Roman" w:eastAsiaTheme="minorEastAsia"/>
          <w:b/>
          <w:color w:val="auto"/>
          <w:kern w:val="0"/>
          <w:sz w:val="28"/>
          <w:szCs w:val="28"/>
          <w:highlight w:val="none"/>
        </w:rPr>
        <w:t>价说明</w:t>
      </w:r>
    </w:p>
    <w:p w14:paraId="55916AD6">
      <w:pPr>
        <w:autoSpaceDE w:val="0"/>
        <w:autoSpaceDN w:val="0"/>
        <w:adjustRightInd w:val="0"/>
        <w:snapToGrid w:val="0"/>
        <w:spacing w:before="156" w:beforeLines="50" w:line="360" w:lineRule="auto"/>
        <w:jc w:val="left"/>
        <w:rPr>
          <w:rFonts w:hint="default" w:ascii="Times New Roman" w:hAnsi="Times New Roman" w:cs="Times New Roman" w:eastAsiaTheme="minorEastAsia"/>
          <w:color w:val="auto"/>
          <w:kern w:val="0"/>
          <w:szCs w:val="21"/>
          <w:highlight w:val="none"/>
        </w:rPr>
      </w:pPr>
    </w:p>
    <w:p w14:paraId="0359AF34">
      <w:pPr>
        <w:autoSpaceDE w:val="0"/>
        <w:autoSpaceDN w:val="0"/>
        <w:adjustRightInd w:val="0"/>
        <w:snapToGrid w:val="0"/>
        <w:spacing w:before="156"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注：1</w:t>
      </w:r>
      <w:r>
        <w:rPr>
          <w:rFonts w:hint="default" w:ascii="Times New Roman" w:hAnsi="Times New Roman" w:cs="Times New Roman" w:eastAsiaTheme="minorEastAsia"/>
          <w:color w:val="auto"/>
          <w:kern w:val="0"/>
          <w:szCs w:val="21"/>
          <w:highlight w:val="none"/>
          <w:lang w:val="en-US" w:eastAsia="zh-CN"/>
        </w:rPr>
        <w:t>.</w:t>
      </w:r>
      <w:r>
        <w:rPr>
          <w:rFonts w:hint="default" w:ascii="Times New Roman" w:hAnsi="Times New Roman" w:cs="Times New Roman" w:eastAsiaTheme="minorEastAsia"/>
          <w:color w:val="auto"/>
          <w:kern w:val="0"/>
          <w:szCs w:val="21"/>
          <w:highlight w:val="none"/>
        </w:rPr>
        <w:t>供应商应按谈判文件第二章相关要求，对本节</w:t>
      </w:r>
      <w:r>
        <w:rPr>
          <w:rFonts w:hint="default" w:ascii="Times New Roman" w:hAnsi="Times New Roman" w:cs="Times New Roman" w:eastAsiaTheme="minorEastAsia"/>
          <w:bCs/>
          <w:color w:val="auto"/>
          <w:szCs w:val="21"/>
          <w:highlight w:val="none"/>
        </w:rPr>
        <w:t>“</w:t>
      </w:r>
      <w:r>
        <w:rPr>
          <w:rFonts w:hint="default" w:ascii="Times New Roman" w:hAnsi="Times New Roman" w:cs="Times New Roman" w:eastAsiaTheme="minorEastAsia"/>
          <w:color w:val="auto"/>
          <w:kern w:val="0"/>
          <w:szCs w:val="21"/>
          <w:highlight w:val="none"/>
        </w:rPr>
        <w:t>分项报价明细表</w:t>
      </w:r>
      <w:r>
        <w:rPr>
          <w:rFonts w:hint="default" w:ascii="Times New Roman" w:hAnsi="Times New Roman" w:cs="Times New Roman" w:eastAsiaTheme="minorEastAsia"/>
          <w:bCs/>
          <w:color w:val="auto"/>
          <w:szCs w:val="21"/>
          <w:highlight w:val="none"/>
        </w:rPr>
        <w:t>”进行</w:t>
      </w:r>
      <w:r>
        <w:rPr>
          <w:rFonts w:hint="default" w:ascii="Times New Roman" w:hAnsi="Times New Roman" w:cs="Times New Roman" w:eastAsiaTheme="minorEastAsia"/>
          <w:color w:val="auto"/>
          <w:kern w:val="0"/>
          <w:szCs w:val="21"/>
          <w:highlight w:val="none"/>
        </w:rPr>
        <w:t>编制，并说明。</w:t>
      </w:r>
    </w:p>
    <w:p w14:paraId="64C61651">
      <w:pPr>
        <w:autoSpaceDE w:val="0"/>
        <w:autoSpaceDN w:val="0"/>
        <w:adjustRightInd w:val="0"/>
        <w:snapToGrid w:val="0"/>
        <w:spacing w:before="156" w:beforeLines="50" w:line="360" w:lineRule="auto"/>
        <w:ind w:left="0" w:leftChars="0" w:firstLine="420" w:firstLineChars="200"/>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2</w:t>
      </w:r>
      <w:r>
        <w:rPr>
          <w:rFonts w:hint="default" w:ascii="Times New Roman" w:hAnsi="Times New Roman" w:cs="Times New Roman" w:eastAsiaTheme="minorEastAsia"/>
          <w:color w:val="auto"/>
          <w:kern w:val="0"/>
          <w:szCs w:val="21"/>
          <w:highlight w:val="none"/>
          <w:lang w:val="en-US" w:eastAsia="zh-CN"/>
        </w:rPr>
        <w:t>.</w:t>
      </w:r>
      <w:r>
        <w:rPr>
          <w:rFonts w:hint="default" w:ascii="Times New Roman" w:hAnsi="Times New Roman" w:cs="Times New Roman" w:eastAsiaTheme="minorEastAsia"/>
          <w:color w:val="auto"/>
          <w:kern w:val="0"/>
          <w:szCs w:val="21"/>
          <w:highlight w:val="none"/>
        </w:rPr>
        <w:t>附件1-3“已标价工程量清单”按第三章第二节要求进行编制。</w:t>
      </w:r>
    </w:p>
    <w:p w14:paraId="4926E59D">
      <w:pPr>
        <w:autoSpaceDE w:val="0"/>
        <w:autoSpaceDN w:val="0"/>
        <w:adjustRightInd w:val="0"/>
        <w:snapToGrid w:val="0"/>
        <w:spacing w:before="156" w:beforeLines="50" w:line="360" w:lineRule="auto"/>
        <w:jc w:val="left"/>
        <w:rPr>
          <w:rFonts w:hint="default" w:ascii="Times New Roman" w:hAnsi="Times New Roman" w:cs="Times New Roman" w:eastAsiaTheme="minorEastAsia"/>
          <w:color w:val="auto"/>
          <w:kern w:val="0"/>
          <w:szCs w:val="21"/>
          <w:highlight w:val="none"/>
        </w:rPr>
      </w:pPr>
    </w:p>
    <w:p w14:paraId="29708764">
      <w:pPr>
        <w:adjustRightInd w:val="0"/>
        <w:snapToGrid w:val="0"/>
        <w:spacing w:before="156" w:beforeLines="50" w:line="360" w:lineRule="auto"/>
        <w:rPr>
          <w:rFonts w:hint="default" w:ascii="Times New Roman" w:hAnsi="Times New Roman" w:cs="Times New Roman" w:eastAsiaTheme="minorEastAsia"/>
          <w:color w:val="auto"/>
          <w:highlight w:val="none"/>
        </w:rPr>
      </w:pPr>
    </w:p>
    <w:p w14:paraId="2F7341E2">
      <w:pPr>
        <w:keepNext/>
        <w:keepLines/>
        <w:adjustRightInd w:val="0"/>
        <w:snapToGrid w:val="0"/>
        <w:spacing w:before="156" w:beforeLines="50" w:line="360" w:lineRule="auto"/>
        <w:outlineLvl w:val="2"/>
        <w:rPr>
          <w:rFonts w:hint="default" w:ascii="Times New Roman" w:hAnsi="Times New Roman" w:cs="Times New Roman" w:eastAsiaTheme="minorEastAsia"/>
          <w:b/>
          <w:bCs/>
          <w:color w:val="auto"/>
          <w:szCs w:val="21"/>
          <w:highlight w:val="none"/>
        </w:rPr>
      </w:pPr>
      <w:bookmarkStart w:id="648" w:name="_Toc32018"/>
      <w:bookmarkStart w:id="649" w:name="_Toc7986"/>
      <w:bookmarkStart w:id="650" w:name="_Toc592"/>
      <w:bookmarkStart w:id="651" w:name="_Toc107998031"/>
      <w:r>
        <w:rPr>
          <w:rFonts w:hint="default" w:ascii="Times New Roman" w:hAnsi="Times New Roman" w:cs="Times New Roman" w:eastAsiaTheme="minorEastAsia"/>
          <w:b/>
          <w:bCs/>
          <w:color w:val="auto"/>
          <w:szCs w:val="21"/>
          <w:highlight w:val="none"/>
        </w:rPr>
        <w:t>附件1-3</w:t>
      </w:r>
      <w:r>
        <w:rPr>
          <w:rFonts w:hint="default" w:ascii="Times New Roman" w:hAnsi="Times New Roman" w:cs="Times New Roman" w:eastAsiaTheme="minorEastAsia"/>
          <w:b/>
          <w:bCs/>
          <w:color w:val="auto"/>
          <w:spacing w:val="-2"/>
          <w:position w:val="-3"/>
          <w:szCs w:val="21"/>
          <w:highlight w:val="none"/>
        </w:rPr>
        <w:t>分</w:t>
      </w:r>
      <w:r>
        <w:rPr>
          <w:rFonts w:hint="default" w:ascii="Times New Roman" w:hAnsi="Times New Roman" w:cs="Times New Roman" w:eastAsiaTheme="minorEastAsia"/>
          <w:b/>
          <w:bCs/>
          <w:color w:val="auto"/>
          <w:position w:val="-3"/>
          <w:szCs w:val="21"/>
          <w:highlight w:val="none"/>
        </w:rPr>
        <w:t>项</w:t>
      </w:r>
      <w:r>
        <w:rPr>
          <w:rFonts w:hint="default" w:ascii="Times New Roman" w:hAnsi="Times New Roman" w:cs="Times New Roman" w:eastAsiaTheme="minorEastAsia"/>
          <w:b/>
          <w:bCs/>
          <w:color w:val="auto"/>
          <w:spacing w:val="-2"/>
          <w:position w:val="-3"/>
          <w:szCs w:val="21"/>
          <w:highlight w:val="none"/>
        </w:rPr>
        <w:t>报</w:t>
      </w:r>
      <w:r>
        <w:rPr>
          <w:rFonts w:hint="default" w:ascii="Times New Roman" w:hAnsi="Times New Roman" w:cs="Times New Roman" w:eastAsiaTheme="minorEastAsia"/>
          <w:b/>
          <w:bCs/>
          <w:color w:val="auto"/>
          <w:position w:val="-3"/>
          <w:szCs w:val="21"/>
          <w:highlight w:val="none"/>
        </w:rPr>
        <w:t>价明细表</w:t>
      </w:r>
      <w:bookmarkEnd w:id="648"/>
      <w:bookmarkEnd w:id="649"/>
      <w:bookmarkEnd w:id="650"/>
      <w:bookmarkEnd w:id="651"/>
    </w:p>
    <w:p w14:paraId="0A85FE9D">
      <w:pPr>
        <w:adjustRightInd w:val="0"/>
        <w:snapToGrid w:val="0"/>
        <w:spacing w:before="156" w:beforeLines="50" w:line="360" w:lineRule="auto"/>
        <w:jc w:val="center"/>
        <w:rPr>
          <w:rFonts w:hint="default" w:ascii="Times New Roman" w:hAnsi="Times New Roman" w:cs="Times New Roman" w:eastAsiaTheme="minorEastAsia"/>
          <w:b/>
          <w:color w:val="auto"/>
          <w:kern w:val="0"/>
          <w:position w:val="-3"/>
          <w:sz w:val="28"/>
          <w:szCs w:val="28"/>
          <w:highlight w:val="none"/>
        </w:rPr>
      </w:pPr>
      <w:r>
        <w:rPr>
          <w:rFonts w:hint="default" w:ascii="Times New Roman" w:hAnsi="Times New Roman" w:cs="Times New Roman" w:eastAsiaTheme="minorEastAsia"/>
          <w:b/>
          <w:color w:val="auto"/>
          <w:spacing w:val="-2"/>
          <w:kern w:val="0"/>
          <w:position w:val="-3"/>
          <w:sz w:val="28"/>
          <w:szCs w:val="28"/>
          <w:highlight w:val="none"/>
        </w:rPr>
        <w:t>分</w:t>
      </w:r>
      <w:r>
        <w:rPr>
          <w:rFonts w:hint="default" w:ascii="Times New Roman" w:hAnsi="Times New Roman" w:cs="Times New Roman" w:eastAsiaTheme="minorEastAsia"/>
          <w:b/>
          <w:color w:val="auto"/>
          <w:kern w:val="0"/>
          <w:position w:val="-3"/>
          <w:sz w:val="28"/>
          <w:szCs w:val="28"/>
          <w:highlight w:val="none"/>
        </w:rPr>
        <w:t>项</w:t>
      </w:r>
      <w:r>
        <w:rPr>
          <w:rFonts w:hint="default" w:ascii="Times New Roman" w:hAnsi="Times New Roman" w:cs="Times New Roman" w:eastAsiaTheme="minorEastAsia"/>
          <w:b/>
          <w:color w:val="auto"/>
          <w:spacing w:val="-2"/>
          <w:kern w:val="0"/>
          <w:position w:val="-3"/>
          <w:sz w:val="28"/>
          <w:szCs w:val="28"/>
          <w:highlight w:val="none"/>
        </w:rPr>
        <w:t>报</w:t>
      </w:r>
      <w:r>
        <w:rPr>
          <w:rFonts w:hint="default" w:ascii="Times New Roman" w:hAnsi="Times New Roman" w:cs="Times New Roman" w:eastAsiaTheme="minorEastAsia"/>
          <w:b/>
          <w:color w:val="auto"/>
          <w:kern w:val="0"/>
          <w:position w:val="-3"/>
          <w:sz w:val="28"/>
          <w:szCs w:val="28"/>
          <w:highlight w:val="none"/>
        </w:rPr>
        <w:t>价明细表（货物类适用）</w:t>
      </w:r>
    </w:p>
    <w:p w14:paraId="0B663EEE">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政府采购计划编号：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项目名称：</w:t>
      </w:r>
      <w:r>
        <w:rPr>
          <w:rFonts w:hint="default" w:ascii="Times New Roman" w:hAnsi="Times New Roman" w:cs="Times New Roman" w:eastAsiaTheme="minorEastAsia"/>
          <w:color w:val="auto"/>
          <w:szCs w:val="21"/>
          <w:highlight w:val="none"/>
          <w:u w:val="single"/>
        </w:rPr>
        <w:t xml:space="preserve">                        </w:t>
      </w:r>
    </w:p>
    <w:p w14:paraId="2A7A3E39">
      <w:pPr>
        <w:adjustRightInd w:val="0"/>
        <w:snapToGrid w:val="0"/>
        <w:spacing w:before="156" w:beforeLines="50" w:line="360" w:lineRule="auto"/>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包号：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包名称：</w:t>
      </w:r>
      <w:r>
        <w:rPr>
          <w:rFonts w:hint="default" w:ascii="Times New Roman" w:hAnsi="Times New Roman" w:cs="Times New Roman" w:eastAsiaTheme="minorEastAsia"/>
          <w:color w:val="auto"/>
          <w:szCs w:val="21"/>
          <w:highlight w:val="none"/>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1383"/>
        <w:gridCol w:w="1533"/>
        <w:gridCol w:w="1869"/>
        <w:gridCol w:w="1016"/>
        <w:gridCol w:w="910"/>
        <w:gridCol w:w="916"/>
        <w:gridCol w:w="914"/>
      </w:tblGrid>
      <w:tr w14:paraId="18FA8D74">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41357539">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position w:val="-1"/>
                <w:szCs w:val="21"/>
                <w:highlight w:val="none"/>
              </w:rPr>
            </w:pPr>
            <w:r>
              <w:rPr>
                <w:rFonts w:hint="default" w:ascii="Times New Roman" w:hAnsi="Times New Roman" w:cs="Times New Roman" w:eastAsiaTheme="minorEastAsia"/>
                <w:color w:val="auto"/>
                <w:kern w:val="0"/>
                <w:position w:val="-1"/>
                <w:szCs w:val="21"/>
                <w:highlight w:val="none"/>
              </w:rPr>
              <w:t>标的名称</w:t>
            </w:r>
          </w:p>
        </w:tc>
        <w:tc>
          <w:tcPr>
            <w:tcW w:w="1533" w:type="dxa"/>
            <w:vMerge w:val="restart"/>
            <w:tcBorders>
              <w:top w:val="double" w:color="auto" w:sz="4" w:space="0"/>
              <w:left w:val="single" w:color="auto" w:sz="6" w:space="0"/>
              <w:bottom w:val="single" w:color="auto" w:sz="6" w:space="0"/>
              <w:right w:val="single" w:color="auto" w:sz="4" w:space="0"/>
            </w:tcBorders>
            <w:noWrap w:val="0"/>
            <w:vAlign w:val="center"/>
          </w:tcPr>
          <w:p w14:paraId="069F5B88">
            <w:pPr>
              <w:autoSpaceDE w:val="0"/>
              <w:autoSpaceDN w:val="0"/>
              <w:adjustRightInd w:val="0"/>
              <w:snapToGrid w:val="0"/>
              <w:spacing w:line="360" w:lineRule="auto"/>
              <w:ind w:right="-2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规格型号（或服务要求）</w:t>
            </w:r>
          </w:p>
        </w:tc>
        <w:tc>
          <w:tcPr>
            <w:tcW w:w="1869" w:type="dxa"/>
            <w:vMerge w:val="restart"/>
            <w:tcBorders>
              <w:top w:val="double" w:color="auto" w:sz="4" w:space="0"/>
              <w:left w:val="single" w:color="auto" w:sz="4" w:space="0"/>
              <w:bottom w:val="single" w:color="auto" w:sz="6" w:space="0"/>
              <w:right w:val="single" w:color="auto" w:sz="6" w:space="0"/>
            </w:tcBorders>
            <w:noWrap w:val="0"/>
            <w:vAlign w:val="center"/>
          </w:tcPr>
          <w:p w14:paraId="7C8D017E">
            <w:pPr>
              <w:autoSpaceDE w:val="0"/>
              <w:autoSpaceDN w:val="0"/>
              <w:adjustRightInd w:val="0"/>
              <w:snapToGrid w:val="0"/>
              <w:spacing w:line="360" w:lineRule="auto"/>
              <w:ind w:right="-2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品牌/产地</w:t>
            </w:r>
          </w:p>
        </w:tc>
        <w:tc>
          <w:tcPr>
            <w:tcW w:w="1016" w:type="dxa"/>
            <w:vMerge w:val="restart"/>
            <w:tcBorders>
              <w:top w:val="double" w:color="auto" w:sz="4" w:space="0"/>
              <w:left w:val="single" w:color="auto" w:sz="6" w:space="0"/>
              <w:right w:val="single" w:color="auto" w:sz="4" w:space="0"/>
            </w:tcBorders>
            <w:noWrap w:val="0"/>
            <w:vAlign w:val="center"/>
          </w:tcPr>
          <w:p w14:paraId="27313C3A">
            <w:pPr>
              <w:autoSpaceDE w:val="0"/>
              <w:autoSpaceDN w:val="0"/>
              <w:adjustRightInd w:val="0"/>
              <w:snapToGrid w:val="0"/>
              <w:spacing w:line="360" w:lineRule="auto"/>
              <w:ind w:right="-2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6BD5AFA3">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position w:val="-1"/>
                <w:szCs w:val="21"/>
                <w:highlight w:val="none"/>
              </w:rPr>
            </w:pPr>
            <w:r>
              <w:rPr>
                <w:rFonts w:hint="default" w:ascii="Times New Roman" w:hAnsi="Times New Roman" w:cs="Times New Roman" w:eastAsiaTheme="minorEastAsia"/>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32A39DA6">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position w:val="-1"/>
                <w:szCs w:val="21"/>
                <w:highlight w:val="none"/>
              </w:rPr>
            </w:pPr>
            <w:r>
              <w:rPr>
                <w:rFonts w:hint="default" w:ascii="Times New Roman" w:hAnsi="Times New Roman" w:cs="Times New Roman" w:eastAsiaTheme="minorEastAsia"/>
                <w:color w:val="auto"/>
                <w:kern w:val="0"/>
                <w:position w:val="-1"/>
                <w:szCs w:val="21"/>
                <w:highlight w:val="none"/>
              </w:rPr>
              <w:t>备注</w:t>
            </w:r>
          </w:p>
        </w:tc>
      </w:tr>
      <w:tr w14:paraId="71CD640B">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03ECA27D">
            <w:pPr>
              <w:autoSpaceDE w:val="0"/>
              <w:autoSpaceDN w:val="0"/>
              <w:adjustRightInd w:val="0"/>
              <w:snapToGrid w:val="0"/>
              <w:spacing w:line="360" w:lineRule="auto"/>
              <w:ind w:left="352" w:right="-20"/>
              <w:jc w:val="left"/>
              <w:rPr>
                <w:rFonts w:hint="default" w:ascii="Times New Roman" w:hAnsi="Times New Roman" w:cs="Times New Roman" w:eastAsiaTheme="minorEastAsia"/>
                <w:color w:val="auto"/>
                <w:kern w:val="0"/>
                <w:szCs w:val="21"/>
                <w:highlight w:val="none"/>
              </w:rPr>
            </w:pPr>
          </w:p>
        </w:tc>
        <w:tc>
          <w:tcPr>
            <w:tcW w:w="1533" w:type="dxa"/>
            <w:vMerge w:val="continue"/>
            <w:tcBorders>
              <w:top w:val="single" w:color="auto" w:sz="6" w:space="0"/>
              <w:left w:val="single" w:color="auto" w:sz="6" w:space="0"/>
              <w:bottom w:val="single" w:color="auto" w:sz="6" w:space="0"/>
              <w:right w:val="single" w:color="auto" w:sz="4" w:space="0"/>
            </w:tcBorders>
            <w:noWrap w:val="0"/>
            <w:vAlign w:val="center"/>
          </w:tcPr>
          <w:p w14:paraId="2F4ADE0E">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p>
        </w:tc>
        <w:tc>
          <w:tcPr>
            <w:tcW w:w="1869" w:type="dxa"/>
            <w:vMerge w:val="continue"/>
            <w:tcBorders>
              <w:top w:val="single" w:color="auto" w:sz="6" w:space="0"/>
              <w:left w:val="single" w:color="auto" w:sz="4" w:space="0"/>
              <w:bottom w:val="single" w:color="auto" w:sz="6" w:space="0"/>
              <w:right w:val="single" w:color="auto" w:sz="6" w:space="0"/>
            </w:tcBorders>
            <w:noWrap w:val="0"/>
            <w:vAlign w:val="center"/>
          </w:tcPr>
          <w:p w14:paraId="17999040">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p>
        </w:tc>
        <w:tc>
          <w:tcPr>
            <w:tcW w:w="1016" w:type="dxa"/>
            <w:vMerge w:val="continue"/>
            <w:tcBorders>
              <w:left w:val="single" w:color="auto" w:sz="6" w:space="0"/>
              <w:bottom w:val="single" w:color="auto" w:sz="6" w:space="0"/>
              <w:right w:val="single" w:color="auto" w:sz="4" w:space="0"/>
            </w:tcBorders>
            <w:noWrap w:val="0"/>
            <w:vAlign w:val="center"/>
          </w:tcPr>
          <w:p w14:paraId="4143BE0B">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2037D7AB">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5E9B480D">
            <w:pPr>
              <w:autoSpaceDE w:val="0"/>
              <w:autoSpaceDN w:val="0"/>
              <w:adjustRightInd w:val="0"/>
              <w:snapToGrid w:val="0"/>
              <w:spacing w:line="360" w:lineRule="auto"/>
              <w:ind w:left="70" w:right="-20"/>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1FA3570E">
            <w:pPr>
              <w:autoSpaceDE w:val="0"/>
              <w:autoSpaceDN w:val="0"/>
              <w:adjustRightInd w:val="0"/>
              <w:snapToGrid w:val="0"/>
              <w:spacing w:line="360" w:lineRule="auto"/>
              <w:ind w:left="422" w:right="-20"/>
              <w:jc w:val="left"/>
              <w:rPr>
                <w:rFonts w:hint="default" w:ascii="Times New Roman" w:hAnsi="Times New Roman" w:cs="Times New Roman" w:eastAsiaTheme="minorEastAsia"/>
                <w:color w:val="auto"/>
                <w:kern w:val="0"/>
                <w:szCs w:val="21"/>
                <w:highlight w:val="none"/>
              </w:rPr>
            </w:pPr>
          </w:p>
        </w:tc>
      </w:tr>
      <w:tr w14:paraId="3A6920F6">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53D5D53">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88B6C8A">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699AF16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7360D9F0">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DE80122">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5AD0DA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FF2C427">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DA1ECB3">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0D4DDAC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161A1EC">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441D675">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2ADE602A">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06C7C0B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B85030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1EA9471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B5B7B32">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1A03D9A">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2CD4335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204DDB9">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1853CE1">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791CB768">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239E7DC3">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6C904C2F">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4AA0351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1011ED3">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606B235">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52597C8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C6862F0">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1000E0B">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69BCA387">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7A65F687">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B8C0BD5">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21808D05">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15A2DD9">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30DC731">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4DEEF28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E61325B">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DA4CCDB">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684BA891">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0EA57BF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1D4AE1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03FEC7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F9FEDD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18DC987">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6F6960D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32CC936">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2A405284">
            <w:pPr>
              <w:autoSpaceDE w:val="0"/>
              <w:autoSpaceDN w:val="0"/>
              <w:adjustRightInd w:val="0"/>
              <w:snapToGrid w:val="0"/>
              <w:spacing w:line="360" w:lineRule="auto"/>
              <w:ind w:left="527" w:right="507"/>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20B828C3">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00100EE8">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6D9F41D8">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5A6E4FC">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6276961">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2C7CA82">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78584271">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5EB15384">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2A7B20AB">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3671FD9C">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bl>
    <w:p w14:paraId="5C9CF816">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注：</w:t>
      </w:r>
      <w:r>
        <w:rPr>
          <w:rFonts w:hint="default" w:ascii="Times New Roman" w:hAnsi="Times New Roman" w:cs="Times New Roman" w:eastAsiaTheme="minorEastAsia"/>
          <w:color w:val="auto"/>
          <w:szCs w:val="21"/>
          <w:highlight w:val="none"/>
          <w:lang w:val="en-US" w:eastAsia="zh-CN"/>
        </w:rPr>
        <w:t>1.</w:t>
      </w:r>
      <w:r>
        <w:rPr>
          <w:rFonts w:hint="default" w:ascii="Times New Roman" w:hAnsi="Times New Roman" w:cs="Times New Roman" w:eastAsiaTheme="minorEastAsia"/>
          <w:b/>
          <w:color w:val="auto"/>
          <w:szCs w:val="21"/>
          <w:highlight w:val="none"/>
        </w:rPr>
        <w:t>本表应对应</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b/>
          <w:color w:val="auto"/>
          <w:szCs w:val="21"/>
          <w:highlight w:val="none"/>
        </w:rPr>
        <w:t>报价表</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b/>
          <w:color w:val="auto"/>
          <w:szCs w:val="21"/>
          <w:highlight w:val="none"/>
        </w:rPr>
        <w:t>，按包填写</w:t>
      </w:r>
      <w:r>
        <w:rPr>
          <w:rFonts w:hint="default" w:ascii="Times New Roman" w:hAnsi="Times New Roman" w:cs="Times New Roman" w:eastAsiaTheme="minorEastAsia"/>
          <w:color w:val="auto"/>
          <w:szCs w:val="21"/>
          <w:highlight w:val="none"/>
        </w:rPr>
        <w:t>。供应商如果不提供分项报价明细表，其</w:t>
      </w:r>
      <w:r>
        <w:rPr>
          <w:rFonts w:hint="default" w:ascii="Times New Roman" w:hAnsi="Times New Roman" w:cs="Times New Roman" w:eastAsiaTheme="minorEastAsia"/>
          <w:b/>
          <w:color w:val="auto"/>
          <w:szCs w:val="21"/>
          <w:highlight w:val="none"/>
        </w:rPr>
        <w:t>响应无效</w:t>
      </w:r>
      <w:r>
        <w:rPr>
          <w:rFonts w:hint="default" w:ascii="Times New Roman" w:hAnsi="Times New Roman" w:cs="Times New Roman" w:eastAsiaTheme="minorEastAsia"/>
          <w:color w:val="auto"/>
          <w:szCs w:val="21"/>
          <w:highlight w:val="none"/>
        </w:rPr>
        <w:t>。</w:t>
      </w:r>
    </w:p>
    <w:p w14:paraId="2405F9C4">
      <w:pPr>
        <w:adjustRightInd w:val="0"/>
        <w:snapToGrid w:val="0"/>
        <w:spacing w:line="360" w:lineRule="auto"/>
        <w:ind w:left="0" w:leftChars="0"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2.</w:t>
      </w:r>
      <w:r>
        <w:rPr>
          <w:rFonts w:hint="default" w:ascii="Times New Roman" w:hAnsi="Times New Roman" w:cs="Times New Roman" w:eastAsiaTheme="minorEastAsia"/>
          <w:color w:val="auto"/>
          <w:szCs w:val="21"/>
          <w:highlight w:val="none"/>
        </w:rPr>
        <w:t>不得填写“免费”或“赠与”，也不得进行“零”报价，否则</w:t>
      </w:r>
      <w:r>
        <w:rPr>
          <w:rFonts w:hint="default" w:ascii="Times New Roman" w:hAnsi="Times New Roman" w:cs="Times New Roman" w:eastAsiaTheme="minorEastAsia"/>
          <w:b/>
          <w:color w:val="auto"/>
          <w:szCs w:val="21"/>
          <w:highlight w:val="none"/>
        </w:rPr>
        <w:t>响应无效</w:t>
      </w:r>
      <w:r>
        <w:rPr>
          <w:rFonts w:hint="default" w:ascii="Times New Roman" w:hAnsi="Times New Roman" w:cs="Times New Roman" w:eastAsiaTheme="minorEastAsia"/>
          <w:color w:val="auto"/>
          <w:szCs w:val="21"/>
          <w:highlight w:val="none"/>
        </w:rPr>
        <w:t>。</w:t>
      </w:r>
    </w:p>
    <w:p w14:paraId="5816019A">
      <w:pPr>
        <w:adjustRightInd w:val="0"/>
        <w:snapToGrid w:val="0"/>
        <w:spacing w:line="360" w:lineRule="auto"/>
        <w:ind w:firstLine="420" w:firstLineChars="200"/>
        <w:rPr>
          <w:rFonts w:hint="default" w:ascii="Times New Roman" w:hAnsi="Times New Roman" w:cs="Times New Roman" w:eastAsiaTheme="minorEastAsia"/>
          <w:b/>
          <w:color w:val="auto"/>
          <w:szCs w:val="21"/>
          <w:highlight w:val="none"/>
        </w:rPr>
      </w:pPr>
    </w:p>
    <w:p w14:paraId="067124CA">
      <w:pPr>
        <w:adjustRightInd w:val="0"/>
        <w:snapToGrid w:val="0"/>
        <w:spacing w:line="360" w:lineRule="auto"/>
        <w:rPr>
          <w:rFonts w:hint="default" w:ascii="Times New Roman" w:hAnsi="Times New Roman" w:cs="Times New Roman" w:eastAsiaTheme="minorEastAsia"/>
          <w:color w:val="auto"/>
          <w:szCs w:val="21"/>
          <w:highlight w:val="none"/>
        </w:rPr>
      </w:pPr>
    </w:p>
    <w:p w14:paraId="3B2B63DB">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522D1004">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5935F02F">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64DF676E">
      <w:pPr>
        <w:adjustRightInd w:val="0"/>
        <w:snapToGrid w:val="0"/>
        <w:spacing w:line="360" w:lineRule="auto"/>
        <w:rPr>
          <w:rFonts w:hint="default" w:ascii="Times New Roman" w:hAnsi="Times New Roman" w:cs="Times New Roman" w:eastAsiaTheme="minorEastAsia"/>
          <w:bCs/>
          <w:color w:val="auto"/>
          <w:sz w:val="30"/>
          <w:szCs w:val="30"/>
          <w:highlight w:val="none"/>
        </w:rPr>
        <w:sectPr>
          <w:pgSz w:w="11906" w:h="16838"/>
          <w:pgMar w:top="1418" w:right="1418" w:bottom="1134" w:left="1418"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69B3E266">
      <w:pPr>
        <w:keepNext/>
        <w:keepLines/>
        <w:spacing w:line="360" w:lineRule="auto"/>
        <w:jc w:val="center"/>
        <w:outlineLvl w:val="1"/>
        <w:rPr>
          <w:rFonts w:hint="default" w:ascii="Times New Roman" w:hAnsi="Times New Roman" w:cs="Times New Roman" w:eastAsiaTheme="minorEastAsia"/>
          <w:b/>
          <w:bCs/>
          <w:color w:val="auto"/>
          <w:sz w:val="28"/>
          <w:szCs w:val="28"/>
          <w:highlight w:val="none"/>
        </w:rPr>
      </w:pPr>
      <w:bookmarkStart w:id="652" w:name="_Toc107998033"/>
      <w:bookmarkStart w:id="653" w:name="_Toc15234"/>
      <w:bookmarkStart w:id="654" w:name="_Toc1764"/>
      <w:r>
        <w:rPr>
          <w:rFonts w:hint="default" w:ascii="Times New Roman" w:hAnsi="Times New Roman" w:cs="Times New Roman" w:eastAsiaTheme="minorEastAsia"/>
          <w:b/>
          <w:bCs/>
          <w:color w:val="auto"/>
          <w:sz w:val="28"/>
          <w:szCs w:val="28"/>
          <w:highlight w:val="none"/>
        </w:rPr>
        <w:t>二、谈判响应声明(格式)</w:t>
      </w:r>
      <w:bookmarkEnd w:id="652"/>
      <w:bookmarkEnd w:id="653"/>
      <w:bookmarkEnd w:id="654"/>
    </w:p>
    <w:p w14:paraId="4F33D67A">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致</w:t>
      </w:r>
      <w:r>
        <w:rPr>
          <w:rFonts w:hint="default" w:ascii="Times New Roman" w:hAnsi="Times New Roman" w:cs="Times New Roman" w:eastAsiaTheme="minorEastAsia"/>
          <w:color w:val="auto"/>
          <w:szCs w:val="21"/>
          <w:highlight w:val="none"/>
          <w:u w:val="single"/>
        </w:rPr>
        <w:t xml:space="preserve"> (采购人、采购代理机构)</w:t>
      </w:r>
      <w:r>
        <w:rPr>
          <w:rFonts w:hint="default" w:ascii="Times New Roman" w:hAnsi="Times New Roman" w:cs="Times New Roman" w:eastAsiaTheme="minorEastAsia"/>
          <w:color w:val="auto"/>
          <w:szCs w:val="21"/>
          <w:highlight w:val="none"/>
        </w:rPr>
        <w:t>：</w:t>
      </w:r>
    </w:p>
    <w:p w14:paraId="4F6C3942">
      <w:pPr>
        <w:adjustRightInd w:val="0"/>
        <w:snapToGrid w:val="0"/>
        <w:spacing w:before="156" w:beforeLines="50" w:line="360" w:lineRule="auto"/>
        <w:ind w:firstLine="435"/>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根据贵方为</w:t>
      </w:r>
      <w:r>
        <w:rPr>
          <w:rFonts w:hint="default" w:ascii="Times New Roman" w:hAnsi="Times New Roman" w:cs="Times New Roman" w:eastAsiaTheme="minorEastAsia"/>
          <w:color w:val="auto"/>
          <w:szCs w:val="21"/>
          <w:highlight w:val="none"/>
          <w:u w:val="single"/>
        </w:rPr>
        <w:t>（项目名称）</w:t>
      </w:r>
      <w:r>
        <w:rPr>
          <w:rFonts w:hint="default" w:ascii="Times New Roman" w:hAnsi="Times New Roman" w:cs="Times New Roman" w:eastAsiaTheme="minorEastAsia"/>
          <w:color w:val="auto"/>
          <w:szCs w:val="21"/>
          <w:highlight w:val="none"/>
        </w:rPr>
        <w:t>的谈判邀请（</w:t>
      </w:r>
      <w:r>
        <w:rPr>
          <w:rFonts w:hint="default" w:ascii="Times New Roman" w:hAnsi="Times New Roman" w:cs="Times New Roman" w:eastAsiaTheme="minorEastAsia"/>
          <w:color w:val="auto"/>
          <w:highlight w:val="none"/>
        </w:rPr>
        <w:t>政府采购计划编号</w:t>
      </w:r>
      <w:r>
        <w:rPr>
          <w:rFonts w:hint="default" w:ascii="Times New Roman" w:hAnsi="Times New Roman" w:cs="Times New Roman" w:eastAsiaTheme="minorEastAsia"/>
          <w:iCs/>
          <w:color w:val="auto"/>
          <w:highlight w:val="none"/>
        </w:rPr>
        <w:t>：</w:t>
      </w:r>
      <w:r>
        <w:rPr>
          <w:rFonts w:hint="default" w:ascii="Times New Roman" w:hAnsi="Times New Roman" w:cs="Times New Roman" w:eastAsiaTheme="minorEastAsia"/>
          <w:iCs/>
          <w:color w:val="auto"/>
          <w:highlight w:val="none"/>
          <w:u w:val="single"/>
        </w:rPr>
        <w:t xml:space="preserve">           </w:t>
      </w:r>
      <w:r>
        <w:rPr>
          <w:rFonts w:hint="default" w:ascii="Times New Roman" w:hAnsi="Times New Roman" w:cs="Times New Roman" w:eastAsiaTheme="minorEastAsia"/>
          <w:iCs/>
          <w:color w:val="auto"/>
          <w:highlight w:val="none"/>
        </w:rPr>
        <w:t xml:space="preserve"> ，</w:t>
      </w:r>
      <w:r>
        <w:rPr>
          <w:rFonts w:hint="default" w:ascii="Times New Roman" w:hAnsi="Times New Roman" w:cs="Times New Roman" w:eastAsiaTheme="minorEastAsia"/>
          <w:color w:val="auto"/>
          <w:szCs w:val="21"/>
          <w:highlight w:val="none"/>
        </w:rPr>
        <w:t>委托代理编号：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），签字代表</w:t>
      </w:r>
      <w:r>
        <w:rPr>
          <w:rFonts w:hint="default" w:ascii="Times New Roman" w:hAnsi="Times New Roman" w:cs="Times New Roman" w:eastAsiaTheme="minorEastAsia"/>
          <w:color w:val="auto"/>
          <w:szCs w:val="21"/>
          <w:highlight w:val="none"/>
          <w:u w:val="single"/>
        </w:rPr>
        <w:t xml:space="preserve"> （姓名、职务）</w:t>
      </w:r>
      <w:r>
        <w:rPr>
          <w:rFonts w:hint="default" w:ascii="Times New Roman" w:hAnsi="Times New Roman" w:cs="Times New Roman" w:eastAsiaTheme="minorEastAsia"/>
          <w:color w:val="auto"/>
          <w:szCs w:val="21"/>
          <w:highlight w:val="none"/>
        </w:rPr>
        <w:t>经正式授权并代表供应商</w:t>
      </w:r>
      <w:r>
        <w:rPr>
          <w:rFonts w:hint="default" w:ascii="Times New Roman" w:hAnsi="Times New Roman" w:cs="Times New Roman" w:eastAsiaTheme="minorEastAsia"/>
          <w:color w:val="auto"/>
          <w:szCs w:val="21"/>
          <w:highlight w:val="none"/>
          <w:u w:val="single"/>
        </w:rPr>
        <w:t xml:space="preserve"> （供应商名称）</w:t>
      </w:r>
      <w:r>
        <w:rPr>
          <w:rFonts w:hint="default" w:ascii="Times New Roman" w:hAnsi="Times New Roman" w:cs="Times New Roman" w:eastAsiaTheme="minorEastAsia"/>
          <w:color w:val="auto"/>
          <w:szCs w:val="21"/>
          <w:highlight w:val="none"/>
        </w:rPr>
        <w:t>提交响应文件正本一份,副本</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份；响应文件电子文档：一份，参加采购项目第</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包谈判，并在此声明，所递交的响应文件内容完整、真实。</w:t>
      </w:r>
    </w:p>
    <w:p w14:paraId="231D4F42">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一、我方已详细审查谈判文件。我们完全理解并同意放弃对这方面有不明及误解的权力。</w:t>
      </w:r>
    </w:p>
    <w:p w14:paraId="4BA84FAE">
      <w:pPr>
        <w:adjustRightInd w:val="0"/>
        <w:snapToGrid w:val="0"/>
        <w:spacing w:before="156" w:beforeLines="50" w:line="360" w:lineRule="auto"/>
        <w:ind w:firstLine="420" w:firstLineChars="2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color w:val="auto"/>
          <w:szCs w:val="21"/>
          <w:highlight w:val="none"/>
        </w:rPr>
        <w:t>二、我方愿意向贵方提供任何与本项采购有关的数据、情况和技术资料。若贵方需要，我方愿意提供我方作出的一切承诺的证明材料。</w:t>
      </w:r>
    </w:p>
    <w:p w14:paraId="57370833">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三、我方愿意按谈判文件规定和谈判小组要求重新提交响应文件和最后报价。</w:t>
      </w:r>
    </w:p>
    <w:p w14:paraId="3C40E711">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四、我方同意在谈判文件中规定的提交首次响应文件截止时间起</w:t>
      </w:r>
      <w:r>
        <w:rPr>
          <w:rFonts w:hint="eastAsia" w:cs="Times New Roman" w:eastAsiaTheme="minorEastAsia"/>
          <w:color w:val="auto"/>
          <w:szCs w:val="21"/>
          <w:highlight w:val="none"/>
          <w:lang w:val="en-US" w:eastAsia="zh-CN"/>
        </w:rPr>
        <w:t>90</w:t>
      </w:r>
      <w:r>
        <w:rPr>
          <w:rFonts w:hint="default" w:ascii="Times New Roman" w:hAnsi="Times New Roman" w:cs="Times New Roman" w:eastAsiaTheme="minorEastAsia"/>
          <w:color w:val="auto"/>
          <w:szCs w:val="21"/>
          <w:highlight w:val="none"/>
        </w:rPr>
        <w:t>日内(响应文件有效期)遵守本响应文件中的承诺且在此期限期满之前均具有法律约束力。</w:t>
      </w:r>
    </w:p>
    <w:p w14:paraId="093A9229">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40F4B3B4">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六、我方承诺在参与竞争性谈判过程中，若出现《政府采购法》第七十七条、《政府采购法实施条例》第七十二条和《政府采购非招标方式管理办法》第五十四条规定之情形，我方同意接受条款规定作出的处罚。</w:t>
      </w:r>
    </w:p>
    <w:p w14:paraId="43B1E0BA">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七、我方的联系方式：</w:t>
      </w:r>
    </w:p>
    <w:p w14:paraId="78385787">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地址：</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；邮编：</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；电话：</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；电子邮箱：</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w:t>
      </w:r>
    </w:p>
    <w:p w14:paraId="452A536D">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p>
    <w:p w14:paraId="481F4D11">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5A08EFF0">
      <w:pPr>
        <w:adjustRightInd w:val="0"/>
        <w:snapToGrid w:val="0"/>
        <w:spacing w:before="156" w:beforeLines="50"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0D5E4F34">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5EE28539">
      <w:pPr>
        <w:adjustRightInd w:val="0"/>
        <w:snapToGrid w:val="0"/>
        <w:spacing w:line="360" w:lineRule="auto"/>
        <w:jc w:val="center"/>
        <w:rPr>
          <w:rFonts w:hint="default" w:ascii="Times New Roman" w:hAnsi="Times New Roman" w:cs="Times New Roman" w:eastAsiaTheme="minorEastAsia"/>
          <w:b/>
          <w:color w:val="auto"/>
          <w:sz w:val="28"/>
          <w:szCs w:val="28"/>
          <w:highlight w:val="none"/>
        </w:rPr>
      </w:pPr>
    </w:p>
    <w:p w14:paraId="29793BC0">
      <w:pPr>
        <w:keepNext/>
        <w:keepLines/>
        <w:numPr>
          <w:ilvl w:val="0"/>
          <w:numId w:val="5"/>
        </w:numPr>
        <w:spacing w:line="360" w:lineRule="auto"/>
        <w:jc w:val="center"/>
        <w:outlineLvl w:val="1"/>
        <w:rPr>
          <w:rFonts w:hint="default" w:ascii="Times New Roman" w:hAnsi="Times New Roman" w:cs="Times New Roman" w:eastAsiaTheme="minorEastAsia"/>
          <w:b/>
          <w:bCs/>
          <w:color w:val="auto"/>
          <w:sz w:val="28"/>
          <w:szCs w:val="28"/>
          <w:highlight w:val="none"/>
        </w:rPr>
      </w:pPr>
      <w:bookmarkStart w:id="655" w:name="_Toc107998034"/>
      <w:bookmarkStart w:id="656" w:name="_Toc2205"/>
      <w:r>
        <w:rPr>
          <w:rFonts w:hint="default" w:ascii="Times New Roman" w:hAnsi="Times New Roman" w:cs="Times New Roman" w:eastAsiaTheme="minorEastAsia"/>
          <w:b/>
          <w:bCs/>
          <w:color w:val="auto"/>
          <w:sz w:val="28"/>
          <w:szCs w:val="28"/>
          <w:highlight w:val="none"/>
        </w:rPr>
        <w:br w:type="page"/>
      </w:r>
      <w:bookmarkStart w:id="657" w:name="_Toc25464"/>
      <w:bookmarkStart w:id="658" w:name="_Toc22169"/>
      <w:bookmarkStart w:id="659" w:name="_Toc4914"/>
      <w:bookmarkStart w:id="660" w:name="_Toc27785"/>
      <w:r>
        <w:rPr>
          <w:rFonts w:hint="default" w:ascii="Times New Roman" w:hAnsi="Times New Roman" w:cs="Times New Roman" w:eastAsiaTheme="minorEastAsia"/>
          <w:b/>
          <w:bCs/>
          <w:color w:val="auto"/>
          <w:sz w:val="28"/>
          <w:szCs w:val="28"/>
          <w:highlight w:val="none"/>
        </w:rPr>
        <w:t>保证金</w:t>
      </w:r>
      <w:bookmarkEnd w:id="655"/>
      <w:bookmarkEnd w:id="656"/>
      <w:bookmarkEnd w:id="657"/>
      <w:bookmarkEnd w:id="658"/>
      <w:bookmarkEnd w:id="659"/>
      <w:bookmarkEnd w:id="660"/>
    </w:p>
    <w:p w14:paraId="613A5DA0">
      <w:pPr>
        <w:spacing w:line="360" w:lineRule="auto"/>
        <w:rPr>
          <w:rFonts w:hint="default" w:ascii="Times New Roman" w:hAnsi="Times New Roman" w:cs="Times New Roman" w:eastAsiaTheme="minorEastAsia"/>
          <w:color w:val="auto"/>
          <w:highlight w:val="none"/>
          <w:lang w:eastAsia="zh-CN"/>
        </w:rPr>
      </w:pPr>
      <w:r>
        <w:rPr>
          <w:rFonts w:hint="default" w:ascii="Times New Roman" w:hAnsi="Times New Roman" w:cs="Times New Roman" w:eastAsiaTheme="minorEastAsia"/>
          <w:color w:val="auto"/>
          <w:highlight w:val="none"/>
        </w:rPr>
        <w:t>1、提供付款凭证复印件</w:t>
      </w:r>
      <w:r>
        <w:rPr>
          <w:rFonts w:hint="default" w:ascii="Times New Roman" w:hAnsi="Times New Roman" w:cs="Times New Roman" w:eastAsiaTheme="minorEastAsia"/>
          <w:color w:val="auto"/>
          <w:highlight w:val="none"/>
          <w:lang w:val="en-US" w:eastAsia="zh-CN"/>
        </w:rPr>
        <w:t>或扫描件加盖公章</w:t>
      </w:r>
      <w:r>
        <w:rPr>
          <w:rFonts w:hint="default" w:ascii="Times New Roman" w:hAnsi="Times New Roman" w:cs="Times New Roman" w:eastAsiaTheme="minorEastAsia"/>
          <w:color w:val="auto"/>
          <w:highlight w:val="none"/>
          <w:lang w:eastAsia="zh-CN"/>
        </w:rPr>
        <w:t>；</w:t>
      </w:r>
    </w:p>
    <w:p w14:paraId="0071795E">
      <w:pPr>
        <w:widowControl w:val="0"/>
        <w:numPr>
          <w:ilvl w:val="0"/>
          <w:numId w:val="0"/>
        </w:numPr>
        <w:ind w:left="91" w:leftChars="0" w:right="91" w:rightChars="0" w:hanging="1080"/>
        <w:jc w:val="both"/>
        <w:rPr>
          <w:rFonts w:hint="default" w:ascii="Times New Roman" w:hAnsi="Times New Roman" w:cs="Times New Roman" w:eastAsiaTheme="minorEastAsia"/>
          <w:color w:val="auto"/>
          <w:kern w:val="2"/>
          <w:sz w:val="21"/>
          <w:szCs w:val="20"/>
          <w:lang w:val="en-US" w:eastAsia="zh-CN" w:bidi="ar-SA"/>
        </w:rPr>
      </w:pPr>
    </w:p>
    <w:p w14:paraId="3AD8ECD1">
      <w:pPr>
        <w:adjustRightInd w:val="0"/>
        <w:snapToGrid w:val="0"/>
        <w:spacing w:line="480" w:lineRule="auto"/>
        <w:ind w:right="24"/>
        <w:jc w:val="center"/>
        <w:rPr>
          <w:rFonts w:hint="default" w:ascii="Times New Roman" w:hAnsi="Times New Roman" w:cs="Times New Roman" w:eastAsiaTheme="minorEastAsia"/>
          <w:b/>
          <w:color w:val="auto"/>
          <w:sz w:val="28"/>
          <w:szCs w:val="28"/>
          <w:highlight w:val="none"/>
        </w:rPr>
      </w:pPr>
      <w:bookmarkStart w:id="661" w:name="_Toc107998035"/>
      <w:r>
        <w:rPr>
          <w:rFonts w:hint="default" w:ascii="Times New Roman" w:hAnsi="Times New Roman" w:cs="Times New Roman" w:eastAsiaTheme="minorEastAsia"/>
          <w:b/>
          <w:bCs/>
          <w:color w:val="auto"/>
          <w:sz w:val="24"/>
          <w:szCs w:val="32"/>
          <w:highlight w:val="none"/>
        </w:rPr>
        <w:br w:type="page"/>
      </w:r>
      <w:bookmarkStart w:id="662" w:name="_Toc28689"/>
      <w:bookmarkStart w:id="663" w:name="_Toc5107"/>
      <w:r>
        <w:rPr>
          <w:rFonts w:hint="default" w:ascii="Times New Roman" w:hAnsi="Times New Roman" w:cs="Times New Roman" w:eastAsiaTheme="minorEastAsia"/>
          <w:b/>
          <w:bCs/>
          <w:color w:val="auto"/>
          <w:sz w:val="28"/>
          <w:szCs w:val="28"/>
          <w:highlight w:val="none"/>
        </w:rPr>
        <w:t>法定代表人身份证明(法定代表人参加</w:t>
      </w:r>
      <w:r>
        <w:rPr>
          <w:rFonts w:hint="default" w:ascii="Times New Roman" w:hAnsi="Times New Roman" w:cs="Times New Roman" w:eastAsiaTheme="minorEastAsia"/>
          <w:b/>
          <w:bCs/>
          <w:color w:val="auto"/>
          <w:sz w:val="28"/>
          <w:szCs w:val="28"/>
          <w:highlight w:val="none"/>
          <w:lang w:val="en-US" w:eastAsia="zh-CN"/>
        </w:rPr>
        <w:t>谈判</w:t>
      </w:r>
      <w:r>
        <w:rPr>
          <w:rFonts w:hint="default" w:ascii="Times New Roman" w:hAnsi="Times New Roman" w:cs="Times New Roman" w:eastAsiaTheme="minorEastAsia"/>
          <w:b/>
          <w:bCs/>
          <w:color w:val="auto"/>
          <w:sz w:val="28"/>
          <w:szCs w:val="28"/>
          <w:highlight w:val="none"/>
        </w:rPr>
        <w:t>)</w:t>
      </w:r>
    </w:p>
    <w:p w14:paraId="1F20204C">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szCs w:val="21"/>
          <w:highlight w:val="none"/>
        </w:rPr>
        <w:t>供应商</w:t>
      </w:r>
      <w:r>
        <w:rPr>
          <w:rFonts w:hint="default" w:ascii="Times New Roman" w:hAnsi="Times New Roman" w:cs="Times New Roman" w:eastAsiaTheme="minorEastAsia"/>
          <w:color w:val="auto"/>
          <w:kern w:val="0"/>
          <w:szCs w:val="21"/>
          <w:highlight w:val="none"/>
        </w:rPr>
        <w:t>名称：</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 </w:t>
      </w:r>
    </w:p>
    <w:p w14:paraId="09768067">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注册号：</w:t>
      </w:r>
      <w:r>
        <w:rPr>
          <w:rFonts w:hint="default" w:ascii="Times New Roman" w:hAnsi="Times New Roman" w:cs="Times New Roman" w:eastAsiaTheme="minorEastAsia"/>
          <w:color w:val="auto"/>
          <w:kern w:val="0"/>
          <w:szCs w:val="21"/>
          <w:highlight w:val="none"/>
          <w:u w:val="single"/>
        </w:rPr>
        <w:t xml:space="preserve">                      </w:t>
      </w:r>
    </w:p>
    <w:p w14:paraId="21CEFE35">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注册地址：</w:t>
      </w:r>
      <w:r>
        <w:rPr>
          <w:rFonts w:hint="default" w:ascii="Times New Roman" w:hAnsi="Times New Roman" w:cs="Times New Roman" w:eastAsiaTheme="minorEastAsia"/>
          <w:color w:val="auto"/>
          <w:kern w:val="0"/>
          <w:szCs w:val="21"/>
          <w:highlight w:val="none"/>
          <w:u w:val="single"/>
        </w:rPr>
        <w:t xml:space="preserve">                    </w:t>
      </w:r>
    </w:p>
    <w:p w14:paraId="53C7B89B">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 xml:space="preserve">成立时间： </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年 </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月</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 日</w:t>
      </w:r>
    </w:p>
    <w:p w14:paraId="4258F4D5">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u w:val="single"/>
        </w:rPr>
      </w:pPr>
      <w:r>
        <w:rPr>
          <w:rFonts w:hint="default" w:ascii="Times New Roman" w:hAnsi="Times New Roman" w:cs="Times New Roman" w:eastAsiaTheme="minorEastAsia"/>
          <w:color w:val="auto"/>
          <w:kern w:val="0"/>
          <w:szCs w:val="21"/>
          <w:highlight w:val="none"/>
        </w:rPr>
        <w:t>经营期限：</w:t>
      </w:r>
      <w:r>
        <w:rPr>
          <w:rFonts w:hint="default" w:ascii="Times New Roman" w:hAnsi="Times New Roman" w:cs="Times New Roman" w:eastAsiaTheme="minorEastAsia"/>
          <w:color w:val="auto"/>
          <w:kern w:val="0"/>
          <w:szCs w:val="21"/>
          <w:highlight w:val="none"/>
          <w:u w:val="single"/>
        </w:rPr>
        <w:t xml:space="preserve">                    </w:t>
      </w:r>
    </w:p>
    <w:p w14:paraId="5AF70D3C">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u w:val="single"/>
        </w:rPr>
      </w:pPr>
      <w:r>
        <w:rPr>
          <w:rFonts w:hint="default" w:ascii="Times New Roman" w:hAnsi="Times New Roman" w:cs="Times New Roman" w:eastAsiaTheme="minorEastAsia"/>
          <w:color w:val="auto"/>
          <w:kern w:val="0"/>
          <w:szCs w:val="21"/>
          <w:highlight w:val="none"/>
        </w:rPr>
        <w:t>经营范围：主营：</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 ；兼营：</w:t>
      </w:r>
      <w:r>
        <w:rPr>
          <w:rFonts w:hint="default" w:ascii="Times New Roman" w:hAnsi="Times New Roman" w:cs="Times New Roman" w:eastAsiaTheme="minorEastAsia"/>
          <w:color w:val="auto"/>
          <w:kern w:val="0"/>
          <w:szCs w:val="21"/>
          <w:highlight w:val="none"/>
          <w:u w:val="single"/>
        </w:rPr>
        <w:t xml:space="preserve">              </w:t>
      </w:r>
    </w:p>
    <w:p w14:paraId="6ED40258">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姓名：</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 性别：</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 年龄：</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 xml:space="preserve"> 系</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zCs w:val="21"/>
          <w:highlight w:val="none"/>
        </w:rPr>
        <w:t>供应商</w:t>
      </w:r>
      <w:r>
        <w:rPr>
          <w:rFonts w:hint="default" w:ascii="Times New Roman" w:hAnsi="Times New Roman" w:cs="Times New Roman" w:eastAsiaTheme="minorEastAsia"/>
          <w:color w:val="auto"/>
          <w:kern w:val="0"/>
          <w:szCs w:val="21"/>
          <w:highlight w:val="none"/>
        </w:rPr>
        <w:t>名称）的法定代表人。</w:t>
      </w:r>
    </w:p>
    <w:p w14:paraId="53C2E997">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特此证明。</w:t>
      </w:r>
    </w:p>
    <w:p w14:paraId="1A616661">
      <w:pPr>
        <w:autoSpaceDE w:val="0"/>
        <w:autoSpaceDN w:val="0"/>
        <w:adjustRightInd w:val="0"/>
        <w:snapToGrid w:val="0"/>
        <w:spacing w:before="159" w:beforeLines="50"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附：法定代表人身份证复印件</w:t>
      </w:r>
    </w:p>
    <w:tbl>
      <w:tblPr>
        <w:tblStyle w:val="44"/>
        <w:tblpPr w:leftFromText="180" w:rightFromText="180" w:vertAnchor="text" w:horzAnchor="page" w:tblpX="1323" w:tblpY="238"/>
        <w:tblOverlap w:val="never"/>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389D4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95" w:hRule="atLeast"/>
          <w:jc w:val="center"/>
        </w:trPr>
        <w:tc>
          <w:tcPr>
            <w:tcW w:w="9100" w:type="dxa"/>
            <w:vAlign w:val="center"/>
          </w:tcPr>
          <w:p w14:paraId="66B68049">
            <w:pPr>
              <w:adjustRightInd w:val="0"/>
              <w:snapToGrid w:val="0"/>
              <w:spacing w:before="159" w:beforeLines="50" w:line="48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法定代表人身份证复印件</w:t>
            </w:r>
          </w:p>
        </w:tc>
      </w:tr>
    </w:tbl>
    <w:p w14:paraId="7752F507">
      <w:pPr>
        <w:adjustRightInd w:val="0"/>
        <w:snapToGrid w:val="0"/>
        <w:spacing w:line="480" w:lineRule="auto"/>
        <w:ind w:right="420" w:firstLine="420" w:firstLineChars="200"/>
        <w:rPr>
          <w:rFonts w:hint="default" w:ascii="Times New Roman" w:hAnsi="Times New Roman" w:cs="Times New Roman" w:eastAsiaTheme="minorEastAsia"/>
          <w:color w:val="auto"/>
          <w:szCs w:val="21"/>
          <w:highlight w:val="none"/>
        </w:rPr>
      </w:pPr>
    </w:p>
    <w:p w14:paraId="34479110">
      <w:pPr>
        <w:adjustRightInd w:val="0"/>
        <w:snapToGrid w:val="0"/>
        <w:spacing w:line="480" w:lineRule="auto"/>
        <w:ind w:right="420" w:firstLine="420" w:firstLineChars="200"/>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eastAsiaTheme="minorEastAsia"/>
          <w:color w:val="auto"/>
          <w:szCs w:val="21"/>
          <w:highlight w:val="none"/>
        </w:rPr>
        <w:t>供应商名称（盖单位章）：</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u w:val="single"/>
          <w:lang w:val="en-US" w:eastAsia="zh-CN"/>
        </w:rPr>
        <w:t xml:space="preserve">   </w:t>
      </w:r>
    </w:p>
    <w:p w14:paraId="35EBCA3A">
      <w:pPr>
        <w:keepNext/>
        <w:keepLines/>
        <w:spacing w:line="360" w:lineRule="auto"/>
        <w:ind w:firstLine="420" w:firstLineChars="200"/>
        <w:jc w:val="left"/>
        <w:outlineLvl w:val="1"/>
        <w:rPr>
          <w:rFonts w:hint="default" w:ascii="Times New Roman" w:hAnsi="Times New Roman" w:cs="Times New Roman" w:eastAsiaTheme="minorEastAsia"/>
          <w:color w:val="auto"/>
          <w:szCs w:val="21"/>
          <w:highlight w:val="none"/>
        </w:rPr>
      </w:pPr>
      <w:bookmarkStart w:id="664" w:name="_Toc17960"/>
      <w:bookmarkStart w:id="665" w:name="_Toc4465"/>
      <w:bookmarkStart w:id="666" w:name="_Toc24665"/>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bookmarkEnd w:id="664"/>
      <w:bookmarkEnd w:id="665"/>
      <w:bookmarkEnd w:id="666"/>
      <w:r>
        <w:rPr>
          <w:rFonts w:hint="default" w:ascii="Times New Roman" w:hAnsi="Times New Roman" w:cs="Times New Roman" w:eastAsiaTheme="minorEastAsia"/>
          <w:color w:val="auto"/>
          <w:szCs w:val="21"/>
          <w:highlight w:val="none"/>
        </w:rPr>
        <w:t xml:space="preserve"> </w:t>
      </w:r>
    </w:p>
    <w:p w14:paraId="7302D000">
      <w:pPr>
        <w:rPr>
          <w:rFonts w:hint="default" w:ascii="Times New Roman" w:hAnsi="Times New Roman" w:cs="Times New Roman" w:eastAsiaTheme="minorEastAsia"/>
          <w:color w:val="auto"/>
          <w:szCs w:val="21"/>
          <w:highlight w:val="none"/>
        </w:rPr>
      </w:pPr>
    </w:p>
    <w:p w14:paraId="44A0312D">
      <w:pPr>
        <w:rPr>
          <w:rFonts w:hint="default" w:ascii="Times New Roman" w:hAnsi="Times New Roman" w:cs="Times New Roman" w:eastAsiaTheme="minorEastAsia"/>
          <w:color w:val="auto"/>
          <w:szCs w:val="21"/>
          <w:highlight w:val="none"/>
        </w:rPr>
      </w:pPr>
    </w:p>
    <w:p w14:paraId="3366C546">
      <w:pPr>
        <w:rPr>
          <w:rFonts w:hint="default" w:ascii="Times New Roman" w:hAnsi="Times New Roman" w:cs="Times New Roman" w:eastAsiaTheme="minorEastAsia"/>
          <w:color w:val="auto"/>
          <w:szCs w:val="21"/>
          <w:highlight w:val="none"/>
        </w:rPr>
      </w:pPr>
    </w:p>
    <w:p w14:paraId="39A912FC">
      <w:pPr>
        <w:rPr>
          <w:rFonts w:hint="default" w:ascii="Times New Roman" w:hAnsi="Times New Roman" w:cs="Times New Roman" w:eastAsiaTheme="minorEastAsia"/>
          <w:color w:val="auto"/>
          <w:szCs w:val="21"/>
          <w:highlight w:val="none"/>
        </w:rPr>
      </w:pPr>
    </w:p>
    <w:p w14:paraId="3D88EBC6">
      <w:pPr>
        <w:rPr>
          <w:rFonts w:hint="default" w:ascii="Times New Roman" w:hAnsi="Times New Roman" w:cs="Times New Roman" w:eastAsiaTheme="minorEastAsia"/>
          <w:color w:val="auto"/>
          <w:szCs w:val="21"/>
          <w:highlight w:val="none"/>
        </w:rPr>
      </w:pPr>
    </w:p>
    <w:p w14:paraId="3F5C4C64">
      <w:pP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br w:type="page"/>
      </w:r>
    </w:p>
    <w:p w14:paraId="31D32913">
      <w:pPr>
        <w:keepNext/>
        <w:keepLines/>
        <w:spacing w:line="360" w:lineRule="auto"/>
        <w:jc w:val="center"/>
        <w:outlineLvl w:val="1"/>
        <w:rPr>
          <w:rFonts w:hint="default" w:ascii="Times New Roman" w:hAnsi="Times New Roman" w:cs="Times New Roman" w:eastAsiaTheme="minorEastAsia"/>
          <w:b/>
          <w:bCs/>
          <w:color w:val="auto"/>
          <w:sz w:val="28"/>
          <w:szCs w:val="28"/>
          <w:highlight w:val="none"/>
        </w:rPr>
      </w:pPr>
      <w:bookmarkStart w:id="667" w:name="_Toc26355"/>
      <w:bookmarkStart w:id="668" w:name="_Toc4506"/>
      <w:r>
        <w:rPr>
          <w:rFonts w:hint="default" w:ascii="Times New Roman" w:hAnsi="Times New Roman" w:cs="Times New Roman" w:eastAsiaTheme="minorEastAsia"/>
          <w:b/>
          <w:bCs/>
          <w:color w:val="auto"/>
          <w:sz w:val="28"/>
          <w:szCs w:val="28"/>
          <w:highlight w:val="none"/>
          <w:lang w:val="en-US" w:eastAsia="zh-CN"/>
        </w:rPr>
        <w:t>四、</w:t>
      </w:r>
      <w:r>
        <w:rPr>
          <w:rFonts w:hint="default" w:ascii="Times New Roman" w:hAnsi="Times New Roman" w:cs="Times New Roman" w:eastAsiaTheme="minorEastAsia"/>
          <w:b/>
          <w:bCs/>
          <w:color w:val="auto"/>
          <w:sz w:val="28"/>
          <w:szCs w:val="28"/>
          <w:highlight w:val="none"/>
        </w:rPr>
        <w:t>授权委托书(委托代理人参加</w:t>
      </w:r>
      <w:r>
        <w:rPr>
          <w:rFonts w:hint="default" w:ascii="Times New Roman" w:hAnsi="Times New Roman" w:cs="Times New Roman" w:eastAsiaTheme="minorEastAsia"/>
          <w:b/>
          <w:bCs/>
          <w:color w:val="auto"/>
          <w:sz w:val="28"/>
          <w:szCs w:val="28"/>
          <w:highlight w:val="none"/>
          <w:lang w:val="en-US" w:eastAsia="zh-CN"/>
        </w:rPr>
        <w:t>谈判</w:t>
      </w:r>
      <w:r>
        <w:rPr>
          <w:rFonts w:hint="default" w:ascii="Times New Roman" w:hAnsi="Times New Roman" w:cs="Times New Roman" w:eastAsiaTheme="minorEastAsia"/>
          <w:b/>
          <w:bCs/>
          <w:color w:val="auto"/>
          <w:sz w:val="28"/>
          <w:szCs w:val="28"/>
          <w:highlight w:val="none"/>
        </w:rPr>
        <w:t>)</w:t>
      </w:r>
      <w:bookmarkEnd w:id="661"/>
      <w:bookmarkEnd w:id="662"/>
      <w:bookmarkEnd w:id="663"/>
      <w:bookmarkEnd w:id="667"/>
      <w:bookmarkEnd w:id="668"/>
    </w:p>
    <w:p w14:paraId="7DA2C0C9">
      <w:pPr>
        <w:autoSpaceDE w:val="0"/>
        <w:autoSpaceDN w:val="0"/>
        <w:adjustRightInd w:val="0"/>
        <w:snapToGrid w:val="0"/>
        <w:spacing w:before="156" w:beforeLines="50" w:line="360" w:lineRule="auto"/>
        <w:ind w:firstLine="420" w:firstLineChars="200"/>
        <w:jc w:val="left"/>
        <w:rPr>
          <w:rFonts w:hint="default" w:ascii="Times New Roman" w:hAnsi="Times New Roman" w:cs="Times New Roman" w:eastAsiaTheme="minorEastAsia"/>
          <w:color w:val="auto"/>
          <w:kern w:val="0"/>
          <w:szCs w:val="21"/>
          <w:highlight w:val="none"/>
        </w:rPr>
      </w:pPr>
    </w:p>
    <w:p w14:paraId="3EFC2641">
      <w:pPr>
        <w:autoSpaceDE w:val="0"/>
        <w:autoSpaceDN w:val="0"/>
        <w:adjustRightInd w:val="0"/>
        <w:snapToGrid w:val="0"/>
        <w:spacing w:before="156" w:beforeLines="50" w:line="360" w:lineRule="auto"/>
        <w:ind w:firstLine="420" w:firstLineChars="200"/>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本人</w:t>
      </w:r>
      <w:r>
        <w:rPr>
          <w:rFonts w:hint="default" w:ascii="Times New Roman" w:hAnsi="Times New Roman" w:cs="Times New Roman" w:eastAsiaTheme="minorEastAsia"/>
          <w:color w:val="auto"/>
          <w:kern w:val="0"/>
          <w:szCs w:val="21"/>
          <w:highlight w:val="none"/>
          <w:u w:val="single"/>
        </w:rPr>
        <w:t>（姓名、职务）</w:t>
      </w:r>
      <w:r>
        <w:rPr>
          <w:rFonts w:hint="default" w:ascii="Times New Roman" w:hAnsi="Times New Roman" w:cs="Times New Roman" w:eastAsiaTheme="minorEastAsia"/>
          <w:color w:val="auto"/>
          <w:kern w:val="0"/>
          <w:szCs w:val="21"/>
          <w:highlight w:val="none"/>
        </w:rPr>
        <w:t xml:space="preserve">系 </w:t>
      </w:r>
      <w:r>
        <w:rPr>
          <w:rFonts w:hint="default" w:ascii="Times New Roman" w:hAnsi="Times New Roman" w:cs="Times New Roman" w:eastAsiaTheme="minorEastAsia"/>
          <w:color w:val="auto"/>
          <w:kern w:val="0"/>
          <w:szCs w:val="21"/>
          <w:highlight w:val="none"/>
          <w:u w:val="single"/>
        </w:rPr>
        <w:t>（</w:t>
      </w:r>
      <w:r>
        <w:rPr>
          <w:rFonts w:hint="default" w:ascii="Times New Roman" w:hAnsi="Times New Roman" w:cs="Times New Roman" w:eastAsiaTheme="minorEastAsia"/>
          <w:color w:val="auto"/>
          <w:szCs w:val="21"/>
          <w:highlight w:val="none"/>
          <w:u w:val="single"/>
        </w:rPr>
        <w:t>供应商</w:t>
      </w:r>
      <w:r>
        <w:rPr>
          <w:rFonts w:hint="default" w:ascii="Times New Roman" w:hAnsi="Times New Roman" w:cs="Times New Roman" w:eastAsiaTheme="minorEastAsia"/>
          <w:color w:val="auto"/>
          <w:kern w:val="0"/>
          <w:szCs w:val="21"/>
          <w:highlight w:val="none"/>
          <w:u w:val="single"/>
        </w:rPr>
        <w:t>名称）</w:t>
      </w:r>
      <w:r>
        <w:rPr>
          <w:rFonts w:hint="default" w:ascii="Times New Roman" w:hAnsi="Times New Roman" w:cs="Times New Roman" w:eastAsiaTheme="minorEastAsia"/>
          <w:color w:val="auto"/>
          <w:kern w:val="0"/>
          <w:szCs w:val="21"/>
          <w:highlight w:val="none"/>
        </w:rPr>
        <w:t>的法定代表人（</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kern w:val="0"/>
          <w:szCs w:val="21"/>
          <w:highlight w:val="none"/>
        </w:rPr>
        <w:t>，现授权</w:t>
      </w:r>
      <w:r>
        <w:rPr>
          <w:rFonts w:hint="default" w:ascii="Times New Roman" w:hAnsi="Times New Roman" w:cs="Times New Roman" w:eastAsiaTheme="minorEastAsia"/>
          <w:color w:val="auto"/>
          <w:kern w:val="0"/>
          <w:szCs w:val="21"/>
          <w:highlight w:val="none"/>
          <w:u w:val="single"/>
        </w:rPr>
        <w:t>（姓名、职务）</w:t>
      </w:r>
      <w:r>
        <w:rPr>
          <w:rFonts w:hint="default" w:ascii="Times New Roman" w:hAnsi="Times New Roman" w:cs="Times New Roman" w:eastAsiaTheme="minorEastAsia"/>
          <w:color w:val="auto"/>
          <w:kern w:val="0"/>
          <w:szCs w:val="21"/>
          <w:highlight w:val="none"/>
        </w:rPr>
        <w:t>为我方代理人。代理人根据授权，以我方名义：(1)签署、澄清、补正、修改、撤回、提交</w:t>
      </w:r>
      <w:r>
        <w:rPr>
          <w:rFonts w:hint="default" w:ascii="Times New Roman" w:hAnsi="Times New Roman" w:cs="Times New Roman" w:eastAsiaTheme="minorEastAsia"/>
          <w:color w:val="auto"/>
          <w:kern w:val="0"/>
          <w:szCs w:val="21"/>
          <w:highlight w:val="none"/>
          <w:u w:val="single"/>
        </w:rPr>
        <w:t>（项目名称、</w:t>
      </w:r>
      <w:r>
        <w:rPr>
          <w:rFonts w:hint="default" w:ascii="Times New Roman" w:hAnsi="Times New Roman" w:cs="Times New Roman" w:eastAsiaTheme="minorEastAsia"/>
          <w:color w:val="auto"/>
          <w:szCs w:val="21"/>
          <w:highlight w:val="none"/>
          <w:u w:val="single"/>
        </w:rPr>
        <w:t>政府采购计划编号</w:t>
      </w:r>
      <w:r>
        <w:rPr>
          <w:rFonts w:hint="default" w:ascii="Times New Roman" w:hAnsi="Times New Roman" w:cs="Times New Roman" w:eastAsiaTheme="minorEastAsia"/>
          <w:color w:val="auto"/>
          <w:kern w:val="0"/>
          <w:szCs w:val="21"/>
          <w:highlight w:val="none"/>
          <w:u w:val="single"/>
        </w:rPr>
        <w:t>、委托代理编号）</w:t>
      </w:r>
      <w:r>
        <w:rPr>
          <w:rFonts w:hint="default" w:ascii="Times New Roman" w:hAnsi="Times New Roman" w:cs="Times New Roman" w:eastAsiaTheme="minorEastAsia"/>
          <w:color w:val="auto"/>
          <w:kern w:val="0"/>
          <w:szCs w:val="21"/>
          <w:highlight w:val="none"/>
        </w:rPr>
        <w:t>响应文件；(2)签署并重新提交响应文件及最后报价；(3)退出谈判（如可能）；(4)签订合同和处理有关事宜，其法律后果由我方承担。</w:t>
      </w:r>
    </w:p>
    <w:p w14:paraId="3C712EEB">
      <w:pPr>
        <w:autoSpaceDE w:val="0"/>
        <w:autoSpaceDN w:val="0"/>
        <w:adjustRightInd w:val="0"/>
        <w:snapToGrid w:val="0"/>
        <w:spacing w:before="156" w:beforeLines="50" w:line="360" w:lineRule="auto"/>
        <w:ind w:firstLine="420" w:firstLineChars="200"/>
        <w:jc w:val="left"/>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委托期限：</w:t>
      </w:r>
      <w:r>
        <w:rPr>
          <w:rFonts w:hint="default" w:ascii="Times New Roman" w:hAnsi="Times New Roman" w:cs="Times New Roman" w:eastAsiaTheme="minorEastAsia"/>
          <w:color w:val="auto"/>
          <w:kern w:val="0"/>
          <w:szCs w:val="21"/>
          <w:highlight w:val="none"/>
          <w:u w:val="single"/>
        </w:rPr>
        <w:t xml:space="preserve">                   </w:t>
      </w:r>
      <w:r>
        <w:rPr>
          <w:rFonts w:hint="default" w:ascii="Times New Roman" w:hAnsi="Times New Roman" w:cs="Times New Roman" w:eastAsiaTheme="minorEastAsia"/>
          <w:color w:val="auto"/>
          <w:kern w:val="0"/>
          <w:szCs w:val="21"/>
          <w:highlight w:val="none"/>
        </w:rPr>
        <w:t>。</w:t>
      </w:r>
    </w:p>
    <w:p w14:paraId="15AD2446">
      <w:pPr>
        <w:adjustRightInd w:val="0"/>
        <w:snapToGrid w:val="0"/>
        <w:spacing w:before="156" w:beforeLines="50" w:line="360" w:lineRule="auto"/>
        <w:ind w:firstLine="435"/>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代理人无转委托权。</w:t>
      </w:r>
    </w:p>
    <w:p w14:paraId="628B591E">
      <w:pPr>
        <w:adjustRightInd w:val="0"/>
        <w:snapToGrid w:val="0"/>
        <w:spacing w:before="156" w:beforeLines="50" w:line="360" w:lineRule="auto"/>
        <w:ind w:firstLine="435"/>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szCs w:val="21"/>
          <w:highlight w:val="none"/>
        </w:rPr>
        <w:t>本授权书于</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日签字生效，特此声明。</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9"/>
        <w:gridCol w:w="3910"/>
      </w:tblGrid>
      <w:tr w14:paraId="2A92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88" w:hRule="atLeast"/>
        </w:trPr>
        <w:tc>
          <w:tcPr>
            <w:tcW w:w="3909" w:type="dxa"/>
            <w:noWrap w:val="0"/>
            <w:vAlign w:val="center"/>
          </w:tcPr>
          <w:p w14:paraId="09C0C594">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委托代理人身份证（正面）</w:t>
            </w:r>
            <w:r>
              <w:rPr>
                <w:rFonts w:hint="default" w:ascii="Times New Roman" w:hAnsi="Times New Roman" w:cs="Times New Roman" w:eastAsiaTheme="minorEastAsia"/>
                <w:color w:val="auto"/>
                <w:spacing w:val="-2"/>
                <w:kern w:val="0"/>
                <w:szCs w:val="21"/>
                <w:highlight w:val="none"/>
              </w:rPr>
              <w:t>复</w:t>
            </w:r>
            <w:r>
              <w:rPr>
                <w:rFonts w:hint="default" w:ascii="Times New Roman" w:hAnsi="Times New Roman" w:cs="Times New Roman" w:eastAsiaTheme="minorEastAsia"/>
                <w:color w:val="auto"/>
                <w:kern w:val="0"/>
                <w:szCs w:val="21"/>
                <w:highlight w:val="none"/>
              </w:rPr>
              <w:t>印</w:t>
            </w:r>
            <w:r>
              <w:rPr>
                <w:rFonts w:hint="default" w:ascii="Times New Roman" w:hAnsi="Times New Roman" w:cs="Times New Roman" w:eastAsiaTheme="minorEastAsia"/>
                <w:color w:val="auto"/>
                <w:spacing w:val="-2"/>
                <w:kern w:val="0"/>
                <w:szCs w:val="21"/>
                <w:highlight w:val="none"/>
              </w:rPr>
              <w:t>件</w:t>
            </w:r>
          </w:p>
        </w:tc>
        <w:tc>
          <w:tcPr>
            <w:tcW w:w="3910" w:type="dxa"/>
            <w:noWrap w:val="0"/>
            <w:vAlign w:val="center"/>
          </w:tcPr>
          <w:p w14:paraId="7FE01BC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委托代理人身份证（反面）</w:t>
            </w:r>
            <w:r>
              <w:rPr>
                <w:rFonts w:hint="default" w:ascii="Times New Roman" w:hAnsi="Times New Roman" w:cs="Times New Roman" w:eastAsiaTheme="minorEastAsia"/>
                <w:color w:val="auto"/>
                <w:spacing w:val="-2"/>
                <w:kern w:val="0"/>
                <w:szCs w:val="21"/>
                <w:highlight w:val="none"/>
              </w:rPr>
              <w:t>复</w:t>
            </w:r>
            <w:r>
              <w:rPr>
                <w:rFonts w:hint="default" w:ascii="Times New Roman" w:hAnsi="Times New Roman" w:cs="Times New Roman" w:eastAsiaTheme="minorEastAsia"/>
                <w:color w:val="auto"/>
                <w:kern w:val="0"/>
                <w:szCs w:val="21"/>
                <w:highlight w:val="none"/>
              </w:rPr>
              <w:t>印</w:t>
            </w:r>
            <w:r>
              <w:rPr>
                <w:rFonts w:hint="default" w:ascii="Times New Roman" w:hAnsi="Times New Roman" w:cs="Times New Roman" w:eastAsiaTheme="minorEastAsia"/>
                <w:color w:val="auto"/>
                <w:spacing w:val="-2"/>
                <w:kern w:val="0"/>
                <w:szCs w:val="21"/>
                <w:highlight w:val="none"/>
              </w:rPr>
              <w:t>件</w:t>
            </w:r>
          </w:p>
        </w:tc>
      </w:tr>
      <w:tr w14:paraId="0837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trPr>
        <w:tc>
          <w:tcPr>
            <w:tcW w:w="3909" w:type="dxa"/>
            <w:noWrap w:val="0"/>
            <w:vAlign w:val="center"/>
          </w:tcPr>
          <w:p w14:paraId="6D17C0D5">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法定代表人身份证（正面）</w:t>
            </w:r>
            <w:r>
              <w:rPr>
                <w:rFonts w:hint="default" w:ascii="Times New Roman" w:hAnsi="Times New Roman" w:cs="Times New Roman" w:eastAsiaTheme="minorEastAsia"/>
                <w:color w:val="auto"/>
                <w:spacing w:val="-2"/>
                <w:kern w:val="0"/>
                <w:szCs w:val="21"/>
                <w:highlight w:val="none"/>
              </w:rPr>
              <w:t>复</w:t>
            </w:r>
            <w:r>
              <w:rPr>
                <w:rFonts w:hint="default" w:ascii="Times New Roman" w:hAnsi="Times New Roman" w:cs="Times New Roman" w:eastAsiaTheme="minorEastAsia"/>
                <w:color w:val="auto"/>
                <w:kern w:val="0"/>
                <w:szCs w:val="21"/>
                <w:highlight w:val="none"/>
              </w:rPr>
              <w:t>印</w:t>
            </w:r>
            <w:r>
              <w:rPr>
                <w:rFonts w:hint="default" w:ascii="Times New Roman" w:hAnsi="Times New Roman" w:cs="Times New Roman" w:eastAsiaTheme="minorEastAsia"/>
                <w:color w:val="auto"/>
                <w:spacing w:val="-2"/>
                <w:kern w:val="0"/>
                <w:szCs w:val="21"/>
                <w:highlight w:val="none"/>
              </w:rPr>
              <w:t>件</w:t>
            </w:r>
          </w:p>
        </w:tc>
        <w:tc>
          <w:tcPr>
            <w:tcW w:w="3910" w:type="dxa"/>
            <w:noWrap w:val="0"/>
            <w:vAlign w:val="center"/>
          </w:tcPr>
          <w:p w14:paraId="24CCC3D0">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法定代表人身份证（反面）</w:t>
            </w:r>
            <w:r>
              <w:rPr>
                <w:rFonts w:hint="default" w:ascii="Times New Roman" w:hAnsi="Times New Roman" w:cs="Times New Roman" w:eastAsiaTheme="minorEastAsia"/>
                <w:color w:val="auto"/>
                <w:spacing w:val="-2"/>
                <w:kern w:val="0"/>
                <w:szCs w:val="21"/>
                <w:highlight w:val="none"/>
              </w:rPr>
              <w:t>复</w:t>
            </w:r>
            <w:r>
              <w:rPr>
                <w:rFonts w:hint="default" w:ascii="Times New Roman" w:hAnsi="Times New Roman" w:cs="Times New Roman" w:eastAsiaTheme="minorEastAsia"/>
                <w:color w:val="auto"/>
                <w:kern w:val="0"/>
                <w:szCs w:val="21"/>
                <w:highlight w:val="none"/>
              </w:rPr>
              <w:t>印</w:t>
            </w:r>
            <w:r>
              <w:rPr>
                <w:rFonts w:hint="default" w:ascii="Times New Roman" w:hAnsi="Times New Roman" w:cs="Times New Roman" w:eastAsiaTheme="minorEastAsia"/>
                <w:color w:val="auto"/>
                <w:spacing w:val="-2"/>
                <w:kern w:val="0"/>
                <w:szCs w:val="21"/>
                <w:highlight w:val="none"/>
              </w:rPr>
              <w:t>件</w:t>
            </w:r>
          </w:p>
        </w:tc>
      </w:tr>
    </w:tbl>
    <w:p w14:paraId="552880B8">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4A6BC86E">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注：供应商代表不是供应商的法定代表人（单位负责人）的提供。</w:t>
      </w:r>
    </w:p>
    <w:p w14:paraId="6821AAB0">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2362589C">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3E426A1B">
      <w:pPr>
        <w:adjustRightInd w:val="0"/>
        <w:snapToGrid w:val="0"/>
        <w:spacing w:before="156" w:beforeLines="50" w:line="360" w:lineRule="auto"/>
        <w:rPr>
          <w:rFonts w:hint="default" w:ascii="Times New Roman" w:hAnsi="Times New Roman" w:cs="Times New Roman" w:eastAsiaTheme="minorEastAsia"/>
          <w:color w:val="auto"/>
          <w:spacing w:val="-2"/>
          <w:kern w:val="0"/>
          <w:szCs w:val="21"/>
          <w:highlight w:val="non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（签字或印章）：</w:t>
      </w:r>
      <w:r>
        <w:rPr>
          <w:rFonts w:hint="default" w:ascii="Times New Roman" w:hAnsi="Times New Roman" w:cs="Times New Roman" w:eastAsiaTheme="minorEastAsia"/>
          <w:color w:val="auto"/>
          <w:szCs w:val="21"/>
          <w:highlight w:val="none"/>
          <w:u w:val="single"/>
        </w:rPr>
        <w:t xml:space="preserve">          </w:t>
      </w:r>
    </w:p>
    <w:p w14:paraId="6AC2D2C9">
      <w:pPr>
        <w:adjustRightInd w:val="0"/>
        <w:snapToGrid w:val="0"/>
        <w:spacing w:before="156" w:beforeLines="50"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t>委托代理人（签字或印章）：</w:t>
      </w:r>
      <w:r>
        <w:rPr>
          <w:rFonts w:hint="default" w:ascii="Times New Roman" w:hAnsi="Times New Roman" w:cs="Times New Roman" w:eastAsiaTheme="minorEastAsia"/>
          <w:color w:val="auto"/>
          <w:szCs w:val="21"/>
          <w:highlight w:val="none"/>
          <w:u w:val="single"/>
        </w:rPr>
        <w:t xml:space="preserve">          </w:t>
      </w:r>
    </w:p>
    <w:p w14:paraId="007BE530">
      <w:pPr>
        <w:adjustRightInd w:val="0"/>
        <w:snapToGrid w:val="0"/>
        <w:spacing w:before="156" w:beforeLines="50" w:line="360" w:lineRule="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132B3613">
      <w:pPr>
        <w:widowControl w:val="0"/>
        <w:spacing w:after="120"/>
        <w:jc w:val="both"/>
        <w:rPr>
          <w:rFonts w:hint="default" w:ascii="Times New Roman" w:hAnsi="Times New Roman" w:cs="Times New Roman" w:eastAsiaTheme="minorEastAsia"/>
          <w:color w:val="auto"/>
          <w:kern w:val="2"/>
          <w:sz w:val="21"/>
          <w:szCs w:val="24"/>
          <w:highlight w:val="none"/>
          <w:lang w:val="zh-CN" w:eastAsia="zh-CN" w:bidi="ar-SA"/>
        </w:rPr>
      </w:pPr>
    </w:p>
    <w:p w14:paraId="22C7908B">
      <w:pPr>
        <w:rPr>
          <w:rFonts w:hint="default" w:ascii="Times New Roman" w:hAnsi="Times New Roman" w:cs="Times New Roman" w:eastAsiaTheme="minorEastAsia"/>
          <w:color w:val="auto"/>
          <w:highlight w:val="none"/>
        </w:rPr>
      </w:pPr>
    </w:p>
    <w:p w14:paraId="301EC2CC">
      <w:pPr>
        <w:keepNext/>
        <w:keepLines/>
        <w:adjustRightInd w:val="0"/>
        <w:snapToGrid w:val="0"/>
        <w:spacing w:before="156" w:beforeLines="50" w:line="360" w:lineRule="auto"/>
        <w:jc w:val="center"/>
        <w:outlineLvl w:val="1"/>
        <w:rPr>
          <w:rFonts w:hint="default" w:ascii="Times New Roman" w:hAnsi="Times New Roman" w:cs="Times New Roman" w:eastAsiaTheme="minorEastAsia"/>
          <w:b/>
          <w:bCs/>
          <w:color w:val="auto"/>
          <w:sz w:val="28"/>
          <w:szCs w:val="28"/>
          <w:highlight w:val="none"/>
        </w:rPr>
      </w:pPr>
      <w:bookmarkStart w:id="669" w:name="_Toc15666"/>
      <w:bookmarkStart w:id="670" w:name="_Toc13135"/>
      <w:bookmarkStart w:id="671" w:name="_Toc107998036"/>
      <w:bookmarkStart w:id="672" w:name="_Toc28353"/>
      <w:bookmarkStart w:id="673" w:name="_Toc15296"/>
      <w:r>
        <w:rPr>
          <w:rFonts w:hint="default" w:ascii="Times New Roman" w:hAnsi="Times New Roman" w:cs="Times New Roman" w:eastAsiaTheme="minorEastAsia"/>
          <w:b/>
          <w:bCs/>
          <w:color w:val="auto"/>
          <w:sz w:val="28"/>
          <w:szCs w:val="28"/>
          <w:highlight w:val="none"/>
        </w:rPr>
        <w:t>五、供应商资格审查材料</w:t>
      </w:r>
      <w:bookmarkEnd w:id="669"/>
      <w:bookmarkEnd w:id="670"/>
      <w:bookmarkEnd w:id="671"/>
      <w:bookmarkEnd w:id="672"/>
      <w:bookmarkEnd w:id="673"/>
    </w:p>
    <w:p w14:paraId="0683B7C0">
      <w:pPr>
        <w:keepNext/>
        <w:keepLines/>
        <w:adjustRightInd w:val="0"/>
        <w:snapToGrid w:val="0"/>
        <w:spacing w:before="156" w:beforeLines="50" w:line="360" w:lineRule="auto"/>
        <w:outlineLvl w:val="2"/>
        <w:rPr>
          <w:rFonts w:hint="default" w:ascii="Times New Roman" w:hAnsi="Times New Roman" w:cs="Times New Roman" w:eastAsiaTheme="minorEastAsia"/>
          <w:b/>
          <w:bCs/>
          <w:color w:val="auto"/>
          <w:szCs w:val="21"/>
          <w:highlight w:val="none"/>
        </w:rPr>
      </w:pPr>
      <w:bookmarkStart w:id="674" w:name="_Toc29295"/>
      <w:bookmarkStart w:id="675" w:name="_Toc62225545"/>
      <w:bookmarkStart w:id="676" w:name="_Toc29312"/>
      <w:bookmarkStart w:id="677" w:name="_Toc10453"/>
      <w:bookmarkStart w:id="678" w:name="_Toc107998044"/>
      <w:r>
        <w:rPr>
          <w:rFonts w:hint="default" w:ascii="Times New Roman" w:hAnsi="Times New Roman" w:cs="Times New Roman" w:eastAsiaTheme="minorEastAsia"/>
          <w:b/>
          <w:bCs/>
          <w:color w:val="auto"/>
          <w:szCs w:val="21"/>
          <w:highlight w:val="none"/>
        </w:rPr>
        <w:t>附件5-1 资格更新证明材料</w:t>
      </w:r>
      <w:bookmarkEnd w:id="674"/>
      <w:bookmarkEnd w:id="675"/>
      <w:bookmarkEnd w:id="676"/>
      <w:bookmarkEnd w:id="677"/>
      <w:bookmarkEnd w:id="678"/>
    </w:p>
    <w:p w14:paraId="3A1EBF05">
      <w:pPr>
        <w:adjustRightInd w:val="0"/>
        <w:snapToGrid w:val="0"/>
        <w:spacing w:before="156" w:beforeLines="50" w:line="360" w:lineRule="auto"/>
        <w:jc w:val="center"/>
        <w:rPr>
          <w:rFonts w:hint="default" w:ascii="Times New Roman" w:hAnsi="Times New Roman" w:cs="Times New Roman" w:eastAsiaTheme="minorEastAsia"/>
          <w:b/>
          <w:color w:val="auto"/>
          <w:sz w:val="28"/>
          <w:szCs w:val="28"/>
          <w:highlight w:val="none"/>
        </w:rPr>
      </w:pPr>
      <w:r>
        <w:rPr>
          <w:rFonts w:hint="default" w:ascii="Times New Roman" w:hAnsi="Times New Roman" w:cs="Times New Roman" w:eastAsiaTheme="minorEastAsia"/>
          <w:b/>
          <w:color w:val="auto"/>
          <w:sz w:val="28"/>
          <w:szCs w:val="28"/>
          <w:highlight w:val="none"/>
        </w:rPr>
        <w:t>供应商的资格更新证明材料</w:t>
      </w:r>
    </w:p>
    <w:p w14:paraId="5DA03B41">
      <w:pPr>
        <w:jc w:val="left"/>
        <w:rPr>
          <w:rFonts w:hint="default" w:ascii="Times New Roman" w:hAnsi="Times New Roman" w:cs="Times New Roman" w:eastAsiaTheme="minorEastAsia"/>
          <w:color w:val="auto"/>
          <w:sz w:val="28"/>
          <w:szCs w:val="28"/>
          <w:highlight w:val="none"/>
        </w:rPr>
      </w:pPr>
      <w:r>
        <w:rPr>
          <w:rFonts w:hint="default" w:ascii="Times New Roman" w:hAnsi="Times New Roman" w:cs="Times New Roman" w:eastAsiaTheme="minorEastAsia"/>
          <w:b w:val="0"/>
          <w:bCs/>
          <w:color w:val="auto"/>
          <w:szCs w:val="21"/>
          <w:highlight w:val="none"/>
        </w:rPr>
        <w:t>注</w:t>
      </w:r>
      <w:r>
        <w:rPr>
          <w:rFonts w:hint="default" w:ascii="Times New Roman" w:hAnsi="Times New Roman" w:cs="Times New Roman" w:eastAsiaTheme="minorEastAsia"/>
          <w:b w:val="0"/>
          <w:bCs/>
          <w:color w:val="auto"/>
          <w:highlight w:val="none"/>
        </w:rPr>
        <w:t>：</w:t>
      </w:r>
      <w:r>
        <w:rPr>
          <w:rFonts w:hint="default" w:ascii="Times New Roman" w:hAnsi="Times New Roman" w:cs="Times New Roman" w:eastAsiaTheme="minorEastAsia"/>
          <w:b w:val="0"/>
          <w:bCs/>
          <w:color w:val="auto"/>
          <w:kern w:val="0"/>
          <w:szCs w:val="21"/>
          <w:highlight w:val="none"/>
          <w:lang w:val="zh-CN"/>
        </w:rPr>
        <w:t>根据</w:t>
      </w:r>
      <w:r>
        <w:rPr>
          <w:rFonts w:hint="default" w:ascii="Times New Roman" w:hAnsi="Times New Roman" w:cs="Times New Roman" w:eastAsiaTheme="minorEastAsia"/>
          <w:color w:val="auto"/>
          <w:kern w:val="0"/>
          <w:szCs w:val="21"/>
          <w:highlight w:val="none"/>
          <w:lang w:val="zh-CN"/>
        </w:rPr>
        <w:t>谈判文件第二章第10.1款规定，被邀请的</w:t>
      </w:r>
      <w:r>
        <w:rPr>
          <w:rFonts w:hint="default" w:ascii="Times New Roman" w:hAnsi="Times New Roman" w:cs="Times New Roman" w:eastAsiaTheme="minorEastAsia"/>
          <w:color w:val="auto"/>
          <w:szCs w:val="21"/>
          <w:highlight w:val="none"/>
        </w:rPr>
        <w:t>供应商在提交资格证明材料</w:t>
      </w:r>
      <w:r>
        <w:rPr>
          <w:rFonts w:hint="default" w:ascii="Times New Roman" w:hAnsi="Times New Roman" w:cs="Times New Roman" w:eastAsiaTheme="minorEastAsia"/>
          <w:bCs/>
          <w:color w:val="auto"/>
          <w:szCs w:val="21"/>
          <w:highlight w:val="none"/>
        </w:rPr>
        <w:t>起</w:t>
      </w:r>
      <w:r>
        <w:rPr>
          <w:rFonts w:hint="default" w:ascii="Times New Roman" w:hAnsi="Times New Roman" w:cs="Times New Roman" w:eastAsiaTheme="minorEastAsia"/>
          <w:color w:val="auto"/>
          <w:szCs w:val="21"/>
          <w:highlight w:val="none"/>
        </w:rPr>
        <w:t>至</w:t>
      </w:r>
      <w:r>
        <w:rPr>
          <w:rFonts w:hint="default" w:ascii="Times New Roman" w:hAnsi="Times New Roman" w:cs="Times New Roman" w:eastAsiaTheme="minorEastAsia"/>
          <w:color w:val="auto"/>
          <w:kern w:val="0"/>
          <w:szCs w:val="21"/>
          <w:highlight w:val="none"/>
        </w:rPr>
        <w:t>提交首次响应文件</w:t>
      </w:r>
      <w:r>
        <w:rPr>
          <w:rFonts w:hint="default" w:ascii="Times New Roman" w:hAnsi="Times New Roman" w:cs="Times New Roman" w:eastAsiaTheme="minorEastAsia"/>
          <w:color w:val="auto"/>
          <w:szCs w:val="21"/>
          <w:highlight w:val="none"/>
        </w:rPr>
        <w:t>止，其资格条件发生变化，影响或者可能影响资格条件的，应随本响应文件提供更新或者补充的资格证明材料</w:t>
      </w:r>
      <w:r>
        <w:rPr>
          <w:rFonts w:hint="default" w:ascii="Times New Roman" w:hAnsi="Times New Roman" w:cs="Times New Roman" w:eastAsiaTheme="minorEastAsia"/>
          <w:color w:val="auto"/>
          <w:szCs w:val="21"/>
          <w:highlight w:val="none"/>
          <w:lang w:eastAsia="zh-CN"/>
        </w:rPr>
        <w:t>。</w:t>
      </w:r>
      <w:r>
        <w:rPr>
          <w:rFonts w:hint="default" w:ascii="Times New Roman" w:hAnsi="Times New Roman" w:cs="Times New Roman" w:eastAsiaTheme="minorEastAsia"/>
          <w:color w:val="auto"/>
          <w:sz w:val="28"/>
          <w:szCs w:val="28"/>
          <w:highlight w:val="none"/>
        </w:rPr>
        <w:br w:type="page"/>
      </w:r>
    </w:p>
    <w:p w14:paraId="7C00A40A">
      <w:pPr>
        <w:keepNext/>
        <w:keepLines/>
        <w:widowControl w:val="0"/>
        <w:spacing w:line="360" w:lineRule="auto"/>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bookmarkStart w:id="679" w:name="_Toc24783"/>
      <w:bookmarkStart w:id="680" w:name="_Toc30172"/>
      <w:bookmarkStart w:id="681" w:name="_Toc17264"/>
      <w:bookmarkStart w:id="682" w:name="_Toc9073"/>
      <w:bookmarkStart w:id="683" w:name="_Toc32594"/>
      <w:bookmarkStart w:id="684" w:name="_Toc19130"/>
      <w:bookmarkStart w:id="685" w:name="_Toc18650"/>
      <w:bookmarkStart w:id="686" w:name="_Toc6869"/>
      <w:bookmarkStart w:id="687" w:name="_Toc17470"/>
      <w:bookmarkStart w:id="688" w:name="_Toc22905"/>
      <w:bookmarkStart w:id="689" w:name="_Toc21745"/>
      <w:bookmarkStart w:id="690" w:name="_Toc11495"/>
      <w:bookmarkStart w:id="691" w:name="_Toc16405"/>
      <w:bookmarkStart w:id="692" w:name="_Toc6498"/>
      <w:bookmarkStart w:id="693" w:name="_Toc29497"/>
      <w:bookmarkStart w:id="694" w:name="_Toc30206"/>
      <w:bookmarkStart w:id="695" w:name="_Toc8853"/>
      <w:bookmarkStart w:id="696" w:name="_Toc1574"/>
      <w:bookmarkStart w:id="697" w:name="_Toc3473"/>
      <w:bookmarkStart w:id="698" w:name="_Toc26896"/>
      <w:bookmarkStart w:id="699" w:name="_Toc19955"/>
      <w:bookmarkStart w:id="700" w:name="_Toc27065"/>
      <w:bookmarkStart w:id="701" w:name="_Toc29685"/>
      <w:bookmarkStart w:id="702" w:name="_Toc3331"/>
      <w:bookmarkStart w:id="703" w:name="_Toc14437"/>
      <w:bookmarkStart w:id="704" w:name="_Toc12531"/>
      <w:r>
        <w:rPr>
          <w:rFonts w:hint="default" w:ascii="Times New Roman" w:hAnsi="Times New Roman" w:cs="Times New Roman" w:eastAsiaTheme="minorEastAsia"/>
          <w:b/>
          <w:bCs/>
          <w:color w:val="auto"/>
          <w:kern w:val="2"/>
          <w:sz w:val="28"/>
          <w:szCs w:val="28"/>
          <w:highlight w:val="none"/>
          <w:lang w:val="en-US" w:eastAsia="zh-CN" w:bidi="ar-SA"/>
        </w:rPr>
        <w:t>六、采购需求的响应</w:t>
      </w:r>
      <w:bookmarkEnd w:id="639"/>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595CEE5A">
      <w:pPr>
        <w:adjustRightInd w:val="0"/>
        <w:snapToGrid w:val="0"/>
        <w:spacing w:line="360" w:lineRule="auto"/>
        <w:rPr>
          <w:rFonts w:hint="default" w:ascii="Times New Roman" w:hAnsi="Times New Roman" w:cs="Times New Roman" w:eastAsiaTheme="minorEastAsia"/>
          <w:b/>
          <w:color w:val="auto"/>
          <w:szCs w:val="21"/>
          <w:highlight w:val="none"/>
        </w:rPr>
      </w:pPr>
    </w:p>
    <w:p w14:paraId="572B3DE3">
      <w:pPr>
        <w:adjustRightInd w:val="0"/>
        <w:snapToGrid w:val="0"/>
        <w:spacing w:line="360" w:lineRule="auto"/>
        <w:rPr>
          <w:rFonts w:hint="default" w:ascii="Times New Roman" w:hAnsi="Times New Roman" w:cs="Times New Roman" w:eastAsiaTheme="minorEastAsia"/>
          <w:b/>
          <w:color w:val="auto"/>
          <w:highlight w:val="none"/>
        </w:rPr>
      </w:pPr>
      <w:r>
        <w:rPr>
          <w:rFonts w:hint="default" w:ascii="Times New Roman" w:hAnsi="Times New Roman" w:cs="Times New Roman" w:eastAsiaTheme="minorEastAsia"/>
          <w:b/>
          <w:color w:val="auto"/>
          <w:szCs w:val="21"/>
          <w:highlight w:val="none"/>
        </w:rPr>
        <w:t>编制说明</w:t>
      </w:r>
      <w:r>
        <w:rPr>
          <w:rFonts w:hint="default" w:ascii="Times New Roman" w:hAnsi="Times New Roman" w:cs="Times New Roman" w:eastAsiaTheme="minorEastAsia"/>
          <w:bCs/>
          <w:color w:val="auto"/>
          <w:szCs w:val="21"/>
          <w:highlight w:val="none"/>
        </w:rPr>
        <w:t>：</w:t>
      </w:r>
      <w:r>
        <w:rPr>
          <w:rFonts w:hint="default" w:ascii="Times New Roman" w:hAnsi="Times New Roman" w:cs="Times New Roman" w:eastAsiaTheme="minorEastAsia"/>
          <w:b/>
          <w:color w:val="auto"/>
          <w:highlight w:val="none"/>
        </w:rPr>
        <w:t>供应商应按谈判文件第三章采购需求自行编写采购需求响应文件（其内容可包括，且不限于详细的技术指标和性能、售后服务和技术服务的组织及保证措施等，格式自拟）。</w:t>
      </w:r>
    </w:p>
    <w:p w14:paraId="22A3F072">
      <w:pPr>
        <w:rPr>
          <w:rFonts w:hint="default" w:ascii="Times New Roman" w:hAnsi="Times New Roman" w:cs="Times New Roman" w:eastAsiaTheme="minorEastAsia"/>
          <w:color w:val="auto"/>
          <w:highlight w:val="none"/>
        </w:rPr>
      </w:pPr>
    </w:p>
    <w:p w14:paraId="7A433ADA">
      <w:pPr>
        <w:widowControl w:val="0"/>
        <w:tabs>
          <w:tab w:val="left" w:pos="6208"/>
        </w:tabs>
        <w:adjustRightInd w:val="0"/>
        <w:snapToGrid w:val="0"/>
        <w:spacing w:line="360" w:lineRule="auto"/>
        <w:ind w:left="-88" w:leftChars="-42"/>
        <w:jc w:val="both"/>
        <w:rPr>
          <w:rFonts w:hint="default" w:ascii="Times New Roman" w:hAnsi="Times New Roman" w:cs="Times New Roman" w:eastAsiaTheme="minorEastAsia"/>
          <w:bCs/>
          <w:color w:val="auto"/>
          <w:kern w:val="2"/>
          <w:sz w:val="21"/>
          <w:szCs w:val="21"/>
          <w:highlight w:val="none"/>
          <w:lang w:val="en-US" w:eastAsia="zh-CN" w:bidi="ar-SA"/>
        </w:rPr>
      </w:pPr>
    </w:p>
    <w:p w14:paraId="2821F0D0">
      <w:pPr>
        <w:adjustRightInd w:val="0"/>
        <w:snapToGrid w:val="0"/>
        <w:spacing w:line="360" w:lineRule="auto"/>
        <w:rPr>
          <w:rFonts w:hint="default" w:ascii="Times New Roman" w:hAnsi="Times New Roman" w:cs="Times New Roman" w:eastAsiaTheme="minorEastAsia"/>
          <w:color w:val="auto"/>
          <w:szCs w:val="21"/>
          <w:highlight w:val="none"/>
        </w:rPr>
      </w:pPr>
    </w:p>
    <w:p w14:paraId="6A25EBFE">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2D56C3E3">
      <w:pPr>
        <w:adjustRightInd w:val="0"/>
        <w:snapToGrid w:val="0"/>
        <w:spacing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28D1D92A">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0A9DCF5C">
      <w:pPr>
        <w:rPr>
          <w:rFonts w:hint="default" w:ascii="Times New Roman" w:hAnsi="Times New Roman" w:cs="Times New Roman" w:eastAsiaTheme="minorEastAsia"/>
          <w:color w:val="auto"/>
          <w:highlight w:val="none"/>
        </w:rPr>
      </w:pPr>
    </w:p>
    <w:p w14:paraId="5F1E14E7">
      <w:pPr>
        <w:rPr>
          <w:rFonts w:hint="default" w:ascii="Times New Roman" w:hAnsi="Times New Roman" w:cs="Times New Roman" w:eastAsiaTheme="minorEastAsia"/>
          <w:color w:val="auto"/>
          <w:highlight w:val="none"/>
        </w:rPr>
      </w:pPr>
    </w:p>
    <w:p w14:paraId="05E0C9FF">
      <w:pPr>
        <w:keepNext/>
        <w:keepLines/>
        <w:widowControl w:val="0"/>
        <w:spacing w:before="260" w:after="260" w:line="416" w:lineRule="auto"/>
        <w:jc w:val="both"/>
        <w:outlineLvl w:val="2"/>
        <w:rPr>
          <w:rFonts w:hint="default" w:ascii="Times New Roman" w:hAnsi="Times New Roman" w:cs="Times New Roman" w:eastAsiaTheme="minorEastAsia"/>
          <w:b/>
          <w:bCs/>
          <w:color w:val="auto"/>
          <w:kern w:val="2"/>
          <w:sz w:val="21"/>
          <w:szCs w:val="21"/>
          <w:highlight w:val="none"/>
          <w:lang w:val="en-US" w:eastAsia="zh-CN" w:bidi="ar-SA"/>
        </w:rPr>
      </w:pPr>
      <w:bookmarkStart w:id="705" w:name="_Toc19438"/>
      <w:bookmarkStart w:id="706" w:name="_Toc22201158"/>
      <w:bookmarkStart w:id="707" w:name="_Toc6691"/>
      <w:bookmarkStart w:id="708" w:name="_Toc21424"/>
      <w:bookmarkStart w:id="709" w:name="_Toc23396"/>
      <w:bookmarkStart w:id="710" w:name="_Toc18069"/>
      <w:bookmarkStart w:id="711" w:name="_Toc34637801"/>
      <w:r>
        <w:rPr>
          <w:rFonts w:hint="default" w:ascii="Times New Roman" w:hAnsi="Times New Roman" w:cs="Times New Roman" w:eastAsiaTheme="minorEastAsia"/>
          <w:b/>
          <w:bCs/>
          <w:color w:val="auto"/>
          <w:kern w:val="2"/>
          <w:sz w:val="21"/>
          <w:szCs w:val="21"/>
          <w:highlight w:val="none"/>
          <w:lang w:val="en-US" w:eastAsia="zh-CN" w:bidi="ar-SA"/>
        </w:rPr>
        <w:t>附件6-1 响应-览表</w:t>
      </w:r>
      <w:bookmarkEnd w:id="705"/>
      <w:bookmarkEnd w:id="706"/>
      <w:bookmarkEnd w:id="707"/>
      <w:bookmarkEnd w:id="708"/>
      <w:bookmarkEnd w:id="709"/>
      <w:bookmarkEnd w:id="710"/>
      <w:bookmarkEnd w:id="711"/>
    </w:p>
    <w:p w14:paraId="4EF9447C">
      <w:pPr>
        <w:adjustRightInd w:val="0"/>
        <w:snapToGrid w:val="0"/>
        <w:spacing w:before="156" w:beforeLines="50" w:line="360" w:lineRule="auto"/>
        <w:jc w:val="center"/>
        <w:rPr>
          <w:rFonts w:hint="default" w:ascii="Times New Roman" w:hAnsi="Times New Roman" w:cs="Times New Roman" w:eastAsiaTheme="minorEastAsia"/>
          <w:b/>
          <w:bCs/>
          <w:color w:val="auto"/>
          <w:sz w:val="28"/>
          <w:szCs w:val="28"/>
          <w:highlight w:val="none"/>
          <w:lang w:eastAsia="zh-CN"/>
        </w:rPr>
      </w:pPr>
      <w:r>
        <w:rPr>
          <w:rFonts w:hint="default" w:ascii="Times New Roman" w:hAnsi="Times New Roman" w:cs="Times New Roman" w:eastAsiaTheme="minorEastAsia"/>
          <w:b/>
          <w:bCs/>
          <w:color w:val="auto"/>
          <w:sz w:val="28"/>
          <w:szCs w:val="28"/>
          <w:highlight w:val="none"/>
        </w:rPr>
        <w:t>响应-览表</w:t>
      </w:r>
    </w:p>
    <w:p w14:paraId="73C4132F">
      <w:pPr>
        <w:jc w:val="center"/>
        <w:rPr>
          <w:rFonts w:hint="default" w:ascii="Times New Roman" w:hAnsi="Times New Roman" w:cs="Times New Roman" w:eastAsiaTheme="minorEastAsia"/>
          <w:color w:val="auto"/>
          <w:szCs w:val="21"/>
          <w:highlight w:val="none"/>
        </w:rPr>
      </w:pP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14:paraId="56DCF2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14:paraId="27ADFD18">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 xml:space="preserve">包号 </w:t>
            </w:r>
          </w:p>
        </w:tc>
        <w:tc>
          <w:tcPr>
            <w:tcW w:w="957" w:type="dxa"/>
            <w:vMerge w:val="restart"/>
            <w:tcBorders>
              <w:right w:val="single" w:color="auto" w:sz="4" w:space="0"/>
            </w:tcBorders>
            <w:vAlign w:val="center"/>
          </w:tcPr>
          <w:p w14:paraId="6DA0B4A6">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包名称</w:t>
            </w:r>
          </w:p>
        </w:tc>
        <w:tc>
          <w:tcPr>
            <w:tcW w:w="2124" w:type="dxa"/>
            <w:vMerge w:val="restart"/>
            <w:tcBorders>
              <w:left w:val="single" w:color="auto" w:sz="4" w:space="0"/>
            </w:tcBorders>
            <w:vAlign w:val="center"/>
          </w:tcPr>
          <w:p w14:paraId="6F9A04C2">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分项项目名称</w:t>
            </w:r>
          </w:p>
          <w:p w14:paraId="2E469449">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（条目号/品目名称）</w:t>
            </w:r>
          </w:p>
        </w:tc>
        <w:tc>
          <w:tcPr>
            <w:tcW w:w="2127" w:type="dxa"/>
            <w:vMerge w:val="restart"/>
            <w:vAlign w:val="center"/>
          </w:tcPr>
          <w:p w14:paraId="30FEBCC2">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主要技术参数或规格</w:t>
            </w:r>
          </w:p>
        </w:tc>
        <w:tc>
          <w:tcPr>
            <w:tcW w:w="992" w:type="dxa"/>
            <w:vMerge w:val="restart"/>
            <w:vAlign w:val="center"/>
          </w:tcPr>
          <w:p w14:paraId="29BC7A1A">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数量</w:t>
            </w:r>
          </w:p>
          <w:p w14:paraId="61F307F8">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（台套）</w:t>
            </w:r>
          </w:p>
        </w:tc>
        <w:tc>
          <w:tcPr>
            <w:tcW w:w="1460" w:type="dxa"/>
            <w:gridSpan w:val="2"/>
            <w:vAlign w:val="center"/>
          </w:tcPr>
          <w:p w14:paraId="22F15FA9">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交货</w:t>
            </w:r>
          </w:p>
        </w:tc>
        <w:tc>
          <w:tcPr>
            <w:tcW w:w="971" w:type="dxa"/>
            <w:vMerge w:val="restart"/>
            <w:vAlign w:val="center"/>
          </w:tcPr>
          <w:p w14:paraId="0D9A0733">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备注</w:t>
            </w:r>
          </w:p>
        </w:tc>
      </w:tr>
      <w:tr w14:paraId="359595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14:paraId="30C740BE">
            <w:pPr>
              <w:jc w:val="center"/>
              <w:rPr>
                <w:rFonts w:hint="default" w:ascii="Times New Roman" w:hAnsi="Times New Roman" w:cs="Times New Roman" w:eastAsiaTheme="minorEastAsia"/>
                <w:color w:val="auto"/>
                <w:szCs w:val="21"/>
                <w:highlight w:val="none"/>
              </w:rPr>
            </w:pPr>
          </w:p>
        </w:tc>
        <w:tc>
          <w:tcPr>
            <w:tcW w:w="957" w:type="dxa"/>
            <w:vMerge w:val="continue"/>
            <w:tcBorders>
              <w:right w:val="single" w:color="auto" w:sz="4" w:space="0"/>
            </w:tcBorders>
            <w:vAlign w:val="center"/>
          </w:tcPr>
          <w:p w14:paraId="714DB9BE">
            <w:pPr>
              <w:jc w:val="center"/>
              <w:rPr>
                <w:rFonts w:hint="default" w:ascii="Times New Roman" w:hAnsi="Times New Roman" w:cs="Times New Roman" w:eastAsiaTheme="minorEastAsia"/>
                <w:color w:val="auto"/>
                <w:szCs w:val="21"/>
                <w:highlight w:val="none"/>
              </w:rPr>
            </w:pPr>
          </w:p>
        </w:tc>
        <w:tc>
          <w:tcPr>
            <w:tcW w:w="2124" w:type="dxa"/>
            <w:vMerge w:val="continue"/>
            <w:tcBorders>
              <w:left w:val="single" w:color="auto" w:sz="4" w:space="0"/>
            </w:tcBorders>
            <w:vAlign w:val="center"/>
          </w:tcPr>
          <w:p w14:paraId="33B4D94F">
            <w:pPr>
              <w:jc w:val="center"/>
              <w:rPr>
                <w:rFonts w:hint="default" w:ascii="Times New Roman" w:hAnsi="Times New Roman" w:cs="Times New Roman" w:eastAsiaTheme="minorEastAsia"/>
                <w:color w:val="auto"/>
                <w:szCs w:val="21"/>
                <w:highlight w:val="none"/>
              </w:rPr>
            </w:pPr>
          </w:p>
        </w:tc>
        <w:tc>
          <w:tcPr>
            <w:tcW w:w="2127" w:type="dxa"/>
            <w:vMerge w:val="continue"/>
            <w:vAlign w:val="center"/>
          </w:tcPr>
          <w:p w14:paraId="0DF2D03A">
            <w:pPr>
              <w:jc w:val="center"/>
              <w:rPr>
                <w:rFonts w:hint="default" w:ascii="Times New Roman" w:hAnsi="Times New Roman" w:cs="Times New Roman" w:eastAsiaTheme="minorEastAsia"/>
                <w:color w:val="auto"/>
                <w:szCs w:val="21"/>
                <w:highlight w:val="none"/>
              </w:rPr>
            </w:pPr>
          </w:p>
        </w:tc>
        <w:tc>
          <w:tcPr>
            <w:tcW w:w="992" w:type="dxa"/>
            <w:vMerge w:val="continue"/>
            <w:vAlign w:val="center"/>
          </w:tcPr>
          <w:p w14:paraId="0AB09A3C">
            <w:pPr>
              <w:jc w:val="center"/>
              <w:rPr>
                <w:rFonts w:hint="default" w:ascii="Times New Roman" w:hAnsi="Times New Roman" w:cs="Times New Roman" w:eastAsiaTheme="minorEastAsia"/>
                <w:color w:val="auto"/>
                <w:szCs w:val="21"/>
                <w:highlight w:val="none"/>
              </w:rPr>
            </w:pPr>
          </w:p>
        </w:tc>
        <w:tc>
          <w:tcPr>
            <w:tcW w:w="709" w:type="dxa"/>
            <w:vAlign w:val="center"/>
          </w:tcPr>
          <w:p w14:paraId="43C91F57">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时间</w:t>
            </w:r>
          </w:p>
        </w:tc>
        <w:tc>
          <w:tcPr>
            <w:tcW w:w="751" w:type="dxa"/>
            <w:vAlign w:val="center"/>
          </w:tcPr>
          <w:p w14:paraId="31028110">
            <w:pPr>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地点</w:t>
            </w:r>
          </w:p>
        </w:tc>
        <w:tc>
          <w:tcPr>
            <w:tcW w:w="971" w:type="dxa"/>
            <w:vMerge w:val="continue"/>
          </w:tcPr>
          <w:p w14:paraId="66C1AF96">
            <w:pPr>
              <w:rPr>
                <w:rFonts w:hint="default" w:ascii="Times New Roman" w:hAnsi="Times New Roman" w:cs="Times New Roman" w:eastAsiaTheme="minorEastAsia"/>
                <w:color w:val="auto"/>
                <w:szCs w:val="21"/>
                <w:highlight w:val="none"/>
              </w:rPr>
            </w:pPr>
          </w:p>
        </w:tc>
      </w:tr>
      <w:tr w14:paraId="442926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116FA3DE">
            <w:pPr>
              <w:rPr>
                <w:rFonts w:hint="default" w:ascii="Times New Roman" w:hAnsi="Times New Roman" w:cs="Times New Roman" w:eastAsiaTheme="minorEastAsia"/>
                <w:color w:val="auto"/>
                <w:szCs w:val="21"/>
                <w:highlight w:val="none"/>
              </w:rPr>
            </w:pPr>
          </w:p>
        </w:tc>
        <w:tc>
          <w:tcPr>
            <w:tcW w:w="957" w:type="dxa"/>
            <w:tcBorders>
              <w:right w:val="single" w:color="auto" w:sz="4" w:space="0"/>
            </w:tcBorders>
          </w:tcPr>
          <w:p w14:paraId="3DA8165B">
            <w:pPr>
              <w:rPr>
                <w:rFonts w:hint="default" w:ascii="Times New Roman" w:hAnsi="Times New Roman" w:cs="Times New Roman" w:eastAsiaTheme="minorEastAsia"/>
                <w:color w:val="auto"/>
                <w:szCs w:val="21"/>
                <w:highlight w:val="none"/>
              </w:rPr>
            </w:pPr>
          </w:p>
        </w:tc>
        <w:tc>
          <w:tcPr>
            <w:tcW w:w="2124" w:type="dxa"/>
            <w:tcBorders>
              <w:left w:val="single" w:color="auto" w:sz="4" w:space="0"/>
            </w:tcBorders>
          </w:tcPr>
          <w:p w14:paraId="2DB58E56">
            <w:pPr>
              <w:rPr>
                <w:rFonts w:hint="default" w:ascii="Times New Roman" w:hAnsi="Times New Roman" w:cs="Times New Roman" w:eastAsiaTheme="minorEastAsia"/>
                <w:color w:val="auto"/>
                <w:szCs w:val="21"/>
                <w:highlight w:val="none"/>
              </w:rPr>
            </w:pPr>
          </w:p>
        </w:tc>
        <w:tc>
          <w:tcPr>
            <w:tcW w:w="2127" w:type="dxa"/>
          </w:tcPr>
          <w:p w14:paraId="7AFAE574">
            <w:pPr>
              <w:rPr>
                <w:rFonts w:hint="default" w:ascii="Times New Roman" w:hAnsi="Times New Roman" w:cs="Times New Roman" w:eastAsiaTheme="minorEastAsia"/>
                <w:color w:val="auto"/>
                <w:szCs w:val="21"/>
                <w:highlight w:val="none"/>
              </w:rPr>
            </w:pPr>
          </w:p>
        </w:tc>
        <w:tc>
          <w:tcPr>
            <w:tcW w:w="992" w:type="dxa"/>
          </w:tcPr>
          <w:p w14:paraId="08A4A9B4">
            <w:pPr>
              <w:rPr>
                <w:rFonts w:hint="default" w:ascii="Times New Roman" w:hAnsi="Times New Roman" w:cs="Times New Roman" w:eastAsiaTheme="minorEastAsia"/>
                <w:color w:val="auto"/>
                <w:szCs w:val="21"/>
                <w:highlight w:val="none"/>
              </w:rPr>
            </w:pPr>
          </w:p>
        </w:tc>
        <w:tc>
          <w:tcPr>
            <w:tcW w:w="709" w:type="dxa"/>
            <w:tcBorders>
              <w:bottom w:val="single" w:color="auto" w:sz="4" w:space="0"/>
            </w:tcBorders>
          </w:tcPr>
          <w:p w14:paraId="6B4C7B34">
            <w:pPr>
              <w:rPr>
                <w:rFonts w:hint="default" w:ascii="Times New Roman" w:hAnsi="Times New Roman" w:cs="Times New Roman" w:eastAsiaTheme="minorEastAsia"/>
                <w:color w:val="auto"/>
                <w:szCs w:val="21"/>
                <w:highlight w:val="none"/>
              </w:rPr>
            </w:pPr>
          </w:p>
        </w:tc>
        <w:tc>
          <w:tcPr>
            <w:tcW w:w="751" w:type="dxa"/>
            <w:tcBorders>
              <w:bottom w:val="single" w:color="auto" w:sz="4" w:space="0"/>
            </w:tcBorders>
          </w:tcPr>
          <w:p w14:paraId="4FB1E7D5">
            <w:pPr>
              <w:rPr>
                <w:rFonts w:hint="default" w:ascii="Times New Roman" w:hAnsi="Times New Roman" w:cs="Times New Roman" w:eastAsiaTheme="minorEastAsia"/>
                <w:color w:val="auto"/>
                <w:szCs w:val="21"/>
                <w:highlight w:val="none"/>
              </w:rPr>
            </w:pPr>
          </w:p>
        </w:tc>
        <w:tc>
          <w:tcPr>
            <w:tcW w:w="971" w:type="dxa"/>
          </w:tcPr>
          <w:p w14:paraId="5C3CA90C">
            <w:pPr>
              <w:rPr>
                <w:rFonts w:hint="default" w:ascii="Times New Roman" w:hAnsi="Times New Roman" w:cs="Times New Roman" w:eastAsiaTheme="minorEastAsia"/>
                <w:color w:val="auto"/>
                <w:szCs w:val="21"/>
                <w:highlight w:val="none"/>
              </w:rPr>
            </w:pPr>
          </w:p>
        </w:tc>
      </w:tr>
      <w:tr w14:paraId="30BF64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51BA9318">
            <w:pPr>
              <w:rPr>
                <w:rFonts w:hint="default" w:ascii="Times New Roman" w:hAnsi="Times New Roman" w:cs="Times New Roman" w:eastAsiaTheme="minorEastAsia"/>
                <w:color w:val="auto"/>
                <w:szCs w:val="21"/>
                <w:highlight w:val="none"/>
              </w:rPr>
            </w:pPr>
          </w:p>
        </w:tc>
        <w:tc>
          <w:tcPr>
            <w:tcW w:w="957" w:type="dxa"/>
            <w:tcBorders>
              <w:right w:val="single" w:color="auto" w:sz="4" w:space="0"/>
            </w:tcBorders>
          </w:tcPr>
          <w:p w14:paraId="155FD313">
            <w:pPr>
              <w:rPr>
                <w:rFonts w:hint="default" w:ascii="Times New Roman" w:hAnsi="Times New Roman" w:cs="Times New Roman" w:eastAsiaTheme="minorEastAsia"/>
                <w:color w:val="auto"/>
                <w:szCs w:val="21"/>
                <w:highlight w:val="none"/>
              </w:rPr>
            </w:pPr>
          </w:p>
        </w:tc>
        <w:tc>
          <w:tcPr>
            <w:tcW w:w="2124" w:type="dxa"/>
            <w:tcBorders>
              <w:left w:val="single" w:color="auto" w:sz="4" w:space="0"/>
            </w:tcBorders>
          </w:tcPr>
          <w:p w14:paraId="232B45C6">
            <w:pPr>
              <w:rPr>
                <w:rFonts w:hint="default" w:ascii="Times New Roman" w:hAnsi="Times New Roman" w:cs="Times New Roman" w:eastAsiaTheme="minorEastAsia"/>
                <w:color w:val="auto"/>
                <w:szCs w:val="21"/>
                <w:highlight w:val="none"/>
              </w:rPr>
            </w:pPr>
          </w:p>
        </w:tc>
        <w:tc>
          <w:tcPr>
            <w:tcW w:w="2127" w:type="dxa"/>
          </w:tcPr>
          <w:p w14:paraId="2D2DB11E">
            <w:pPr>
              <w:rPr>
                <w:rFonts w:hint="default" w:ascii="Times New Roman" w:hAnsi="Times New Roman" w:cs="Times New Roman" w:eastAsiaTheme="minorEastAsia"/>
                <w:color w:val="auto"/>
                <w:szCs w:val="21"/>
                <w:highlight w:val="none"/>
              </w:rPr>
            </w:pPr>
          </w:p>
        </w:tc>
        <w:tc>
          <w:tcPr>
            <w:tcW w:w="992" w:type="dxa"/>
          </w:tcPr>
          <w:p w14:paraId="18D4E3BB">
            <w:pPr>
              <w:rPr>
                <w:rFonts w:hint="default" w:ascii="Times New Roman" w:hAnsi="Times New Roman" w:cs="Times New Roman" w:eastAsiaTheme="minorEastAsia"/>
                <w:color w:val="auto"/>
                <w:szCs w:val="21"/>
                <w:highlight w:val="none"/>
              </w:rPr>
            </w:pPr>
          </w:p>
        </w:tc>
        <w:tc>
          <w:tcPr>
            <w:tcW w:w="709" w:type="dxa"/>
            <w:tcBorders>
              <w:top w:val="single" w:color="auto" w:sz="4" w:space="0"/>
              <w:bottom w:val="single" w:color="auto" w:sz="4" w:space="0"/>
            </w:tcBorders>
          </w:tcPr>
          <w:p w14:paraId="03AD4AA4">
            <w:pPr>
              <w:rPr>
                <w:rFonts w:hint="default" w:ascii="Times New Roman" w:hAnsi="Times New Roman" w:cs="Times New Roman" w:eastAsiaTheme="minorEastAsia"/>
                <w:color w:val="auto"/>
                <w:szCs w:val="21"/>
                <w:highlight w:val="none"/>
              </w:rPr>
            </w:pPr>
          </w:p>
        </w:tc>
        <w:tc>
          <w:tcPr>
            <w:tcW w:w="751" w:type="dxa"/>
            <w:tcBorders>
              <w:top w:val="single" w:color="auto" w:sz="4" w:space="0"/>
              <w:bottom w:val="single" w:color="auto" w:sz="4" w:space="0"/>
            </w:tcBorders>
          </w:tcPr>
          <w:p w14:paraId="5CFC6189">
            <w:pPr>
              <w:rPr>
                <w:rFonts w:hint="default" w:ascii="Times New Roman" w:hAnsi="Times New Roman" w:cs="Times New Roman" w:eastAsiaTheme="minorEastAsia"/>
                <w:color w:val="auto"/>
                <w:szCs w:val="21"/>
                <w:highlight w:val="none"/>
              </w:rPr>
            </w:pPr>
          </w:p>
        </w:tc>
        <w:tc>
          <w:tcPr>
            <w:tcW w:w="971" w:type="dxa"/>
          </w:tcPr>
          <w:p w14:paraId="5A7067C1">
            <w:pPr>
              <w:rPr>
                <w:rFonts w:hint="default" w:ascii="Times New Roman" w:hAnsi="Times New Roman" w:cs="Times New Roman" w:eastAsiaTheme="minorEastAsia"/>
                <w:color w:val="auto"/>
                <w:szCs w:val="21"/>
                <w:highlight w:val="none"/>
              </w:rPr>
            </w:pPr>
          </w:p>
        </w:tc>
      </w:tr>
      <w:tr w14:paraId="3D03D8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1DCF550D">
            <w:pPr>
              <w:rPr>
                <w:rFonts w:hint="default" w:ascii="Times New Roman" w:hAnsi="Times New Roman" w:cs="Times New Roman" w:eastAsiaTheme="minorEastAsia"/>
                <w:color w:val="auto"/>
                <w:szCs w:val="21"/>
                <w:highlight w:val="none"/>
              </w:rPr>
            </w:pPr>
          </w:p>
        </w:tc>
        <w:tc>
          <w:tcPr>
            <w:tcW w:w="957" w:type="dxa"/>
            <w:tcBorders>
              <w:right w:val="single" w:color="auto" w:sz="4" w:space="0"/>
            </w:tcBorders>
          </w:tcPr>
          <w:p w14:paraId="70F926BC">
            <w:pPr>
              <w:rPr>
                <w:rFonts w:hint="default" w:ascii="Times New Roman" w:hAnsi="Times New Roman" w:cs="Times New Roman" w:eastAsiaTheme="minorEastAsia"/>
                <w:color w:val="auto"/>
                <w:szCs w:val="21"/>
                <w:highlight w:val="none"/>
              </w:rPr>
            </w:pPr>
          </w:p>
        </w:tc>
        <w:tc>
          <w:tcPr>
            <w:tcW w:w="2124" w:type="dxa"/>
            <w:tcBorders>
              <w:left w:val="single" w:color="auto" w:sz="4" w:space="0"/>
            </w:tcBorders>
          </w:tcPr>
          <w:p w14:paraId="04B66009">
            <w:pPr>
              <w:rPr>
                <w:rFonts w:hint="default" w:ascii="Times New Roman" w:hAnsi="Times New Roman" w:cs="Times New Roman" w:eastAsiaTheme="minorEastAsia"/>
                <w:color w:val="auto"/>
                <w:szCs w:val="21"/>
                <w:highlight w:val="none"/>
              </w:rPr>
            </w:pPr>
          </w:p>
        </w:tc>
        <w:tc>
          <w:tcPr>
            <w:tcW w:w="2127" w:type="dxa"/>
          </w:tcPr>
          <w:p w14:paraId="56A30A07">
            <w:pPr>
              <w:rPr>
                <w:rFonts w:hint="default" w:ascii="Times New Roman" w:hAnsi="Times New Roman" w:cs="Times New Roman" w:eastAsiaTheme="minorEastAsia"/>
                <w:color w:val="auto"/>
                <w:szCs w:val="21"/>
                <w:highlight w:val="none"/>
              </w:rPr>
            </w:pPr>
          </w:p>
        </w:tc>
        <w:tc>
          <w:tcPr>
            <w:tcW w:w="992" w:type="dxa"/>
          </w:tcPr>
          <w:p w14:paraId="5BED9051">
            <w:pPr>
              <w:rPr>
                <w:rFonts w:hint="default" w:ascii="Times New Roman" w:hAnsi="Times New Roman" w:cs="Times New Roman" w:eastAsiaTheme="minorEastAsia"/>
                <w:color w:val="auto"/>
                <w:szCs w:val="21"/>
                <w:highlight w:val="none"/>
              </w:rPr>
            </w:pPr>
          </w:p>
        </w:tc>
        <w:tc>
          <w:tcPr>
            <w:tcW w:w="709" w:type="dxa"/>
            <w:tcBorders>
              <w:top w:val="single" w:color="auto" w:sz="4" w:space="0"/>
              <w:bottom w:val="single" w:color="auto" w:sz="4" w:space="0"/>
            </w:tcBorders>
          </w:tcPr>
          <w:p w14:paraId="110AD153">
            <w:pPr>
              <w:rPr>
                <w:rFonts w:hint="default" w:ascii="Times New Roman" w:hAnsi="Times New Roman" w:cs="Times New Roman" w:eastAsiaTheme="minorEastAsia"/>
                <w:color w:val="auto"/>
                <w:szCs w:val="21"/>
                <w:highlight w:val="none"/>
              </w:rPr>
            </w:pPr>
          </w:p>
        </w:tc>
        <w:tc>
          <w:tcPr>
            <w:tcW w:w="751" w:type="dxa"/>
            <w:tcBorders>
              <w:top w:val="single" w:color="auto" w:sz="4" w:space="0"/>
              <w:bottom w:val="single" w:color="auto" w:sz="4" w:space="0"/>
            </w:tcBorders>
          </w:tcPr>
          <w:p w14:paraId="69FA15A5">
            <w:pPr>
              <w:rPr>
                <w:rFonts w:hint="default" w:ascii="Times New Roman" w:hAnsi="Times New Roman" w:cs="Times New Roman" w:eastAsiaTheme="minorEastAsia"/>
                <w:color w:val="auto"/>
                <w:szCs w:val="21"/>
                <w:highlight w:val="none"/>
              </w:rPr>
            </w:pPr>
          </w:p>
        </w:tc>
        <w:tc>
          <w:tcPr>
            <w:tcW w:w="971" w:type="dxa"/>
          </w:tcPr>
          <w:p w14:paraId="01E2C999">
            <w:pPr>
              <w:rPr>
                <w:rFonts w:hint="default" w:ascii="Times New Roman" w:hAnsi="Times New Roman" w:cs="Times New Roman" w:eastAsiaTheme="minorEastAsia"/>
                <w:color w:val="auto"/>
                <w:szCs w:val="21"/>
                <w:highlight w:val="none"/>
              </w:rPr>
            </w:pPr>
          </w:p>
        </w:tc>
      </w:tr>
      <w:tr w14:paraId="095903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7C52FDD8">
            <w:pPr>
              <w:rPr>
                <w:rFonts w:hint="default" w:ascii="Times New Roman" w:hAnsi="Times New Roman" w:cs="Times New Roman" w:eastAsiaTheme="minorEastAsia"/>
                <w:color w:val="auto"/>
                <w:szCs w:val="21"/>
                <w:highlight w:val="none"/>
              </w:rPr>
            </w:pPr>
          </w:p>
        </w:tc>
        <w:tc>
          <w:tcPr>
            <w:tcW w:w="957" w:type="dxa"/>
            <w:tcBorders>
              <w:right w:val="single" w:color="auto" w:sz="4" w:space="0"/>
            </w:tcBorders>
          </w:tcPr>
          <w:p w14:paraId="661EE41E">
            <w:pPr>
              <w:rPr>
                <w:rFonts w:hint="default" w:ascii="Times New Roman" w:hAnsi="Times New Roman" w:cs="Times New Roman" w:eastAsiaTheme="minorEastAsia"/>
                <w:color w:val="auto"/>
                <w:szCs w:val="21"/>
                <w:highlight w:val="none"/>
              </w:rPr>
            </w:pPr>
          </w:p>
        </w:tc>
        <w:tc>
          <w:tcPr>
            <w:tcW w:w="2124" w:type="dxa"/>
            <w:tcBorders>
              <w:left w:val="single" w:color="auto" w:sz="4" w:space="0"/>
            </w:tcBorders>
          </w:tcPr>
          <w:p w14:paraId="3691914C">
            <w:pPr>
              <w:rPr>
                <w:rFonts w:hint="default" w:ascii="Times New Roman" w:hAnsi="Times New Roman" w:cs="Times New Roman" w:eastAsiaTheme="minorEastAsia"/>
                <w:color w:val="auto"/>
                <w:szCs w:val="21"/>
                <w:highlight w:val="none"/>
              </w:rPr>
            </w:pPr>
          </w:p>
        </w:tc>
        <w:tc>
          <w:tcPr>
            <w:tcW w:w="2127" w:type="dxa"/>
          </w:tcPr>
          <w:p w14:paraId="6C7B9031">
            <w:pPr>
              <w:rPr>
                <w:rFonts w:hint="default" w:ascii="Times New Roman" w:hAnsi="Times New Roman" w:cs="Times New Roman" w:eastAsiaTheme="minorEastAsia"/>
                <w:color w:val="auto"/>
                <w:szCs w:val="21"/>
                <w:highlight w:val="none"/>
              </w:rPr>
            </w:pPr>
          </w:p>
        </w:tc>
        <w:tc>
          <w:tcPr>
            <w:tcW w:w="992" w:type="dxa"/>
          </w:tcPr>
          <w:p w14:paraId="29BA0E9B">
            <w:pPr>
              <w:rPr>
                <w:rFonts w:hint="default" w:ascii="Times New Roman" w:hAnsi="Times New Roman" w:cs="Times New Roman" w:eastAsiaTheme="minorEastAsia"/>
                <w:color w:val="auto"/>
                <w:szCs w:val="21"/>
                <w:highlight w:val="none"/>
              </w:rPr>
            </w:pPr>
          </w:p>
        </w:tc>
        <w:tc>
          <w:tcPr>
            <w:tcW w:w="709" w:type="dxa"/>
            <w:tcBorders>
              <w:top w:val="single" w:color="auto" w:sz="4" w:space="0"/>
              <w:bottom w:val="single" w:color="auto" w:sz="4" w:space="0"/>
            </w:tcBorders>
          </w:tcPr>
          <w:p w14:paraId="277C2A08">
            <w:pPr>
              <w:rPr>
                <w:rFonts w:hint="default" w:ascii="Times New Roman" w:hAnsi="Times New Roman" w:cs="Times New Roman" w:eastAsiaTheme="minorEastAsia"/>
                <w:color w:val="auto"/>
                <w:szCs w:val="21"/>
                <w:highlight w:val="none"/>
              </w:rPr>
            </w:pPr>
          </w:p>
        </w:tc>
        <w:tc>
          <w:tcPr>
            <w:tcW w:w="751" w:type="dxa"/>
            <w:tcBorders>
              <w:top w:val="single" w:color="auto" w:sz="4" w:space="0"/>
              <w:bottom w:val="single" w:color="auto" w:sz="4" w:space="0"/>
            </w:tcBorders>
          </w:tcPr>
          <w:p w14:paraId="0BFB92DA">
            <w:pPr>
              <w:rPr>
                <w:rFonts w:hint="default" w:ascii="Times New Roman" w:hAnsi="Times New Roman" w:cs="Times New Roman" w:eastAsiaTheme="minorEastAsia"/>
                <w:color w:val="auto"/>
                <w:szCs w:val="21"/>
                <w:highlight w:val="none"/>
              </w:rPr>
            </w:pPr>
          </w:p>
        </w:tc>
        <w:tc>
          <w:tcPr>
            <w:tcW w:w="971" w:type="dxa"/>
          </w:tcPr>
          <w:p w14:paraId="7622E59F">
            <w:pPr>
              <w:rPr>
                <w:rFonts w:hint="default" w:ascii="Times New Roman" w:hAnsi="Times New Roman" w:cs="Times New Roman" w:eastAsiaTheme="minorEastAsia"/>
                <w:color w:val="auto"/>
                <w:szCs w:val="21"/>
                <w:highlight w:val="none"/>
              </w:rPr>
            </w:pPr>
          </w:p>
        </w:tc>
      </w:tr>
      <w:tr w14:paraId="5B093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29CEE472">
            <w:pPr>
              <w:rPr>
                <w:rFonts w:hint="default" w:ascii="Times New Roman" w:hAnsi="Times New Roman" w:cs="Times New Roman" w:eastAsiaTheme="minorEastAsia"/>
                <w:color w:val="auto"/>
                <w:szCs w:val="21"/>
                <w:highlight w:val="none"/>
              </w:rPr>
            </w:pPr>
          </w:p>
        </w:tc>
        <w:tc>
          <w:tcPr>
            <w:tcW w:w="957" w:type="dxa"/>
            <w:tcBorders>
              <w:right w:val="single" w:color="auto" w:sz="4" w:space="0"/>
            </w:tcBorders>
          </w:tcPr>
          <w:p w14:paraId="301C3291">
            <w:pPr>
              <w:rPr>
                <w:rFonts w:hint="default" w:ascii="Times New Roman" w:hAnsi="Times New Roman" w:cs="Times New Roman" w:eastAsiaTheme="minorEastAsia"/>
                <w:color w:val="auto"/>
                <w:szCs w:val="21"/>
                <w:highlight w:val="none"/>
              </w:rPr>
            </w:pPr>
          </w:p>
        </w:tc>
        <w:tc>
          <w:tcPr>
            <w:tcW w:w="2124" w:type="dxa"/>
            <w:tcBorders>
              <w:left w:val="single" w:color="auto" w:sz="4" w:space="0"/>
            </w:tcBorders>
          </w:tcPr>
          <w:p w14:paraId="74E8A22A">
            <w:pPr>
              <w:rPr>
                <w:rFonts w:hint="default" w:ascii="Times New Roman" w:hAnsi="Times New Roman" w:cs="Times New Roman" w:eastAsiaTheme="minorEastAsia"/>
                <w:color w:val="auto"/>
                <w:szCs w:val="21"/>
                <w:highlight w:val="none"/>
              </w:rPr>
            </w:pPr>
          </w:p>
        </w:tc>
        <w:tc>
          <w:tcPr>
            <w:tcW w:w="2127" w:type="dxa"/>
          </w:tcPr>
          <w:p w14:paraId="11BF1D06">
            <w:pPr>
              <w:rPr>
                <w:rFonts w:hint="default" w:ascii="Times New Roman" w:hAnsi="Times New Roman" w:cs="Times New Roman" w:eastAsiaTheme="minorEastAsia"/>
                <w:color w:val="auto"/>
                <w:szCs w:val="21"/>
                <w:highlight w:val="none"/>
              </w:rPr>
            </w:pPr>
          </w:p>
        </w:tc>
        <w:tc>
          <w:tcPr>
            <w:tcW w:w="992" w:type="dxa"/>
          </w:tcPr>
          <w:p w14:paraId="296AF93A">
            <w:pPr>
              <w:rPr>
                <w:rFonts w:hint="default" w:ascii="Times New Roman" w:hAnsi="Times New Roman" w:cs="Times New Roman" w:eastAsiaTheme="minorEastAsia"/>
                <w:color w:val="auto"/>
                <w:szCs w:val="21"/>
                <w:highlight w:val="none"/>
              </w:rPr>
            </w:pPr>
          </w:p>
        </w:tc>
        <w:tc>
          <w:tcPr>
            <w:tcW w:w="709" w:type="dxa"/>
            <w:tcBorders>
              <w:top w:val="single" w:color="auto" w:sz="4" w:space="0"/>
            </w:tcBorders>
          </w:tcPr>
          <w:p w14:paraId="7244C666">
            <w:pPr>
              <w:rPr>
                <w:rFonts w:hint="default" w:ascii="Times New Roman" w:hAnsi="Times New Roman" w:cs="Times New Roman" w:eastAsiaTheme="minorEastAsia"/>
                <w:color w:val="auto"/>
                <w:szCs w:val="21"/>
                <w:highlight w:val="none"/>
              </w:rPr>
            </w:pPr>
          </w:p>
        </w:tc>
        <w:tc>
          <w:tcPr>
            <w:tcW w:w="751" w:type="dxa"/>
            <w:tcBorders>
              <w:top w:val="single" w:color="auto" w:sz="4" w:space="0"/>
            </w:tcBorders>
          </w:tcPr>
          <w:p w14:paraId="3907FDED">
            <w:pPr>
              <w:rPr>
                <w:rFonts w:hint="default" w:ascii="Times New Roman" w:hAnsi="Times New Roman" w:cs="Times New Roman" w:eastAsiaTheme="minorEastAsia"/>
                <w:color w:val="auto"/>
                <w:szCs w:val="21"/>
                <w:highlight w:val="none"/>
              </w:rPr>
            </w:pPr>
          </w:p>
        </w:tc>
        <w:tc>
          <w:tcPr>
            <w:tcW w:w="971" w:type="dxa"/>
          </w:tcPr>
          <w:p w14:paraId="4BB37260">
            <w:pPr>
              <w:rPr>
                <w:rFonts w:hint="default" w:ascii="Times New Roman" w:hAnsi="Times New Roman" w:cs="Times New Roman" w:eastAsiaTheme="minorEastAsia"/>
                <w:color w:val="auto"/>
                <w:szCs w:val="21"/>
                <w:highlight w:val="none"/>
              </w:rPr>
            </w:pPr>
          </w:p>
        </w:tc>
      </w:tr>
    </w:tbl>
    <w:p w14:paraId="445BD9E3">
      <w:pPr>
        <w:adjustRightInd w:val="0"/>
        <w:snapToGrid w:val="0"/>
        <w:spacing w:line="360" w:lineRule="auto"/>
        <w:rPr>
          <w:rFonts w:hint="default" w:ascii="Times New Roman" w:hAnsi="Times New Roman" w:cs="Times New Roman" w:eastAsiaTheme="minorEastAsia"/>
          <w:color w:val="auto"/>
          <w:highlight w:val="none"/>
        </w:rPr>
      </w:pPr>
    </w:p>
    <w:p w14:paraId="0E9B976A">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3D97FA3B">
      <w:pPr>
        <w:adjustRightInd w:val="0"/>
        <w:snapToGrid w:val="0"/>
        <w:spacing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778AD6CA">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703D18FB">
      <w:pPr>
        <w:adjustRightInd w:val="0"/>
        <w:snapToGrid w:val="0"/>
        <w:spacing w:line="360" w:lineRule="auto"/>
        <w:rPr>
          <w:rFonts w:hint="default" w:ascii="Times New Roman" w:hAnsi="Times New Roman" w:cs="Times New Roman" w:eastAsiaTheme="minorEastAsia"/>
          <w:color w:val="auto"/>
          <w:szCs w:val="21"/>
          <w:highlight w:val="none"/>
        </w:rPr>
      </w:pPr>
    </w:p>
    <w:p w14:paraId="3E0A147A">
      <w:pPr>
        <w:adjustRightInd w:val="0"/>
        <w:snapToGrid w:val="0"/>
        <w:spacing w:line="360" w:lineRule="auto"/>
        <w:rPr>
          <w:rFonts w:hint="default" w:ascii="Times New Roman" w:hAnsi="Times New Roman" w:cs="Times New Roman" w:eastAsiaTheme="minorEastAsia"/>
          <w:color w:val="auto"/>
          <w:szCs w:val="21"/>
          <w:highlight w:val="none"/>
        </w:rPr>
      </w:pPr>
    </w:p>
    <w:p w14:paraId="597641FE">
      <w:pPr>
        <w:adjustRightInd w:val="0"/>
        <w:snapToGrid w:val="0"/>
        <w:spacing w:line="360" w:lineRule="auto"/>
        <w:rPr>
          <w:rFonts w:hint="default" w:ascii="Times New Roman" w:hAnsi="Times New Roman" w:cs="Times New Roman" w:eastAsiaTheme="minorEastAsia"/>
          <w:color w:val="auto"/>
          <w:sz w:val="28"/>
          <w:szCs w:val="28"/>
          <w:highlight w:val="none"/>
        </w:rPr>
        <w:sectPr>
          <w:footerReference r:id="rId6" w:type="default"/>
          <w:pgSz w:w="11906" w:h="16838"/>
          <w:pgMar w:top="1474" w:right="1474" w:bottom="1474"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39650E7">
      <w:pPr>
        <w:keepNext/>
        <w:keepLines/>
        <w:widowControl w:val="0"/>
        <w:spacing w:line="360" w:lineRule="auto"/>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bookmarkStart w:id="712" w:name="_Toc28270"/>
      <w:bookmarkStart w:id="713" w:name="_Toc16602"/>
      <w:bookmarkStart w:id="714" w:name="_Toc8151"/>
      <w:bookmarkStart w:id="715" w:name="_Toc30902"/>
      <w:bookmarkStart w:id="716" w:name="_Toc16535"/>
      <w:bookmarkStart w:id="717" w:name="_Toc913"/>
      <w:bookmarkStart w:id="718" w:name="_Toc8428"/>
      <w:bookmarkStart w:id="719" w:name="_Toc6552"/>
      <w:bookmarkStart w:id="720" w:name="_Toc27293"/>
      <w:bookmarkStart w:id="721" w:name="_Toc7537"/>
      <w:bookmarkStart w:id="722" w:name="_Toc4637"/>
      <w:bookmarkStart w:id="723" w:name="_Toc22201159"/>
      <w:bookmarkStart w:id="724" w:name="_Toc9286"/>
      <w:bookmarkStart w:id="725" w:name="_Toc6361"/>
      <w:bookmarkStart w:id="726" w:name="_Toc261"/>
      <w:bookmarkStart w:id="727" w:name="_Toc1521"/>
      <w:bookmarkStart w:id="728" w:name="_Toc24327"/>
      <w:bookmarkStart w:id="729" w:name="_Toc18275"/>
      <w:bookmarkStart w:id="730" w:name="_Toc16573"/>
      <w:bookmarkStart w:id="731" w:name="_Toc29032"/>
      <w:bookmarkStart w:id="732" w:name="_Toc5455"/>
      <w:bookmarkStart w:id="733" w:name="_Toc7389"/>
      <w:bookmarkStart w:id="734" w:name="_Toc9065"/>
      <w:bookmarkStart w:id="735" w:name="_Toc26568"/>
      <w:bookmarkStart w:id="736" w:name="_Toc8897"/>
      <w:bookmarkStart w:id="737" w:name="_Toc20385"/>
      <w:bookmarkStart w:id="738" w:name="_Toc34637802"/>
      <w:bookmarkStart w:id="739" w:name="_Toc15572"/>
      <w:r>
        <w:rPr>
          <w:rFonts w:hint="default" w:ascii="Times New Roman" w:hAnsi="Times New Roman" w:cs="Times New Roman" w:eastAsiaTheme="minorEastAsia"/>
          <w:b/>
          <w:bCs/>
          <w:color w:val="auto"/>
          <w:kern w:val="2"/>
          <w:sz w:val="28"/>
          <w:szCs w:val="28"/>
          <w:highlight w:val="none"/>
          <w:lang w:val="en-US" w:eastAsia="zh-CN" w:bidi="ar-SA"/>
        </w:rPr>
        <w:t>七、合同条款偏离表</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10E57D85">
      <w:pPr>
        <w:adjustRightInd w:val="0"/>
        <w:snapToGrid w:val="0"/>
        <w:spacing w:before="156" w:beforeLines="50"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8"/>
          <w:szCs w:val="21"/>
          <w:highlight w:val="none"/>
        </w:rPr>
        <w:t>采购代理编号</w:t>
      </w:r>
      <w:r>
        <w:rPr>
          <w:rFonts w:hint="default" w:ascii="Times New Roman" w:hAnsi="Times New Roman" w:cs="Times New Roman" w:eastAsiaTheme="minorEastAsia"/>
          <w:color w:val="auto"/>
          <w:szCs w:val="21"/>
          <w:highlight w:val="none"/>
        </w:rPr>
        <w:t xml:space="preserve">: </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项目名称：</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p>
    <w:p w14:paraId="2B952AEB">
      <w:pPr>
        <w:adjustRightInd w:val="0"/>
        <w:snapToGrid w:val="0"/>
        <w:spacing w:before="50"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t>包           号：</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rPr>
        <w:t xml:space="preserve">          包名称：</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532C0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2AB9F0CE">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Cs/>
                <w:color w:val="auto"/>
                <w:szCs w:val="21"/>
                <w:highlight w:val="none"/>
              </w:rPr>
              <w:t>序</w:t>
            </w:r>
            <w:r>
              <w:rPr>
                <w:rFonts w:hint="default" w:ascii="Times New Roman" w:hAnsi="Times New Roman" w:cs="Times New Roman" w:eastAsiaTheme="minorEastAsia"/>
                <w:color w:val="auto"/>
                <w:szCs w:val="21"/>
                <w:highlight w:val="none"/>
              </w:rPr>
              <w:t>号</w:t>
            </w:r>
          </w:p>
        </w:tc>
        <w:tc>
          <w:tcPr>
            <w:tcW w:w="2410" w:type="dxa"/>
            <w:vAlign w:val="center"/>
          </w:tcPr>
          <w:p w14:paraId="27340AE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谈判文件章节</w:t>
            </w:r>
            <w:r>
              <w:rPr>
                <w:rFonts w:hint="default" w:ascii="Times New Roman" w:hAnsi="Times New Roman" w:cs="Times New Roman" w:eastAsiaTheme="minorEastAsia"/>
                <w:bCs/>
                <w:color w:val="auto"/>
                <w:szCs w:val="21"/>
                <w:highlight w:val="none"/>
              </w:rPr>
              <w:t>条</w:t>
            </w:r>
            <w:r>
              <w:rPr>
                <w:rFonts w:hint="default" w:ascii="Times New Roman" w:hAnsi="Times New Roman" w:cs="Times New Roman" w:eastAsiaTheme="minorEastAsia"/>
                <w:color w:val="auto"/>
                <w:szCs w:val="21"/>
                <w:highlight w:val="none"/>
              </w:rPr>
              <w:t>款号</w:t>
            </w:r>
          </w:p>
        </w:tc>
        <w:tc>
          <w:tcPr>
            <w:tcW w:w="1985" w:type="dxa"/>
            <w:vAlign w:val="center"/>
          </w:tcPr>
          <w:p w14:paraId="61A15A05">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谈判</w:t>
            </w:r>
            <w:r>
              <w:rPr>
                <w:rFonts w:hint="default" w:ascii="Times New Roman" w:hAnsi="Times New Roman" w:cs="Times New Roman" w:eastAsiaTheme="minorEastAsia"/>
                <w:color w:val="auto"/>
                <w:highlight w:val="none"/>
              </w:rPr>
              <w:t>文件要求</w:t>
            </w:r>
          </w:p>
        </w:tc>
        <w:tc>
          <w:tcPr>
            <w:tcW w:w="2082" w:type="dxa"/>
            <w:tcBorders>
              <w:right w:val="single" w:color="auto" w:sz="4" w:space="0"/>
            </w:tcBorders>
            <w:vAlign w:val="center"/>
          </w:tcPr>
          <w:p w14:paraId="33B12ECE">
            <w:pPr>
              <w:adjustRightInd w:val="0"/>
              <w:snapToGrid w:val="0"/>
              <w:spacing w:before="50"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highlight w:val="none"/>
              </w:rPr>
              <w:t>响应文件的应答</w:t>
            </w:r>
          </w:p>
        </w:tc>
        <w:tc>
          <w:tcPr>
            <w:tcW w:w="1942" w:type="dxa"/>
            <w:tcBorders>
              <w:left w:val="single" w:color="auto" w:sz="4" w:space="0"/>
            </w:tcBorders>
            <w:vAlign w:val="center"/>
          </w:tcPr>
          <w:p w14:paraId="4BEB4230">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偏离说明</w:t>
            </w:r>
          </w:p>
        </w:tc>
      </w:tr>
      <w:tr w14:paraId="28ECB9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B2E161B">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3C1B3EB2">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Pr>
          <w:p w14:paraId="22CB7862">
            <w:pPr>
              <w:adjustRightInd w:val="0"/>
              <w:snapToGrid w:val="0"/>
              <w:spacing w:before="50" w:line="360" w:lineRule="auto"/>
              <w:rPr>
                <w:rFonts w:hint="default" w:ascii="Times New Roman" w:hAnsi="Times New Roman" w:cs="Times New Roman" w:eastAsiaTheme="minorEastAsia"/>
                <w:color w:val="auto"/>
                <w:highlight w:val="none"/>
              </w:rPr>
            </w:pPr>
          </w:p>
        </w:tc>
        <w:tc>
          <w:tcPr>
            <w:tcW w:w="2082" w:type="dxa"/>
            <w:tcBorders>
              <w:right w:val="single" w:color="auto" w:sz="4" w:space="0"/>
            </w:tcBorders>
          </w:tcPr>
          <w:p w14:paraId="6B50944A">
            <w:pPr>
              <w:adjustRightInd w:val="0"/>
              <w:snapToGrid w:val="0"/>
              <w:spacing w:before="50" w:line="360" w:lineRule="auto"/>
              <w:rPr>
                <w:rFonts w:hint="default" w:ascii="Times New Roman" w:hAnsi="Times New Roman" w:cs="Times New Roman" w:eastAsiaTheme="minorEastAsia"/>
                <w:color w:val="auto"/>
                <w:highlight w:val="none"/>
              </w:rPr>
            </w:pPr>
          </w:p>
        </w:tc>
        <w:tc>
          <w:tcPr>
            <w:tcW w:w="1942" w:type="dxa"/>
            <w:tcBorders>
              <w:left w:val="single" w:color="auto" w:sz="4" w:space="0"/>
            </w:tcBorders>
          </w:tcPr>
          <w:p w14:paraId="45FE565A">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6CDBC3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CB7D73D">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76889A20">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vAlign w:val="center"/>
          </w:tcPr>
          <w:p w14:paraId="5E896380">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082" w:type="dxa"/>
            <w:tcBorders>
              <w:right w:val="single" w:color="auto" w:sz="4" w:space="0"/>
            </w:tcBorders>
            <w:vAlign w:val="center"/>
          </w:tcPr>
          <w:p w14:paraId="4A3AF333">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42" w:type="dxa"/>
            <w:tcBorders>
              <w:left w:val="single" w:color="auto" w:sz="4" w:space="0"/>
            </w:tcBorders>
            <w:vAlign w:val="center"/>
          </w:tcPr>
          <w:p w14:paraId="4CA1C995">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42CCCB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7C90D16">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08DED85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vAlign w:val="center"/>
          </w:tcPr>
          <w:p w14:paraId="4244E274">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082" w:type="dxa"/>
            <w:tcBorders>
              <w:right w:val="single" w:color="auto" w:sz="4" w:space="0"/>
            </w:tcBorders>
            <w:vAlign w:val="center"/>
          </w:tcPr>
          <w:p w14:paraId="765AACBE">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42" w:type="dxa"/>
            <w:tcBorders>
              <w:left w:val="single" w:color="auto" w:sz="4" w:space="0"/>
            </w:tcBorders>
            <w:vAlign w:val="center"/>
          </w:tcPr>
          <w:p w14:paraId="4DA254AE">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1BC28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2433C2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7FE09D26">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vAlign w:val="center"/>
          </w:tcPr>
          <w:p w14:paraId="53F157EA">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082" w:type="dxa"/>
            <w:tcBorders>
              <w:right w:val="single" w:color="auto" w:sz="4" w:space="0"/>
            </w:tcBorders>
            <w:vAlign w:val="center"/>
          </w:tcPr>
          <w:p w14:paraId="708CE88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42" w:type="dxa"/>
            <w:tcBorders>
              <w:left w:val="single" w:color="auto" w:sz="4" w:space="0"/>
            </w:tcBorders>
            <w:vAlign w:val="center"/>
          </w:tcPr>
          <w:p w14:paraId="5F2CF7A1">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6EFF2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3671C6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186E689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vAlign w:val="center"/>
          </w:tcPr>
          <w:p w14:paraId="3D86A720">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082" w:type="dxa"/>
            <w:tcBorders>
              <w:right w:val="single" w:color="auto" w:sz="4" w:space="0"/>
            </w:tcBorders>
            <w:vAlign w:val="center"/>
          </w:tcPr>
          <w:p w14:paraId="0E0C9B65">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42" w:type="dxa"/>
            <w:tcBorders>
              <w:left w:val="single" w:color="auto" w:sz="4" w:space="0"/>
            </w:tcBorders>
            <w:vAlign w:val="center"/>
          </w:tcPr>
          <w:p w14:paraId="008DA123">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447AE9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94452DD">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63D1AC58">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vAlign w:val="center"/>
          </w:tcPr>
          <w:p w14:paraId="5F71A0CF">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082" w:type="dxa"/>
            <w:tcBorders>
              <w:right w:val="single" w:color="auto" w:sz="4" w:space="0"/>
            </w:tcBorders>
            <w:vAlign w:val="center"/>
          </w:tcPr>
          <w:p w14:paraId="1E31A4A8">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42" w:type="dxa"/>
            <w:tcBorders>
              <w:left w:val="single" w:color="auto" w:sz="4" w:space="0"/>
            </w:tcBorders>
            <w:vAlign w:val="center"/>
          </w:tcPr>
          <w:p w14:paraId="16890328">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1D86F7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2AE613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70645EA2">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vAlign w:val="center"/>
          </w:tcPr>
          <w:p w14:paraId="28E54373">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4024" w:type="dxa"/>
            <w:gridSpan w:val="2"/>
            <w:vAlign w:val="center"/>
          </w:tcPr>
          <w:p w14:paraId="4CD70262">
            <w:pPr>
              <w:adjustRightInd w:val="0"/>
              <w:snapToGrid w:val="0"/>
              <w:spacing w:before="50" w:line="360" w:lineRule="auto"/>
              <w:ind w:firstLine="420" w:firstLineChars="200"/>
              <w:jc w:val="left"/>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供应商保证：除本合同条款偏离表列出的偏离外，我单位对谈判文件的其他商务、合同条款完全响应，无偏离。</w:t>
            </w:r>
          </w:p>
        </w:tc>
      </w:tr>
    </w:tbl>
    <w:p w14:paraId="71F8D86B">
      <w:pPr>
        <w:adjustRightInd w:val="0"/>
        <w:snapToGrid w:val="0"/>
        <w:spacing w:before="50" w:line="360" w:lineRule="auto"/>
        <w:ind w:left="-88" w:leftChars="-42"/>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
          <w:color w:val="auto"/>
          <w:szCs w:val="21"/>
          <w:highlight w:val="none"/>
        </w:rPr>
        <w:t>备注</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color w:val="auto"/>
          <w:szCs w:val="21"/>
          <w:highlight w:val="none"/>
          <w:lang w:val="en-US" w:eastAsia="zh-CN"/>
        </w:rPr>
        <w:t>1.</w:t>
      </w:r>
      <w:r>
        <w:rPr>
          <w:rFonts w:hint="default" w:ascii="Times New Roman" w:hAnsi="Times New Roman" w:cs="Times New Roman" w:eastAsiaTheme="minorEastAsia"/>
          <w:color w:val="auto"/>
          <w:szCs w:val="21"/>
          <w:highlight w:val="none"/>
        </w:rPr>
        <w:t>供应商应根据谈判文件第四章“合同草案条款”填写本表；</w:t>
      </w:r>
    </w:p>
    <w:p w14:paraId="608C3A22">
      <w:pPr>
        <w:adjustRightInd w:val="0"/>
        <w:snapToGrid w:val="0"/>
        <w:spacing w:before="50" w:line="360" w:lineRule="auto"/>
        <w:ind w:left="-88" w:leftChars="-42" w:firstLine="630" w:firstLineChars="300"/>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lang w:val="en-US" w:eastAsia="zh-CN"/>
        </w:rPr>
        <w:t>2.</w:t>
      </w:r>
      <w:r>
        <w:rPr>
          <w:rFonts w:hint="default" w:ascii="Times New Roman" w:hAnsi="Times New Roman" w:cs="Times New Roman" w:eastAsiaTheme="minorEastAsia"/>
          <w:b/>
          <w:color w:val="auto"/>
          <w:szCs w:val="21"/>
          <w:highlight w:val="none"/>
        </w:rPr>
        <w:t>供应商如果对谈判文件第四章“合同草案条款”的响应有偏离，应将偏离条款逐条如实应答，并作出说明；</w:t>
      </w:r>
    </w:p>
    <w:p w14:paraId="451CFB2E">
      <w:pPr>
        <w:adjustRightInd w:val="0"/>
        <w:snapToGrid w:val="0"/>
        <w:spacing w:before="50" w:line="360" w:lineRule="auto"/>
        <w:ind w:left="-88" w:leftChars="-42"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3.</w:t>
      </w:r>
      <w:r>
        <w:rPr>
          <w:rFonts w:hint="default" w:ascii="Times New Roman" w:hAnsi="Times New Roman" w:cs="Times New Roman" w:eastAsiaTheme="minorEastAsia"/>
          <w:color w:val="auto"/>
          <w:szCs w:val="21"/>
          <w:highlight w:val="none"/>
        </w:rPr>
        <w:t>如不提供此表，则视为供应商不满足谈判文件第四章的所有条款要求，其</w:t>
      </w:r>
      <w:r>
        <w:rPr>
          <w:rFonts w:hint="default" w:ascii="Times New Roman" w:hAnsi="Times New Roman" w:cs="Times New Roman" w:eastAsiaTheme="minorEastAsia"/>
          <w:b/>
          <w:color w:val="auto"/>
          <w:szCs w:val="21"/>
          <w:highlight w:val="none"/>
        </w:rPr>
        <w:t>响应无效</w:t>
      </w:r>
      <w:r>
        <w:rPr>
          <w:rFonts w:hint="default" w:ascii="Times New Roman" w:hAnsi="Times New Roman" w:cs="Times New Roman" w:eastAsiaTheme="minorEastAsia"/>
          <w:color w:val="auto"/>
          <w:szCs w:val="21"/>
          <w:highlight w:val="none"/>
        </w:rPr>
        <w:t>。</w:t>
      </w:r>
    </w:p>
    <w:p w14:paraId="070E522E">
      <w:pPr>
        <w:adjustRightInd w:val="0"/>
        <w:snapToGrid w:val="0"/>
        <w:spacing w:before="50" w:line="360" w:lineRule="auto"/>
        <w:ind w:left="-88" w:leftChars="-42"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4.</w:t>
      </w:r>
      <w:r>
        <w:rPr>
          <w:rFonts w:hint="default" w:ascii="Times New Roman" w:hAnsi="Times New Roman" w:cs="Times New Roman" w:eastAsiaTheme="minorEastAsia"/>
          <w:color w:val="auto"/>
          <w:szCs w:val="21"/>
          <w:highlight w:val="none"/>
        </w:rPr>
        <w:t>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160C85AB">
      <w:pPr>
        <w:adjustRightInd w:val="0"/>
        <w:snapToGrid w:val="0"/>
        <w:spacing w:before="50" w:line="360" w:lineRule="auto"/>
        <w:rPr>
          <w:rFonts w:hint="default" w:ascii="Times New Roman" w:hAnsi="Times New Roman" w:cs="Times New Roman" w:eastAsiaTheme="minorEastAsia"/>
          <w:color w:val="auto"/>
          <w:szCs w:val="21"/>
          <w:highlight w:val="none"/>
        </w:rPr>
      </w:pPr>
    </w:p>
    <w:p w14:paraId="5317E6A8">
      <w:pPr>
        <w:adjustRightInd w:val="0"/>
        <w:snapToGrid w:val="0"/>
        <w:spacing w:before="50" w:line="360" w:lineRule="auto"/>
        <w:rPr>
          <w:rFonts w:hint="default" w:ascii="Times New Roman" w:hAnsi="Times New Roman" w:cs="Times New Roman" w:eastAsiaTheme="minorEastAsia"/>
          <w:color w:val="auto"/>
          <w:szCs w:val="21"/>
          <w:highlight w:val="none"/>
        </w:rPr>
      </w:pPr>
    </w:p>
    <w:p w14:paraId="3FB629B3">
      <w:pPr>
        <w:adjustRightInd w:val="0"/>
        <w:snapToGrid w:val="0"/>
        <w:spacing w:before="50" w:line="360" w:lineRule="auto"/>
        <w:rPr>
          <w:rFonts w:hint="default" w:ascii="Times New Roman" w:hAnsi="Times New Roman" w:cs="Times New Roman" w:eastAsiaTheme="minorEastAsia"/>
          <w:color w:val="auto"/>
          <w:szCs w:val="21"/>
          <w:highlight w:val="none"/>
        </w:rPr>
      </w:pPr>
    </w:p>
    <w:p w14:paraId="69B71D70">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21C9B3A7">
      <w:pPr>
        <w:adjustRightInd w:val="0"/>
        <w:snapToGrid w:val="0"/>
        <w:spacing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2335AC72">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38A9582A">
      <w:pPr>
        <w:keepNext/>
        <w:keepLines/>
        <w:widowControl w:val="0"/>
        <w:spacing w:line="360" w:lineRule="auto"/>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r>
        <w:rPr>
          <w:rFonts w:hint="default" w:ascii="Times New Roman" w:hAnsi="Times New Roman" w:cs="Times New Roman" w:eastAsiaTheme="minorEastAsia"/>
          <w:b/>
          <w:bCs/>
          <w:color w:val="auto"/>
          <w:kern w:val="2"/>
          <w:sz w:val="28"/>
          <w:szCs w:val="28"/>
          <w:highlight w:val="none"/>
          <w:lang w:val="en-US" w:eastAsia="zh-CN" w:bidi="ar-SA"/>
        </w:rPr>
        <w:br w:type="page"/>
      </w:r>
      <w:bookmarkStart w:id="740" w:name="_Toc1624"/>
      <w:bookmarkStart w:id="741" w:name="_Toc31054"/>
      <w:bookmarkStart w:id="742" w:name="_Toc26537"/>
      <w:bookmarkStart w:id="743" w:name="_Toc13496"/>
      <w:bookmarkStart w:id="744" w:name="_Toc17626"/>
      <w:bookmarkStart w:id="745" w:name="_Toc29619"/>
      <w:bookmarkStart w:id="746" w:name="_Toc6875"/>
      <w:bookmarkStart w:id="747" w:name="_Toc20015"/>
      <w:bookmarkStart w:id="748" w:name="_Toc20833"/>
      <w:bookmarkStart w:id="749" w:name="_Toc32402"/>
      <w:bookmarkStart w:id="750" w:name="_Toc4156"/>
      <w:bookmarkStart w:id="751" w:name="_Toc5723"/>
      <w:bookmarkStart w:id="752" w:name="_Toc2088"/>
      <w:bookmarkStart w:id="753" w:name="_Toc12301"/>
      <w:bookmarkStart w:id="754" w:name="_Toc5217"/>
      <w:bookmarkStart w:id="755" w:name="_Toc22697"/>
      <w:bookmarkStart w:id="756" w:name="_Toc29189"/>
      <w:bookmarkStart w:id="757" w:name="_Toc8823"/>
      <w:bookmarkStart w:id="758" w:name="_Toc25801"/>
      <w:bookmarkStart w:id="759" w:name="_Toc344"/>
      <w:bookmarkStart w:id="760" w:name="_Toc22201160"/>
      <w:bookmarkStart w:id="761" w:name="_Toc9014"/>
      <w:bookmarkStart w:id="762" w:name="_Toc34637803"/>
      <w:bookmarkStart w:id="763" w:name="_Toc3506"/>
      <w:bookmarkStart w:id="764" w:name="_Toc26741"/>
      <w:bookmarkStart w:id="765" w:name="_Toc5803"/>
      <w:bookmarkStart w:id="766" w:name="_Toc19769"/>
      <w:bookmarkStart w:id="767" w:name="_Toc28281"/>
      <w:r>
        <w:rPr>
          <w:rFonts w:hint="default" w:ascii="Times New Roman" w:hAnsi="Times New Roman" w:cs="Times New Roman" w:eastAsiaTheme="minorEastAsia"/>
          <w:b/>
          <w:bCs/>
          <w:color w:val="auto"/>
          <w:kern w:val="2"/>
          <w:sz w:val="28"/>
          <w:szCs w:val="28"/>
          <w:highlight w:val="none"/>
          <w:lang w:val="en-US" w:eastAsia="zh-CN" w:bidi="ar-SA"/>
        </w:rPr>
        <w:t>八、采购需求偏离表</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673F376E">
      <w:pPr>
        <w:adjustRightInd w:val="0"/>
        <w:snapToGrid w:val="0"/>
        <w:spacing w:before="156" w:beforeLines="50"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8"/>
          <w:szCs w:val="21"/>
          <w:highlight w:val="none"/>
        </w:rPr>
        <w:t>采购代理编号</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项目名称：</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p>
    <w:p w14:paraId="04CCDC1B">
      <w:pPr>
        <w:adjustRightInd w:val="0"/>
        <w:snapToGrid w:val="0"/>
        <w:spacing w:before="156" w:beforeLines="50"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zCs w:val="21"/>
          <w:highlight w:val="none"/>
        </w:rPr>
        <w:t>包           号：</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rPr>
        <w:t xml:space="preserve">           包名称：</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E6BA4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8F95D7F">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Cs/>
                <w:color w:val="auto"/>
                <w:szCs w:val="21"/>
                <w:highlight w:val="none"/>
              </w:rPr>
              <w:t>序</w:t>
            </w:r>
            <w:r>
              <w:rPr>
                <w:rFonts w:hint="default" w:ascii="Times New Roman" w:hAnsi="Times New Roman" w:cs="Times New Roman" w:eastAsiaTheme="minorEastAsia"/>
                <w:color w:val="auto"/>
                <w:szCs w:val="21"/>
                <w:highlight w:val="none"/>
              </w:rPr>
              <w:t>号</w:t>
            </w:r>
          </w:p>
        </w:tc>
        <w:tc>
          <w:tcPr>
            <w:tcW w:w="2410" w:type="dxa"/>
            <w:vAlign w:val="center"/>
          </w:tcPr>
          <w:p w14:paraId="1B261EF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谈判文件章节</w:t>
            </w:r>
            <w:r>
              <w:rPr>
                <w:rFonts w:hint="default" w:ascii="Times New Roman" w:hAnsi="Times New Roman" w:cs="Times New Roman" w:eastAsiaTheme="minorEastAsia"/>
                <w:bCs/>
                <w:color w:val="auto"/>
                <w:szCs w:val="21"/>
                <w:highlight w:val="none"/>
              </w:rPr>
              <w:t>条</w:t>
            </w:r>
            <w:r>
              <w:rPr>
                <w:rFonts w:hint="default" w:ascii="Times New Roman" w:hAnsi="Times New Roman" w:cs="Times New Roman" w:eastAsiaTheme="minorEastAsia"/>
                <w:color w:val="auto"/>
                <w:szCs w:val="21"/>
                <w:highlight w:val="none"/>
              </w:rPr>
              <w:t>款号</w:t>
            </w:r>
          </w:p>
        </w:tc>
        <w:tc>
          <w:tcPr>
            <w:tcW w:w="1985" w:type="dxa"/>
            <w:tcBorders>
              <w:right w:val="single" w:color="auto" w:sz="4" w:space="0"/>
            </w:tcBorders>
          </w:tcPr>
          <w:p w14:paraId="411FAB76">
            <w:pPr>
              <w:adjustRightInd w:val="0"/>
              <w:snapToGrid w:val="0"/>
              <w:spacing w:before="50" w:line="360" w:lineRule="auto"/>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szCs w:val="21"/>
                <w:highlight w:val="none"/>
              </w:rPr>
              <w:t>谈判</w:t>
            </w:r>
            <w:r>
              <w:rPr>
                <w:rFonts w:hint="default" w:ascii="Times New Roman" w:hAnsi="Times New Roman" w:cs="Times New Roman" w:eastAsiaTheme="minorEastAsia"/>
                <w:color w:val="auto"/>
                <w:highlight w:val="none"/>
              </w:rPr>
              <w:t>文件要求</w:t>
            </w:r>
          </w:p>
        </w:tc>
        <w:tc>
          <w:tcPr>
            <w:tcW w:w="2126" w:type="dxa"/>
            <w:tcBorders>
              <w:left w:val="single" w:color="auto" w:sz="4" w:space="0"/>
            </w:tcBorders>
          </w:tcPr>
          <w:p w14:paraId="0D413769">
            <w:pPr>
              <w:adjustRightInd w:val="0"/>
              <w:snapToGrid w:val="0"/>
              <w:spacing w:before="50" w:line="360" w:lineRule="auto"/>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szCs w:val="21"/>
                <w:highlight w:val="none"/>
              </w:rPr>
              <w:t>响应</w:t>
            </w:r>
            <w:r>
              <w:rPr>
                <w:rFonts w:hint="default" w:ascii="Times New Roman" w:hAnsi="Times New Roman" w:cs="Times New Roman" w:eastAsiaTheme="minorEastAsia"/>
                <w:color w:val="auto"/>
                <w:highlight w:val="none"/>
              </w:rPr>
              <w:t>文件应答</w:t>
            </w:r>
          </w:p>
        </w:tc>
        <w:tc>
          <w:tcPr>
            <w:tcW w:w="1756" w:type="dxa"/>
            <w:vAlign w:val="center"/>
          </w:tcPr>
          <w:p w14:paraId="3DCC4A7B">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偏离说明</w:t>
            </w:r>
          </w:p>
        </w:tc>
      </w:tr>
      <w:tr w14:paraId="0868AA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5A00BD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50E38871">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Borders>
              <w:right w:val="single" w:color="auto" w:sz="4" w:space="0"/>
            </w:tcBorders>
            <w:vAlign w:val="center"/>
          </w:tcPr>
          <w:p w14:paraId="7ACEE76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126" w:type="dxa"/>
            <w:tcBorders>
              <w:left w:val="single" w:color="auto" w:sz="4" w:space="0"/>
            </w:tcBorders>
            <w:vAlign w:val="center"/>
          </w:tcPr>
          <w:p w14:paraId="2B2FED8A">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756" w:type="dxa"/>
            <w:vAlign w:val="center"/>
          </w:tcPr>
          <w:p w14:paraId="2240C94B">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2C2D2E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370AEF1">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72779F47">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Borders>
              <w:right w:val="single" w:color="auto" w:sz="4" w:space="0"/>
            </w:tcBorders>
            <w:vAlign w:val="center"/>
          </w:tcPr>
          <w:p w14:paraId="7F8D3311">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126" w:type="dxa"/>
            <w:tcBorders>
              <w:left w:val="single" w:color="auto" w:sz="4" w:space="0"/>
            </w:tcBorders>
            <w:vAlign w:val="center"/>
          </w:tcPr>
          <w:p w14:paraId="504CB9A6">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756" w:type="dxa"/>
            <w:vAlign w:val="center"/>
          </w:tcPr>
          <w:p w14:paraId="5D8901F3">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077DF5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72FAB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315A0C94">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Borders>
              <w:right w:val="single" w:color="auto" w:sz="4" w:space="0"/>
            </w:tcBorders>
            <w:vAlign w:val="center"/>
          </w:tcPr>
          <w:p w14:paraId="1343AD93">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126" w:type="dxa"/>
            <w:tcBorders>
              <w:left w:val="single" w:color="auto" w:sz="4" w:space="0"/>
            </w:tcBorders>
            <w:vAlign w:val="center"/>
          </w:tcPr>
          <w:p w14:paraId="47E5B11B">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756" w:type="dxa"/>
            <w:vAlign w:val="center"/>
          </w:tcPr>
          <w:p w14:paraId="1AC251B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309DA7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BD13F94">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4FB38045">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Borders>
              <w:right w:val="single" w:color="auto" w:sz="4" w:space="0"/>
            </w:tcBorders>
            <w:vAlign w:val="center"/>
          </w:tcPr>
          <w:p w14:paraId="6F25A9F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126" w:type="dxa"/>
            <w:tcBorders>
              <w:left w:val="single" w:color="auto" w:sz="4" w:space="0"/>
            </w:tcBorders>
            <w:vAlign w:val="center"/>
          </w:tcPr>
          <w:p w14:paraId="52F15E8F">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756" w:type="dxa"/>
            <w:vAlign w:val="center"/>
          </w:tcPr>
          <w:p w14:paraId="248A2018">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6D764B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9D58A7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2C7FD436">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Borders>
              <w:right w:val="single" w:color="auto" w:sz="4" w:space="0"/>
            </w:tcBorders>
            <w:vAlign w:val="center"/>
          </w:tcPr>
          <w:p w14:paraId="6B4BDFFF">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126" w:type="dxa"/>
            <w:tcBorders>
              <w:left w:val="single" w:color="auto" w:sz="4" w:space="0"/>
            </w:tcBorders>
            <w:vAlign w:val="center"/>
          </w:tcPr>
          <w:p w14:paraId="3F0E8F4C">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756" w:type="dxa"/>
            <w:vAlign w:val="center"/>
          </w:tcPr>
          <w:p w14:paraId="3A57E491">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r>
      <w:tr w14:paraId="5AACE4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ADC4BA9">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2410" w:type="dxa"/>
            <w:vAlign w:val="center"/>
          </w:tcPr>
          <w:p w14:paraId="41D85CE2">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1985" w:type="dxa"/>
            <w:tcBorders>
              <w:right w:val="single" w:color="auto" w:sz="4" w:space="0"/>
            </w:tcBorders>
            <w:vAlign w:val="center"/>
          </w:tcPr>
          <w:p w14:paraId="375CD748">
            <w:pPr>
              <w:adjustRightInd w:val="0"/>
              <w:snapToGrid w:val="0"/>
              <w:spacing w:before="50" w:line="360" w:lineRule="auto"/>
              <w:ind w:left="-88" w:leftChars="-42"/>
              <w:jc w:val="center"/>
              <w:rPr>
                <w:rFonts w:hint="default" w:ascii="Times New Roman" w:hAnsi="Times New Roman" w:cs="Times New Roman" w:eastAsiaTheme="minorEastAsia"/>
                <w:color w:val="auto"/>
                <w:szCs w:val="21"/>
                <w:highlight w:val="none"/>
              </w:rPr>
            </w:pPr>
          </w:p>
        </w:tc>
        <w:tc>
          <w:tcPr>
            <w:tcW w:w="3882" w:type="dxa"/>
            <w:gridSpan w:val="2"/>
            <w:tcBorders>
              <w:left w:val="single" w:color="auto" w:sz="4" w:space="0"/>
            </w:tcBorders>
            <w:vAlign w:val="center"/>
          </w:tcPr>
          <w:p w14:paraId="651D196A">
            <w:pPr>
              <w:adjustRightInd w:val="0"/>
              <w:snapToGrid w:val="0"/>
              <w:spacing w:before="50" w:line="360" w:lineRule="auto"/>
              <w:ind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
                <w:color w:val="auto"/>
                <w:szCs w:val="21"/>
                <w:highlight w:val="none"/>
              </w:rPr>
              <w:t>供应商保证：除本采购需求偏离表列出的偏离外，我单位对谈判文件的其他采购需求条款完全响应，无偏离。</w:t>
            </w:r>
          </w:p>
        </w:tc>
      </w:tr>
    </w:tbl>
    <w:p w14:paraId="6855B991">
      <w:pPr>
        <w:adjustRightInd w:val="0"/>
        <w:snapToGrid w:val="0"/>
        <w:spacing w:before="50" w:line="360" w:lineRule="auto"/>
        <w:ind w:left="-88" w:leftChars="-42"/>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
          <w:color w:val="auto"/>
          <w:szCs w:val="21"/>
          <w:highlight w:val="none"/>
        </w:rPr>
        <w:t>备注</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color w:val="auto"/>
          <w:szCs w:val="21"/>
          <w:highlight w:val="none"/>
          <w:lang w:val="en-US" w:eastAsia="zh-CN"/>
        </w:rPr>
        <w:t>1.</w:t>
      </w:r>
      <w:r>
        <w:rPr>
          <w:rFonts w:hint="default" w:ascii="Times New Roman" w:hAnsi="Times New Roman" w:cs="Times New Roman" w:eastAsiaTheme="minorEastAsia"/>
          <w:color w:val="auto"/>
          <w:szCs w:val="21"/>
          <w:highlight w:val="none"/>
        </w:rPr>
        <w:t>供应商应根据谈判文件第三章“采购需求”填写本表；</w:t>
      </w:r>
    </w:p>
    <w:p w14:paraId="7A89FC85">
      <w:pPr>
        <w:adjustRightInd w:val="0"/>
        <w:snapToGrid w:val="0"/>
        <w:spacing w:before="50" w:line="360" w:lineRule="auto"/>
        <w:ind w:left="-88" w:leftChars="-42" w:firstLine="630" w:firstLineChars="300"/>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lang w:val="en-US" w:eastAsia="zh-CN"/>
        </w:rPr>
        <w:t>2.</w:t>
      </w:r>
      <w:r>
        <w:rPr>
          <w:rFonts w:hint="default" w:ascii="Times New Roman" w:hAnsi="Times New Roman" w:cs="Times New Roman" w:eastAsiaTheme="minorEastAsia"/>
          <w:b/>
          <w:color w:val="auto"/>
          <w:szCs w:val="21"/>
          <w:highlight w:val="none"/>
        </w:rPr>
        <w:t>供应商如果对谈判文件第三章“采购需求”的响应有偏离，应将偏离条款逐条如实应答，并作出说明；</w:t>
      </w:r>
    </w:p>
    <w:p w14:paraId="39EE3976">
      <w:pPr>
        <w:adjustRightInd w:val="0"/>
        <w:snapToGrid w:val="0"/>
        <w:spacing w:before="50" w:line="360" w:lineRule="auto"/>
        <w:ind w:left="-88" w:leftChars="-42"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3.</w:t>
      </w:r>
      <w:r>
        <w:rPr>
          <w:rFonts w:hint="default" w:ascii="Times New Roman" w:hAnsi="Times New Roman" w:cs="Times New Roman" w:eastAsiaTheme="minorEastAsia"/>
          <w:color w:val="auto"/>
          <w:szCs w:val="21"/>
          <w:highlight w:val="none"/>
        </w:rPr>
        <w:t>如不提供此表，则视为供应商不满足谈判文件第三章的所有条款要求，其</w:t>
      </w:r>
      <w:r>
        <w:rPr>
          <w:rFonts w:hint="default" w:ascii="Times New Roman" w:hAnsi="Times New Roman" w:cs="Times New Roman" w:eastAsiaTheme="minorEastAsia"/>
          <w:b/>
          <w:color w:val="auto"/>
          <w:szCs w:val="21"/>
          <w:highlight w:val="none"/>
        </w:rPr>
        <w:t>响应无效</w:t>
      </w:r>
      <w:r>
        <w:rPr>
          <w:rFonts w:hint="default" w:ascii="Times New Roman" w:hAnsi="Times New Roman" w:cs="Times New Roman" w:eastAsiaTheme="minorEastAsia"/>
          <w:color w:val="auto"/>
          <w:szCs w:val="21"/>
          <w:highlight w:val="none"/>
        </w:rPr>
        <w:t>。</w:t>
      </w:r>
    </w:p>
    <w:p w14:paraId="0F9AF576">
      <w:pPr>
        <w:adjustRightInd w:val="0"/>
        <w:snapToGrid w:val="0"/>
        <w:spacing w:before="50" w:line="360" w:lineRule="auto"/>
        <w:ind w:left="-88" w:leftChars="-42"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4.</w:t>
      </w:r>
      <w:r>
        <w:rPr>
          <w:rFonts w:hint="default" w:ascii="Times New Roman" w:hAnsi="Times New Roman" w:cs="Times New Roman" w:eastAsiaTheme="minorEastAsia"/>
          <w:color w:val="auto"/>
          <w:szCs w:val="21"/>
          <w:highlight w:val="none"/>
        </w:rPr>
        <w:t>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266E5C98">
      <w:pPr>
        <w:adjustRightInd w:val="0"/>
        <w:snapToGrid w:val="0"/>
        <w:spacing w:before="50" w:line="360" w:lineRule="auto"/>
        <w:ind w:left="-88" w:leftChars="-42" w:firstLine="630" w:firstLineChars="3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5.</w:t>
      </w:r>
      <w:r>
        <w:rPr>
          <w:rFonts w:hint="default" w:ascii="Times New Roman" w:hAnsi="Times New Roman" w:cs="Times New Roman" w:eastAsiaTheme="minorEastAsia"/>
          <w:color w:val="auto"/>
          <w:szCs w:val="21"/>
          <w:highlight w:val="none"/>
        </w:rPr>
        <w:t>本表偏离表与本章第六节“采购需求响应”不一致时，以“采购需求响应”为准。</w:t>
      </w:r>
    </w:p>
    <w:p w14:paraId="54734CBE">
      <w:pPr>
        <w:adjustRightInd w:val="0"/>
        <w:snapToGrid w:val="0"/>
        <w:spacing w:before="50" w:line="360" w:lineRule="auto"/>
        <w:rPr>
          <w:rFonts w:hint="default" w:ascii="Times New Roman" w:hAnsi="Times New Roman" w:cs="Times New Roman" w:eastAsiaTheme="minorEastAsia"/>
          <w:color w:val="auto"/>
          <w:szCs w:val="21"/>
          <w:highlight w:val="none"/>
        </w:rPr>
      </w:pPr>
    </w:p>
    <w:p w14:paraId="2C7161A4">
      <w:pPr>
        <w:adjustRightInd w:val="0"/>
        <w:snapToGrid w:val="0"/>
        <w:spacing w:before="50" w:line="360" w:lineRule="auto"/>
        <w:rPr>
          <w:rFonts w:hint="default" w:ascii="Times New Roman" w:hAnsi="Times New Roman" w:cs="Times New Roman" w:eastAsiaTheme="minorEastAsia"/>
          <w:color w:val="auto"/>
          <w:szCs w:val="21"/>
          <w:highlight w:val="none"/>
        </w:rPr>
      </w:pPr>
    </w:p>
    <w:p w14:paraId="69B1661F">
      <w:pPr>
        <w:adjustRightInd w:val="0"/>
        <w:snapToGrid w:val="0"/>
        <w:spacing w:before="50" w:line="360" w:lineRule="auto"/>
        <w:rPr>
          <w:rFonts w:hint="default" w:ascii="Times New Roman" w:hAnsi="Times New Roman" w:cs="Times New Roman" w:eastAsiaTheme="minorEastAsia"/>
          <w:color w:val="auto"/>
          <w:szCs w:val="21"/>
          <w:highlight w:val="none"/>
        </w:rPr>
      </w:pPr>
    </w:p>
    <w:p w14:paraId="02058BC9">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4F0F1560">
      <w:pPr>
        <w:adjustRightInd w:val="0"/>
        <w:snapToGrid w:val="0"/>
        <w:spacing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52B4D90D">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14CE216A">
      <w:pPr>
        <w:rPr>
          <w:rFonts w:hint="default" w:ascii="Times New Roman" w:hAnsi="Times New Roman" w:cs="Times New Roman" w:eastAsiaTheme="minorEastAsia"/>
          <w:color w:val="auto"/>
          <w:highlight w:val="none"/>
        </w:rPr>
      </w:pPr>
    </w:p>
    <w:p w14:paraId="6C0ED614">
      <w:pPr>
        <w:rPr>
          <w:rFonts w:hint="default" w:ascii="Times New Roman" w:hAnsi="Times New Roman" w:cs="Times New Roman" w:eastAsiaTheme="minorEastAsia"/>
          <w:color w:val="auto"/>
          <w:highlight w:val="none"/>
        </w:rPr>
      </w:pPr>
    </w:p>
    <w:p w14:paraId="63FE59D4">
      <w:pPr>
        <w:keepNext/>
        <w:keepLines/>
        <w:widowControl w:val="0"/>
        <w:spacing w:line="360" w:lineRule="auto"/>
        <w:jc w:val="center"/>
        <w:outlineLvl w:val="1"/>
        <w:rPr>
          <w:rFonts w:hint="default" w:ascii="Times New Roman" w:hAnsi="Times New Roman" w:cs="Times New Roman" w:eastAsiaTheme="minorEastAsia"/>
          <w:b/>
          <w:bCs/>
          <w:color w:val="auto"/>
          <w:kern w:val="2"/>
          <w:sz w:val="28"/>
          <w:szCs w:val="28"/>
          <w:highlight w:val="none"/>
          <w:lang w:val="en-US" w:eastAsia="zh-CN" w:bidi="ar-SA"/>
        </w:rPr>
      </w:pPr>
      <w:r>
        <w:rPr>
          <w:rFonts w:hint="default" w:ascii="Times New Roman" w:hAnsi="Times New Roman" w:cs="Times New Roman" w:eastAsiaTheme="minorEastAsia"/>
          <w:b/>
          <w:bCs/>
          <w:color w:val="auto"/>
          <w:kern w:val="2"/>
          <w:sz w:val="24"/>
          <w:szCs w:val="32"/>
          <w:highlight w:val="none"/>
          <w:lang w:val="en-US" w:eastAsia="zh-CN" w:bidi="ar-SA"/>
        </w:rPr>
        <w:br w:type="page"/>
      </w:r>
      <w:bookmarkStart w:id="768" w:name="_Toc9671"/>
      <w:bookmarkStart w:id="769" w:name="_Toc28124"/>
      <w:bookmarkStart w:id="770" w:name="_Toc25085"/>
      <w:bookmarkStart w:id="771" w:name="_Toc22201161"/>
      <w:bookmarkStart w:id="772" w:name="_Toc1041"/>
      <w:bookmarkStart w:id="773" w:name="_Toc28153"/>
      <w:bookmarkStart w:id="774" w:name="_Toc4356"/>
      <w:bookmarkStart w:id="775" w:name="_Toc31711"/>
      <w:bookmarkStart w:id="776" w:name="_Toc8045"/>
      <w:bookmarkStart w:id="777" w:name="_Toc6806"/>
      <w:bookmarkStart w:id="778" w:name="_Toc2781"/>
      <w:bookmarkStart w:id="779" w:name="_Toc11613"/>
      <w:bookmarkStart w:id="780" w:name="_Toc32456"/>
      <w:bookmarkStart w:id="781" w:name="_Toc26089"/>
      <w:bookmarkStart w:id="782" w:name="_Toc32090"/>
      <w:bookmarkStart w:id="783" w:name="_Toc22968"/>
      <w:bookmarkStart w:id="784" w:name="_Toc13764"/>
      <w:bookmarkStart w:id="785" w:name="_Toc711"/>
      <w:bookmarkStart w:id="786" w:name="_Toc34637804"/>
      <w:bookmarkStart w:id="787" w:name="_Toc26657"/>
      <w:bookmarkStart w:id="788" w:name="_Toc30475"/>
      <w:bookmarkStart w:id="789" w:name="_Toc17467"/>
      <w:bookmarkStart w:id="790" w:name="_Toc24526"/>
      <w:bookmarkStart w:id="791" w:name="_Toc4372"/>
      <w:bookmarkStart w:id="792" w:name="_Toc2632"/>
      <w:bookmarkStart w:id="793" w:name="_Toc31595"/>
      <w:bookmarkStart w:id="794" w:name="_Toc18884"/>
      <w:bookmarkStart w:id="795" w:name="_Toc25659"/>
      <w:r>
        <w:rPr>
          <w:rFonts w:hint="default" w:ascii="Times New Roman" w:hAnsi="Times New Roman" w:cs="Times New Roman" w:eastAsiaTheme="minorEastAsia"/>
          <w:b/>
          <w:bCs/>
          <w:color w:val="auto"/>
          <w:kern w:val="2"/>
          <w:sz w:val="28"/>
          <w:szCs w:val="28"/>
          <w:highlight w:val="none"/>
          <w:lang w:val="en-US" w:eastAsia="zh-CN" w:bidi="ar-SA"/>
        </w:rPr>
        <w:t>九、享受政府采购政策优惠的证明资料</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49150EF5">
      <w:pPr>
        <w:adjustRightInd w:val="0"/>
        <w:snapToGrid w:val="0"/>
        <w:spacing w:line="360" w:lineRule="auto"/>
        <w:rPr>
          <w:rFonts w:hint="default" w:ascii="Times New Roman" w:hAnsi="Times New Roman" w:cs="Times New Roman" w:eastAsiaTheme="minorEastAsia"/>
          <w:bCs/>
          <w:color w:val="auto"/>
          <w:spacing w:val="6"/>
          <w:kern w:val="0"/>
          <w:szCs w:val="21"/>
          <w:highlight w:val="none"/>
        </w:rPr>
      </w:pPr>
    </w:p>
    <w:p w14:paraId="3DD3CAB0">
      <w:pPr>
        <w:adjustRightInd w:val="0"/>
        <w:snapToGrid w:val="0"/>
        <w:spacing w:line="360" w:lineRule="auto"/>
        <w:ind w:firstLine="444" w:firstLineChars="200"/>
        <w:rPr>
          <w:rFonts w:hint="default" w:ascii="Times New Roman" w:hAnsi="Times New Roman" w:cs="Times New Roman" w:eastAsiaTheme="minorEastAsia"/>
          <w:bCs/>
          <w:color w:val="auto"/>
          <w:spacing w:val="6"/>
          <w:kern w:val="0"/>
          <w:szCs w:val="21"/>
          <w:highlight w:val="none"/>
        </w:rPr>
      </w:pPr>
      <w:r>
        <w:rPr>
          <w:rFonts w:hint="default" w:ascii="Times New Roman" w:hAnsi="Times New Roman" w:cs="Times New Roman" w:eastAsiaTheme="minorEastAsia"/>
          <w:bCs/>
          <w:color w:val="auto"/>
          <w:spacing w:val="6"/>
          <w:kern w:val="0"/>
          <w:szCs w:val="21"/>
          <w:highlight w:val="none"/>
        </w:rPr>
        <w:t>供应商符合第二章第38条、第39条、第40条、第41条要求的，应提供下列证明资料，并填写相关数据。</w:t>
      </w:r>
    </w:p>
    <w:p w14:paraId="22001EE0">
      <w:pPr>
        <w:adjustRightInd w:val="0"/>
        <w:snapToGrid w:val="0"/>
        <w:spacing w:line="360" w:lineRule="auto"/>
        <w:rPr>
          <w:rFonts w:hint="default" w:ascii="Times New Roman" w:hAnsi="Times New Roman" w:cs="Times New Roman" w:eastAsiaTheme="minorEastAsia"/>
          <w:bCs/>
          <w:color w:val="auto"/>
          <w:spacing w:val="6"/>
          <w:kern w:val="0"/>
          <w:szCs w:val="21"/>
          <w:highlight w:val="none"/>
        </w:rPr>
      </w:pPr>
    </w:p>
    <w:p w14:paraId="03694BF1">
      <w:pPr>
        <w:keepNext/>
        <w:keepLines/>
        <w:widowControl w:val="0"/>
        <w:spacing w:before="260" w:after="260" w:line="416" w:lineRule="auto"/>
        <w:jc w:val="both"/>
        <w:outlineLvl w:val="2"/>
        <w:rPr>
          <w:rFonts w:hint="default" w:ascii="Times New Roman" w:hAnsi="Times New Roman" w:cs="Times New Roman" w:eastAsiaTheme="minorEastAsia"/>
          <w:b/>
          <w:bCs/>
          <w:color w:val="auto"/>
          <w:kern w:val="2"/>
          <w:sz w:val="21"/>
          <w:szCs w:val="21"/>
          <w:highlight w:val="none"/>
          <w:lang w:val="en-US" w:eastAsia="zh-CN" w:bidi="ar-SA"/>
        </w:rPr>
      </w:pPr>
      <w:bookmarkStart w:id="796" w:name="_Toc10126"/>
      <w:bookmarkStart w:id="797" w:name="_Toc27443"/>
      <w:bookmarkStart w:id="798" w:name="_Toc9690"/>
      <w:bookmarkStart w:id="799" w:name="_Toc17211"/>
      <w:bookmarkStart w:id="800" w:name="_Toc22201162"/>
      <w:bookmarkStart w:id="801" w:name="_Toc34637805"/>
      <w:bookmarkStart w:id="802" w:name="_Toc28540"/>
      <w:r>
        <w:rPr>
          <w:rFonts w:hint="default" w:ascii="Times New Roman" w:hAnsi="Times New Roman" w:cs="Times New Roman" w:eastAsiaTheme="minorEastAsia"/>
          <w:b/>
          <w:bCs/>
          <w:color w:val="auto"/>
          <w:kern w:val="2"/>
          <w:sz w:val="21"/>
          <w:szCs w:val="21"/>
          <w:highlight w:val="none"/>
          <w:lang w:val="en-US" w:eastAsia="zh-CN" w:bidi="ar-SA"/>
        </w:rPr>
        <w:t>附件9-1中小企业声明函</w:t>
      </w:r>
      <w:bookmarkEnd w:id="796"/>
      <w:bookmarkEnd w:id="797"/>
      <w:bookmarkEnd w:id="798"/>
      <w:bookmarkEnd w:id="799"/>
      <w:bookmarkEnd w:id="800"/>
      <w:bookmarkEnd w:id="801"/>
      <w:bookmarkEnd w:id="802"/>
    </w:p>
    <w:p w14:paraId="7289DB47">
      <w:pPr>
        <w:keepNext w:val="0"/>
        <w:keepLines w:val="0"/>
        <w:widowControl/>
        <w:suppressLineNumbers w:val="0"/>
        <w:adjustRightInd w:val="0"/>
        <w:snapToGrid w:val="0"/>
        <w:spacing w:line="360" w:lineRule="auto"/>
        <w:ind w:firstLine="444" w:firstLineChars="200"/>
        <w:jc w:val="center"/>
        <w:rPr>
          <w:rFonts w:hint="default" w:ascii="Times New Roman" w:hAnsi="Times New Roman" w:cs="Times New Roman" w:eastAsiaTheme="minorEastAsia"/>
          <w:b/>
          <w:bCs/>
          <w:color w:val="auto"/>
          <w:spacing w:val="6"/>
          <w:kern w:val="0"/>
          <w:sz w:val="21"/>
          <w:szCs w:val="21"/>
          <w:highlight w:val="none"/>
          <w:u w:val="none"/>
          <w:lang w:val="en-US" w:eastAsia="zh-CN" w:bidi="ar"/>
        </w:rPr>
      </w:pPr>
      <w:r>
        <w:rPr>
          <w:rFonts w:hint="default" w:ascii="Times New Roman" w:hAnsi="Times New Roman" w:cs="Times New Roman" w:eastAsiaTheme="minorEastAsia"/>
          <w:b/>
          <w:bCs/>
          <w:color w:val="auto"/>
          <w:spacing w:val="6"/>
          <w:kern w:val="0"/>
          <w:sz w:val="21"/>
          <w:szCs w:val="21"/>
          <w:highlight w:val="none"/>
          <w:u w:val="none"/>
          <w:lang w:val="en-US" w:eastAsia="zh-CN" w:bidi="ar"/>
        </w:rPr>
        <w:t xml:space="preserve">中小企业声明函（货物） </w:t>
      </w:r>
    </w:p>
    <w:p w14:paraId="040DE419">
      <w:pPr>
        <w:keepNext w:val="0"/>
        <w:keepLines w:val="0"/>
        <w:widowControl/>
        <w:suppressLineNumbers w:val="0"/>
        <w:adjustRightInd w:val="0"/>
        <w:snapToGrid w:val="0"/>
        <w:spacing w:line="360" w:lineRule="auto"/>
        <w:ind w:firstLine="444" w:firstLineChars="200"/>
        <w:jc w:val="center"/>
        <w:rPr>
          <w:rFonts w:hint="default" w:ascii="Times New Roman" w:hAnsi="Times New Roman" w:cs="Times New Roman" w:eastAsiaTheme="minorEastAsia"/>
          <w:b/>
          <w:bCs/>
          <w:color w:val="auto"/>
          <w:spacing w:val="6"/>
          <w:kern w:val="0"/>
          <w:szCs w:val="21"/>
          <w:highlight w:val="none"/>
          <w:u w:val="none"/>
          <w:lang w:bidi="ar"/>
        </w:rPr>
      </w:pPr>
      <w:r>
        <w:rPr>
          <w:rFonts w:hint="default" w:ascii="Times New Roman" w:hAnsi="Times New Roman" w:cs="Times New Roman" w:eastAsiaTheme="minorEastAsia"/>
          <w:b/>
          <w:color w:val="auto"/>
          <w:spacing w:val="6"/>
          <w:szCs w:val="21"/>
          <w:highlight w:val="none"/>
        </w:rPr>
        <w:t>(不符合政策要求的无需提供)</w:t>
      </w:r>
    </w:p>
    <w:p w14:paraId="2DEB5C7A">
      <w:pPr>
        <w:keepNext w:val="0"/>
        <w:keepLines w:val="0"/>
        <w:widowControl/>
        <w:suppressLineNumbers w:val="0"/>
        <w:adjustRightInd w:val="0"/>
        <w:snapToGrid w:val="0"/>
        <w:spacing w:line="360" w:lineRule="auto"/>
        <w:ind w:firstLine="444" w:firstLineChars="200"/>
        <w:jc w:val="both"/>
        <w:rPr>
          <w:rFonts w:hint="default" w:ascii="Times New Roman" w:hAnsi="Times New Roman" w:cs="Times New Roman" w:eastAsiaTheme="minorEastAsia"/>
          <w:color w:val="auto"/>
          <w:spacing w:val="6"/>
          <w:kern w:val="0"/>
          <w:sz w:val="21"/>
          <w:szCs w:val="21"/>
          <w:highlight w:val="none"/>
          <w:u w:val="none"/>
          <w:lang w:val="en-US" w:eastAsia="zh-CN" w:bidi="ar"/>
        </w:rPr>
      </w:pPr>
    </w:p>
    <w:p w14:paraId="00BE8231">
      <w:pPr>
        <w:keepNext w:val="0"/>
        <w:keepLines w:val="0"/>
        <w:widowControl/>
        <w:suppressLineNumbers w:val="0"/>
        <w:adjustRightInd w:val="0"/>
        <w:snapToGrid w:val="0"/>
        <w:spacing w:line="360" w:lineRule="auto"/>
        <w:ind w:firstLine="444" w:firstLineChars="200"/>
        <w:jc w:val="both"/>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本公司（联合体）郑重声明，根据《政府采购促进中小企业发展管理办法》（财库﹝2020﹞46号）的规定，本公司（联合体）参加</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（单位名称）</w:t>
      </w:r>
      <w:r>
        <w:rPr>
          <w:rFonts w:hint="default" w:ascii="Times New Roman" w:hAnsi="Times New Roman" w:cs="Times New Roman" w:eastAsiaTheme="minorEastAsia"/>
          <w:color w:val="auto"/>
          <w:spacing w:val="6"/>
          <w:kern w:val="0"/>
          <w:sz w:val="21"/>
          <w:szCs w:val="21"/>
          <w:highlight w:val="none"/>
          <w:u w:val="none"/>
          <w:lang w:val="en-US" w:eastAsia="zh-CN" w:bidi="ar"/>
        </w:rPr>
        <w:t>的</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（项目名称）</w:t>
      </w: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采购活动，提供的货物全部由符合政策要求的中小企业制造。相关企业（含联合体中的中小企业、签订分包意向协议的中小企业）的具体情况如下： </w:t>
      </w:r>
    </w:p>
    <w:p w14:paraId="04DB98F6">
      <w:pPr>
        <w:keepNext w:val="0"/>
        <w:keepLines w:val="0"/>
        <w:widowControl/>
        <w:numPr>
          <w:ilvl w:val="0"/>
          <w:numId w:val="6"/>
        </w:numPr>
        <w:suppressLineNumbers w:val="0"/>
        <w:adjustRightInd w:val="0"/>
        <w:snapToGrid w:val="0"/>
        <w:spacing w:line="360" w:lineRule="auto"/>
        <w:ind w:firstLine="444" w:firstLineChars="200"/>
        <w:jc w:val="both"/>
        <w:rPr>
          <w:rFonts w:hint="default" w:ascii="Times New Roman" w:hAnsi="Times New Roman" w:cs="Times New Roman" w:eastAsiaTheme="minorEastAsia"/>
          <w:color w:val="auto"/>
          <w:spacing w:val="6"/>
          <w:kern w:val="0"/>
          <w:sz w:val="21"/>
          <w:szCs w:val="21"/>
          <w:highlight w:val="none"/>
          <w:u w:val="none"/>
          <w:lang w:val="en-US" w:eastAsia="zh-CN" w:bidi="ar"/>
        </w:rPr>
      </w:pP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（标的名称）</w:t>
      </w:r>
      <w:r>
        <w:rPr>
          <w:rFonts w:hint="default" w:ascii="Times New Roman" w:hAnsi="Times New Roman" w:cs="Times New Roman" w:eastAsiaTheme="minorEastAsia"/>
          <w:color w:val="auto"/>
          <w:spacing w:val="6"/>
          <w:kern w:val="0"/>
          <w:sz w:val="21"/>
          <w:szCs w:val="21"/>
          <w:highlight w:val="none"/>
          <w:u w:val="none"/>
          <w:lang w:val="en-US" w:eastAsia="zh-CN" w:bidi="ar"/>
        </w:rPr>
        <w:t>，属于</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（采购文件中明确的所属行业）</w:t>
      </w:r>
      <w:r>
        <w:rPr>
          <w:rFonts w:hint="default" w:ascii="Times New Roman" w:hAnsi="Times New Roman" w:cs="Times New Roman" w:eastAsiaTheme="minorEastAsia"/>
          <w:i w:val="0"/>
          <w:iCs w:val="0"/>
          <w:color w:val="auto"/>
          <w:spacing w:val="6"/>
          <w:kern w:val="0"/>
          <w:sz w:val="21"/>
          <w:szCs w:val="21"/>
          <w:highlight w:val="none"/>
          <w:u w:val="none"/>
          <w:lang w:val="en-US" w:eastAsia="zh-CN" w:bidi="ar"/>
        </w:rPr>
        <w:t>行业</w:t>
      </w:r>
      <w:r>
        <w:rPr>
          <w:rFonts w:hint="default" w:ascii="Times New Roman" w:hAnsi="Times New Roman" w:cs="Times New Roman" w:eastAsiaTheme="minorEastAsia"/>
          <w:color w:val="auto"/>
          <w:spacing w:val="6"/>
          <w:kern w:val="0"/>
          <w:sz w:val="21"/>
          <w:szCs w:val="21"/>
          <w:highlight w:val="none"/>
          <w:u w:val="none"/>
          <w:lang w:val="en-US" w:eastAsia="zh-CN" w:bidi="ar"/>
        </w:rPr>
        <w:t>；制造商为</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（企业名称）</w:t>
      </w:r>
      <w:r>
        <w:rPr>
          <w:rFonts w:hint="default" w:ascii="Times New Roman" w:hAnsi="Times New Roman" w:cs="Times New Roman" w:eastAsiaTheme="minorEastAsia"/>
          <w:color w:val="auto"/>
          <w:spacing w:val="6"/>
          <w:kern w:val="0"/>
          <w:sz w:val="21"/>
          <w:szCs w:val="21"/>
          <w:highlight w:val="none"/>
          <w:u w:val="none"/>
          <w:lang w:val="en-US" w:eastAsia="zh-CN" w:bidi="ar"/>
        </w:rPr>
        <w:t>，从业人员</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人，营业收入为</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万元，资产总额为</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万元</w:t>
      </w:r>
      <w:r>
        <w:rPr>
          <w:rFonts w:hint="default" w:ascii="Times New Roman" w:hAnsi="Times New Roman" w:cs="Times New Roman" w:eastAsiaTheme="minorEastAsia"/>
          <w:b/>
          <w:bCs/>
          <w:i w:val="0"/>
          <w:iCs w:val="0"/>
          <w:color w:val="auto"/>
          <w:kern w:val="0"/>
          <w:sz w:val="24"/>
          <w:szCs w:val="24"/>
          <w:highlight w:val="none"/>
          <w:vertAlign w:val="superscript"/>
          <w:lang w:val="en-US" w:eastAsia="zh-CN" w:bidi="ar"/>
        </w:rPr>
        <w:t>1</w:t>
      </w:r>
      <w:r>
        <w:rPr>
          <w:rFonts w:hint="default" w:ascii="Times New Roman" w:hAnsi="Times New Roman" w:cs="Times New Roman" w:eastAsiaTheme="minorEastAsia"/>
          <w:color w:val="auto"/>
          <w:spacing w:val="6"/>
          <w:kern w:val="0"/>
          <w:sz w:val="21"/>
          <w:szCs w:val="21"/>
          <w:highlight w:val="none"/>
          <w:u w:val="none"/>
          <w:lang w:val="en-US" w:eastAsia="zh-CN" w:bidi="ar"/>
        </w:rPr>
        <w:t>，属于</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（中型企业、小型企业、微型企业）</w:t>
      </w:r>
      <w:r>
        <w:rPr>
          <w:rFonts w:hint="default" w:ascii="Times New Roman" w:hAnsi="Times New Roman" w:cs="Times New Roman" w:eastAsiaTheme="minorEastAsia"/>
          <w:color w:val="auto"/>
          <w:spacing w:val="6"/>
          <w:kern w:val="0"/>
          <w:sz w:val="21"/>
          <w:szCs w:val="21"/>
          <w:highlight w:val="none"/>
          <w:u w:val="none"/>
          <w:lang w:val="en-US" w:eastAsia="zh-CN" w:bidi="ar"/>
        </w:rPr>
        <w:t>；</w:t>
      </w:r>
    </w:p>
    <w:p w14:paraId="357D4574">
      <w:pPr>
        <w:keepNext w:val="0"/>
        <w:keepLines w:val="0"/>
        <w:widowControl/>
        <w:numPr>
          <w:ilvl w:val="-1"/>
          <w:numId w:val="0"/>
        </w:numPr>
        <w:suppressLineNumbers w:val="0"/>
        <w:adjustRightInd w:val="0"/>
        <w:snapToGrid w:val="0"/>
        <w:spacing w:line="360" w:lineRule="auto"/>
        <w:ind w:firstLine="222" w:firstLineChars="100"/>
        <w:jc w:val="both"/>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 2. </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（标的名称）</w:t>
      </w:r>
      <w:r>
        <w:rPr>
          <w:rFonts w:hint="default" w:ascii="Times New Roman" w:hAnsi="Times New Roman" w:cs="Times New Roman" w:eastAsiaTheme="minorEastAsia"/>
          <w:i w:val="0"/>
          <w:iCs w:val="0"/>
          <w:color w:val="auto"/>
          <w:spacing w:val="6"/>
          <w:kern w:val="0"/>
          <w:sz w:val="21"/>
          <w:szCs w:val="21"/>
          <w:highlight w:val="none"/>
          <w:u w:val="non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，属于</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（采购文件中明确的所属行业）</w:t>
      </w:r>
      <w:r>
        <w:rPr>
          <w:rFonts w:hint="default" w:ascii="Times New Roman" w:hAnsi="Times New Roman" w:cs="Times New Roman" w:eastAsiaTheme="minorEastAsia"/>
          <w:i w:val="0"/>
          <w:iCs w:val="0"/>
          <w:color w:val="auto"/>
          <w:spacing w:val="6"/>
          <w:kern w:val="0"/>
          <w:sz w:val="21"/>
          <w:szCs w:val="21"/>
          <w:highlight w:val="none"/>
          <w:u w:val="none"/>
          <w:lang w:val="en-US" w:eastAsia="zh-CN" w:bidi="ar"/>
        </w:rPr>
        <w:t>行业</w:t>
      </w:r>
      <w:r>
        <w:rPr>
          <w:rFonts w:hint="default" w:ascii="Times New Roman" w:hAnsi="Times New Roman" w:cs="Times New Roman" w:eastAsiaTheme="minorEastAsia"/>
          <w:color w:val="auto"/>
          <w:spacing w:val="6"/>
          <w:kern w:val="0"/>
          <w:sz w:val="21"/>
          <w:szCs w:val="21"/>
          <w:highlight w:val="none"/>
          <w:u w:val="none"/>
          <w:lang w:val="en-US" w:eastAsia="zh-CN" w:bidi="ar"/>
        </w:rPr>
        <w:t>；制造商为</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（企业名称）</w:t>
      </w:r>
      <w:r>
        <w:rPr>
          <w:rFonts w:hint="default" w:ascii="Times New Roman" w:hAnsi="Times New Roman" w:cs="Times New Roman" w:eastAsiaTheme="minorEastAsia"/>
          <w:color w:val="auto"/>
          <w:spacing w:val="6"/>
          <w:kern w:val="0"/>
          <w:sz w:val="21"/>
          <w:szCs w:val="21"/>
          <w:highlight w:val="none"/>
          <w:u w:val="none"/>
          <w:lang w:val="en-US" w:eastAsia="zh-CN" w:bidi="ar"/>
        </w:rPr>
        <w:t>，从业人员</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人，营业收入为</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万元，资产总额为</w:t>
      </w:r>
      <w:r>
        <w:rPr>
          <w:rFonts w:hint="default" w:ascii="Times New Roman" w:hAnsi="Times New Roman" w:cs="Times New Roman" w:eastAsiaTheme="minorEastAsia"/>
          <w:color w:val="auto"/>
          <w:spacing w:val="6"/>
          <w:kern w:val="0"/>
          <w:sz w:val="21"/>
          <w:szCs w:val="21"/>
          <w:highlight w:val="none"/>
          <w:u w:val="single"/>
          <w:lang w:val="en-US" w:eastAsia="zh-CN" w:bidi="ar"/>
        </w:rPr>
        <w:t xml:space="preserve">    </w:t>
      </w:r>
      <w:r>
        <w:rPr>
          <w:rFonts w:hint="default" w:ascii="Times New Roman" w:hAnsi="Times New Roman" w:cs="Times New Roman" w:eastAsiaTheme="minorEastAsia"/>
          <w:color w:val="auto"/>
          <w:spacing w:val="6"/>
          <w:kern w:val="0"/>
          <w:sz w:val="21"/>
          <w:szCs w:val="21"/>
          <w:highlight w:val="none"/>
          <w:u w:val="none"/>
          <w:lang w:val="en-US" w:eastAsia="zh-CN" w:bidi="ar"/>
        </w:rPr>
        <w:t>万元</w:t>
      </w:r>
      <w:r>
        <w:rPr>
          <w:rFonts w:hint="default" w:ascii="Times New Roman" w:hAnsi="Times New Roman" w:cs="Times New Roman" w:eastAsiaTheme="minorEastAsia"/>
          <w:b/>
          <w:bCs/>
          <w:i w:val="0"/>
          <w:iCs w:val="0"/>
          <w:color w:val="auto"/>
          <w:kern w:val="0"/>
          <w:sz w:val="24"/>
          <w:szCs w:val="24"/>
          <w:highlight w:val="none"/>
          <w:vertAlign w:val="superscript"/>
          <w:lang w:val="en-US" w:eastAsia="zh-CN" w:bidi="ar"/>
        </w:rPr>
        <w:t>1</w:t>
      </w:r>
      <w:r>
        <w:rPr>
          <w:rFonts w:hint="default" w:ascii="Times New Roman" w:hAnsi="Times New Roman" w:cs="Times New Roman" w:eastAsiaTheme="minorEastAsia"/>
          <w:color w:val="auto"/>
          <w:spacing w:val="6"/>
          <w:kern w:val="0"/>
          <w:sz w:val="21"/>
          <w:szCs w:val="21"/>
          <w:highlight w:val="none"/>
          <w:u w:val="none"/>
          <w:lang w:val="en-US" w:eastAsia="zh-CN" w:bidi="ar"/>
        </w:rPr>
        <w:t>，属于</w:t>
      </w:r>
      <w:r>
        <w:rPr>
          <w:rFonts w:hint="default" w:ascii="Times New Roman" w:hAnsi="Times New Roman" w:cs="Times New Roman" w:eastAsiaTheme="minorEastAsia"/>
          <w:b/>
          <w:bCs/>
          <w:i w:val="0"/>
          <w:iCs w:val="0"/>
          <w:color w:val="auto"/>
          <w:spacing w:val="6"/>
          <w:kern w:val="0"/>
          <w:sz w:val="21"/>
          <w:szCs w:val="21"/>
          <w:highlight w:val="none"/>
          <w:u w:val="single"/>
          <w:lang w:val="en-US" w:eastAsia="zh-CN" w:bidi="ar"/>
        </w:rPr>
        <w:t>（中型企业、小型企业、微型企业）</w:t>
      </w: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 </w:t>
      </w:r>
    </w:p>
    <w:p w14:paraId="6EFE2A3B">
      <w:pPr>
        <w:keepNext w:val="0"/>
        <w:keepLines w:val="0"/>
        <w:widowControl/>
        <w:suppressLineNumbers w:val="0"/>
        <w:adjustRightInd w:val="0"/>
        <w:snapToGrid w:val="0"/>
        <w:spacing w:line="360" w:lineRule="auto"/>
        <w:ind w:firstLine="444" w:firstLineChars="200"/>
        <w:jc w:val="both"/>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 ……</w:t>
      </w:r>
    </w:p>
    <w:p w14:paraId="2D6CF519">
      <w:pPr>
        <w:keepNext w:val="0"/>
        <w:keepLines w:val="0"/>
        <w:widowControl/>
        <w:suppressLineNumbers w:val="0"/>
        <w:adjustRightInd w:val="0"/>
        <w:snapToGrid w:val="0"/>
        <w:spacing w:line="360" w:lineRule="auto"/>
        <w:ind w:firstLine="444" w:firstLineChars="200"/>
        <w:jc w:val="both"/>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以上企业，不属于大企业的分支机构，不存在控股股东为大企业的情形，也不存在与大企业的负责人为同一人的情形。</w:t>
      </w:r>
    </w:p>
    <w:p w14:paraId="00BF132B">
      <w:pPr>
        <w:keepNext w:val="0"/>
        <w:keepLines w:val="0"/>
        <w:widowControl/>
        <w:suppressLineNumbers w:val="0"/>
        <w:adjustRightInd w:val="0"/>
        <w:snapToGrid w:val="0"/>
        <w:spacing w:line="360" w:lineRule="auto"/>
        <w:ind w:firstLine="444" w:firstLineChars="200"/>
        <w:jc w:val="both"/>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本企业对上述声明内容的真实性负责。如有虚假，将依法承担相应责任。 </w:t>
      </w:r>
    </w:p>
    <w:p w14:paraId="7F27FA6B">
      <w:pPr>
        <w:keepNext w:val="0"/>
        <w:keepLines w:val="0"/>
        <w:widowControl/>
        <w:suppressLineNumbers w:val="0"/>
        <w:adjustRightInd w:val="0"/>
        <w:snapToGrid w:val="0"/>
        <w:spacing w:line="360" w:lineRule="auto"/>
        <w:ind w:firstLine="444" w:firstLineChars="200"/>
        <w:jc w:val="right"/>
        <w:rPr>
          <w:rFonts w:hint="default" w:ascii="Times New Roman" w:hAnsi="Times New Roman" w:cs="Times New Roman" w:eastAsiaTheme="minorEastAsia"/>
          <w:color w:val="auto"/>
          <w:spacing w:val="6"/>
          <w:kern w:val="0"/>
          <w:sz w:val="21"/>
          <w:szCs w:val="21"/>
          <w:highlight w:val="none"/>
          <w:u w:val="none"/>
          <w:lang w:val="en-US" w:eastAsia="zh-CN" w:bidi="ar"/>
        </w:rPr>
      </w:pPr>
    </w:p>
    <w:p w14:paraId="75A20CEB">
      <w:pPr>
        <w:keepNext w:val="0"/>
        <w:keepLines w:val="0"/>
        <w:widowControl/>
        <w:suppressLineNumbers w:val="0"/>
        <w:adjustRightInd w:val="0"/>
        <w:snapToGrid w:val="0"/>
        <w:spacing w:line="360" w:lineRule="auto"/>
        <w:ind w:firstLine="444" w:firstLineChars="200"/>
        <w:jc w:val="right"/>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企业名称（盖章）： </w:t>
      </w:r>
    </w:p>
    <w:p w14:paraId="43148A37">
      <w:pPr>
        <w:keepNext w:val="0"/>
        <w:keepLines w:val="0"/>
        <w:widowControl/>
        <w:suppressLineNumbers w:val="0"/>
        <w:adjustRightInd w:val="0"/>
        <w:snapToGrid w:val="0"/>
        <w:spacing w:line="360" w:lineRule="auto"/>
        <w:ind w:firstLine="444" w:firstLineChars="200"/>
        <w:jc w:val="right"/>
        <w:rPr>
          <w:rFonts w:hint="default" w:ascii="Times New Roman" w:hAnsi="Times New Roman" w:cs="Times New Roman" w:eastAsiaTheme="minorEastAsia"/>
          <w:color w:val="auto"/>
          <w:spacing w:val="6"/>
          <w:kern w:val="0"/>
          <w:szCs w:val="21"/>
          <w:highlight w:val="none"/>
          <w:u w:val="none"/>
        </w:rPr>
      </w:pPr>
      <w:r>
        <w:rPr>
          <w:rFonts w:hint="default" w:ascii="Times New Roman" w:hAnsi="Times New Roman" w:cs="Times New Roman" w:eastAsiaTheme="minorEastAsia"/>
          <w:color w:val="auto"/>
          <w:spacing w:val="6"/>
          <w:kern w:val="0"/>
          <w:sz w:val="21"/>
          <w:szCs w:val="21"/>
          <w:highlight w:val="none"/>
          <w:u w:val="none"/>
          <w:lang w:val="en-US" w:eastAsia="zh-CN" w:bidi="ar"/>
        </w:rPr>
        <w:t xml:space="preserve">日 期： </w:t>
      </w:r>
    </w:p>
    <w:p w14:paraId="2D606FC4">
      <w:pPr>
        <w:keepNext w:val="0"/>
        <w:keepLines w:val="0"/>
        <w:widowControl/>
        <w:suppressLineNumbers w:val="0"/>
        <w:jc w:val="left"/>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kern w:val="0"/>
          <w:sz w:val="18"/>
          <w:szCs w:val="18"/>
          <w:highlight w:val="none"/>
          <w:lang w:val="en-US" w:eastAsia="zh-CN" w:bidi="ar"/>
        </w:rPr>
        <w:t>从业人员、营业收入、资产总额填报上一年度数据，无上一年度数据的新成立企业可不填报。</w:t>
      </w:r>
    </w:p>
    <w:p w14:paraId="5468EF3F">
      <w:pPr>
        <w:adjustRightInd w:val="0"/>
        <w:snapToGrid w:val="0"/>
        <w:spacing w:before="156" w:beforeLines="50" w:line="360" w:lineRule="auto"/>
        <w:rPr>
          <w:rFonts w:hint="default" w:ascii="Times New Roman" w:hAnsi="Times New Roman" w:cs="Times New Roman" w:eastAsiaTheme="minorEastAsia"/>
          <w:color w:val="auto"/>
          <w:highlight w:val="none"/>
        </w:rPr>
      </w:pPr>
    </w:p>
    <w:p w14:paraId="6EA5C60F">
      <w:pPr>
        <w:rPr>
          <w:rFonts w:hint="default" w:ascii="Times New Roman" w:hAnsi="Times New Roman" w:cs="Times New Roman" w:eastAsiaTheme="minorEastAsia"/>
          <w:color w:val="auto"/>
          <w:spacing w:val="6"/>
          <w:kern w:val="0"/>
          <w:sz w:val="21"/>
          <w:highlight w:val="none"/>
        </w:rPr>
      </w:pPr>
      <w:bookmarkStart w:id="803" w:name="_Toc28828"/>
      <w:bookmarkStart w:id="804" w:name="_Toc34637806"/>
      <w:bookmarkStart w:id="805" w:name="_Toc22201164"/>
      <w:r>
        <w:rPr>
          <w:rFonts w:hint="default" w:ascii="Times New Roman" w:hAnsi="Times New Roman" w:cs="Times New Roman" w:eastAsiaTheme="minorEastAsia"/>
          <w:color w:val="auto"/>
          <w:spacing w:val="6"/>
          <w:kern w:val="0"/>
          <w:sz w:val="21"/>
          <w:highlight w:val="none"/>
        </w:rPr>
        <w:br w:type="page"/>
      </w:r>
    </w:p>
    <w:p w14:paraId="65164A47">
      <w:pPr>
        <w:keepNext/>
        <w:keepLines/>
        <w:widowControl w:val="0"/>
        <w:spacing w:before="260" w:after="260" w:line="416" w:lineRule="auto"/>
        <w:jc w:val="both"/>
        <w:outlineLvl w:val="2"/>
        <w:rPr>
          <w:rFonts w:hint="default" w:ascii="Times New Roman" w:hAnsi="Times New Roman" w:cs="Times New Roman" w:eastAsiaTheme="minorEastAsia"/>
          <w:b/>
          <w:bCs/>
          <w:color w:val="auto"/>
          <w:spacing w:val="6"/>
          <w:kern w:val="2"/>
          <w:sz w:val="21"/>
          <w:szCs w:val="32"/>
          <w:highlight w:val="none"/>
          <w:lang w:val="en-US" w:eastAsia="zh-CN" w:bidi="ar-SA"/>
        </w:rPr>
      </w:pPr>
      <w:bookmarkStart w:id="806" w:name="_Toc8906"/>
      <w:bookmarkStart w:id="807" w:name="_Toc12885"/>
      <w:bookmarkStart w:id="808" w:name="_Toc12051"/>
      <w:bookmarkStart w:id="809" w:name="_Toc8230"/>
      <w:r>
        <w:rPr>
          <w:rFonts w:hint="default" w:ascii="Times New Roman" w:hAnsi="Times New Roman" w:cs="Times New Roman" w:eastAsiaTheme="minorEastAsia"/>
          <w:b/>
          <w:bCs/>
          <w:color w:val="auto"/>
          <w:spacing w:val="6"/>
          <w:kern w:val="0"/>
          <w:sz w:val="21"/>
          <w:szCs w:val="32"/>
          <w:highlight w:val="none"/>
          <w:lang w:val="en-US" w:eastAsia="zh-CN" w:bidi="ar-SA"/>
        </w:rPr>
        <w:t xml:space="preserve">附件9-2 </w:t>
      </w:r>
      <w:r>
        <w:rPr>
          <w:rFonts w:hint="default" w:ascii="Times New Roman" w:hAnsi="Times New Roman" w:cs="Times New Roman" w:eastAsiaTheme="minorEastAsia"/>
          <w:b/>
          <w:bCs/>
          <w:color w:val="auto"/>
          <w:spacing w:val="6"/>
          <w:kern w:val="2"/>
          <w:sz w:val="21"/>
          <w:szCs w:val="32"/>
          <w:highlight w:val="none"/>
          <w:lang w:val="en-US" w:eastAsia="zh-CN" w:bidi="ar-SA"/>
        </w:rPr>
        <w:t>残疾人福利性单位声明函</w:t>
      </w:r>
      <w:bookmarkEnd w:id="803"/>
      <w:bookmarkEnd w:id="804"/>
      <w:bookmarkEnd w:id="805"/>
      <w:bookmarkEnd w:id="806"/>
      <w:bookmarkEnd w:id="807"/>
      <w:bookmarkEnd w:id="808"/>
      <w:bookmarkEnd w:id="809"/>
    </w:p>
    <w:p w14:paraId="3459C239">
      <w:pPr>
        <w:adjustRightInd w:val="0"/>
        <w:snapToGrid w:val="0"/>
        <w:spacing w:line="360" w:lineRule="auto"/>
        <w:jc w:val="center"/>
        <w:rPr>
          <w:rFonts w:hint="default" w:ascii="Times New Roman" w:hAnsi="Times New Roman" w:cs="Times New Roman" w:eastAsiaTheme="minorEastAsia"/>
          <w:b/>
          <w:color w:val="auto"/>
          <w:spacing w:val="6"/>
          <w:sz w:val="28"/>
          <w:szCs w:val="28"/>
          <w:highlight w:val="none"/>
        </w:rPr>
      </w:pPr>
      <w:r>
        <w:rPr>
          <w:rFonts w:hint="default" w:ascii="Times New Roman" w:hAnsi="Times New Roman" w:cs="Times New Roman" w:eastAsiaTheme="minorEastAsia"/>
          <w:b/>
          <w:color w:val="auto"/>
          <w:spacing w:val="6"/>
          <w:sz w:val="28"/>
          <w:szCs w:val="28"/>
          <w:highlight w:val="none"/>
        </w:rPr>
        <w:t>残疾人福利性单位声明函</w:t>
      </w:r>
    </w:p>
    <w:p w14:paraId="536FB3FD">
      <w:pPr>
        <w:adjustRightInd w:val="0"/>
        <w:snapToGrid w:val="0"/>
        <w:spacing w:line="360" w:lineRule="auto"/>
        <w:jc w:val="center"/>
        <w:rPr>
          <w:rFonts w:hint="default" w:ascii="Times New Roman" w:hAnsi="Times New Roman" w:cs="Times New Roman" w:eastAsiaTheme="minorEastAsia"/>
          <w:b/>
          <w:color w:val="auto"/>
          <w:spacing w:val="6"/>
          <w:szCs w:val="21"/>
          <w:highlight w:val="none"/>
        </w:rPr>
      </w:pPr>
      <w:r>
        <w:rPr>
          <w:rFonts w:hint="default" w:ascii="Times New Roman" w:hAnsi="Times New Roman" w:cs="Times New Roman" w:eastAsiaTheme="minorEastAsia"/>
          <w:b/>
          <w:color w:val="auto"/>
          <w:spacing w:val="6"/>
          <w:szCs w:val="21"/>
          <w:highlight w:val="none"/>
        </w:rPr>
        <w:t>(不属于残疾人福利性单位的无需填写)</w:t>
      </w:r>
    </w:p>
    <w:p w14:paraId="05D22FA1">
      <w:pPr>
        <w:adjustRightInd w:val="0"/>
        <w:snapToGrid w:val="0"/>
        <w:spacing w:line="360" w:lineRule="auto"/>
        <w:ind w:firstLine="444" w:firstLineChars="200"/>
        <w:rPr>
          <w:rFonts w:hint="default" w:ascii="Times New Roman" w:hAnsi="Times New Roman" w:cs="Times New Roman" w:eastAsiaTheme="minorEastAsia"/>
          <w:color w:val="auto"/>
          <w:spacing w:val="6"/>
          <w:szCs w:val="21"/>
          <w:highlight w:val="none"/>
        </w:rPr>
      </w:pPr>
    </w:p>
    <w:p w14:paraId="395ABA88">
      <w:pPr>
        <w:adjustRightInd w:val="0"/>
        <w:snapToGrid w:val="0"/>
        <w:spacing w:line="360" w:lineRule="auto"/>
        <w:ind w:firstLine="444" w:firstLineChars="200"/>
        <w:rPr>
          <w:rFonts w:hint="default" w:ascii="Times New Roman" w:hAnsi="Times New Roman" w:cs="Times New Roman" w:eastAsiaTheme="minorEastAsia"/>
          <w:color w:val="auto"/>
          <w:spacing w:val="6"/>
          <w:szCs w:val="21"/>
          <w:highlight w:val="none"/>
        </w:rPr>
      </w:pPr>
      <w:r>
        <w:rPr>
          <w:rFonts w:hint="default" w:ascii="Times New Roman" w:hAnsi="Times New Roman" w:cs="Times New Roman" w:eastAsiaTheme="minorEastAsia"/>
          <w:color w:val="auto"/>
          <w:spacing w:val="6"/>
          <w:szCs w:val="21"/>
          <w:highlight w:val="none"/>
        </w:rPr>
        <w:t>本单位郑重声明，根据《财政部 民政部 中国残疾人联合会关于促进残疾人就业政府采购政策的通知》（财库</w:t>
      </w:r>
      <w:r>
        <w:rPr>
          <w:rFonts w:hint="default" w:ascii="Times New Roman" w:hAnsi="Times New Roman" w:cs="Times New Roman" w:eastAsiaTheme="minorEastAsia"/>
          <w:color w:val="auto"/>
          <w:szCs w:val="21"/>
          <w:highlight w:val="none"/>
        </w:rPr>
        <w:t>〔2017〕141</w:t>
      </w:r>
      <w:r>
        <w:rPr>
          <w:rFonts w:hint="default" w:ascii="Times New Roman" w:hAnsi="Times New Roman" w:cs="Times New Roman" w:eastAsiaTheme="minorEastAsia"/>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D90399C">
      <w:pPr>
        <w:adjustRightInd w:val="0"/>
        <w:snapToGrid w:val="0"/>
        <w:spacing w:line="360" w:lineRule="auto"/>
        <w:ind w:firstLine="444" w:firstLineChars="200"/>
        <w:rPr>
          <w:rFonts w:hint="default" w:ascii="Times New Roman" w:hAnsi="Times New Roman" w:cs="Times New Roman" w:eastAsiaTheme="minorEastAsia"/>
          <w:color w:val="auto"/>
          <w:spacing w:val="6"/>
          <w:szCs w:val="21"/>
          <w:highlight w:val="none"/>
        </w:rPr>
      </w:pPr>
      <w:r>
        <w:rPr>
          <w:rFonts w:hint="default" w:ascii="Times New Roman" w:hAnsi="Times New Roman" w:cs="Times New Roman" w:eastAsiaTheme="minorEastAsia"/>
          <w:color w:val="auto"/>
          <w:spacing w:val="6"/>
          <w:szCs w:val="21"/>
          <w:highlight w:val="none"/>
        </w:rPr>
        <w:t>本单位对上述声明的真实性负责。如有虚假，将依法承担相应责任。</w:t>
      </w:r>
    </w:p>
    <w:p w14:paraId="77FEFD7C">
      <w:pPr>
        <w:adjustRightInd w:val="0"/>
        <w:snapToGrid w:val="0"/>
        <w:spacing w:line="360" w:lineRule="auto"/>
        <w:ind w:firstLine="444" w:firstLineChars="200"/>
        <w:rPr>
          <w:rFonts w:hint="default" w:ascii="Times New Roman" w:hAnsi="Times New Roman" w:cs="Times New Roman" w:eastAsiaTheme="minorEastAsia"/>
          <w:color w:val="auto"/>
          <w:spacing w:val="6"/>
          <w:szCs w:val="21"/>
          <w:highlight w:val="none"/>
        </w:rPr>
      </w:pPr>
    </w:p>
    <w:p w14:paraId="461DBE4D">
      <w:pPr>
        <w:adjustRightInd w:val="0"/>
        <w:snapToGrid w:val="0"/>
        <w:spacing w:line="360" w:lineRule="auto"/>
        <w:ind w:firstLine="444" w:firstLineChars="200"/>
        <w:rPr>
          <w:rFonts w:hint="default" w:ascii="Times New Roman" w:hAnsi="Times New Roman" w:cs="Times New Roman" w:eastAsiaTheme="minorEastAsia"/>
          <w:color w:val="auto"/>
          <w:spacing w:val="6"/>
          <w:szCs w:val="21"/>
          <w:highlight w:val="none"/>
        </w:rPr>
      </w:pPr>
    </w:p>
    <w:p w14:paraId="35AB8698">
      <w:pPr>
        <w:tabs>
          <w:tab w:val="left" w:pos="4860"/>
        </w:tabs>
        <w:adjustRightInd w:val="0"/>
        <w:snapToGrid w:val="0"/>
        <w:spacing w:line="360" w:lineRule="auto"/>
        <w:ind w:right="1560" w:firstLine="444" w:firstLineChars="200"/>
        <w:jc w:val="center"/>
        <w:rPr>
          <w:rFonts w:hint="default" w:ascii="Times New Roman" w:hAnsi="Times New Roman" w:cs="Times New Roman" w:eastAsiaTheme="minorEastAsia"/>
          <w:color w:val="auto"/>
          <w:spacing w:val="6"/>
          <w:szCs w:val="21"/>
          <w:highlight w:val="none"/>
        </w:rPr>
      </w:pPr>
      <w:r>
        <w:rPr>
          <w:rFonts w:hint="default" w:ascii="Times New Roman" w:hAnsi="Times New Roman" w:cs="Times New Roman" w:eastAsiaTheme="minorEastAsia"/>
          <w:color w:val="auto"/>
          <w:spacing w:val="6"/>
          <w:szCs w:val="21"/>
          <w:highlight w:val="none"/>
        </w:rPr>
        <w:t xml:space="preserve">               单位名称（盖章）：</w:t>
      </w:r>
    </w:p>
    <w:p w14:paraId="3E52CCCC">
      <w:pPr>
        <w:tabs>
          <w:tab w:val="left" w:pos="4860"/>
        </w:tabs>
        <w:adjustRightInd w:val="0"/>
        <w:snapToGrid w:val="0"/>
        <w:spacing w:line="360" w:lineRule="auto"/>
        <w:ind w:right="1560" w:firstLine="444" w:firstLineChars="200"/>
        <w:jc w:val="center"/>
        <w:rPr>
          <w:rFonts w:hint="default" w:ascii="Times New Roman" w:hAnsi="Times New Roman" w:cs="Times New Roman" w:eastAsiaTheme="minorEastAsia"/>
          <w:color w:val="auto"/>
          <w:spacing w:val="6"/>
          <w:szCs w:val="21"/>
          <w:highlight w:val="none"/>
        </w:rPr>
      </w:pPr>
      <w:r>
        <w:rPr>
          <w:rFonts w:hint="default" w:ascii="Times New Roman" w:hAnsi="Times New Roman" w:cs="Times New Roman" w:eastAsiaTheme="minorEastAsia"/>
          <w:color w:val="auto"/>
          <w:spacing w:val="6"/>
          <w:szCs w:val="21"/>
          <w:highlight w:val="none"/>
        </w:rPr>
        <w:t xml:space="preserve">       日  期：</w:t>
      </w:r>
    </w:p>
    <w:p w14:paraId="1C881362">
      <w:pPr>
        <w:widowControl/>
        <w:adjustRightInd w:val="0"/>
        <w:snapToGrid w:val="0"/>
        <w:spacing w:line="360" w:lineRule="auto"/>
        <w:jc w:val="left"/>
        <w:rPr>
          <w:rFonts w:hint="default" w:ascii="Times New Roman" w:hAnsi="Times New Roman" w:cs="Times New Roman" w:eastAsiaTheme="minorEastAsia"/>
          <w:color w:val="auto"/>
          <w:kern w:val="0"/>
          <w:szCs w:val="21"/>
          <w:highlight w:val="none"/>
        </w:rPr>
      </w:pPr>
    </w:p>
    <w:p w14:paraId="669CF43D">
      <w:pPr>
        <w:keepNext/>
        <w:keepLines/>
        <w:widowControl w:val="0"/>
        <w:spacing w:before="260" w:after="260" w:line="416" w:lineRule="auto"/>
        <w:jc w:val="both"/>
        <w:outlineLvl w:val="2"/>
        <w:rPr>
          <w:rFonts w:hint="default" w:ascii="Times New Roman" w:hAnsi="Times New Roman" w:cs="Times New Roman" w:eastAsiaTheme="minorEastAsia"/>
          <w:b/>
          <w:bCs/>
          <w:color w:val="auto"/>
          <w:kern w:val="2"/>
          <w:sz w:val="21"/>
          <w:szCs w:val="21"/>
          <w:highlight w:val="none"/>
          <w:lang w:val="en-US" w:eastAsia="zh-CN" w:bidi="ar-SA"/>
        </w:rPr>
      </w:pPr>
      <w:r>
        <w:rPr>
          <w:rFonts w:hint="default" w:ascii="Times New Roman" w:hAnsi="Times New Roman" w:cs="Times New Roman" w:eastAsiaTheme="minorEastAsia"/>
          <w:b/>
          <w:bCs/>
          <w:color w:val="auto"/>
          <w:spacing w:val="6"/>
          <w:kern w:val="0"/>
          <w:sz w:val="32"/>
          <w:szCs w:val="32"/>
          <w:highlight w:val="none"/>
          <w:lang w:val="en-US" w:eastAsia="zh-CN" w:bidi="ar-SA"/>
        </w:rPr>
        <w:br w:type="page"/>
      </w:r>
      <w:bookmarkStart w:id="810" w:name="_Toc19449"/>
      <w:bookmarkStart w:id="811" w:name="_Toc34637807"/>
      <w:bookmarkStart w:id="812" w:name="_Toc13220"/>
      <w:bookmarkStart w:id="813" w:name="_Toc1057"/>
      <w:bookmarkStart w:id="814" w:name="_Toc22201165"/>
      <w:bookmarkStart w:id="815" w:name="_Toc14036"/>
      <w:bookmarkStart w:id="816" w:name="_Toc7801"/>
      <w:r>
        <w:rPr>
          <w:rFonts w:hint="default" w:ascii="Times New Roman" w:hAnsi="Times New Roman" w:cs="Times New Roman" w:eastAsiaTheme="minorEastAsia"/>
          <w:b/>
          <w:bCs/>
          <w:color w:val="auto"/>
          <w:kern w:val="0"/>
          <w:sz w:val="21"/>
          <w:szCs w:val="21"/>
          <w:highlight w:val="none"/>
          <w:lang w:val="en-US" w:eastAsia="zh-CN" w:bidi="ar-SA"/>
        </w:rPr>
        <w:t xml:space="preserve">附件9-3 </w:t>
      </w:r>
      <w:r>
        <w:rPr>
          <w:rFonts w:hint="default" w:ascii="Times New Roman" w:hAnsi="Times New Roman" w:cs="Times New Roman" w:eastAsiaTheme="minorEastAsia"/>
          <w:b/>
          <w:bCs/>
          <w:color w:val="auto"/>
          <w:kern w:val="2"/>
          <w:sz w:val="21"/>
          <w:szCs w:val="21"/>
          <w:highlight w:val="none"/>
          <w:lang w:val="en-US" w:eastAsia="zh-CN" w:bidi="ar-SA"/>
        </w:rPr>
        <w:t>监狱企业证明资料</w:t>
      </w:r>
      <w:bookmarkEnd w:id="810"/>
      <w:bookmarkEnd w:id="811"/>
      <w:bookmarkEnd w:id="812"/>
      <w:bookmarkEnd w:id="813"/>
      <w:bookmarkEnd w:id="814"/>
      <w:bookmarkEnd w:id="815"/>
      <w:bookmarkEnd w:id="816"/>
    </w:p>
    <w:p w14:paraId="7843D94F">
      <w:pPr>
        <w:adjustRightInd w:val="0"/>
        <w:snapToGrid w:val="0"/>
        <w:spacing w:line="360" w:lineRule="auto"/>
        <w:jc w:val="center"/>
        <w:rPr>
          <w:rFonts w:hint="default" w:ascii="Times New Roman" w:hAnsi="Times New Roman" w:cs="Times New Roman" w:eastAsiaTheme="minorEastAsia"/>
          <w:b/>
          <w:color w:val="auto"/>
          <w:sz w:val="28"/>
          <w:szCs w:val="28"/>
          <w:highlight w:val="none"/>
        </w:rPr>
      </w:pPr>
      <w:r>
        <w:rPr>
          <w:rFonts w:hint="default" w:ascii="Times New Roman" w:hAnsi="Times New Roman" w:cs="Times New Roman" w:eastAsiaTheme="minorEastAsia"/>
          <w:b/>
          <w:color w:val="auto"/>
          <w:sz w:val="28"/>
          <w:szCs w:val="28"/>
          <w:highlight w:val="none"/>
        </w:rPr>
        <w:t>监狱企业证明资料</w:t>
      </w:r>
    </w:p>
    <w:p w14:paraId="6E174DEF">
      <w:pPr>
        <w:adjustRightInd w:val="0"/>
        <w:snapToGrid w:val="0"/>
        <w:spacing w:line="360" w:lineRule="auto"/>
        <w:jc w:val="center"/>
        <w:rPr>
          <w:rFonts w:hint="default" w:ascii="Times New Roman" w:hAnsi="Times New Roman" w:cs="Times New Roman" w:eastAsiaTheme="minorEastAsia"/>
          <w:b/>
          <w:color w:val="auto"/>
          <w:spacing w:val="6"/>
          <w:szCs w:val="21"/>
          <w:highlight w:val="none"/>
        </w:rPr>
      </w:pPr>
      <w:r>
        <w:rPr>
          <w:rFonts w:hint="default" w:ascii="Times New Roman" w:hAnsi="Times New Roman" w:cs="Times New Roman" w:eastAsiaTheme="minorEastAsia"/>
          <w:b/>
          <w:color w:val="auto"/>
          <w:spacing w:val="6"/>
          <w:szCs w:val="21"/>
          <w:highlight w:val="none"/>
        </w:rPr>
        <w:t>(不属于监狱企业的无需提供)</w:t>
      </w:r>
    </w:p>
    <w:p w14:paraId="66859A4D">
      <w:pPr>
        <w:adjustRightInd w:val="0"/>
        <w:snapToGrid w:val="0"/>
        <w:spacing w:line="360" w:lineRule="auto"/>
        <w:rPr>
          <w:rFonts w:hint="default" w:ascii="Times New Roman" w:hAnsi="Times New Roman" w:cs="Times New Roman" w:eastAsiaTheme="minorEastAsia"/>
          <w:color w:val="auto"/>
          <w:szCs w:val="21"/>
          <w:highlight w:val="none"/>
        </w:rPr>
      </w:pPr>
    </w:p>
    <w:p w14:paraId="0841CAB2">
      <w:pPr>
        <w:adjustRightInd w:val="0"/>
        <w:snapToGrid w:val="0"/>
        <w:spacing w:line="360" w:lineRule="auto"/>
        <w:ind w:firstLine="444"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Cs/>
          <w:color w:val="auto"/>
          <w:spacing w:val="6"/>
          <w:kern w:val="0"/>
          <w:szCs w:val="21"/>
          <w:highlight w:val="none"/>
        </w:rPr>
        <w:t>备注：</w:t>
      </w:r>
      <w:r>
        <w:rPr>
          <w:rFonts w:hint="default" w:ascii="Times New Roman" w:hAnsi="Times New Roman" w:cs="Times New Roman" w:eastAsiaTheme="minorEastAsia"/>
          <w:color w:val="auto"/>
          <w:szCs w:val="21"/>
          <w:highlight w:val="none"/>
        </w:rPr>
        <w:t>按</w:t>
      </w:r>
      <w:r>
        <w:rPr>
          <w:rFonts w:hint="default" w:ascii="Times New Roman" w:hAnsi="Times New Roman" w:cs="Times New Roman" w:eastAsiaTheme="minorEastAsia"/>
          <w:color w:val="auto"/>
          <w:spacing w:val="6"/>
          <w:szCs w:val="21"/>
          <w:highlight w:val="none"/>
        </w:rPr>
        <w:t>《</w:t>
      </w:r>
      <w:r>
        <w:rPr>
          <w:rFonts w:hint="default" w:ascii="Times New Roman" w:hAnsi="Times New Roman" w:cs="Times New Roman" w:eastAsiaTheme="minorEastAsia"/>
          <w:color w:val="auto"/>
          <w:szCs w:val="21"/>
          <w:highlight w:val="none"/>
        </w:rPr>
        <w:t>财政部 司法部关于政府采购支持监狱企业发展有关问题的通知</w:t>
      </w:r>
      <w:r>
        <w:rPr>
          <w:rFonts w:hint="default" w:ascii="Times New Roman" w:hAnsi="Times New Roman" w:cs="Times New Roman" w:eastAsiaTheme="minorEastAsia"/>
          <w:color w:val="auto"/>
          <w:spacing w:val="6"/>
          <w:szCs w:val="21"/>
          <w:highlight w:val="none"/>
        </w:rPr>
        <w:t>》</w:t>
      </w:r>
      <w:r>
        <w:rPr>
          <w:rFonts w:hint="default" w:ascii="Times New Roman" w:hAnsi="Times New Roman" w:cs="Times New Roman" w:eastAsiaTheme="minorEastAsia"/>
          <w:color w:val="auto"/>
          <w:szCs w:val="21"/>
          <w:highlight w:val="none"/>
        </w:rPr>
        <w:t>(财库〔2014〕68号)文件规定提供证明文件（复印件）。</w:t>
      </w:r>
    </w:p>
    <w:p w14:paraId="6520493B">
      <w:pPr>
        <w:adjustRightInd w:val="0"/>
        <w:snapToGrid w:val="0"/>
        <w:spacing w:line="360" w:lineRule="auto"/>
        <w:ind w:firstLine="420" w:firstLineChars="200"/>
        <w:rPr>
          <w:rFonts w:hint="default" w:ascii="Times New Roman" w:hAnsi="Times New Roman" w:cs="Times New Roman" w:eastAsiaTheme="minorEastAsia"/>
          <w:color w:val="auto"/>
          <w:szCs w:val="21"/>
          <w:highlight w:val="none"/>
        </w:rPr>
      </w:pPr>
    </w:p>
    <w:p w14:paraId="30BF9A97">
      <w:pPr>
        <w:adjustRightInd w:val="0"/>
        <w:snapToGrid w:val="0"/>
        <w:spacing w:line="360" w:lineRule="auto"/>
        <w:ind w:firstLine="420" w:firstLineChars="200"/>
        <w:rPr>
          <w:rFonts w:hint="default" w:ascii="Times New Roman" w:hAnsi="Times New Roman" w:cs="Times New Roman" w:eastAsiaTheme="minorEastAsia"/>
          <w:color w:val="auto"/>
          <w:szCs w:val="21"/>
          <w:highlight w:val="none"/>
        </w:rPr>
      </w:pPr>
    </w:p>
    <w:p w14:paraId="56967955">
      <w:pPr>
        <w:keepNext/>
        <w:keepLines/>
        <w:widowControl w:val="0"/>
        <w:spacing w:before="260" w:after="260" w:line="416" w:lineRule="auto"/>
        <w:jc w:val="both"/>
        <w:outlineLvl w:val="2"/>
        <w:rPr>
          <w:rFonts w:hint="default" w:ascii="Times New Roman" w:hAnsi="Times New Roman" w:cs="Times New Roman" w:eastAsiaTheme="minorEastAsia"/>
          <w:b/>
          <w:bCs/>
          <w:color w:val="auto"/>
          <w:kern w:val="2"/>
          <w:sz w:val="21"/>
          <w:szCs w:val="21"/>
          <w:highlight w:val="none"/>
          <w:lang w:val="en-US" w:eastAsia="zh-CN" w:bidi="ar-SA"/>
        </w:rPr>
      </w:pPr>
      <w:r>
        <w:rPr>
          <w:rFonts w:hint="default" w:ascii="Times New Roman" w:hAnsi="Times New Roman" w:cs="Times New Roman" w:eastAsiaTheme="minorEastAsia"/>
          <w:b/>
          <w:bCs/>
          <w:color w:val="auto"/>
          <w:spacing w:val="6"/>
          <w:kern w:val="0"/>
          <w:sz w:val="32"/>
          <w:szCs w:val="32"/>
          <w:highlight w:val="none"/>
          <w:lang w:val="en-US" w:eastAsia="zh-CN" w:bidi="ar-SA"/>
        </w:rPr>
        <w:br w:type="page"/>
      </w:r>
      <w:bookmarkStart w:id="817" w:name="_Toc34637808"/>
      <w:bookmarkStart w:id="818" w:name="_Toc28135"/>
      <w:bookmarkStart w:id="819" w:name="_Toc18296"/>
      <w:bookmarkStart w:id="820" w:name="_Toc7265"/>
      <w:bookmarkStart w:id="821" w:name="_Toc6753"/>
      <w:bookmarkStart w:id="822" w:name="_Toc22201166"/>
      <w:bookmarkStart w:id="823" w:name="_Toc27292"/>
      <w:r>
        <w:rPr>
          <w:rFonts w:hint="default" w:ascii="Times New Roman" w:hAnsi="Times New Roman" w:cs="Times New Roman" w:eastAsiaTheme="minorEastAsia"/>
          <w:b/>
          <w:bCs/>
          <w:color w:val="auto"/>
          <w:spacing w:val="6"/>
          <w:kern w:val="0"/>
          <w:sz w:val="21"/>
          <w:szCs w:val="21"/>
          <w:highlight w:val="none"/>
          <w:lang w:val="en-US" w:eastAsia="zh-CN" w:bidi="ar-SA"/>
        </w:rPr>
        <w:t xml:space="preserve">附件9-4 </w:t>
      </w:r>
      <w:r>
        <w:rPr>
          <w:rFonts w:hint="default" w:ascii="Times New Roman" w:hAnsi="Times New Roman" w:cs="Times New Roman" w:eastAsiaTheme="minorEastAsia"/>
          <w:b/>
          <w:bCs/>
          <w:color w:val="auto"/>
          <w:kern w:val="2"/>
          <w:sz w:val="21"/>
          <w:szCs w:val="21"/>
          <w:highlight w:val="none"/>
          <w:lang w:val="en-US" w:eastAsia="zh-CN" w:bidi="ar-SA"/>
        </w:rPr>
        <w:t>强制采购或者优先采购产品的证明材料</w:t>
      </w:r>
      <w:bookmarkEnd w:id="817"/>
      <w:bookmarkEnd w:id="818"/>
      <w:bookmarkEnd w:id="819"/>
      <w:bookmarkEnd w:id="820"/>
      <w:bookmarkEnd w:id="821"/>
      <w:bookmarkEnd w:id="822"/>
      <w:bookmarkEnd w:id="823"/>
    </w:p>
    <w:p w14:paraId="55206754">
      <w:pPr>
        <w:adjustRightInd w:val="0"/>
        <w:snapToGrid w:val="0"/>
        <w:spacing w:line="360" w:lineRule="auto"/>
        <w:jc w:val="center"/>
        <w:rPr>
          <w:rFonts w:hint="default" w:ascii="Times New Roman" w:hAnsi="Times New Roman" w:cs="Times New Roman" w:eastAsiaTheme="minorEastAsia"/>
          <w:b/>
          <w:color w:val="auto"/>
          <w:sz w:val="28"/>
          <w:szCs w:val="28"/>
          <w:highlight w:val="none"/>
        </w:rPr>
      </w:pPr>
      <w:r>
        <w:rPr>
          <w:rFonts w:hint="default" w:ascii="Times New Roman" w:hAnsi="Times New Roman" w:cs="Times New Roman" w:eastAsiaTheme="minorEastAsia"/>
          <w:b/>
          <w:color w:val="auto"/>
          <w:sz w:val="28"/>
          <w:szCs w:val="28"/>
          <w:highlight w:val="none"/>
        </w:rPr>
        <w:t>强制采购或者优先采购产品</w:t>
      </w:r>
      <w:r>
        <w:rPr>
          <w:rFonts w:hint="default" w:ascii="Times New Roman" w:hAnsi="Times New Roman" w:cs="Times New Roman" w:eastAsiaTheme="minorEastAsia"/>
          <w:b/>
          <w:bCs/>
          <w:color w:val="auto"/>
          <w:sz w:val="28"/>
          <w:szCs w:val="28"/>
          <w:highlight w:val="none"/>
        </w:rPr>
        <w:t>的</w:t>
      </w:r>
      <w:r>
        <w:rPr>
          <w:rFonts w:hint="default" w:ascii="Times New Roman" w:hAnsi="Times New Roman" w:cs="Times New Roman" w:eastAsiaTheme="minorEastAsia"/>
          <w:b/>
          <w:color w:val="auto"/>
          <w:sz w:val="28"/>
          <w:szCs w:val="28"/>
          <w:highlight w:val="none"/>
        </w:rPr>
        <w:t>证明材料</w:t>
      </w:r>
    </w:p>
    <w:p w14:paraId="6A4BC57C">
      <w:pPr>
        <w:adjustRightInd w:val="0"/>
        <w:snapToGrid w:val="0"/>
        <w:spacing w:line="360" w:lineRule="auto"/>
        <w:jc w:val="center"/>
        <w:rPr>
          <w:rFonts w:hint="default" w:ascii="Times New Roman" w:hAnsi="Times New Roman" w:cs="Times New Roman" w:eastAsiaTheme="minorEastAsia"/>
          <w:b/>
          <w:color w:val="auto"/>
          <w:spacing w:val="6"/>
          <w:szCs w:val="21"/>
          <w:highlight w:val="none"/>
        </w:rPr>
      </w:pPr>
      <w:r>
        <w:rPr>
          <w:rFonts w:hint="default" w:ascii="Times New Roman" w:hAnsi="Times New Roman" w:cs="Times New Roman" w:eastAsiaTheme="minorEastAsia"/>
          <w:b/>
          <w:color w:val="auto"/>
          <w:spacing w:val="6"/>
          <w:szCs w:val="21"/>
          <w:highlight w:val="none"/>
        </w:rPr>
        <w:t>(不属于强制采购或者优先采购产品的无需提供)</w:t>
      </w:r>
    </w:p>
    <w:p w14:paraId="04959E9C">
      <w:pPr>
        <w:adjustRightInd w:val="0"/>
        <w:snapToGrid w:val="0"/>
        <w:spacing w:line="360" w:lineRule="auto"/>
        <w:ind w:firstLine="420" w:firstLineChars="200"/>
        <w:jc w:val="left"/>
        <w:rPr>
          <w:rFonts w:hint="default" w:ascii="Times New Roman" w:hAnsi="Times New Roman" w:cs="Times New Roman" w:eastAsiaTheme="minorEastAsia"/>
          <w:color w:val="auto"/>
          <w:szCs w:val="21"/>
          <w:highlight w:val="none"/>
        </w:rPr>
      </w:pPr>
    </w:p>
    <w:p w14:paraId="350BC278">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说明：1、供应商提供的产品</w:t>
      </w:r>
      <w:r>
        <w:rPr>
          <w:rFonts w:hint="default" w:ascii="Times New Roman" w:hAnsi="Times New Roman" w:cs="Times New Roman" w:eastAsiaTheme="minorEastAsia"/>
          <w:bCs/>
          <w:color w:val="auto"/>
          <w:szCs w:val="21"/>
          <w:highlight w:val="none"/>
        </w:rPr>
        <w:t>属于强制采购或者优先采购的</w:t>
      </w:r>
      <w:r>
        <w:rPr>
          <w:rFonts w:hint="default" w:ascii="Times New Roman" w:hAnsi="Times New Roman" w:cs="Times New Roman" w:eastAsiaTheme="minorEastAsia"/>
          <w:color w:val="auto"/>
          <w:szCs w:val="21"/>
          <w:highlight w:val="none"/>
        </w:rPr>
        <w:t>，应按第二章第二节第37条规定提供证明材料和本章本节附页2“优先采购产品清单”，并加盖供应商单位公章。</w:t>
      </w:r>
    </w:p>
    <w:p w14:paraId="6904F770">
      <w:pPr>
        <w:adjustRightInd w:val="0"/>
        <w:snapToGrid w:val="0"/>
        <w:spacing w:line="360" w:lineRule="auto"/>
        <w:ind w:firstLine="630" w:firstLineChars="300"/>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2、节能产品、环境标志产品(强制采购或者优先采购产品)认证证书内容注明“详见证书附件”的，应提供其附件，以证明认证证书与响应文件一致。</w:t>
      </w:r>
    </w:p>
    <w:p w14:paraId="1A29B7EE">
      <w:pPr>
        <w:adjustRightInd w:val="0"/>
        <w:snapToGrid w:val="0"/>
        <w:spacing w:line="360" w:lineRule="auto"/>
        <w:ind w:firstLine="420" w:firstLineChars="200"/>
        <w:jc w:val="left"/>
        <w:rPr>
          <w:rFonts w:hint="default" w:ascii="Times New Roman" w:hAnsi="Times New Roman" w:cs="Times New Roman" w:eastAsiaTheme="minorEastAsia"/>
          <w:color w:val="auto"/>
          <w:szCs w:val="21"/>
          <w:highlight w:val="none"/>
        </w:rPr>
      </w:pPr>
    </w:p>
    <w:p w14:paraId="6F75E0EB">
      <w:pPr>
        <w:rPr>
          <w:rFonts w:hint="default" w:ascii="Times New Roman" w:hAnsi="Times New Roman" w:cs="Times New Roman" w:eastAsiaTheme="minorEastAsia"/>
          <w:color w:val="auto"/>
          <w:highlight w:val="none"/>
        </w:rPr>
      </w:pPr>
    </w:p>
    <w:p w14:paraId="2D1DF79E">
      <w:pPr>
        <w:widowControl w:val="0"/>
        <w:spacing w:after="120"/>
        <w:ind w:left="420" w:leftChars="200" w:firstLine="420" w:firstLineChars="200"/>
        <w:jc w:val="both"/>
        <w:rPr>
          <w:rFonts w:hint="default" w:ascii="Times New Roman" w:hAnsi="Times New Roman" w:cs="Times New Roman" w:eastAsiaTheme="minorEastAsia"/>
          <w:color w:val="auto"/>
          <w:kern w:val="2"/>
          <w:sz w:val="21"/>
          <w:szCs w:val="24"/>
          <w:highlight w:val="none"/>
          <w:lang w:val="en-US" w:eastAsia="zh-CN" w:bidi="ar-SA"/>
        </w:rPr>
      </w:pPr>
    </w:p>
    <w:p w14:paraId="5B330E1B">
      <w:pPr>
        <w:rPr>
          <w:rFonts w:hint="default" w:ascii="Times New Roman" w:hAnsi="Times New Roman" w:cs="Times New Roman" w:eastAsiaTheme="minorEastAsia"/>
          <w:color w:val="auto"/>
          <w:highlight w:val="none"/>
        </w:rPr>
      </w:pPr>
    </w:p>
    <w:p w14:paraId="3F2C2851">
      <w:pPr>
        <w:widowControl w:val="0"/>
        <w:spacing w:after="120"/>
        <w:ind w:left="420" w:leftChars="200" w:firstLine="420" w:firstLineChars="200"/>
        <w:jc w:val="both"/>
        <w:rPr>
          <w:rFonts w:hint="default" w:ascii="Times New Roman" w:hAnsi="Times New Roman" w:cs="Times New Roman" w:eastAsiaTheme="minorEastAsia"/>
          <w:color w:val="auto"/>
          <w:kern w:val="2"/>
          <w:sz w:val="21"/>
          <w:szCs w:val="24"/>
          <w:highlight w:val="none"/>
          <w:lang w:val="en-US" w:eastAsia="zh-CN" w:bidi="ar-SA"/>
        </w:rPr>
      </w:pPr>
    </w:p>
    <w:p w14:paraId="33A44639">
      <w:pPr>
        <w:rPr>
          <w:rFonts w:hint="default" w:ascii="Times New Roman" w:hAnsi="Times New Roman" w:cs="Times New Roman" w:eastAsiaTheme="minorEastAsia"/>
          <w:color w:val="auto"/>
          <w:highlight w:val="none"/>
        </w:rPr>
      </w:pPr>
    </w:p>
    <w:p w14:paraId="254ED679">
      <w:pPr>
        <w:widowControl w:val="0"/>
        <w:spacing w:after="120"/>
        <w:ind w:left="420" w:leftChars="200" w:firstLine="420" w:firstLineChars="200"/>
        <w:jc w:val="both"/>
        <w:rPr>
          <w:rFonts w:hint="default" w:ascii="Times New Roman" w:hAnsi="Times New Roman" w:cs="Times New Roman" w:eastAsiaTheme="minorEastAsia"/>
          <w:color w:val="auto"/>
          <w:kern w:val="2"/>
          <w:sz w:val="21"/>
          <w:szCs w:val="24"/>
          <w:highlight w:val="none"/>
          <w:lang w:val="en-US" w:eastAsia="zh-CN" w:bidi="ar-SA"/>
        </w:rPr>
      </w:pPr>
    </w:p>
    <w:p w14:paraId="6FFAAABC">
      <w:pPr>
        <w:rPr>
          <w:rFonts w:hint="default" w:ascii="Times New Roman" w:hAnsi="Times New Roman" w:cs="Times New Roman" w:eastAsiaTheme="minorEastAsia"/>
          <w:color w:val="auto"/>
          <w:spacing w:val="6"/>
          <w:kern w:val="0"/>
          <w:sz w:val="21"/>
          <w:szCs w:val="21"/>
          <w:highlight w:val="none"/>
        </w:rPr>
      </w:pPr>
      <w:bookmarkStart w:id="824" w:name="_Toc22201167"/>
      <w:r>
        <w:rPr>
          <w:rFonts w:hint="default" w:ascii="Times New Roman" w:hAnsi="Times New Roman" w:cs="Times New Roman" w:eastAsiaTheme="minorEastAsia"/>
          <w:color w:val="auto"/>
          <w:spacing w:val="6"/>
          <w:kern w:val="0"/>
          <w:sz w:val="21"/>
          <w:szCs w:val="21"/>
          <w:highlight w:val="none"/>
        </w:rPr>
        <w:br w:type="page"/>
      </w:r>
    </w:p>
    <w:p w14:paraId="415845C2">
      <w:pPr>
        <w:keepNext/>
        <w:keepLines/>
        <w:widowControl w:val="0"/>
        <w:spacing w:before="280" w:after="290" w:line="376" w:lineRule="auto"/>
        <w:jc w:val="both"/>
        <w:outlineLvl w:val="3"/>
        <w:rPr>
          <w:rFonts w:hint="default" w:ascii="Times New Roman" w:hAnsi="Times New Roman" w:cs="Times New Roman" w:eastAsiaTheme="minorEastAsia"/>
          <w:b/>
          <w:bCs/>
          <w:color w:val="auto"/>
          <w:kern w:val="2"/>
          <w:sz w:val="21"/>
          <w:szCs w:val="21"/>
          <w:highlight w:val="none"/>
          <w:lang w:val="en-US" w:eastAsia="zh-CN" w:bidi="ar-SA"/>
        </w:rPr>
      </w:pPr>
      <w:r>
        <w:rPr>
          <w:rFonts w:hint="default" w:ascii="Times New Roman" w:hAnsi="Times New Roman" w:cs="Times New Roman" w:eastAsiaTheme="minorEastAsia"/>
          <w:b/>
          <w:bCs/>
          <w:color w:val="auto"/>
          <w:spacing w:val="6"/>
          <w:kern w:val="0"/>
          <w:sz w:val="21"/>
          <w:szCs w:val="21"/>
          <w:highlight w:val="none"/>
          <w:lang w:val="en-US" w:eastAsia="zh-CN" w:bidi="ar-SA"/>
        </w:rPr>
        <w:t xml:space="preserve">附页2 </w:t>
      </w:r>
      <w:r>
        <w:rPr>
          <w:rFonts w:hint="default" w:ascii="Times New Roman" w:hAnsi="Times New Roman" w:cs="Times New Roman" w:eastAsiaTheme="minorEastAsia"/>
          <w:b/>
          <w:bCs/>
          <w:color w:val="auto"/>
          <w:kern w:val="2"/>
          <w:sz w:val="21"/>
          <w:szCs w:val="21"/>
          <w:highlight w:val="none"/>
          <w:lang w:val="en-US" w:eastAsia="zh-CN" w:bidi="ar-SA"/>
        </w:rPr>
        <w:t>优先采购产品清单</w:t>
      </w:r>
      <w:bookmarkEnd w:id="824"/>
    </w:p>
    <w:p w14:paraId="164F3612">
      <w:pPr>
        <w:adjustRightInd w:val="0"/>
        <w:snapToGrid w:val="0"/>
        <w:spacing w:line="360" w:lineRule="auto"/>
        <w:jc w:val="center"/>
        <w:rPr>
          <w:rFonts w:hint="default" w:ascii="Times New Roman" w:hAnsi="Times New Roman" w:cs="Times New Roman" w:eastAsiaTheme="minorEastAsia"/>
          <w:b/>
          <w:color w:val="auto"/>
          <w:spacing w:val="6"/>
          <w:szCs w:val="21"/>
          <w:highlight w:val="none"/>
        </w:rPr>
      </w:pPr>
      <w:r>
        <w:rPr>
          <w:rFonts w:hint="default" w:ascii="Times New Roman" w:hAnsi="Times New Roman" w:cs="Times New Roman" w:eastAsiaTheme="minorEastAsia"/>
          <w:b/>
          <w:color w:val="auto"/>
          <w:sz w:val="28"/>
          <w:szCs w:val="28"/>
          <w:highlight w:val="none"/>
        </w:rPr>
        <w:t>优先采购产品清单</w:t>
      </w:r>
    </w:p>
    <w:p w14:paraId="264A526F">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采购代理编号：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项目名称：</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w:t>
      </w:r>
    </w:p>
    <w:p w14:paraId="105B5AA3">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 xml:space="preserve">包       </w:t>
      </w:r>
      <w:r>
        <w:rPr>
          <w:rFonts w:hint="default" w:ascii="Times New Roman" w:hAnsi="Times New Roman" w:cs="Times New Roman" w:eastAsiaTheme="minorEastAsia"/>
          <w:color w:val="auto"/>
          <w:szCs w:val="21"/>
          <w:highlight w:val="none"/>
          <w:lang w:val="en-US" w:eastAsia="zh-CN"/>
        </w:rPr>
        <w:t xml:space="preserve"> </w:t>
      </w:r>
      <w:r>
        <w:rPr>
          <w:rFonts w:hint="default" w:ascii="Times New Roman" w:hAnsi="Times New Roman" w:cs="Times New Roman" w:eastAsiaTheme="minorEastAsia"/>
          <w:color w:val="auto"/>
          <w:szCs w:val="21"/>
          <w:highlight w:val="none"/>
        </w:rPr>
        <w:t>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rPr>
        <w:t xml:space="preserve">                      包名称：</w:t>
      </w:r>
      <w:r>
        <w:rPr>
          <w:rFonts w:hint="default" w:ascii="Times New Roman" w:hAnsi="Times New Roman" w:cs="Times New Roman" w:eastAsiaTheme="minorEastAsia"/>
          <w:color w:val="auto"/>
          <w:szCs w:val="21"/>
          <w:highlight w:val="none"/>
          <w:lang w:val="en-US" w:eastAsia="zh-CN"/>
        </w:rPr>
        <w:t xml:space="preserve"> </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F3ED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7BFE95ED">
            <w:pPr>
              <w:widowControl/>
              <w:adjustRightInd w:val="0"/>
              <w:snapToGrid w:val="0"/>
              <w:spacing w:line="360" w:lineRule="auto"/>
              <w:ind w:firstLine="480" w:firstLineChars="200"/>
              <w:jc w:val="left"/>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以下为供应商提供的政府采购优先采购产品，供应商对本表的真实性负责。如有虚假，将依法承担相应责任。</w:t>
            </w:r>
          </w:p>
        </w:tc>
      </w:tr>
      <w:tr w14:paraId="491440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0A37C22D">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1</w:t>
            </w:r>
          </w:p>
        </w:tc>
        <w:tc>
          <w:tcPr>
            <w:tcW w:w="1739" w:type="dxa"/>
            <w:vAlign w:val="center"/>
          </w:tcPr>
          <w:p w14:paraId="6E1E2FA7">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2</w:t>
            </w:r>
          </w:p>
        </w:tc>
        <w:tc>
          <w:tcPr>
            <w:tcW w:w="1134" w:type="dxa"/>
            <w:tcBorders>
              <w:right w:val="single" w:color="auto" w:sz="4" w:space="0"/>
            </w:tcBorders>
            <w:vAlign w:val="center"/>
          </w:tcPr>
          <w:p w14:paraId="76B588C2">
            <w:pPr>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3</w:t>
            </w:r>
          </w:p>
        </w:tc>
        <w:tc>
          <w:tcPr>
            <w:tcW w:w="1418" w:type="dxa"/>
            <w:tcBorders>
              <w:left w:val="single" w:color="auto" w:sz="4" w:space="0"/>
            </w:tcBorders>
            <w:vAlign w:val="center"/>
          </w:tcPr>
          <w:p w14:paraId="1909C9B0">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4</w:t>
            </w:r>
          </w:p>
        </w:tc>
        <w:tc>
          <w:tcPr>
            <w:tcW w:w="1984" w:type="dxa"/>
            <w:vAlign w:val="center"/>
          </w:tcPr>
          <w:p w14:paraId="60679373">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5</w:t>
            </w:r>
          </w:p>
        </w:tc>
        <w:tc>
          <w:tcPr>
            <w:tcW w:w="1843" w:type="dxa"/>
            <w:vAlign w:val="center"/>
          </w:tcPr>
          <w:p w14:paraId="1F15B094">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6</w:t>
            </w:r>
          </w:p>
        </w:tc>
      </w:tr>
      <w:tr w14:paraId="154C20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2D3B6B52">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序号</w:t>
            </w:r>
          </w:p>
        </w:tc>
        <w:tc>
          <w:tcPr>
            <w:tcW w:w="1739" w:type="dxa"/>
            <w:vAlign w:val="center"/>
          </w:tcPr>
          <w:p w14:paraId="02955C71">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货物名称</w:t>
            </w:r>
          </w:p>
        </w:tc>
        <w:tc>
          <w:tcPr>
            <w:tcW w:w="1134" w:type="dxa"/>
            <w:tcBorders>
              <w:right w:val="single" w:color="auto" w:sz="4" w:space="0"/>
            </w:tcBorders>
            <w:vAlign w:val="center"/>
          </w:tcPr>
          <w:p w14:paraId="30F14888">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规格型号</w:t>
            </w:r>
          </w:p>
        </w:tc>
        <w:tc>
          <w:tcPr>
            <w:tcW w:w="1418" w:type="dxa"/>
            <w:tcBorders>
              <w:left w:val="single" w:color="auto" w:sz="4" w:space="0"/>
            </w:tcBorders>
            <w:vAlign w:val="center"/>
          </w:tcPr>
          <w:p w14:paraId="7E8AD9A4">
            <w:pPr>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价格（元）</w:t>
            </w:r>
          </w:p>
        </w:tc>
        <w:tc>
          <w:tcPr>
            <w:tcW w:w="1984" w:type="dxa"/>
            <w:vAlign w:val="center"/>
          </w:tcPr>
          <w:p w14:paraId="73A3D1D1">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货物制造商名称</w:t>
            </w:r>
          </w:p>
        </w:tc>
        <w:tc>
          <w:tcPr>
            <w:tcW w:w="1843" w:type="dxa"/>
            <w:vAlign w:val="center"/>
          </w:tcPr>
          <w:p w14:paraId="468B84C0">
            <w:pPr>
              <w:widowControl/>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政策功能编码</w:t>
            </w:r>
          </w:p>
        </w:tc>
      </w:tr>
      <w:tr w14:paraId="10A0B9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194AF3F">
            <w:pPr>
              <w:adjustRightInd w:val="0"/>
              <w:snapToGrid w:val="0"/>
              <w:spacing w:line="360" w:lineRule="auto"/>
              <w:jc w:val="left"/>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节能产品</w:t>
            </w:r>
          </w:p>
        </w:tc>
      </w:tr>
      <w:tr w14:paraId="73065B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B14E995">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739" w:type="dxa"/>
            <w:vAlign w:val="center"/>
          </w:tcPr>
          <w:p w14:paraId="6F26B527">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134" w:type="dxa"/>
            <w:tcBorders>
              <w:right w:val="single" w:color="auto" w:sz="4" w:space="0"/>
            </w:tcBorders>
            <w:vAlign w:val="center"/>
          </w:tcPr>
          <w:p w14:paraId="75D2D863">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418" w:type="dxa"/>
            <w:tcBorders>
              <w:left w:val="single" w:color="auto" w:sz="4" w:space="0"/>
            </w:tcBorders>
            <w:vAlign w:val="center"/>
          </w:tcPr>
          <w:p w14:paraId="41C922FE">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984" w:type="dxa"/>
            <w:vAlign w:val="center"/>
          </w:tcPr>
          <w:p w14:paraId="6F280871">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843" w:type="dxa"/>
          </w:tcPr>
          <w:p w14:paraId="00D78841">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r>
      <w:tr w14:paraId="6FF1F6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B242D8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小计</w:t>
            </w:r>
          </w:p>
        </w:tc>
        <w:tc>
          <w:tcPr>
            <w:tcW w:w="1739" w:type="dxa"/>
            <w:vAlign w:val="center"/>
          </w:tcPr>
          <w:p w14:paraId="0DE1AEF8">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134" w:type="dxa"/>
            <w:tcBorders>
              <w:right w:val="single" w:color="auto" w:sz="4" w:space="0"/>
            </w:tcBorders>
            <w:vAlign w:val="center"/>
          </w:tcPr>
          <w:p w14:paraId="09EF4FF1">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418" w:type="dxa"/>
            <w:tcBorders>
              <w:left w:val="single" w:color="auto" w:sz="4" w:space="0"/>
            </w:tcBorders>
            <w:vAlign w:val="center"/>
          </w:tcPr>
          <w:p w14:paraId="4CB60FAC">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984" w:type="dxa"/>
            <w:vAlign w:val="center"/>
          </w:tcPr>
          <w:p w14:paraId="70266DB3">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843" w:type="dxa"/>
          </w:tcPr>
          <w:p w14:paraId="20C39043">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r>
      <w:tr w14:paraId="3D7B9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54A5AAD0">
            <w:pPr>
              <w:adjustRightInd w:val="0"/>
              <w:snapToGrid w:val="0"/>
              <w:spacing w:line="360" w:lineRule="auto"/>
              <w:jc w:val="left"/>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环境标志产品</w:t>
            </w:r>
          </w:p>
        </w:tc>
      </w:tr>
      <w:tr w14:paraId="57381D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8DC4A26">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739" w:type="dxa"/>
            <w:vAlign w:val="center"/>
          </w:tcPr>
          <w:p w14:paraId="60DBBDAA">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134" w:type="dxa"/>
            <w:tcBorders>
              <w:right w:val="single" w:color="auto" w:sz="4" w:space="0"/>
            </w:tcBorders>
            <w:vAlign w:val="center"/>
          </w:tcPr>
          <w:p w14:paraId="6021F622">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418" w:type="dxa"/>
            <w:tcBorders>
              <w:left w:val="single" w:color="auto" w:sz="4" w:space="0"/>
            </w:tcBorders>
            <w:vAlign w:val="center"/>
          </w:tcPr>
          <w:p w14:paraId="48397E7A">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984" w:type="dxa"/>
            <w:vAlign w:val="center"/>
          </w:tcPr>
          <w:p w14:paraId="77EB3597">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843" w:type="dxa"/>
          </w:tcPr>
          <w:p w14:paraId="1E25A76A">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r>
      <w:tr w14:paraId="680CE2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9B7BE0E">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小计</w:t>
            </w:r>
          </w:p>
        </w:tc>
        <w:tc>
          <w:tcPr>
            <w:tcW w:w="1739" w:type="dxa"/>
            <w:vAlign w:val="center"/>
          </w:tcPr>
          <w:p w14:paraId="48522D21">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134" w:type="dxa"/>
            <w:tcBorders>
              <w:right w:val="single" w:color="auto" w:sz="4" w:space="0"/>
            </w:tcBorders>
            <w:vAlign w:val="center"/>
          </w:tcPr>
          <w:p w14:paraId="3A528461">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418" w:type="dxa"/>
            <w:tcBorders>
              <w:left w:val="single" w:color="auto" w:sz="4" w:space="0"/>
            </w:tcBorders>
            <w:vAlign w:val="center"/>
          </w:tcPr>
          <w:p w14:paraId="084D8C06">
            <w:pPr>
              <w:adjustRightInd w:val="0"/>
              <w:snapToGrid w:val="0"/>
              <w:spacing w:line="360" w:lineRule="auto"/>
              <w:jc w:val="left"/>
              <w:rPr>
                <w:rFonts w:hint="default" w:ascii="Times New Roman" w:hAnsi="Times New Roman" w:cs="Times New Roman" w:eastAsiaTheme="minorEastAsia"/>
                <w:b/>
                <w:color w:val="auto"/>
                <w:szCs w:val="21"/>
                <w:highlight w:val="none"/>
              </w:rPr>
            </w:pPr>
          </w:p>
        </w:tc>
        <w:tc>
          <w:tcPr>
            <w:tcW w:w="1984" w:type="dxa"/>
            <w:vAlign w:val="center"/>
          </w:tcPr>
          <w:p w14:paraId="1C0E1116">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c>
          <w:tcPr>
            <w:tcW w:w="1843" w:type="dxa"/>
          </w:tcPr>
          <w:p w14:paraId="2E09EA56">
            <w:pPr>
              <w:adjustRightInd w:val="0"/>
              <w:snapToGrid w:val="0"/>
              <w:spacing w:line="360" w:lineRule="auto"/>
              <w:jc w:val="center"/>
              <w:rPr>
                <w:rFonts w:hint="default" w:ascii="Times New Roman" w:hAnsi="Times New Roman" w:cs="Times New Roman" w:eastAsiaTheme="minorEastAsia"/>
                <w:b/>
                <w:color w:val="auto"/>
                <w:szCs w:val="21"/>
                <w:highlight w:val="none"/>
              </w:rPr>
            </w:pPr>
          </w:p>
        </w:tc>
      </w:tr>
      <w:tr w14:paraId="1B8077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592FB442">
            <w:pPr>
              <w:adjustRightInd w:val="0"/>
              <w:snapToGrid w:val="0"/>
              <w:spacing w:line="360" w:lineRule="auto"/>
              <w:jc w:val="left"/>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两型产品</w:t>
            </w:r>
          </w:p>
        </w:tc>
      </w:tr>
      <w:tr w14:paraId="0D415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96ADFAB">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739" w:type="dxa"/>
            <w:vAlign w:val="center"/>
          </w:tcPr>
          <w:p w14:paraId="6885FFF9">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134" w:type="dxa"/>
            <w:tcBorders>
              <w:right w:val="single" w:color="auto" w:sz="4" w:space="0"/>
            </w:tcBorders>
            <w:vAlign w:val="center"/>
          </w:tcPr>
          <w:p w14:paraId="3A15C3EF">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418" w:type="dxa"/>
            <w:tcBorders>
              <w:left w:val="single" w:color="auto" w:sz="4" w:space="0"/>
            </w:tcBorders>
            <w:vAlign w:val="center"/>
          </w:tcPr>
          <w:p w14:paraId="3A169A21">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984" w:type="dxa"/>
            <w:vAlign w:val="center"/>
          </w:tcPr>
          <w:p w14:paraId="4B702DA4">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843" w:type="dxa"/>
          </w:tcPr>
          <w:p w14:paraId="28BB0E89">
            <w:pPr>
              <w:adjustRightInd w:val="0"/>
              <w:snapToGrid w:val="0"/>
              <w:spacing w:line="360" w:lineRule="auto"/>
              <w:jc w:val="center"/>
              <w:rPr>
                <w:rFonts w:hint="default" w:ascii="Times New Roman" w:hAnsi="Times New Roman" w:cs="Times New Roman" w:eastAsiaTheme="minorEastAsia"/>
                <w:color w:val="auto"/>
                <w:szCs w:val="21"/>
                <w:highlight w:val="none"/>
              </w:rPr>
            </w:pPr>
          </w:p>
        </w:tc>
      </w:tr>
      <w:tr w14:paraId="24A357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C2CDCAD">
            <w:pPr>
              <w:adjustRightInd w:val="0"/>
              <w:snapToGrid w:val="0"/>
              <w:spacing w:line="360" w:lineRule="auto"/>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小计</w:t>
            </w:r>
          </w:p>
        </w:tc>
        <w:tc>
          <w:tcPr>
            <w:tcW w:w="1739" w:type="dxa"/>
            <w:vAlign w:val="center"/>
          </w:tcPr>
          <w:p w14:paraId="653E8153">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134" w:type="dxa"/>
            <w:tcBorders>
              <w:right w:val="single" w:color="auto" w:sz="4" w:space="0"/>
            </w:tcBorders>
            <w:vAlign w:val="center"/>
          </w:tcPr>
          <w:p w14:paraId="0EC9436B">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418" w:type="dxa"/>
            <w:tcBorders>
              <w:left w:val="single" w:color="auto" w:sz="4" w:space="0"/>
            </w:tcBorders>
            <w:vAlign w:val="center"/>
          </w:tcPr>
          <w:p w14:paraId="2EE91E67">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984" w:type="dxa"/>
            <w:vAlign w:val="center"/>
          </w:tcPr>
          <w:p w14:paraId="7E7B3A43">
            <w:pPr>
              <w:adjustRightInd w:val="0"/>
              <w:snapToGrid w:val="0"/>
              <w:spacing w:line="360" w:lineRule="auto"/>
              <w:jc w:val="center"/>
              <w:rPr>
                <w:rFonts w:hint="default" w:ascii="Times New Roman" w:hAnsi="Times New Roman" w:cs="Times New Roman" w:eastAsiaTheme="minorEastAsia"/>
                <w:color w:val="auto"/>
                <w:szCs w:val="21"/>
                <w:highlight w:val="none"/>
              </w:rPr>
            </w:pPr>
          </w:p>
        </w:tc>
        <w:tc>
          <w:tcPr>
            <w:tcW w:w="1843" w:type="dxa"/>
          </w:tcPr>
          <w:p w14:paraId="105DCF94">
            <w:pPr>
              <w:adjustRightInd w:val="0"/>
              <w:snapToGrid w:val="0"/>
              <w:spacing w:line="360" w:lineRule="auto"/>
              <w:jc w:val="center"/>
              <w:rPr>
                <w:rFonts w:hint="default" w:ascii="Times New Roman" w:hAnsi="Times New Roman" w:cs="Times New Roman" w:eastAsiaTheme="minorEastAsia"/>
                <w:color w:val="auto"/>
                <w:szCs w:val="21"/>
                <w:highlight w:val="none"/>
              </w:rPr>
            </w:pPr>
          </w:p>
        </w:tc>
      </w:tr>
    </w:tbl>
    <w:p w14:paraId="494F5950">
      <w:pPr>
        <w:adjustRightInd w:val="0"/>
        <w:snapToGrid w:val="0"/>
        <w:spacing w:line="360" w:lineRule="auto"/>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说明：</w:t>
      </w:r>
      <w:r>
        <w:rPr>
          <w:rFonts w:hint="default" w:ascii="Times New Roman" w:hAnsi="Times New Roman" w:cs="Times New Roman" w:eastAsiaTheme="minorEastAsia"/>
          <w:bCs/>
          <w:color w:val="auto"/>
          <w:szCs w:val="21"/>
          <w:highlight w:val="none"/>
        </w:rPr>
        <w:t>1、</w:t>
      </w:r>
      <w:r>
        <w:rPr>
          <w:rFonts w:hint="default" w:ascii="Times New Roman" w:hAnsi="Times New Roman" w:cs="Times New Roman" w:eastAsiaTheme="minorEastAsia"/>
          <w:color w:val="auto"/>
          <w:szCs w:val="21"/>
          <w:highlight w:val="none"/>
        </w:rPr>
        <w:t>本表用于计算政府采购优先采购产品（节能产品或环境标志产品或两型产品）的政府采购政策价格扣除。</w:t>
      </w:r>
    </w:p>
    <w:p w14:paraId="6563B43B">
      <w:pPr>
        <w:adjustRightInd w:val="0"/>
        <w:snapToGrid w:val="0"/>
        <w:spacing w:line="360" w:lineRule="auto"/>
        <w:ind w:firstLine="630" w:firstLineChars="300"/>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2、栏目4“价格”为综合单价，包含货物所有隐含的内容，如运输费、保险费、管理费和利润等。</w:t>
      </w:r>
    </w:p>
    <w:p w14:paraId="51AE16E3">
      <w:pPr>
        <w:adjustRightInd w:val="0"/>
        <w:snapToGrid w:val="0"/>
        <w:spacing w:line="360" w:lineRule="auto"/>
        <w:ind w:firstLine="630" w:firstLineChars="300"/>
        <w:jc w:val="left"/>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3、栏目6“政策功能编码”是指货物的中国环境标志认证证书编号、中国节能标志认证证书号、两型产品编号（货物同时属于节能产品、环境标志产品、两型产品的，只须填写一种）。</w:t>
      </w:r>
    </w:p>
    <w:p w14:paraId="6C4EFF71">
      <w:pPr>
        <w:adjustRightInd w:val="0"/>
        <w:snapToGrid w:val="0"/>
        <w:spacing w:line="360" w:lineRule="auto"/>
        <w:ind w:firstLine="630" w:firstLineChars="300"/>
        <w:rPr>
          <w:rFonts w:hint="default" w:ascii="Times New Roman" w:hAnsi="Times New Roman" w:cs="Times New Roman" w:eastAsiaTheme="minorEastAsia"/>
          <w:bCs/>
          <w:color w:val="auto"/>
          <w:szCs w:val="21"/>
          <w:highlight w:val="none"/>
        </w:rPr>
      </w:pPr>
      <w:r>
        <w:rPr>
          <w:rFonts w:hint="default" w:ascii="Times New Roman" w:hAnsi="Times New Roman" w:cs="Times New Roman" w:eastAsiaTheme="minorEastAsia"/>
          <w:bCs/>
          <w:color w:val="auto"/>
          <w:szCs w:val="21"/>
          <w:highlight w:val="none"/>
        </w:rPr>
        <w:t>4</w:t>
      </w:r>
      <w:r>
        <w:rPr>
          <w:rFonts w:hint="default" w:ascii="Times New Roman" w:hAnsi="Times New Roman" w:cs="Times New Roman" w:eastAsiaTheme="minorEastAsia"/>
          <w:bCs/>
          <w:color w:val="auto"/>
          <w:szCs w:val="21"/>
          <w:highlight w:val="none"/>
          <w:lang w:val="en-US" w:eastAsia="zh-CN"/>
        </w:rPr>
        <w:t>.</w:t>
      </w:r>
      <w:r>
        <w:rPr>
          <w:rFonts w:hint="default" w:ascii="Times New Roman" w:hAnsi="Times New Roman" w:cs="Times New Roman" w:eastAsiaTheme="minorEastAsia"/>
          <w:bCs/>
          <w:color w:val="auto"/>
          <w:szCs w:val="21"/>
          <w:highlight w:val="none"/>
        </w:rPr>
        <w:t>货物同时属于节能产品、环境标志产品、两型产品的，只需填写一种。</w:t>
      </w:r>
    </w:p>
    <w:p w14:paraId="1CB32E5B">
      <w:pPr>
        <w:adjustRightInd w:val="0"/>
        <w:snapToGrid w:val="0"/>
        <w:spacing w:line="360" w:lineRule="auto"/>
        <w:rPr>
          <w:rFonts w:hint="default" w:ascii="Times New Roman" w:hAnsi="Times New Roman" w:cs="Times New Roman" w:eastAsiaTheme="minorEastAsia"/>
          <w:bCs/>
          <w:color w:val="auto"/>
          <w:szCs w:val="21"/>
          <w:highlight w:val="none"/>
        </w:rPr>
      </w:pPr>
    </w:p>
    <w:p w14:paraId="201F41CA">
      <w:pPr>
        <w:adjustRightInd w:val="0"/>
        <w:snapToGrid w:val="0"/>
        <w:spacing w:line="360" w:lineRule="auto"/>
        <w:rPr>
          <w:rFonts w:hint="default" w:ascii="Times New Roman" w:hAnsi="Times New Roman" w:cs="Times New Roman" w:eastAsiaTheme="minorEastAsia"/>
          <w:bCs/>
          <w:color w:val="auto"/>
          <w:szCs w:val="21"/>
          <w:highlight w:val="none"/>
        </w:rPr>
      </w:pPr>
    </w:p>
    <w:p w14:paraId="358C3BBF">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293DAC5E">
      <w:pPr>
        <w:adjustRightInd w:val="0"/>
        <w:snapToGrid w:val="0"/>
        <w:spacing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7BFB2905">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16D06B8E">
      <w:pPr>
        <w:rPr>
          <w:rFonts w:hint="default" w:ascii="Times New Roman" w:hAnsi="Times New Roman" w:cs="Times New Roman" w:eastAsiaTheme="minorEastAsia"/>
          <w:color w:val="auto"/>
          <w:highlight w:val="none"/>
        </w:rPr>
      </w:pPr>
    </w:p>
    <w:p w14:paraId="6D2E3A46">
      <w:pPr>
        <w:rPr>
          <w:rFonts w:hint="default" w:ascii="Times New Roman" w:hAnsi="Times New Roman" w:cs="Times New Roman" w:eastAsiaTheme="minorEastAsia"/>
          <w:color w:val="auto"/>
          <w:highlight w:val="none"/>
        </w:rPr>
      </w:pPr>
    </w:p>
    <w:p w14:paraId="4337A005">
      <w:pPr>
        <w:keepNext/>
        <w:keepLines/>
        <w:spacing w:line="360" w:lineRule="auto"/>
        <w:jc w:val="center"/>
        <w:outlineLvl w:val="1"/>
        <w:rPr>
          <w:rFonts w:hint="default" w:ascii="Times New Roman" w:hAnsi="Times New Roman" w:cs="Times New Roman" w:eastAsiaTheme="minorEastAsia"/>
          <w:b/>
          <w:bCs/>
          <w:color w:val="auto"/>
          <w:sz w:val="28"/>
          <w:szCs w:val="28"/>
          <w:highlight w:val="none"/>
        </w:rPr>
      </w:pPr>
      <w:bookmarkStart w:id="825" w:name="_Toc26193"/>
      <w:bookmarkStart w:id="826" w:name="_Toc30753"/>
      <w:bookmarkStart w:id="827" w:name="_Toc19004"/>
      <w:bookmarkStart w:id="828" w:name="_Toc25736"/>
      <w:bookmarkStart w:id="829" w:name="_Toc15988"/>
      <w:bookmarkStart w:id="830" w:name="_Toc5250"/>
      <w:bookmarkStart w:id="831" w:name="_Toc30250"/>
      <w:bookmarkStart w:id="832" w:name="_Toc21724"/>
      <w:bookmarkStart w:id="833" w:name="_Toc107998055"/>
      <w:bookmarkStart w:id="834" w:name="_Toc15867"/>
      <w:bookmarkStart w:id="835" w:name="_Toc3592"/>
      <w:bookmarkStart w:id="836" w:name="_Toc11758"/>
      <w:bookmarkStart w:id="837" w:name="_Toc12153"/>
      <w:bookmarkStart w:id="838" w:name="_Toc34637809"/>
      <w:bookmarkStart w:id="839" w:name="_Toc20066"/>
      <w:bookmarkStart w:id="840" w:name="_Toc17649"/>
      <w:bookmarkStart w:id="841" w:name="_Toc21399"/>
      <w:bookmarkStart w:id="842" w:name="_Toc4110"/>
      <w:bookmarkStart w:id="843" w:name="_Toc32140"/>
      <w:bookmarkStart w:id="844" w:name="_Toc29869"/>
      <w:bookmarkStart w:id="845" w:name="_Toc16270"/>
      <w:bookmarkStart w:id="846" w:name="_Toc2128"/>
      <w:bookmarkStart w:id="847" w:name="_Toc10002"/>
      <w:bookmarkStart w:id="848" w:name="_Toc8500"/>
      <w:bookmarkStart w:id="849" w:name="_Toc30355"/>
      <w:bookmarkStart w:id="850" w:name="_Toc17280"/>
      <w:bookmarkStart w:id="851" w:name="_Toc31843"/>
      <w:bookmarkStart w:id="852" w:name="_Toc28087"/>
      <w:bookmarkStart w:id="853" w:name="_Toc26600"/>
      <w:r>
        <w:rPr>
          <w:rFonts w:hint="default" w:ascii="Times New Roman" w:hAnsi="Times New Roman" w:cs="Times New Roman" w:eastAsiaTheme="minorEastAsia"/>
          <w:b/>
          <w:bCs/>
          <w:color w:val="auto"/>
          <w:sz w:val="28"/>
          <w:szCs w:val="28"/>
          <w:highlight w:val="none"/>
        </w:rPr>
        <w:t>十、响应标的符合谈判文件规定的证明文件</w:t>
      </w:r>
      <w:bookmarkEnd w:id="825"/>
      <w:bookmarkEnd w:id="826"/>
      <w:bookmarkEnd w:id="827"/>
      <w:bookmarkEnd w:id="828"/>
      <w:bookmarkEnd w:id="829"/>
      <w:bookmarkEnd w:id="830"/>
      <w:bookmarkEnd w:id="831"/>
      <w:bookmarkEnd w:id="832"/>
      <w:bookmarkEnd w:id="833"/>
      <w:bookmarkEnd w:id="834"/>
      <w:bookmarkEnd w:id="835"/>
      <w:bookmarkEnd w:id="836"/>
    </w:p>
    <w:p w14:paraId="782CAEE5">
      <w:pPr>
        <w:adjustRightInd w:val="0"/>
        <w:snapToGrid w:val="0"/>
        <w:spacing w:line="360" w:lineRule="auto"/>
        <w:rPr>
          <w:rFonts w:hint="default" w:ascii="Times New Roman" w:hAnsi="Times New Roman" w:cs="Times New Roman" w:eastAsiaTheme="minorEastAsia"/>
          <w:color w:val="auto"/>
          <w:szCs w:val="21"/>
          <w:highlight w:val="none"/>
        </w:rPr>
      </w:pPr>
    </w:p>
    <w:p w14:paraId="584C8C63">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注：提供第三章规定的证明材料复印件。</w:t>
      </w:r>
    </w:p>
    <w:p w14:paraId="4E4F0D9C">
      <w:pPr>
        <w:adjustRightInd w:val="0"/>
        <w:snapToGrid w:val="0"/>
        <w:spacing w:line="360" w:lineRule="auto"/>
        <w:rPr>
          <w:rFonts w:hint="default" w:ascii="Times New Roman" w:hAnsi="Times New Roman" w:cs="Times New Roman" w:eastAsiaTheme="minorEastAsia"/>
          <w:color w:val="auto"/>
          <w:highlight w:val="none"/>
        </w:rPr>
        <w:sectPr>
          <w:pgSz w:w="11906" w:h="16838"/>
          <w:pgMar w:top="1418" w:right="1418" w:bottom="1134" w:left="1418"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14:paraId="2D867474">
      <w:pPr>
        <w:keepNext/>
        <w:keepLines/>
        <w:spacing w:line="360" w:lineRule="auto"/>
        <w:jc w:val="center"/>
        <w:outlineLvl w:val="1"/>
        <w:rPr>
          <w:rFonts w:hint="default" w:ascii="Times New Roman" w:hAnsi="Times New Roman" w:cs="Times New Roman" w:eastAsiaTheme="minorEastAsia"/>
          <w:b/>
          <w:bCs/>
          <w:color w:val="auto"/>
          <w:sz w:val="28"/>
          <w:szCs w:val="28"/>
          <w:highlight w:val="none"/>
        </w:rPr>
      </w:pPr>
      <w:bookmarkStart w:id="854" w:name="_Toc25214"/>
      <w:bookmarkStart w:id="855" w:name="_Toc27001"/>
      <w:bookmarkStart w:id="856" w:name="_Toc107998056"/>
      <w:bookmarkStart w:id="857" w:name="_Toc1353"/>
      <w:bookmarkStart w:id="858" w:name="_Toc2354"/>
      <w:bookmarkStart w:id="859" w:name="_Toc15921"/>
      <w:bookmarkStart w:id="860" w:name="_Toc142"/>
      <w:bookmarkStart w:id="861" w:name="_Toc6058"/>
      <w:bookmarkStart w:id="862" w:name="_Toc28634"/>
      <w:bookmarkStart w:id="863" w:name="_Toc29168"/>
      <w:bookmarkStart w:id="864" w:name="_Toc6269"/>
      <w:bookmarkStart w:id="865" w:name="_Toc14413"/>
      <w:r>
        <w:rPr>
          <w:rFonts w:hint="default" w:ascii="Times New Roman" w:hAnsi="Times New Roman" w:cs="Times New Roman" w:eastAsiaTheme="minorEastAsia"/>
          <w:b/>
          <w:bCs/>
          <w:color w:val="auto"/>
          <w:sz w:val="28"/>
          <w:szCs w:val="28"/>
          <w:highlight w:val="none"/>
        </w:rPr>
        <w:t>十一、供应商认为需提供的其他资料</w:t>
      </w:r>
      <w:bookmarkEnd w:id="854"/>
      <w:bookmarkEnd w:id="855"/>
      <w:bookmarkEnd w:id="856"/>
      <w:bookmarkEnd w:id="857"/>
      <w:bookmarkEnd w:id="858"/>
      <w:bookmarkEnd w:id="859"/>
      <w:bookmarkEnd w:id="860"/>
      <w:bookmarkEnd w:id="861"/>
      <w:bookmarkEnd w:id="862"/>
      <w:bookmarkEnd w:id="863"/>
      <w:bookmarkEnd w:id="864"/>
      <w:bookmarkEnd w:id="865"/>
    </w:p>
    <w:p w14:paraId="2496CEF5">
      <w:pPr>
        <w:adjustRightInd w:val="0"/>
        <w:snapToGrid w:val="0"/>
        <w:spacing w:before="156" w:beforeLines="50" w:line="360" w:lineRule="auto"/>
        <w:rPr>
          <w:rFonts w:hint="default" w:ascii="Times New Roman" w:hAnsi="Times New Roman" w:cs="Times New Roman" w:eastAsiaTheme="minorEastAsia"/>
          <w:color w:val="auto"/>
          <w:highlight w:val="none"/>
        </w:rPr>
      </w:pPr>
    </w:p>
    <w:p w14:paraId="4A23DB8B">
      <w:pPr>
        <w:adjustRightInd w:val="0"/>
        <w:snapToGrid w:val="0"/>
        <w:spacing w:before="156" w:beforeLines="50" w:line="360" w:lineRule="auto"/>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注：供应商认为需提供的其他资料包括：</w:t>
      </w:r>
    </w:p>
    <w:p w14:paraId="47DC07D6">
      <w:pPr>
        <w:adjustRightInd w:val="0"/>
        <w:snapToGrid w:val="0"/>
        <w:spacing w:before="156" w:beforeLines="50" w:line="360" w:lineRule="auto"/>
        <w:ind w:firstLine="42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lang w:val="en-US" w:eastAsia="zh-CN"/>
        </w:rPr>
        <w:t>1.</w:t>
      </w:r>
      <w:r>
        <w:rPr>
          <w:rFonts w:hint="default" w:ascii="Times New Roman" w:hAnsi="Times New Roman" w:cs="Times New Roman" w:eastAsiaTheme="minorEastAsia"/>
          <w:color w:val="auto"/>
          <w:highlight w:val="none"/>
        </w:rPr>
        <w:t>谈判文件第三章采购需求要求的其他资料；</w:t>
      </w:r>
    </w:p>
    <w:p w14:paraId="45524F5F">
      <w:pPr>
        <w:adjustRightInd w:val="0"/>
        <w:snapToGrid w:val="0"/>
        <w:spacing w:before="156" w:beforeLines="50" w:line="360" w:lineRule="auto"/>
        <w:ind w:firstLine="420" w:firstLineChars="200"/>
        <w:rPr>
          <w:rFonts w:hint="default" w:ascii="Times New Roman" w:hAnsi="Times New Roman" w:cs="Times New Roman" w:eastAsiaTheme="minorEastAsia"/>
          <w:color w:val="auto"/>
          <w:highlight w:val="none"/>
        </w:rPr>
        <w:sectPr>
          <w:pgSz w:w="11906" w:h="16838"/>
          <w:pgMar w:top="1418" w:right="1418" w:bottom="1134" w:left="1418"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default" w:ascii="Times New Roman" w:hAnsi="Times New Roman" w:cs="Times New Roman" w:eastAsiaTheme="minorEastAsia"/>
          <w:color w:val="auto"/>
          <w:highlight w:val="none"/>
          <w:lang w:val="en-US" w:eastAsia="zh-CN"/>
        </w:rPr>
        <w:t>2.</w:t>
      </w:r>
      <w:r>
        <w:rPr>
          <w:rFonts w:hint="default" w:ascii="Times New Roman" w:hAnsi="Times New Roman" w:cs="Times New Roman" w:eastAsiaTheme="minorEastAsia"/>
          <w:color w:val="auto"/>
          <w:highlight w:val="none"/>
        </w:rPr>
        <w:t>谈判文件要求的其他相关资料。</w:t>
      </w:r>
    </w:p>
    <w:p w14:paraId="3F981BF2">
      <w:pPr>
        <w:keepNext/>
        <w:keepLines/>
        <w:spacing w:line="360" w:lineRule="auto"/>
        <w:jc w:val="center"/>
        <w:outlineLvl w:val="1"/>
        <w:rPr>
          <w:rFonts w:hint="default" w:ascii="Times New Roman" w:hAnsi="Times New Roman" w:cs="Times New Roman" w:eastAsiaTheme="minorEastAsia"/>
          <w:b/>
          <w:bCs/>
          <w:color w:val="auto"/>
          <w:sz w:val="28"/>
          <w:szCs w:val="28"/>
          <w:highlight w:val="none"/>
          <w:lang w:val="en-US" w:eastAsia="zh-CN"/>
        </w:rPr>
      </w:pPr>
      <w:bookmarkStart w:id="866" w:name="_Toc19732"/>
      <w:bookmarkStart w:id="867" w:name="_Toc6095"/>
      <w:bookmarkStart w:id="868" w:name="_Toc9535"/>
      <w:bookmarkStart w:id="869" w:name="_Toc14001"/>
      <w:bookmarkStart w:id="870" w:name="_Toc19984"/>
      <w:bookmarkStart w:id="871" w:name="_Toc28279"/>
      <w:bookmarkStart w:id="872" w:name="_Toc27057"/>
      <w:bookmarkStart w:id="873" w:name="_Toc20142"/>
      <w:bookmarkStart w:id="874" w:name="_Toc31820"/>
      <w:bookmarkStart w:id="875" w:name="_Toc5175"/>
      <w:r>
        <w:rPr>
          <w:rFonts w:hint="default" w:ascii="Times New Roman" w:hAnsi="Times New Roman" w:cs="Times New Roman" w:eastAsiaTheme="minorEastAsia"/>
          <w:b/>
          <w:bCs/>
          <w:color w:val="auto"/>
          <w:sz w:val="28"/>
          <w:szCs w:val="28"/>
          <w:highlight w:val="none"/>
          <w:lang w:val="en-US" w:eastAsia="zh-CN"/>
        </w:rPr>
        <w:t>十二、最后报价表</w:t>
      </w:r>
      <w:bookmarkEnd w:id="866"/>
      <w:bookmarkEnd w:id="867"/>
      <w:bookmarkEnd w:id="868"/>
      <w:bookmarkEnd w:id="869"/>
      <w:bookmarkEnd w:id="870"/>
      <w:bookmarkEnd w:id="871"/>
      <w:bookmarkEnd w:id="872"/>
      <w:bookmarkEnd w:id="873"/>
      <w:bookmarkEnd w:id="874"/>
      <w:bookmarkEnd w:id="875"/>
    </w:p>
    <w:p w14:paraId="2BD4BD73">
      <w:pPr>
        <w:adjustRightInd w:val="0"/>
        <w:snapToGrid w:val="0"/>
        <w:spacing w:line="360" w:lineRule="auto"/>
        <w:ind w:left="-88" w:leftChars="-42"/>
        <w:jc w:val="left"/>
        <w:rPr>
          <w:rFonts w:hint="default" w:ascii="Times New Roman" w:hAnsi="Times New Roman" w:cs="Times New Roman" w:eastAsiaTheme="minorEastAsia"/>
          <w:color w:val="auto"/>
          <w:sz w:val="24"/>
          <w:highlight w:val="none"/>
        </w:rPr>
      </w:pPr>
    </w:p>
    <w:p w14:paraId="3C1F0F62">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采购代理编号：</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rPr>
        <w:t xml:space="preserve">                       </w:t>
      </w:r>
      <w:r>
        <w:rPr>
          <w:rFonts w:hint="default" w:ascii="Times New Roman" w:hAnsi="Times New Roman" w:cs="Times New Roman" w:eastAsiaTheme="minorEastAsia"/>
          <w:color w:val="auto"/>
          <w:szCs w:val="21"/>
          <w:highlight w:val="none"/>
          <w:lang w:val="en-US" w:eastAsia="zh-CN"/>
        </w:rPr>
        <w:t xml:space="preserve">     </w:t>
      </w:r>
      <w:r>
        <w:rPr>
          <w:rFonts w:hint="default" w:ascii="Times New Roman" w:hAnsi="Times New Roman" w:cs="Times New Roman" w:eastAsiaTheme="minorEastAsia"/>
          <w:color w:val="auto"/>
          <w:szCs w:val="21"/>
          <w:highlight w:val="none"/>
        </w:rPr>
        <w:t>项目名称：</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p>
    <w:p w14:paraId="3C67FE73">
      <w:pPr>
        <w:adjustRightInd w:val="0"/>
        <w:snapToGrid w:val="0"/>
        <w:spacing w:before="156" w:beforeLines="50" w:line="360" w:lineRule="auto"/>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包号：</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r>
        <w:rPr>
          <w:rFonts w:hint="default" w:ascii="Times New Roman" w:hAnsi="Times New Roman" w:cs="Times New Roman" w:eastAsiaTheme="minorEastAsia"/>
          <w:color w:val="auto"/>
          <w:szCs w:val="21"/>
          <w:highlight w:val="none"/>
          <w:lang w:val="en-US" w:eastAsia="zh-CN"/>
        </w:rPr>
        <w:t xml:space="preserve">  </w:t>
      </w:r>
      <w:r>
        <w:rPr>
          <w:rFonts w:hint="default" w:ascii="Times New Roman" w:hAnsi="Times New Roman" w:cs="Times New Roman" w:eastAsiaTheme="minorEastAsia"/>
          <w:color w:val="auto"/>
          <w:szCs w:val="21"/>
          <w:highlight w:val="none"/>
        </w:rPr>
        <w:t xml:space="preserve">                        </w:t>
      </w:r>
      <w:r>
        <w:rPr>
          <w:rFonts w:hint="default" w:ascii="Times New Roman" w:hAnsi="Times New Roman" w:cs="Times New Roman" w:eastAsiaTheme="minorEastAsia"/>
          <w:color w:val="auto"/>
          <w:szCs w:val="21"/>
          <w:highlight w:val="none"/>
          <w:lang w:val="en-US" w:eastAsia="zh-CN"/>
        </w:rPr>
        <w:t xml:space="preserve"> </w:t>
      </w:r>
      <w:r>
        <w:rPr>
          <w:rFonts w:hint="default" w:ascii="Times New Roman" w:hAnsi="Times New Roman" w:cs="Times New Roman" w:eastAsiaTheme="minorEastAsia"/>
          <w:color w:val="auto"/>
          <w:szCs w:val="21"/>
          <w:highlight w:val="none"/>
        </w:rPr>
        <w:t>包名称：</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0F1BE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4E66D943">
            <w:pPr>
              <w:adjustRightInd w:val="0"/>
              <w:snapToGrid w:val="0"/>
              <w:spacing w:before="156" w:beforeLines="50" w:line="360" w:lineRule="auto"/>
              <w:jc w:val="center"/>
              <w:rPr>
                <w:rFonts w:hint="default" w:ascii="Times New Roman" w:hAnsi="Times New Roman" w:cs="Times New Roman" w:eastAsiaTheme="minorEastAsia"/>
                <w:b/>
                <w:color w:val="auto"/>
                <w:kern w:val="0"/>
                <w:sz w:val="20"/>
                <w:szCs w:val="21"/>
                <w:highlight w:val="none"/>
              </w:rPr>
            </w:pPr>
            <w:r>
              <w:rPr>
                <w:rFonts w:hint="default" w:ascii="Times New Roman" w:hAnsi="Times New Roman" w:cs="Times New Roman" w:eastAsiaTheme="minorEastAsia"/>
                <w:b/>
                <w:color w:val="auto"/>
                <w:kern w:val="0"/>
                <w:szCs w:val="21"/>
                <w:highlight w:val="none"/>
              </w:rPr>
              <w:t>报价</w:t>
            </w:r>
          </w:p>
        </w:tc>
        <w:tc>
          <w:tcPr>
            <w:tcW w:w="3119" w:type="dxa"/>
            <w:shd w:val="clear" w:color="auto" w:fill="auto"/>
            <w:vAlign w:val="center"/>
          </w:tcPr>
          <w:p w14:paraId="1E2D8518">
            <w:pPr>
              <w:adjustRightInd w:val="0"/>
              <w:snapToGrid w:val="0"/>
              <w:spacing w:before="156" w:beforeLines="50" w:line="360" w:lineRule="auto"/>
              <w:jc w:val="center"/>
              <w:rPr>
                <w:rFonts w:hint="default" w:ascii="Times New Roman" w:hAnsi="Times New Roman" w:cs="Times New Roman" w:eastAsiaTheme="minorEastAsia"/>
                <w:b/>
                <w:color w:val="auto"/>
                <w:kern w:val="0"/>
                <w:szCs w:val="21"/>
                <w:highlight w:val="none"/>
              </w:rPr>
            </w:pPr>
            <w:r>
              <w:rPr>
                <w:rFonts w:hint="default" w:ascii="Times New Roman" w:hAnsi="Times New Roman" w:cs="Times New Roman" w:eastAsiaTheme="minorEastAsia"/>
                <w:b/>
                <w:color w:val="auto"/>
                <w:kern w:val="0"/>
                <w:szCs w:val="21"/>
                <w:highlight w:val="none"/>
              </w:rPr>
              <w:t>其他内容</w:t>
            </w:r>
          </w:p>
        </w:tc>
      </w:tr>
      <w:tr w14:paraId="0D5B9B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750537DE">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小写金额：</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kern w:val="0"/>
                <w:sz w:val="20"/>
                <w:szCs w:val="21"/>
                <w:highlight w:val="none"/>
              </w:rPr>
              <w:t>人民币元</w:t>
            </w:r>
            <w:r>
              <w:rPr>
                <w:rFonts w:hint="default" w:ascii="Times New Roman" w:hAnsi="Times New Roman" w:cs="Times New Roman" w:eastAsiaTheme="minorEastAsia"/>
                <w:color w:val="auto"/>
                <w:kern w:val="0"/>
                <w:szCs w:val="21"/>
                <w:highlight w:val="none"/>
              </w:rPr>
              <w:t>）</w:t>
            </w:r>
          </w:p>
          <w:p w14:paraId="0775B4BA">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u w:val="single"/>
              </w:rPr>
            </w:pPr>
            <w:r>
              <w:rPr>
                <w:rFonts w:hint="default" w:ascii="Times New Roman" w:hAnsi="Times New Roman" w:cs="Times New Roman" w:eastAsiaTheme="minorEastAsia"/>
                <w:color w:val="auto"/>
                <w:kern w:val="0"/>
                <w:szCs w:val="21"/>
                <w:highlight w:val="none"/>
              </w:rPr>
              <w:t>大写金额：</w:t>
            </w:r>
            <w:r>
              <w:rPr>
                <w:rFonts w:hint="default" w:ascii="Times New Roman" w:hAnsi="Times New Roman" w:cs="Times New Roman" w:eastAsiaTheme="minorEastAsia"/>
                <w:color w:val="auto"/>
                <w:szCs w:val="21"/>
                <w:highlight w:val="none"/>
                <w:u w:val="single"/>
                <w:lang w:eastAsia="zh-CN"/>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none"/>
                <w:lang w:val="en-US" w:eastAsia="zh-CN"/>
              </w:rPr>
              <w:t xml:space="preserve"> </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kern w:val="0"/>
                <w:sz w:val="20"/>
                <w:szCs w:val="21"/>
                <w:highlight w:val="none"/>
              </w:rPr>
              <w:t>人民币元</w:t>
            </w:r>
            <w:r>
              <w:rPr>
                <w:rFonts w:hint="default" w:ascii="Times New Roman" w:hAnsi="Times New Roman" w:cs="Times New Roman" w:eastAsiaTheme="minorEastAsia"/>
                <w:color w:val="auto"/>
                <w:kern w:val="0"/>
                <w:szCs w:val="21"/>
                <w:highlight w:val="none"/>
              </w:rPr>
              <w:t>）</w:t>
            </w:r>
          </w:p>
          <w:p w14:paraId="7B106EB9">
            <w:pPr>
              <w:adjustRightInd w:val="0"/>
              <w:snapToGrid w:val="0"/>
              <w:spacing w:before="156" w:beforeLines="50" w:line="360" w:lineRule="auto"/>
              <w:jc w:val="center"/>
              <w:rPr>
                <w:rFonts w:hint="default" w:ascii="Times New Roman" w:hAnsi="Times New Roman" w:cs="Times New Roman" w:eastAsiaTheme="minorEastAsia"/>
                <w:color w:val="auto"/>
                <w:kern w:val="0"/>
                <w:sz w:val="20"/>
                <w:szCs w:val="21"/>
                <w:highlight w:val="none"/>
              </w:rPr>
            </w:pP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kern w:val="0"/>
                <w:sz w:val="24"/>
                <w:highlight w:val="none"/>
              </w:rPr>
              <w:t>大写金额与小写金额不一致时，以大写金额为准</w:t>
            </w:r>
            <w:r>
              <w:rPr>
                <w:rFonts w:hint="default" w:ascii="Times New Roman" w:hAnsi="Times New Roman" w:cs="Times New Roman" w:eastAsiaTheme="minorEastAsia"/>
                <w:color w:val="auto"/>
                <w:kern w:val="0"/>
                <w:szCs w:val="21"/>
                <w:highlight w:val="none"/>
              </w:rPr>
              <w:t>）</w:t>
            </w:r>
          </w:p>
        </w:tc>
        <w:tc>
          <w:tcPr>
            <w:tcW w:w="3119" w:type="dxa"/>
            <w:shd w:val="clear" w:color="auto" w:fill="auto"/>
            <w:vAlign w:val="center"/>
          </w:tcPr>
          <w:p w14:paraId="4F3BCD4B">
            <w:pPr>
              <w:adjustRightInd w:val="0"/>
              <w:snapToGrid w:val="0"/>
              <w:spacing w:before="156" w:beforeLines="50"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b/>
                <w:bCs/>
                <w:color w:val="auto"/>
                <w:kern w:val="0"/>
                <w:szCs w:val="21"/>
                <w:highlight w:val="none"/>
                <w:lang w:val="en-US" w:eastAsia="zh-CN"/>
              </w:rPr>
              <w:t xml:space="preserve"> </w:t>
            </w:r>
          </w:p>
        </w:tc>
      </w:tr>
    </w:tbl>
    <w:p w14:paraId="38DD8668">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b/>
          <w:color w:val="auto"/>
          <w:szCs w:val="21"/>
          <w:highlight w:val="none"/>
        </w:rPr>
        <w:t>备注：</w:t>
      </w:r>
      <w:r>
        <w:rPr>
          <w:rFonts w:hint="default" w:ascii="Times New Roman" w:hAnsi="Times New Roman" w:cs="Times New Roman" w:eastAsiaTheme="minorEastAsia"/>
          <w:color w:val="auto"/>
          <w:szCs w:val="21"/>
          <w:highlight w:val="none"/>
        </w:rPr>
        <w:t>（1）本表须按包填写，一个“包号”一份。</w:t>
      </w:r>
    </w:p>
    <w:p w14:paraId="102D2297">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40321993">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799FF9FA">
      <w:pPr>
        <w:adjustRightInd w:val="0"/>
        <w:snapToGrid w:val="0"/>
        <w:spacing w:before="156" w:beforeLines="50" w:line="360" w:lineRule="auto"/>
        <w:ind w:firstLine="420" w:firstLineChars="200"/>
        <w:rPr>
          <w:rFonts w:hint="default" w:ascii="Times New Roman" w:hAnsi="Times New Roman" w:cs="Times New Roman" w:eastAsiaTheme="minorEastAsia"/>
          <w:color w:val="auto"/>
          <w:szCs w:val="21"/>
          <w:highlight w:val="none"/>
        </w:rPr>
      </w:pPr>
    </w:p>
    <w:p w14:paraId="3047CDE6">
      <w:pPr>
        <w:adjustRightInd w:val="0"/>
        <w:snapToGrid w:val="0"/>
        <w:spacing w:line="360" w:lineRule="auto"/>
        <w:rPr>
          <w:rFonts w:hint="default" w:ascii="Times New Roman" w:hAnsi="Times New Roman" w:cs="Times New Roman" w:eastAsiaTheme="minorEastAsia"/>
          <w:color w:val="auto"/>
          <w:szCs w:val="21"/>
          <w:highlight w:val="none"/>
        </w:rPr>
      </w:pPr>
    </w:p>
    <w:p w14:paraId="256A41E1">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34802A0B">
      <w:pPr>
        <w:adjustRightInd w:val="0"/>
        <w:snapToGrid w:val="0"/>
        <w:spacing w:line="360" w:lineRule="auto"/>
        <w:rPr>
          <w:rFonts w:hint="default" w:ascii="Times New Roman" w:hAnsi="Times New Roman" w:cs="Times New Roman" w:eastAsiaTheme="minorEastAsia"/>
          <w:color w:val="auto"/>
          <w:szCs w:val="21"/>
          <w:highlight w:val="none"/>
          <w:u w:val="singl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7E029623">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p w14:paraId="7C362473">
      <w:pPr>
        <w:adjustRightInd w:val="0"/>
        <w:snapToGrid w:val="0"/>
        <w:spacing w:line="360" w:lineRule="auto"/>
        <w:rPr>
          <w:rFonts w:hint="default" w:ascii="Times New Roman" w:hAnsi="Times New Roman" w:cs="Times New Roman" w:eastAsiaTheme="minorEastAsia"/>
          <w:color w:val="auto"/>
          <w:szCs w:val="21"/>
          <w:highlight w:val="none"/>
        </w:rPr>
      </w:pPr>
    </w:p>
    <w:p w14:paraId="06BCFF85">
      <w:pPr>
        <w:adjustRightInd w:val="0"/>
        <w:snapToGrid w:val="0"/>
        <w:spacing w:line="360" w:lineRule="auto"/>
        <w:rPr>
          <w:rFonts w:hint="default" w:ascii="Times New Roman" w:hAnsi="Times New Roman" w:cs="Times New Roman" w:eastAsiaTheme="minorEastAsia"/>
          <w:color w:val="auto"/>
          <w:szCs w:val="21"/>
          <w:highlight w:val="none"/>
        </w:rPr>
      </w:pPr>
    </w:p>
    <w:p w14:paraId="27F23D97">
      <w:pPr>
        <w:adjustRightInd w:val="0"/>
        <w:snapToGrid w:val="0"/>
        <w:spacing w:line="360" w:lineRule="auto"/>
        <w:rPr>
          <w:rFonts w:hint="default" w:ascii="Times New Roman" w:hAnsi="Times New Roman" w:cs="Times New Roman" w:eastAsiaTheme="minorEastAsia"/>
          <w:color w:val="auto"/>
          <w:szCs w:val="21"/>
          <w:highlight w:val="none"/>
        </w:rPr>
      </w:pPr>
    </w:p>
    <w:p w14:paraId="1273CF6A">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说明：</w:t>
      </w:r>
    </w:p>
    <w:p w14:paraId="0E1E1034">
      <w:pPr>
        <w:ind w:firstLine="420" w:firstLineChars="200"/>
        <w:rPr>
          <w:rFonts w:hint="default" w:ascii="Times New Roman" w:hAnsi="Times New Roman" w:cs="Times New Roman" w:eastAsiaTheme="minorEastAsia"/>
          <w:color w:val="auto"/>
          <w:szCs w:val="21"/>
          <w:highlight w:val="none"/>
        </w:rPr>
      </w:pPr>
      <w:r>
        <w:rPr>
          <w:rFonts w:hint="eastAsia" w:ascii="宋体" w:hAnsi="宋体" w:cs="宋体"/>
          <w:color w:val="000000" w:themeColor="text1"/>
          <w:kern w:val="0"/>
          <w:szCs w:val="21"/>
          <w:highlight w:val="none"/>
          <w14:textFill>
            <w14:solidFill>
              <w14:schemeClr w14:val="tx1"/>
            </w14:solidFill>
          </w14:textFill>
        </w:rPr>
        <w:t>最后报价</w:t>
      </w:r>
      <w:r>
        <w:rPr>
          <w:rFonts w:hint="eastAsia" w:ascii="宋体" w:hAnsi="宋体" w:cs="宋体"/>
          <w:color w:val="000000" w:themeColor="text1"/>
          <w:kern w:val="0"/>
          <w:szCs w:val="21"/>
          <w:highlight w:val="none"/>
          <w:lang w:val="en-US" w:eastAsia="zh-CN"/>
          <w14:textFill>
            <w14:solidFill>
              <w14:schemeClr w14:val="tx1"/>
            </w14:solidFill>
          </w14:textFill>
        </w:rPr>
        <w:t>相关内容和</w:t>
      </w:r>
      <w:r>
        <w:rPr>
          <w:rFonts w:hint="eastAsia" w:ascii="宋体" w:hAnsi="宋体" w:cs="宋体"/>
          <w:color w:val="000000" w:themeColor="text1"/>
          <w:kern w:val="0"/>
          <w:szCs w:val="21"/>
          <w:highlight w:val="none"/>
          <w14:textFill>
            <w14:solidFill>
              <w14:schemeClr w14:val="tx1"/>
            </w14:solidFill>
          </w14:textFill>
        </w:rPr>
        <w:t>表格不得</w:t>
      </w:r>
      <w:r>
        <w:rPr>
          <w:rFonts w:hint="eastAsia" w:ascii="宋体" w:hAnsi="宋体" w:cs="宋体"/>
          <w:color w:val="000000" w:themeColor="text1"/>
          <w:kern w:val="0"/>
          <w:szCs w:val="21"/>
          <w:highlight w:val="none"/>
          <w:lang w:val="en-US" w:eastAsia="zh-CN"/>
          <w14:textFill>
            <w14:solidFill>
              <w14:schemeClr w14:val="tx1"/>
            </w14:solidFill>
          </w14:textFill>
        </w:rPr>
        <w:t>体现</w:t>
      </w:r>
      <w:r>
        <w:rPr>
          <w:rFonts w:hint="eastAsia" w:ascii="宋体" w:hAnsi="宋体" w:cs="宋体"/>
          <w:color w:val="000000" w:themeColor="text1"/>
          <w:kern w:val="0"/>
          <w:szCs w:val="21"/>
          <w:highlight w:val="none"/>
          <w14:textFill>
            <w14:solidFill>
              <w14:schemeClr w14:val="tx1"/>
            </w14:solidFill>
          </w14:textFill>
        </w:rPr>
        <w:t>在响应文件中，供应商</w:t>
      </w:r>
      <w:r>
        <w:rPr>
          <w:rFonts w:hint="eastAsia" w:ascii="宋体" w:hAnsi="宋体" w:eastAsia="宋体" w:cs="宋体"/>
          <w:color w:val="000000" w:themeColor="text1"/>
          <w:kern w:val="0"/>
          <w:szCs w:val="21"/>
          <w:highlight w:val="none"/>
          <w14:textFill>
            <w14:solidFill>
              <w14:schemeClr w14:val="tx1"/>
            </w14:solidFill>
          </w14:textFill>
        </w:rPr>
        <w:t>根据谈判情况</w:t>
      </w:r>
      <w:r>
        <w:rPr>
          <w:rFonts w:hint="eastAsia" w:ascii="宋体" w:hAnsi="宋体" w:eastAsia="宋体" w:cs="宋体"/>
          <w:color w:val="000000" w:themeColor="text1"/>
          <w:kern w:val="0"/>
          <w:szCs w:val="21"/>
          <w:highlight w:val="none"/>
          <w:lang w:val="en-US" w:eastAsia="zh-CN"/>
          <w14:textFill>
            <w14:solidFill>
              <w14:schemeClr w14:val="tx1"/>
            </w14:solidFill>
          </w14:textFill>
        </w:rPr>
        <w:t>按照系统程序</w:t>
      </w:r>
      <w:r>
        <w:rPr>
          <w:rFonts w:hint="eastAsia" w:ascii="宋体" w:hAnsi="宋体" w:cs="宋体"/>
          <w:color w:val="000000" w:themeColor="text1"/>
          <w:kern w:val="0"/>
          <w:szCs w:val="21"/>
          <w:highlight w:val="none"/>
          <w14:textFill>
            <w14:solidFill>
              <w14:schemeClr w14:val="tx1"/>
            </w14:solidFill>
          </w14:textFill>
        </w:rPr>
        <w:t>进行最后报价</w:t>
      </w:r>
      <w:r>
        <w:rPr>
          <w:rFonts w:hint="default" w:ascii="Times New Roman" w:hAnsi="Times New Roman" w:cs="Times New Roman" w:eastAsiaTheme="minorEastAsia"/>
          <w:color w:val="auto"/>
          <w:szCs w:val="21"/>
          <w:highlight w:val="none"/>
        </w:rPr>
        <w:t>。</w:t>
      </w:r>
    </w:p>
    <w:p w14:paraId="23AF412C">
      <w:pP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br w:type="page"/>
      </w:r>
    </w:p>
    <w:p w14:paraId="2E7B4C08">
      <w:pPr>
        <w:keepNext/>
        <w:keepLines/>
        <w:adjustRightInd w:val="0"/>
        <w:snapToGrid w:val="0"/>
        <w:spacing w:before="156" w:beforeLines="50" w:line="360" w:lineRule="auto"/>
        <w:outlineLvl w:val="2"/>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附件</w:t>
      </w:r>
      <w:r>
        <w:rPr>
          <w:rFonts w:hint="default" w:ascii="Times New Roman" w:hAnsi="Times New Roman" w:cs="Times New Roman" w:eastAsiaTheme="minorEastAsia"/>
          <w:b/>
          <w:bCs/>
          <w:color w:val="auto"/>
          <w:szCs w:val="21"/>
          <w:highlight w:val="none"/>
          <w:lang w:val="en-US" w:eastAsia="zh-CN"/>
        </w:rPr>
        <w:t>12</w:t>
      </w:r>
      <w:r>
        <w:rPr>
          <w:rFonts w:hint="default" w:ascii="Times New Roman" w:hAnsi="Times New Roman" w:cs="Times New Roman" w:eastAsiaTheme="minorEastAsia"/>
          <w:b/>
          <w:bCs/>
          <w:color w:val="auto"/>
          <w:szCs w:val="21"/>
          <w:highlight w:val="none"/>
        </w:rPr>
        <w:t>-</w:t>
      </w:r>
      <w:r>
        <w:rPr>
          <w:rFonts w:hint="default" w:ascii="Times New Roman" w:hAnsi="Times New Roman" w:cs="Times New Roman" w:eastAsiaTheme="minorEastAsia"/>
          <w:b/>
          <w:bCs/>
          <w:color w:val="auto"/>
          <w:szCs w:val="21"/>
          <w:highlight w:val="none"/>
          <w:lang w:val="en-US" w:eastAsia="zh-CN"/>
        </w:rPr>
        <w:t>1</w:t>
      </w:r>
      <w:r>
        <w:rPr>
          <w:rFonts w:hint="default" w:ascii="Times New Roman" w:hAnsi="Times New Roman" w:cs="Times New Roman" w:eastAsiaTheme="minorEastAsia"/>
          <w:b/>
          <w:bCs/>
          <w:color w:val="auto"/>
          <w:spacing w:val="-2"/>
          <w:position w:val="-3"/>
          <w:szCs w:val="21"/>
          <w:highlight w:val="none"/>
        </w:rPr>
        <w:t>分</w:t>
      </w:r>
      <w:r>
        <w:rPr>
          <w:rFonts w:hint="default" w:ascii="Times New Roman" w:hAnsi="Times New Roman" w:cs="Times New Roman" w:eastAsiaTheme="minorEastAsia"/>
          <w:b/>
          <w:bCs/>
          <w:color w:val="auto"/>
          <w:position w:val="-3"/>
          <w:szCs w:val="21"/>
          <w:highlight w:val="none"/>
        </w:rPr>
        <w:t>项</w:t>
      </w:r>
      <w:r>
        <w:rPr>
          <w:rFonts w:hint="default" w:ascii="Times New Roman" w:hAnsi="Times New Roman" w:cs="Times New Roman" w:eastAsiaTheme="minorEastAsia"/>
          <w:b/>
          <w:bCs/>
          <w:color w:val="auto"/>
          <w:spacing w:val="-2"/>
          <w:position w:val="-3"/>
          <w:szCs w:val="21"/>
          <w:highlight w:val="none"/>
        </w:rPr>
        <w:t>报</w:t>
      </w:r>
      <w:r>
        <w:rPr>
          <w:rFonts w:hint="default" w:ascii="Times New Roman" w:hAnsi="Times New Roman" w:cs="Times New Roman" w:eastAsiaTheme="minorEastAsia"/>
          <w:b/>
          <w:bCs/>
          <w:color w:val="auto"/>
          <w:position w:val="-3"/>
          <w:szCs w:val="21"/>
          <w:highlight w:val="none"/>
        </w:rPr>
        <w:t>价明细表</w:t>
      </w:r>
    </w:p>
    <w:p w14:paraId="2795FDE2">
      <w:pPr>
        <w:adjustRightInd w:val="0"/>
        <w:snapToGrid w:val="0"/>
        <w:spacing w:before="156" w:beforeLines="50" w:line="360" w:lineRule="auto"/>
        <w:jc w:val="center"/>
        <w:rPr>
          <w:rFonts w:hint="default" w:ascii="Times New Roman" w:hAnsi="Times New Roman" w:cs="Times New Roman" w:eastAsiaTheme="minorEastAsia"/>
          <w:b/>
          <w:color w:val="auto"/>
          <w:kern w:val="0"/>
          <w:position w:val="-3"/>
          <w:sz w:val="28"/>
          <w:szCs w:val="28"/>
          <w:highlight w:val="none"/>
        </w:rPr>
      </w:pPr>
      <w:r>
        <w:rPr>
          <w:rFonts w:hint="default" w:ascii="Times New Roman" w:hAnsi="Times New Roman" w:cs="Times New Roman" w:eastAsiaTheme="minorEastAsia"/>
          <w:b/>
          <w:color w:val="auto"/>
          <w:spacing w:val="-2"/>
          <w:kern w:val="0"/>
          <w:position w:val="-3"/>
          <w:sz w:val="28"/>
          <w:szCs w:val="28"/>
          <w:highlight w:val="none"/>
        </w:rPr>
        <w:t>分</w:t>
      </w:r>
      <w:r>
        <w:rPr>
          <w:rFonts w:hint="default" w:ascii="Times New Roman" w:hAnsi="Times New Roman" w:cs="Times New Roman" w:eastAsiaTheme="minorEastAsia"/>
          <w:b/>
          <w:color w:val="auto"/>
          <w:kern w:val="0"/>
          <w:position w:val="-3"/>
          <w:sz w:val="28"/>
          <w:szCs w:val="28"/>
          <w:highlight w:val="none"/>
        </w:rPr>
        <w:t>项</w:t>
      </w:r>
      <w:r>
        <w:rPr>
          <w:rFonts w:hint="default" w:ascii="Times New Roman" w:hAnsi="Times New Roman" w:cs="Times New Roman" w:eastAsiaTheme="minorEastAsia"/>
          <w:b/>
          <w:color w:val="auto"/>
          <w:spacing w:val="-2"/>
          <w:kern w:val="0"/>
          <w:position w:val="-3"/>
          <w:sz w:val="28"/>
          <w:szCs w:val="28"/>
          <w:highlight w:val="none"/>
        </w:rPr>
        <w:t>报</w:t>
      </w:r>
      <w:r>
        <w:rPr>
          <w:rFonts w:hint="default" w:ascii="Times New Roman" w:hAnsi="Times New Roman" w:cs="Times New Roman" w:eastAsiaTheme="minorEastAsia"/>
          <w:b/>
          <w:color w:val="auto"/>
          <w:kern w:val="0"/>
          <w:position w:val="-3"/>
          <w:sz w:val="28"/>
          <w:szCs w:val="28"/>
          <w:highlight w:val="none"/>
        </w:rPr>
        <w:t>价明细表（货物类适用）</w:t>
      </w:r>
    </w:p>
    <w:p w14:paraId="56AC8D7B">
      <w:pPr>
        <w:adjustRightInd w:val="0"/>
        <w:snapToGrid w:val="0"/>
        <w:spacing w:before="156" w:beforeLines="50"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政府采购计划编号：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项目名称：</w:t>
      </w:r>
      <w:r>
        <w:rPr>
          <w:rFonts w:hint="default" w:ascii="Times New Roman" w:hAnsi="Times New Roman" w:cs="Times New Roman" w:eastAsiaTheme="minorEastAsia"/>
          <w:color w:val="auto"/>
          <w:szCs w:val="21"/>
          <w:highlight w:val="none"/>
          <w:u w:val="single"/>
        </w:rPr>
        <w:t xml:space="preserve">                        </w:t>
      </w:r>
    </w:p>
    <w:p w14:paraId="2BB3DFDC">
      <w:pPr>
        <w:adjustRightInd w:val="0"/>
        <w:snapToGrid w:val="0"/>
        <w:spacing w:before="156" w:beforeLines="50" w:line="360" w:lineRule="auto"/>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color w:val="auto"/>
          <w:szCs w:val="21"/>
          <w:highlight w:val="none"/>
        </w:rPr>
        <w:t>包号：</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 xml:space="preserve">                       包名称：</w:t>
      </w:r>
      <w:r>
        <w:rPr>
          <w:rFonts w:hint="default" w:ascii="Times New Roman" w:hAnsi="Times New Roman" w:cs="Times New Roman" w:eastAsiaTheme="minorEastAsia"/>
          <w:color w:val="auto"/>
          <w:szCs w:val="21"/>
          <w:highlight w:val="none"/>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1383"/>
        <w:gridCol w:w="1533"/>
        <w:gridCol w:w="1869"/>
        <w:gridCol w:w="1016"/>
        <w:gridCol w:w="910"/>
        <w:gridCol w:w="916"/>
        <w:gridCol w:w="914"/>
      </w:tblGrid>
      <w:tr w14:paraId="771DFF69">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3B62EFA1">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position w:val="-1"/>
                <w:szCs w:val="21"/>
                <w:highlight w:val="none"/>
              </w:rPr>
            </w:pPr>
            <w:r>
              <w:rPr>
                <w:rFonts w:hint="default" w:ascii="Times New Roman" w:hAnsi="Times New Roman" w:cs="Times New Roman" w:eastAsiaTheme="minorEastAsia"/>
                <w:color w:val="auto"/>
                <w:kern w:val="0"/>
                <w:position w:val="-1"/>
                <w:szCs w:val="21"/>
                <w:highlight w:val="none"/>
              </w:rPr>
              <w:t>标的名称</w:t>
            </w:r>
          </w:p>
        </w:tc>
        <w:tc>
          <w:tcPr>
            <w:tcW w:w="1533" w:type="dxa"/>
            <w:vMerge w:val="restart"/>
            <w:tcBorders>
              <w:top w:val="double" w:color="auto" w:sz="4" w:space="0"/>
              <w:left w:val="single" w:color="auto" w:sz="6" w:space="0"/>
              <w:bottom w:val="single" w:color="auto" w:sz="6" w:space="0"/>
              <w:right w:val="single" w:color="auto" w:sz="4" w:space="0"/>
            </w:tcBorders>
            <w:noWrap w:val="0"/>
            <w:vAlign w:val="center"/>
          </w:tcPr>
          <w:p w14:paraId="7527F0F0">
            <w:pPr>
              <w:autoSpaceDE w:val="0"/>
              <w:autoSpaceDN w:val="0"/>
              <w:adjustRightInd w:val="0"/>
              <w:snapToGrid w:val="0"/>
              <w:spacing w:line="360" w:lineRule="auto"/>
              <w:ind w:right="-2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规格型号（或服务要求）</w:t>
            </w:r>
          </w:p>
        </w:tc>
        <w:tc>
          <w:tcPr>
            <w:tcW w:w="1869" w:type="dxa"/>
            <w:vMerge w:val="restart"/>
            <w:tcBorders>
              <w:top w:val="double" w:color="auto" w:sz="4" w:space="0"/>
              <w:left w:val="single" w:color="auto" w:sz="4" w:space="0"/>
              <w:bottom w:val="single" w:color="auto" w:sz="6" w:space="0"/>
              <w:right w:val="single" w:color="auto" w:sz="6" w:space="0"/>
            </w:tcBorders>
            <w:noWrap w:val="0"/>
            <w:vAlign w:val="center"/>
          </w:tcPr>
          <w:p w14:paraId="7DC02A59">
            <w:pPr>
              <w:autoSpaceDE w:val="0"/>
              <w:autoSpaceDN w:val="0"/>
              <w:adjustRightInd w:val="0"/>
              <w:snapToGrid w:val="0"/>
              <w:spacing w:line="360" w:lineRule="auto"/>
              <w:ind w:right="-2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品牌/产地</w:t>
            </w:r>
          </w:p>
        </w:tc>
        <w:tc>
          <w:tcPr>
            <w:tcW w:w="1016" w:type="dxa"/>
            <w:vMerge w:val="restart"/>
            <w:tcBorders>
              <w:top w:val="double" w:color="auto" w:sz="4" w:space="0"/>
              <w:left w:val="single" w:color="auto" w:sz="6" w:space="0"/>
              <w:right w:val="single" w:color="auto" w:sz="4" w:space="0"/>
            </w:tcBorders>
            <w:noWrap w:val="0"/>
            <w:vAlign w:val="center"/>
          </w:tcPr>
          <w:p w14:paraId="2B50B060">
            <w:pPr>
              <w:autoSpaceDE w:val="0"/>
              <w:autoSpaceDN w:val="0"/>
              <w:adjustRightInd w:val="0"/>
              <w:snapToGrid w:val="0"/>
              <w:spacing w:line="360" w:lineRule="auto"/>
              <w:ind w:right="-2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5B90252D">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position w:val="-1"/>
                <w:szCs w:val="21"/>
                <w:highlight w:val="none"/>
              </w:rPr>
            </w:pPr>
            <w:r>
              <w:rPr>
                <w:rFonts w:hint="default" w:ascii="Times New Roman" w:hAnsi="Times New Roman" w:cs="Times New Roman" w:eastAsiaTheme="minorEastAsia"/>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68A32DB4">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position w:val="-1"/>
                <w:szCs w:val="21"/>
                <w:highlight w:val="none"/>
              </w:rPr>
            </w:pPr>
            <w:r>
              <w:rPr>
                <w:rFonts w:hint="default" w:ascii="Times New Roman" w:hAnsi="Times New Roman" w:cs="Times New Roman" w:eastAsiaTheme="minorEastAsia"/>
                <w:color w:val="auto"/>
                <w:kern w:val="0"/>
                <w:position w:val="-1"/>
                <w:szCs w:val="21"/>
                <w:highlight w:val="none"/>
              </w:rPr>
              <w:t>备注</w:t>
            </w:r>
          </w:p>
        </w:tc>
      </w:tr>
      <w:tr w14:paraId="34A9BCA2">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008ACF38">
            <w:pPr>
              <w:autoSpaceDE w:val="0"/>
              <w:autoSpaceDN w:val="0"/>
              <w:adjustRightInd w:val="0"/>
              <w:snapToGrid w:val="0"/>
              <w:spacing w:line="360" w:lineRule="auto"/>
              <w:ind w:left="352" w:right="-20"/>
              <w:jc w:val="left"/>
              <w:rPr>
                <w:rFonts w:hint="default" w:ascii="Times New Roman" w:hAnsi="Times New Roman" w:cs="Times New Roman" w:eastAsiaTheme="minorEastAsia"/>
                <w:color w:val="auto"/>
                <w:kern w:val="0"/>
                <w:szCs w:val="21"/>
                <w:highlight w:val="none"/>
              </w:rPr>
            </w:pPr>
          </w:p>
        </w:tc>
        <w:tc>
          <w:tcPr>
            <w:tcW w:w="1533" w:type="dxa"/>
            <w:vMerge w:val="continue"/>
            <w:tcBorders>
              <w:top w:val="single" w:color="auto" w:sz="6" w:space="0"/>
              <w:left w:val="single" w:color="auto" w:sz="6" w:space="0"/>
              <w:bottom w:val="single" w:color="auto" w:sz="6" w:space="0"/>
              <w:right w:val="single" w:color="auto" w:sz="4" w:space="0"/>
            </w:tcBorders>
            <w:noWrap w:val="0"/>
            <w:vAlign w:val="center"/>
          </w:tcPr>
          <w:p w14:paraId="6383D970">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p>
        </w:tc>
        <w:tc>
          <w:tcPr>
            <w:tcW w:w="1869" w:type="dxa"/>
            <w:vMerge w:val="continue"/>
            <w:tcBorders>
              <w:top w:val="single" w:color="auto" w:sz="6" w:space="0"/>
              <w:left w:val="single" w:color="auto" w:sz="4" w:space="0"/>
              <w:bottom w:val="single" w:color="auto" w:sz="6" w:space="0"/>
              <w:right w:val="single" w:color="auto" w:sz="6" w:space="0"/>
            </w:tcBorders>
            <w:noWrap w:val="0"/>
            <w:vAlign w:val="center"/>
          </w:tcPr>
          <w:p w14:paraId="09728745">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p>
        </w:tc>
        <w:tc>
          <w:tcPr>
            <w:tcW w:w="1016" w:type="dxa"/>
            <w:vMerge w:val="continue"/>
            <w:tcBorders>
              <w:left w:val="single" w:color="auto" w:sz="6" w:space="0"/>
              <w:bottom w:val="single" w:color="auto" w:sz="6" w:space="0"/>
              <w:right w:val="single" w:color="auto" w:sz="4" w:space="0"/>
            </w:tcBorders>
            <w:noWrap w:val="0"/>
            <w:vAlign w:val="center"/>
          </w:tcPr>
          <w:p w14:paraId="20914895">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64F85515">
            <w:pPr>
              <w:autoSpaceDE w:val="0"/>
              <w:autoSpaceDN w:val="0"/>
              <w:adjustRightInd w:val="0"/>
              <w:snapToGrid w:val="0"/>
              <w:spacing w:line="360" w:lineRule="auto"/>
              <w:ind w:right="-20"/>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609A1237">
            <w:pPr>
              <w:autoSpaceDE w:val="0"/>
              <w:autoSpaceDN w:val="0"/>
              <w:adjustRightInd w:val="0"/>
              <w:snapToGrid w:val="0"/>
              <w:spacing w:line="360" w:lineRule="auto"/>
              <w:ind w:left="70" w:right="-20"/>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487437B0">
            <w:pPr>
              <w:autoSpaceDE w:val="0"/>
              <w:autoSpaceDN w:val="0"/>
              <w:adjustRightInd w:val="0"/>
              <w:snapToGrid w:val="0"/>
              <w:spacing w:line="360" w:lineRule="auto"/>
              <w:ind w:left="422" w:right="-20"/>
              <w:jc w:val="left"/>
              <w:rPr>
                <w:rFonts w:hint="default" w:ascii="Times New Roman" w:hAnsi="Times New Roman" w:cs="Times New Roman" w:eastAsiaTheme="minorEastAsia"/>
                <w:color w:val="auto"/>
                <w:kern w:val="0"/>
                <w:szCs w:val="21"/>
                <w:highlight w:val="none"/>
              </w:rPr>
            </w:pPr>
          </w:p>
        </w:tc>
      </w:tr>
      <w:tr w14:paraId="700DC361">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A605C20">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6045C2B">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0788EA8C">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66F468A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CD15C9A">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80BD20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E56ABA0">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248DCBC">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75A7A3B1">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F651131">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E908D99">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2172C35C">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74A78B7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42925BDF">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4C9AF4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417D9E7">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A19F4B6">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0AAD633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9C31640">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8A8D9B1">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488F37BF">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23BC5546">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D11300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5F32161">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5F20B25">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E483F60">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4A6F13F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49FC9D3">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E01BD5B">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480940FB">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41CED490">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4987A9DC">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956F4C0">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940E7C1">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BFB743B">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6EE4147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EB2D6BE">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694AA4D">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440612C9">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1738BE4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0447ADD">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186752D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A2BC4D7">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5DDB618">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1A5E6BB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04A91CF">
            <w:pPr>
              <w:jc w:val="cente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6E65FA9C">
            <w:pPr>
              <w:autoSpaceDE w:val="0"/>
              <w:autoSpaceDN w:val="0"/>
              <w:adjustRightInd w:val="0"/>
              <w:snapToGrid w:val="0"/>
              <w:spacing w:line="360" w:lineRule="auto"/>
              <w:ind w:left="527" w:right="507"/>
              <w:jc w:val="center"/>
              <w:rPr>
                <w:rFonts w:hint="default" w:ascii="Times New Roman" w:hAnsi="Times New Roman" w:cs="Times New Roman" w:eastAsiaTheme="minorEastAsia"/>
                <w:color w:val="auto"/>
                <w:kern w:val="0"/>
                <w:szCs w:val="21"/>
                <w:highlight w:val="none"/>
              </w:rPr>
            </w:pPr>
          </w:p>
        </w:tc>
        <w:tc>
          <w:tcPr>
            <w:tcW w:w="1533" w:type="dxa"/>
            <w:tcBorders>
              <w:top w:val="single" w:color="auto" w:sz="6" w:space="0"/>
              <w:left w:val="single" w:color="auto" w:sz="6" w:space="0"/>
              <w:bottom w:val="single" w:color="auto" w:sz="6" w:space="0"/>
              <w:right w:val="single" w:color="auto" w:sz="4" w:space="0"/>
            </w:tcBorders>
            <w:noWrap w:val="0"/>
            <w:vAlign w:val="top"/>
          </w:tcPr>
          <w:p w14:paraId="51919BD1">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869" w:type="dxa"/>
            <w:tcBorders>
              <w:top w:val="single" w:color="auto" w:sz="6" w:space="0"/>
              <w:left w:val="single" w:color="auto" w:sz="4" w:space="0"/>
              <w:bottom w:val="single" w:color="auto" w:sz="6" w:space="0"/>
              <w:right w:val="single" w:color="auto" w:sz="6" w:space="0"/>
            </w:tcBorders>
            <w:noWrap w:val="0"/>
            <w:vAlign w:val="top"/>
          </w:tcPr>
          <w:p w14:paraId="667231AB">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0752730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3AD3B73">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DD7E30E">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0661AC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r w14:paraId="09269DEB">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7EB2912D">
            <w:pPr>
              <w:autoSpaceDE w:val="0"/>
              <w:autoSpaceDN w:val="0"/>
              <w:adjustRightInd w:val="0"/>
              <w:snapToGrid w:val="0"/>
              <w:spacing w:line="360" w:lineRule="auto"/>
              <w:jc w:val="center"/>
              <w:rPr>
                <w:rFonts w:hint="default" w:ascii="Times New Roman" w:hAnsi="Times New Roman" w:cs="Times New Roman" w:eastAsiaTheme="minorEastAsia"/>
                <w:color w:val="auto"/>
                <w:kern w:val="0"/>
                <w:szCs w:val="21"/>
                <w:highlight w:val="none"/>
              </w:rPr>
            </w:pPr>
            <w:r>
              <w:rPr>
                <w:rFonts w:hint="default" w:ascii="Times New Roman" w:hAnsi="Times New Roman" w:cs="Times New Roman" w:eastAsiaTheme="minorEastAsia"/>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7FC9875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1BF95FE4">
            <w:pPr>
              <w:autoSpaceDE w:val="0"/>
              <w:autoSpaceDN w:val="0"/>
              <w:adjustRightInd w:val="0"/>
              <w:snapToGrid w:val="0"/>
              <w:spacing w:line="360" w:lineRule="auto"/>
              <w:jc w:val="left"/>
              <w:rPr>
                <w:rFonts w:hint="default" w:ascii="Times New Roman" w:hAnsi="Times New Roman" w:cs="Times New Roman" w:eastAsiaTheme="minorEastAsia"/>
                <w:color w:val="auto"/>
                <w:kern w:val="0"/>
                <w:szCs w:val="21"/>
                <w:highlight w:val="none"/>
              </w:rPr>
            </w:pPr>
          </w:p>
        </w:tc>
      </w:tr>
    </w:tbl>
    <w:p w14:paraId="52D3D7A8">
      <w:pPr>
        <w:adjustRightInd w:val="0"/>
        <w:snapToGrid w:val="0"/>
        <w:spacing w:line="360" w:lineRule="auto"/>
        <w:rPr>
          <w:rFonts w:hint="default" w:ascii="Times New Roman" w:hAnsi="Times New Roman" w:cs="Times New Roman" w:eastAsiaTheme="minorEastAsia"/>
          <w:color w:val="auto"/>
          <w:szCs w:val="21"/>
          <w:highlight w:val="none"/>
        </w:rPr>
      </w:pPr>
    </w:p>
    <w:p w14:paraId="333F20F7">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注：</w:t>
      </w:r>
      <w:r>
        <w:rPr>
          <w:rFonts w:hint="default" w:ascii="Times New Roman" w:hAnsi="Times New Roman" w:cs="Times New Roman" w:eastAsiaTheme="minorEastAsia"/>
          <w:color w:val="auto"/>
          <w:szCs w:val="21"/>
          <w:highlight w:val="none"/>
          <w:lang w:val="en-US" w:eastAsia="zh-CN"/>
        </w:rPr>
        <w:t>1.</w:t>
      </w:r>
      <w:r>
        <w:rPr>
          <w:rFonts w:hint="default" w:ascii="Times New Roman" w:hAnsi="Times New Roman" w:cs="Times New Roman" w:eastAsiaTheme="minorEastAsia"/>
          <w:b/>
          <w:color w:val="auto"/>
          <w:szCs w:val="21"/>
          <w:highlight w:val="none"/>
        </w:rPr>
        <w:t>本表应对应</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b/>
          <w:color w:val="auto"/>
          <w:szCs w:val="21"/>
          <w:highlight w:val="none"/>
        </w:rPr>
        <w:t>报价表</w:t>
      </w:r>
      <w:r>
        <w:rPr>
          <w:rFonts w:hint="default" w:ascii="Times New Roman" w:hAnsi="Times New Roman" w:cs="Times New Roman" w:eastAsiaTheme="minorEastAsia"/>
          <w:color w:val="auto"/>
          <w:szCs w:val="21"/>
          <w:highlight w:val="none"/>
        </w:rPr>
        <w:t>”</w:t>
      </w:r>
      <w:r>
        <w:rPr>
          <w:rFonts w:hint="default" w:ascii="Times New Roman" w:hAnsi="Times New Roman" w:cs="Times New Roman" w:eastAsiaTheme="minorEastAsia"/>
          <w:b/>
          <w:color w:val="auto"/>
          <w:szCs w:val="21"/>
          <w:highlight w:val="none"/>
        </w:rPr>
        <w:t>，按包填写</w:t>
      </w:r>
      <w:r>
        <w:rPr>
          <w:rFonts w:hint="default" w:ascii="Times New Roman" w:hAnsi="Times New Roman" w:cs="Times New Roman" w:eastAsiaTheme="minorEastAsia"/>
          <w:color w:val="auto"/>
          <w:szCs w:val="21"/>
          <w:highlight w:val="none"/>
        </w:rPr>
        <w:t>。供应商如果不提供分项报价明细表，其</w:t>
      </w:r>
      <w:r>
        <w:rPr>
          <w:rFonts w:hint="default" w:ascii="Times New Roman" w:hAnsi="Times New Roman" w:cs="Times New Roman" w:eastAsiaTheme="minorEastAsia"/>
          <w:b/>
          <w:color w:val="auto"/>
          <w:szCs w:val="21"/>
          <w:highlight w:val="none"/>
        </w:rPr>
        <w:t>响应无效</w:t>
      </w:r>
      <w:r>
        <w:rPr>
          <w:rFonts w:hint="default" w:ascii="Times New Roman" w:hAnsi="Times New Roman" w:cs="Times New Roman" w:eastAsiaTheme="minorEastAsia"/>
          <w:color w:val="auto"/>
          <w:szCs w:val="21"/>
          <w:highlight w:val="none"/>
        </w:rPr>
        <w:t>。</w:t>
      </w:r>
    </w:p>
    <w:p w14:paraId="50C6DDA7">
      <w:pPr>
        <w:adjustRightInd w:val="0"/>
        <w:snapToGrid w:val="0"/>
        <w:spacing w:line="360" w:lineRule="auto"/>
        <w:ind w:left="0" w:leftChars="0" w:firstLine="42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val="en-US" w:eastAsia="zh-CN"/>
        </w:rPr>
        <w:t>2.</w:t>
      </w:r>
      <w:r>
        <w:rPr>
          <w:rFonts w:hint="default" w:ascii="Times New Roman" w:hAnsi="Times New Roman" w:cs="Times New Roman" w:eastAsiaTheme="minorEastAsia"/>
          <w:color w:val="auto"/>
          <w:szCs w:val="21"/>
          <w:highlight w:val="none"/>
        </w:rPr>
        <w:t>不得填写“免费”或“赠与”，也不得进行“零”报价，否则</w:t>
      </w:r>
      <w:r>
        <w:rPr>
          <w:rFonts w:hint="default" w:ascii="Times New Roman" w:hAnsi="Times New Roman" w:cs="Times New Roman" w:eastAsiaTheme="minorEastAsia"/>
          <w:b/>
          <w:color w:val="auto"/>
          <w:szCs w:val="21"/>
          <w:highlight w:val="none"/>
        </w:rPr>
        <w:t>响应无效</w:t>
      </w:r>
      <w:r>
        <w:rPr>
          <w:rFonts w:hint="default" w:ascii="Times New Roman" w:hAnsi="Times New Roman" w:cs="Times New Roman" w:eastAsiaTheme="minorEastAsia"/>
          <w:color w:val="auto"/>
          <w:szCs w:val="21"/>
          <w:highlight w:val="none"/>
        </w:rPr>
        <w:t>。</w:t>
      </w:r>
    </w:p>
    <w:p w14:paraId="14567E0D">
      <w:pPr>
        <w:adjustRightInd w:val="0"/>
        <w:snapToGrid w:val="0"/>
        <w:spacing w:line="360" w:lineRule="auto"/>
        <w:ind w:firstLine="422" w:firstLineChars="200"/>
        <w:rPr>
          <w:rFonts w:hint="default" w:ascii="Times New Roman" w:hAnsi="Times New Roman" w:cs="Times New Roman" w:eastAsiaTheme="minorEastAsia"/>
          <w:b/>
          <w:color w:val="auto"/>
          <w:szCs w:val="21"/>
          <w:highlight w:val="none"/>
        </w:rPr>
      </w:pPr>
    </w:p>
    <w:p w14:paraId="2E51A713">
      <w:pPr>
        <w:adjustRightInd w:val="0"/>
        <w:snapToGrid w:val="0"/>
        <w:spacing w:line="360" w:lineRule="auto"/>
        <w:rPr>
          <w:rFonts w:hint="default" w:ascii="Times New Roman" w:hAnsi="Times New Roman" w:cs="Times New Roman" w:eastAsiaTheme="minorEastAsia"/>
          <w:color w:val="auto"/>
          <w:szCs w:val="21"/>
          <w:highlight w:val="none"/>
        </w:rPr>
      </w:pPr>
    </w:p>
    <w:p w14:paraId="5D1AEEAC">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供应商名称（盖单位公章）：</w:t>
      </w:r>
      <w:r>
        <w:rPr>
          <w:rFonts w:hint="default" w:ascii="Times New Roman" w:hAnsi="Times New Roman" w:cs="Times New Roman" w:eastAsiaTheme="minorEastAsia"/>
          <w:color w:val="auto"/>
          <w:szCs w:val="21"/>
          <w:highlight w:val="none"/>
          <w:u w:val="single"/>
        </w:rPr>
        <w:t xml:space="preserve">                 </w:t>
      </w:r>
    </w:p>
    <w:p w14:paraId="478FE9FD">
      <w:pPr>
        <w:adjustRightInd w:val="0"/>
        <w:snapToGrid w:val="0"/>
        <w:spacing w:line="360" w:lineRule="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pacing w:val="-2"/>
          <w:kern w:val="0"/>
          <w:szCs w:val="21"/>
          <w:highlight w:val="none"/>
        </w:rPr>
        <w:t>法</w:t>
      </w:r>
      <w:r>
        <w:rPr>
          <w:rFonts w:hint="default" w:ascii="Times New Roman" w:hAnsi="Times New Roman" w:cs="Times New Roman" w:eastAsiaTheme="minorEastAsia"/>
          <w:color w:val="auto"/>
          <w:kern w:val="0"/>
          <w:szCs w:val="21"/>
          <w:highlight w:val="none"/>
        </w:rPr>
        <w:t>定</w:t>
      </w:r>
      <w:r>
        <w:rPr>
          <w:rFonts w:hint="default" w:ascii="Times New Roman" w:hAnsi="Times New Roman" w:cs="Times New Roman" w:eastAsiaTheme="minorEastAsia"/>
          <w:color w:val="auto"/>
          <w:spacing w:val="-2"/>
          <w:kern w:val="0"/>
          <w:szCs w:val="21"/>
          <w:highlight w:val="none"/>
        </w:rPr>
        <w:t>代</w:t>
      </w:r>
      <w:r>
        <w:rPr>
          <w:rFonts w:hint="default" w:ascii="Times New Roman" w:hAnsi="Times New Roman" w:cs="Times New Roman" w:eastAsiaTheme="minorEastAsia"/>
          <w:color w:val="auto"/>
          <w:kern w:val="0"/>
          <w:szCs w:val="21"/>
          <w:highlight w:val="none"/>
        </w:rPr>
        <w:t>表</w:t>
      </w:r>
      <w:r>
        <w:rPr>
          <w:rFonts w:hint="default" w:ascii="Times New Roman" w:hAnsi="Times New Roman" w:cs="Times New Roman" w:eastAsiaTheme="minorEastAsia"/>
          <w:color w:val="auto"/>
          <w:spacing w:val="-2"/>
          <w:kern w:val="0"/>
          <w:szCs w:val="21"/>
          <w:highlight w:val="none"/>
        </w:rPr>
        <w:t>人</w:t>
      </w:r>
      <w:r>
        <w:rPr>
          <w:rFonts w:hint="default" w:ascii="Times New Roman" w:hAnsi="Times New Roman" w:cs="Times New Roman" w:eastAsiaTheme="minorEastAsia"/>
          <w:color w:val="auto"/>
          <w:kern w:val="0"/>
          <w:szCs w:val="21"/>
          <w:highlight w:val="none"/>
        </w:rPr>
        <w:t>（</w:t>
      </w:r>
      <w:r>
        <w:rPr>
          <w:rFonts w:hint="default" w:ascii="Times New Roman" w:hAnsi="Times New Roman" w:cs="Times New Roman" w:eastAsiaTheme="minorEastAsia"/>
          <w:color w:val="auto"/>
          <w:spacing w:val="-2"/>
          <w:kern w:val="0"/>
          <w:szCs w:val="21"/>
          <w:highlight w:val="none"/>
        </w:rPr>
        <w:t>单</w:t>
      </w:r>
      <w:r>
        <w:rPr>
          <w:rFonts w:hint="default" w:ascii="Times New Roman" w:hAnsi="Times New Roman" w:cs="Times New Roman" w:eastAsiaTheme="minorEastAsia"/>
          <w:color w:val="auto"/>
          <w:kern w:val="0"/>
          <w:szCs w:val="21"/>
          <w:highlight w:val="none"/>
        </w:rPr>
        <w:t>位</w:t>
      </w:r>
      <w:r>
        <w:rPr>
          <w:rFonts w:hint="default" w:ascii="Times New Roman" w:hAnsi="Times New Roman" w:cs="Times New Roman" w:eastAsiaTheme="minorEastAsia"/>
          <w:color w:val="auto"/>
          <w:spacing w:val="-2"/>
          <w:kern w:val="0"/>
          <w:szCs w:val="21"/>
          <w:highlight w:val="none"/>
        </w:rPr>
        <w:t>负</w:t>
      </w:r>
      <w:r>
        <w:rPr>
          <w:rFonts w:hint="default" w:ascii="Times New Roman" w:hAnsi="Times New Roman" w:cs="Times New Roman" w:eastAsiaTheme="minorEastAsia"/>
          <w:color w:val="auto"/>
          <w:kern w:val="0"/>
          <w:szCs w:val="21"/>
          <w:highlight w:val="none"/>
        </w:rPr>
        <w:t>责人</w:t>
      </w:r>
      <w:r>
        <w:rPr>
          <w:rFonts w:hint="default" w:ascii="Times New Roman" w:hAnsi="Times New Roman" w:cs="Times New Roman" w:eastAsiaTheme="minorEastAsia"/>
          <w:color w:val="auto"/>
          <w:spacing w:val="-2"/>
          <w:kern w:val="0"/>
          <w:szCs w:val="21"/>
          <w:highlight w:val="none"/>
        </w:rPr>
        <w:t>）</w:t>
      </w:r>
      <w:r>
        <w:rPr>
          <w:rFonts w:hint="default" w:ascii="Times New Roman" w:hAnsi="Times New Roman" w:cs="Times New Roman" w:eastAsiaTheme="minorEastAsia"/>
          <w:color w:val="auto"/>
          <w:szCs w:val="21"/>
          <w:highlight w:val="none"/>
        </w:rPr>
        <w:t>或其授权的代理人（签字或印章）：</w:t>
      </w:r>
      <w:r>
        <w:rPr>
          <w:rFonts w:hint="default" w:ascii="Times New Roman" w:hAnsi="Times New Roman" w:cs="Times New Roman" w:eastAsiaTheme="minorEastAsia"/>
          <w:color w:val="auto"/>
          <w:szCs w:val="21"/>
          <w:highlight w:val="none"/>
          <w:u w:val="single"/>
        </w:rPr>
        <w:t xml:space="preserve">          </w:t>
      </w:r>
    </w:p>
    <w:p w14:paraId="55B88E87">
      <w:pPr>
        <w:pStyle w:val="61"/>
        <w:ind w:left="0" w:leftChars="0" w:firstLine="0" w:firstLineChars="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eastAsiaTheme="minorEastAsia"/>
          <w:color w:val="auto"/>
          <w:szCs w:val="21"/>
          <w:highlight w:val="none"/>
        </w:rPr>
        <w:t>日期：</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u w:val="single"/>
          <w:lang w:val="en-US" w:eastAsia="zh-CN"/>
        </w:rPr>
        <w:t xml:space="preserve">  </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年</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月</w:t>
      </w:r>
      <w:r>
        <w:rPr>
          <w:rFonts w:hint="default" w:ascii="Times New Roman" w:hAnsi="Times New Roman" w:cs="Times New Roman" w:eastAsiaTheme="minorEastAsia"/>
          <w:color w:val="auto"/>
          <w:szCs w:val="21"/>
          <w:highlight w:val="none"/>
          <w:u w:val="single"/>
        </w:rPr>
        <w:t xml:space="preserve">    </w:t>
      </w:r>
      <w:r>
        <w:rPr>
          <w:rFonts w:hint="default" w:ascii="Times New Roman" w:hAnsi="Times New Roman" w:cs="Times New Roman" w:eastAsiaTheme="minorEastAsia"/>
          <w:color w:val="auto"/>
          <w:szCs w:val="21"/>
          <w:highlight w:val="none"/>
        </w:rPr>
        <w:t>日</w:t>
      </w:r>
    </w:p>
    <w:sectPr>
      <w:footerReference r:id="rId7" w:type="default"/>
      <w:footerReference r:id="rId8" w:type="even"/>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E5B1A">
    <w:pPr>
      <w:pStyle w:val="27"/>
      <w:ind w:firstLine="4320" w:firstLineChars="2400"/>
      <w:rPr>
        <w:rFonts w:hint="default" w:eastAsia="宋体"/>
        <w:lang w:val="en-US" w:eastAsia="zh-CN"/>
      </w:rPr>
    </w:pPr>
    <w:r>
      <w:rPr>
        <w:rFonts w:hint="eastAsia"/>
        <w:lang w:val="en-US" w:eastAsia="zh-CN"/>
      </w:rPr>
      <w:t>14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9C9AA">
    <w:pPr>
      <w:pStyle w:val="27"/>
      <w:ind w:left="180" w:hanging="180" w:hangingChars="100"/>
      <w:jc w:val="right"/>
      <w:rPr>
        <w:rFonts w:eastAsia="楷体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17AD0">
                          <w:pPr>
                            <w:pStyle w:val="2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1E17AD0">
                    <w:pPr>
                      <w:pStyle w:val="27"/>
                    </w:pPr>
                    <w:r>
                      <w:fldChar w:fldCharType="begin"/>
                    </w:r>
                    <w:r>
                      <w:instrText xml:space="preserve"> PAGE  \* MERGEFORMAT </w:instrText>
                    </w:r>
                    <w:r>
                      <w:fldChar w:fldCharType="separate"/>
                    </w:r>
                    <w:r>
                      <w:t>2</w:t>
                    </w:r>
                    <w:r>
                      <w:fldChar w:fldCharType="end"/>
                    </w:r>
                  </w:p>
                </w:txbxContent>
              </v:textbox>
            </v:shape>
          </w:pict>
        </mc:Fallback>
      </mc:AlternateContent>
    </w:r>
    <w:r>
      <w:rPr>
        <w:rFonts w:eastAsia="楷体_GB23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A061D">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E7752B">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0E7752B">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32A47">
    <w:pPr>
      <w:widowControl w:val="0"/>
      <w:snapToGrid w:val="0"/>
      <w:ind w:left="240" w:right="359" w:rightChars="171" w:hanging="240" w:hangingChars="100"/>
      <w:jc w:val="left"/>
      <w:rPr>
        <w:rFonts w:ascii="Times New Roman" w:hAnsi="Times New Roman" w:eastAsia="楷体_GB2312" w:cs="Times New Roman"/>
        <w:kern w:val="2"/>
        <w:sz w:val="24"/>
        <w:szCs w:val="24"/>
        <w:lang w:val="en-US" w:eastAsia="zh-CN" w:bidi="ar-SA"/>
      </w:rPr>
    </w:pP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B71B9">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36</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3E6B71B9">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36</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6FCE6">
                          <w:pPr>
                            <w:widowControl w:val="0"/>
                            <w:snapToGrid w:val="0"/>
                            <w:ind w:left="240" w:right="359" w:rightChars="171" w:hanging="180" w:hangingChars="100"/>
                            <w:jc w:val="left"/>
                            <w:rPr>
                              <w:rFonts w:ascii="Times New Roman" w:hAnsi="Times New Roman" w:eastAsia="宋体" w:cs="Times New Roman"/>
                              <w:kern w:val="2"/>
                              <w:sz w:val="18"/>
                              <w:szCs w:val="18"/>
                              <w:lang w:val="en-US" w:eastAsia="zh-CN" w:bidi="ar-SA"/>
                            </w:rPr>
                          </w:pPr>
                        </w:p>
                        <w:p w14:paraId="5C19D700">
                          <w:pPr>
                            <w:rPr>
                              <w:rFonts w:ascii="Times New Roman" w:hAnsi="Times New Roman" w:eastAsia="宋体" w:cs="Times New Roma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506FCE6">
                    <w:pPr>
                      <w:widowControl w:val="0"/>
                      <w:snapToGrid w:val="0"/>
                      <w:ind w:left="240" w:right="359" w:rightChars="171" w:hanging="180" w:hangingChars="100"/>
                      <w:jc w:val="left"/>
                      <w:rPr>
                        <w:rFonts w:ascii="Times New Roman" w:hAnsi="Times New Roman" w:eastAsia="宋体" w:cs="Times New Roman"/>
                        <w:kern w:val="2"/>
                        <w:sz w:val="18"/>
                        <w:szCs w:val="18"/>
                        <w:lang w:val="en-US" w:eastAsia="zh-CN" w:bidi="ar-SA"/>
                      </w:rPr>
                    </w:pPr>
                  </w:p>
                  <w:p w14:paraId="5C19D700">
                    <w:pPr>
                      <w:rPr>
                        <w:rFonts w:ascii="Times New Roman" w:hAnsi="Times New Roman" w:eastAsia="宋体" w:cs="Times New Roma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5F19">
    <w:pPr>
      <w:pStyle w:val="27"/>
      <w:ind w:right="360"/>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62173">
                          <w:pPr>
                            <w:pStyle w:val="27"/>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6D62173">
                    <w:pPr>
                      <w:pStyle w:val="27"/>
                    </w:pPr>
                    <w:r>
                      <w:fldChar w:fldCharType="begin"/>
                    </w:r>
                    <w:r>
                      <w:instrText xml:space="preserve"> PAGE  \* MERGEFORMAT </w:instrText>
                    </w:r>
                    <w:r>
                      <w:fldChar w:fldCharType="separate"/>
                    </w:r>
                    <w:r>
                      <w:t>64</w:t>
                    </w:r>
                    <w:r>
                      <w:fldChar w:fldCharType="end"/>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7E744">
                          <w:pPr>
                            <w:pStyle w:val="27"/>
                            <w:jc w:val="center"/>
                          </w:pPr>
                        </w:p>
                        <w:p w14:paraId="0D6701A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C7E744">
                    <w:pPr>
                      <w:pStyle w:val="27"/>
                      <w:jc w:val="center"/>
                    </w:pPr>
                  </w:p>
                  <w:p w14:paraId="0D6701A8"/>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BA878">
    <w:pPr>
      <w:pStyle w:val="27"/>
      <w:framePr w:wrap="around" w:vAnchor="text" w:hAnchor="margin" w:xAlign="right" w:y="1"/>
      <w:rPr>
        <w:rStyle w:val="48"/>
      </w:rPr>
    </w:pPr>
    <w:r>
      <w:fldChar w:fldCharType="begin"/>
    </w:r>
    <w:r>
      <w:rPr>
        <w:rStyle w:val="48"/>
      </w:rPr>
      <w:instrText xml:space="preserve">PAGE  </w:instrText>
    </w:r>
    <w:r>
      <w:fldChar w:fldCharType="end"/>
    </w:r>
  </w:p>
  <w:p w14:paraId="71B41152">
    <w:pPr>
      <w:pStyle w:val="2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415C0D"/>
    <w:multiLevelType w:val="singleLevel"/>
    <w:tmpl w:val="BB415C0D"/>
    <w:lvl w:ilvl="0" w:tentative="0">
      <w:start w:val="1"/>
      <w:numFmt w:val="decimal"/>
      <w:suff w:val="space"/>
      <w:lvlText w:val="%1."/>
      <w:lvlJc w:val="left"/>
    </w:lvl>
  </w:abstractNum>
  <w:abstractNum w:abstractNumId="1">
    <w:nsid w:val="CE88E2FE"/>
    <w:multiLevelType w:val="singleLevel"/>
    <w:tmpl w:val="CE88E2FE"/>
    <w:lvl w:ilvl="0" w:tentative="0">
      <w:start w:val="3"/>
      <w:numFmt w:val="chineseCounting"/>
      <w:suff w:val="nothing"/>
      <w:lvlText w:val="%1、"/>
      <w:lvlJc w:val="left"/>
      <w:rPr>
        <w:rFonts w:hint="eastAsia"/>
      </w:rPr>
    </w:lvl>
  </w:abstractNum>
  <w:abstractNum w:abstractNumId="2">
    <w:nsid w:val="E7212982"/>
    <w:multiLevelType w:val="singleLevel"/>
    <w:tmpl w:val="E7212982"/>
    <w:lvl w:ilvl="0" w:tentative="0">
      <w:start w:val="1"/>
      <w:numFmt w:val="decimal"/>
      <w:suff w:val="nothing"/>
      <w:lvlText w:val="（%1）"/>
      <w:lvlJc w:val="left"/>
    </w:lvl>
  </w:abstractNum>
  <w:abstractNum w:abstractNumId="3">
    <w:nsid w:val="58D57394"/>
    <w:multiLevelType w:val="singleLevel"/>
    <w:tmpl w:val="58D57394"/>
    <w:lvl w:ilvl="0" w:tentative="0">
      <w:start w:val="2"/>
      <w:numFmt w:val="decimal"/>
      <w:suff w:val="nothing"/>
      <w:lvlText w:val="%1、"/>
      <w:lvlJc w:val="left"/>
    </w:lvl>
  </w:abstractNum>
  <w:abstractNum w:abstractNumId="4">
    <w:nsid w:val="6795D270"/>
    <w:multiLevelType w:val="singleLevel"/>
    <w:tmpl w:val="6795D270"/>
    <w:lvl w:ilvl="0" w:tentative="0">
      <w:start w:val="1"/>
      <w:numFmt w:val="decimal"/>
      <w:suff w:val="nothing"/>
      <w:lvlText w:val="（%1）"/>
      <w:lvlJc w:val="left"/>
    </w:lvl>
  </w:abstractNum>
  <w:abstractNum w:abstractNumId="5">
    <w:nsid w:val="7CC321CE"/>
    <w:multiLevelType w:val="singleLevel"/>
    <w:tmpl w:val="7CC321CE"/>
    <w:lvl w:ilvl="0" w:tentative="0">
      <w:start w:val="1"/>
      <w:numFmt w:val="decimal"/>
      <w:suff w:val="nothing"/>
      <w:lvlText w:val="%1、"/>
      <w:lvlJc w:val="left"/>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3ZDA3MzYxODI0N2U0ODM4ZTQ5MGM4MmY1NmM1NDQ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6EBC"/>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5695A"/>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048E"/>
    <w:rsid w:val="001C1815"/>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10BDC"/>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0E9"/>
    <w:rsid w:val="00516E73"/>
    <w:rsid w:val="00520B9D"/>
    <w:rsid w:val="0052153D"/>
    <w:rsid w:val="00521E31"/>
    <w:rsid w:val="00524317"/>
    <w:rsid w:val="0052627E"/>
    <w:rsid w:val="00526B3A"/>
    <w:rsid w:val="00527C36"/>
    <w:rsid w:val="00530496"/>
    <w:rsid w:val="005307CA"/>
    <w:rsid w:val="005319D6"/>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ADC"/>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597"/>
    <w:rsid w:val="00610EB5"/>
    <w:rsid w:val="00611634"/>
    <w:rsid w:val="00613E0C"/>
    <w:rsid w:val="006152B2"/>
    <w:rsid w:val="0061621F"/>
    <w:rsid w:val="00616F21"/>
    <w:rsid w:val="006204DD"/>
    <w:rsid w:val="00623974"/>
    <w:rsid w:val="00623EF1"/>
    <w:rsid w:val="0062724E"/>
    <w:rsid w:val="006272B5"/>
    <w:rsid w:val="00627E6B"/>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2E6D"/>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4FF6"/>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123"/>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076662"/>
    <w:rsid w:val="010A54E5"/>
    <w:rsid w:val="010E008A"/>
    <w:rsid w:val="010F3B4F"/>
    <w:rsid w:val="01227D26"/>
    <w:rsid w:val="01341807"/>
    <w:rsid w:val="01374E54"/>
    <w:rsid w:val="013957EE"/>
    <w:rsid w:val="013F69BE"/>
    <w:rsid w:val="015C73EF"/>
    <w:rsid w:val="017240DE"/>
    <w:rsid w:val="01995B0E"/>
    <w:rsid w:val="01AE3368"/>
    <w:rsid w:val="01C320DB"/>
    <w:rsid w:val="01CA173F"/>
    <w:rsid w:val="01CB2B3A"/>
    <w:rsid w:val="01D84888"/>
    <w:rsid w:val="01EA0118"/>
    <w:rsid w:val="01F33470"/>
    <w:rsid w:val="020E3B0D"/>
    <w:rsid w:val="021D229B"/>
    <w:rsid w:val="022A6D13"/>
    <w:rsid w:val="02353A89"/>
    <w:rsid w:val="023F0464"/>
    <w:rsid w:val="026B0B17"/>
    <w:rsid w:val="026C6D7F"/>
    <w:rsid w:val="0270061D"/>
    <w:rsid w:val="02810A7C"/>
    <w:rsid w:val="029B414B"/>
    <w:rsid w:val="02B75092"/>
    <w:rsid w:val="02B7537A"/>
    <w:rsid w:val="02B81FC4"/>
    <w:rsid w:val="02C60B85"/>
    <w:rsid w:val="02C72207"/>
    <w:rsid w:val="02CD3CC1"/>
    <w:rsid w:val="02F13394"/>
    <w:rsid w:val="02F4124E"/>
    <w:rsid w:val="0305345B"/>
    <w:rsid w:val="03294243"/>
    <w:rsid w:val="035166A0"/>
    <w:rsid w:val="03546191"/>
    <w:rsid w:val="03547F3F"/>
    <w:rsid w:val="03667C72"/>
    <w:rsid w:val="0370747F"/>
    <w:rsid w:val="03744955"/>
    <w:rsid w:val="03773C2D"/>
    <w:rsid w:val="03A27D75"/>
    <w:rsid w:val="03C230FA"/>
    <w:rsid w:val="03CD1A9F"/>
    <w:rsid w:val="03E219EE"/>
    <w:rsid w:val="03EA2651"/>
    <w:rsid w:val="03EB06A1"/>
    <w:rsid w:val="03EC461B"/>
    <w:rsid w:val="041B0A5C"/>
    <w:rsid w:val="042E253E"/>
    <w:rsid w:val="0442248D"/>
    <w:rsid w:val="04425FE9"/>
    <w:rsid w:val="044947E6"/>
    <w:rsid w:val="046643CE"/>
    <w:rsid w:val="046A0DF5"/>
    <w:rsid w:val="047C0850"/>
    <w:rsid w:val="04926F71"/>
    <w:rsid w:val="049800FA"/>
    <w:rsid w:val="04B94973"/>
    <w:rsid w:val="04D81085"/>
    <w:rsid w:val="04DF7CDC"/>
    <w:rsid w:val="04FA4B16"/>
    <w:rsid w:val="04FE63B4"/>
    <w:rsid w:val="05056D9E"/>
    <w:rsid w:val="050A4E32"/>
    <w:rsid w:val="05151950"/>
    <w:rsid w:val="05312E48"/>
    <w:rsid w:val="053718C6"/>
    <w:rsid w:val="055349E5"/>
    <w:rsid w:val="05632139"/>
    <w:rsid w:val="059E5DC5"/>
    <w:rsid w:val="05A056BD"/>
    <w:rsid w:val="05A420D6"/>
    <w:rsid w:val="05A66531"/>
    <w:rsid w:val="05AF5900"/>
    <w:rsid w:val="05B13C4F"/>
    <w:rsid w:val="05B178CA"/>
    <w:rsid w:val="05B253F0"/>
    <w:rsid w:val="05B80C59"/>
    <w:rsid w:val="05B922DB"/>
    <w:rsid w:val="05BA0BD2"/>
    <w:rsid w:val="05C13E91"/>
    <w:rsid w:val="05D84E57"/>
    <w:rsid w:val="05EA6938"/>
    <w:rsid w:val="05F6352F"/>
    <w:rsid w:val="05F90649"/>
    <w:rsid w:val="061B11E8"/>
    <w:rsid w:val="0627193B"/>
    <w:rsid w:val="06293905"/>
    <w:rsid w:val="06497B03"/>
    <w:rsid w:val="064C2FE0"/>
    <w:rsid w:val="065F10D4"/>
    <w:rsid w:val="066C1A43"/>
    <w:rsid w:val="066C559F"/>
    <w:rsid w:val="066E7E08"/>
    <w:rsid w:val="067E3F3C"/>
    <w:rsid w:val="068C3E93"/>
    <w:rsid w:val="068F2A33"/>
    <w:rsid w:val="06D16238"/>
    <w:rsid w:val="06D51397"/>
    <w:rsid w:val="06D66EBD"/>
    <w:rsid w:val="072B7208"/>
    <w:rsid w:val="075012DB"/>
    <w:rsid w:val="075C5614"/>
    <w:rsid w:val="075E313A"/>
    <w:rsid w:val="076558C1"/>
    <w:rsid w:val="0768280F"/>
    <w:rsid w:val="079254DA"/>
    <w:rsid w:val="07A07BF6"/>
    <w:rsid w:val="07AA2823"/>
    <w:rsid w:val="07B4691E"/>
    <w:rsid w:val="07B92A66"/>
    <w:rsid w:val="07BA6B53"/>
    <w:rsid w:val="07E5054D"/>
    <w:rsid w:val="07EA2C20"/>
    <w:rsid w:val="08273E74"/>
    <w:rsid w:val="08393BA7"/>
    <w:rsid w:val="084A35A6"/>
    <w:rsid w:val="084E3C40"/>
    <w:rsid w:val="084F6F04"/>
    <w:rsid w:val="085E716A"/>
    <w:rsid w:val="087D7F38"/>
    <w:rsid w:val="08843074"/>
    <w:rsid w:val="088537A7"/>
    <w:rsid w:val="089A7FB1"/>
    <w:rsid w:val="089D5EE4"/>
    <w:rsid w:val="089D7C92"/>
    <w:rsid w:val="08A6123D"/>
    <w:rsid w:val="08B32A17"/>
    <w:rsid w:val="09000221"/>
    <w:rsid w:val="090E0B90"/>
    <w:rsid w:val="093A20D9"/>
    <w:rsid w:val="093D264E"/>
    <w:rsid w:val="09756E61"/>
    <w:rsid w:val="097863AE"/>
    <w:rsid w:val="097C3D4B"/>
    <w:rsid w:val="098D41AA"/>
    <w:rsid w:val="098F7872"/>
    <w:rsid w:val="09AE7056"/>
    <w:rsid w:val="09C83435"/>
    <w:rsid w:val="09CB4CD3"/>
    <w:rsid w:val="09D771D4"/>
    <w:rsid w:val="09E671EC"/>
    <w:rsid w:val="09F47D86"/>
    <w:rsid w:val="09F874A6"/>
    <w:rsid w:val="09FA5867"/>
    <w:rsid w:val="0A261F09"/>
    <w:rsid w:val="0A2E299B"/>
    <w:rsid w:val="0A344626"/>
    <w:rsid w:val="0A6675AE"/>
    <w:rsid w:val="0A742C74"/>
    <w:rsid w:val="0A82130A"/>
    <w:rsid w:val="0A8C7FBE"/>
    <w:rsid w:val="0A9C3FAE"/>
    <w:rsid w:val="0AB45767"/>
    <w:rsid w:val="0ABD6DF1"/>
    <w:rsid w:val="0ACC485F"/>
    <w:rsid w:val="0AEC3153"/>
    <w:rsid w:val="0AEF054D"/>
    <w:rsid w:val="0B15087E"/>
    <w:rsid w:val="0B2103BF"/>
    <w:rsid w:val="0B2138E2"/>
    <w:rsid w:val="0B330D82"/>
    <w:rsid w:val="0B340141"/>
    <w:rsid w:val="0B354AFA"/>
    <w:rsid w:val="0B51783C"/>
    <w:rsid w:val="0B6B5AB3"/>
    <w:rsid w:val="0B7D3DAB"/>
    <w:rsid w:val="0B857294"/>
    <w:rsid w:val="0B876975"/>
    <w:rsid w:val="0B8B0573"/>
    <w:rsid w:val="0BAB4DBC"/>
    <w:rsid w:val="0BBE064B"/>
    <w:rsid w:val="0BC55E7E"/>
    <w:rsid w:val="0BD065D0"/>
    <w:rsid w:val="0BD45EFC"/>
    <w:rsid w:val="0BD936D7"/>
    <w:rsid w:val="0BE40B4D"/>
    <w:rsid w:val="0BE8391A"/>
    <w:rsid w:val="0BEB6F66"/>
    <w:rsid w:val="0BFF7110"/>
    <w:rsid w:val="0C0051AC"/>
    <w:rsid w:val="0C040028"/>
    <w:rsid w:val="0C152235"/>
    <w:rsid w:val="0C2506CA"/>
    <w:rsid w:val="0C295B7F"/>
    <w:rsid w:val="0C2D45BC"/>
    <w:rsid w:val="0C321039"/>
    <w:rsid w:val="0C580AA0"/>
    <w:rsid w:val="0C886EAB"/>
    <w:rsid w:val="0C8C6E9F"/>
    <w:rsid w:val="0C945850"/>
    <w:rsid w:val="0C985340"/>
    <w:rsid w:val="0CBF701E"/>
    <w:rsid w:val="0CCF511E"/>
    <w:rsid w:val="0CD93263"/>
    <w:rsid w:val="0CDF59E2"/>
    <w:rsid w:val="0CF34325"/>
    <w:rsid w:val="0CF4009D"/>
    <w:rsid w:val="0D0C188A"/>
    <w:rsid w:val="0D132C19"/>
    <w:rsid w:val="0D17298C"/>
    <w:rsid w:val="0D2546FA"/>
    <w:rsid w:val="0D3B3F1D"/>
    <w:rsid w:val="0D3C19AE"/>
    <w:rsid w:val="0D3D37F2"/>
    <w:rsid w:val="0D49663A"/>
    <w:rsid w:val="0D524FA5"/>
    <w:rsid w:val="0D532B6C"/>
    <w:rsid w:val="0D570D57"/>
    <w:rsid w:val="0D672A9E"/>
    <w:rsid w:val="0D7511DD"/>
    <w:rsid w:val="0D7B7E36"/>
    <w:rsid w:val="0D863426"/>
    <w:rsid w:val="0D961154"/>
    <w:rsid w:val="0DAE649D"/>
    <w:rsid w:val="0DB32CF7"/>
    <w:rsid w:val="0DBF68FD"/>
    <w:rsid w:val="0DCA39FB"/>
    <w:rsid w:val="0DDB513F"/>
    <w:rsid w:val="0DF02F5A"/>
    <w:rsid w:val="0DF20A80"/>
    <w:rsid w:val="0DFE5677"/>
    <w:rsid w:val="0E0259AB"/>
    <w:rsid w:val="0E0367E9"/>
    <w:rsid w:val="0E1C3D4F"/>
    <w:rsid w:val="0E205822"/>
    <w:rsid w:val="0E28566E"/>
    <w:rsid w:val="0E344BF5"/>
    <w:rsid w:val="0E39220B"/>
    <w:rsid w:val="0E3A2D29"/>
    <w:rsid w:val="0E4F1A2E"/>
    <w:rsid w:val="0E515BA6"/>
    <w:rsid w:val="0E755D2E"/>
    <w:rsid w:val="0E7616B1"/>
    <w:rsid w:val="0E803836"/>
    <w:rsid w:val="0E907C45"/>
    <w:rsid w:val="0E9E4764"/>
    <w:rsid w:val="0EB421D9"/>
    <w:rsid w:val="0EB64917"/>
    <w:rsid w:val="0ECF0DC1"/>
    <w:rsid w:val="0ED168E7"/>
    <w:rsid w:val="0EDB0A19"/>
    <w:rsid w:val="0EDB7766"/>
    <w:rsid w:val="0F2005B0"/>
    <w:rsid w:val="0F225395"/>
    <w:rsid w:val="0F2B249C"/>
    <w:rsid w:val="0F2D2839"/>
    <w:rsid w:val="0F340C24"/>
    <w:rsid w:val="0F4470B9"/>
    <w:rsid w:val="0F543075"/>
    <w:rsid w:val="0F5512C6"/>
    <w:rsid w:val="0F6473A9"/>
    <w:rsid w:val="0F656151"/>
    <w:rsid w:val="0F7A5DCD"/>
    <w:rsid w:val="0F7F6343"/>
    <w:rsid w:val="0F900551"/>
    <w:rsid w:val="0FA61B22"/>
    <w:rsid w:val="0FAE4E7B"/>
    <w:rsid w:val="0FEE5277"/>
    <w:rsid w:val="0FF94348"/>
    <w:rsid w:val="0FFC5BE6"/>
    <w:rsid w:val="0FFE7685"/>
    <w:rsid w:val="10075A8D"/>
    <w:rsid w:val="1025513D"/>
    <w:rsid w:val="104E77D4"/>
    <w:rsid w:val="10596B94"/>
    <w:rsid w:val="106D2914"/>
    <w:rsid w:val="10AF0EAA"/>
    <w:rsid w:val="10BE10ED"/>
    <w:rsid w:val="10C5247C"/>
    <w:rsid w:val="10E32902"/>
    <w:rsid w:val="10E627F4"/>
    <w:rsid w:val="11163738"/>
    <w:rsid w:val="111D5E14"/>
    <w:rsid w:val="11230F50"/>
    <w:rsid w:val="11441554"/>
    <w:rsid w:val="11682E36"/>
    <w:rsid w:val="11763776"/>
    <w:rsid w:val="118B7221"/>
    <w:rsid w:val="11916802"/>
    <w:rsid w:val="119F0F1F"/>
    <w:rsid w:val="11B06C88"/>
    <w:rsid w:val="11EE155E"/>
    <w:rsid w:val="12095D35"/>
    <w:rsid w:val="12223184"/>
    <w:rsid w:val="122A46DE"/>
    <w:rsid w:val="12380A2C"/>
    <w:rsid w:val="12500CEF"/>
    <w:rsid w:val="12561338"/>
    <w:rsid w:val="125C471A"/>
    <w:rsid w:val="12661A3D"/>
    <w:rsid w:val="12924EC5"/>
    <w:rsid w:val="12A8795F"/>
    <w:rsid w:val="12B72E06"/>
    <w:rsid w:val="13096D41"/>
    <w:rsid w:val="13113756"/>
    <w:rsid w:val="131C20FB"/>
    <w:rsid w:val="13267BE1"/>
    <w:rsid w:val="132B616F"/>
    <w:rsid w:val="133964E8"/>
    <w:rsid w:val="13421B62"/>
    <w:rsid w:val="1353368A"/>
    <w:rsid w:val="13631AD8"/>
    <w:rsid w:val="13734411"/>
    <w:rsid w:val="13BA5B9C"/>
    <w:rsid w:val="13D857AB"/>
    <w:rsid w:val="13E830E0"/>
    <w:rsid w:val="13E96481"/>
    <w:rsid w:val="13F07810"/>
    <w:rsid w:val="13F34496"/>
    <w:rsid w:val="14076907"/>
    <w:rsid w:val="140E27D4"/>
    <w:rsid w:val="140E413A"/>
    <w:rsid w:val="141E5640"/>
    <w:rsid w:val="1424570B"/>
    <w:rsid w:val="145275EB"/>
    <w:rsid w:val="145B7C30"/>
    <w:rsid w:val="14720225"/>
    <w:rsid w:val="14787805"/>
    <w:rsid w:val="148D1503"/>
    <w:rsid w:val="148D505F"/>
    <w:rsid w:val="149C34F4"/>
    <w:rsid w:val="14B11A78"/>
    <w:rsid w:val="14B922F8"/>
    <w:rsid w:val="14C303F0"/>
    <w:rsid w:val="14F450DE"/>
    <w:rsid w:val="14F670A8"/>
    <w:rsid w:val="14FC21E4"/>
    <w:rsid w:val="1519641C"/>
    <w:rsid w:val="1526508B"/>
    <w:rsid w:val="152D05F0"/>
    <w:rsid w:val="154F4A0A"/>
    <w:rsid w:val="15574AB0"/>
    <w:rsid w:val="156C736A"/>
    <w:rsid w:val="1587173F"/>
    <w:rsid w:val="159440C7"/>
    <w:rsid w:val="159863B1"/>
    <w:rsid w:val="15AA3C0D"/>
    <w:rsid w:val="15BB209F"/>
    <w:rsid w:val="15DC1BE8"/>
    <w:rsid w:val="15EB7B9E"/>
    <w:rsid w:val="1613643D"/>
    <w:rsid w:val="161B669A"/>
    <w:rsid w:val="163847C4"/>
    <w:rsid w:val="163B0AEA"/>
    <w:rsid w:val="163D2AB4"/>
    <w:rsid w:val="16473933"/>
    <w:rsid w:val="16646293"/>
    <w:rsid w:val="16700957"/>
    <w:rsid w:val="16777D74"/>
    <w:rsid w:val="16846935"/>
    <w:rsid w:val="16976668"/>
    <w:rsid w:val="16A448E1"/>
    <w:rsid w:val="16A91EF8"/>
    <w:rsid w:val="16AB5C70"/>
    <w:rsid w:val="16B20DAC"/>
    <w:rsid w:val="16B9038D"/>
    <w:rsid w:val="16D36F75"/>
    <w:rsid w:val="16DC407B"/>
    <w:rsid w:val="16DE7DF3"/>
    <w:rsid w:val="16E86EC4"/>
    <w:rsid w:val="171372D7"/>
    <w:rsid w:val="17183A8C"/>
    <w:rsid w:val="172123D6"/>
    <w:rsid w:val="172B6DB1"/>
    <w:rsid w:val="17465999"/>
    <w:rsid w:val="174A68D0"/>
    <w:rsid w:val="17872239"/>
    <w:rsid w:val="178F10EE"/>
    <w:rsid w:val="17A5124C"/>
    <w:rsid w:val="17B2302E"/>
    <w:rsid w:val="17B40B54"/>
    <w:rsid w:val="17B86896"/>
    <w:rsid w:val="17BA2298"/>
    <w:rsid w:val="17C57736"/>
    <w:rsid w:val="17CF1E32"/>
    <w:rsid w:val="17DE4E26"/>
    <w:rsid w:val="17EA0FC8"/>
    <w:rsid w:val="1816180F"/>
    <w:rsid w:val="18172CA6"/>
    <w:rsid w:val="181A041D"/>
    <w:rsid w:val="18284982"/>
    <w:rsid w:val="18291542"/>
    <w:rsid w:val="183D3240"/>
    <w:rsid w:val="184B770B"/>
    <w:rsid w:val="185F0866"/>
    <w:rsid w:val="18860743"/>
    <w:rsid w:val="18A2134C"/>
    <w:rsid w:val="18B74DA0"/>
    <w:rsid w:val="18BA4B90"/>
    <w:rsid w:val="18CF65D6"/>
    <w:rsid w:val="18D6708B"/>
    <w:rsid w:val="18D771F0"/>
    <w:rsid w:val="18DE232D"/>
    <w:rsid w:val="18DF7E53"/>
    <w:rsid w:val="18ED431E"/>
    <w:rsid w:val="19232435"/>
    <w:rsid w:val="192F2B88"/>
    <w:rsid w:val="19344314"/>
    <w:rsid w:val="19393A07"/>
    <w:rsid w:val="193F3F60"/>
    <w:rsid w:val="1946454D"/>
    <w:rsid w:val="195C422F"/>
    <w:rsid w:val="196D36B1"/>
    <w:rsid w:val="198D7CD3"/>
    <w:rsid w:val="199145EF"/>
    <w:rsid w:val="19C979E1"/>
    <w:rsid w:val="19CC6629"/>
    <w:rsid w:val="19DE635C"/>
    <w:rsid w:val="19E550DF"/>
    <w:rsid w:val="19EE3B2C"/>
    <w:rsid w:val="19F60EE6"/>
    <w:rsid w:val="1A1B310D"/>
    <w:rsid w:val="1A4911C2"/>
    <w:rsid w:val="1A507E63"/>
    <w:rsid w:val="1A654346"/>
    <w:rsid w:val="1A6F725A"/>
    <w:rsid w:val="1A7016AA"/>
    <w:rsid w:val="1A7647E7"/>
    <w:rsid w:val="1A8E7D82"/>
    <w:rsid w:val="1A9609E5"/>
    <w:rsid w:val="1A9C2B8C"/>
    <w:rsid w:val="1AB41BC7"/>
    <w:rsid w:val="1AC47300"/>
    <w:rsid w:val="1AC77ADB"/>
    <w:rsid w:val="1ADD3043"/>
    <w:rsid w:val="1AE45BF4"/>
    <w:rsid w:val="1AE847D6"/>
    <w:rsid w:val="1AFF47DC"/>
    <w:rsid w:val="1B050815"/>
    <w:rsid w:val="1B0911B7"/>
    <w:rsid w:val="1B177D78"/>
    <w:rsid w:val="1B2B3823"/>
    <w:rsid w:val="1B3A33C6"/>
    <w:rsid w:val="1B4338F5"/>
    <w:rsid w:val="1B487F31"/>
    <w:rsid w:val="1B66488D"/>
    <w:rsid w:val="1B6A434C"/>
    <w:rsid w:val="1B781AAF"/>
    <w:rsid w:val="1B7D7C7B"/>
    <w:rsid w:val="1B866CAC"/>
    <w:rsid w:val="1BA9303E"/>
    <w:rsid w:val="1BB11F7A"/>
    <w:rsid w:val="1BC11A92"/>
    <w:rsid w:val="1BC246BF"/>
    <w:rsid w:val="1BC82E20"/>
    <w:rsid w:val="1BE35EAC"/>
    <w:rsid w:val="1BEE0D32"/>
    <w:rsid w:val="1BF81957"/>
    <w:rsid w:val="1BFE4A94"/>
    <w:rsid w:val="1BFF3A43"/>
    <w:rsid w:val="1C031030"/>
    <w:rsid w:val="1C0E2F29"/>
    <w:rsid w:val="1C156B4E"/>
    <w:rsid w:val="1C1D316C"/>
    <w:rsid w:val="1C275D99"/>
    <w:rsid w:val="1C2A5889"/>
    <w:rsid w:val="1C346708"/>
    <w:rsid w:val="1C420E24"/>
    <w:rsid w:val="1C451DEE"/>
    <w:rsid w:val="1C514E8A"/>
    <w:rsid w:val="1C536B8E"/>
    <w:rsid w:val="1C640D9B"/>
    <w:rsid w:val="1C746B04"/>
    <w:rsid w:val="1C77040A"/>
    <w:rsid w:val="1CB11B06"/>
    <w:rsid w:val="1CC57360"/>
    <w:rsid w:val="1CE53164"/>
    <w:rsid w:val="1CEC2B3E"/>
    <w:rsid w:val="1CEE68B6"/>
    <w:rsid w:val="1CF06157"/>
    <w:rsid w:val="1CF57C45"/>
    <w:rsid w:val="1D367969"/>
    <w:rsid w:val="1D491D3F"/>
    <w:rsid w:val="1D4E55A7"/>
    <w:rsid w:val="1D594678"/>
    <w:rsid w:val="1D5F697C"/>
    <w:rsid w:val="1D750D86"/>
    <w:rsid w:val="1D811424"/>
    <w:rsid w:val="1DA33B45"/>
    <w:rsid w:val="1DC55719"/>
    <w:rsid w:val="1DD2442A"/>
    <w:rsid w:val="1DE60E56"/>
    <w:rsid w:val="1DEF28E6"/>
    <w:rsid w:val="1E115849"/>
    <w:rsid w:val="1E162569"/>
    <w:rsid w:val="1E200CF1"/>
    <w:rsid w:val="1E3B3D7D"/>
    <w:rsid w:val="1E48649A"/>
    <w:rsid w:val="1E53676B"/>
    <w:rsid w:val="1E5D1F46"/>
    <w:rsid w:val="1E707ECB"/>
    <w:rsid w:val="1E7B6870"/>
    <w:rsid w:val="1E8219AC"/>
    <w:rsid w:val="1E966650"/>
    <w:rsid w:val="1EAD6BA0"/>
    <w:rsid w:val="1EFA7D7F"/>
    <w:rsid w:val="1F042089"/>
    <w:rsid w:val="1F071EB1"/>
    <w:rsid w:val="1F091408"/>
    <w:rsid w:val="1F0F6D9D"/>
    <w:rsid w:val="1F136AA8"/>
    <w:rsid w:val="1F264789"/>
    <w:rsid w:val="1F3F33F9"/>
    <w:rsid w:val="1F444EB4"/>
    <w:rsid w:val="1F483C5E"/>
    <w:rsid w:val="1F533676"/>
    <w:rsid w:val="1F62533A"/>
    <w:rsid w:val="1F711DD8"/>
    <w:rsid w:val="1F7C1F14"/>
    <w:rsid w:val="1F7D5988"/>
    <w:rsid w:val="1F8D685B"/>
    <w:rsid w:val="1F9A0F77"/>
    <w:rsid w:val="1FA63478"/>
    <w:rsid w:val="1FB913FE"/>
    <w:rsid w:val="1FBA0B51"/>
    <w:rsid w:val="1FD8408A"/>
    <w:rsid w:val="1FDA60EA"/>
    <w:rsid w:val="1FF05470"/>
    <w:rsid w:val="1FF119D4"/>
    <w:rsid w:val="1FF163E5"/>
    <w:rsid w:val="1FF70178"/>
    <w:rsid w:val="20007A74"/>
    <w:rsid w:val="200F101E"/>
    <w:rsid w:val="201523AC"/>
    <w:rsid w:val="201E3957"/>
    <w:rsid w:val="20303590"/>
    <w:rsid w:val="203C5B8B"/>
    <w:rsid w:val="20466D6B"/>
    <w:rsid w:val="204C4020"/>
    <w:rsid w:val="205323C5"/>
    <w:rsid w:val="20592BE1"/>
    <w:rsid w:val="207C47A5"/>
    <w:rsid w:val="20827A42"/>
    <w:rsid w:val="208C1593"/>
    <w:rsid w:val="20A35C0A"/>
    <w:rsid w:val="20AA51EA"/>
    <w:rsid w:val="20D53D19"/>
    <w:rsid w:val="20F4655C"/>
    <w:rsid w:val="20F546B7"/>
    <w:rsid w:val="21223A35"/>
    <w:rsid w:val="21303941"/>
    <w:rsid w:val="21394D4A"/>
    <w:rsid w:val="21505D92"/>
    <w:rsid w:val="21656E32"/>
    <w:rsid w:val="21800B4A"/>
    <w:rsid w:val="21823A71"/>
    <w:rsid w:val="21AC57FA"/>
    <w:rsid w:val="21B26104"/>
    <w:rsid w:val="21BA145D"/>
    <w:rsid w:val="21D20555"/>
    <w:rsid w:val="21DC5877"/>
    <w:rsid w:val="21E32762"/>
    <w:rsid w:val="21E821F1"/>
    <w:rsid w:val="21FA7AAB"/>
    <w:rsid w:val="21FB3F4F"/>
    <w:rsid w:val="21FF3314"/>
    <w:rsid w:val="22082B72"/>
    <w:rsid w:val="220F4878"/>
    <w:rsid w:val="2221328A"/>
    <w:rsid w:val="22350AE4"/>
    <w:rsid w:val="224815B8"/>
    <w:rsid w:val="226D64CF"/>
    <w:rsid w:val="22721D38"/>
    <w:rsid w:val="22771F53"/>
    <w:rsid w:val="22925557"/>
    <w:rsid w:val="229879F0"/>
    <w:rsid w:val="22B1384B"/>
    <w:rsid w:val="22B365D8"/>
    <w:rsid w:val="22B43AC3"/>
    <w:rsid w:val="22B65B70"/>
    <w:rsid w:val="22C6129F"/>
    <w:rsid w:val="22D24584"/>
    <w:rsid w:val="22E36792"/>
    <w:rsid w:val="22ED0263"/>
    <w:rsid w:val="23203542"/>
    <w:rsid w:val="233139A1"/>
    <w:rsid w:val="23353809"/>
    <w:rsid w:val="233E12AF"/>
    <w:rsid w:val="234047FF"/>
    <w:rsid w:val="23405992"/>
    <w:rsid w:val="23627FFE"/>
    <w:rsid w:val="236F6BEA"/>
    <w:rsid w:val="239B0E1A"/>
    <w:rsid w:val="23A23263"/>
    <w:rsid w:val="23AE6D9F"/>
    <w:rsid w:val="23C74D4B"/>
    <w:rsid w:val="23D305B4"/>
    <w:rsid w:val="23D44A05"/>
    <w:rsid w:val="23D83E1C"/>
    <w:rsid w:val="23F337D7"/>
    <w:rsid w:val="240B2444"/>
    <w:rsid w:val="240D1D18"/>
    <w:rsid w:val="241E3F25"/>
    <w:rsid w:val="2423153B"/>
    <w:rsid w:val="244A4D1A"/>
    <w:rsid w:val="244F40DF"/>
    <w:rsid w:val="24505CDB"/>
    <w:rsid w:val="245636BF"/>
    <w:rsid w:val="248814ED"/>
    <w:rsid w:val="24AC0122"/>
    <w:rsid w:val="24AE34FB"/>
    <w:rsid w:val="24C70119"/>
    <w:rsid w:val="24F86BDE"/>
    <w:rsid w:val="2513335E"/>
    <w:rsid w:val="25201F1F"/>
    <w:rsid w:val="252C08C4"/>
    <w:rsid w:val="253E5FFC"/>
    <w:rsid w:val="254865FB"/>
    <w:rsid w:val="254E083A"/>
    <w:rsid w:val="256E5020"/>
    <w:rsid w:val="25743E43"/>
    <w:rsid w:val="25873D4C"/>
    <w:rsid w:val="258E0C37"/>
    <w:rsid w:val="25902C01"/>
    <w:rsid w:val="259326F1"/>
    <w:rsid w:val="25A20B86"/>
    <w:rsid w:val="25C66622"/>
    <w:rsid w:val="25F0369F"/>
    <w:rsid w:val="25F10453"/>
    <w:rsid w:val="25FC2044"/>
    <w:rsid w:val="25FF38E2"/>
    <w:rsid w:val="26057532"/>
    <w:rsid w:val="26220C12"/>
    <w:rsid w:val="263E22E3"/>
    <w:rsid w:val="26451C3D"/>
    <w:rsid w:val="265C6F87"/>
    <w:rsid w:val="26630315"/>
    <w:rsid w:val="26775B6F"/>
    <w:rsid w:val="26832765"/>
    <w:rsid w:val="268362C1"/>
    <w:rsid w:val="26AF70B6"/>
    <w:rsid w:val="26D528A9"/>
    <w:rsid w:val="26DB434F"/>
    <w:rsid w:val="26DB7EAB"/>
    <w:rsid w:val="26EF1BA9"/>
    <w:rsid w:val="27003DB6"/>
    <w:rsid w:val="27165388"/>
    <w:rsid w:val="27172D1D"/>
    <w:rsid w:val="271B0BF0"/>
    <w:rsid w:val="27271A2D"/>
    <w:rsid w:val="2729330D"/>
    <w:rsid w:val="273F48DE"/>
    <w:rsid w:val="27651E6B"/>
    <w:rsid w:val="277F117F"/>
    <w:rsid w:val="27CB7F20"/>
    <w:rsid w:val="27D8263D"/>
    <w:rsid w:val="28031BCE"/>
    <w:rsid w:val="281517D8"/>
    <w:rsid w:val="281E3468"/>
    <w:rsid w:val="281F64BE"/>
    <w:rsid w:val="282630C1"/>
    <w:rsid w:val="284303FE"/>
    <w:rsid w:val="284E0B51"/>
    <w:rsid w:val="28520BCA"/>
    <w:rsid w:val="28537F15"/>
    <w:rsid w:val="286F2FA1"/>
    <w:rsid w:val="28700AC7"/>
    <w:rsid w:val="287F6F5C"/>
    <w:rsid w:val="28810F26"/>
    <w:rsid w:val="288273E6"/>
    <w:rsid w:val="28910708"/>
    <w:rsid w:val="28976054"/>
    <w:rsid w:val="28A95D87"/>
    <w:rsid w:val="28B135BA"/>
    <w:rsid w:val="28C055AB"/>
    <w:rsid w:val="28C94255"/>
    <w:rsid w:val="28D9041B"/>
    <w:rsid w:val="28FB3D1E"/>
    <w:rsid w:val="28FE60D3"/>
    <w:rsid w:val="29051210"/>
    <w:rsid w:val="292226C4"/>
    <w:rsid w:val="292A748C"/>
    <w:rsid w:val="29365C20"/>
    <w:rsid w:val="293D309F"/>
    <w:rsid w:val="293D7A2B"/>
    <w:rsid w:val="295D729E"/>
    <w:rsid w:val="2973787F"/>
    <w:rsid w:val="29826D04"/>
    <w:rsid w:val="29842A7C"/>
    <w:rsid w:val="299517D2"/>
    <w:rsid w:val="299A2FE0"/>
    <w:rsid w:val="29BD7D3C"/>
    <w:rsid w:val="29C9048F"/>
    <w:rsid w:val="29DF6104"/>
    <w:rsid w:val="29EE439A"/>
    <w:rsid w:val="29F311DA"/>
    <w:rsid w:val="29F35843"/>
    <w:rsid w:val="29F37C02"/>
    <w:rsid w:val="29FD282F"/>
    <w:rsid w:val="2A2102CB"/>
    <w:rsid w:val="2A412F7E"/>
    <w:rsid w:val="2A5D0744"/>
    <w:rsid w:val="2A777364"/>
    <w:rsid w:val="2A834D90"/>
    <w:rsid w:val="2AC26CEB"/>
    <w:rsid w:val="2AC6465E"/>
    <w:rsid w:val="2AE337D3"/>
    <w:rsid w:val="2B0B00CC"/>
    <w:rsid w:val="2B1B509E"/>
    <w:rsid w:val="2B2F4C6A"/>
    <w:rsid w:val="2B4D3342"/>
    <w:rsid w:val="2B5B290A"/>
    <w:rsid w:val="2B5E10AB"/>
    <w:rsid w:val="2B6568DD"/>
    <w:rsid w:val="2B746B21"/>
    <w:rsid w:val="2B936FA7"/>
    <w:rsid w:val="2B980A61"/>
    <w:rsid w:val="2BA07916"/>
    <w:rsid w:val="2BAA0794"/>
    <w:rsid w:val="2BD7152E"/>
    <w:rsid w:val="2BE912BD"/>
    <w:rsid w:val="2BEE68D3"/>
    <w:rsid w:val="2BEF48CF"/>
    <w:rsid w:val="2BF11F1F"/>
    <w:rsid w:val="2BF33EE9"/>
    <w:rsid w:val="2C2029F0"/>
    <w:rsid w:val="2C237BAC"/>
    <w:rsid w:val="2C26606D"/>
    <w:rsid w:val="2C293EC2"/>
    <w:rsid w:val="2C302A48"/>
    <w:rsid w:val="2C3167C0"/>
    <w:rsid w:val="2C624BCB"/>
    <w:rsid w:val="2C6D3C9C"/>
    <w:rsid w:val="2C730B86"/>
    <w:rsid w:val="2C752B50"/>
    <w:rsid w:val="2C8767FB"/>
    <w:rsid w:val="2C9F5E1F"/>
    <w:rsid w:val="2CB371D5"/>
    <w:rsid w:val="2CC807F2"/>
    <w:rsid w:val="2CC969F8"/>
    <w:rsid w:val="2CD3201C"/>
    <w:rsid w:val="2CD777F3"/>
    <w:rsid w:val="2CDD4050"/>
    <w:rsid w:val="2CE13D42"/>
    <w:rsid w:val="2CF9713B"/>
    <w:rsid w:val="2D044E58"/>
    <w:rsid w:val="2D285E15"/>
    <w:rsid w:val="2D2A544C"/>
    <w:rsid w:val="2D410C84"/>
    <w:rsid w:val="2D430559"/>
    <w:rsid w:val="2D5F69DB"/>
    <w:rsid w:val="2D987822"/>
    <w:rsid w:val="2D9C283F"/>
    <w:rsid w:val="2DA96719"/>
    <w:rsid w:val="2DCF5B58"/>
    <w:rsid w:val="2DD84F07"/>
    <w:rsid w:val="2DDC0EBF"/>
    <w:rsid w:val="2DF45A7D"/>
    <w:rsid w:val="2DF47AA5"/>
    <w:rsid w:val="2E093550"/>
    <w:rsid w:val="2E0F2B31"/>
    <w:rsid w:val="2E15541A"/>
    <w:rsid w:val="2E156399"/>
    <w:rsid w:val="2E2F5AA5"/>
    <w:rsid w:val="2E3C4E02"/>
    <w:rsid w:val="2E427833"/>
    <w:rsid w:val="2E474078"/>
    <w:rsid w:val="2E8455D8"/>
    <w:rsid w:val="2E862DF3"/>
    <w:rsid w:val="2E8D23D3"/>
    <w:rsid w:val="2EB90D44"/>
    <w:rsid w:val="2EBA6F40"/>
    <w:rsid w:val="2EE43FBD"/>
    <w:rsid w:val="2EE45D6B"/>
    <w:rsid w:val="2EE74C21"/>
    <w:rsid w:val="2EED4C20"/>
    <w:rsid w:val="2EF064BE"/>
    <w:rsid w:val="2F0D0E1E"/>
    <w:rsid w:val="2F104DB2"/>
    <w:rsid w:val="2F1C3470"/>
    <w:rsid w:val="2F215DA6"/>
    <w:rsid w:val="2F3C5BA7"/>
    <w:rsid w:val="2F4607D4"/>
    <w:rsid w:val="2F4C174B"/>
    <w:rsid w:val="2F4D1B62"/>
    <w:rsid w:val="2F7B66D0"/>
    <w:rsid w:val="2F860BD0"/>
    <w:rsid w:val="2FB63264"/>
    <w:rsid w:val="2FB971F8"/>
    <w:rsid w:val="2FBE65BC"/>
    <w:rsid w:val="2FC00586"/>
    <w:rsid w:val="2FE204FD"/>
    <w:rsid w:val="2FF3561F"/>
    <w:rsid w:val="2FF41FDE"/>
    <w:rsid w:val="30383B00"/>
    <w:rsid w:val="303E14AB"/>
    <w:rsid w:val="30760C45"/>
    <w:rsid w:val="307849BD"/>
    <w:rsid w:val="30930144"/>
    <w:rsid w:val="30A25EDE"/>
    <w:rsid w:val="30A56C56"/>
    <w:rsid w:val="30A734F4"/>
    <w:rsid w:val="30B33E98"/>
    <w:rsid w:val="30BF25EC"/>
    <w:rsid w:val="30C10112"/>
    <w:rsid w:val="30D13D5A"/>
    <w:rsid w:val="30DD49C9"/>
    <w:rsid w:val="31077AEF"/>
    <w:rsid w:val="310F3573"/>
    <w:rsid w:val="31232B7B"/>
    <w:rsid w:val="31240310"/>
    <w:rsid w:val="312836E3"/>
    <w:rsid w:val="313578F6"/>
    <w:rsid w:val="313E5C07"/>
    <w:rsid w:val="31434FCB"/>
    <w:rsid w:val="314C4B9B"/>
    <w:rsid w:val="3150593A"/>
    <w:rsid w:val="31552F50"/>
    <w:rsid w:val="315D2D09"/>
    <w:rsid w:val="316B62D0"/>
    <w:rsid w:val="3183186B"/>
    <w:rsid w:val="319B6AEA"/>
    <w:rsid w:val="31A66A58"/>
    <w:rsid w:val="31AA329C"/>
    <w:rsid w:val="31B45EC9"/>
    <w:rsid w:val="31D976DD"/>
    <w:rsid w:val="31DD07C6"/>
    <w:rsid w:val="31E44CD5"/>
    <w:rsid w:val="31F2427B"/>
    <w:rsid w:val="31FC33CC"/>
    <w:rsid w:val="321E1594"/>
    <w:rsid w:val="3228544C"/>
    <w:rsid w:val="32477520"/>
    <w:rsid w:val="324D6436"/>
    <w:rsid w:val="32821B23"/>
    <w:rsid w:val="32920E56"/>
    <w:rsid w:val="32A55971"/>
    <w:rsid w:val="32AA2E28"/>
    <w:rsid w:val="32BF2D77"/>
    <w:rsid w:val="32D9221D"/>
    <w:rsid w:val="32E468F2"/>
    <w:rsid w:val="32FD6A58"/>
    <w:rsid w:val="3301513E"/>
    <w:rsid w:val="3321758E"/>
    <w:rsid w:val="33240E2C"/>
    <w:rsid w:val="3326352D"/>
    <w:rsid w:val="33266952"/>
    <w:rsid w:val="33305A23"/>
    <w:rsid w:val="338673F1"/>
    <w:rsid w:val="339064C2"/>
    <w:rsid w:val="33927790"/>
    <w:rsid w:val="33DC34B5"/>
    <w:rsid w:val="341A3A07"/>
    <w:rsid w:val="341D5FA7"/>
    <w:rsid w:val="34254E5C"/>
    <w:rsid w:val="342A06C4"/>
    <w:rsid w:val="343F7E22"/>
    <w:rsid w:val="34546AFB"/>
    <w:rsid w:val="34684048"/>
    <w:rsid w:val="34697B78"/>
    <w:rsid w:val="346F2101"/>
    <w:rsid w:val="34763909"/>
    <w:rsid w:val="34767D42"/>
    <w:rsid w:val="347A51A8"/>
    <w:rsid w:val="347B2CCE"/>
    <w:rsid w:val="34990669"/>
    <w:rsid w:val="349F5B8C"/>
    <w:rsid w:val="34B34216"/>
    <w:rsid w:val="34B87A7E"/>
    <w:rsid w:val="34D348B8"/>
    <w:rsid w:val="34D4418C"/>
    <w:rsid w:val="34E46AC5"/>
    <w:rsid w:val="35101668"/>
    <w:rsid w:val="351F5D4F"/>
    <w:rsid w:val="352D5419"/>
    <w:rsid w:val="35327830"/>
    <w:rsid w:val="35352E7D"/>
    <w:rsid w:val="35373099"/>
    <w:rsid w:val="35523A2F"/>
    <w:rsid w:val="355C029C"/>
    <w:rsid w:val="356D58F7"/>
    <w:rsid w:val="35773495"/>
    <w:rsid w:val="357D65D2"/>
    <w:rsid w:val="358C0518"/>
    <w:rsid w:val="35A4550C"/>
    <w:rsid w:val="35B81E74"/>
    <w:rsid w:val="35C83CF1"/>
    <w:rsid w:val="35CD1307"/>
    <w:rsid w:val="35D00DF7"/>
    <w:rsid w:val="35DE3514"/>
    <w:rsid w:val="35E87EEF"/>
    <w:rsid w:val="35EB7B5A"/>
    <w:rsid w:val="35F9034E"/>
    <w:rsid w:val="36140CE4"/>
    <w:rsid w:val="36280C33"/>
    <w:rsid w:val="362A675A"/>
    <w:rsid w:val="362F1373"/>
    <w:rsid w:val="36370AC5"/>
    <w:rsid w:val="363E3FB3"/>
    <w:rsid w:val="36545584"/>
    <w:rsid w:val="365A1830"/>
    <w:rsid w:val="3676374D"/>
    <w:rsid w:val="3679323D"/>
    <w:rsid w:val="36B50719"/>
    <w:rsid w:val="36C22E36"/>
    <w:rsid w:val="371B2546"/>
    <w:rsid w:val="37313B18"/>
    <w:rsid w:val="37505BC8"/>
    <w:rsid w:val="37531CE0"/>
    <w:rsid w:val="37C87FD8"/>
    <w:rsid w:val="37CD55EE"/>
    <w:rsid w:val="37E172EC"/>
    <w:rsid w:val="37EB1F18"/>
    <w:rsid w:val="37F00676"/>
    <w:rsid w:val="37FA03AE"/>
    <w:rsid w:val="380016A5"/>
    <w:rsid w:val="381A45AC"/>
    <w:rsid w:val="383A69FC"/>
    <w:rsid w:val="383B4C4E"/>
    <w:rsid w:val="383C09C6"/>
    <w:rsid w:val="38477F73"/>
    <w:rsid w:val="384D672F"/>
    <w:rsid w:val="38547ABE"/>
    <w:rsid w:val="38653A79"/>
    <w:rsid w:val="38764583"/>
    <w:rsid w:val="388A1731"/>
    <w:rsid w:val="389205E6"/>
    <w:rsid w:val="38953189"/>
    <w:rsid w:val="38B70997"/>
    <w:rsid w:val="38BB5D8F"/>
    <w:rsid w:val="38CA7D80"/>
    <w:rsid w:val="38F80D91"/>
    <w:rsid w:val="393022D9"/>
    <w:rsid w:val="393B2F97"/>
    <w:rsid w:val="39447B32"/>
    <w:rsid w:val="394B7113"/>
    <w:rsid w:val="39597B8B"/>
    <w:rsid w:val="395D0BF4"/>
    <w:rsid w:val="39627FB8"/>
    <w:rsid w:val="39663F4D"/>
    <w:rsid w:val="396A50BF"/>
    <w:rsid w:val="398268AC"/>
    <w:rsid w:val="39882115"/>
    <w:rsid w:val="399D7242"/>
    <w:rsid w:val="39A763E3"/>
    <w:rsid w:val="39AB2C03"/>
    <w:rsid w:val="39AB7BB1"/>
    <w:rsid w:val="39B27192"/>
    <w:rsid w:val="39C2535E"/>
    <w:rsid w:val="39CE38A0"/>
    <w:rsid w:val="39E274C5"/>
    <w:rsid w:val="39FF7EFD"/>
    <w:rsid w:val="3A085004"/>
    <w:rsid w:val="3A0A0CBD"/>
    <w:rsid w:val="3A255547"/>
    <w:rsid w:val="3A5169AB"/>
    <w:rsid w:val="3A6D54F2"/>
    <w:rsid w:val="3A802DEC"/>
    <w:rsid w:val="3A8D375B"/>
    <w:rsid w:val="3A960861"/>
    <w:rsid w:val="3A993EAE"/>
    <w:rsid w:val="3AA27C01"/>
    <w:rsid w:val="3ABE1B66"/>
    <w:rsid w:val="3AF15A98"/>
    <w:rsid w:val="3B0A0908"/>
    <w:rsid w:val="3B2220F5"/>
    <w:rsid w:val="3B2319C9"/>
    <w:rsid w:val="3B563B4D"/>
    <w:rsid w:val="3B5F0C53"/>
    <w:rsid w:val="3B5F6EA5"/>
    <w:rsid w:val="3B6B3A9C"/>
    <w:rsid w:val="3B782691"/>
    <w:rsid w:val="3B7D732B"/>
    <w:rsid w:val="3B8E778B"/>
    <w:rsid w:val="3B9D79CE"/>
    <w:rsid w:val="3BA64AD4"/>
    <w:rsid w:val="3BA90120"/>
    <w:rsid w:val="3BAE5737"/>
    <w:rsid w:val="3BBD597A"/>
    <w:rsid w:val="3BD056AD"/>
    <w:rsid w:val="3BE455FD"/>
    <w:rsid w:val="3BF608BB"/>
    <w:rsid w:val="3BF910A8"/>
    <w:rsid w:val="3C1A2DCC"/>
    <w:rsid w:val="3C1E6791"/>
    <w:rsid w:val="3C234BBE"/>
    <w:rsid w:val="3C3917F5"/>
    <w:rsid w:val="3C3D6ABB"/>
    <w:rsid w:val="3C410359"/>
    <w:rsid w:val="3C4340D1"/>
    <w:rsid w:val="3C4540CF"/>
    <w:rsid w:val="3CB054DF"/>
    <w:rsid w:val="3CD45671"/>
    <w:rsid w:val="3CE31410"/>
    <w:rsid w:val="3CEB6517"/>
    <w:rsid w:val="3CED4A83"/>
    <w:rsid w:val="3CEF6007"/>
    <w:rsid w:val="3CFA5AF9"/>
    <w:rsid w:val="3D0D46DF"/>
    <w:rsid w:val="3D332041"/>
    <w:rsid w:val="3D393CDB"/>
    <w:rsid w:val="3D3E2AEA"/>
    <w:rsid w:val="3D4C5207"/>
    <w:rsid w:val="3D4F498B"/>
    <w:rsid w:val="3D4F4CF8"/>
    <w:rsid w:val="3D540560"/>
    <w:rsid w:val="3D5F52A1"/>
    <w:rsid w:val="3D934BE4"/>
    <w:rsid w:val="3DA768E2"/>
    <w:rsid w:val="3DBB413B"/>
    <w:rsid w:val="3DC94AAA"/>
    <w:rsid w:val="3DCC66DC"/>
    <w:rsid w:val="3DF725A3"/>
    <w:rsid w:val="3E0F0F1E"/>
    <w:rsid w:val="3E171CB9"/>
    <w:rsid w:val="3E1A70B4"/>
    <w:rsid w:val="3E295549"/>
    <w:rsid w:val="3E3C2E1F"/>
    <w:rsid w:val="3E417A73"/>
    <w:rsid w:val="3E4203B8"/>
    <w:rsid w:val="3E470FA5"/>
    <w:rsid w:val="3E4800C5"/>
    <w:rsid w:val="3E5009CA"/>
    <w:rsid w:val="3E506F79"/>
    <w:rsid w:val="3E5A1BA6"/>
    <w:rsid w:val="3E654ECC"/>
    <w:rsid w:val="3E833547"/>
    <w:rsid w:val="3E895FE7"/>
    <w:rsid w:val="3EA24AE5"/>
    <w:rsid w:val="3EAD43CC"/>
    <w:rsid w:val="3EBB0897"/>
    <w:rsid w:val="3EBC460F"/>
    <w:rsid w:val="3ED65F75"/>
    <w:rsid w:val="3EEC4EF4"/>
    <w:rsid w:val="3EEF6A70"/>
    <w:rsid w:val="3EF27E85"/>
    <w:rsid w:val="3F192D2C"/>
    <w:rsid w:val="3F1955BD"/>
    <w:rsid w:val="3F3146B5"/>
    <w:rsid w:val="3F33033C"/>
    <w:rsid w:val="3F3B77B2"/>
    <w:rsid w:val="3F4A1C1A"/>
    <w:rsid w:val="3F4D75D0"/>
    <w:rsid w:val="3F5D36FC"/>
    <w:rsid w:val="3F6525B0"/>
    <w:rsid w:val="3F703557"/>
    <w:rsid w:val="3F9D7E23"/>
    <w:rsid w:val="3F9D7F9C"/>
    <w:rsid w:val="3FA532F5"/>
    <w:rsid w:val="3FB11C9A"/>
    <w:rsid w:val="3FD40390"/>
    <w:rsid w:val="3FD727B9"/>
    <w:rsid w:val="3FEC4A80"/>
    <w:rsid w:val="3FFE2540"/>
    <w:rsid w:val="40295CD4"/>
    <w:rsid w:val="40542DB9"/>
    <w:rsid w:val="40615A2F"/>
    <w:rsid w:val="406D5BC1"/>
    <w:rsid w:val="407135B4"/>
    <w:rsid w:val="408D6263"/>
    <w:rsid w:val="40B01F51"/>
    <w:rsid w:val="40BF2194"/>
    <w:rsid w:val="40C854ED"/>
    <w:rsid w:val="40CE7A64"/>
    <w:rsid w:val="40E1035D"/>
    <w:rsid w:val="40EB4D37"/>
    <w:rsid w:val="41055DF9"/>
    <w:rsid w:val="41313092"/>
    <w:rsid w:val="41406E31"/>
    <w:rsid w:val="41427867"/>
    <w:rsid w:val="41666F9C"/>
    <w:rsid w:val="41811023"/>
    <w:rsid w:val="418701FF"/>
    <w:rsid w:val="419378A9"/>
    <w:rsid w:val="41A06C2D"/>
    <w:rsid w:val="41BD37B3"/>
    <w:rsid w:val="41C84C2A"/>
    <w:rsid w:val="41D34149"/>
    <w:rsid w:val="41DD28D2"/>
    <w:rsid w:val="41E9396D"/>
    <w:rsid w:val="41FD2F74"/>
    <w:rsid w:val="42010244"/>
    <w:rsid w:val="4205007B"/>
    <w:rsid w:val="425D7EB7"/>
    <w:rsid w:val="42644DA1"/>
    <w:rsid w:val="42755200"/>
    <w:rsid w:val="427C175E"/>
    <w:rsid w:val="42813BA5"/>
    <w:rsid w:val="4283791D"/>
    <w:rsid w:val="42A87239"/>
    <w:rsid w:val="42B37AD7"/>
    <w:rsid w:val="42BA70B7"/>
    <w:rsid w:val="42FB3958"/>
    <w:rsid w:val="430F11B1"/>
    <w:rsid w:val="43103916"/>
    <w:rsid w:val="431E13F4"/>
    <w:rsid w:val="43290586"/>
    <w:rsid w:val="432A41C2"/>
    <w:rsid w:val="43370708"/>
    <w:rsid w:val="43591DB1"/>
    <w:rsid w:val="435A7F52"/>
    <w:rsid w:val="43650DD1"/>
    <w:rsid w:val="438C45B0"/>
    <w:rsid w:val="43966186"/>
    <w:rsid w:val="439D4A0F"/>
    <w:rsid w:val="439E42E3"/>
    <w:rsid w:val="43C024AB"/>
    <w:rsid w:val="43CC2B0C"/>
    <w:rsid w:val="43E3475A"/>
    <w:rsid w:val="43E50A45"/>
    <w:rsid w:val="43EF2D90"/>
    <w:rsid w:val="43FD424B"/>
    <w:rsid w:val="44023DFB"/>
    <w:rsid w:val="440A7BCA"/>
    <w:rsid w:val="4439400C"/>
    <w:rsid w:val="44446C38"/>
    <w:rsid w:val="44520965"/>
    <w:rsid w:val="4455067C"/>
    <w:rsid w:val="445F1CC4"/>
    <w:rsid w:val="4470759C"/>
    <w:rsid w:val="44727A56"/>
    <w:rsid w:val="44817EF9"/>
    <w:rsid w:val="4484172B"/>
    <w:rsid w:val="44986F84"/>
    <w:rsid w:val="44A46D0D"/>
    <w:rsid w:val="44AC7C92"/>
    <w:rsid w:val="44BC0EC5"/>
    <w:rsid w:val="44D76512"/>
    <w:rsid w:val="44E21EA2"/>
    <w:rsid w:val="44FC4874"/>
    <w:rsid w:val="45010FCD"/>
    <w:rsid w:val="45252F0E"/>
    <w:rsid w:val="452627E2"/>
    <w:rsid w:val="452E1696"/>
    <w:rsid w:val="45576E3F"/>
    <w:rsid w:val="458D2861"/>
    <w:rsid w:val="45941E41"/>
    <w:rsid w:val="459A1796"/>
    <w:rsid w:val="459B6D2C"/>
    <w:rsid w:val="45A51959"/>
    <w:rsid w:val="45AD2F03"/>
    <w:rsid w:val="45BB73CE"/>
    <w:rsid w:val="45C02C36"/>
    <w:rsid w:val="45D65FB6"/>
    <w:rsid w:val="45E72A8B"/>
    <w:rsid w:val="45E907F9"/>
    <w:rsid w:val="45EE1AFF"/>
    <w:rsid w:val="45F3102E"/>
    <w:rsid w:val="45F4468E"/>
    <w:rsid w:val="45FC53D1"/>
    <w:rsid w:val="46032B23"/>
    <w:rsid w:val="460348D1"/>
    <w:rsid w:val="4605689B"/>
    <w:rsid w:val="46087267"/>
    <w:rsid w:val="460F3276"/>
    <w:rsid w:val="46236D21"/>
    <w:rsid w:val="462F1B6A"/>
    <w:rsid w:val="463D7A54"/>
    <w:rsid w:val="464A2500"/>
    <w:rsid w:val="464E6022"/>
    <w:rsid w:val="467B6B5D"/>
    <w:rsid w:val="46841EB6"/>
    <w:rsid w:val="46AA2F9F"/>
    <w:rsid w:val="46AE6F33"/>
    <w:rsid w:val="46AF395B"/>
    <w:rsid w:val="46C202E8"/>
    <w:rsid w:val="46C2478C"/>
    <w:rsid w:val="46CF3003"/>
    <w:rsid w:val="46E52E08"/>
    <w:rsid w:val="46F63E43"/>
    <w:rsid w:val="47060B1D"/>
    <w:rsid w:val="471132B6"/>
    <w:rsid w:val="4714323A"/>
    <w:rsid w:val="471C5C4A"/>
    <w:rsid w:val="47737835"/>
    <w:rsid w:val="478657BA"/>
    <w:rsid w:val="4787269A"/>
    <w:rsid w:val="47923E83"/>
    <w:rsid w:val="47971775"/>
    <w:rsid w:val="479F062A"/>
    <w:rsid w:val="47AA76FA"/>
    <w:rsid w:val="47B04E54"/>
    <w:rsid w:val="47B510B6"/>
    <w:rsid w:val="47E0136E"/>
    <w:rsid w:val="47E85CAB"/>
    <w:rsid w:val="48030BB8"/>
    <w:rsid w:val="480768FB"/>
    <w:rsid w:val="480D1A37"/>
    <w:rsid w:val="48166B3E"/>
    <w:rsid w:val="482A25E9"/>
    <w:rsid w:val="482F0611"/>
    <w:rsid w:val="484F3DFE"/>
    <w:rsid w:val="486755EB"/>
    <w:rsid w:val="48937052"/>
    <w:rsid w:val="489C5993"/>
    <w:rsid w:val="48BF71D5"/>
    <w:rsid w:val="48C008CB"/>
    <w:rsid w:val="48FB5D34"/>
    <w:rsid w:val="48FD7CFE"/>
    <w:rsid w:val="49063FB4"/>
    <w:rsid w:val="49470F79"/>
    <w:rsid w:val="496054A9"/>
    <w:rsid w:val="49997A26"/>
    <w:rsid w:val="499E328F"/>
    <w:rsid w:val="49AB775A"/>
    <w:rsid w:val="49DC7913"/>
    <w:rsid w:val="4A084BAC"/>
    <w:rsid w:val="4A1277A3"/>
    <w:rsid w:val="4A233794"/>
    <w:rsid w:val="4A2D4613"/>
    <w:rsid w:val="4A2F038B"/>
    <w:rsid w:val="4A834233"/>
    <w:rsid w:val="4A9F72BE"/>
    <w:rsid w:val="4AA04DE4"/>
    <w:rsid w:val="4AA11CBE"/>
    <w:rsid w:val="4AAD74EC"/>
    <w:rsid w:val="4AC40AD3"/>
    <w:rsid w:val="4AD36F68"/>
    <w:rsid w:val="4AD60806"/>
    <w:rsid w:val="4ADB7BCB"/>
    <w:rsid w:val="4AE515FF"/>
    <w:rsid w:val="4B0B6702"/>
    <w:rsid w:val="4B1650A7"/>
    <w:rsid w:val="4B1732F9"/>
    <w:rsid w:val="4B1F03FF"/>
    <w:rsid w:val="4B241846"/>
    <w:rsid w:val="4B2C1E20"/>
    <w:rsid w:val="4B2E419E"/>
    <w:rsid w:val="4B3043BA"/>
    <w:rsid w:val="4B3574ED"/>
    <w:rsid w:val="4B4A3118"/>
    <w:rsid w:val="4B5F5936"/>
    <w:rsid w:val="4B602BFD"/>
    <w:rsid w:val="4B692279"/>
    <w:rsid w:val="4B7324F9"/>
    <w:rsid w:val="4B790F15"/>
    <w:rsid w:val="4B7D499E"/>
    <w:rsid w:val="4B885FA4"/>
    <w:rsid w:val="4B9962B8"/>
    <w:rsid w:val="4B9A5CD8"/>
    <w:rsid w:val="4BB548C0"/>
    <w:rsid w:val="4BC71ABB"/>
    <w:rsid w:val="4BDA4497"/>
    <w:rsid w:val="4BF0737E"/>
    <w:rsid w:val="4BFD23B0"/>
    <w:rsid w:val="4BFE236F"/>
    <w:rsid w:val="4C163024"/>
    <w:rsid w:val="4C2B7BF9"/>
    <w:rsid w:val="4C3840B0"/>
    <w:rsid w:val="4C3E2B07"/>
    <w:rsid w:val="4C4C6FD2"/>
    <w:rsid w:val="4C5D52FE"/>
    <w:rsid w:val="4C746529"/>
    <w:rsid w:val="4C81164C"/>
    <w:rsid w:val="4C8F3363"/>
    <w:rsid w:val="4C900457"/>
    <w:rsid w:val="4CC44379"/>
    <w:rsid w:val="4CCC3C6F"/>
    <w:rsid w:val="4CD86AB8"/>
    <w:rsid w:val="4CF102B0"/>
    <w:rsid w:val="4CF1427D"/>
    <w:rsid w:val="4D1F6494"/>
    <w:rsid w:val="4D221F75"/>
    <w:rsid w:val="4D2E492A"/>
    <w:rsid w:val="4D3A43D2"/>
    <w:rsid w:val="4D3B4B37"/>
    <w:rsid w:val="4D5123C6"/>
    <w:rsid w:val="4D5C1497"/>
    <w:rsid w:val="4D77007F"/>
    <w:rsid w:val="4D903D3D"/>
    <w:rsid w:val="4DBC159B"/>
    <w:rsid w:val="4DBF37D4"/>
    <w:rsid w:val="4DC1579E"/>
    <w:rsid w:val="4DCD4142"/>
    <w:rsid w:val="4DDD3C5A"/>
    <w:rsid w:val="4DDF3E76"/>
    <w:rsid w:val="4DFA3B86"/>
    <w:rsid w:val="4E10402F"/>
    <w:rsid w:val="4E272122"/>
    <w:rsid w:val="4E315F34"/>
    <w:rsid w:val="4E3B5550"/>
    <w:rsid w:val="4E3D0AD2"/>
    <w:rsid w:val="4E573A0C"/>
    <w:rsid w:val="4E667387"/>
    <w:rsid w:val="4E6879C7"/>
    <w:rsid w:val="4E772300"/>
    <w:rsid w:val="4E7D7652"/>
    <w:rsid w:val="4E8E4D4E"/>
    <w:rsid w:val="4EB61EE8"/>
    <w:rsid w:val="4EE625F2"/>
    <w:rsid w:val="4F027E1C"/>
    <w:rsid w:val="4F2002A2"/>
    <w:rsid w:val="4F2175A5"/>
    <w:rsid w:val="4F253B0A"/>
    <w:rsid w:val="4F2C3138"/>
    <w:rsid w:val="4F4E12B3"/>
    <w:rsid w:val="4F5F701C"/>
    <w:rsid w:val="4F652159"/>
    <w:rsid w:val="4F702FD7"/>
    <w:rsid w:val="4F7A2D47"/>
    <w:rsid w:val="4F7A3E56"/>
    <w:rsid w:val="4F840831"/>
    <w:rsid w:val="4F8B10DF"/>
    <w:rsid w:val="4F9354F2"/>
    <w:rsid w:val="4FBC621D"/>
    <w:rsid w:val="4FC8399D"/>
    <w:rsid w:val="4FE87012"/>
    <w:rsid w:val="50055A25"/>
    <w:rsid w:val="504D2FC4"/>
    <w:rsid w:val="504D66D9"/>
    <w:rsid w:val="504F0E3F"/>
    <w:rsid w:val="50772144"/>
    <w:rsid w:val="5080549C"/>
    <w:rsid w:val="50935FBB"/>
    <w:rsid w:val="50AF5D81"/>
    <w:rsid w:val="50D457E8"/>
    <w:rsid w:val="50FA1891"/>
    <w:rsid w:val="511107EA"/>
    <w:rsid w:val="512A5408"/>
    <w:rsid w:val="51401FA7"/>
    <w:rsid w:val="51605C5C"/>
    <w:rsid w:val="51624BA2"/>
    <w:rsid w:val="517B293B"/>
    <w:rsid w:val="517F5754"/>
    <w:rsid w:val="51A93D45"/>
    <w:rsid w:val="51C8534D"/>
    <w:rsid w:val="51C877D9"/>
    <w:rsid w:val="51DB0B9F"/>
    <w:rsid w:val="51E25CE3"/>
    <w:rsid w:val="520C7518"/>
    <w:rsid w:val="521F2A93"/>
    <w:rsid w:val="526516A7"/>
    <w:rsid w:val="52754DA9"/>
    <w:rsid w:val="528E7540"/>
    <w:rsid w:val="52927709"/>
    <w:rsid w:val="5294522F"/>
    <w:rsid w:val="529E5C0B"/>
    <w:rsid w:val="52BF7DD2"/>
    <w:rsid w:val="52C35B14"/>
    <w:rsid w:val="52DC5F07"/>
    <w:rsid w:val="52E066C6"/>
    <w:rsid w:val="52FB52C3"/>
    <w:rsid w:val="52FF52F8"/>
    <w:rsid w:val="530C3017"/>
    <w:rsid w:val="530F0D59"/>
    <w:rsid w:val="531748FE"/>
    <w:rsid w:val="532760A3"/>
    <w:rsid w:val="533241F0"/>
    <w:rsid w:val="533407C0"/>
    <w:rsid w:val="534959CC"/>
    <w:rsid w:val="534A0FA5"/>
    <w:rsid w:val="535A51E8"/>
    <w:rsid w:val="535F3A8F"/>
    <w:rsid w:val="537137C2"/>
    <w:rsid w:val="538A03E0"/>
    <w:rsid w:val="538E7ED0"/>
    <w:rsid w:val="539574B0"/>
    <w:rsid w:val="53A96AB8"/>
    <w:rsid w:val="53B042EA"/>
    <w:rsid w:val="53B70993"/>
    <w:rsid w:val="53C35AD4"/>
    <w:rsid w:val="53C721C8"/>
    <w:rsid w:val="53CA4C80"/>
    <w:rsid w:val="53D8739D"/>
    <w:rsid w:val="53FA7313"/>
    <w:rsid w:val="5406546D"/>
    <w:rsid w:val="54104D89"/>
    <w:rsid w:val="541F4FCC"/>
    <w:rsid w:val="54322F51"/>
    <w:rsid w:val="54337E29"/>
    <w:rsid w:val="545310A8"/>
    <w:rsid w:val="54651E08"/>
    <w:rsid w:val="5474356A"/>
    <w:rsid w:val="54770964"/>
    <w:rsid w:val="547E6196"/>
    <w:rsid w:val="54816566"/>
    <w:rsid w:val="5483555B"/>
    <w:rsid w:val="548D63DA"/>
    <w:rsid w:val="54BE3EA7"/>
    <w:rsid w:val="54E83610"/>
    <w:rsid w:val="54FA3343"/>
    <w:rsid w:val="54FB1595"/>
    <w:rsid w:val="55081F04"/>
    <w:rsid w:val="553700F3"/>
    <w:rsid w:val="55447CDF"/>
    <w:rsid w:val="554E64C3"/>
    <w:rsid w:val="55537FE6"/>
    <w:rsid w:val="55560EC1"/>
    <w:rsid w:val="55592760"/>
    <w:rsid w:val="555B7BB5"/>
    <w:rsid w:val="5563538C"/>
    <w:rsid w:val="55636310"/>
    <w:rsid w:val="55652EB2"/>
    <w:rsid w:val="557F11C3"/>
    <w:rsid w:val="55855303"/>
    <w:rsid w:val="558D02F3"/>
    <w:rsid w:val="55AA6B17"/>
    <w:rsid w:val="55B55BE8"/>
    <w:rsid w:val="55B654BC"/>
    <w:rsid w:val="55BD684B"/>
    <w:rsid w:val="55D16F64"/>
    <w:rsid w:val="55DD513F"/>
    <w:rsid w:val="55DD60A2"/>
    <w:rsid w:val="55F06C20"/>
    <w:rsid w:val="56584CC4"/>
    <w:rsid w:val="565A22EB"/>
    <w:rsid w:val="567F61F6"/>
    <w:rsid w:val="56833667"/>
    <w:rsid w:val="569F1B60"/>
    <w:rsid w:val="56BE18D7"/>
    <w:rsid w:val="56C9121F"/>
    <w:rsid w:val="56CB0517"/>
    <w:rsid w:val="56D26326"/>
    <w:rsid w:val="56EC60D4"/>
    <w:rsid w:val="56FC33A3"/>
    <w:rsid w:val="56FF2E93"/>
    <w:rsid w:val="570861EB"/>
    <w:rsid w:val="571D4679"/>
    <w:rsid w:val="572D5C52"/>
    <w:rsid w:val="57340D8E"/>
    <w:rsid w:val="57376AD1"/>
    <w:rsid w:val="573E7E5F"/>
    <w:rsid w:val="574718C8"/>
    <w:rsid w:val="574B144F"/>
    <w:rsid w:val="574B4A41"/>
    <w:rsid w:val="574B7E86"/>
    <w:rsid w:val="578F06BB"/>
    <w:rsid w:val="579161E1"/>
    <w:rsid w:val="579A467B"/>
    <w:rsid w:val="579F5751"/>
    <w:rsid w:val="57BD5228"/>
    <w:rsid w:val="57BD6FD6"/>
    <w:rsid w:val="57BF2D4E"/>
    <w:rsid w:val="57D60097"/>
    <w:rsid w:val="57DE0CFA"/>
    <w:rsid w:val="57DF67DE"/>
    <w:rsid w:val="57EF4AFE"/>
    <w:rsid w:val="58003366"/>
    <w:rsid w:val="5807009B"/>
    <w:rsid w:val="58094AF5"/>
    <w:rsid w:val="580A1AEF"/>
    <w:rsid w:val="586D09FC"/>
    <w:rsid w:val="58733B38"/>
    <w:rsid w:val="58B57CAD"/>
    <w:rsid w:val="58CF7FF8"/>
    <w:rsid w:val="58D453BA"/>
    <w:rsid w:val="58E32520"/>
    <w:rsid w:val="590945E7"/>
    <w:rsid w:val="591B158F"/>
    <w:rsid w:val="5922239F"/>
    <w:rsid w:val="592941F7"/>
    <w:rsid w:val="592D3CE7"/>
    <w:rsid w:val="59314A3D"/>
    <w:rsid w:val="59346BD7"/>
    <w:rsid w:val="593A6404"/>
    <w:rsid w:val="59407906"/>
    <w:rsid w:val="59484FC5"/>
    <w:rsid w:val="59B368E2"/>
    <w:rsid w:val="59BD32BD"/>
    <w:rsid w:val="59C200D6"/>
    <w:rsid w:val="59E56370"/>
    <w:rsid w:val="59F44805"/>
    <w:rsid w:val="59FB3DE5"/>
    <w:rsid w:val="5A1952D9"/>
    <w:rsid w:val="5A1A070F"/>
    <w:rsid w:val="5A2936A1"/>
    <w:rsid w:val="5A2C0443"/>
    <w:rsid w:val="5A2E5F69"/>
    <w:rsid w:val="5A34537C"/>
    <w:rsid w:val="5A3C3F0A"/>
    <w:rsid w:val="5A64198B"/>
    <w:rsid w:val="5A731BCE"/>
    <w:rsid w:val="5A746FC4"/>
    <w:rsid w:val="5A76346C"/>
    <w:rsid w:val="5A8B5169"/>
    <w:rsid w:val="5A981634"/>
    <w:rsid w:val="5ABD72ED"/>
    <w:rsid w:val="5ACE14FA"/>
    <w:rsid w:val="5ADD3A13"/>
    <w:rsid w:val="5AE23BA6"/>
    <w:rsid w:val="5AEB7237"/>
    <w:rsid w:val="5B024702"/>
    <w:rsid w:val="5B1A3CC2"/>
    <w:rsid w:val="5B213758"/>
    <w:rsid w:val="5B280C0A"/>
    <w:rsid w:val="5B301190"/>
    <w:rsid w:val="5B35421A"/>
    <w:rsid w:val="5B62391F"/>
    <w:rsid w:val="5B7E5AD2"/>
    <w:rsid w:val="5B9067AF"/>
    <w:rsid w:val="5B91741B"/>
    <w:rsid w:val="5BAE17E8"/>
    <w:rsid w:val="5BB823D4"/>
    <w:rsid w:val="5BC775CC"/>
    <w:rsid w:val="5BCC284B"/>
    <w:rsid w:val="5BCF72D8"/>
    <w:rsid w:val="5BD25CBC"/>
    <w:rsid w:val="5BD743DE"/>
    <w:rsid w:val="5BE16FD5"/>
    <w:rsid w:val="5BE508A9"/>
    <w:rsid w:val="5C185B16"/>
    <w:rsid w:val="5C2C0286"/>
    <w:rsid w:val="5C45759A"/>
    <w:rsid w:val="5C476215"/>
    <w:rsid w:val="5C5A3459"/>
    <w:rsid w:val="5C5B0B6B"/>
    <w:rsid w:val="5C702869"/>
    <w:rsid w:val="5C930305"/>
    <w:rsid w:val="5C9B11DA"/>
    <w:rsid w:val="5CA73DB1"/>
    <w:rsid w:val="5CBD4171"/>
    <w:rsid w:val="5CC1611E"/>
    <w:rsid w:val="5CC74453"/>
    <w:rsid w:val="5CCE57E1"/>
    <w:rsid w:val="5CD050B5"/>
    <w:rsid w:val="5CDA23D8"/>
    <w:rsid w:val="5CDD3C76"/>
    <w:rsid w:val="5CE92072"/>
    <w:rsid w:val="5CEA714D"/>
    <w:rsid w:val="5D172CE4"/>
    <w:rsid w:val="5D215911"/>
    <w:rsid w:val="5D276C9F"/>
    <w:rsid w:val="5D2933F0"/>
    <w:rsid w:val="5D2D3C6D"/>
    <w:rsid w:val="5D431D2B"/>
    <w:rsid w:val="5D6C282E"/>
    <w:rsid w:val="5D8B722E"/>
    <w:rsid w:val="5D9C0CC2"/>
    <w:rsid w:val="5D9E1657"/>
    <w:rsid w:val="5DBE7604"/>
    <w:rsid w:val="5DD6366B"/>
    <w:rsid w:val="5DD7485E"/>
    <w:rsid w:val="5DDB0DC0"/>
    <w:rsid w:val="5DFE5C52"/>
    <w:rsid w:val="5DFF73EA"/>
    <w:rsid w:val="5E196F30"/>
    <w:rsid w:val="5E296C3F"/>
    <w:rsid w:val="5E2D4789"/>
    <w:rsid w:val="5E36363E"/>
    <w:rsid w:val="5E4A533B"/>
    <w:rsid w:val="5E5C204E"/>
    <w:rsid w:val="5E79177D"/>
    <w:rsid w:val="5E8048B9"/>
    <w:rsid w:val="5E8343A9"/>
    <w:rsid w:val="5E901EF3"/>
    <w:rsid w:val="5E987E55"/>
    <w:rsid w:val="5EAC3900"/>
    <w:rsid w:val="5EB6477F"/>
    <w:rsid w:val="5EDD1D0C"/>
    <w:rsid w:val="5EF01A3F"/>
    <w:rsid w:val="5F061262"/>
    <w:rsid w:val="5F4323F3"/>
    <w:rsid w:val="5F4B54D5"/>
    <w:rsid w:val="5F6B37BB"/>
    <w:rsid w:val="5F775CBC"/>
    <w:rsid w:val="5F9525E6"/>
    <w:rsid w:val="5FA34EA2"/>
    <w:rsid w:val="5FB8448F"/>
    <w:rsid w:val="5FBF2E13"/>
    <w:rsid w:val="5FDF265D"/>
    <w:rsid w:val="5FF8452B"/>
    <w:rsid w:val="5FFE1F39"/>
    <w:rsid w:val="6022506D"/>
    <w:rsid w:val="60261490"/>
    <w:rsid w:val="60395667"/>
    <w:rsid w:val="603D7B31"/>
    <w:rsid w:val="604B5FC0"/>
    <w:rsid w:val="60561D75"/>
    <w:rsid w:val="606F1089"/>
    <w:rsid w:val="60746A10"/>
    <w:rsid w:val="60782DD9"/>
    <w:rsid w:val="608337CA"/>
    <w:rsid w:val="60851986"/>
    <w:rsid w:val="608E59B3"/>
    <w:rsid w:val="60C93294"/>
    <w:rsid w:val="60CB17FA"/>
    <w:rsid w:val="60D4713E"/>
    <w:rsid w:val="61120392"/>
    <w:rsid w:val="611834CF"/>
    <w:rsid w:val="612009AD"/>
    <w:rsid w:val="612956DC"/>
    <w:rsid w:val="613D1F5F"/>
    <w:rsid w:val="61411208"/>
    <w:rsid w:val="614F1756"/>
    <w:rsid w:val="615C33BC"/>
    <w:rsid w:val="617627CD"/>
    <w:rsid w:val="617C580C"/>
    <w:rsid w:val="6198016C"/>
    <w:rsid w:val="619F22FA"/>
    <w:rsid w:val="61A612AA"/>
    <w:rsid w:val="61AF3E33"/>
    <w:rsid w:val="61CA7CFA"/>
    <w:rsid w:val="61D102E7"/>
    <w:rsid w:val="61D27B22"/>
    <w:rsid w:val="61D45648"/>
    <w:rsid w:val="61DB4C79"/>
    <w:rsid w:val="61DE1548"/>
    <w:rsid w:val="61F950AE"/>
    <w:rsid w:val="62051CA5"/>
    <w:rsid w:val="62143259"/>
    <w:rsid w:val="621B44ED"/>
    <w:rsid w:val="62266FC1"/>
    <w:rsid w:val="6239194F"/>
    <w:rsid w:val="62394AA0"/>
    <w:rsid w:val="623C73EC"/>
    <w:rsid w:val="624F1172"/>
    <w:rsid w:val="625366DC"/>
    <w:rsid w:val="62617D03"/>
    <w:rsid w:val="6267026A"/>
    <w:rsid w:val="626F5370"/>
    <w:rsid w:val="627F40FB"/>
    <w:rsid w:val="62A019CE"/>
    <w:rsid w:val="62A4281A"/>
    <w:rsid w:val="62B80AC5"/>
    <w:rsid w:val="62C236F2"/>
    <w:rsid w:val="62D60F4C"/>
    <w:rsid w:val="62D81168"/>
    <w:rsid w:val="62F007D4"/>
    <w:rsid w:val="63041F5D"/>
    <w:rsid w:val="630A0287"/>
    <w:rsid w:val="63181564"/>
    <w:rsid w:val="631D4DCC"/>
    <w:rsid w:val="63293771"/>
    <w:rsid w:val="632C5010"/>
    <w:rsid w:val="6342631B"/>
    <w:rsid w:val="635C7497"/>
    <w:rsid w:val="63A1155A"/>
    <w:rsid w:val="63C33BC6"/>
    <w:rsid w:val="63CD05A1"/>
    <w:rsid w:val="63D7141F"/>
    <w:rsid w:val="63F7386F"/>
    <w:rsid w:val="63FC0E86"/>
    <w:rsid w:val="641A130C"/>
    <w:rsid w:val="64306D81"/>
    <w:rsid w:val="644A189C"/>
    <w:rsid w:val="64706E73"/>
    <w:rsid w:val="647A1DAB"/>
    <w:rsid w:val="6480234C"/>
    <w:rsid w:val="648E73F0"/>
    <w:rsid w:val="64966BE4"/>
    <w:rsid w:val="64C934FC"/>
    <w:rsid w:val="64CE386A"/>
    <w:rsid w:val="64E35BA2"/>
    <w:rsid w:val="64E43618"/>
    <w:rsid w:val="64E50DBA"/>
    <w:rsid w:val="64F0224E"/>
    <w:rsid w:val="64F42AFB"/>
    <w:rsid w:val="650A75D2"/>
    <w:rsid w:val="650B0DB5"/>
    <w:rsid w:val="650E0E71"/>
    <w:rsid w:val="651641C9"/>
    <w:rsid w:val="65387C9C"/>
    <w:rsid w:val="653A0B2C"/>
    <w:rsid w:val="653D4934"/>
    <w:rsid w:val="653E102A"/>
    <w:rsid w:val="655C4815"/>
    <w:rsid w:val="656071F2"/>
    <w:rsid w:val="656B62C3"/>
    <w:rsid w:val="656C3DE9"/>
    <w:rsid w:val="656C6DFA"/>
    <w:rsid w:val="657B5DDA"/>
    <w:rsid w:val="65821AA5"/>
    <w:rsid w:val="6587477F"/>
    <w:rsid w:val="65921AA2"/>
    <w:rsid w:val="65AC0766"/>
    <w:rsid w:val="65BD63F3"/>
    <w:rsid w:val="65D025CA"/>
    <w:rsid w:val="66157FDD"/>
    <w:rsid w:val="664F3FB5"/>
    <w:rsid w:val="669E6224"/>
    <w:rsid w:val="66AB0941"/>
    <w:rsid w:val="66B93329"/>
    <w:rsid w:val="66D439F4"/>
    <w:rsid w:val="66E31E89"/>
    <w:rsid w:val="670F7122"/>
    <w:rsid w:val="67242BCD"/>
    <w:rsid w:val="67256946"/>
    <w:rsid w:val="674D37A6"/>
    <w:rsid w:val="6760172C"/>
    <w:rsid w:val="67834C61"/>
    <w:rsid w:val="678371C8"/>
    <w:rsid w:val="67851F7C"/>
    <w:rsid w:val="67955879"/>
    <w:rsid w:val="67967B76"/>
    <w:rsid w:val="67A4786A"/>
    <w:rsid w:val="67AB6E4B"/>
    <w:rsid w:val="67AC4971"/>
    <w:rsid w:val="67AF1F9E"/>
    <w:rsid w:val="67BD37BF"/>
    <w:rsid w:val="67C223E6"/>
    <w:rsid w:val="67D16185"/>
    <w:rsid w:val="68024591"/>
    <w:rsid w:val="680B1697"/>
    <w:rsid w:val="68106CAE"/>
    <w:rsid w:val="68294213"/>
    <w:rsid w:val="682A1F51"/>
    <w:rsid w:val="683F57E5"/>
    <w:rsid w:val="685B2240"/>
    <w:rsid w:val="685C103B"/>
    <w:rsid w:val="685E3EBD"/>
    <w:rsid w:val="687B6ABA"/>
    <w:rsid w:val="687E4DE2"/>
    <w:rsid w:val="6881195A"/>
    <w:rsid w:val="68AA5354"/>
    <w:rsid w:val="68C2127C"/>
    <w:rsid w:val="68C83A2C"/>
    <w:rsid w:val="68EE387C"/>
    <w:rsid w:val="68FC5484"/>
    <w:rsid w:val="6901630C"/>
    <w:rsid w:val="69047296"/>
    <w:rsid w:val="69112CDD"/>
    <w:rsid w:val="69295A21"/>
    <w:rsid w:val="693273ED"/>
    <w:rsid w:val="696C43B8"/>
    <w:rsid w:val="697B0A9F"/>
    <w:rsid w:val="697D0373"/>
    <w:rsid w:val="69801C11"/>
    <w:rsid w:val="698A2A90"/>
    <w:rsid w:val="698F62F8"/>
    <w:rsid w:val="699D4E18"/>
    <w:rsid w:val="69C2047C"/>
    <w:rsid w:val="69DA274F"/>
    <w:rsid w:val="69E91EAC"/>
    <w:rsid w:val="6A1641E9"/>
    <w:rsid w:val="6A2C6F57"/>
    <w:rsid w:val="6A3749C6"/>
    <w:rsid w:val="6A3D146E"/>
    <w:rsid w:val="6A5A06B4"/>
    <w:rsid w:val="6A5B0685"/>
    <w:rsid w:val="6A780267"/>
    <w:rsid w:val="6A8F4802"/>
    <w:rsid w:val="6A955B90"/>
    <w:rsid w:val="6A9C451A"/>
    <w:rsid w:val="6AA933EA"/>
    <w:rsid w:val="6AAD4C88"/>
    <w:rsid w:val="6AB204F0"/>
    <w:rsid w:val="6ABE6E95"/>
    <w:rsid w:val="6AF91C7B"/>
    <w:rsid w:val="6B2D5DC9"/>
    <w:rsid w:val="6B425E64"/>
    <w:rsid w:val="6B4C26F3"/>
    <w:rsid w:val="6B5577AF"/>
    <w:rsid w:val="6B7D7E89"/>
    <w:rsid w:val="6B80239C"/>
    <w:rsid w:val="6B881251"/>
    <w:rsid w:val="6B8B3A98"/>
    <w:rsid w:val="6B9145AA"/>
    <w:rsid w:val="6B924414"/>
    <w:rsid w:val="6B9C690D"/>
    <w:rsid w:val="6BA936A1"/>
    <w:rsid w:val="6BCE135A"/>
    <w:rsid w:val="6BE741CA"/>
    <w:rsid w:val="6BEE2C86"/>
    <w:rsid w:val="6BF608B1"/>
    <w:rsid w:val="6BF6440D"/>
    <w:rsid w:val="6BF6634B"/>
    <w:rsid w:val="6BFF7765"/>
    <w:rsid w:val="6C0E5BFA"/>
    <w:rsid w:val="6C156F89"/>
    <w:rsid w:val="6C186A79"/>
    <w:rsid w:val="6C193AA4"/>
    <w:rsid w:val="6C2B055A"/>
    <w:rsid w:val="6C3B104D"/>
    <w:rsid w:val="6C427652"/>
    <w:rsid w:val="6C520745"/>
    <w:rsid w:val="6C553738"/>
    <w:rsid w:val="6C684451"/>
    <w:rsid w:val="6C7041BF"/>
    <w:rsid w:val="6C731F01"/>
    <w:rsid w:val="6C77554D"/>
    <w:rsid w:val="6C845EBC"/>
    <w:rsid w:val="6CA64085"/>
    <w:rsid w:val="6CB322FE"/>
    <w:rsid w:val="6CBC5656"/>
    <w:rsid w:val="6CC260FF"/>
    <w:rsid w:val="6CCB5899"/>
    <w:rsid w:val="6CE40709"/>
    <w:rsid w:val="6CE8644B"/>
    <w:rsid w:val="6CEF1588"/>
    <w:rsid w:val="6CF748E0"/>
    <w:rsid w:val="6D062D75"/>
    <w:rsid w:val="6D1E0194"/>
    <w:rsid w:val="6D5B4E6F"/>
    <w:rsid w:val="6D60037E"/>
    <w:rsid w:val="6D7E46BA"/>
    <w:rsid w:val="6DC76061"/>
    <w:rsid w:val="6DCC43B7"/>
    <w:rsid w:val="6DCF7D19"/>
    <w:rsid w:val="6DE74955"/>
    <w:rsid w:val="6DEE183F"/>
    <w:rsid w:val="6DF17581"/>
    <w:rsid w:val="6DFD7CD4"/>
    <w:rsid w:val="6E1119D2"/>
    <w:rsid w:val="6E13574A"/>
    <w:rsid w:val="6E22773B"/>
    <w:rsid w:val="6E2B2A93"/>
    <w:rsid w:val="6E396833"/>
    <w:rsid w:val="6E5B7AB3"/>
    <w:rsid w:val="6E63694D"/>
    <w:rsid w:val="6E753D0F"/>
    <w:rsid w:val="6E7E44D3"/>
    <w:rsid w:val="6E82467D"/>
    <w:rsid w:val="6E8E3022"/>
    <w:rsid w:val="6EA14B04"/>
    <w:rsid w:val="6EA6211A"/>
    <w:rsid w:val="6EA67BD6"/>
    <w:rsid w:val="6EAA3DCE"/>
    <w:rsid w:val="6EB26D11"/>
    <w:rsid w:val="6ED053E9"/>
    <w:rsid w:val="6EEA46FD"/>
    <w:rsid w:val="6EF56BFD"/>
    <w:rsid w:val="6F1432C8"/>
    <w:rsid w:val="6F1F3C7A"/>
    <w:rsid w:val="6F213E96"/>
    <w:rsid w:val="6F2319BD"/>
    <w:rsid w:val="6F333B82"/>
    <w:rsid w:val="6F3C2A7E"/>
    <w:rsid w:val="6F4162E7"/>
    <w:rsid w:val="6F4831D1"/>
    <w:rsid w:val="6F667AFB"/>
    <w:rsid w:val="6F674C4E"/>
    <w:rsid w:val="6F6E6A9D"/>
    <w:rsid w:val="6F8F0E00"/>
    <w:rsid w:val="6FB40867"/>
    <w:rsid w:val="6FC0545D"/>
    <w:rsid w:val="6FC767EC"/>
    <w:rsid w:val="6FC851B6"/>
    <w:rsid w:val="6FD76303"/>
    <w:rsid w:val="6FDD0AC3"/>
    <w:rsid w:val="6FE8282E"/>
    <w:rsid w:val="6FE968C2"/>
    <w:rsid w:val="6FF70753"/>
    <w:rsid w:val="701F03D6"/>
    <w:rsid w:val="70206492"/>
    <w:rsid w:val="70311EB7"/>
    <w:rsid w:val="703F45D4"/>
    <w:rsid w:val="705636CC"/>
    <w:rsid w:val="70727473"/>
    <w:rsid w:val="707B3132"/>
    <w:rsid w:val="70A95EF1"/>
    <w:rsid w:val="70B84386"/>
    <w:rsid w:val="70BD374B"/>
    <w:rsid w:val="70C76378"/>
    <w:rsid w:val="70CB230C"/>
    <w:rsid w:val="70DF36C1"/>
    <w:rsid w:val="70EF55D6"/>
    <w:rsid w:val="70F058CE"/>
    <w:rsid w:val="70F57389"/>
    <w:rsid w:val="70FC0717"/>
    <w:rsid w:val="71412571"/>
    <w:rsid w:val="71500A63"/>
    <w:rsid w:val="716A2DB9"/>
    <w:rsid w:val="717007BD"/>
    <w:rsid w:val="71752972"/>
    <w:rsid w:val="718801FD"/>
    <w:rsid w:val="71A1306D"/>
    <w:rsid w:val="71A462ED"/>
    <w:rsid w:val="71AF12E6"/>
    <w:rsid w:val="71BD369B"/>
    <w:rsid w:val="71C34563"/>
    <w:rsid w:val="71E82A49"/>
    <w:rsid w:val="71F92EA9"/>
    <w:rsid w:val="722872EA"/>
    <w:rsid w:val="723106E0"/>
    <w:rsid w:val="72324035"/>
    <w:rsid w:val="723637B5"/>
    <w:rsid w:val="72402885"/>
    <w:rsid w:val="7244444A"/>
    <w:rsid w:val="72457D55"/>
    <w:rsid w:val="724C2FD8"/>
    <w:rsid w:val="729329B5"/>
    <w:rsid w:val="729C2568"/>
    <w:rsid w:val="729D3834"/>
    <w:rsid w:val="72AB332E"/>
    <w:rsid w:val="72BD7A32"/>
    <w:rsid w:val="72C214EC"/>
    <w:rsid w:val="72C25048"/>
    <w:rsid w:val="72CB03A1"/>
    <w:rsid w:val="72CF6789"/>
    <w:rsid w:val="72D80D10"/>
    <w:rsid w:val="72E651DB"/>
    <w:rsid w:val="72EA0E07"/>
    <w:rsid w:val="73075151"/>
    <w:rsid w:val="730B2E93"/>
    <w:rsid w:val="73192A7F"/>
    <w:rsid w:val="733712EA"/>
    <w:rsid w:val="7349076D"/>
    <w:rsid w:val="734939BC"/>
    <w:rsid w:val="734F0FD2"/>
    <w:rsid w:val="735F0AE9"/>
    <w:rsid w:val="736E6F7E"/>
    <w:rsid w:val="737B1C36"/>
    <w:rsid w:val="737E64C4"/>
    <w:rsid w:val="738A025C"/>
    <w:rsid w:val="73993FFB"/>
    <w:rsid w:val="73AA26AC"/>
    <w:rsid w:val="73B00D4A"/>
    <w:rsid w:val="73BA21C4"/>
    <w:rsid w:val="73DA4614"/>
    <w:rsid w:val="73DB2866"/>
    <w:rsid w:val="73F90F3E"/>
    <w:rsid w:val="73FF384F"/>
    <w:rsid w:val="740578E3"/>
    <w:rsid w:val="7412607C"/>
    <w:rsid w:val="741B5358"/>
    <w:rsid w:val="741C6D50"/>
    <w:rsid w:val="744E1D52"/>
    <w:rsid w:val="744E5595"/>
    <w:rsid w:val="74582108"/>
    <w:rsid w:val="746E5488"/>
    <w:rsid w:val="747800B5"/>
    <w:rsid w:val="74806A9E"/>
    <w:rsid w:val="748D2266"/>
    <w:rsid w:val="74945C3A"/>
    <w:rsid w:val="74A23383"/>
    <w:rsid w:val="74C838E9"/>
    <w:rsid w:val="74C976B2"/>
    <w:rsid w:val="74CE23CA"/>
    <w:rsid w:val="74DC541F"/>
    <w:rsid w:val="74DC6A53"/>
    <w:rsid w:val="74F17E67"/>
    <w:rsid w:val="74F51705"/>
    <w:rsid w:val="75023E22"/>
    <w:rsid w:val="750A005E"/>
    <w:rsid w:val="75137DDD"/>
    <w:rsid w:val="752A2E4F"/>
    <w:rsid w:val="752F0840"/>
    <w:rsid w:val="754E52B9"/>
    <w:rsid w:val="75513F5C"/>
    <w:rsid w:val="75622CDB"/>
    <w:rsid w:val="75624C59"/>
    <w:rsid w:val="758E3908"/>
    <w:rsid w:val="75947170"/>
    <w:rsid w:val="759920FC"/>
    <w:rsid w:val="759A04FF"/>
    <w:rsid w:val="75A23656"/>
    <w:rsid w:val="75AB2ED7"/>
    <w:rsid w:val="75AB44BA"/>
    <w:rsid w:val="75B74C0D"/>
    <w:rsid w:val="75B77AB7"/>
    <w:rsid w:val="75BE5F9B"/>
    <w:rsid w:val="75D11C24"/>
    <w:rsid w:val="75D6429D"/>
    <w:rsid w:val="75DA6F62"/>
    <w:rsid w:val="75E1612D"/>
    <w:rsid w:val="75F2546A"/>
    <w:rsid w:val="75F77ECE"/>
    <w:rsid w:val="75FD30F1"/>
    <w:rsid w:val="760B3802"/>
    <w:rsid w:val="76404C02"/>
    <w:rsid w:val="764D731F"/>
    <w:rsid w:val="76530DD9"/>
    <w:rsid w:val="76636B42"/>
    <w:rsid w:val="76697AF1"/>
    <w:rsid w:val="768C6099"/>
    <w:rsid w:val="769211D6"/>
    <w:rsid w:val="76960730"/>
    <w:rsid w:val="76A71125"/>
    <w:rsid w:val="76B850E0"/>
    <w:rsid w:val="76D637B8"/>
    <w:rsid w:val="76EB7264"/>
    <w:rsid w:val="76EE28B0"/>
    <w:rsid w:val="76EE465E"/>
    <w:rsid w:val="76F8372F"/>
    <w:rsid w:val="76FD0D45"/>
    <w:rsid w:val="770037CB"/>
    <w:rsid w:val="770B30DB"/>
    <w:rsid w:val="772E0EFE"/>
    <w:rsid w:val="773354CD"/>
    <w:rsid w:val="773B361B"/>
    <w:rsid w:val="77440722"/>
    <w:rsid w:val="7772528F"/>
    <w:rsid w:val="77796C11"/>
    <w:rsid w:val="77843214"/>
    <w:rsid w:val="77866F8C"/>
    <w:rsid w:val="77973C02"/>
    <w:rsid w:val="77B41C25"/>
    <w:rsid w:val="77B5022B"/>
    <w:rsid w:val="77BC650A"/>
    <w:rsid w:val="77D04405"/>
    <w:rsid w:val="77F2439C"/>
    <w:rsid w:val="77FA34D6"/>
    <w:rsid w:val="77FC50BF"/>
    <w:rsid w:val="77FC724F"/>
    <w:rsid w:val="78014865"/>
    <w:rsid w:val="780F6F82"/>
    <w:rsid w:val="78280044"/>
    <w:rsid w:val="78436C2C"/>
    <w:rsid w:val="784E6722"/>
    <w:rsid w:val="78917997"/>
    <w:rsid w:val="78995758"/>
    <w:rsid w:val="789B6A68"/>
    <w:rsid w:val="78AA2807"/>
    <w:rsid w:val="78AF3D0B"/>
    <w:rsid w:val="78CA5178"/>
    <w:rsid w:val="78EA1F27"/>
    <w:rsid w:val="78EC0C3E"/>
    <w:rsid w:val="790243F1"/>
    <w:rsid w:val="79181E66"/>
    <w:rsid w:val="79191A0F"/>
    <w:rsid w:val="792A0F38"/>
    <w:rsid w:val="793D18CD"/>
    <w:rsid w:val="79425915"/>
    <w:rsid w:val="795B13AA"/>
    <w:rsid w:val="7961380D"/>
    <w:rsid w:val="79670EEF"/>
    <w:rsid w:val="797A042B"/>
    <w:rsid w:val="797F1EE5"/>
    <w:rsid w:val="79A82152"/>
    <w:rsid w:val="79AE6327"/>
    <w:rsid w:val="79C36276"/>
    <w:rsid w:val="79DC4477"/>
    <w:rsid w:val="79F576BE"/>
    <w:rsid w:val="7A195E96"/>
    <w:rsid w:val="7A293BFF"/>
    <w:rsid w:val="7A2A00A3"/>
    <w:rsid w:val="7A2A207B"/>
    <w:rsid w:val="7A3F2595"/>
    <w:rsid w:val="7A4D1FE3"/>
    <w:rsid w:val="7A574C10"/>
    <w:rsid w:val="7A575253"/>
    <w:rsid w:val="7A62460A"/>
    <w:rsid w:val="7A637ADE"/>
    <w:rsid w:val="7A682979"/>
    <w:rsid w:val="7A6A66F1"/>
    <w:rsid w:val="7A7268DF"/>
    <w:rsid w:val="7A747570"/>
    <w:rsid w:val="7A762FD4"/>
    <w:rsid w:val="7A8D418E"/>
    <w:rsid w:val="7A9B05E2"/>
    <w:rsid w:val="7AAD4830"/>
    <w:rsid w:val="7AB14F4C"/>
    <w:rsid w:val="7AC6526C"/>
    <w:rsid w:val="7AD26045"/>
    <w:rsid w:val="7ADA5407"/>
    <w:rsid w:val="7AF7501F"/>
    <w:rsid w:val="7AF95CC7"/>
    <w:rsid w:val="7AFE508C"/>
    <w:rsid w:val="7AFF70B4"/>
    <w:rsid w:val="7B0609A6"/>
    <w:rsid w:val="7B18614D"/>
    <w:rsid w:val="7B1D3764"/>
    <w:rsid w:val="7B2014A6"/>
    <w:rsid w:val="7B3311D9"/>
    <w:rsid w:val="7B580C40"/>
    <w:rsid w:val="7B5A6766"/>
    <w:rsid w:val="7B711B1F"/>
    <w:rsid w:val="7B784E3E"/>
    <w:rsid w:val="7B7B7DDD"/>
    <w:rsid w:val="7B841A35"/>
    <w:rsid w:val="7B8B4B71"/>
    <w:rsid w:val="7B9A0B28"/>
    <w:rsid w:val="7BB51BEE"/>
    <w:rsid w:val="7BBD0AA3"/>
    <w:rsid w:val="7BD52290"/>
    <w:rsid w:val="7BDA022F"/>
    <w:rsid w:val="7BEA3E22"/>
    <w:rsid w:val="7BF070CA"/>
    <w:rsid w:val="7BF14794"/>
    <w:rsid w:val="7C3C5E6C"/>
    <w:rsid w:val="7C4928F9"/>
    <w:rsid w:val="7C5533D1"/>
    <w:rsid w:val="7C570EF7"/>
    <w:rsid w:val="7C584FAA"/>
    <w:rsid w:val="7C630B89"/>
    <w:rsid w:val="7C6929D9"/>
    <w:rsid w:val="7C9932BE"/>
    <w:rsid w:val="7C9C4B5C"/>
    <w:rsid w:val="7C9E6B26"/>
    <w:rsid w:val="7CA4038F"/>
    <w:rsid w:val="7CA83DE2"/>
    <w:rsid w:val="7CAF4890"/>
    <w:rsid w:val="7CC06A9D"/>
    <w:rsid w:val="7CC16371"/>
    <w:rsid w:val="7CCF6CE0"/>
    <w:rsid w:val="7CFA072D"/>
    <w:rsid w:val="7D052701"/>
    <w:rsid w:val="7D071283"/>
    <w:rsid w:val="7D1969D4"/>
    <w:rsid w:val="7D341239"/>
    <w:rsid w:val="7D476243"/>
    <w:rsid w:val="7D4C6CF6"/>
    <w:rsid w:val="7D5B67C5"/>
    <w:rsid w:val="7D741635"/>
    <w:rsid w:val="7D796C4C"/>
    <w:rsid w:val="7DAE4B47"/>
    <w:rsid w:val="7DDF11A4"/>
    <w:rsid w:val="7DE82737"/>
    <w:rsid w:val="7DFC77ED"/>
    <w:rsid w:val="7DFD5ACF"/>
    <w:rsid w:val="7E1A3F8B"/>
    <w:rsid w:val="7E40446B"/>
    <w:rsid w:val="7E68633E"/>
    <w:rsid w:val="7EB07938"/>
    <w:rsid w:val="7EBD0790"/>
    <w:rsid w:val="7EBE525E"/>
    <w:rsid w:val="7ED56104"/>
    <w:rsid w:val="7EE2719E"/>
    <w:rsid w:val="7EF23D9E"/>
    <w:rsid w:val="7EFD4EA6"/>
    <w:rsid w:val="7F01514B"/>
    <w:rsid w:val="7F361EEB"/>
    <w:rsid w:val="7F3C6183"/>
    <w:rsid w:val="7F475253"/>
    <w:rsid w:val="7F543D80"/>
    <w:rsid w:val="7F765B38"/>
    <w:rsid w:val="7F78012E"/>
    <w:rsid w:val="7F954211"/>
    <w:rsid w:val="7FCD23B0"/>
    <w:rsid w:val="7FD34D39"/>
    <w:rsid w:val="7FD948F4"/>
    <w:rsid w:val="7FDB599C"/>
    <w:rsid w:val="7FE73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qFormat="1"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1"/>
    <w:qFormat/>
    <w:uiPriority w:val="0"/>
    <w:pPr>
      <w:keepNext/>
      <w:jc w:val="center"/>
      <w:outlineLvl w:val="0"/>
    </w:pPr>
    <w:rPr>
      <w:rFonts w:ascii="Times New Roman" w:hAnsi="Times New Roman" w:eastAsia="黑体"/>
      <w:b/>
      <w:bCs/>
      <w:sz w:val="32"/>
      <w:szCs w:val="20"/>
    </w:rPr>
  </w:style>
  <w:style w:type="paragraph" w:styleId="3">
    <w:name w:val="heading 2"/>
    <w:basedOn w:val="1"/>
    <w:next w:val="1"/>
    <w:link w:val="66"/>
    <w:qFormat/>
    <w:uiPriority w:val="0"/>
    <w:pPr>
      <w:keepNext/>
      <w:keepLines/>
      <w:spacing w:line="360" w:lineRule="auto"/>
      <w:jc w:val="center"/>
      <w:outlineLvl w:val="1"/>
    </w:pPr>
    <w:rPr>
      <w:rFonts w:ascii="Arial" w:hAnsi="Arial" w:eastAsia="黑体"/>
      <w:b/>
      <w:bCs/>
      <w:sz w:val="24"/>
      <w:szCs w:val="32"/>
    </w:rPr>
  </w:style>
  <w:style w:type="paragraph" w:styleId="4">
    <w:name w:val="heading 3"/>
    <w:basedOn w:val="1"/>
    <w:next w:val="1"/>
    <w:link w:val="65"/>
    <w:qFormat/>
    <w:uiPriority w:val="0"/>
    <w:pPr>
      <w:keepNext/>
      <w:keepLines/>
      <w:spacing w:before="260" w:after="260" w:line="416" w:lineRule="auto"/>
      <w:outlineLvl w:val="2"/>
    </w:pPr>
    <w:rPr>
      <w:b/>
      <w:bCs/>
      <w:sz w:val="32"/>
      <w:szCs w:val="32"/>
    </w:rPr>
  </w:style>
  <w:style w:type="paragraph" w:styleId="5">
    <w:name w:val="heading 4"/>
    <w:basedOn w:val="1"/>
    <w:next w:val="1"/>
    <w:link w:val="8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6"/>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62"/>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42"/>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70"/>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2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102"/>
    <w:semiHidden/>
    <w:qFormat/>
    <w:uiPriority w:val="0"/>
    <w:pPr>
      <w:shd w:val="clear" w:color="auto" w:fill="000080"/>
    </w:pPr>
    <w:rPr>
      <w:lang w:val="zh-CN" w:eastAsia="zh-CN"/>
    </w:rPr>
  </w:style>
  <w:style w:type="paragraph" w:styleId="14">
    <w:name w:val="annotation text"/>
    <w:basedOn w:val="1"/>
    <w:link w:val="151"/>
    <w:semiHidden/>
    <w:qFormat/>
    <w:uiPriority w:val="0"/>
    <w:pPr>
      <w:jc w:val="left"/>
    </w:pPr>
  </w:style>
  <w:style w:type="paragraph" w:styleId="15">
    <w:name w:val="Salutation"/>
    <w:basedOn w:val="1"/>
    <w:next w:val="1"/>
    <w:link w:val="119"/>
    <w:qFormat/>
    <w:uiPriority w:val="0"/>
    <w:rPr>
      <w:rFonts w:ascii="仿宋_GB2312" w:eastAsia="仿宋_GB2312"/>
      <w:sz w:val="24"/>
      <w:lang w:val="zh-CN" w:eastAsia="zh-CN"/>
    </w:rPr>
  </w:style>
  <w:style w:type="paragraph" w:styleId="16">
    <w:name w:val="Body Text 3"/>
    <w:basedOn w:val="1"/>
    <w:link w:val="135"/>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7">
    <w:name w:val="Body Text"/>
    <w:basedOn w:val="1"/>
    <w:next w:val="1"/>
    <w:link w:val="132"/>
    <w:qFormat/>
    <w:uiPriority w:val="0"/>
    <w:pPr>
      <w:spacing w:after="120"/>
    </w:pPr>
    <w:rPr>
      <w:lang w:val="zh-CN" w:eastAsia="zh-CN"/>
    </w:rPr>
  </w:style>
  <w:style w:type="paragraph" w:styleId="18">
    <w:name w:val="Body Text Indent"/>
    <w:basedOn w:val="1"/>
    <w:next w:val="19"/>
    <w:link w:val="117"/>
    <w:qFormat/>
    <w:uiPriority w:val="0"/>
    <w:pPr>
      <w:spacing w:after="120"/>
      <w:ind w:left="420" w:leftChars="200"/>
    </w:pPr>
  </w:style>
  <w:style w:type="paragraph" w:styleId="19">
    <w:name w:val="Body Text Indent 2"/>
    <w:basedOn w:val="1"/>
    <w:next w:val="1"/>
    <w:link w:val="143"/>
    <w:qFormat/>
    <w:uiPriority w:val="0"/>
    <w:pPr>
      <w:spacing w:after="120" w:line="480" w:lineRule="auto"/>
      <w:ind w:left="420" w:leftChars="200"/>
    </w:pPr>
    <w:rPr>
      <w:lang w:val="zh-CN" w:eastAsia="zh-CN"/>
    </w:rPr>
  </w:style>
  <w:style w:type="paragraph" w:styleId="20">
    <w:name w:val="Block Text"/>
    <w:basedOn w:val="1"/>
    <w:qFormat/>
    <w:uiPriority w:val="0"/>
    <w:pPr>
      <w:ind w:left="1171" w:right="91" w:hanging="1080"/>
    </w:pPr>
    <w:rPr>
      <w:rFonts w:eastAsia="楷体_GB2312"/>
      <w:szCs w:val="20"/>
    </w:rPr>
  </w:style>
  <w:style w:type="paragraph" w:styleId="21">
    <w:name w:val="toc 5"/>
    <w:basedOn w:val="1"/>
    <w:next w:val="1"/>
    <w:qFormat/>
    <w:uiPriority w:val="39"/>
    <w:pPr>
      <w:ind w:left="1680" w:leftChars="800"/>
    </w:pPr>
    <w:rPr>
      <w:rFonts w:ascii="Calibri" w:hAnsi="Calibri"/>
      <w:szCs w:val="22"/>
    </w:rPr>
  </w:style>
  <w:style w:type="paragraph" w:styleId="22">
    <w:name w:val="toc 3"/>
    <w:basedOn w:val="1"/>
    <w:next w:val="1"/>
    <w:qFormat/>
    <w:uiPriority w:val="39"/>
    <w:pPr>
      <w:adjustRightInd w:val="0"/>
      <w:snapToGrid w:val="0"/>
      <w:spacing w:line="360" w:lineRule="auto"/>
      <w:ind w:left="400" w:leftChars="400"/>
    </w:pPr>
  </w:style>
  <w:style w:type="paragraph" w:styleId="23">
    <w:name w:val="Plain Text"/>
    <w:basedOn w:val="1"/>
    <w:next w:val="1"/>
    <w:link w:val="164"/>
    <w:qFormat/>
    <w:uiPriority w:val="0"/>
    <w:rPr>
      <w:rFonts w:ascii="宋体" w:hAnsi="Courier New" w:cs="Courier New"/>
      <w:szCs w:val="21"/>
    </w:rPr>
  </w:style>
  <w:style w:type="paragraph" w:styleId="24">
    <w:name w:val="toc 8"/>
    <w:basedOn w:val="1"/>
    <w:next w:val="1"/>
    <w:qFormat/>
    <w:uiPriority w:val="39"/>
    <w:pPr>
      <w:ind w:left="2940" w:leftChars="1400"/>
    </w:pPr>
    <w:rPr>
      <w:rFonts w:ascii="Calibri" w:hAnsi="Calibri"/>
      <w:szCs w:val="22"/>
    </w:rPr>
  </w:style>
  <w:style w:type="paragraph" w:styleId="25">
    <w:name w:val="Date"/>
    <w:basedOn w:val="1"/>
    <w:next w:val="1"/>
    <w:link w:val="97"/>
    <w:qFormat/>
    <w:uiPriority w:val="0"/>
    <w:rPr>
      <w:sz w:val="24"/>
      <w:szCs w:val="20"/>
    </w:rPr>
  </w:style>
  <w:style w:type="paragraph" w:styleId="26">
    <w:name w:val="Balloon Text"/>
    <w:basedOn w:val="1"/>
    <w:link w:val="169"/>
    <w:qFormat/>
    <w:uiPriority w:val="0"/>
    <w:rPr>
      <w:rFonts w:ascii="Calibri" w:hAnsi="Calibri"/>
      <w:sz w:val="18"/>
      <w:szCs w:val="18"/>
    </w:rPr>
  </w:style>
  <w:style w:type="paragraph" w:styleId="27">
    <w:name w:val="footer"/>
    <w:basedOn w:val="1"/>
    <w:link w:val="118"/>
    <w:qFormat/>
    <w:uiPriority w:val="0"/>
    <w:pPr>
      <w:tabs>
        <w:tab w:val="center" w:pos="4153"/>
        <w:tab w:val="right" w:pos="8306"/>
      </w:tabs>
      <w:snapToGrid w:val="0"/>
      <w:jc w:val="left"/>
    </w:pPr>
    <w:rPr>
      <w:sz w:val="18"/>
      <w:szCs w:val="18"/>
    </w:rPr>
  </w:style>
  <w:style w:type="paragraph" w:styleId="28">
    <w:name w:val="envelope return"/>
    <w:basedOn w:val="1"/>
    <w:qFormat/>
    <w:uiPriority w:val="0"/>
    <w:pPr>
      <w:tabs>
        <w:tab w:val="left" w:pos="426"/>
      </w:tabs>
    </w:pPr>
    <w:rPr>
      <w:rFonts w:ascii="Arial" w:hAnsi="Arial"/>
    </w:rPr>
  </w:style>
  <w:style w:type="paragraph" w:styleId="29">
    <w:name w:val="header"/>
    <w:basedOn w:val="1"/>
    <w:link w:val="8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adjustRightInd w:val="0"/>
      <w:snapToGrid w:val="0"/>
      <w:spacing w:line="360" w:lineRule="auto"/>
    </w:pPr>
    <w:rPr>
      <w:b/>
      <w:sz w:val="28"/>
    </w:rPr>
  </w:style>
  <w:style w:type="paragraph" w:styleId="31">
    <w:name w:val="toc 4"/>
    <w:basedOn w:val="1"/>
    <w:next w:val="1"/>
    <w:qFormat/>
    <w:uiPriority w:val="39"/>
    <w:pPr>
      <w:adjustRightInd w:val="0"/>
      <w:snapToGrid w:val="0"/>
      <w:spacing w:line="360" w:lineRule="auto"/>
      <w:ind w:left="600" w:leftChars="600"/>
    </w:pPr>
    <w:rPr>
      <w:b/>
    </w:rPr>
  </w:style>
  <w:style w:type="paragraph" w:styleId="32">
    <w:name w:val="toc 6"/>
    <w:basedOn w:val="1"/>
    <w:next w:val="1"/>
    <w:qFormat/>
    <w:uiPriority w:val="39"/>
    <w:pPr>
      <w:ind w:left="2100" w:leftChars="1000"/>
    </w:pPr>
    <w:rPr>
      <w:rFonts w:ascii="Calibri" w:hAnsi="Calibri"/>
      <w:szCs w:val="22"/>
    </w:rPr>
  </w:style>
  <w:style w:type="paragraph" w:styleId="33">
    <w:name w:val="Body Text Indent 3"/>
    <w:basedOn w:val="1"/>
    <w:link w:val="167"/>
    <w:qFormat/>
    <w:uiPriority w:val="0"/>
    <w:pPr>
      <w:spacing w:after="120"/>
      <w:ind w:left="420" w:leftChars="200"/>
    </w:pPr>
    <w:rPr>
      <w:sz w:val="16"/>
      <w:szCs w:val="16"/>
    </w:rPr>
  </w:style>
  <w:style w:type="paragraph" w:styleId="34">
    <w:name w:val="toc 2"/>
    <w:basedOn w:val="1"/>
    <w:next w:val="1"/>
    <w:qFormat/>
    <w:uiPriority w:val="39"/>
    <w:pPr>
      <w:adjustRightInd w:val="0"/>
      <w:snapToGrid w:val="0"/>
      <w:spacing w:line="360" w:lineRule="auto"/>
      <w:ind w:left="200" w:leftChars="200"/>
    </w:pPr>
  </w:style>
  <w:style w:type="paragraph" w:styleId="35">
    <w:name w:val="toc 9"/>
    <w:basedOn w:val="1"/>
    <w:next w:val="1"/>
    <w:qFormat/>
    <w:uiPriority w:val="39"/>
    <w:pPr>
      <w:ind w:left="3360" w:leftChars="1600"/>
    </w:pPr>
    <w:rPr>
      <w:rFonts w:ascii="Calibri" w:hAnsi="Calibri"/>
      <w:szCs w:val="22"/>
    </w:rPr>
  </w:style>
  <w:style w:type="paragraph" w:styleId="36">
    <w:name w:val="Body Text 2"/>
    <w:basedOn w:val="1"/>
    <w:link w:val="99"/>
    <w:qFormat/>
    <w:uiPriority w:val="0"/>
    <w:pPr>
      <w:spacing w:after="120" w:line="480" w:lineRule="auto"/>
    </w:pPr>
    <w:rPr>
      <w:lang w:val="zh-CN" w:eastAsia="zh-CN"/>
    </w:rPr>
  </w:style>
  <w:style w:type="paragraph" w:styleId="37">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pPr>
      <w:spacing w:line="220" w:lineRule="exact"/>
      <w:jc w:val="center"/>
    </w:pPr>
    <w:rPr>
      <w:rFonts w:ascii="仿宋_GB2312" w:eastAsia="仿宋_GB2312"/>
      <w:szCs w:val="20"/>
    </w:rPr>
  </w:style>
  <w:style w:type="paragraph" w:styleId="40">
    <w:name w:val="Title"/>
    <w:basedOn w:val="1"/>
    <w:next w:val="1"/>
    <w:qFormat/>
    <w:uiPriority w:val="0"/>
    <w:pPr>
      <w:spacing w:before="240" w:after="60"/>
      <w:jc w:val="center"/>
      <w:outlineLvl w:val="0"/>
    </w:pPr>
    <w:rPr>
      <w:rFonts w:ascii="Cambria" w:hAnsi="Cambria"/>
      <w:b/>
      <w:sz w:val="32"/>
    </w:rPr>
  </w:style>
  <w:style w:type="paragraph" w:styleId="41">
    <w:name w:val="annotation subject"/>
    <w:basedOn w:val="14"/>
    <w:next w:val="14"/>
    <w:link w:val="120"/>
    <w:qFormat/>
    <w:uiPriority w:val="0"/>
    <w:rPr>
      <w:b/>
      <w:bCs/>
    </w:rPr>
  </w:style>
  <w:style w:type="paragraph" w:styleId="42">
    <w:name w:val="Body Text First Indent"/>
    <w:basedOn w:val="17"/>
    <w:qFormat/>
    <w:uiPriority w:val="0"/>
    <w:pPr>
      <w:ind w:firstLine="420" w:firstLineChars="100"/>
    </w:pPr>
  </w:style>
  <w:style w:type="paragraph" w:styleId="43">
    <w:name w:val="Body Text First Indent 2"/>
    <w:basedOn w:val="18"/>
    <w:next w:val="1"/>
    <w:unhideWhenUsed/>
    <w:qFormat/>
    <w:uiPriority w:val="99"/>
    <w:pPr>
      <w:ind w:firstLine="420" w:firstLineChars="200"/>
    </w:pPr>
  </w:style>
  <w:style w:type="table" w:styleId="45">
    <w:name w:val="Table Grid"/>
    <w:basedOn w:val="4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rFonts w:ascii="Times New Roman" w:hAnsi="Times New Roman" w:eastAsia="宋体"/>
    </w:rPr>
  </w:style>
  <w:style w:type="character" w:styleId="51">
    <w:name w:val="HTML Definition"/>
    <w:qFormat/>
    <w:uiPriority w:val="0"/>
    <w:rPr>
      <w:rFonts w:ascii="Times New Roman" w:hAnsi="Times New Roman" w:eastAsia="宋体"/>
    </w:rPr>
  </w:style>
  <w:style w:type="character" w:styleId="52">
    <w:name w:val="HTML Typewriter"/>
    <w:basedOn w:val="46"/>
    <w:semiHidden/>
    <w:unhideWhenUsed/>
    <w:qFormat/>
    <w:uiPriority w:val="0"/>
    <w:rPr>
      <w:rFonts w:hint="default" w:ascii="monospace" w:hAnsi="monospace" w:eastAsia="monospace" w:cs="monospace"/>
      <w:sz w:val="20"/>
    </w:rPr>
  </w:style>
  <w:style w:type="character" w:styleId="53">
    <w:name w:val="HTML Acronym"/>
    <w:basedOn w:val="46"/>
    <w:semiHidden/>
    <w:unhideWhenUsed/>
    <w:qFormat/>
    <w:uiPriority w:val="0"/>
  </w:style>
  <w:style w:type="character" w:styleId="54">
    <w:name w:val="HTML Variable"/>
    <w:qFormat/>
    <w:uiPriority w:val="0"/>
    <w:rPr>
      <w:rFonts w:ascii="Times New Roman" w:hAnsi="Times New Roman" w:eastAsia="宋体"/>
    </w:rPr>
  </w:style>
  <w:style w:type="character" w:styleId="55">
    <w:name w:val="Hyperlink"/>
    <w:qFormat/>
    <w:uiPriority w:val="99"/>
    <w:rPr>
      <w:color w:val="136EC2"/>
      <w:u w:val="single"/>
    </w:rPr>
  </w:style>
  <w:style w:type="character" w:styleId="56">
    <w:name w:val="HTML Code"/>
    <w:qFormat/>
    <w:uiPriority w:val="0"/>
    <w:rPr>
      <w:rFonts w:ascii="Courier New" w:hAnsi="Courier New" w:eastAsia="Courier New" w:cs="Courier New"/>
      <w:sz w:val="20"/>
    </w:rPr>
  </w:style>
  <w:style w:type="character" w:styleId="57">
    <w:name w:val="annotation reference"/>
    <w:qFormat/>
    <w:uiPriority w:val="0"/>
    <w:rPr>
      <w:sz w:val="21"/>
      <w:szCs w:val="21"/>
    </w:rPr>
  </w:style>
  <w:style w:type="character" w:styleId="58">
    <w:name w:val="HTML Cite"/>
    <w:qFormat/>
    <w:uiPriority w:val="0"/>
    <w:rPr>
      <w:rFonts w:ascii="Times New Roman" w:hAnsi="Times New Roman" w:eastAsia="宋体"/>
    </w:rPr>
  </w:style>
  <w:style w:type="character" w:styleId="59">
    <w:name w:val="HTML Keyboard"/>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列出段落1"/>
    <w:basedOn w:val="1"/>
    <w:qFormat/>
    <w:uiPriority w:val="0"/>
    <w:pPr>
      <w:ind w:firstLine="420" w:firstLineChars="200"/>
    </w:pPr>
    <w:rPr>
      <w:rFonts w:ascii="Calibri" w:hAnsi="Calibri"/>
      <w:szCs w:val="22"/>
    </w:rPr>
  </w:style>
  <w:style w:type="paragraph" w:customStyle="1" w:styleId="62">
    <w:name w:val="样式2"/>
    <w:basedOn w:val="63"/>
    <w:next w:val="1"/>
    <w:qFormat/>
    <w:uiPriority w:val="0"/>
    <w:pPr>
      <w:pBdr>
        <w:bottom w:val="single" w:color="auto" w:sz="4" w:space="1"/>
      </w:pBdr>
      <w:tabs>
        <w:tab w:val="left" w:pos="360"/>
        <w:tab w:val="center" w:pos="4153"/>
        <w:tab w:val="right" w:pos="8306"/>
      </w:tabs>
    </w:pPr>
    <w:rPr>
      <w:rFonts w:ascii="宋体" w:hAnsi="宋体"/>
    </w:rPr>
  </w:style>
  <w:style w:type="paragraph" w:styleId="63">
    <w:name w:val="List Paragraph"/>
    <w:basedOn w:val="1"/>
    <w:link w:val="279"/>
    <w:qFormat/>
    <w:uiPriority w:val="0"/>
    <w:pPr>
      <w:ind w:firstLine="420" w:firstLineChars="200"/>
    </w:pPr>
    <w:rPr>
      <w:rFonts w:ascii="Calibri" w:hAnsi="Calibri"/>
      <w:szCs w:val="22"/>
      <w:lang w:val="zh-CN" w:eastAsia="zh-CN"/>
    </w:rPr>
  </w:style>
  <w:style w:type="paragraph" w:customStyle="1" w:styleId="64">
    <w:name w:val="正文文字"/>
    <w:basedOn w:val="1"/>
    <w:next w:val="1"/>
    <w:qFormat/>
    <w:uiPriority w:val="0"/>
    <w:pPr>
      <w:spacing w:after="120"/>
    </w:pPr>
  </w:style>
  <w:style w:type="character" w:customStyle="1" w:styleId="65">
    <w:name w:val="标题 3 Char1"/>
    <w:link w:val="4"/>
    <w:qFormat/>
    <w:uiPriority w:val="0"/>
    <w:rPr>
      <w:rFonts w:eastAsia="宋体"/>
      <w:b/>
      <w:bCs/>
      <w:kern w:val="2"/>
      <w:sz w:val="32"/>
      <w:szCs w:val="32"/>
      <w:lang w:val="en-US" w:eastAsia="zh-CN" w:bidi="ar-SA"/>
    </w:rPr>
  </w:style>
  <w:style w:type="character" w:customStyle="1" w:styleId="66">
    <w:name w:val="标题 2 Char1"/>
    <w:link w:val="3"/>
    <w:qFormat/>
    <w:uiPriority w:val="0"/>
    <w:rPr>
      <w:rFonts w:ascii="Arial" w:hAnsi="Arial" w:eastAsia="黑体"/>
      <w:b/>
      <w:bCs/>
      <w:kern w:val="2"/>
      <w:sz w:val="24"/>
      <w:szCs w:val="32"/>
      <w:lang w:val="en-US" w:eastAsia="zh-CN" w:bidi="ar-SA"/>
    </w:rPr>
  </w:style>
  <w:style w:type="paragraph" w:customStyle="1" w:styleId="67">
    <w:name w:val="正文1"/>
    <w:basedOn w:val="1"/>
    <w:qFormat/>
    <w:uiPriority w:val="0"/>
    <w:pPr>
      <w:spacing w:line="360" w:lineRule="auto"/>
      <w:ind w:firstLine="480" w:firstLineChars="200"/>
    </w:pPr>
    <w:rPr>
      <w:rFonts w:ascii="Times New Roman" w:hAnsi="Times New Roman"/>
      <w:sz w:val="24"/>
      <w:szCs w:val="24"/>
    </w:rPr>
  </w:style>
  <w:style w:type="paragraph" w:customStyle="1" w:styleId="68">
    <w:name w:val="样式1"/>
    <w:basedOn w:val="1"/>
    <w:next w:val="1"/>
    <w:link w:val="280"/>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69">
    <w:name w:val="_Style 3"/>
    <w:basedOn w:val="1"/>
    <w:qFormat/>
    <w:uiPriority w:val="1"/>
    <w:pPr>
      <w:ind w:left="424" w:firstLine="479"/>
    </w:pPr>
  </w:style>
  <w:style w:type="character" w:customStyle="1" w:styleId="70">
    <w:name w:val="sidecatalog-dot"/>
    <w:qFormat/>
    <w:uiPriority w:val="0"/>
    <w:rPr>
      <w:rFonts w:ascii="Times New Roman" w:hAnsi="Times New Roman" w:eastAsia="宋体"/>
    </w:rPr>
  </w:style>
  <w:style w:type="character" w:customStyle="1" w:styleId="71">
    <w:name w:val="标题 Char1"/>
    <w:qFormat/>
    <w:uiPriority w:val="10"/>
    <w:rPr>
      <w:rFonts w:ascii="Cambria" w:hAnsi="Cambria" w:eastAsia="宋体" w:cs="Times New Roman"/>
      <w:b/>
      <w:bCs/>
      <w:sz w:val="32"/>
      <w:szCs w:val="32"/>
    </w:rPr>
  </w:style>
  <w:style w:type="character" w:customStyle="1" w:styleId="72">
    <w:name w:val="标题 2 Char"/>
    <w:qFormat/>
    <w:uiPriority w:val="0"/>
    <w:rPr>
      <w:rFonts w:ascii="Cambria" w:hAnsi="Cambria" w:eastAsia="宋体" w:cs="Times New Roman"/>
      <w:b/>
      <w:bCs/>
      <w:kern w:val="2"/>
      <w:sz w:val="32"/>
      <w:szCs w:val="32"/>
    </w:rPr>
  </w:style>
  <w:style w:type="character" w:customStyle="1" w:styleId="73">
    <w:name w:val="Font Style123"/>
    <w:unhideWhenUsed/>
    <w:qFormat/>
    <w:uiPriority w:val="0"/>
    <w:rPr>
      <w:rFonts w:hint="eastAsia" w:ascii="宋体" w:hAnsi="宋体" w:eastAsia="宋体"/>
      <w:b/>
      <w:sz w:val="32"/>
    </w:rPr>
  </w:style>
  <w:style w:type="character" w:customStyle="1" w:styleId="74">
    <w:name w:val="font11"/>
    <w:basedOn w:val="46"/>
    <w:qFormat/>
    <w:uiPriority w:val="0"/>
    <w:rPr>
      <w:rFonts w:hint="eastAsia" w:ascii="宋体" w:hAnsi="宋体" w:eastAsia="宋体" w:cs="宋体"/>
      <w:color w:val="000000"/>
      <w:sz w:val="28"/>
      <w:szCs w:val="28"/>
      <w:u w:val="none"/>
    </w:rPr>
  </w:style>
  <w:style w:type="character" w:customStyle="1" w:styleId="75">
    <w:name w:val="sort1"/>
    <w:qFormat/>
    <w:uiPriority w:val="0"/>
    <w:rPr>
      <w:rFonts w:ascii="Times New Roman" w:hAnsi="Times New Roman" w:eastAsia="宋体"/>
    </w:rPr>
  </w:style>
  <w:style w:type="character" w:customStyle="1" w:styleId="76">
    <w:name w:val="页脚 Char"/>
    <w:qFormat/>
    <w:uiPriority w:val="99"/>
    <w:rPr>
      <w:kern w:val="2"/>
      <w:sz w:val="18"/>
      <w:szCs w:val="18"/>
    </w:rPr>
  </w:style>
  <w:style w:type="character" w:customStyle="1" w:styleId="77">
    <w:name w:val="标题 3 Char"/>
    <w:qFormat/>
    <w:uiPriority w:val="0"/>
    <w:rPr>
      <w:b/>
      <w:bCs/>
      <w:sz w:val="24"/>
      <w:szCs w:val="24"/>
    </w:rPr>
  </w:style>
  <w:style w:type="character" w:customStyle="1" w:styleId="78">
    <w:name w:val="Font Style105"/>
    <w:unhideWhenUsed/>
    <w:qFormat/>
    <w:uiPriority w:val="0"/>
    <w:rPr>
      <w:rFonts w:hint="eastAsia" w:ascii="Times New Roman" w:hAnsi="Times New Roman" w:eastAsia="Times New Roman"/>
      <w:w w:val="60"/>
      <w:sz w:val="26"/>
    </w:rPr>
  </w:style>
  <w:style w:type="character" w:customStyle="1" w:styleId="79">
    <w:name w:val="标题 9 Char"/>
    <w:qFormat/>
    <w:uiPriority w:val="0"/>
    <w:rPr>
      <w:rFonts w:ascii="Arial" w:hAnsi="Arial" w:eastAsia="黑体"/>
      <w:sz w:val="21"/>
      <w:szCs w:val="21"/>
    </w:rPr>
  </w:style>
  <w:style w:type="character" w:customStyle="1" w:styleId="80">
    <w:name w:val="标题 7 Char"/>
    <w:qFormat/>
    <w:uiPriority w:val="0"/>
    <w:rPr>
      <w:b/>
      <w:bCs/>
      <w:sz w:val="24"/>
      <w:szCs w:val="24"/>
    </w:rPr>
  </w:style>
  <w:style w:type="character" w:customStyle="1" w:styleId="81">
    <w:name w:val="标题 1 Char1"/>
    <w:link w:val="2"/>
    <w:qFormat/>
    <w:uiPriority w:val="0"/>
    <w:rPr>
      <w:rFonts w:ascii="Times New Roman" w:hAnsi="Times New Roman" w:eastAsia="黑体"/>
      <w:b/>
      <w:bCs/>
      <w:kern w:val="2"/>
      <w:sz w:val="32"/>
      <w:lang w:val="en-US" w:eastAsia="zh-CN" w:bidi="ar-SA"/>
    </w:rPr>
  </w:style>
  <w:style w:type="character" w:customStyle="1" w:styleId="82">
    <w:name w:val="批注文字 Char Char"/>
    <w:qFormat/>
    <w:uiPriority w:val="0"/>
    <w:rPr>
      <w:kern w:val="2"/>
      <w:sz w:val="21"/>
      <w:szCs w:val="24"/>
      <w:lang w:bidi="ar-SA"/>
    </w:rPr>
  </w:style>
  <w:style w:type="character" w:customStyle="1" w:styleId="83">
    <w:name w:val="标题 4 Char1"/>
    <w:link w:val="5"/>
    <w:qFormat/>
    <w:uiPriority w:val="0"/>
    <w:rPr>
      <w:rFonts w:ascii="Arial" w:hAnsi="Arial" w:eastAsia="黑体"/>
      <w:b/>
      <w:bCs/>
      <w:kern w:val="2"/>
      <w:sz w:val="28"/>
      <w:szCs w:val="28"/>
      <w:lang w:val="en-US" w:eastAsia="zh-CN" w:bidi="ar-SA"/>
    </w:rPr>
  </w:style>
  <w:style w:type="character" w:customStyle="1" w:styleId="84">
    <w:name w:val="Font Style104"/>
    <w:unhideWhenUsed/>
    <w:qFormat/>
    <w:uiPriority w:val="0"/>
    <w:rPr>
      <w:rFonts w:hint="eastAsia" w:ascii="宋体" w:hAnsi="宋体" w:eastAsia="宋体"/>
      <w:spacing w:val="30"/>
      <w:sz w:val="18"/>
    </w:rPr>
  </w:style>
  <w:style w:type="character" w:customStyle="1" w:styleId="85">
    <w:name w:val="页眉 Char1"/>
    <w:link w:val="29"/>
    <w:qFormat/>
    <w:uiPriority w:val="0"/>
    <w:rPr>
      <w:rFonts w:eastAsia="宋体"/>
      <w:kern w:val="2"/>
      <w:sz w:val="18"/>
      <w:szCs w:val="18"/>
      <w:lang w:val="en-US" w:eastAsia="zh-CN" w:bidi="ar-SA"/>
    </w:rPr>
  </w:style>
  <w:style w:type="character" w:customStyle="1" w:styleId="86">
    <w:name w:val="Font Style134"/>
    <w:unhideWhenUsed/>
    <w:qFormat/>
    <w:uiPriority w:val="0"/>
    <w:rPr>
      <w:rFonts w:hint="eastAsia" w:ascii="宋体" w:hAnsi="宋体" w:eastAsia="宋体"/>
      <w:spacing w:val="20"/>
      <w:sz w:val="22"/>
    </w:rPr>
  </w:style>
  <w:style w:type="character" w:customStyle="1" w:styleId="87">
    <w:name w:val="标题 4 Char"/>
    <w:qFormat/>
    <w:uiPriority w:val="0"/>
    <w:rPr>
      <w:rFonts w:ascii="Arial" w:hAnsi="Arial" w:eastAsia="宋体" w:cs="Times New Roman"/>
      <w:b/>
      <w:bCs/>
      <w:szCs w:val="28"/>
    </w:rPr>
  </w:style>
  <w:style w:type="character" w:customStyle="1" w:styleId="88">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89">
    <w:name w:val="bds_nopic"/>
    <w:qFormat/>
    <w:uiPriority w:val="0"/>
    <w:rPr>
      <w:rFonts w:ascii="Times New Roman" w:hAnsi="Times New Roman" w:eastAsia="宋体"/>
    </w:rPr>
  </w:style>
  <w:style w:type="character" w:customStyle="1" w:styleId="90">
    <w:name w:val="Font Style126"/>
    <w:unhideWhenUsed/>
    <w:qFormat/>
    <w:uiPriority w:val="0"/>
    <w:rPr>
      <w:rFonts w:hint="eastAsia" w:ascii="宋体" w:hAnsi="宋体" w:eastAsia="宋体"/>
      <w:b/>
      <w:spacing w:val="-30"/>
      <w:sz w:val="28"/>
    </w:rPr>
  </w:style>
  <w:style w:type="character" w:customStyle="1" w:styleId="91">
    <w:name w:val="Font Style125"/>
    <w:unhideWhenUsed/>
    <w:qFormat/>
    <w:uiPriority w:val="0"/>
    <w:rPr>
      <w:rFonts w:hint="eastAsia" w:ascii="宋体" w:hAnsi="宋体" w:eastAsia="宋体"/>
      <w:b/>
      <w:sz w:val="26"/>
    </w:rPr>
  </w:style>
  <w:style w:type="character" w:customStyle="1" w:styleId="92">
    <w:name w:val="sidecatalog-index1"/>
    <w:qFormat/>
    <w:uiPriority w:val="0"/>
    <w:rPr>
      <w:rFonts w:ascii="Arial" w:hAnsi="Arial" w:eastAsia="宋体" w:cs="Arial"/>
      <w:b/>
      <w:color w:val="999999"/>
      <w:sz w:val="21"/>
      <w:szCs w:val="21"/>
    </w:rPr>
  </w:style>
  <w:style w:type="character" w:customStyle="1" w:styleId="93">
    <w:name w:val="HTML 预设格式 Char"/>
    <w:link w:val="37"/>
    <w:qFormat/>
    <w:uiPriority w:val="0"/>
    <w:rPr>
      <w:rFonts w:ascii="Arial" w:hAnsi="Arial" w:cs="Arial"/>
      <w:sz w:val="24"/>
      <w:szCs w:val="24"/>
    </w:rPr>
  </w:style>
  <w:style w:type="character" w:customStyle="1" w:styleId="94">
    <w:name w:val="Font Style117"/>
    <w:unhideWhenUsed/>
    <w:qFormat/>
    <w:uiPriority w:val="0"/>
    <w:rPr>
      <w:rFonts w:hint="eastAsia" w:ascii="宋体" w:hAnsi="宋体" w:eastAsia="宋体"/>
      <w:spacing w:val="20"/>
      <w:sz w:val="24"/>
    </w:rPr>
  </w:style>
  <w:style w:type="character" w:customStyle="1" w:styleId="95">
    <w:name w:val="标题 4 Char Char"/>
    <w:qFormat/>
    <w:uiPriority w:val="0"/>
    <w:rPr>
      <w:rFonts w:ascii="Arial" w:hAnsi="Arial" w:eastAsia="宋体"/>
      <w:b/>
      <w:bCs/>
      <w:kern w:val="2"/>
      <w:sz w:val="21"/>
      <w:szCs w:val="28"/>
      <w:lang w:val="en-US" w:eastAsia="zh-CN" w:bidi="ar-SA"/>
    </w:rPr>
  </w:style>
  <w:style w:type="character" w:customStyle="1" w:styleId="96">
    <w:name w:val="bds_nopic2"/>
    <w:qFormat/>
    <w:uiPriority w:val="0"/>
    <w:rPr>
      <w:rFonts w:ascii="Times New Roman" w:hAnsi="Times New Roman" w:eastAsia="宋体"/>
    </w:rPr>
  </w:style>
  <w:style w:type="character" w:customStyle="1" w:styleId="97">
    <w:name w:val="日期 Char1"/>
    <w:link w:val="25"/>
    <w:qFormat/>
    <w:uiPriority w:val="0"/>
    <w:rPr>
      <w:rFonts w:eastAsia="宋体"/>
      <w:kern w:val="2"/>
      <w:sz w:val="24"/>
      <w:lang w:val="en-US" w:eastAsia="zh-CN" w:bidi="ar-SA"/>
    </w:rPr>
  </w:style>
  <w:style w:type="character" w:customStyle="1" w:styleId="98">
    <w:name w:val="标题 6 Char"/>
    <w:qFormat/>
    <w:uiPriority w:val="0"/>
    <w:rPr>
      <w:rFonts w:ascii="Arial" w:hAnsi="Arial" w:eastAsia="黑体"/>
      <w:b/>
      <w:bCs/>
      <w:sz w:val="24"/>
      <w:szCs w:val="24"/>
    </w:rPr>
  </w:style>
  <w:style w:type="character" w:customStyle="1" w:styleId="99">
    <w:name w:val="正文文本 2 Char"/>
    <w:link w:val="36"/>
    <w:qFormat/>
    <w:uiPriority w:val="0"/>
    <w:rPr>
      <w:kern w:val="2"/>
      <w:sz w:val="21"/>
      <w:szCs w:val="24"/>
    </w:rPr>
  </w:style>
  <w:style w:type="character" w:customStyle="1" w:styleId="100">
    <w:name w:val="bds_more6"/>
    <w:qFormat/>
    <w:uiPriority w:val="0"/>
    <w:rPr>
      <w:rFonts w:hint="eastAsia" w:ascii="宋体" w:hAnsi="宋体" w:eastAsia="宋体" w:cs="宋体"/>
    </w:rPr>
  </w:style>
  <w:style w:type="character" w:customStyle="1" w:styleId="101">
    <w:name w:val="标题 1 Char"/>
    <w:qFormat/>
    <w:uiPriority w:val="0"/>
    <w:rPr>
      <w:rFonts w:ascii="Cambria" w:hAnsi="Cambria"/>
      <w:b/>
      <w:bCs/>
      <w:kern w:val="32"/>
      <w:sz w:val="32"/>
      <w:szCs w:val="32"/>
    </w:rPr>
  </w:style>
  <w:style w:type="character" w:customStyle="1" w:styleId="102">
    <w:name w:val="文档结构图 Char"/>
    <w:link w:val="13"/>
    <w:semiHidden/>
    <w:qFormat/>
    <w:uiPriority w:val="0"/>
    <w:rPr>
      <w:kern w:val="2"/>
      <w:sz w:val="21"/>
      <w:szCs w:val="24"/>
      <w:shd w:val="clear" w:color="auto" w:fill="000080"/>
    </w:rPr>
  </w:style>
  <w:style w:type="character" w:customStyle="1" w:styleId="103">
    <w:name w:val="p0 Char"/>
    <w:link w:val="104"/>
    <w:qFormat/>
    <w:uiPriority w:val="0"/>
    <w:rPr>
      <w:rFonts w:eastAsia="宋体"/>
      <w:sz w:val="21"/>
      <w:szCs w:val="21"/>
      <w:lang w:val="en-US" w:eastAsia="zh-CN" w:bidi="ar-SA"/>
    </w:rPr>
  </w:style>
  <w:style w:type="paragraph" w:customStyle="1" w:styleId="104">
    <w:name w:val="p0"/>
    <w:basedOn w:val="1"/>
    <w:link w:val="103"/>
    <w:qFormat/>
    <w:uiPriority w:val="0"/>
    <w:pPr>
      <w:widowControl/>
    </w:pPr>
    <w:rPr>
      <w:kern w:val="0"/>
      <w:szCs w:val="21"/>
    </w:rPr>
  </w:style>
  <w:style w:type="character" w:customStyle="1" w:styleId="105">
    <w:name w:val="Char Char17"/>
    <w:qFormat/>
    <w:uiPriority w:val="0"/>
    <w:rPr>
      <w:rFonts w:ascii="宋体" w:hAnsi="Times New Roman" w:eastAsia="宋体"/>
      <w:b/>
      <w:sz w:val="28"/>
      <w:lang w:val="en-US" w:eastAsia="zh-CN" w:bidi="ar-SA"/>
    </w:rPr>
  </w:style>
  <w:style w:type="character" w:customStyle="1" w:styleId="106">
    <w:name w:val="标题 5 Char1"/>
    <w:link w:val="6"/>
    <w:qFormat/>
    <w:uiPriority w:val="0"/>
    <w:rPr>
      <w:rFonts w:eastAsia="宋体"/>
      <w:b/>
      <w:bCs/>
      <w:sz w:val="28"/>
      <w:szCs w:val="28"/>
      <w:lang w:val="en-US" w:eastAsia="zh-CN" w:bidi="ar-SA"/>
    </w:rPr>
  </w:style>
  <w:style w:type="character" w:customStyle="1" w:styleId="107">
    <w:name w:val="polysemyexp"/>
    <w:qFormat/>
    <w:uiPriority w:val="0"/>
    <w:rPr>
      <w:rFonts w:ascii="Times New Roman" w:hAnsi="Times New Roman" w:eastAsia="宋体"/>
      <w:color w:val="AAAAAA"/>
      <w:sz w:val="18"/>
      <w:szCs w:val="18"/>
    </w:rPr>
  </w:style>
  <w:style w:type="character" w:customStyle="1" w:styleId="108">
    <w:name w:val="font51"/>
    <w:basedOn w:val="46"/>
    <w:qFormat/>
    <w:uiPriority w:val="0"/>
    <w:rPr>
      <w:rFonts w:hint="eastAsia" w:ascii="宋体" w:hAnsi="宋体" w:eastAsia="宋体" w:cs="宋体"/>
      <w:b/>
      <w:color w:val="000000"/>
      <w:sz w:val="20"/>
      <w:szCs w:val="20"/>
      <w:u w:val="none"/>
    </w:rPr>
  </w:style>
  <w:style w:type="character" w:customStyle="1" w:styleId="109">
    <w:name w:val="bds_more10"/>
    <w:qFormat/>
    <w:uiPriority w:val="0"/>
    <w:rPr>
      <w:rFonts w:ascii="Times New Roman" w:hAnsi="Times New Roman" w:eastAsia="宋体"/>
    </w:rPr>
  </w:style>
  <w:style w:type="character" w:customStyle="1" w:styleId="110">
    <w:name w:val="font91"/>
    <w:qFormat/>
    <w:uiPriority w:val="0"/>
    <w:rPr>
      <w:rFonts w:hint="eastAsia" w:ascii="宋体" w:hAnsi="宋体" w:eastAsia="宋体" w:cs="宋体"/>
      <w:color w:val="000000"/>
      <w:sz w:val="20"/>
      <w:szCs w:val="20"/>
      <w:u w:val="none"/>
      <w:vertAlign w:val="superscript"/>
    </w:rPr>
  </w:style>
  <w:style w:type="character" w:customStyle="1" w:styleId="111">
    <w:name w:val="Char Char15"/>
    <w:qFormat/>
    <w:uiPriority w:val="0"/>
    <w:rPr>
      <w:b/>
      <w:bCs/>
      <w:sz w:val="24"/>
      <w:szCs w:val="24"/>
    </w:rPr>
  </w:style>
  <w:style w:type="character" w:customStyle="1" w:styleId="112">
    <w:name w:val="Char Char12"/>
    <w:qFormat/>
    <w:uiPriority w:val="0"/>
    <w:rPr>
      <w:rFonts w:ascii="Arial" w:hAnsi="Arial" w:eastAsia="黑体"/>
      <w:b/>
      <w:bCs/>
      <w:kern w:val="2"/>
      <w:sz w:val="28"/>
      <w:szCs w:val="28"/>
      <w:lang w:val="en-US" w:eastAsia="zh-CN" w:bidi="ar-SA"/>
    </w:rPr>
  </w:style>
  <w:style w:type="character" w:customStyle="1" w:styleId="113">
    <w:name w:val="Font Style122"/>
    <w:unhideWhenUsed/>
    <w:qFormat/>
    <w:uiPriority w:val="0"/>
    <w:rPr>
      <w:rFonts w:hint="eastAsia" w:ascii="宋体" w:hAnsi="宋体" w:eastAsia="宋体"/>
      <w:spacing w:val="20"/>
      <w:sz w:val="24"/>
    </w:rPr>
  </w:style>
  <w:style w:type="character" w:customStyle="1" w:styleId="114">
    <w:name w:val="Font Style115"/>
    <w:unhideWhenUsed/>
    <w:qFormat/>
    <w:uiPriority w:val="0"/>
    <w:rPr>
      <w:rFonts w:hint="eastAsia" w:ascii="Times New Roman" w:hAnsi="Times New Roman" w:eastAsia="Times New Roman"/>
      <w:sz w:val="16"/>
    </w:rPr>
  </w:style>
  <w:style w:type="character" w:customStyle="1" w:styleId="115">
    <w:name w:val="sidecatalog-dot1"/>
    <w:qFormat/>
    <w:uiPriority w:val="0"/>
    <w:rPr>
      <w:rFonts w:ascii="Times New Roman" w:hAnsi="Times New Roman" w:eastAsia="宋体"/>
    </w:rPr>
  </w:style>
  <w:style w:type="character" w:customStyle="1" w:styleId="116">
    <w:name w:val="font41"/>
    <w:qFormat/>
    <w:uiPriority w:val="0"/>
    <w:rPr>
      <w:rFonts w:hint="eastAsia" w:ascii="宋体" w:hAnsi="宋体" w:eastAsia="宋体" w:cs="宋体"/>
      <w:color w:val="FF0000"/>
      <w:sz w:val="20"/>
      <w:szCs w:val="20"/>
      <w:u w:val="none"/>
    </w:rPr>
  </w:style>
  <w:style w:type="character" w:customStyle="1" w:styleId="117">
    <w:name w:val="正文文本缩进 Char"/>
    <w:link w:val="18"/>
    <w:qFormat/>
    <w:uiPriority w:val="0"/>
    <w:rPr>
      <w:rFonts w:eastAsia="宋体"/>
      <w:kern w:val="2"/>
      <w:sz w:val="21"/>
      <w:szCs w:val="24"/>
      <w:lang w:val="en-US" w:eastAsia="zh-CN" w:bidi="ar-SA"/>
    </w:rPr>
  </w:style>
  <w:style w:type="character" w:customStyle="1" w:styleId="118">
    <w:name w:val="页脚 Char1"/>
    <w:link w:val="27"/>
    <w:qFormat/>
    <w:uiPriority w:val="0"/>
    <w:rPr>
      <w:rFonts w:eastAsia="宋体"/>
      <w:kern w:val="2"/>
      <w:sz w:val="18"/>
      <w:szCs w:val="18"/>
      <w:lang w:val="en-US" w:eastAsia="zh-CN" w:bidi="ar-SA"/>
    </w:rPr>
  </w:style>
  <w:style w:type="character" w:customStyle="1" w:styleId="119">
    <w:name w:val="称呼 Char"/>
    <w:link w:val="15"/>
    <w:qFormat/>
    <w:uiPriority w:val="0"/>
    <w:rPr>
      <w:rFonts w:ascii="仿宋_GB2312" w:eastAsia="仿宋_GB2312"/>
      <w:kern w:val="2"/>
      <w:sz w:val="24"/>
      <w:szCs w:val="24"/>
    </w:rPr>
  </w:style>
  <w:style w:type="character" w:customStyle="1" w:styleId="120">
    <w:name w:val="批注主题 Char1"/>
    <w:link w:val="41"/>
    <w:qFormat/>
    <w:uiPriority w:val="0"/>
    <w:rPr>
      <w:rFonts w:eastAsia="宋体"/>
      <w:b/>
      <w:bCs/>
      <w:kern w:val="2"/>
      <w:sz w:val="21"/>
      <w:szCs w:val="24"/>
      <w:lang w:val="en-US" w:eastAsia="zh-CN" w:bidi="ar-SA"/>
    </w:rPr>
  </w:style>
  <w:style w:type="character" w:customStyle="1" w:styleId="121">
    <w:name w:val="lemmatitleh12"/>
    <w:qFormat/>
    <w:uiPriority w:val="0"/>
    <w:rPr>
      <w:rFonts w:ascii="Times New Roman" w:hAnsi="Times New Roman" w:eastAsia="宋体"/>
    </w:rPr>
  </w:style>
  <w:style w:type="character" w:customStyle="1" w:styleId="122">
    <w:name w:val="正文文本缩进 3 Char"/>
    <w:qFormat/>
    <w:uiPriority w:val="0"/>
    <w:rPr>
      <w:rFonts w:ascii="宋体" w:hAnsi="MS Sans Serif"/>
      <w:color w:val="000000"/>
      <w:sz w:val="24"/>
    </w:rPr>
  </w:style>
  <w:style w:type="character" w:customStyle="1" w:styleId="123">
    <w:name w:val="标题 9 Char1"/>
    <w:link w:val="10"/>
    <w:qFormat/>
    <w:uiPriority w:val="0"/>
    <w:rPr>
      <w:rFonts w:ascii="Arial" w:hAnsi="Arial" w:eastAsia="黑体"/>
      <w:sz w:val="21"/>
      <w:szCs w:val="21"/>
      <w:lang w:val="en-US" w:eastAsia="zh-CN" w:bidi="ar-SA"/>
    </w:rPr>
  </w:style>
  <w:style w:type="character" w:customStyle="1" w:styleId="124">
    <w:name w:val="Font Style127"/>
    <w:unhideWhenUsed/>
    <w:qFormat/>
    <w:uiPriority w:val="0"/>
    <w:rPr>
      <w:rFonts w:hint="eastAsia" w:ascii="Times New Roman" w:hAnsi="Times New Roman" w:eastAsia="Times New Roman"/>
      <w:sz w:val="20"/>
    </w:rPr>
  </w:style>
  <w:style w:type="character" w:customStyle="1" w:styleId="125">
    <w:name w:val="日期 Char"/>
    <w:qFormat/>
    <w:uiPriority w:val="0"/>
    <w:rPr>
      <w:kern w:val="2"/>
      <w:sz w:val="21"/>
      <w:szCs w:val="24"/>
    </w:rPr>
  </w:style>
  <w:style w:type="character" w:customStyle="1" w:styleId="126">
    <w:name w:val="批注框文本 Char"/>
    <w:qFormat/>
    <w:uiPriority w:val="0"/>
    <w:rPr>
      <w:kern w:val="2"/>
      <w:sz w:val="18"/>
      <w:szCs w:val="18"/>
    </w:rPr>
  </w:style>
  <w:style w:type="character" w:customStyle="1" w:styleId="127">
    <w:name w:val="Font Style131"/>
    <w:unhideWhenUsed/>
    <w:qFormat/>
    <w:uiPriority w:val="0"/>
    <w:rPr>
      <w:rFonts w:hint="eastAsia" w:ascii="Times New Roman" w:hAnsi="Times New Roman" w:eastAsia="Times New Roman"/>
      <w:sz w:val="18"/>
    </w:rPr>
  </w:style>
  <w:style w:type="character" w:customStyle="1" w:styleId="128">
    <w:name w:val="批注主题 Char"/>
    <w:qFormat/>
    <w:uiPriority w:val="0"/>
    <w:rPr>
      <w:b/>
      <w:bCs/>
      <w:kern w:val="2"/>
      <w:sz w:val="21"/>
      <w:szCs w:val="24"/>
    </w:rPr>
  </w:style>
  <w:style w:type="character" w:customStyle="1" w:styleId="129">
    <w:name w:val="标题 8 Char"/>
    <w:qFormat/>
    <w:uiPriority w:val="0"/>
    <w:rPr>
      <w:rFonts w:ascii="Arial" w:hAnsi="Arial" w:eastAsia="黑体"/>
      <w:sz w:val="24"/>
      <w:szCs w:val="24"/>
    </w:rPr>
  </w:style>
  <w:style w:type="character" w:customStyle="1" w:styleId="130">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31">
    <w:name w:val="Font Style116"/>
    <w:unhideWhenUsed/>
    <w:qFormat/>
    <w:uiPriority w:val="0"/>
    <w:rPr>
      <w:rFonts w:hint="eastAsia" w:ascii="宋体" w:hAnsi="宋体" w:eastAsia="宋体"/>
      <w:spacing w:val="-20"/>
      <w:sz w:val="24"/>
    </w:rPr>
  </w:style>
  <w:style w:type="character" w:customStyle="1" w:styleId="132">
    <w:name w:val="正文文本 Char"/>
    <w:link w:val="17"/>
    <w:qFormat/>
    <w:uiPriority w:val="0"/>
    <w:rPr>
      <w:kern w:val="2"/>
      <w:sz w:val="21"/>
      <w:szCs w:val="24"/>
    </w:rPr>
  </w:style>
  <w:style w:type="character" w:customStyle="1" w:styleId="133">
    <w:name w:val="sort"/>
    <w:qFormat/>
    <w:uiPriority w:val="0"/>
    <w:rPr>
      <w:rFonts w:ascii="Times New Roman" w:hAnsi="Times New Roman" w:eastAsia="宋体"/>
      <w:color w:val="FFFFFF"/>
      <w:bdr w:val="single" w:color="auto" w:sz="24" w:space="0"/>
    </w:rPr>
  </w:style>
  <w:style w:type="character" w:customStyle="1" w:styleId="134">
    <w:name w:val="标题 Char"/>
    <w:qFormat/>
    <w:uiPriority w:val="0"/>
    <w:rPr>
      <w:rFonts w:ascii="Cambria" w:hAnsi="Cambria"/>
      <w:b/>
      <w:kern w:val="2"/>
      <w:sz w:val="32"/>
      <w:szCs w:val="24"/>
    </w:rPr>
  </w:style>
  <w:style w:type="character" w:customStyle="1" w:styleId="135">
    <w:name w:val="正文文本 3 Char"/>
    <w:link w:val="16"/>
    <w:qFormat/>
    <w:uiPriority w:val="0"/>
    <w:rPr>
      <w:rFonts w:ascii="宋体"/>
      <w:color w:val="000000"/>
      <w:sz w:val="24"/>
    </w:rPr>
  </w:style>
  <w:style w:type="character" w:customStyle="1" w:styleId="136">
    <w:name w:val="Char Char13"/>
    <w:qFormat/>
    <w:uiPriority w:val="0"/>
    <w:rPr>
      <w:rFonts w:eastAsia="宋体"/>
      <w:b/>
      <w:bCs/>
      <w:kern w:val="2"/>
      <w:sz w:val="24"/>
      <w:lang w:val="en-US" w:eastAsia="zh-CN" w:bidi="ar-SA"/>
    </w:rPr>
  </w:style>
  <w:style w:type="character" w:customStyle="1" w:styleId="137">
    <w:name w:val="bds_more7"/>
    <w:qFormat/>
    <w:uiPriority w:val="0"/>
    <w:rPr>
      <w:rFonts w:ascii="Times New Roman" w:hAnsi="Times New Roman" w:eastAsia="宋体"/>
    </w:rPr>
  </w:style>
  <w:style w:type="character" w:customStyle="1" w:styleId="138">
    <w:name w:val="sidecatalog-index2"/>
    <w:qFormat/>
    <w:uiPriority w:val="0"/>
    <w:rPr>
      <w:rFonts w:ascii="Arail" w:hAnsi="Arail" w:eastAsia="Arail" w:cs="Arail"/>
      <w:color w:val="999999"/>
      <w:sz w:val="21"/>
      <w:szCs w:val="21"/>
    </w:rPr>
  </w:style>
  <w:style w:type="character" w:customStyle="1" w:styleId="139">
    <w:name w:val="批注文字 Char"/>
    <w:qFormat/>
    <w:uiPriority w:val="0"/>
    <w:rPr>
      <w:kern w:val="2"/>
      <w:sz w:val="21"/>
      <w:szCs w:val="24"/>
    </w:rPr>
  </w:style>
  <w:style w:type="character" w:customStyle="1" w:styleId="140">
    <w:name w:val="bds_more8"/>
    <w:qFormat/>
    <w:uiPriority w:val="0"/>
    <w:rPr>
      <w:rFonts w:ascii="Times New Roman" w:hAnsi="Times New Roman" w:eastAsia="宋体"/>
    </w:rPr>
  </w:style>
  <w:style w:type="character" w:customStyle="1" w:styleId="141">
    <w:name w:val="font81"/>
    <w:qFormat/>
    <w:uiPriority w:val="0"/>
    <w:rPr>
      <w:rFonts w:ascii="font-weight : 700" w:hAnsi="font-weight : 700" w:eastAsia="font-weight : 700" w:cs="font-weight : 700"/>
      <w:color w:val="000000"/>
      <w:sz w:val="20"/>
      <w:szCs w:val="20"/>
      <w:u w:val="none"/>
    </w:rPr>
  </w:style>
  <w:style w:type="character" w:customStyle="1" w:styleId="142">
    <w:name w:val="标题 7 Char1"/>
    <w:link w:val="8"/>
    <w:qFormat/>
    <w:uiPriority w:val="0"/>
    <w:rPr>
      <w:rFonts w:eastAsia="宋体"/>
      <w:b/>
      <w:bCs/>
      <w:sz w:val="24"/>
      <w:szCs w:val="24"/>
      <w:lang w:val="en-US" w:eastAsia="zh-CN" w:bidi="ar-SA"/>
    </w:rPr>
  </w:style>
  <w:style w:type="character" w:customStyle="1" w:styleId="143">
    <w:name w:val="正文文本缩进 2 Char"/>
    <w:link w:val="19"/>
    <w:qFormat/>
    <w:uiPriority w:val="0"/>
    <w:rPr>
      <w:kern w:val="2"/>
      <w:sz w:val="21"/>
      <w:szCs w:val="24"/>
    </w:rPr>
  </w:style>
  <w:style w:type="character" w:customStyle="1" w:styleId="144">
    <w:name w:val="content_11"/>
    <w:qFormat/>
    <w:uiPriority w:val="0"/>
    <w:rPr>
      <w:sz w:val="20"/>
      <w:szCs w:val="20"/>
    </w:rPr>
  </w:style>
  <w:style w:type="character" w:customStyle="1" w:styleId="145">
    <w:name w:val="font21"/>
    <w:qFormat/>
    <w:uiPriority w:val="0"/>
    <w:rPr>
      <w:rFonts w:ascii="font-weight : 400" w:hAnsi="font-weight : 400" w:eastAsia="font-weight : 400" w:cs="font-weight : 400"/>
      <w:color w:val="000000"/>
      <w:sz w:val="20"/>
      <w:szCs w:val="20"/>
      <w:u w:val="none"/>
    </w:rPr>
  </w:style>
  <w:style w:type="character" w:customStyle="1" w:styleId="146">
    <w:name w:val="desc"/>
    <w:qFormat/>
    <w:uiPriority w:val="0"/>
    <w:rPr>
      <w:rFonts w:ascii="Times New Roman" w:hAnsi="Times New Roman" w:eastAsia="宋体"/>
      <w:color w:val="000000"/>
      <w:sz w:val="18"/>
      <w:szCs w:val="18"/>
    </w:rPr>
  </w:style>
  <w:style w:type="character" w:customStyle="1" w:styleId="147">
    <w:name w:val="bds_more9"/>
    <w:qFormat/>
    <w:uiPriority w:val="0"/>
    <w:rPr>
      <w:rFonts w:ascii="Times New Roman" w:hAnsi="Times New Roman" w:eastAsia="宋体"/>
    </w:rPr>
  </w:style>
  <w:style w:type="character" w:customStyle="1" w:styleId="148">
    <w:name w:val="p0 Char Char"/>
    <w:qFormat/>
    <w:uiPriority w:val="0"/>
    <w:rPr>
      <w:rFonts w:eastAsia="宋体"/>
      <w:kern w:val="2"/>
      <w:sz w:val="21"/>
      <w:szCs w:val="21"/>
      <w:lang w:val="en-US" w:eastAsia="zh-CN" w:bidi="ar-SA"/>
    </w:rPr>
  </w:style>
  <w:style w:type="character" w:customStyle="1" w:styleId="149">
    <w:name w:val="页眉 Char"/>
    <w:qFormat/>
    <w:uiPriority w:val="99"/>
    <w:rPr>
      <w:kern w:val="2"/>
      <w:sz w:val="18"/>
      <w:szCs w:val="18"/>
    </w:rPr>
  </w:style>
  <w:style w:type="character" w:customStyle="1" w:styleId="150">
    <w:name w:val="polysemyred"/>
    <w:qFormat/>
    <w:uiPriority w:val="0"/>
    <w:rPr>
      <w:rFonts w:ascii="Times New Roman" w:hAnsi="Times New Roman" w:eastAsia="宋体"/>
      <w:color w:val="FF6666"/>
      <w:sz w:val="18"/>
      <w:szCs w:val="18"/>
    </w:rPr>
  </w:style>
  <w:style w:type="character" w:customStyle="1" w:styleId="151">
    <w:name w:val="批注文字 Char1"/>
    <w:link w:val="14"/>
    <w:qFormat/>
    <w:uiPriority w:val="0"/>
    <w:rPr>
      <w:rFonts w:eastAsia="宋体"/>
      <w:kern w:val="2"/>
      <w:sz w:val="21"/>
      <w:szCs w:val="24"/>
      <w:lang w:val="en-US" w:eastAsia="zh-CN" w:bidi="ar-SA"/>
    </w:rPr>
  </w:style>
  <w:style w:type="character" w:customStyle="1" w:styleId="152">
    <w:name w:val="Char Char14"/>
    <w:qFormat/>
    <w:uiPriority w:val="0"/>
    <w:rPr>
      <w:rFonts w:ascii="Arial" w:hAnsi="Arial" w:eastAsia="黑体"/>
      <w:b/>
      <w:bCs/>
      <w:sz w:val="28"/>
      <w:szCs w:val="28"/>
      <w:lang w:val="en-US" w:eastAsia="zh-CN" w:bidi="ar-SA"/>
    </w:rPr>
  </w:style>
  <w:style w:type="character" w:customStyle="1" w:styleId="153">
    <w:name w:val="Font Style133"/>
    <w:unhideWhenUsed/>
    <w:qFormat/>
    <w:uiPriority w:val="0"/>
    <w:rPr>
      <w:rFonts w:hint="eastAsia" w:ascii="宋体" w:hAnsi="宋体" w:eastAsia="宋体"/>
      <w:spacing w:val="30"/>
      <w:sz w:val="24"/>
    </w:rPr>
  </w:style>
  <w:style w:type="character" w:customStyle="1" w:styleId="154">
    <w:name w:val="Char Char16"/>
    <w:qFormat/>
    <w:uiPriority w:val="0"/>
    <w:rPr>
      <w:rFonts w:ascii="宋体" w:hAnsi="Times New Roman" w:eastAsia="宋体"/>
      <w:b/>
      <w:sz w:val="24"/>
      <w:lang w:val="en-US" w:eastAsia="zh-CN" w:bidi="ar-SA"/>
    </w:rPr>
  </w:style>
  <w:style w:type="character" w:customStyle="1" w:styleId="155">
    <w:name w:val="Font Style121"/>
    <w:unhideWhenUsed/>
    <w:qFormat/>
    <w:uiPriority w:val="0"/>
    <w:rPr>
      <w:rFonts w:hint="eastAsia" w:ascii="宋体" w:hAnsi="宋体" w:eastAsia="宋体"/>
      <w:spacing w:val="-10"/>
      <w:sz w:val="30"/>
    </w:rPr>
  </w:style>
  <w:style w:type="character" w:customStyle="1" w:styleId="156">
    <w:name w:val="Font Style94"/>
    <w:unhideWhenUsed/>
    <w:qFormat/>
    <w:uiPriority w:val="0"/>
    <w:rPr>
      <w:rFonts w:hint="eastAsia" w:ascii="Times New Roman" w:hAnsi="Times New Roman" w:eastAsia="Times New Roman"/>
      <w:sz w:val="28"/>
    </w:rPr>
  </w:style>
  <w:style w:type="character" w:customStyle="1" w:styleId="157">
    <w:name w:val="Font Style124"/>
    <w:unhideWhenUsed/>
    <w:qFormat/>
    <w:uiPriority w:val="0"/>
    <w:rPr>
      <w:rFonts w:hint="eastAsia" w:ascii="宋体" w:hAnsi="宋体" w:eastAsia="宋体"/>
      <w:spacing w:val="30"/>
      <w:sz w:val="24"/>
    </w:rPr>
  </w:style>
  <w:style w:type="character" w:customStyle="1" w:styleId="158">
    <w:name w:val="bds_nopic1"/>
    <w:qFormat/>
    <w:uiPriority w:val="0"/>
    <w:rPr>
      <w:rFonts w:ascii="Times New Roman" w:hAnsi="Times New Roman" w:eastAsia="宋体"/>
    </w:rPr>
  </w:style>
  <w:style w:type="character" w:customStyle="1" w:styleId="159">
    <w:name w:val="morelink-item"/>
    <w:qFormat/>
    <w:uiPriority w:val="0"/>
    <w:rPr>
      <w:rFonts w:ascii="Times New Roman" w:hAnsi="Times New Roman" w:eastAsia="宋体"/>
    </w:rPr>
  </w:style>
  <w:style w:type="character" w:customStyle="1" w:styleId="160">
    <w:name w:val="Font Style86"/>
    <w:unhideWhenUsed/>
    <w:qFormat/>
    <w:uiPriority w:val="0"/>
    <w:rPr>
      <w:rFonts w:hint="eastAsia" w:ascii="黑体" w:hAnsi="黑体" w:eastAsia="黑体"/>
      <w:spacing w:val="10"/>
      <w:sz w:val="30"/>
    </w:rPr>
  </w:style>
  <w:style w:type="character" w:customStyle="1" w:styleId="161">
    <w:name w:val="Font Style128"/>
    <w:unhideWhenUsed/>
    <w:qFormat/>
    <w:uiPriority w:val="0"/>
    <w:rPr>
      <w:rFonts w:hint="eastAsia" w:ascii="Times New Roman" w:hAnsi="Times New Roman" w:eastAsia="Times New Roman"/>
      <w:sz w:val="16"/>
    </w:rPr>
  </w:style>
  <w:style w:type="character" w:customStyle="1" w:styleId="162">
    <w:name w:val="标题 6 Char1"/>
    <w:link w:val="7"/>
    <w:qFormat/>
    <w:uiPriority w:val="0"/>
    <w:rPr>
      <w:rFonts w:ascii="Arial" w:hAnsi="Arial" w:eastAsia="黑体"/>
      <w:b/>
      <w:bCs/>
      <w:sz w:val="24"/>
      <w:szCs w:val="24"/>
      <w:lang w:val="en-US" w:eastAsia="zh-CN" w:bidi="ar-SA"/>
    </w:rPr>
  </w:style>
  <w:style w:type="character" w:customStyle="1" w:styleId="163">
    <w:name w:val="plus"/>
    <w:qFormat/>
    <w:uiPriority w:val="0"/>
    <w:rPr>
      <w:rFonts w:ascii="Times New Roman" w:hAnsi="Times New Roman" w:eastAsia="宋体"/>
      <w:b/>
      <w:vanish/>
      <w:color w:val="1F8DEF"/>
      <w:sz w:val="24"/>
      <w:szCs w:val="24"/>
    </w:rPr>
  </w:style>
  <w:style w:type="character" w:customStyle="1" w:styleId="164">
    <w:name w:val="纯文本 Char"/>
    <w:link w:val="23"/>
    <w:qFormat/>
    <w:locked/>
    <w:uiPriority w:val="0"/>
    <w:rPr>
      <w:rFonts w:ascii="宋体" w:hAnsi="Courier New" w:eastAsia="宋体" w:cs="Courier New"/>
      <w:kern w:val="2"/>
      <w:sz w:val="21"/>
      <w:szCs w:val="21"/>
      <w:lang w:val="en-US" w:eastAsia="zh-CN" w:bidi="ar-SA"/>
    </w:rPr>
  </w:style>
  <w:style w:type="character" w:customStyle="1" w:styleId="165">
    <w:name w:val="Font Style90"/>
    <w:unhideWhenUsed/>
    <w:qFormat/>
    <w:uiPriority w:val="0"/>
    <w:rPr>
      <w:rFonts w:hint="eastAsia" w:ascii="宋体" w:hAnsi="宋体" w:eastAsia="宋体"/>
      <w:b/>
      <w:spacing w:val="-20"/>
      <w:sz w:val="40"/>
    </w:rPr>
  </w:style>
  <w:style w:type="character" w:customStyle="1" w:styleId="166">
    <w:name w:val="Font Style119"/>
    <w:unhideWhenUsed/>
    <w:qFormat/>
    <w:uiPriority w:val="0"/>
    <w:rPr>
      <w:rFonts w:hint="eastAsia" w:ascii="宋体" w:hAnsi="宋体" w:eastAsia="宋体"/>
      <w:sz w:val="24"/>
    </w:rPr>
  </w:style>
  <w:style w:type="character" w:customStyle="1" w:styleId="167">
    <w:name w:val="正文文本缩进 3 Char1"/>
    <w:link w:val="33"/>
    <w:qFormat/>
    <w:uiPriority w:val="0"/>
    <w:rPr>
      <w:rFonts w:eastAsia="宋体"/>
      <w:kern w:val="2"/>
      <w:sz w:val="16"/>
      <w:szCs w:val="16"/>
      <w:lang w:val="en-US" w:eastAsia="zh-CN" w:bidi="ar-SA"/>
    </w:rPr>
  </w:style>
  <w:style w:type="character" w:customStyle="1" w:styleId="168">
    <w:name w:val="标题 5 Char"/>
    <w:qFormat/>
    <w:uiPriority w:val="0"/>
    <w:rPr>
      <w:b/>
      <w:bCs/>
      <w:kern w:val="2"/>
      <w:sz w:val="28"/>
      <w:szCs w:val="28"/>
    </w:rPr>
  </w:style>
  <w:style w:type="character" w:customStyle="1" w:styleId="169">
    <w:name w:val="批注框文本 Char1"/>
    <w:link w:val="26"/>
    <w:qFormat/>
    <w:locked/>
    <w:uiPriority w:val="0"/>
    <w:rPr>
      <w:rFonts w:ascii="Calibri" w:hAnsi="Calibri" w:eastAsia="宋体"/>
      <w:kern w:val="2"/>
      <w:sz w:val="18"/>
      <w:szCs w:val="18"/>
      <w:lang w:val="en-US" w:eastAsia="zh-CN" w:bidi="ar-SA"/>
    </w:rPr>
  </w:style>
  <w:style w:type="character" w:customStyle="1" w:styleId="170">
    <w:name w:val="标题 8 Char1"/>
    <w:link w:val="9"/>
    <w:qFormat/>
    <w:uiPriority w:val="0"/>
    <w:rPr>
      <w:rFonts w:ascii="Arial" w:hAnsi="Arial" w:eastAsia="黑体"/>
      <w:sz w:val="24"/>
      <w:szCs w:val="24"/>
      <w:lang w:val="en-US" w:eastAsia="zh-CN" w:bidi="ar-SA"/>
    </w:rPr>
  </w:style>
  <w:style w:type="paragraph" w:customStyle="1" w:styleId="171">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72">
    <w:name w:val="Char1 Char Char Char 字元 Char Char 字元 Char 字元 Char1 Char Char Char"/>
    <w:basedOn w:val="1"/>
    <w:qFormat/>
    <w:uiPriority w:val="0"/>
    <w:rPr>
      <w:szCs w:val="20"/>
    </w:rPr>
  </w:style>
  <w:style w:type="paragraph" w:customStyle="1" w:styleId="173">
    <w:name w:val="Style9"/>
    <w:basedOn w:val="1"/>
    <w:unhideWhenUsed/>
    <w:qFormat/>
    <w:uiPriority w:val="0"/>
  </w:style>
  <w:style w:type="paragraph" w:customStyle="1" w:styleId="174">
    <w:name w:val="Style52"/>
    <w:basedOn w:val="1"/>
    <w:unhideWhenUsed/>
    <w:qFormat/>
    <w:uiPriority w:val="0"/>
    <w:pPr>
      <w:spacing w:line="682" w:lineRule="exact"/>
      <w:ind w:firstLine="557"/>
    </w:pPr>
  </w:style>
  <w:style w:type="paragraph" w:customStyle="1" w:styleId="175">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6">
    <w:name w:val="_Style 39"/>
    <w:basedOn w:val="177"/>
    <w:qFormat/>
    <w:uiPriority w:val="0"/>
  </w:style>
  <w:style w:type="paragraph" w:customStyle="1" w:styleId="17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9">
    <w:name w:val="Style76"/>
    <w:basedOn w:val="1"/>
    <w:unhideWhenUsed/>
    <w:qFormat/>
    <w:uiPriority w:val="0"/>
  </w:style>
  <w:style w:type="paragraph" w:customStyle="1" w:styleId="180">
    <w:name w:val="Style36"/>
    <w:basedOn w:val="1"/>
    <w:unhideWhenUsed/>
    <w:qFormat/>
    <w:uiPriority w:val="0"/>
  </w:style>
  <w:style w:type="paragraph" w:customStyle="1" w:styleId="181">
    <w:name w:val="Style15"/>
    <w:basedOn w:val="1"/>
    <w:unhideWhenUsed/>
    <w:qFormat/>
    <w:uiPriority w:val="0"/>
    <w:pPr>
      <w:spacing w:line="557" w:lineRule="exact"/>
      <w:ind w:firstLine="672"/>
    </w:pPr>
  </w:style>
  <w:style w:type="paragraph" w:customStyle="1" w:styleId="182">
    <w:name w:val="Char"/>
    <w:basedOn w:val="1"/>
    <w:qFormat/>
    <w:uiPriority w:val="0"/>
    <w:pPr>
      <w:tabs>
        <w:tab w:val="left" w:pos="360"/>
      </w:tabs>
      <w:ind w:left="360" w:hanging="360" w:hangingChars="200"/>
    </w:pPr>
    <w:rPr>
      <w:sz w:val="24"/>
    </w:rPr>
  </w:style>
  <w:style w:type="paragraph" w:customStyle="1" w:styleId="183">
    <w:name w:val="NO3"/>
    <w:basedOn w:val="1"/>
    <w:qFormat/>
    <w:uiPriority w:val="0"/>
    <w:pPr>
      <w:tabs>
        <w:tab w:val="left" w:pos="907"/>
      </w:tabs>
      <w:spacing w:line="360" w:lineRule="auto"/>
    </w:pPr>
    <w:rPr>
      <w:rFonts w:ascii="宋体" w:hAnsi="宋体"/>
      <w:sz w:val="24"/>
    </w:rPr>
  </w:style>
  <w:style w:type="paragraph" w:customStyle="1" w:styleId="184">
    <w:name w:val="Style62"/>
    <w:basedOn w:val="1"/>
    <w:unhideWhenUsed/>
    <w:qFormat/>
    <w:uiPriority w:val="0"/>
  </w:style>
  <w:style w:type="paragraph" w:customStyle="1" w:styleId="185">
    <w:name w:val="Char Char1 Char Char Char"/>
    <w:basedOn w:val="1"/>
    <w:qFormat/>
    <w:uiPriority w:val="0"/>
    <w:rPr>
      <w:kern w:val="0"/>
      <w:sz w:val="20"/>
      <w:szCs w:val="20"/>
    </w:rPr>
  </w:style>
  <w:style w:type="paragraph" w:customStyle="1" w:styleId="18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7">
    <w:name w:val="Style73"/>
    <w:basedOn w:val="1"/>
    <w:unhideWhenUsed/>
    <w:qFormat/>
    <w:uiPriority w:val="0"/>
    <w:pPr>
      <w:spacing w:line="538" w:lineRule="exact"/>
      <w:ind w:firstLine="533"/>
    </w:pPr>
  </w:style>
  <w:style w:type="paragraph" w:customStyle="1" w:styleId="188">
    <w:name w:val="Style71"/>
    <w:basedOn w:val="1"/>
    <w:unhideWhenUsed/>
    <w:qFormat/>
    <w:uiPriority w:val="0"/>
    <w:pPr>
      <w:spacing w:line="538" w:lineRule="exact"/>
      <w:ind w:firstLine="101"/>
    </w:pPr>
  </w:style>
  <w:style w:type="paragraph" w:customStyle="1" w:styleId="189">
    <w:name w:val="Char1 Char Char Char Char Char Char Char Char Char"/>
    <w:basedOn w:val="1"/>
    <w:qFormat/>
    <w:uiPriority w:val="0"/>
    <w:rPr>
      <w:szCs w:val="20"/>
    </w:rPr>
  </w:style>
  <w:style w:type="paragraph" w:customStyle="1" w:styleId="190">
    <w:name w:val="Style4"/>
    <w:basedOn w:val="1"/>
    <w:unhideWhenUsed/>
    <w:qFormat/>
    <w:uiPriority w:val="0"/>
  </w:style>
  <w:style w:type="paragraph" w:customStyle="1" w:styleId="191">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2">
    <w:name w:val="Style78"/>
    <w:basedOn w:val="1"/>
    <w:unhideWhenUsed/>
    <w:qFormat/>
    <w:uiPriority w:val="0"/>
  </w:style>
  <w:style w:type="paragraph" w:customStyle="1" w:styleId="193">
    <w:name w:val="Style60"/>
    <w:basedOn w:val="1"/>
    <w:unhideWhenUsed/>
    <w:qFormat/>
    <w:uiPriority w:val="0"/>
    <w:pPr>
      <w:spacing w:line="566" w:lineRule="exact"/>
    </w:pPr>
  </w:style>
  <w:style w:type="paragraph" w:customStyle="1" w:styleId="194">
    <w:name w:val="1"/>
    <w:basedOn w:val="1"/>
    <w:qFormat/>
    <w:uiPriority w:val="0"/>
    <w:pPr>
      <w:spacing w:after="156" w:afterLines="50" w:line="360" w:lineRule="auto"/>
    </w:pPr>
    <w:rPr>
      <w:rFonts w:ascii="宋体" w:hAnsi="宋体"/>
      <w:b/>
      <w:sz w:val="30"/>
      <w:szCs w:val="21"/>
    </w:rPr>
  </w:style>
  <w:style w:type="paragraph" w:customStyle="1" w:styleId="195">
    <w:name w:val="Style48"/>
    <w:basedOn w:val="1"/>
    <w:unhideWhenUsed/>
    <w:qFormat/>
    <w:uiPriority w:val="0"/>
    <w:pPr>
      <w:spacing w:line="542" w:lineRule="exact"/>
      <w:jc w:val="right"/>
    </w:pPr>
  </w:style>
  <w:style w:type="paragraph" w:customStyle="1" w:styleId="196">
    <w:name w:val="Style41"/>
    <w:basedOn w:val="1"/>
    <w:unhideWhenUsed/>
    <w:qFormat/>
    <w:uiPriority w:val="0"/>
    <w:pPr>
      <w:spacing w:line="542" w:lineRule="exact"/>
      <w:ind w:firstLine="125"/>
    </w:pPr>
  </w:style>
  <w:style w:type="paragraph" w:customStyle="1" w:styleId="197">
    <w:name w:val="Style50"/>
    <w:basedOn w:val="1"/>
    <w:unhideWhenUsed/>
    <w:qFormat/>
    <w:uiPriority w:val="0"/>
  </w:style>
  <w:style w:type="paragraph" w:customStyle="1" w:styleId="198">
    <w:name w:val="Char Char1 Char Char Char Char Char Char Char"/>
    <w:basedOn w:val="1"/>
    <w:qFormat/>
    <w:uiPriority w:val="0"/>
    <w:pPr>
      <w:widowControl/>
      <w:spacing w:after="160" w:line="240" w:lineRule="exact"/>
      <w:jc w:val="left"/>
    </w:pPr>
  </w:style>
  <w:style w:type="paragraph" w:customStyle="1" w:styleId="199">
    <w:name w:val="Style59"/>
    <w:basedOn w:val="1"/>
    <w:unhideWhenUsed/>
    <w:qFormat/>
    <w:uiPriority w:val="0"/>
  </w:style>
  <w:style w:type="paragraph" w:customStyle="1" w:styleId="200">
    <w:name w:val="Style27"/>
    <w:basedOn w:val="1"/>
    <w:unhideWhenUsed/>
    <w:qFormat/>
    <w:uiPriority w:val="0"/>
  </w:style>
  <w:style w:type="paragraph" w:customStyle="1" w:styleId="201">
    <w:name w:val="Style61"/>
    <w:basedOn w:val="1"/>
    <w:unhideWhenUsed/>
    <w:qFormat/>
    <w:uiPriority w:val="0"/>
  </w:style>
  <w:style w:type="paragraph" w:customStyle="1" w:styleId="202">
    <w:name w:val="Style80"/>
    <w:basedOn w:val="1"/>
    <w:unhideWhenUsed/>
    <w:qFormat/>
    <w:uiPriority w:val="0"/>
  </w:style>
  <w:style w:type="paragraph" w:customStyle="1" w:styleId="203">
    <w:name w:val="Style12"/>
    <w:basedOn w:val="1"/>
    <w:unhideWhenUsed/>
    <w:qFormat/>
    <w:uiPriority w:val="0"/>
    <w:pPr>
      <w:spacing w:line="564" w:lineRule="exact"/>
      <w:ind w:hanging="115"/>
    </w:pPr>
  </w:style>
  <w:style w:type="paragraph" w:customStyle="1" w:styleId="204">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5">
    <w:name w:val="Style46"/>
    <w:basedOn w:val="1"/>
    <w:unhideWhenUsed/>
    <w:qFormat/>
    <w:uiPriority w:val="0"/>
    <w:pPr>
      <w:spacing w:line="672" w:lineRule="exact"/>
    </w:pPr>
  </w:style>
  <w:style w:type="paragraph" w:customStyle="1" w:styleId="206">
    <w:name w:val="Style53"/>
    <w:basedOn w:val="1"/>
    <w:unhideWhenUsed/>
    <w:qFormat/>
    <w:uiPriority w:val="0"/>
    <w:pPr>
      <w:spacing w:line="533" w:lineRule="exact"/>
      <w:ind w:firstLine="581"/>
    </w:pPr>
  </w:style>
  <w:style w:type="paragraph" w:customStyle="1" w:styleId="207">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8">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9">
    <w:name w:val="Revision"/>
    <w:qFormat/>
    <w:uiPriority w:val="0"/>
    <w:rPr>
      <w:rFonts w:ascii="Times New Roman" w:hAnsi="Times New Roman" w:eastAsia="宋体" w:cs="Times New Roman"/>
      <w:kern w:val="2"/>
      <w:sz w:val="21"/>
      <w:szCs w:val="24"/>
      <w:lang w:val="en-US" w:eastAsia="zh-CN" w:bidi="ar-SA"/>
    </w:rPr>
  </w:style>
  <w:style w:type="paragraph" w:customStyle="1" w:styleId="210">
    <w:name w:val="Style16"/>
    <w:basedOn w:val="1"/>
    <w:unhideWhenUsed/>
    <w:qFormat/>
    <w:uiPriority w:val="0"/>
    <w:pPr>
      <w:jc w:val="right"/>
    </w:pPr>
  </w:style>
  <w:style w:type="paragraph" w:customStyle="1" w:styleId="211">
    <w:name w:val="Table Paragraph"/>
    <w:basedOn w:val="1"/>
    <w:qFormat/>
    <w:uiPriority w:val="0"/>
    <w:pPr>
      <w:autoSpaceDE w:val="0"/>
      <w:autoSpaceDN w:val="0"/>
      <w:adjustRightInd w:val="0"/>
      <w:jc w:val="left"/>
    </w:pPr>
    <w:rPr>
      <w:rFonts w:ascii="Calibri" w:hAnsi="Calibri"/>
      <w:kern w:val="0"/>
      <w:sz w:val="24"/>
    </w:rPr>
  </w:style>
  <w:style w:type="paragraph" w:customStyle="1" w:styleId="212">
    <w:name w:val="Style77"/>
    <w:basedOn w:val="1"/>
    <w:unhideWhenUsed/>
    <w:qFormat/>
    <w:uiPriority w:val="0"/>
  </w:style>
  <w:style w:type="paragraph" w:customStyle="1" w:styleId="213">
    <w:name w:val="Style68"/>
    <w:basedOn w:val="1"/>
    <w:unhideWhenUsed/>
    <w:qFormat/>
    <w:uiPriority w:val="0"/>
    <w:pPr>
      <w:spacing w:line="547" w:lineRule="exact"/>
    </w:pPr>
  </w:style>
  <w:style w:type="paragraph" w:customStyle="1" w:styleId="214">
    <w:name w:val="Style58"/>
    <w:basedOn w:val="1"/>
    <w:unhideWhenUsed/>
    <w:qFormat/>
    <w:uiPriority w:val="0"/>
    <w:pPr>
      <w:spacing w:line="413" w:lineRule="exact"/>
    </w:pPr>
  </w:style>
  <w:style w:type="paragraph" w:customStyle="1" w:styleId="215">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6">
    <w:name w:val="Style42"/>
    <w:basedOn w:val="1"/>
    <w:unhideWhenUsed/>
    <w:qFormat/>
    <w:uiPriority w:val="0"/>
    <w:pPr>
      <w:spacing w:line="542" w:lineRule="exact"/>
      <w:ind w:firstLine="547"/>
    </w:pPr>
  </w:style>
  <w:style w:type="paragraph" w:customStyle="1" w:styleId="217">
    <w:name w:val="Style69"/>
    <w:basedOn w:val="1"/>
    <w:unhideWhenUsed/>
    <w:qFormat/>
    <w:uiPriority w:val="0"/>
    <w:pPr>
      <w:spacing w:line="557" w:lineRule="exact"/>
      <w:ind w:firstLine="1666"/>
    </w:pPr>
  </w:style>
  <w:style w:type="paragraph" w:customStyle="1" w:styleId="218">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19">
    <w:name w:val="Char Char1"/>
    <w:basedOn w:val="1"/>
    <w:qFormat/>
    <w:uiPriority w:val="0"/>
    <w:rPr>
      <w:rFonts w:ascii="Tahoma" w:hAnsi="Tahoma"/>
      <w:sz w:val="24"/>
      <w:szCs w:val="20"/>
    </w:rPr>
  </w:style>
  <w:style w:type="paragraph" w:customStyle="1" w:styleId="2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21">
    <w:name w:val="Style11"/>
    <w:basedOn w:val="1"/>
    <w:unhideWhenUsed/>
    <w:qFormat/>
    <w:uiPriority w:val="0"/>
    <w:pPr>
      <w:spacing w:line="559" w:lineRule="exact"/>
      <w:ind w:firstLine="590"/>
    </w:pPr>
  </w:style>
  <w:style w:type="paragraph" w:customStyle="1" w:styleId="222">
    <w:name w:val="Style23"/>
    <w:basedOn w:val="1"/>
    <w:unhideWhenUsed/>
    <w:qFormat/>
    <w:uiPriority w:val="0"/>
  </w:style>
  <w:style w:type="paragraph" w:customStyle="1" w:styleId="223">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24">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5">
    <w:name w:val="1 Char Char Char Char"/>
    <w:basedOn w:val="1"/>
    <w:qFormat/>
    <w:uiPriority w:val="0"/>
  </w:style>
  <w:style w:type="paragraph" w:customStyle="1" w:styleId="226">
    <w:name w:val="Style13"/>
    <w:basedOn w:val="1"/>
    <w:unhideWhenUsed/>
    <w:qFormat/>
    <w:uiPriority w:val="0"/>
  </w:style>
  <w:style w:type="paragraph" w:customStyle="1" w:styleId="227">
    <w:name w:val="列出段落2"/>
    <w:basedOn w:val="1"/>
    <w:qFormat/>
    <w:uiPriority w:val="0"/>
    <w:pPr>
      <w:ind w:firstLine="420" w:firstLineChars="200"/>
    </w:pPr>
    <w:rPr>
      <w:rFonts w:ascii="Calibri" w:hAnsi="Calibri" w:cs="Calibri"/>
      <w:szCs w:val="21"/>
    </w:rPr>
  </w:style>
  <w:style w:type="paragraph" w:customStyle="1" w:styleId="228">
    <w:name w:val="Style65"/>
    <w:basedOn w:val="1"/>
    <w:unhideWhenUsed/>
    <w:qFormat/>
    <w:uiPriority w:val="0"/>
  </w:style>
  <w:style w:type="paragraph" w:customStyle="1" w:styleId="229">
    <w:name w:val="Char1 Char Char Char"/>
    <w:basedOn w:val="1"/>
    <w:qFormat/>
    <w:uiPriority w:val="0"/>
    <w:pPr>
      <w:widowControl/>
      <w:spacing w:after="160" w:line="240" w:lineRule="exact"/>
      <w:jc w:val="left"/>
    </w:pPr>
    <w:rPr>
      <w:kern w:val="0"/>
      <w:sz w:val="24"/>
      <w:szCs w:val="20"/>
    </w:rPr>
  </w:style>
  <w:style w:type="paragraph" w:customStyle="1" w:styleId="230">
    <w:name w:val="Style70"/>
    <w:basedOn w:val="1"/>
    <w:unhideWhenUsed/>
    <w:qFormat/>
    <w:uiPriority w:val="0"/>
    <w:pPr>
      <w:spacing w:line="549" w:lineRule="exact"/>
      <w:ind w:firstLine="686"/>
    </w:pPr>
  </w:style>
  <w:style w:type="paragraph" w:customStyle="1" w:styleId="231">
    <w:name w:val="标题2"/>
    <w:basedOn w:val="40"/>
    <w:qFormat/>
    <w:uiPriority w:val="0"/>
    <w:pPr>
      <w:spacing w:after="240"/>
      <w:jc w:val="left"/>
    </w:pPr>
    <w:rPr>
      <w:sz w:val="30"/>
    </w:rPr>
  </w:style>
  <w:style w:type="paragraph" w:customStyle="1" w:styleId="232">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3">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34">
    <w:name w:val="Char Char1 Char Char Char Char Char1 Char Char Char Char"/>
    <w:basedOn w:val="13"/>
    <w:qFormat/>
    <w:uiPriority w:val="0"/>
    <w:rPr>
      <w:rFonts w:ascii="Tahoma" w:hAnsi="Tahoma"/>
    </w:rPr>
  </w:style>
  <w:style w:type="paragraph" w:customStyle="1" w:styleId="235">
    <w:name w:val="标题 1 +"/>
    <w:basedOn w:val="2"/>
    <w:next w:val="1"/>
    <w:qFormat/>
    <w:uiPriority w:val="0"/>
    <w:pPr>
      <w:keepLines/>
      <w:spacing w:line="600" w:lineRule="auto"/>
    </w:pPr>
    <w:rPr>
      <w:rFonts w:eastAsia="黑体"/>
      <w:kern w:val="0"/>
      <w:sz w:val="32"/>
      <w:szCs w:val="32"/>
    </w:rPr>
  </w:style>
  <w:style w:type="paragraph" w:customStyle="1" w:styleId="236">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7">
    <w:name w:val="附录标识"/>
    <w:basedOn w:val="232"/>
    <w:qFormat/>
    <w:uiPriority w:val="0"/>
    <w:pPr>
      <w:tabs>
        <w:tab w:val="left" w:pos="6405"/>
        <w:tab w:val="clear" w:pos="360"/>
        <w:tab w:val="clear" w:pos="720"/>
      </w:tabs>
      <w:spacing w:after="200"/>
    </w:pPr>
    <w:rPr>
      <w:sz w:val="21"/>
    </w:rPr>
  </w:style>
  <w:style w:type="paragraph" w:customStyle="1" w:styleId="238">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9">
    <w:name w:val="Style29"/>
    <w:basedOn w:val="1"/>
    <w:unhideWhenUsed/>
    <w:qFormat/>
    <w:uiPriority w:val="0"/>
    <w:pPr>
      <w:spacing w:line="547" w:lineRule="exact"/>
      <w:ind w:firstLine="547"/>
    </w:pPr>
  </w:style>
  <w:style w:type="paragraph" w:customStyle="1" w:styleId="240">
    <w:name w:val="Style34"/>
    <w:basedOn w:val="1"/>
    <w:unhideWhenUsed/>
    <w:qFormat/>
    <w:uiPriority w:val="0"/>
    <w:pPr>
      <w:spacing w:line="375" w:lineRule="exact"/>
    </w:pPr>
  </w:style>
  <w:style w:type="paragraph" w:customStyle="1" w:styleId="241">
    <w:name w:val="默认段落字体 Para Char Char Char Char Char Char Char Char Char Char Char Char Char Char Char Char Char Char Char"/>
    <w:basedOn w:val="1"/>
    <w:qFormat/>
    <w:uiPriority w:val="0"/>
  </w:style>
  <w:style w:type="paragraph" w:customStyle="1" w:styleId="242">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3">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4">
    <w:name w:val="Style74"/>
    <w:basedOn w:val="1"/>
    <w:unhideWhenUsed/>
    <w:qFormat/>
    <w:uiPriority w:val="0"/>
    <w:pPr>
      <w:spacing w:line="437" w:lineRule="exact"/>
    </w:pPr>
  </w:style>
  <w:style w:type="paragraph" w:customStyle="1" w:styleId="245">
    <w:name w:val="Style28"/>
    <w:basedOn w:val="1"/>
    <w:unhideWhenUsed/>
    <w:qFormat/>
    <w:uiPriority w:val="0"/>
    <w:pPr>
      <w:spacing w:line="552" w:lineRule="exact"/>
      <w:ind w:firstLine="547"/>
    </w:pPr>
  </w:style>
  <w:style w:type="paragraph" w:customStyle="1" w:styleId="246">
    <w:name w:val="Style24"/>
    <w:basedOn w:val="1"/>
    <w:unhideWhenUsed/>
    <w:qFormat/>
    <w:uiPriority w:val="0"/>
  </w:style>
  <w:style w:type="paragraph" w:customStyle="1" w:styleId="247">
    <w:name w:val="Style63"/>
    <w:basedOn w:val="1"/>
    <w:unhideWhenUsed/>
    <w:qFormat/>
    <w:uiPriority w:val="0"/>
    <w:pPr>
      <w:spacing w:line="564" w:lineRule="exact"/>
      <w:ind w:firstLine="682"/>
    </w:pPr>
  </w:style>
  <w:style w:type="paragraph" w:customStyle="1" w:styleId="248">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9">
    <w:name w:val="Style45"/>
    <w:basedOn w:val="1"/>
    <w:unhideWhenUsed/>
    <w:qFormat/>
    <w:uiPriority w:val="0"/>
  </w:style>
  <w:style w:type="paragraph" w:customStyle="1" w:styleId="250">
    <w:name w:val="p16"/>
    <w:basedOn w:val="1"/>
    <w:qFormat/>
    <w:uiPriority w:val="0"/>
    <w:pPr>
      <w:widowControl/>
      <w:jc w:val="left"/>
    </w:pPr>
    <w:rPr>
      <w:kern w:val="0"/>
      <w:szCs w:val="21"/>
    </w:rPr>
  </w:style>
  <w:style w:type="paragraph" w:customStyle="1" w:styleId="251">
    <w:name w:val="Style64"/>
    <w:basedOn w:val="1"/>
    <w:unhideWhenUsed/>
    <w:qFormat/>
    <w:uiPriority w:val="0"/>
  </w:style>
  <w:style w:type="paragraph" w:customStyle="1" w:styleId="252">
    <w:name w:val="Style72"/>
    <w:basedOn w:val="1"/>
    <w:unhideWhenUsed/>
    <w:qFormat/>
    <w:uiPriority w:val="0"/>
  </w:style>
  <w:style w:type="paragraph" w:customStyle="1" w:styleId="253">
    <w:name w:val="Char Char Char"/>
    <w:basedOn w:val="1"/>
    <w:qFormat/>
    <w:uiPriority w:val="0"/>
    <w:rPr>
      <w:rFonts w:ascii="宋体" w:hAnsi="宋体"/>
      <w:b/>
      <w:sz w:val="28"/>
      <w:szCs w:val="28"/>
    </w:rPr>
  </w:style>
  <w:style w:type="paragraph" w:customStyle="1" w:styleId="254">
    <w:name w:val="Style21"/>
    <w:basedOn w:val="1"/>
    <w:unhideWhenUsed/>
    <w:qFormat/>
    <w:uiPriority w:val="0"/>
    <w:pPr>
      <w:spacing w:line="566" w:lineRule="exact"/>
      <w:ind w:firstLine="682"/>
    </w:pPr>
  </w:style>
  <w:style w:type="paragraph" w:customStyle="1" w:styleId="255">
    <w:name w:val="Style26"/>
    <w:basedOn w:val="1"/>
    <w:unhideWhenUsed/>
    <w:qFormat/>
    <w:uiPriority w:val="0"/>
  </w:style>
  <w:style w:type="paragraph" w:customStyle="1" w:styleId="256">
    <w:name w:val="表格内容"/>
    <w:basedOn w:val="17"/>
    <w:qFormat/>
    <w:uiPriority w:val="0"/>
    <w:pPr>
      <w:suppressLineNumbers/>
      <w:suppressAutoHyphens/>
      <w:jc w:val="left"/>
    </w:pPr>
    <w:rPr>
      <w:rFonts w:cs="Tahoma"/>
      <w:kern w:val="0"/>
      <w:sz w:val="24"/>
    </w:rPr>
  </w:style>
  <w:style w:type="paragraph" w:customStyle="1" w:styleId="257">
    <w:name w:val="Style47"/>
    <w:basedOn w:val="1"/>
    <w:unhideWhenUsed/>
    <w:qFormat/>
    <w:uiPriority w:val="0"/>
  </w:style>
  <w:style w:type="paragraph" w:customStyle="1" w:styleId="258">
    <w:name w:val="Style44"/>
    <w:basedOn w:val="1"/>
    <w:unhideWhenUsed/>
    <w:qFormat/>
    <w:uiPriority w:val="0"/>
  </w:style>
  <w:style w:type="paragraph" w:customStyle="1" w:styleId="259">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60">
    <w:name w:val="Style10"/>
    <w:basedOn w:val="1"/>
    <w:unhideWhenUsed/>
    <w:qFormat/>
    <w:uiPriority w:val="0"/>
    <w:pPr>
      <w:spacing w:line="538" w:lineRule="exact"/>
    </w:pPr>
  </w:style>
  <w:style w:type="paragraph" w:customStyle="1" w:styleId="261">
    <w:name w:val="Style8"/>
    <w:basedOn w:val="1"/>
    <w:unhideWhenUsed/>
    <w:qFormat/>
    <w:uiPriority w:val="0"/>
    <w:pPr>
      <w:spacing w:line="566" w:lineRule="exact"/>
      <w:jc w:val="center"/>
    </w:pPr>
  </w:style>
  <w:style w:type="paragraph" w:customStyle="1" w:styleId="262">
    <w:name w:val="Style54"/>
    <w:basedOn w:val="1"/>
    <w:unhideWhenUsed/>
    <w:qFormat/>
    <w:uiPriority w:val="0"/>
  </w:style>
  <w:style w:type="paragraph" w:customStyle="1" w:styleId="263">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4">
    <w:name w:val="Style81"/>
    <w:basedOn w:val="1"/>
    <w:unhideWhenUsed/>
    <w:qFormat/>
    <w:uiPriority w:val="0"/>
    <w:pPr>
      <w:spacing w:line="547" w:lineRule="exact"/>
    </w:pPr>
  </w:style>
  <w:style w:type="paragraph" w:customStyle="1" w:styleId="26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6">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7">
    <w:name w:val="Style56"/>
    <w:basedOn w:val="1"/>
    <w:unhideWhenUsed/>
    <w:qFormat/>
    <w:uiPriority w:val="0"/>
  </w:style>
  <w:style w:type="paragraph" w:customStyle="1" w:styleId="268">
    <w:name w:val="Style5"/>
    <w:basedOn w:val="1"/>
    <w:unhideWhenUsed/>
    <w:qFormat/>
    <w:uiPriority w:val="0"/>
  </w:style>
  <w:style w:type="paragraph" w:customStyle="1" w:styleId="269">
    <w:name w:val="Style67"/>
    <w:basedOn w:val="1"/>
    <w:unhideWhenUsed/>
    <w:qFormat/>
    <w:uiPriority w:val="0"/>
    <w:pPr>
      <w:spacing w:line="566" w:lineRule="exact"/>
      <w:ind w:firstLine="552"/>
    </w:pPr>
  </w:style>
  <w:style w:type="paragraph" w:customStyle="1" w:styleId="27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1">
    <w:name w:val="Char Char Char1"/>
    <w:basedOn w:val="1"/>
    <w:qFormat/>
    <w:uiPriority w:val="0"/>
    <w:rPr>
      <w:rFonts w:ascii="宋体" w:hAnsi="宋体"/>
      <w:b/>
      <w:sz w:val="28"/>
      <w:szCs w:val="28"/>
    </w:rPr>
  </w:style>
  <w:style w:type="paragraph" w:customStyle="1" w:styleId="272">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4">
    <w:name w:val="fontstyle01"/>
    <w:qFormat/>
    <w:uiPriority w:val="0"/>
    <w:rPr>
      <w:rFonts w:hint="eastAsia" w:ascii="宋体" w:hAnsi="宋体" w:eastAsia="宋体"/>
      <w:color w:val="000000"/>
      <w:sz w:val="24"/>
      <w:szCs w:val="24"/>
    </w:rPr>
  </w:style>
  <w:style w:type="character" w:customStyle="1" w:styleId="275">
    <w:name w:val="fontstyle11"/>
    <w:qFormat/>
    <w:uiPriority w:val="0"/>
    <w:rPr>
      <w:rFonts w:hint="default" w:ascii="TimesNewRomanPSMT" w:hAnsi="TimesNewRomanPSMT"/>
      <w:color w:val="000000"/>
      <w:sz w:val="24"/>
      <w:szCs w:val="24"/>
    </w:rPr>
  </w:style>
  <w:style w:type="paragraph" w:customStyle="1" w:styleId="276">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7">
    <w:name w:val="fontstyle21"/>
    <w:qFormat/>
    <w:uiPriority w:val="0"/>
    <w:rPr>
      <w:rFonts w:hint="eastAsia" w:ascii="宋体" w:hAnsi="宋体" w:eastAsia="宋体"/>
      <w:color w:val="993300"/>
      <w:sz w:val="24"/>
      <w:szCs w:val="24"/>
    </w:rPr>
  </w:style>
  <w:style w:type="character" w:customStyle="1" w:styleId="278">
    <w:name w:val="fontstyle31"/>
    <w:qFormat/>
    <w:uiPriority w:val="0"/>
    <w:rPr>
      <w:rFonts w:hint="default" w:ascii="Arial" w:hAnsi="Arial" w:cs="Arial"/>
      <w:color w:val="993300"/>
      <w:sz w:val="24"/>
      <w:szCs w:val="24"/>
    </w:rPr>
  </w:style>
  <w:style w:type="character" w:customStyle="1" w:styleId="279">
    <w:name w:val="列出段落 Char"/>
    <w:link w:val="63"/>
    <w:qFormat/>
    <w:uiPriority w:val="0"/>
    <w:rPr>
      <w:rFonts w:ascii="Calibri" w:hAnsi="Calibri"/>
      <w:kern w:val="2"/>
      <w:sz w:val="21"/>
      <w:szCs w:val="22"/>
    </w:rPr>
  </w:style>
  <w:style w:type="character" w:customStyle="1" w:styleId="280">
    <w:name w:val="样式1 Char Char"/>
    <w:link w:val="68"/>
    <w:qFormat/>
    <w:uiPriority w:val="0"/>
    <w:rPr>
      <w:rFonts w:ascii="宋体" w:hAnsi="宋体"/>
      <w:sz w:val="21"/>
      <w:szCs w:val="21"/>
    </w:rPr>
  </w:style>
  <w:style w:type="paragraph" w:customStyle="1" w:styleId="281">
    <w:name w:val="表格文字"/>
    <w:basedOn w:val="1"/>
    <w:qFormat/>
    <w:uiPriority w:val="0"/>
    <w:pPr>
      <w:spacing w:before="25" w:after="25"/>
      <w:jc w:val="left"/>
    </w:pPr>
    <w:rPr>
      <w:bCs/>
      <w:spacing w:val="10"/>
      <w:kern w:val="0"/>
      <w:sz w:val="24"/>
      <w:szCs w:val="20"/>
    </w:rPr>
  </w:style>
  <w:style w:type="character" w:customStyle="1" w:styleId="282">
    <w:name w:val="font61"/>
    <w:basedOn w:val="46"/>
    <w:qFormat/>
    <w:uiPriority w:val="0"/>
    <w:rPr>
      <w:rFonts w:hint="eastAsia" w:ascii="等线" w:hAnsi="等线" w:eastAsia="等线" w:cs="等线"/>
      <w:color w:val="FF0000"/>
      <w:sz w:val="18"/>
      <w:szCs w:val="18"/>
      <w:u w:val="none"/>
    </w:rPr>
  </w:style>
  <w:style w:type="character" w:customStyle="1" w:styleId="283">
    <w:name w:val="NormalCharacter"/>
    <w:qFormat/>
    <w:uiPriority w:val="0"/>
  </w:style>
  <w:style w:type="paragraph" w:customStyle="1" w:styleId="284">
    <w:name w:val="WPSOffice手动目录 1"/>
    <w:qFormat/>
    <w:uiPriority w:val="0"/>
    <w:pPr>
      <w:ind w:leftChars="0"/>
    </w:pPr>
    <w:rPr>
      <w:rFonts w:ascii="Times New Roman" w:hAnsi="Times New Roman" w:eastAsia="宋体" w:cs="Times New Roman"/>
      <w:sz w:val="20"/>
      <w:szCs w:val="20"/>
    </w:rPr>
  </w:style>
  <w:style w:type="paragraph" w:customStyle="1" w:styleId="285">
    <w:name w:val="WPSOffice手动目录 2"/>
    <w:qFormat/>
    <w:uiPriority w:val="0"/>
    <w:pPr>
      <w:ind w:leftChars="200"/>
    </w:pPr>
    <w:rPr>
      <w:rFonts w:ascii="Times New Roman" w:hAnsi="Times New Roman" w:eastAsia="宋体" w:cs="Times New Roman"/>
      <w:sz w:val="20"/>
      <w:szCs w:val="20"/>
    </w:rPr>
  </w:style>
  <w:style w:type="character" w:customStyle="1" w:styleId="286">
    <w:name w:val="mini-outputtext1"/>
    <w:basedOn w:val="46"/>
    <w:qFormat/>
    <w:uiPriority w:val="0"/>
  </w:style>
  <w:style w:type="character" w:customStyle="1" w:styleId="287">
    <w:name w:val="edui-clickable2"/>
    <w:basedOn w:val="46"/>
    <w:qFormat/>
    <w:uiPriority w:val="0"/>
    <w:rPr>
      <w:color w:val="0000FF"/>
      <w:u w:val="single"/>
    </w:rPr>
  </w:style>
  <w:style w:type="character" w:customStyle="1" w:styleId="288">
    <w:name w:val="hover"/>
    <w:basedOn w:val="46"/>
    <w:qFormat/>
    <w:uiPriority w:val="0"/>
    <w:rPr>
      <w:color w:val="2590EB"/>
    </w:rPr>
  </w:style>
  <w:style w:type="character" w:customStyle="1" w:styleId="289">
    <w:name w:val="hover1"/>
    <w:basedOn w:val="46"/>
    <w:qFormat/>
    <w:uiPriority w:val="0"/>
    <w:rPr>
      <w:color w:val="2590EB"/>
    </w:rPr>
  </w:style>
  <w:style w:type="character" w:customStyle="1" w:styleId="290">
    <w:name w:val="hover2"/>
    <w:basedOn w:val="46"/>
    <w:qFormat/>
    <w:uiPriority w:val="0"/>
  </w:style>
  <w:style w:type="character" w:customStyle="1" w:styleId="291">
    <w:name w:val="edui-unclickable"/>
    <w:basedOn w:val="46"/>
    <w:qFormat/>
    <w:uiPriority w:val="0"/>
    <w:rPr>
      <w:color w:val="808080"/>
    </w:rPr>
  </w:style>
  <w:style w:type="character" w:customStyle="1" w:styleId="292">
    <w:name w:val="hover3"/>
    <w:basedOn w:val="46"/>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AE803-5820-49A6-850C-DEE01E38049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81</Pages>
  <Words>92</Words>
  <Characters>129</Characters>
  <Lines>107</Lines>
  <Paragraphs>76</Paragraphs>
  <TotalTime>0</TotalTime>
  <ScaleCrop>false</ScaleCrop>
  <LinksUpToDate>false</LinksUpToDate>
  <CharactersWithSpaces>141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2026-05-15T08:35:00Z</cp:lastPrinted>
  <dcterms:modified xsi:type="dcterms:W3CDTF">2026-10-13T08:06:31Z</dcterms:modified>
  <dc:title>附件2:</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DF9E1070C6F94629B437E2C886BEE289_13</vt:lpwstr>
  </property>
  <property fmtid="{D5CDD505-2E9C-101B-9397-08002B2CF9AE}" pid="4" name="KSOTemplateDocerSaveRecord">
    <vt:lpwstr>eyJoZGlkIjoiOGE3YWNlZjUyZGNhODgzMzBiYWFlNGMwMDVkZWVlNzYiLCJ1c2VySWQiOiIyOTQyMDUyNTgifQ==</vt:lpwstr>
  </property>
</Properties>
</file>