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A290FD">
      <w:pPr>
        <w:pStyle w:val="45"/>
        <w:spacing w:line="400" w:lineRule="atLeast"/>
        <w:rPr>
          <w:rStyle w:val="29"/>
          <w:rFonts w:hAnsi="宋体"/>
          <w:b/>
          <w:bCs/>
          <w:color w:val="auto"/>
          <w:sz w:val="84"/>
          <w:szCs w:val="84"/>
          <w:highlight w:val="none"/>
        </w:rPr>
      </w:pPr>
      <w:bookmarkStart w:id="166" w:name="_GoBack"/>
    </w:p>
    <w:p w14:paraId="4CC6BC68">
      <w:pPr>
        <w:jc w:val="center"/>
        <w:rPr>
          <w:rFonts w:ascii="隶书" w:hAnsi="华文中宋" w:eastAsia="隶书" w:cs="Courier New"/>
          <w:bCs/>
          <w:color w:val="auto"/>
          <w:sz w:val="84"/>
          <w:szCs w:val="84"/>
          <w:highlight w:val="none"/>
        </w:rPr>
      </w:pPr>
      <w:r>
        <w:rPr>
          <w:rFonts w:hint="eastAsia" w:ascii="隶书" w:hAnsi="华文中宋" w:eastAsia="隶书" w:cs="Courier New"/>
          <w:color w:val="auto"/>
          <w:sz w:val="84"/>
          <w:szCs w:val="84"/>
          <w:highlight w:val="none"/>
        </w:rPr>
        <w:t>政府采购</w:t>
      </w:r>
    </w:p>
    <w:p w14:paraId="5F1C1269">
      <w:pPr>
        <w:adjustRightInd w:val="0"/>
        <w:snapToGrid w:val="0"/>
        <w:spacing w:line="360" w:lineRule="auto"/>
        <w:jc w:val="center"/>
        <w:rPr>
          <w:rFonts w:ascii="隶书" w:hAnsi="华文中宋" w:eastAsia="隶书" w:cs="Courier New"/>
          <w:color w:val="auto"/>
          <w:sz w:val="84"/>
          <w:szCs w:val="84"/>
          <w:highlight w:val="none"/>
        </w:rPr>
      </w:pPr>
      <w:r>
        <w:rPr>
          <w:rFonts w:hint="eastAsia" w:ascii="隶书" w:hAnsi="华文中宋" w:eastAsia="隶书" w:cs="Courier New"/>
          <w:color w:val="auto"/>
          <w:sz w:val="84"/>
          <w:szCs w:val="84"/>
          <w:highlight w:val="none"/>
        </w:rPr>
        <w:t>竞争性磋商文件</w:t>
      </w:r>
    </w:p>
    <w:p w14:paraId="2918F66D">
      <w:pPr>
        <w:adjustRightInd w:val="0"/>
        <w:snapToGrid w:val="0"/>
        <w:spacing w:line="360" w:lineRule="auto"/>
        <w:ind w:left="3121" w:leftChars="953" w:hanging="1120" w:hangingChars="400"/>
        <w:rPr>
          <w:rFonts w:ascii="宋体" w:hAnsi="宋体" w:cs="宋体"/>
          <w:color w:val="auto"/>
          <w:sz w:val="28"/>
          <w:szCs w:val="28"/>
          <w:highlight w:val="none"/>
        </w:rPr>
      </w:pPr>
    </w:p>
    <w:p w14:paraId="07AC4A53">
      <w:pPr>
        <w:pStyle w:val="45"/>
        <w:spacing w:line="400" w:lineRule="atLeast"/>
        <w:rPr>
          <w:rStyle w:val="29"/>
          <w:rFonts w:hAnsi="宋体"/>
          <w:b/>
          <w:bCs/>
          <w:color w:val="auto"/>
          <w:sz w:val="30"/>
          <w:szCs w:val="30"/>
          <w:highlight w:val="none"/>
        </w:rPr>
      </w:pPr>
    </w:p>
    <w:p w14:paraId="62556225">
      <w:pPr>
        <w:pStyle w:val="12"/>
        <w:adjustRightInd w:val="0"/>
        <w:snapToGrid w:val="0"/>
        <w:spacing w:line="360" w:lineRule="auto"/>
        <w:ind w:left="645" w:leftChars="307"/>
        <w:jc w:val="left"/>
        <w:rPr>
          <w:rFonts w:hint="eastAsia"/>
          <w:b/>
          <w:color w:val="auto"/>
          <w:sz w:val="32"/>
          <w:szCs w:val="32"/>
          <w:highlight w:val="none"/>
          <w:lang w:eastAsia="zh-CN"/>
        </w:rPr>
      </w:pPr>
      <w:r>
        <w:rPr>
          <w:rFonts w:hint="eastAsia"/>
          <w:b/>
          <w:color w:val="auto"/>
          <w:sz w:val="32"/>
          <w:szCs w:val="32"/>
          <w:highlight w:val="none"/>
        </w:rPr>
        <w:t>采购项目名称：</w:t>
      </w:r>
      <w:r>
        <w:rPr>
          <w:rFonts w:hint="eastAsia"/>
          <w:b/>
          <w:color w:val="auto"/>
          <w:sz w:val="32"/>
          <w:szCs w:val="32"/>
          <w:highlight w:val="none"/>
          <w:lang w:eastAsia="zh-CN"/>
        </w:rPr>
        <w:t>郴州市南岭植物园劳务用工（园区卫生保洁、安保、森林资源管护辅助等用工）服务项目</w:t>
      </w:r>
    </w:p>
    <w:p w14:paraId="7621320D">
      <w:pPr>
        <w:pStyle w:val="12"/>
        <w:adjustRightInd w:val="0"/>
        <w:snapToGrid w:val="0"/>
        <w:spacing w:line="360" w:lineRule="auto"/>
        <w:ind w:left="645" w:leftChars="307"/>
        <w:jc w:val="left"/>
        <w:rPr>
          <w:rFonts w:hint="default" w:eastAsia="宋体"/>
          <w:b/>
          <w:color w:val="auto"/>
          <w:sz w:val="32"/>
          <w:szCs w:val="32"/>
          <w:highlight w:val="none"/>
          <w:lang w:val="en-US" w:eastAsia="zh-CN"/>
        </w:rPr>
      </w:pPr>
      <w:r>
        <w:rPr>
          <w:rFonts w:hint="eastAsia"/>
          <w:b/>
          <w:color w:val="auto"/>
          <w:sz w:val="32"/>
          <w:szCs w:val="32"/>
          <w:highlight w:val="none"/>
        </w:rPr>
        <w:t>采购计划编号：</w:t>
      </w:r>
      <w:r>
        <w:rPr>
          <w:rFonts w:hint="eastAsia"/>
          <w:b/>
          <w:color w:val="auto"/>
          <w:sz w:val="32"/>
          <w:szCs w:val="32"/>
          <w:highlight w:val="none"/>
          <w:lang w:val="en-US" w:eastAsia="zh-CN"/>
        </w:rPr>
        <w:t xml:space="preserve"> </w:t>
      </w:r>
      <w:r>
        <w:rPr>
          <w:rFonts w:hint="eastAsia" w:ascii="Times New Roman" w:eastAsia="宋体"/>
          <w:b/>
          <w:color w:val="auto"/>
          <w:sz w:val="32"/>
          <w:szCs w:val="32"/>
          <w:highlight w:val="none"/>
          <w:lang w:val="en-US" w:eastAsia="zh-CN"/>
        </w:rPr>
        <w:t xml:space="preserve">(2026)431000000289-1 </w:t>
      </w:r>
      <w:r>
        <w:rPr>
          <w:rFonts w:hint="eastAsia"/>
          <w:b/>
          <w:color w:val="auto"/>
          <w:sz w:val="32"/>
          <w:szCs w:val="32"/>
          <w:highlight w:val="none"/>
          <w:lang w:val="en-US" w:eastAsia="zh-CN"/>
        </w:rPr>
        <w:t xml:space="preserve">  </w:t>
      </w:r>
      <w:r>
        <w:rPr>
          <w:rFonts w:hint="eastAsia"/>
          <w:b/>
          <w:color w:val="auto"/>
          <w:sz w:val="32"/>
          <w:szCs w:val="32"/>
          <w:highlight w:val="none"/>
          <w:lang w:val="en-US" w:eastAsia="zh-CN"/>
        </w:rPr>
        <w:t xml:space="preserve">    </w:t>
      </w:r>
    </w:p>
    <w:p w14:paraId="6E3EDE37">
      <w:pPr>
        <w:pStyle w:val="12"/>
        <w:adjustRightInd w:val="0"/>
        <w:snapToGrid w:val="0"/>
        <w:spacing w:line="360" w:lineRule="auto"/>
        <w:ind w:left="645" w:leftChars="307"/>
        <w:jc w:val="left"/>
        <w:rPr>
          <w:rFonts w:hint="eastAsia" w:eastAsia="宋体"/>
          <w:b/>
          <w:color w:val="auto"/>
          <w:sz w:val="32"/>
          <w:szCs w:val="32"/>
          <w:highlight w:val="none"/>
          <w:lang w:eastAsia="zh-CN"/>
        </w:rPr>
      </w:pPr>
      <w:r>
        <w:rPr>
          <w:rFonts w:hint="eastAsia"/>
          <w:b/>
          <w:color w:val="auto"/>
          <w:sz w:val="32"/>
          <w:szCs w:val="32"/>
          <w:highlight w:val="none"/>
        </w:rPr>
        <w:t>采购代理编号:</w:t>
      </w:r>
      <w:bookmarkStart w:id="0" w:name="PO_T_AGENTNO"/>
      <w:bookmarkEnd w:id="0"/>
      <w:r>
        <w:rPr>
          <w:rFonts w:hint="eastAsia"/>
          <w:b/>
          <w:color w:val="auto"/>
          <w:sz w:val="32"/>
          <w:szCs w:val="32"/>
          <w:highlight w:val="none"/>
          <w:lang w:eastAsia="zh-CN"/>
        </w:rPr>
        <w:t>HNXXZC2026-CZ-038</w:t>
      </w:r>
    </w:p>
    <w:p w14:paraId="4D30A68D">
      <w:pPr>
        <w:pStyle w:val="12"/>
        <w:adjustRightInd w:val="0"/>
        <w:snapToGrid w:val="0"/>
        <w:spacing w:line="360" w:lineRule="auto"/>
        <w:ind w:left="645" w:leftChars="307"/>
        <w:jc w:val="left"/>
        <w:rPr>
          <w:b/>
          <w:color w:val="auto"/>
          <w:sz w:val="32"/>
          <w:szCs w:val="32"/>
          <w:highlight w:val="none"/>
        </w:rPr>
      </w:pPr>
      <w:r>
        <w:rPr>
          <w:rFonts w:hint="eastAsia"/>
          <w:b/>
          <w:color w:val="auto"/>
          <w:sz w:val="32"/>
          <w:szCs w:val="32"/>
          <w:highlight w:val="none"/>
        </w:rPr>
        <w:t xml:space="preserve">采 购 单 位：郴州市林业科学研究所 </w:t>
      </w:r>
    </w:p>
    <w:p w14:paraId="4AB64741">
      <w:pPr>
        <w:pStyle w:val="12"/>
        <w:adjustRightInd w:val="0"/>
        <w:snapToGrid w:val="0"/>
        <w:spacing w:line="360" w:lineRule="auto"/>
        <w:ind w:left="645" w:leftChars="307"/>
        <w:jc w:val="left"/>
        <w:rPr>
          <w:b/>
          <w:color w:val="auto"/>
          <w:sz w:val="32"/>
          <w:szCs w:val="32"/>
          <w:highlight w:val="none"/>
        </w:rPr>
      </w:pPr>
      <w:r>
        <w:rPr>
          <w:rFonts w:hint="eastAsia"/>
          <w:b/>
          <w:color w:val="auto"/>
          <w:sz w:val="32"/>
          <w:szCs w:val="32"/>
          <w:highlight w:val="none"/>
        </w:rPr>
        <w:t>采购代理机构：</w:t>
      </w:r>
      <w:r>
        <w:rPr>
          <w:rFonts w:hint="eastAsia"/>
          <w:b/>
          <w:color w:val="auto"/>
          <w:sz w:val="32"/>
          <w:szCs w:val="32"/>
          <w:highlight w:val="none"/>
          <w:lang w:eastAsia="zh-CN"/>
        </w:rPr>
        <w:t>湖南新星项目管理有限公司</w:t>
      </w:r>
      <w:r>
        <w:rPr>
          <w:rFonts w:hint="eastAsia"/>
          <w:b/>
          <w:color w:val="auto"/>
          <w:sz w:val="32"/>
          <w:szCs w:val="32"/>
          <w:highlight w:val="none"/>
        </w:rPr>
        <w:t xml:space="preserve"> </w:t>
      </w:r>
    </w:p>
    <w:p w14:paraId="73AE3865">
      <w:pPr>
        <w:pStyle w:val="12"/>
        <w:adjustRightInd w:val="0"/>
        <w:snapToGrid w:val="0"/>
        <w:spacing w:line="360" w:lineRule="auto"/>
        <w:ind w:left="645" w:leftChars="307"/>
        <w:jc w:val="center"/>
        <w:rPr>
          <w:b/>
          <w:color w:val="auto"/>
          <w:sz w:val="32"/>
          <w:szCs w:val="32"/>
          <w:highlight w:val="none"/>
        </w:rPr>
      </w:pPr>
    </w:p>
    <w:p w14:paraId="420036FE">
      <w:pPr>
        <w:pStyle w:val="12"/>
        <w:adjustRightInd w:val="0"/>
        <w:snapToGrid w:val="0"/>
        <w:spacing w:line="360" w:lineRule="auto"/>
        <w:ind w:left="645" w:leftChars="307"/>
        <w:jc w:val="center"/>
        <w:rPr>
          <w:b/>
          <w:color w:val="auto"/>
          <w:sz w:val="32"/>
          <w:szCs w:val="32"/>
          <w:highlight w:val="none"/>
        </w:rPr>
      </w:pPr>
    </w:p>
    <w:p w14:paraId="35DBE00F">
      <w:pPr>
        <w:pStyle w:val="12"/>
        <w:adjustRightInd w:val="0"/>
        <w:snapToGrid w:val="0"/>
        <w:spacing w:line="360" w:lineRule="auto"/>
        <w:jc w:val="center"/>
        <w:rPr>
          <w:rFonts w:ascii="仿宋_GB2312" w:hAnsi="宋体" w:eastAsia="仿宋_GB2312"/>
          <w:b/>
          <w:color w:val="auto"/>
          <w:sz w:val="32"/>
          <w:highlight w:val="none"/>
        </w:rPr>
      </w:pPr>
    </w:p>
    <w:p w14:paraId="4B99838C">
      <w:pPr>
        <w:pStyle w:val="12"/>
        <w:adjustRightInd w:val="0"/>
        <w:snapToGrid w:val="0"/>
        <w:spacing w:line="360" w:lineRule="auto"/>
        <w:jc w:val="center"/>
        <w:rPr>
          <w:rStyle w:val="29"/>
          <w:b/>
          <w:color w:val="auto"/>
          <w:sz w:val="36"/>
          <w:szCs w:val="36"/>
          <w:highlight w:val="none"/>
        </w:rPr>
      </w:pPr>
      <w:r>
        <w:rPr>
          <w:rFonts w:hint="eastAsia" w:hAnsi="宋体"/>
          <w:b/>
          <w:color w:val="auto"/>
          <w:sz w:val="32"/>
          <w:highlight w:val="none"/>
          <w:u w:val="single"/>
        </w:rPr>
        <w:t>202</w:t>
      </w:r>
      <w:r>
        <w:rPr>
          <w:rFonts w:hint="eastAsia" w:hAnsi="宋体"/>
          <w:b/>
          <w:color w:val="auto"/>
          <w:sz w:val="32"/>
          <w:highlight w:val="none"/>
          <w:u w:val="single"/>
          <w:lang w:val="en-US" w:eastAsia="zh-CN"/>
        </w:rPr>
        <w:t>6</w:t>
      </w:r>
      <w:r>
        <w:rPr>
          <w:rFonts w:hint="eastAsia" w:hAnsi="宋体"/>
          <w:b/>
          <w:color w:val="auto"/>
          <w:sz w:val="32"/>
          <w:highlight w:val="none"/>
          <w:u w:val="single"/>
        </w:rPr>
        <w:t>年</w:t>
      </w:r>
      <w:r>
        <w:rPr>
          <w:rFonts w:hint="eastAsia" w:hAnsi="宋体"/>
          <w:b/>
          <w:color w:val="auto"/>
          <w:sz w:val="32"/>
          <w:highlight w:val="none"/>
          <w:u w:val="single"/>
          <w:lang w:val="en-US" w:eastAsia="zh-CN"/>
        </w:rPr>
        <w:t>10</w:t>
      </w:r>
      <w:r>
        <w:rPr>
          <w:rFonts w:hint="eastAsia" w:hAnsi="宋体"/>
          <w:b/>
          <w:color w:val="auto"/>
          <w:sz w:val="32"/>
          <w:highlight w:val="none"/>
          <w:u w:val="single"/>
        </w:rPr>
        <w:t>月</w:t>
      </w:r>
      <w:r>
        <w:rPr>
          <w:rStyle w:val="29"/>
          <w:b/>
          <w:color w:val="auto"/>
          <w:sz w:val="36"/>
          <w:szCs w:val="36"/>
          <w:highlight w:val="none"/>
        </w:rPr>
        <w:br w:type="page"/>
      </w:r>
    </w:p>
    <w:p w14:paraId="5E6AD26A">
      <w:pPr>
        <w:spacing w:line="360" w:lineRule="auto"/>
        <w:jc w:val="center"/>
        <w:rPr>
          <w:rFonts w:ascii="宋体" w:hAnsi="宋体" w:cs="宋体"/>
          <w:color w:val="auto"/>
          <w:sz w:val="30"/>
          <w:szCs w:val="30"/>
          <w:highlight w:val="none"/>
        </w:rPr>
      </w:pPr>
      <w:r>
        <w:rPr>
          <w:rFonts w:hint="eastAsia" w:ascii="宋体" w:hAnsi="宋体" w:cs="宋体"/>
          <w:color w:val="auto"/>
          <w:sz w:val="30"/>
          <w:szCs w:val="30"/>
          <w:highlight w:val="none"/>
        </w:rPr>
        <w:t>电子非标的相关规定</w:t>
      </w:r>
    </w:p>
    <w:p w14:paraId="62A6B69C">
      <w:pPr>
        <w:spacing w:line="360" w:lineRule="auto"/>
        <w:ind w:firstLine="420" w:firstLineChars="200"/>
        <w:rPr>
          <w:rFonts w:ascii="宋体" w:hAnsi="宋体" w:cs="宋体"/>
          <w:color w:val="auto"/>
          <w:szCs w:val="21"/>
          <w:highlight w:val="none"/>
        </w:rPr>
      </w:pPr>
    </w:p>
    <w:p w14:paraId="4EEF7DFE">
      <w:pPr>
        <w:numPr>
          <w:ilvl w:val="0"/>
          <w:numId w:val="1"/>
        </w:num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本项目采用电子非标方式，磋商文件的下载、上传、解密、开标、评审、视频磋商均通过互联网操作，电子磋商文件免费提供。</w:t>
      </w:r>
    </w:p>
    <w:p w14:paraId="6943B098">
      <w:pPr>
        <w:numPr>
          <w:ilvl w:val="0"/>
          <w:numId w:val="1"/>
        </w:numPr>
        <w:tabs>
          <w:tab w:val="left" w:pos="3500"/>
        </w:tabs>
        <w:autoSpaceDE w:val="0"/>
        <w:autoSpaceDN w:val="0"/>
        <w:adjustRightInd w:val="0"/>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本项目采购信息</w:t>
      </w:r>
      <w:r>
        <w:rPr>
          <w:rFonts w:hint="eastAsia" w:ascii="宋体" w:hAnsi="宋体" w:cs="宋体"/>
          <w:color w:val="auto"/>
          <w:szCs w:val="21"/>
          <w:highlight w:val="none"/>
        </w:rPr>
        <w:t>在中国政府采购网（http://www.ccgp.gov.cn/）、郴州市公共资源交易中心网（网址：</w:t>
      </w:r>
      <w:r>
        <w:rPr>
          <w:color w:val="auto"/>
          <w:highlight w:val="none"/>
        </w:rPr>
        <w:fldChar w:fldCharType="begin"/>
      </w:r>
      <w:r>
        <w:rPr>
          <w:color w:val="auto"/>
          <w:highlight w:val="none"/>
        </w:rPr>
        <w:instrText xml:space="preserve"> HYPERLINK "http://czggzy.czs.gov.cn/）m" </w:instrText>
      </w:r>
      <w:r>
        <w:rPr>
          <w:color w:val="auto"/>
          <w:highlight w:val="none"/>
        </w:rPr>
        <w:fldChar w:fldCharType="separate"/>
      </w:r>
      <w:r>
        <w:rPr>
          <w:rStyle w:val="33"/>
          <w:rFonts w:hint="eastAsia" w:ascii="宋体" w:hAnsi="宋体" w:cs="宋体"/>
          <w:color w:val="auto"/>
          <w:szCs w:val="21"/>
          <w:highlight w:val="none"/>
        </w:rPr>
        <w:t>http://czggzy.czs.gov.cn/）</w:t>
      </w:r>
      <w:r>
        <w:rPr>
          <w:rStyle w:val="33"/>
          <w:rFonts w:hint="eastAsia" w:ascii="宋体" w:hAnsi="宋体" w:cs="宋体"/>
          <w:color w:val="auto"/>
          <w:szCs w:val="21"/>
          <w:highlight w:val="none"/>
        </w:rPr>
        <w:fldChar w:fldCharType="end"/>
      </w:r>
      <w:r>
        <w:rPr>
          <w:rFonts w:hint="eastAsia" w:ascii="宋体" w:hAnsi="宋体" w:cs="宋体"/>
          <w:color w:val="auto"/>
          <w:szCs w:val="21"/>
          <w:highlight w:val="none"/>
        </w:rPr>
        <w:t>同时发布。供应商应仔细阅读本磋商文件第二章《磋商须知》，并在郴州市公共资源交易中心网“下载中心”下载“政府采购电子标操作手册”进行学习，供应商使用电子标遇到问题时，请及时向交易平台客服咨询，联系方式：</w:t>
      </w:r>
      <w:r>
        <w:rPr>
          <w:rFonts w:hint="eastAsia" w:ascii="宋体" w:hAnsi="宋体" w:cs="宋体"/>
          <w:color w:val="auto"/>
          <w:highlight w:val="none"/>
        </w:rPr>
        <w:t>平台客服电话400-112-9919，客服QQ800182906@qq.com</w:t>
      </w:r>
      <w:r>
        <w:rPr>
          <w:rFonts w:hint="eastAsia" w:ascii="宋体" w:hAnsi="宋体" w:cs="宋体"/>
          <w:color w:val="auto"/>
          <w:szCs w:val="21"/>
          <w:highlight w:val="none"/>
        </w:rPr>
        <w:t>。</w:t>
      </w:r>
    </w:p>
    <w:p w14:paraId="17CFB534">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三、供应商应在本项目获取磋商文件截止时间前登录湖南省公共资源交易统一注册平台（网址：</w:t>
      </w:r>
      <w:r>
        <w:rPr>
          <w:color w:val="auto"/>
          <w:highlight w:val="none"/>
        </w:rPr>
        <w:fldChar w:fldCharType="begin"/>
      </w:r>
      <w:r>
        <w:rPr>
          <w:color w:val="auto"/>
          <w:highlight w:val="none"/>
        </w:rPr>
        <w:instrText xml:space="preserve"> HYPERLINK "http://222.240.80.14:8888/G2/register!verification.do?systemId=4028c7b35a8cfff2015a8df8bba001fc）k" </w:instrText>
      </w:r>
      <w:r>
        <w:rPr>
          <w:color w:val="auto"/>
          <w:highlight w:val="none"/>
        </w:rPr>
        <w:fldChar w:fldCharType="separate"/>
      </w:r>
      <w:r>
        <w:rPr>
          <w:rStyle w:val="33"/>
          <w:rFonts w:hint="eastAsia" w:ascii="宋体" w:hAnsi="宋体" w:cs="宋体"/>
          <w:color w:val="auto"/>
          <w:szCs w:val="21"/>
          <w:highlight w:val="none"/>
        </w:rPr>
        <w:t>http://222.240.80.14:8888/G2/register!verification.do?systemId=4028c7b35a8cfff2015a8df8bba001fc）</w:t>
      </w:r>
      <w:r>
        <w:rPr>
          <w:rStyle w:val="33"/>
          <w:rFonts w:hint="eastAsia" w:ascii="宋体" w:hAnsi="宋体" w:cs="宋体"/>
          <w:color w:val="auto"/>
          <w:szCs w:val="21"/>
          <w:highlight w:val="none"/>
        </w:rPr>
        <w:fldChar w:fldCharType="end"/>
      </w:r>
      <w:r>
        <w:rPr>
          <w:rFonts w:hint="eastAsia" w:ascii="宋体" w:hAnsi="宋体" w:cs="宋体"/>
          <w:color w:val="auto"/>
          <w:szCs w:val="21"/>
          <w:highlight w:val="none"/>
        </w:rPr>
        <w:t>中进行账号注册和数字证书申请。</w:t>
      </w:r>
    </w:p>
    <w:p w14:paraId="1592F34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四、</w:t>
      </w:r>
      <w:r>
        <w:rPr>
          <w:rFonts w:hint="eastAsia" w:ascii="宋体" w:hAnsi="宋体" w:cs="宋体"/>
          <w:bCs/>
          <w:color w:val="auto"/>
          <w:szCs w:val="21"/>
          <w:highlight w:val="none"/>
        </w:rPr>
        <w:t>首次响应文件的递交方式：供应商应在本项目获取磋商文件截止时间前登录</w:t>
      </w:r>
      <w:r>
        <w:rPr>
          <w:rFonts w:hint="eastAsia" w:ascii="宋体" w:hAnsi="宋体" w:cs="宋体"/>
          <w:color w:val="auto"/>
          <w:szCs w:val="21"/>
          <w:highlight w:val="none"/>
        </w:rPr>
        <w:t>郴州市政府采购（非标）电子交易平台（网址：</w:t>
      </w:r>
      <w:r>
        <w:rPr>
          <w:color w:val="auto"/>
          <w:highlight w:val="none"/>
        </w:rPr>
        <w:fldChar w:fldCharType="begin"/>
      </w:r>
      <w:r>
        <w:rPr>
          <w:color w:val="auto"/>
          <w:highlight w:val="none"/>
        </w:rPr>
        <w:instrText xml:space="preserve"> HYPERLINK "http://cz.hbncp.com.cn/#/）免费获取及下载电子磋商文件。" </w:instrText>
      </w:r>
      <w:r>
        <w:rPr>
          <w:color w:val="auto"/>
          <w:highlight w:val="none"/>
        </w:rPr>
        <w:fldChar w:fldCharType="separate"/>
      </w:r>
      <w:r>
        <w:rPr>
          <w:rStyle w:val="33"/>
          <w:rFonts w:hint="eastAsia" w:ascii="宋体" w:hAnsi="宋体" w:cs="宋体"/>
          <w:color w:val="auto"/>
          <w:szCs w:val="21"/>
          <w:highlight w:val="none"/>
        </w:rPr>
        <w:t>http://cz.hbncp.com.cn/#/）</w:t>
      </w:r>
      <w:r>
        <w:rPr>
          <w:rStyle w:val="33"/>
          <w:rFonts w:hint="eastAsia" w:ascii="宋体" w:hAnsi="宋体" w:cs="宋体"/>
          <w:color w:val="auto"/>
          <w:szCs w:val="21"/>
          <w:highlight w:val="none"/>
        </w:rPr>
        <w:fldChar w:fldCharType="end"/>
      </w:r>
      <w:r>
        <w:rPr>
          <w:rFonts w:hint="eastAsia" w:ascii="宋体" w:hAnsi="宋体" w:cs="宋体"/>
          <w:color w:val="auto"/>
          <w:szCs w:val="21"/>
          <w:highlight w:val="none"/>
        </w:rPr>
        <w:t>进行线上上传。</w:t>
      </w:r>
    </w:p>
    <w:p w14:paraId="6E728C98">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五、本项目实行全流程电子化，供应商应在规定时间内使用电脑自行远程解密开启文件，并参加网上开标活动。电子响应文件解密时限30分钟。请供应商确保响应文件如期解密。</w:t>
      </w:r>
    </w:p>
    <w:p w14:paraId="24E470C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六、为保证本项目的顺利进行，供应商应在投递页面填写本项目</w:t>
      </w:r>
      <w:r>
        <w:rPr>
          <w:rFonts w:hint="eastAsia" w:ascii="宋体" w:hAnsi="宋体" w:cs="宋体"/>
          <w:color w:val="auto"/>
          <w:kern w:val="0"/>
          <w:szCs w:val="21"/>
          <w:highlight w:val="none"/>
        </w:rPr>
        <w:t>磋商的代表（法定代表人或授权代表人）</w:t>
      </w:r>
      <w:r>
        <w:rPr>
          <w:rFonts w:hint="eastAsia" w:ascii="宋体" w:hAnsi="宋体" w:cs="宋体"/>
          <w:color w:val="auto"/>
          <w:szCs w:val="21"/>
          <w:highlight w:val="none"/>
        </w:rPr>
        <w:t>的手机号码，以便顺利进行视频会议邀请通知。如果资格审查符合性审查均满足磋商文件规定，将在视频邀请磋商之前，提前用系统机器人电话通知供应商准备视频会议（0371-56843608默认拨打注册手机号），供应商应及时接听，以免错过视频会议。</w:t>
      </w:r>
      <w:r>
        <w:rPr>
          <w:rFonts w:hint="eastAsia" w:ascii="宋体" w:hAnsi="宋体" w:cs="宋体"/>
          <w:color w:val="auto"/>
          <w:kern w:val="0"/>
          <w:szCs w:val="21"/>
          <w:highlight w:val="none"/>
        </w:rPr>
        <w:t>若参与磋商的代表（法定代表人或授权代表人）身边没有电脑，或者电脑不具备摄像头、麦克风等视频条件时，可以选择使用微信小程序。详见</w:t>
      </w:r>
      <w:r>
        <w:rPr>
          <w:rFonts w:hint="eastAsia" w:ascii="宋体" w:hAnsi="宋体" w:cs="宋体"/>
          <w:color w:val="auto"/>
          <w:szCs w:val="21"/>
          <w:highlight w:val="none"/>
        </w:rPr>
        <w:t>本磋商文件第二章《磋商须知》第24条款。</w:t>
      </w:r>
    </w:p>
    <w:p w14:paraId="08B2D55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七、</w:t>
      </w:r>
      <w:r>
        <w:rPr>
          <w:rFonts w:hint="eastAsia" w:ascii="宋体" w:hAnsi="宋体" w:cs="宋体"/>
          <w:color w:val="auto"/>
          <w:kern w:val="0"/>
          <w:szCs w:val="21"/>
          <w:highlight w:val="none"/>
        </w:rPr>
        <w:t>首次磋商用户可以拨打客服帮助电话400-112-9919或添加QQ800182906好友预约一对一的开标陪护。</w:t>
      </w:r>
    </w:p>
    <w:p w14:paraId="6BADB4FD">
      <w:pPr>
        <w:rPr>
          <w:rStyle w:val="29"/>
          <w:b/>
          <w:color w:val="auto"/>
          <w:sz w:val="36"/>
          <w:szCs w:val="36"/>
          <w:highlight w:val="none"/>
        </w:rPr>
      </w:pPr>
      <w:r>
        <w:rPr>
          <w:rStyle w:val="29"/>
          <w:b/>
          <w:color w:val="auto"/>
          <w:sz w:val="36"/>
          <w:szCs w:val="36"/>
          <w:highlight w:val="none"/>
        </w:rPr>
        <w:br w:type="page"/>
      </w:r>
    </w:p>
    <w:p w14:paraId="35DFE214">
      <w:pPr>
        <w:pStyle w:val="35"/>
        <w:rPr>
          <w:color w:val="auto"/>
          <w:highlight w:val="none"/>
        </w:rPr>
      </w:pPr>
    </w:p>
    <w:p w14:paraId="0C1F8CD7">
      <w:pPr>
        <w:ind w:firstLine="4500" w:firstLineChars="1245"/>
        <w:rPr>
          <w:rStyle w:val="29"/>
          <w:b/>
          <w:color w:val="auto"/>
          <w:sz w:val="36"/>
          <w:szCs w:val="36"/>
          <w:highlight w:val="none"/>
        </w:rPr>
      </w:pPr>
      <w:r>
        <w:rPr>
          <w:rStyle w:val="29"/>
          <w:b/>
          <w:color w:val="auto"/>
          <w:sz w:val="36"/>
          <w:szCs w:val="36"/>
          <w:highlight w:val="none"/>
        </w:rPr>
        <w:t>目   录</w:t>
      </w:r>
    </w:p>
    <w:p w14:paraId="0E186BE1">
      <w:pPr>
        <w:jc w:val="left"/>
        <w:rPr>
          <w:color w:val="auto"/>
          <w:highlight w:val="none"/>
        </w:rPr>
      </w:pPr>
    </w:p>
    <w:sdt>
      <w:sdtPr>
        <w:rPr>
          <w:rFonts w:ascii="宋体" w:hAnsi="宋体"/>
          <w:color w:val="auto"/>
          <w:highlight w:val="none"/>
        </w:rPr>
        <w:id w:val="147465100"/>
        <w:docPartObj>
          <w:docPartGallery w:val="Table of Contents"/>
          <w:docPartUnique/>
        </w:docPartObj>
      </w:sdtPr>
      <w:sdtEndPr>
        <w:rPr>
          <w:rFonts w:ascii="Times New Roman" w:hAnsi="Times New Roman"/>
          <w:color w:val="auto"/>
          <w:szCs w:val="21"/>
          <w:highlight w:val="none"/>
        </w:rPr>
      </w:sdtEndPr>
      <w:sdtContent>
        <w:p w14:paraId="1F1BAF76">
          <w:pPr>
            <w:jc w:val="center"/>
            <w:rPr>
              <w:color w:val="auto"/>
              <w:highlight w:val="none"/>
            </w:rPr>
          </w:pPr>
        </w:p>
        <w:p w14:paraId="0B963D1A">
          <w:pPr>
            <w:pStyle w:val="17"/>
            <w:tabs>
              <w:tab w:val="right" w:leader="dot" w:pos="9040"/>
            </w:tabs>
            <w:adjustRightInd w:val="0"/>
            <w:snapToGrid w:val="0"/>
            <w:spacing w:line="360" w:lineRule="auto"/>
            <w:rPr>
              <w:rFonts w:ascii="宋体" w:hAnsi="宋体" w:cs="宋体"/>
              <w:color w:val="auto"/>
              <w:highlight w:val="none"/>
            </w:rPr>
          </w:pPr>
          <w:r>
            <w:rPr>
              <w:rFonts w:hint="eastAsia" w:ascii="宋体" w:hAnsi="宋体" w:cs="宋体"/>
              <w:color w:val="auto"/>
              <w:highlight w:val="none"/>
            </w:rPr>
            <w:fldChar w:fldCharType="begin"/>
          </w:r>
          <w:r>
            <w:rPr>
              <w:rFonts w:hint="eastAsia" w:ascii="宋体" w:hAnsi="宋体" w:cs="宋体"/>
              <w:color w:val="auto"/>
              <w:highlight w:val="none"/>
            </w:rPr>
            <w:instrText xml:space="preserve">TOC \o "1-3" \h \u </w:instrText>
          </w:r>
          <w:r>
            <w:rPr>
              <w:rFonts w:hint="eastAsia" w:ascii="宋体" w:hAnsi="宋体" w:cs="宋体"/>
              <w:color w:val="auto"/>
              <w:highlight w:val="none"/>
            </w:rPr>
            <w:fldChar w:fldCharType="separate"/>
          </w:r>
          <w:r>
            <w:rPr>
              <w:color w:val="auto"/>
              <w:highlight w:val="none"/>
            </w:rPr>
            <w:fldChar w:fldCharType="begin"/>
          </w:r>
          <w:r>
            <w:rPr>
              <w:color w:val="auto"/>
              <w:highlight w:val="none"/>
            </w:rPr>
            <w:instrText xml:space="preserve"> HYPERLINK \l "_Toc29172" </w:instrText>
          </w:r>
          <w:r>
            <w:rPr>
              <w:color w:val="auto"/>
              <w:highlight w:val="none"/>
            </w:rPr>
            <w:fldChar w:fldCharType="separate"/>
          </w:r>
          <w:r>
            <w:rPr>
              <w:rFonts w:hint="eastAsia" w:ascii="宋体" w:hAnsi="宋体" w:cs="宋体"/>
              <w:color w:val="auto"/>
              <w:szCs w:val="32"/>
              <w:highlight w:val="none"/>
            </w:rPr>
            <w:t xml:space="preserve">第一章 </w:t>
          </w:r>
          <w:r>
            <w:rPr>
              <w:rFonts w:hint="eastAsia" w:ascii="宋体" w:hAnsi="宋体" w:cs="宋体"/>
              <w:bCs/>
              <w:color w:val="auto"/>
              <w:szCs w:val="32"/>
              <w:highlight w:val="none"/>
            </w:rPr>
            <w:t>磋商邀请公告</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_Toc29172 \h </w:instrText>
          </w:r>
          <w:r>
            <w:rPr>
              <w:rFonts w:hint="eastAsia" w:ascii="宋体" w:hAnsi="宋体" w:cs="宋体"/>
              <w:color w:val="auto"/>
              <w:highlight w:val="none"/>
            </w:rPr>
            <w:fldChar w:fldCharType="separate"/>
          </w:r>
          <w:r>
            <w:rPr>
              <w:rFonts w:hint="eastAsia" w:ascii="宋体" w:hAnsi="宋体" w:cs="宋体"/>
              <w:color w:val="auto"/>
              <w:highlight w:val="none"/>
            </w:rPr>
            <w:t>- 4 -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E039ED5">
          <w:pPr>
            <w:pStyle w:val="19"/>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"_Toc16876" </w:instrText>
          </w:r>
          <w:r>
            <w:rPr>
              <w:color w:val="auto"/>
              <w:highlight w:val="none"/>
            </w:rPr>
            <w:fldChar w:fldCharType="separate"/>
          </w:r>
          <w:r>
            <w:rPr>
              <w:rFonts w:hint="eastAsia" w:ascii="宋体" w:hAnsi="宋体" w:cs="宋体"/>
              <w:color w:val="auto"/>
              <w:highlight w:val="none"/>
            </w:rPr>
            <w:t>四、供应商的资格要求</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_Toc16876 \h </w:instrText>
          </w:r>
          <w:r>
            <w:rPr>
              <w:rFonts w:hint="eastAsia" w:ascii="宋体" w:hAnsi="宋体" w:cs="宋体"/>
              <w:color w:val="auto"/>
              <w:highlight w:val="none"/>
            </w:rPr>
            <w:fldChar w:fldCharType="separate"/>
          </w:r>
          <w:r>
            <w:rPr>
              <w:rFonts w:hint="eastAsia" w:ascii="宋体" w:hAnsi="宋体" w:cs="宋体"/>
              <w:color w:val="auto"/>
              <w:highlight w:val="none"/>
            </w:rPr>
            <w:t>- 4 -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5EBB30E">
          <w:pPr>
            <w:pStyle w:val="19"/>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"_Toc6008" </w:instrText>
          </w:r>
          <w:r>
            <w:rPr>
              <w:color w:val="auto"/>
              <w:highlight w:val="none"/>
            </w:rPr>
            <w:fldChar w:fldCharType="separate"/>
          </w:r>
          <w:r>
            <w:rPr>
              <w:rFonts w:hint="eastAsia" w:ascii="宋体" w:hAnsi="宋体" w:cs="宋体"/>
              <w:color w:val="auto"/>
              <w:highlight w:val="none"/>
            </w:rPr>
            <w:t>五、获取磋商文件的时间、地点及方式</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_Toc6008 \h </w:instrText>
          </w:r>
          <w:r>
            <w:rPr>
              <w:rFonts w:hint="eastAsia" w:ascii="宋体" w:hAnsi="宋体" w:cs="宋体"/>
              <w:color w:val="auto"/>
              <w:highlight w:val="none"/>
            </w:rPr>
            <w:fldChar w:fldCharType="separate"/>
          </w:r>
          <w:r>
            <w:rPr>
              <w:rFonts w:hint="eastAsia" w:ascii="宋体" w:hAnsi="宋体" w:cs="宋体"/>
              <w:color w:val="auto"/>
              <w:highlight w:val="none"/>
            </w:rPr>
            <w:t>- 5 -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32107ECB">
          <w:pPr>
            <w:pStyle w:val="19"/>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"_Toc23143" </w:instrText>
          </w:r>
          <w:r>
            <w:rPr>
              <w:color w:val="auto"/>
              <w:highlight w:val="none"/>
            </w:rPr>
            <w:fldChar w:fldCharType="separate"/>
          </w:r>
          <w:r>
            <w:rPr>
              <w:rFonts w:hint="eastAsia" w:ascii="宋体" w:hAnsi="宋体" w:cs="宋体"/>
              <w:color w:val="auto"/>
              <w:highlight w:val="none"/>
            </w:rPr>
            <w:t>六、提交首次响应文件的截止时间、磋商时间及地点</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_Toc23143 \h </w:instrText>
          </w:r>
          <w:r>
            <w:rPr>
              <w:rFonts w:hint="eastAsia" w:ascii="宋体" w:hAnsi="宋体" w:cs="宋体"/>
              <w:color w:val="auto"/>
              <w:highlight w:val="none"/>
            </w:rPr>
            <w:fldChar w:fldCharType="separate"/>
          </w:r>
          <w:r>
            <w:rPr>
              <w:rFonts w:hint="eastAsia" w:ascii="宋体" w:hAnsi="宋体" w:cs="宋体"/>
              <w:color w:val="auto"/>
              <w:highlight w:val="none"/>
            </w:rPr>
            <w:t>- 5 -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40F278D">
          <w:pPr>
            <w:pStyle w:val="19"/>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"_Toc19218" </w:instrText>
          </w:r>
          <w:r>
            <w:rPr>
              <w:color w:val="auto"/>
              <w:highlight w:val="none"/>
            </w:rPr>
            <w:fldChar w:fldCharType="separate"/>
          </w:r>
          <w:r>
            <w:rPr>
              <w:rFonts w:hint="eastAsia" w:ascii="宋体" w:hAnsi="宋体" w:cs="宋体"/>
              <w:bCs/>
              <w:color w:val="auto"/>
              <w:szCs w:val="32"/>
              <w:highlight w:val="none"/>
            </w:rPr>
            <w:t>七、询问及质疑</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_Toc19218 \h </w:instrText>
          </w:r>
          <w:r>
            <w:rPr>
              <w:rFonts w:hint="eastAsia" w:ascii="宋体" w:hAnsi="宋体" w:cs="宋体"/>
              <w:color w:val="auto"/>
              <w:highlight w:val="none"/>
            </w:rPr>
            <w:fldChar w:fldCharType="separate"/>
          </w:r>
          <w:r>
            <w:rPr>
              <w:rFonts w:hint="eastAsia" w:ascii="宋体" w:hAnsi="宋体" w:cs="宋体"/>
              <w:color w:val="auto"/>
              <w:highlight w:val="none"/>
            </w:rPr>
            <w:t>- 6 -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F4BD5D3">
          <w:pPr>
            <w:pStyle w:val="19"/>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"_Toc30" </w:instrText>
          </w:r>
          <w:r>
            <w:rPr>
              <w:color w:val="auto"/>
              <w:highlight w:val="none"/>
            </w:rPr>
            <w:fldChar w:fldCharType="separate"/>
          </w:r>
          <w:r>
            <w:rPr>
              <w:rFonts w:hint="eastAsia" w:ascii="宋体" w:hAnsi="宋体" w:cs="宋体"/>
              <w:bCs/>
              <w:color w:val="auto"/>
              <w:szCs w:val="32"/>
              <w:highlight w:val="none"/>
            </w:rPr>
            <w:t>八、</w:t>
          </w:r>
          <w:r>
            <w:rPr>
              <w:rFonts w:hint="eastAsia" w:ascii="宋体" w:hAnsi="宋体" w:cs="宋体"/>
              <w:bCs/>
              <w:color w:val="auto"/>
              <w:szCs w:val="32"/>
              <w:highlight w:val="none"/>
              <w:lang w:val="en-US" w:eastAsia="zh-CN"/>
            </w:rPr>
            <w:t>公告期限</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_Toc19218 \h </w:instrText>
          </w:r>
          <w:r>
            <w:rPr>
              <w:rFonts w:hint="eastAsia" w:ascii="宋体" w:hAnsi="宋体" w:cs="宋体"/>
              <w:color w:val="auto"/>
              <w:highlight w:val="none"/>
            </w:rPr>
            <w:fldChar w:fldCharType="separate"/>
          </w:r>
          <w:r>
            <w:rPr>
              <w:rFonts w:hint="eastAsia" w:ascii="宋体" w:hAnsi="宋体" w:cs="宋体"/>
              <w:color w:val="auto"/>
              <w:highlight w:val="none"/>
            </w:rPr>
            <w:t>- 6 -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3160E88">
          <w:pPr>
            <w:pStyle w:val="19"/>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"_Toc29057" </w:instrText>
          </w:r>
          <w:r>
            <w:rPr>
              <w:color w:val="auto"/>
              <w:highlight w:val="none"/>
            </w:rPr>
            <w:fldChar w:fldCharType="separate"/>
          </w:r>
          <w:r>
            <w:rPr>
              <w:rFonts w:hint="eastAsia" w:ascii="宋体" w:hAnsi="宋体" w:cs="宋体"/>
              <w:color w:val="auto"/>
              <w:szCs w:val="21"/>
              <w:highlight w:val="none"/>
            </w:rPr>
            <w:t>2、供应商参与政府采购活动，无需向采购人、代理机构、交易平台缴纳任何费用。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_Toc29057 \h </w:instrText>
          </w:r>
          <w:r>
            <w:rPr>
              <w:rFonts w:hint="eastAsia" w:ascii="宋体" w:hAnsi="宋体" w:cs="宋体"/>
              <w:color w:val="auto"/>
              <w:highlight w:val="none"/>
            </w:rPr>
            <w:fldChar w:fldCharType="separate"/>
          </w:r>
          <w:r>
            <w:rPr>
              <w:rFonts w:hint="eastAsia" w:ascii="宋体" w:hAnsi="宋体" w:cs="宋体"/>
              <w:color w:val="auto"/>
              <w:highlight w:val="none"/>
            </w:rPr>
            <w:t>- 6 -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5EB3E53">
          <w:pPr>
            <w:pStyle w:val="19"/>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"_Toc15028" </w:instrText>
          </w:r>
          <w:r>
            <w:rPr>
              <w:color w:val="auto"/>
              <w:highlight w:val="none"/>
            </w:rPr>
            <w:fldChar w:fldCharType="separate"/>
          </w:r>
          <w:r>
            <w:rPr>
              <w:rFonts w:hint="eastAsia" w:ascii="宋体" w:hAnsi="宋体" w:cs="宋体"/>
              <w:bCs/>
              <w:color w:val="auto"/>
              <w:szCs w:val="32"/>
              <w:highlight w:val="none"/>
            </w:rPr>
            <w:t>九、</w:t>
          </w:r>
          <w:r>
            <w:rPr>
              <w:rFonts w:hint="eastAsia" w:ascii="宋体" w:hAnsi="宋体" w:cs="宋体"/>
              <w:bCs/>
              <w:color w:val="auto"/>
              <w:szCs w:val="21"/>
              <w:highlight w:val="none"/>
            </w:rPr>
            <w:t>采购项目联系人姓名和电话</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_Toc15028 \h </w:instrText>
          </w:r>
          <w:r>
            <w:rPr>
              <w:rFonts w:hint="eastAsia" w:ascii="宋体" w:hAnsi="宋体" w:cs="宋体"/>
              <w:color w:val="auto"/>
              <w:highlight w:val="none"/>
            </w:rPr>
            <w:fldChar w:fldCharType="separate"/>
          </w:r>
          <w:r>
            <w:rPr>
              <w:rFonts w:hint="eastAsia" w:ascii="宋体" w:hAnsi="宋体" w:cs="宋体"/>
              <w:color w:val="auto"/>
              <w:highlight w:val="none"/>
            </w:rPr>
            <w:t>- 6 -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412CD47">
          <w:pPr>
            <w:pStyle w:val="19"/>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"_Toc23097" </w:instrText>
          </w:r>
          <w:r>
            <w:rPr>
              <w:color w:val="auto"/>
              <w:highlight w:val="none"/>
            </w:rPr>
            <w:fldChar w:fldCharType="separate"/>
          </w:r>
          <w:r>
            <w:rPr>
              <w:rFonts w:hint="eastAsia" w:ascii="宋体" w:hAnsi="宋体" w:cs="宋体"/>
              <w:color w:val="auto"/>
              <w:highlight w:val="none"/>
            </w:rPr>
            <w:t>十、采购项目联系人姓名和电话</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_Toc19218 \h </w:instrText>
          </w:r>
          <w:r>
            <w:rPr>
              <w:rFonts w:hint="eastAsia" w:ascii="宋体" w:hAnsi="宋体" w:cs="宋体"/>
              <w:color w:val="auto"/>
              <w:highlight w:val="none"/>
            </w:rPr>
            <w:fldChar w:fldCharType="separate"/>
          </w:r>
          <w:r>
            <w:rPr>
              <w:rFonts w:hint="eastAsia" w:ascii="宋体" w:hAnsi="宋体" w:cs="宋体"/>
              <w:color w:val="auto"/>
              <w:highlight w:val="none"/>
            </w:rPr>
            <w:t>- 6 -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8E782FA">
          <w:pPr>
            <w:pStyle w:val="17"/>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"_Toc20668" </w:instrText>
          </w:r>
          <w:r>
            <w:rPr>
              <w:color w:val="auto"/>
              <w:highlight w:val="none"/>
            </w:rPr>
            <w:fldChar w:fldCharType="separate"/>
          </w:r>
          <w:r>
            <w:rPr>
              <w:rFonts w:hint="eastAsia" w:ascii="宋体" w:hAnsi="宋体" w:cs="宋体"/>
              <w:color w:val="auto"/>
              <w:szCs w:val="32"/>
              <w:highlight w:val="none"/>
            </w:rPr>
            <w:t xml:space="preserve">第二章 </w:t>
          </w:r>
          <w:r>
            <w:rPr>
              <w:rFonts w:hint="eastAsia" w:ascii="宋体" w:hAnsi="宋体" w:cs="宋体"/>
              <w:color w:val="auto"/>
              <w:szCs w:val="32"/>
              <w:highlight w:val="none"/>
              <w:lang w:eastAsia="zh-CN"/>
            </w:rPr>
            <w:t>磋商须知</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_Toc20668 \h </w:instrText>
          </w:r>
          <w:r>
            <w:rPr>
              <w:rFonts w:hint="eastAsia" w:ascii="宋体" w:hAnsi="宋体" w:cs="宋体"/>
              <w:color w:val="auto"/>
              <w:highlight w:val="none"/>
            </w:rPr>
            <w:fldChar w:fldCharType="separate"/>
          </w:r>
          <w:r>
            <w:rPr>
              <w:rFonts w:hint="eastAsia" w:ascii="宋体" w:hAnsi="宋体" w:cs="宋体"/>
              <w:color w:val="auto"/>
              <w:highlight w:val="none"/>
            </w:rPr>
            <w:t>- 8 -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12CFF99">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"_Toc23209" </w:instrText>
          </w:r>
          <w:r>
            <w:rPr>
              <w:color w:val="auto"/>
              <w:highlight w:val="none"/>
            </w:rPr>
            <w:fldChar w:fldCharType="separate"/>
          </w:r>
          <w:r>
            <w:rPr>
              <w:rFonts w:hint="eastAsia" w:ascii="宋体" w:hAnsi="宋体" w:cs="宋体"/>
              <w:bCs/>
              <w:color w:val="auto"/>
              <w:szCs w:val="28"/>
              <w:highlight w:val="none"/>
            </w:rPr>
            <w:t>一、说明</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_Toc23209 \h </w:instrText>
          </w:r>
          <w:r>
            <w:rPr>
              <w:rFonts w:hint="eastAsia" w:ascii="宋体" w:hAnsi="宋体" w:cs="宋体"/>
              <w:color w:val="auto"/>
              <w:highlight w:val="none"/>
            </w:rPr>
            <w:fldChar w:fldCharType="separate"/>
          </w:r>
          <w:r>
            <w:rPr>
              <w:rFonts w:hint="eastAsia" w:ascii="宋体" w:hAnsi="宋体" w:cs="宋体"/>
              <w:color w:val="auto"/>
              <w:highlight w:val="none"/>
            </w:rPr>
            <w:t>- 14 -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E0CB6BB">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"_Toc28274" </w:instrText>
          </w:r>
          <w:r>
            <w:rPr>
              <w:color w:val="auto"/>
              <w:highlight w:val="none"/>
            </w:rPr>
            <w:fldChar w:fldCharType="separate"/>
          </w:r>
          <w:r>
            <w:rPr>
              <w:rFonts w:hint="eastAsia" w:ascii="宋体" w:hAnsi="宋体" w:cs="宋体"/>
              <w:bCs/>
              <w:color w:val="auto"/>
              <w:szCs w:val="28"/>
              <w:highlight w:val="none"/>
            </w:rPr>
            <w:t>二、磋商文件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_Toc28274 \h </w:instrText>
          </w:r>
          <w:r>
            <w:rPr>
              <w:rFonts w:hint="eastAsia" w:ascii="宋体" w:hAnsi="宋体" w:cs="宋体"/>
              <w:color w:val="auto"/>
              <w:highlight w:val="none"/>
            </w:rPr>
            <w:fldChar w:fldCharType="separate"/>
          </w:r>
          <w:r>
            <w:rPr>
              <w:rFonts w:hint="eastAsia" w:ascii="宋体" w:hAnsi="宋体" w:cs="宋体"/>
              <w:color w:val="auto"/>
              <w:highlight w:val="none"/>
            </w:rPr>
            <w:t>- 14 -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09711EB0">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"_Toc28827" </w:instrText>
          </w:r>
          <w:r>
            <w:rPr>
              <w:color w:val="auto"/>
              <w:highlight w:val="none"/>
            </w:rPr>
            <w:fldChar w:fldCharType="separate"/>
          </w:r>
          <w:r>
            <w:rPr>
              <w:rFonts w:hint="eastAsia" w:ascii="宋体" w:hAnsi="宋体" w:cs="宋体"/>
              <w:bCs/>
              <w:color w:val="auto"/>
              <w:szCs w:val="28"/>
              <w:highlight w:val="none"/>
            </w:rPr>
            <w:t>三、响应文件</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_Toc28827 \h </w:instrText>
          </w:r>
          <w:r>
            <w:rPr>
              <w:rFonts w:hint="eastAsia" w:ascii="宋体" w:hAnsi="宋体" w:cs="宋体"/>
              <w:color w:val="auto"/>
              <w:highlight w:val="none"/>
            </w:rPr>
            <w:fldChar w:fldCharType="separate"/>
          </w:r>
          <w:r>
            <w:rPr>
              <w:rFonts w:hint="eastAsia" w:ascii="宋体" w:hAnsi="宋体" w:cs="宋体"/>
              <w:color w:val="auto"/>
              <w:highlight w:val="none"/>
            </w:rPr>
            <w:t>- 15 -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09E614F9">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"_Toc31494" </w:instrText>
          </w:r>
          <w:r>
            <w:rPr>
              <w:color w:val="auto"/>
              <w:highlight w:val="none"/>
            </w:rPr>
            <w:fldChar w:fldCharType="separate"/>
          </w:r>
          <w:r>
            <w:rPr>
              <w:rFonts w:hint="eastAsia" w:ascii="宋体" w:hAnsi="宋体" w:cs="宋体"/>
              <w:bCs/>
              <w:color w:val="auto"/>
              <w:szCs w:val="28"/>
              <w:highlight w:val="none"/>
            </w:rPr>
            <w:t>四、响应文件的递交</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_Toc31494 \h </w:instrText>
          </w:r>
          <w:r>
            <w:rPr>
              <w:rFonts w:hint="eastAsia" w:ascii="宋体" w:hAnsi="宋体" w:cs="宋体"/>
              <w:color w:val="auto"/>
              <w:highlight w:val="none"/>
            </w:rPr>
            <w:fldChar w:fldCharType="separate"/>
          </w:r>
          <w:r>
            <w:rPr>
              <w:rFonts w:hint="eastAsia" w:ascii="宋体" w:hAnsi="宋体" w:cs="宋体"/>
              <w:color w:val="auto"/>
              <w:highlight w:val="none"/>
            </w:rPr>
            <w:t>- 18 -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6BC8A76">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"_Toc3269" </w:instrText>
          </w:r>
          <w:r>
            <w:rPr>
              <w:color w:val="auto"/>
              <w:highlight w:val="none"/>
            </w:rPr>
            <w:fldChar w:fldCharType="separate"/>
          </w:r>
          <w:r>
            <w:rPr>
              <w:rFonts w:hint="eastAsia" w:ascii="宋体" w:hAnsi="宋体" w:cs="宋体"/>
              <w:bCs/>
              <w:color w:val="auto"/>
              <w:szCs w:val="28"/>
              <w:highlight w:val="none"/>
            </w:rPr>
            <w:t>五、响应文件的磋商与评审</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_Toc3269 \h </w:instrText>
          </w:r>
          <w:r>
            <w:rPr>
              <w:rFonts w:hint="eastAsia" w:ascii="宋体" w:hAnsi="宋体" w:cs="宋体"/>
              <w:color w:val="auto"/>
              <w:highlight w:val="none"/>
            </w:rPr>
            <w:fldChar w:fldCharType="separate"/>
          </w:r>
          <w:r>
            <w:rPr>
              <w:rFonts w:hint="eastAsia" w:ascii="宋体" w:hAnsi="宋体" w:cs="宋体"/>
              <w:color w:val="auto"/>
              <w:highlight w:val="none"/>
            </w:rPr>
            <w:t>- 19 -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C0063A2">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"_Toc22901" </w:instrText>
          </w:r>
          <w:r>
            <w:rPr>
              <w:color w:val="auto"/>
              <w:highlight w:val="none"/>
            </w:rPr>
            <w:fldChar w:fldCharType="separate"/>
          </w:r>
          <w:r>
            <w:rPr>
              <w:rFonts w:hint="eastAsia" w:ascii="宋体" w:hAnsi="宋体" w:cs="宋体"/>
              <w:bCs/>
              <w:color w:val="auto"/>
              <w:szCs w:val="28"/>
              <w:highlight w:val="none"/>
            </w:rPr>
            <w:t>六、成交结果信息公布与授予合同</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_Toc22901 \h </w:instrText>
          </w:r>
          <w:r>
            <w:rPr>
              <w:rFonts w:hint="eastAsia" w:ascii="宋体" w:hAnsi="宋体" w:cs="宋体"/>
              <w:color w:val="auto"/>
              <w:highlight w:val="none"/>
            </w:rPr>
            <w:fldChar w:fldCharType="separate"/>
          </w:r>
          <w:r>
            <w:rPr>
              <w:rFonts w:hint="eastAsia" w:ascii="宋体" w:hAnsi="宋体" w:cs="宋体"/>
              <w:color w:val="auto"/>
              <w:highlight w:val="none"/>
            </w:rPr>
            <w:t>- 25 -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115868BF">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"_Toc28363" </w:instrText>
          </w:r>
          <w:r>
            <w:rPr>
              <w:color w:val="auto"/>
              <w:highlight w:val="none"/>
            </w:rPr>
            <w:fldChar w:fldCharType="separate"/>
          </w:r>
          <w:r>
            <w:rPr>
              <w:rFonts w:hint="eastAsia" w:ascii="宋体" w:hAnsi="宋体" w:cs="宋体"/>
              <w:bCs/>
              <w:color w:val="auto"/>
              <w:szCs w:val="28"/>
              <w:highlight w:val="none"/>
            </w:rPr>
            <w:t>七、政府采购政策</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_Toc28363 \h </w:instrText>
          </w:r>
          <w:r>
            <w:rPr>
              <w:rFonts w:hint="eastAsia" w:ascii="宋体" w:hAnsi="宋体" w:cs="宋体"/>
              <w:color w:val="auto"/>
              <w:highlight w:val="none"/>
            </w:rPr>
            <w:fldChar w:fldCharType="separate"/>
          </w:r>
          <w:r>
            <w:rPr>
              <w:rFonts w:hint="eastAsia" w:ascii="宋体" w:hAnsi="宋体" w:cs="宋体"/>
              <w:color w:val="auto"/>
              <w:highlight w:val="none"/>
            </w:rPr>
            <w:t>- 26 -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258C25E">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"_Toc30988" </w:instrText>
          </w:r>
          <w:r>
            <w:rPr>
              <w:color w:val="auto"/>
              <w:highlight w:val="none"/>
            </w:rPr>
            <w:fldChar w:fldCharType="separate"/>
          </w:r>
          <w:r>
            <w:rPr>
              <w:rFonts w:hint="eastAsia" w:ascii="宋体" w:hAnsi="宋体" w:cs="宋体"/>
              <w:bCs/>
              <w:color w:val="auto"/>
              <w:szCs w:val="28"/>
              <w:highlight w:val="none"/>
            </w:rPr>
            <w:t>八、其他规定</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_Toc30988 \h </w:instrText>
          </w:r>
          <w:r>
            <w:rPr>
              <w:rFonts w:hint="eastAsia" w:ascii="宋体" w:hAnsi="宋体" w:cs="宋体"/>
              <w:color w:val="auto"/>
              <w:highlight w:val="none"/>
            </w:rPr>
            <w:fldChar w:fldCharType="separate"/>
          </w:r>
          <w:r>
            <w:rPr>
              <w:rFonts w:hint="eastAsia" w:ascii="宋体" w:hAnsi="宋体" w:cs="宋体"/>
              <w:color w:val="auto"/>
              <w:highlight w:val="none"/>
            </w:rPr>
            <w:t>- 29 -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66F2DD4">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"_Toc1584" </w:instrText>
          </w:r>
          <w:r>
            <w:rPr>
              <w:color w:val="auto"/>
              <w:highlight w:val="none"/>
            </w:rPr>
            <w:fldChar w:fldCharType="separate"/>
          </w:r>
          <w:r>
            <w:rPr>
              <w:rFonts w:hint="eastAsia" w:ascii="宋体" w:hAnsi="宋体" w:cs="宋体"/>
              <w:bCs/>
              <w:color w:val="auto"/>
              <w:szCs w:val="28"/>
              <w:highlight w:val="none"/>
            </w:rPr>
            <w:t>附表1资格审查表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_Toc1584 \h </w:instrText>
          </w:r>
          <w:r>
            <w:rPr>
              <w:rFonts w:hint="eastAsia" w:ascii="宋体" w:hAnsi="宋体" w:cs="宋体"/>
              <w:color w:val="auto"/>
              <w:highlight w:val="none"/>
            </w:rPr>
            <w:fldChar w:fldCharType="separate"/>
          </w:r>
          <w:r>
            <w:rPr>
              <w:rFonts w:hint="eastAsia" w:ascii="宋体" w:hAnsi="宋体" w:cs="宋体"/>
              <w:color w:val="auto"/>
              <w:highlight w:val="none"/>
            </w:rPr>
            <w:t>- 30 -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42642765">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"_Toc31485" </w:instrText>
          </w:r>
          <w:r>
            <w:rPr>
              <w:color w:val="auto"/>
              <w:highlight w:val="none"/>
            </w:rPr>
            <w:fldChar w:fldCharType="separate"/>
          </w:r>
          <w:r>
            <w:rPr>
              <w:rFonts w:hint="eastAsia" w:ascii="宋体" w:hAnsi="宋体" w:cs="宋体"/>
              <w:color w:val="auto"/>
              <w:highlight w:val="none"/>
            </w:rPr>
            <w:t>附表2符合性审查表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_Toc31485 \h </w:instrText>
          </w:r>
          <w:r>
            <w:rPr>
              <w:rFonts w:hint="eastAsia" w:ascii="宋体" w:hAnsi="宋体" w:cs="宋体"/>
              <w:color w:val="auto"/>
              <w:highlight w:val="none"/>
            </w:rPr>
            <w:fldChar w:fldCharType="separate"/>
          </w:r>
          <w:r>
            <w:rPr>
              <w:rFonts w:hint="eastAsia" w:ascii="宋体" w:hAnsi="宋体" w:cs="宋体"/>
              <w:color w:val="auto"/>
              <w:highlight w:val="none"/>
            </w:rPr>
            <w:t>- 31 -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531EABD9">
          <w:pPr>
            <w:pStyle w:val="11"/>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"_Toc10262" </w:instrText>
          </w:r>
          <w:r>
            <w:rPr>
              <w:color w:val="auto"/>
              <w:highlight w:val="none"/>
            </w:rPr>
            <w:fldChar w:fldCharType="separate"/>
          </w:r>
          <w:r>
            <w:rPr>
              <w:rFonts w:hint="eastAsia" w:ascii="宋体" w:hAnsi="宋体" w:cs="宋体"/>
              <w:bCs/>
              <w:color w:val="auto"/>
              <w:szCs w:val="28"/>
              <w:highlight w:val="none"/>
            </w:rPr>
            <w:t>附表3 评标方法及标准表</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_Toc10262 \h </w:instrText>
          </w:r>
          <w:r>
            <w:rPr>
              <w:rFonts w:hint="eastAsia" w:ascii="宋体" w:hAnsi="宋体" w:cs="宋体"/>
              <w:color w:val="auto"/>
              <w:highlight w:val="none"/>
            </w:rPr>
            <w:fldChar w:fldCharType="separate"/>
          </w:r>
          <w:r>
            <w:rPr>
              <w:rFonts w:hint="eastAsia" w:ascii="宋体" w:hAnsi="宋体" w:cs="宋体"/>
              <w:color w:val="auto"/>
              <w:highlight w:val="none"/>
            </w:rPr>
            <w:t>- 32 -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099A9BF5">
          <w:pPr>
            <w:pStyle w:val="17"/>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"_Toc7608" </w:instrText>
          </w:r>
          <w:r>
            <w:rPr>
              <w:color w:val="auto"/>
              <w:highlight w:val="none"/>
            </w:rPr>
            <w:fldChar w:fldCharType="separate"/>
          </w:r>
          <w:r>
            <w:rPr>
              <w:rFonts w:hint="eastAsia" w:ascii="宋体" w:hAnsi="宋体" w:cs="宋体"/>
              <w:color w:val="auto"/>
              <w:szCs w:val="32"/>
              <w:highlight w:val="none"/>
            </w:rPr>
            <w:t>第三章 采购需求</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_Toc7608 \h </w:instrText>
          </w:r>
          <w:r>
            <w:rPr>
              <w:rFonts w:hint="eastAsia" w:ascii="宋体" w:hAnsi="宋体" w:cs="宋体"/>
              <w:color w:val="auto"/>
              <w:highlight w:val="none"/>
            </w:rPr>
            <w:fldChar w:fldCharType="separate"/>
          </w:r>
          <w:r>
            <w:rPr>
              <w:rFonts w:hint="eastAsia" w:ascii="宋体" w:hAnsi="宋体" w:cs="宋体"/>
              <w:color w:val="auto"/>
              <w:highlight w:val="none"/>
            </w:rPr>
            <w:t>- 38 -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271F7A57">
          <w:pPr>
            <w:pStyle w:val="17"/>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"_Toc10174" </w:instrText>
          </w:r>
          <w:r>
            <w:rPr>
              <w:color w:val="auto"/>
              <w:highlight w:val="none"/>
            </w:rPr>
            <w:fldChar w:fldCharType="separate"/>
          </w:r>
          <w:r>
            <w:rPr>
              <w:rFonts w:hint="eastAsia" w:ascii="宋体" w:hAnsi="宋体" w:cs="宋体"/>
              <w:color w:val="auto"/>
              <w:szCs w:val="32"/>
              <w:highlight w:val="none"/>
            </w:rPr>
            <w:t>第四章 政府采购合同格式条款</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_Toc10174 \h </w:instrText>
          </w:r>
          <w:r>
            <w:rPr>
              <w:rFonts w:hint="eastAsia" w:ascii="宋体" w:hAnsi="宋体" w:cs="宋体"/>
              <w:color w:val="auto"/>
              <w:highlight w:val="none"/>
            </w:rPr>
            <w:fldChar w:fldCharType="separate"/>
          </w:r>
          <w:r>
            <w:rPr>
              <w:rFonts w:hint="eastAsia" w:ascii="宋体" w:hAnsi="宋体" w:cs="宋体"/>
              <w:color w:val="auto"/>
              <w:highlight w:val="none"/>
            </w:rPr>
            <w:t>- 50 -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72162653">
          <w:pPr>
            <w:pStyle w:val="17"/>
            <w:tabs>
              <w:tab w:val="right" w:leader="dot" w:pos="9040"/>
            </w:tabs>
            <w:adjustRightInd w:val="0"/>
            <w:snapToGrid w:val="0"/>
            <w:spacing w:line="360" w:lineRule="auto"/>
            <w:rPr>
              <w:rFonts w:ascii="宋体" w:hAnsi="宋体" w:cs="宋体"/>
              <w:color w:val="auto"/>
              <w:highlight w:val="none"/>
            </w:rPr>
          </w:pPr>
          <w:r>
            <w:rPr>
              <w:color w:val="auto"/>
              <w:highlight w:val="none"/>
            </w:rPr>
            <w:fldChar w:fldCharType="begin"/>
          </w:r>
          <w:r>
            <w:rPr>
              <w:color w:val="auto"/>
              <w:highlight w:val="none"/>
            </w:rPr>
            <w:instrText xml:space="preserve"> HYPERLINK \l "_Toc25566" </w:instrText>
          </w:r>
          <w:r>
            <w:rPr>
              <w:color w:val="auto"/>
              <w:highlight w:val="none"/>
            </w:rPr>
            <w:fldChar w:fldCharType="separate"/>
          </w:r>
          <w:r>
            <w:rPr>
              <w:rFonts w:hint="eastAsia" w:ascii="宋体" w:hAnsi="宋体" w:cs="宋体"/>
              <w:color w:val="auto"/>
              <w:szCs w:val="32"/>
              <w:highlight w:val="none"/>
            </w:rPr>
            <w:t>第五章 响应文件的组成</w:t>
          </w:r>
          <w:r>
            <w:rPr>
              <w:rFonts w:hint="eastAsia" w:ascii="宋体" w:hAnsi="宋体" w:cs="宋体"/>
              <w:color w:val="auto"/>
              <w:highlight w:val="none"/>
            </w:rPr>
            <w:tab/>
          </w:r>
          <w:r>
            <w:rPr>
              <w:rFonts w:hint="eastAsia" w:ascii="宋体" w:hAnsi="宋体" w:cs="宋体"/>
              <w:color w:val="auto"/>
              <w:highlight w:val="none"/>
            </w:rPr>
            <w:fldChar w:fldCharType="begin"/>
          </w:r>
          <w:r>
            <w:rPr>
              <w:rFonts w:hint="eastAsia" w:ascii="宋体" w:hAnsi="宋体" w:cs="宋体"/>
              <w:color w:val="auto"/>
              <w:highlight w:val="none"/>
            </w:rPr>
            <w:instrText xml:space="preserve"> PAGEREF _Toc10174 \h </w:instrText>
          </w:r>
          <w:r>
            <w:rPr>
              <w:rFonts w:hint="eastAsia" w:ascii="宋体" w:hAnsi="宋体" w:cs="宋体"/>
              <w:color w:val="auto"/>
              <w:highlight w:val="none"/>
            </w:rPr>
            <w:fldChar w:fldCharType="separate"/>
          </w:r>
          <w:r>
            <w:rPr>
              <w:rFonts w:hint="eastAsia" w:ascii="宋体" w:hAnsi="宋体" w:cs="宋体"/>
              <w:color w:val="auto"/>
              <w:highlight w:val="none"/>
            </w:rPr>
            <w:t>- 5</w:t>
          </w:r>
          <w:r>
            <w:rPr>
              <w:rFonts w:hint="eastAsia" w:ascii="宋体" w:hAnsi="宋体" w:cs="宋体"/>
              <w:color w:val="auto"/>
              <w:highlight w:val="none"/>
              <w:lang w:val="en-US" w:eastAsia="zh-CN"/>
            </w:rPr>
            <w:t>9</w:t>
          </w:r>
          <w:r>
            <w:rPr>
              <w:rFonts w:hint="eastAsia" w:ascii="宋体" w:hAnsi="宋体" w:cs="宋体"/>
              <w:color w:val="auto"/>
              <w:highlight w:val="none"/>
            </w:rPr>
            <w:t xml:space="preserve"> -</w:t>
          </w:r>
          <w:r>
            <w:rPr>
              <w:rFonts w:hint="eastAsia" w:ascii="宋体" w:hAnsi="宋体" w:cs="宋体"/>
              <w:color w:val="auto"/>
              <w:highlight w:val="none"/>
            </w:rPr>
            <w:fldChar w:fldCharType="end"/>
          </w:r>
          <w:r>
            <w:rPr>
              <w:rFonts w:hint="eastAsia" w:ascii="宋体" w:hAnsi="宋体" w:cs="宋体"/>
              <w:color w:val="auto"/>
              <w:highlight w:val="none"/>
            </w:rPr>
            <w:fldChar w:fldCharType="end"/>
          </w:r>
        </w:p>
        <w:p w14:paraId="63C3064D">
          <w:pPr>
            <w:pStyle w:val="35"/>
            <w:adjustRightInd w:val="0"/>
            <w:snapToGrid w:val="0"/>
            <w:spacing w:line="360" w:lineRule="auto"/>
            <w:rPr>
              <w:color w:val="auto"/>
              <w:highlight w:val="none"/>
            </w:rPr>
          </w:pPr>
          <w:r>
            <w:rPr>
              <w:rFonts w:hint="eastAsia" w:ascii="宋体" w:hAnsi="宋体" w:cs="宋体"/>
              <w:color w:val="auto"/>
              <w:highlight w:val="none"/>
            </w:rPr>
            <w:fldChar w:fldCharType="end"/>
          </w:r>
        </w:p>
      </w:sdtContent>
    </w:sdt>
    <w:p w14:paraId="587C373B">
      <w:pPr>
        <w:rPr>
          <w:rStyle w:val="29"/>
          <w:color w:val="auto"/>
          <w:highlight w:val="none"/>
        </w:rPr>
      </w:pPr>
    </w:p>
    <w:p w14:paraId="08B69509">
      <w:pPr>
        <w:spacing w:before="75" w:line="420" w:lineRule="atLeast"/>
        <w:rPr>
          <w:rStyle w:val="29"/>
          <w:rFonts w:ascii="黑体" w:hAnsi="宋体" w:eastAsia="黑体"/>
          <w:b/>
          <w:color w:val="auto"/>
          <w:sz w:val="32"/>
          <w:szCs w:val="32"/>
          <w:highlight w:val="none"/>
        </w:rPr>
      </w:pPr>
    </w:p>
    <w:p w14:paraId="46784799">
      <w:pPr>
        <w:rPr>
          <w:rStyle w:val="29"/>
          <w:rFonts w:ascii="黑体" w:hAnsi="宋体" w:eastAsia="黑体"/>
          <w:b/>
          <w:color w:val="auto"/>
          <w:sz w:val="32"/>
          <w:szCs w:val="32"/>
          <w:highlight w:val="none"/>
        </w:rPr>
      </w:pPr>
      <w:r>
        <w:rPr>
          <w:rStyle w:val="29"/>
          <w:rFonts w:ascii="黑体" w:hAnsi="宋体" w:eastAsia="黑体"/>
          <w:b/>
          <w:color w:val="auto"/>
          <w:sz w:val="32"/>
          <w:szCs w:val="32"/>
          <w:highlight w:val="none"/>
        </w:rPr>
        <w:br w:type="page"/>
      </w:r>
    </w:p>
    <w:p w14:paraId="24151FDA">
      <w:pPr>
        <w:pStyle w:val="2"/>
        <w:spacing w:before="75" w:line="420" w:lineRule="atLeast"/>
        <w:jc w:val="center"/>
        <w:rPr>
          <w:rStyle w:val="29"/>
          <w:rFonts w:hint="eastAsia" w:ascii="黑体" w:hAnsi="黑体" w:eastAsia="黑体" w:cs="黑体"/>
          <w:color w:val="auto"/>
          <w:kern w:val="0"/>
          <w:szCs w:val="21"/>
          <w:highlight w:val="none"/>
        </w:rPr>
      </w:pPr>
      <w:bookmarkStart w:id="1" w:name="_Toc29172"/>
      <w:r>
        <w:rPr>
          <w:rStyle w:val="29"/>
          <w:rFonts w:hint="eastAsia" w:ascii="黑体" w:hAnsi="黑体" w:eastAsia="黑体" w:cs="黑体"/>
          <w:color w:val="auto"/>
          <w:sz w:val="32"/>
          <w:szCs w:val="32"/>
          <w:highlight w:val="none"/>
        </w:rPr>
        <w:t xml:space="preserve">第一章 </w:t>
      </w:r>
      <w:r>
        <w:rPr>
          <w:rStyle w:val="29"/>
          <w:rFonts w:hint="eastAsia" w:ascii="黑体" w:hAnsi="黑体" w:eastAsia="黑体" w:cs="黑体"/>
          <w:bCs/>
          <w:color w:val="auto"/>
          <w:sz w:val="32"/>
          <w:szCs w:val="32"/>
          <w:highlight w:val="none"/>
        </w:rPr>
        <w:t>磋商邀请公告</w:t>
      </w:r>
      <w:bookmarkEnd w:id="1"/>
    </w:p>
    <w:p w14:paraId="6834E4F0">
      <w:pPr>
        <w:pStyle w:val="45"/>
        <w:adjustRightInd w:val="0"/>
        <w:snapToGrid w:val="0"/>
        <w:spacing w:line="360" w:lineRule="auto"/>
        <w:ind w:firstLine="420" w:firstLineChars="20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湖南新星项目管理有限公司受郴州市林业科学研究所的委托，对</w:t>
      </w:r>
      <w:r>
        <w:rPr>
          <w:rFonts w:hint="eastAsia" w:hAnsi="宋体" w:cs="Times New Roman"/>
          <w:color w:val="auto"/>
          <w:kern w:val="2"/>
          <w:sz w:val="21"/>
          <w:szCs w:val="21"/>
          <w:highlight w:val="none"/>
          <w:lang w:val="en-US" w:eastAsia="zh-CN" w:bidi="ar-SA"/>
        </w:rPr>
        <w:t>郴州市南岭植物园劳务用工（园区卫生保洁、安保、森林资源管护辅助等用工）服务项目</w:t>
      </w:r>
      <w:r>
        <w:rPr>
          <w:rFonts w:hint="eastAsia" w:ascii="宋体" w:hAnsi="宋体" w:eastAsia="宋体" w:cs="Times New Roman"/>
          <w:color w:val="auto"/>
          <w:kern w:val="2"/>
          <w:sz w:val="21"/>
          <w:szCs w:val="21"/>
          <w:highlight w:val="none"/>
          <w:lang w:val="en-US" w:eastAsia="zh-CN" w:bidi="ar-SA"/>
        </w:rPr>
        <w:t>进行竞争性磋商采购，现采用公告邀请方式，邀请符合资格条件的供应商参与竞争性磋商采购活动。</w:t>
      </w:r>
    </w:p>
    <w:p w14:paraId="1AD5C076">
      <w:pPr>
        <w:pStyle w:val="51"/>
        <w:adjustRightInd w:val="0"/>
        <w:snapToGrid w:val="0"/>
        <w:spacing w:before="0" w:beforeAutospacing="0" w:after="0" w:afterAutospacing="0" w:line="360" w:lineRule="auto"/>
        <w:ind w:firstLine="482" w:firstLineChars="200"/>
        <w:rPr>
          <w:rFonts w:ascii="黑体" w:hAnsi="黑体" w:eastAsia="黑体"/>
          <w:b/>
          <w:bCs/>
          <w:color w:val="auto"/>
          <w:kern w:val="2"/>
          <w:szCs w:val="32"/>
          <w:highlight w:val="none"/>
        </w:rPr>
      </w:pPr>
      <w:r>
        <w:rPr>
          <w:rFonts w:hint="eastAsia" w:ascii="黑体" w:hAnsi="黑体" w:eastAsia="黑体"/>
          <w:b/>
          <w:bCs/>
          <w:color w:val="auto"/>
          <w:kern w:val="2"/>
          <w:szCs w:val="32"/>
          <w:highlight w:val="none"/>
        </w:rPr>
        <w:t>一、项目基本情况：</w:t>
      </w:r>
    </w:p>
    <w:p w14:paraId="2455AB05">
      <w:pPr>
        <w:adjustRightInd w:val="0"/>
        <w:snapToGrid w:val="0"/>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1、项目名称：</w:t>
      </w:r>
      <w:r>
        <w:rPr>
          <w:rFonts w:hint="eastAsia" w:ascii="宋体" w:hAnsi="宋体"/>
          <w:color w:val="auto"/>
          <w:szCs w:val="21"/>
          <w:highlight w:val="none"/>
          <w:u w:val="single"/>
          <w:lang w:eastAsia="zh-CN"/>
        </w:rPr>
        <w:t>郴州市南岭植物园劳务用工（园区卫生保洁、安保、森林资源管护辅助等用工</w:t>
      </w:r>
      <w:r>
        <w:rPr>
          <w:rFonts w:hint="eastAsia" w:ascii="宋体" w:hAnsi="宋体"/>
          <w:color w:val="auto"/>
          <w:szCs w:val="21"/>
          <w:highlight w:val="none"/>
          <w:u w:val="single"/>
          <w:lang w:eastAsia="zh-CN"/>
        </w:rPr>
        <w:t>）服务项目</w:t>
      </w:r>
    </w:p>
    <w:p w14:paraId="65BA269D">
      <w:pPr>
        <w:adjustRightInd w:val="0"/>
        <w:snapToGrid w:val="0"/>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2、政府采购计划编号：</w:t>
      </w:r>
      <w:r>
        <w:rPr>
          <w:rFonts w:hint="eastAsia" w:ascii="宋体" w:hAnsi="宋体"/>
          <w:color w:val="auto"/>
          <w:szCs w:val="21"/>
          <w:highlight w:val="none"/>
          <w:u w:val="single"/>
          <w:lang w:val="en-US" w:eastAsia="zh-CN"/>
        </w:rPr>
        <w:t xml:space="preserve"> </w:t>
      </w:r>
    </w:p>
    <w:p w14:paraId="1EDBF8CD">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3、采购代理机构编号：</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HNXXZC2026-CZ-038</w:t>
      </w:r>
      <w:r>
        <w:rPr>
          <w:rFonts w:hint="eastAsia" w:ascii="宋体" w:hAnsi="宋体"/>
          <w:color w:val="auto"/>
          <w:szCs w:val="21"/>
          <w:highlight w:val="none"/>
          <w:u w:val="single"/>
        </w:rPr>
        <w:t xml:space="preserve">   </w:t>
      </w:r>
    </w:p>
    <w:p w14:paraId="1EA4F644">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4、采购项目预算：</w:t>
      </w:r>
      <w:r>
        <w:rPr>
          <w:rFonts w:hint="eastAsia" w:ascii="宋体" w:hAnsi="宋体" w:cs="宋体"/>
          <w:bCs/>
          <w:color w:val="auto"/>
          <w:szCs w:val="21"/>
          <w:highlight w:val="none"/>
        </w:rPr>
        <w:t>￥</w:t>
      </w:r>
      <w:r>
        <w:rPr>
          <w:rFonts w:hint="eastAsia" w:ascii="宋体" w:hAnsi="宋体"/>
          <w:color w:val="auto"/>
          <w:szCs w:val="21"/>
          <w:highlight w:val="none"/>
          <w:u w:val="single"/>
          <w:lang w:eastAsia="zh-CN"/>
        </w:rPr>
        <w:t>1550000.00</w:t>
      </w:r>
      <w:r>
        <w:rPr>
          <w:rFonts w:hint="eastAsia" w:ascii="宋体" w:hAnsi="宋体"/>
          <w:color w:val="auto"/>
          <w:szCs w:val="21"/>
          <w:highlight w:val="none"/>
          <w:u w:val="single"/>
        </w:rPr>
        <w:t>元</w:t>
      </w:r>
    </w:p>
    <w:p w14:paraId="7154CA2F">
      <w:pPr>
        <w:adjustRightInd w:val="0"/>
        <w:snapToGrid w:val="0"/>
        <w:spacing w:line="360" w:lineRule="auto"/>
        <w:ind w:firstLine="840" w:firstLineChars="400"/>
        <w:rPr>
          <w:rFonts w:ascii="宋体" w:hAnsi="宋体"/>
          <w:bCs/>
          <w:color w:val="auto"/>
          <w:szCs w:val="21"/>
          <w:highlight w:val="none"/>
          <w:u w:val="single"/>
        </w:rPr>
      </w:pPr>
      <w:r>
        <w:rPr>
          <w:rFonts w:hint="eastAsia" w:ascii="宋体" w:hAnsi="宋体"/>
          <w:iCs/>
          <w:color w:val="auto"/>
          <w:szCs w:val="21"/>
          <w:highlight w:val="none"/>
        </w:rPr>
        <w:sym w:font="Wingdings" w:char="F0A8"/>
      </w:r>
      <w:r>
        <w:rPr>
          <w:rFonts w:hint="eastAsia" w:ascii="宋体" w:hAnsi="宋体"/>
          <w:iCs/>
          <w:color w:val="auto"/>
          <w:szCs w:val="21"/>
          <w:highlight w:val="none"/>
        </w:rPr>
        <w:t>支持</w:t>
      </w:r>
      <w:r>
        <w:rPr>
          <w:rFonts w:hint="eastAsia" w:ascii="宋体" w:hAnsi="宋体"/>
          <w:bCs/>
          <w:color w:val="auto"/>
          <w:szCs w:val="21"/>
          <w:highlight w:val="none"/>
        </w:rPr>
        <w:t>预付款，预付比例：</w:t>
      </w:r>
      <w:r>
        <w:rPr>
          <w:rFonts w:hint="eastAsia" w:ascii="宋体" w:hAnsi="宋体"/>
          <w:bCs/>
          <w:color w:val="auto"/>
          <w:szCs w:val="21"/>
          <w:highlight w:val="none"/>
          <w:u w:val="single"/>
        </w:rPr>
        <w:t xml:space="preserve">/  </w:t>
      </w:r>
    </w:p>
    <w:p w14:paraId="0E17A45B">
      <w:pPr>
        <w:adjustRightInd w:val="0"/>
        <w:snapToGrid w:val="0"/>
        <w:spacing w:line="360" w:lineRule="auto"/>
        <w:ind w:firstLine="420" w:firstLineChars="200"/>
        <w:rPr>
          <w:rFonts w:ascii="宋体" w:hAnsi="宋体"/>
          <w:color w:val="auto"/>
          <w:szCs w:val="21"/>
          <w:highlight w:val="none"/>
          <w:u w:val="single"/>
        </w:rPr>
      </w:pPr>
      <w:r>
        <w:rPr>
          <w:rFonts w:hint="eastAsia" w:ascii="宋体" w:hAnsi="宋体"/>
          <w:bCs/>
          <w:color w:val="auto"/>
          <w:szCs w:val="21"/>
          <w:highlight w:val="none"/>
        </w:rPr>
        <w:t>5、本项目</w:t>
      </w:r>
      <w:r>
        <w:rPr>
          <w:rFonts w:hint="eastAsia" w:ascii="宋体" w:hAnsi="宋体"/>
          <w:color w:val="auto"/>
          <w:szCs w:val="21"/>
          <w:highlight w:val="none"/>
        </w:rPr>
        <w:t>对应的中小企业划分标准所属行业：</w:t>
      </w:r>
      <w:r>
        <w:rPr>
          <w:rFonts w:hint="eastAsia" w:ascii="宋体" w:hAnsi="宋体"/>
          <w:color w:val="auto"/>
          <w:szCs w:val="21"/>
          <w:highlight w:val="none"/>
          <w:u w:val="single"/>
        </w:rPr>
        <w:t xml:space="preserve">其他未列明行业      </w:t>
      </w:r>
    </w:p>
    <w:p w14:paraId="0054F7FE">
      <w:pPr>
        <w:adjustRightInd w:val="0"/>
        <w:snapToGrid w:val="0"/>
        <w:spacing w:line="360" w:lineRule="auto"/>
        <w:ind w:firstLine="420" w:firstLineChars="200"/>
        <w:rPr>
          <w:rFonts w:ascii="宋体" w:hAnsi="宋体"/>
          <w:bCs/>
          <w:color w:val="auto"/>
          <w:szCs w:val="21"/>
          <w:highlight w:val="none"/>
          <w:u w:val="single"/>
        </w:rPr>
      </w:pPr>
      <w:r>
        <w:rPr>
          <w:rFonts w:hint="eastAsia" w:ascii="宋体" w:hAnsi="宋体"/>
          <w:bCs/>
          <w:color w:val="auto"/>
          <w:szCs w:val="21"/>
          <w:highlight w:val="none"/>
        </w:rPr>
        <w:t>6、合同定价方式：</w:t>
      </w:r>
      <w:r>
        <w:rPr>
          <w:rFonts w:hint="eastAsia" w:ascii="宋体" w:hAnsi="宋体"/>
          <w:iCs/>
          <w:color w:val="auto"/>
          <w:szCs w:val="21"/>
          <w:highlight w:val="none"/>
        </w:rPr>
        <w:sym w:font="Wingdings" w:char="F0FE"/>
      </w:r>
      <w:r>
        <w:rPr>
          <w:rFonts w:hint="eastAsia" w:ascii="宋体" w:hAnsi="宋体"/>
          <w:iCs/>
          <w:color w:val="auto"/>
          <w:szCs w:val="21"/>
          <w:highlight w:val="none"/>
        </w:rPr>
        <w:t xml:space="preserve">固定总价 </w:t>
      </w:r>
      <w:r>
        <w:rPr>
          <w:rFonts w:hint="eastAsia" w:ascii="宋体" w:hAnsi="宋体"/>
          <w:iCs/>
          <w:color w:val="auto"/>
          <w:szCs w:val="21"/>
          <w:highlight w:val="none"/>
        </w:rPr>
        <w:sym w:font="Wingdings" w:char="F0A8"/>
      </w:r>
      <w:r>
        <w:rPr>
          <w:rFonts w:hint="eastAsia" w:ascii="宋体" w:hAnsi="宋体"/>
          <w:iCs/>
          <w:color w:val="auto"/>
          <w:szCs w:val="21"/>
          <w:highlight w:val="none"/>
        </w:rPr>
        <w:t xml:space="preserve">固定单价  </w:t>
      </w:r>
      <w:r>
        <w:rPr>
          <w:rFonts w:hint="eastAsia" w:ascii="宋体" w:hAnsi="宋体"/>
          <w:iCs/>
          <w:color w:val="auto"/>
          <w:szCs w:val="21"/>
          <w:highlight w:val="none"/>
        </w:rPr>
        <w:sym w:font="Wingdings" w:char="F0A8"/>
      </w:r>
      <w:r>
        <w:rPr>
          <w:rFonts w:hint="eastAsia" w:ascii="宋体" w:hAnsi="宋体"/>
          <w:iCs/>
          <w:color w:val="auto"/>
          <w:szCs w:val="21"/>
          <w:highlight w:val="none"/>
        </w:rPr>
        <w:t xml:space="preserve">成本补偿 </w:t>
      </w:r>
      <w:r>
        <w:rPr>
          <w:rFonts w:hint="eastAsia" w:ascii="宋体" w:hAnsi="宋体"/>
          <w:iCs/>
          <w:color w:val="auto"/>
          <w:szCs w:val="21"/>
          <w:highlight w:val="none"/>
        </w:rPr>
        <w:sym w:font="Wingdings" w:char="F0A8"/>
      </w:r>
      <w:r>
        <w:rPr>
          <w:rFonts w:hint="eastAsia" w:ascii="宋体" w:hAnsi="宋体"/>
          <w:iCs/>
          <w:color w:val="auto"/>
          <w:szCs w:val="21"/>
          <w:highlight w:val="none"/>
        </w:rPr>
        <w:t>绩效激励</w:t>
      </w:r>
    </w:p>
    <w:p w14:paraId="44DDCC23">
      <w:pPr>
        <w:adjustRightInd w:val="0"/>
        <w:snapToGrid w:val="0"/>
        <w:spacing w:line="360" w:lineRule="auto"/>
        <w:ind w:firstLine="420" w:firstLineChars="200"/>
        <w:rPr>
          <w:rFonts w:ascii="宋体" w:hAnsi="宋体"/>
          <w:bCs/>
          <w:color w:val="auto"/>
          <w:szCs w:val="21"/>
          <w:highlight w:val="none"/>
          <w:u w:val="single"/>
        </w:rPr>
      </w:pPr>
      <w:r>
        <w:rPr>
          <w:rFonts w:hint="eastAsia" w:ascii="宋体" w:hAnsi="宋体"/>
          <w:bCs/>
          <w:color w:val="auto"/>
          <w:szCs w:val="21"/>
          <w:highlight w:val="none"/>
        </w:rPr>
        <w:t>7、合同履行期限：</w:t>
      </w:r>
      <w:r>
        <w:rPr>
          <w:rFonts w:hint="eastAsia" w:ascii="宋体" w:hAnsi="宋体"/>
          <w:bCs/>
          <w:color w:val="auto"/>
          <w:szCs w:val="21"/>
          <w:highlight w:val="none"/>
          <w:u w:val="single"/>
        </w:rPr>
        <w:t>一年</w:t>
      </w:r>
    </w:p>
    <w:p w14:paraId="6DFE934B">
      <w:pPr>
        <w:pStyle w:val="35"/>
        <w:adjustRightInd w:val="0"/>
        <w:snapToGrid w:val="0"/>
        <w:spacing w:line="360" w:lineRule="auto"/>
        <w:rPr>
          <w:rFonts w:ascii="宋体" w:hAnsi="宋体"/>
          <w:iCs/>
          <w:color w:val="auto"/>
          <w:highlight w:val="none"/>
        </w:rPr>
      </w:pPr>
      <w:r>
        <w:rPr>
          <w:rFonts w:hint="eastAsia" w:ascii="宋体" w:hAnsi="宋体"/>
          <w:bCs/>
          <w:color w:val="auto"/>
          <w:highlight w:val="none"/>
        </w:rPr>
        <w:t>8、根据《关于进一步优化政府采购领域营商环境的通知》郴财采资〔2024〕6号文件精神，本项目取消投标保证金及履约保证金。</w:t>
      </w:r>
    </w:p>
    <w:p w14:paraId="6160327B">
      <w:pPr>
        <w:pStyle w:val="51"/>
        <w:adjustRightInd w:val="0"/>
        <w:snapToGrid w:val="0"/>
        <w:spacing w:before="0" w:beforeAutospacing="0" w:after="0" w:afterAutospacing="0" w:line="360" w:lineRule="auto"/>
        <w:ind w:firstLine="482" w:firstLineChars="200"/>
        <w:rPr>
          <w:rFonts w:hint="eastAsia" w:ascii="黑体" w:hAnsi="黑体" w:eastAsia="黑体" w:cs="Times New Roman"/>
          <w:b/>
          <w:bCs/>
          <w:color w:val="auto"/>
          <w:kern w:val="2"/>
          <w:szCs w:val="32"/>
          <w:highlight w:val="none"/>
        </w:rPr>
      </w:pPr>
      <w:r>
        <w:rPr>
          <w:rFonts w:hint="eastAsia" w:ascii="黑体" w:hAnsi="黑体" w:eastAsia="黑体" w:cs="Times New Roman"/>
          <w:b/>
          <w:bCs/>
          <w:color w:val="auto"/>
          <w:kern w:val="2"/>
          <w:szCs w:val="32"/>
          <w:highlight w:val="none"/>
        </w:rPr>
        <w:t>二、采购需求：</w:t>
      </w:r>
    </w:p>
    <w:tbl>
      <w:tblPr>
        <w:tblStyle w:val="25"/>
        <w:tblW w:w="8538" w:type="dxa"/>
        <w:tblInd w:w="340" w:type="dxa"/>
        <w:tblBorders>
          <w:top w:val="single" w:color="000000" w:sz="8" w:space="0"/>
          <w:left w:val="single" w:color="000000" w:sz="8" w:space="0"/>
          <w:bottom w:val="single" w:color="000000" w:sz="8" w:space="0"/>
          <w:right w:val="single" w:color="000000" w:sz="8" w:space="0"/>
          <w:insideH w:val="outset" w:color="000000" w:sz="6" w:space="0"/>
          <w:insideV w:val="outset" w:color="000000" w:sz="6" w:space="0"/>
        </w:tblBorders>
        <w:tblLayout w:type="fixed"/>
        <w:tblCellMar>
          <w:top w:w="0" w:type="dxa"/>
          <w:left w:w="0" w:type="dxa"/>
          <w:bottom w:w="0" w:type="dxa"/>
          <w:right w:w="0" w:type="dxa"/>
        </w:tblCellMar>
      </w:tblPr>
      <w:tblGrid>
        <w:gridCol w:w="712"/>
        <w:gridCol w:w="2956"/>
        <w:gridCol w:w="1519"/>
        <w:gridCol w:w="1006"/>
        <w:gridCol w:w="2345"/>
      </w:tblGrid>
      <w:tr w14:paraId="2D711DDC">
        <w:tblPrEx>
          <w:tblBorders>
            <w:top w:val="single" w:color="000000" w:sz="8" w:space="0"/>
            <w:left w:val="single" w:color="000000" w:sz="8" w:space="0"/>
            <w:bottom w:val="single" w:color="000000" w:sz="8" w:space="0"/>
            <w:right w:val="single" w:color="000000" w:sz="8" w:space="0"/>
            <w:insideH w:val="outset" w:color="000000" w:sz="6" w:space="0"/>
            <w:insideV w:val="outset" w:color="000000" w:sz="6" w:space="0"/>
          </w:tblBorders>
          <w:tblCellMar>
            <w:top w:w="0" w:type="dxa"/>
            <w:left w:w="0" w:type="dxa"/>
            <w:bottom w:w="0" w:type="dxa"/>
            <w:right w:w="0" w:type="dxa"/>
          </w:tblCellMar>
        </w:tblPrEx>
        <w:trPr>
          <w:trHeight w:val="588" w:hRule="atLeast"/>
        </w:trPr>
        <w:tc>
          <w:tcPr>
            <w:tcW w:w="712" w:type="dxa"/>
            <w:tcBorders>
              <w:top w:val="single" w:color="000000" w:sz="8" w:space="0"/>
              <w:left w:val="single" w:color="000000" w:sz="8" w:space="0"/>
              <w:bottom w:val="single" w:color="000000" w:sz="8" w:space="0"/>
              <w:right w:val="single" w:color="000000" w:sz="8" w:space="0"/>
            </w:tcBorders>
            <w:vAlign w:val="center"/>
          </w:tcPr>
          <w:p w14:paraId="1C19B093">
            <w:pPr>
              <w:adjustRightInd w:val="0"/>
              <w:snapToGrid w:val="0"/>
              <w:jc w:val="center"/>
              <w:rPr>
                <w:rStyle w:val="29"/>
                <w:b/>
                <w:bCs/>
                <w:color w:val="auto"/>
                <w:szCs w:val="21"/>
                <w:highlight w:val="none"/>
              </w:rPr>
            </w:pPr>
            <w:r>
              <w:rPr>
                <w:rFonts w:hint="eastAsia" w:ascii="宋体" w:hAnsi="宋体" w:cs="宋体"/>
                <w:color w:val="auto"/>
                <w:kern w:val="0"/>
                <w:szCs w:val="21"/>
                <w:highlight w:val="none"/>
              </w:rPr>
              <w:t>序号</w:t>
            </w:r>
          </w:p>
        </w:tc>
        <w:tc>
          <w:tcPr>
            <w:tcW w:w="2956" w:type="dxa"/>
            <w:tcBorders>
              <w:top w:val="single" w:color="000000" w:sz="8" w:space="0"/>
              <w:left w:val="single" w:color="000000" w:sz="8" w:space="0"/>
              <w:bottom w:val="single" w:color="000000" w:sz="8" w:space="0"/>
              <w:right w:val="single" w:color="000000" w:sz="8" w:space="0"/>
            </w:tcBorders>
            <w:vAlign w:val="center"/>
          </w:tcPr>
          <w:p w14:paraId="4B09D5BC">
            <w:pPr>
              <w:adjustRightInd w:val="0"/>
              <w:snapToGrid w:val="0"/>
              <w:jc w:val="center"/>
              <w:rPr>
                <w:rStyle w:val="29"/>
                <w:b/>
                <w:bCs/>
                <w:color w:val="auto"/>
                <w:szCs w:val="21"/>
                <w:highlight w:val="none"/>
              </w:rPr>
            </w:pPr>
            <w:r>
              <w:rPr>
                <w:rFonts w:hint="eastAsia" w:ascii="宋体" w:hAnsi="宋体"/>
                <w:color w:val="auto"/>
                <w:kern w:val="0"/>
                <w:highlight w:val="none"/>
              </w:rPr>
              <w:t>标的名称</w:t>
            </w:r>
          </w:p>
        </w:tc>
        <w:tc>
          <w:tcPr>
            <w:tcW w:w="1519" w:type="dxa"/>
            <w:tcBorders>
              <w:top w:val="single" w:color="000000" w:sz="8" w:space="0"/>
              <w:left w:val="single" w:color="000000" w:sz="8" w:space="0"/>
              <w:bottom w:val="single" w:color="000000" w:sz="8" w:space="0"/>
              <w:right w:val="single" w:color="000000" w:sz="8" w:space="0"/>
            </w:tcBorders>
            <w:vAlign w:val="center"/>
          </w:tcPr>
          <w:p w14:paraId="7D6F3BC0">
            <w:pPr>
              <w:adjustRightInd w:val="0"/>
              <w:snapToGrid w:val="0"/>
              <w:jc w:val="center"/>
              <w:rPr>
                <w:rStyle w:val="29"/>
                <w:b/>
                <w:bCs/>
                <w:color w:val="auto"/>
                <w:szCs w:val="21"/>
                <w:highlight w:val="none"/>
              </w:rPr>
            </w:pPr>
            <w:r>
              <w:rPr>
                <w:rFonts w:hint="eastAsia" w:ascii="宋体" w:hAnsi="宋体" w:cs="宋体"/>
                <w:color w:val="auto"/>
                <w:kern w:val="0"/>
                <w:szCs w:val="21"/>
                <w:highlight w:val="none"/>
              </w:rPr>
              <w:t>简要技术要求</w:t>
            </w:r>
          </w:p>
        </w:tc>
        <w:tc>
          <w:tcPr>
            <w:tcW w:w="1006" w:type="dxa"/>
            <w:tcBorders>
              <w:top w:val="single" w:color="000000" w:sz="8" w:space="0"/>
              <w:left w:val="single" w:color="000000" w:sz="8" w:space="0"/>
              <w:bottom w:val="single" w:color="000000" w:sz="8" w:space="0"/>
              <w:right w:val="single" w:color="000000" w:sz="8" w:space="0"/>
            </w:tcBorders>
            <w:vAlign w:val="center"/>
          </w:tcPr>
          <w:p w14:paraId="3EBE8CDE">
            <w:pPr>
              <w:adjustRightInd w:val="0"/>
              <w:snapToGrid w:val="0"/>
              <w:jc w:val="center"/>
              <w:rPr>
                <w:rStyle w:val="29"/>
                <w:rFonts w:cs="宋体"/>
                <w:b/>
                <w:bCs/>
                <w:color w:val="auto"/>
                <w:highlight w:val="none"/>
              </w:rPr>
            </w:pPr>
            <w:r>
              <w:rPr>
                <w:rFonts w:hint="eastAsia" w:ascii="宋体" w:hAnsi="宋体" w:cs="宋体"/>
                <w:color w:val="auto"/>
                <w:kern w:val="0"/>
                <w:szCs w:val="21"/>
                <w:highlight w:val="none"/>
              </w:rPr>
              <w:t>数量</w:t>
            </w:r>
          </w:p>
        </w:tc>
        <w:tc>
          <w:tcPr>
            <w:tcW w:w="2345" w:type="dxa"/>
            <w:tcBorders>
              <w:top w:val="single" w:color="000000" w:sz="8" w:space="0"/>
              <w:left w:val="single" w:color="000000" w:sz="8" w:space="0"/>
              <w:bottom w:val="single" w:color="000000" w:sz="8" w:space="0"/>
              <w:right w:val="single" w:color="000000" w:sz="8" w:space="0"/>
            </w:tcBorders>
            <w:vAlign w:val="center"/>
          </w:tcPr>
          <w:p w14:paraId="1171C5FF">
            <w:pPr>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预算金额及最高限价</w:t>
            </w:r>
          </w:p>
          <w:p w14:paraId="7D0A0507">
            <w:pPr>
              <w:adjustRightInd w:val="0"/>
              <w:snapToGrid w:val="0"/>
              <w:jc w:val="center"/>
              <w:rPr>
                <w:rFonts w:ascii="宋体" w:hAnsi="宋体" w:cs="宋体"/>
                <w:color w:val="auto"/>
                <w:kern w:val="0"/>
                <w:szCs w:val="21"/>
                <w:highlight w:val="none"/>
              </w:rPr>
            </w:pPr>
            <w:r>
              <w:rPr>
                <w:rFonts w:hint="eastAsia" w:ascii="宋体" w:hAnsi="宋体" w:cs="宋体"/>
                <w:color w:val="auto"/>
                <w:kern w:val="0"/>
                <w:szCs w:val="21"/>
                <w:highlight w:val="none"/>
              </w:rPr>
              <w:t>（元人民币）</w:t>
            </w:r>
          </w:p>
        </w:tc>
      </w:tr>
      <w:tr w14:paraId="147E76F4">
        <w:tblPrEx>
          <w:tblBorders>
            <w:top w:val="single" w:color="000000" w:sz="8" w:space="0"/>
            <w:left w:val="single" w:color="000000" w:sz="8" w:space="0"/>
            <w:bottom w:val="single" w:color="000000" w:sz="8" w:space="0"/>
            <w:right w:val="single" w:color="000000" w:sz="8" w:space="0"/>
            <w:insideH w:val="outset" w:color="000000" w:sz="6" w:space="0"/>
            <w:insideV w:val="outset" w:color="000000" w:sz="6" w:space="0"/>
          </w:tblBorders>
          <w:tblCellMar>
            <w:top w:w="0" w:type="dxa"/>
            <w:left w:w="0" w:type="dxa"/>
            <w:bottom w:w="0" w:type="dxa"/>
            <w:right w:w="0" w:type="dxa"/>
          </w:tblCellMar>
        </w:tblPrEx>
        <w:trPr>
          <w:trHeight w:val="756" w:hRule="atLeast"/>
        </w:trPr>
        <w:tc>
          <w:tcPr>
            <w:tcW w:w="712" w:type="dxa"/>
            <w:tcBorders>
              <w:top w:val="single" w:color="000000" w:sz="8" w:space="0"/>
              <w:left w:val="single" w:color="000000" w:sz="8" w:space="0"/>
              <w:bottom w:val="single" w:color="000000" w:sz="8" w:space="0"/>
              <w:right w:val="single" w:color="000000" w:sz="8" w:space="0"/>
            </w:tcBorders>
            <w:vAlign w:val="center"/>
          </w:tcPr>
          <w:p w14:paraId="2E03AD63">
            <w:pPr>
              <w:pStyle w:val="12"/>
              <w:adjustRightInd w:val="0"/>
              <w:snapToGrid w:val="0"/>
              <w:jc w:val="center"/>
              <w:rPr>
                <w:rStyle w:val="29"/>
                <w:color w:val="auto"/>
                <w:highlight w:val="none"/>
              </w:rPr>
            </w:pPr>
            <w:r>
              <w:rPr>
                <w:rFonts w:hint="eastAsia" w:hAnsi="宋体"/>
                <w:color w:val="auto"/>
                <w:kern w:val="0"/>
                <w:highlight w:val="none"/>
              </w:rPr>
              <w:t>01</w:t>
            </w:r>
          </w:p>
        </w:tc>
        <w:tc>
          <w:tcPr>
            <w:tcW w:w="2956" w:type="dxa"/>
            <w:tcBorders>
              <w:top w:val="single" w:color="000000" w:sz="8" w:space="0"/>
              <w:left w:val="single" w:color="000000" w:sz="8" w:space="0"/>
              <w:bottom w:val="single" w:color="000000" w:sz="8" w:space="0"/>
              <w:right w:val="single" w:color="000000" w:sz="8" w:space="0"/>
            </w:tcBorders>
            <w:vAlign w:val="center"/>
          </w:tcPr>
          <w:p w14:paraId="54578079">
            <w:pPr>
              <w:pStyle w:val="12"/>
              <w:adjustRightInd w:val="0"/>
              <w:snapToGrid w:val="0"/>
              <w:jc w:val="center"/>
              <w:rPr>
                <w:rStyle w:val="29"/>
                <w:rFonts w:hint="eastAsia" w:eastAsia="宋体"/>
                <w:color w:val="auto"/>
                <w:highlight w:val="none"/>
                <w:lang w:eastAsia="zh-CN"/>
              </w:rPr>
            </w:pPr>
            <w:r>
              <w:rPr>
                <w:rFonts w:hint="eastAsia" w:hAnsi="宋体"/>
                <w:color w:val="auto"/>
                <w:kern w:val="0"/>
                <w:highlight w:val="none"/>
                <w:lang w:eastAsia="zh-CN"/>
              </w:rPr>
              <w:t>郴州市南岭植物园劳务用工（园区卫生保洁、安保、森林资源管护辅助等用工）服务项目</w:t>
            </w:r>
          </w:p>
        </w:tc>
        <w:tc>
          <w:tcPr>
            <w:tcW w:w="1519" w:type="dxa"/>
            <w:tcBorders>
              <w:top w:val="single" w:color="000000" w:sz="8" w:space="0"/>
              <w:left w:val="single" w:color="000000" w:sz="8" w:space="0"/>
              <w:bottom w:val="single" w:color="000000" w:sz="8" w:space="0"/>
              <w:right w:val="single" w:color="000000" w:sz="8" w:space="0"/>
            </w:tcBorders>
            <w:vAlign w:val="center"/>
          </w:tcPr>
          <w:p w14:paraId="4DC2CB7A">
            <w:pPr>
              <w:pStyle w:val="12"/>
              <w:adjustRightInd w:val="0"/>
              <w:snapToGrid w:val="0"/>
              <w:rPr>
                <w:rStyle w:val="29"/>
                <w:color w:val="auto"/>
                <w:highlight w:val="none"/>
              </w:rPr>
            </w:pPr>
            <w:r>
              <w:rPr>
                <w:rFonts w:hint="eastAsia" w:hAnsi="宋体"/>
                <w:color w:val="auto"/>
                <w:kern w:val="0"/>
                <w:highlight w:val="none"/>
              </w:rPr>
              <w:t>详见磋商文件</w:t>
            </w:r>
          </w:p>
        </w:tc>
        <w:tc>
          <w:tcPr>
            <w:tcW w:w="1006" w:type="dxa"/>
            <w:tcBorders>
              <w:top w:val="single" w:color="000000" w:sz="8" w:space="0"/>
              <w:left w:val="single" w:color="000000" w:sz="8" w:space="0"/>
              <w:bottom w:val="single" w:color="000000" w:sz="8" w:space="0"/>
              <w:right w:val="single" w:color="000000" w:sz="8" w:space="0"/>
            </w:tcBorders>
            <w:vAlign w:val="center"/>
          </w:tcPr>
          <w:p w14:paraId="77E399C2">
            <w:pPr>
              <w:pStyle w:val="12"/>
              <w:adjustRightInd w:val="0"/>
              <w:snapToGrid w:val="0"/>
              <w:jc w:val="center"/>
              <w:rPr>
                <w:rStyle w:val="29"/>
                <w:color w:val="auto"/>
                <w:highlight w:val="none"/>
              </w:rPr>
            </w:pPr>
            <w:r>
              <w:rPr>
                <w:rFonts w:hint="eastAsia" w:hAnsi="宋体"/>
                <w:color w:val="auto"/>
                <w:kern w:val="0"/>
                <w:highlight w:val="none"/>
              </w:rPr>
              <w:t>1项</w:t>
            </w:r>
          </w:p>
        </w:tc>
        <w:tc>
          <w:tcPr>
            <w:tcW w:w="2345" w:type="dxa"/>
            <w:tcBorders>
              <w:top w:val="single" w:color="000000" w:sz="8" w:space="0"/>
              <w:left w:val="single" w:color="000000" w:sz="8" w:space="0"/>
              <w:bottom w:val="single" w:color="000000" w:sz="8" w:space="0"/>
              <w:right w:val="single" w:color="000000" w:sz="8" w:space="0"/>
            </w:tcBorders>
            <w:vAlign w:val="center"/>
          </w:tcPr>
          <w:p w14:paraId="50DACF46">
            <w:pPr>
              <w:adjustRightInd w:val="0"/>
              <w:snapToGrid w:val="0"/>
              <w:jc w:val="center"/>
              <w:rPr>
                <w:rStyle w:val="29"/>
                <w:color w:val="auto"/>
                <w:szCs w:val="21"/>
                <w:highlight w:val="none"/>
              </w:rPr>
            </w:pPr>
            <w:r>
              <w:rPr>
                <w:rFonts w:hint="eastAsia" w:ascii="宋体" w:hAnsi="宋体" w:cs="宋体"/>
                <w:bCs/>
                <w:color w:val="auto"/>
                <w:szCs w:val="21"/>
                <w:highlight w:val="none"/>
              </w:rPr>
              <w:t>￥</w:t>
            </w:r>
            <w:r>
              <w:rPr>
                <w:rStyle w:val="29"/>
                <w:rFonts w:hint="eastAsia"/>
                <w:color w:val="auto"/>
                <w:szCs w:val="21"/>
                <w:highlight w:val="none"/>
                <w:lang w:eastAsia="zh-CN"/>
              </w:rPr>
              <w:t>1550000.00</w:t>
            </w:r>
            <w:r>
              <w:rPr>
                <w:rStyle w:val="29"/>
                <w:rFonts w:hint="eastAsia"/>
                <w:color w:val="auto"/>
                <w:szCs w:val="21"/>
                <w:highlight w:val="none"/>
              </w:rPr>
              <w:t>元</w:t>
            </w:r>
          </w:p>
        </w:tc>
      </w:tr>
    </w:tbl>
    <w:p w14:paraId="28664D89">
      <w:pPr>
        <w:pStyle w:val="51"/>
        <w:adjustRightInd w:val="0"/>
        <w:snapToGrid w:val="0"/>
        <w:spacing w:before="0" w:beforeAutospacing="0" w:after="0" w:afterAutospacing="0" w:line="360" w:lineRule="auto"/>
        <w:ind w:firstLine="482" w:firstLineChars="200"/>
        <w:rPr>
          <w:rFonts w:hint="eastAsia" w:ascii="黑体" w:hAnsi="黑体" w:eastAsia="黑体" w:cs="Times New Roman"/>
          <w:b/>
          <w:bCs/>
          <w:color w:val="auto"/>
          <w:kern w:val="2"/>
          <w:szCs w:val="32"/>
          <w:highlight w:val="none"/>
        </w:rPr>
      </w:pPr>
      <w:r>
        <w:rPr>
          <w:rFonts w:hint="eastAsia" w:ascii="黑体" w:hAnsi="黑体" w:eastAsia="黑体" w:cs="Times New Roman"/>
          <w:b/>
          <w:bCs/>
          <w:color w:val="auto"/>
          <w:kern w:val="2"/>
          <w:szCs w:val="32"/>
          <w:highlight w:val="none"/>
        </w:rPr>
        <w:t>三、采购项目需要落实的政府采购政策：</w:t>
      </w:r>
    </w:p>
    <w:p w14:paraId="0719B6F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（1）优先采购：节能产品、环境标志产品、两型产品享受加分或价格折扣。</w:t>
      </w:r>
    </w:p>
    <w:p w14:paraId="4A63C8E4">
      <w:pPr>
        <w:adjustRightInd w:val="0"/>
        <w:snapToGrid w:val="0"/>
        <w:spacing w:line="360" w:lineRule="auto"/>
        <w:ind w:firstLine="420" w:firstLineChars="200"/>
        <w:rPr>
          <w:rFonts w:ascii="宋体" w:hAnsi="宋体"/>
          <w:color w:val="auto"/>
          <w:szCs w:val="21"/>
          <w:highlight w:val="none"/>
        </w:rPr>
      </w:pPr>
      <w:r>
        <w:rPr>
          <w:rFonts w:hint="eastAsia" w:ascii="宋体" w:hAnsi="宋体" w:cs="宋体"/>
          <w:color w:val="auto"/>
          <w:szCs w:val="21"/>
          <w:highlight w:val="none"/>
        </w:rPr>
        <w:t>（2）</w:t>
      </w:r>
      <w:r>
        <w:rPr>
          <w:rFonts w:hint="eastAsia" w:ascii="宋体" w:hAnsi="宋体" w:cs="宋体"/>
          <w:iCs/>
          <w:color w:val="auto"/>
          <w:szCs w:val="21"/>
          <w:highlight w:val="none"/>
        </w:rPr>
        <w:sym w:font="Wingdings" w:char="F0FE"/>
      </w:r>
      <w:r>
        <w:rPr>
          <w:rFonts w:hint="eastAsia" w:ascii="宋体" w:hAnsi="宋体" w:cs="宋体"/>
          <w:iCs/>
          <w:color w:val="auto"/>
          <w:szCs w:val="21"/>
          <w:highlight w:val="none"/>
        </w:rPr>
        <w:t>专门面向</w:t>
      </w:r>
      <w:r>
        <w:rPr>
          <w:rFonts w:hint="eastAsia" w:ascii="宋体" w:hAnsi="宋体" w:cs="宋体"/>
          <w:bCs/>
          <w:color w:val="auto"/>
          <w:szCs w:val="21"/>
          <w:highlight w:val="none"/>
        </w:rPr>
        <w:t>：</w:t>
      </w:r>
      <w:r>
        <w:rPr>
          <w:rFonts w:hint="eastAsia" w:ascii="宋体" w:hAnsi="宋体" w:cs="宋体"/>
          <w:iCs/>
          <w:color w:val="auto"/>
          <w:szCs w:val="21"/>
          <w:highlight w:val="none"/>
        </w:rPr>
        <w:sym w:font="Wingdings" w:char="F0FE"/>
      </w:r>
      <w:r>
        <w:rPr>
          <w:rFonts w:hint="eastAsia" w:ascii="宋体" w:hAnsi="宋体" w:cs="宋体"/>
          <w:iCs/>
          <w:color w:val="auto"/>
          <w:szCs w:val="21"/>
          <w:highlight w:val="none"/>
        </w:rPr>
        <w:t xml:space="preserve">中小企业  </w:t>
      </w:r>
      <w:r>
        <w:rPr>
          <w:rFonts w:hint="eastAsia" w:ascii="宋体" w:hAnsi="宋体" w:cs="宋体"/>
          <w:iCs/>
          <w:color w:val="auto"/>
          <w:szCs w:val="21"/>
          <w:highlight w:val="none"/>
        </w:rPr>
        <w:sym w:font="Wingdings" w:char="F0A8"/>
      </w:r>
      <w:r>
        <w:rPr>
          <w:rFonts w:hint="eastAsia" w:ascii="宋体" w:hAnsi="宋体" w:cs="宋体"/>
          <w:iCs/>
          <w:color w:val="auto"/>
          <w:szCs w:val="21"/>
          <w:highlight w:val="none"/>
        </w:rPr>
        <w:t xml:space="preserve">小微企业 </w:t>
      </w:r>
      <w:r>
        <w:rPr>
          <w:rFonts w:hint="eastAsia" w:ascii="宋体" w:hAnsi="宋体" w:cs="宋体"/>
          <w:iCs/>
          <w:color w:val="auto"/>
          <w:szCs w:val="21"/>
          <w:highlight w:val="none"/>
        </w:rPr>
        <w:sym w:font="Wingdings" w:char="F0A8"/>
      </w:r>
      <w:r>
        <w:rPr>
          <w:rFonts w:hint="eastAsia" w:ascii="宋体" w:hAnsi="宋体" w:cs="宋体"/>
          <w:iCs/>
          <w:color w:val="auto"/>
          <w:szCs w:val="21"/>
          <w:highlight w:val="none"/>
        </w:rPr>
        <w:t xml:space="preserve">监狱企业 </w:t>
      </w:r>
      <w:r>
        <w:rPr>
          <w:rFonts w:hint="eastAsia" w:ascii="宋体" w:hAnsi="宋体" w:cs="宋体"/>
          <w:iCs/>
          <w:color w:val="auto"/>
          <w:szCs w:val="21"/>
          <w:highlight w:val="none"/>
        </w:rPr>
        <w:sym w:font="Wingdings" w:char="F0A8"/>
      </w:r>
      <w:r>
        <w:rPr>
          <w:rFonts w:hint="eastAsia" w:ascii="宋体" w:hAnsi="宋体" w:cs="宋体"/>
          <w:iCs/>
          <w:color w:val="auto"/>
          <w:szCs w:val="21"/>
          <w:highlight w:val="none"/>
        </w:rPr>
        <w:t>福利性单位</w:t>
      </w:r>
      <w:r>
        <w:rPr>
          <w:rFonts w:hint="eastAsia" w:ascii="宋体" w:hAnsi="宋体" w:cs="宋体"/>
          <w:color w:val="auto"/>
          <w:szCs w:val="21"/>
          <w:highlight w:val="none"/>
        </w:rPr>
        <w:t>。</w:t>
      </w:r>
    </w:p>
    <w:p w14:paraId="3F4CE3DD">
      <w:pPr>
        <w:pStyle w:val="51"/>
        <w:adjustRightInd w:val="0"/>
        <w:snapToGrid w:val="0"/>
        <w:spacing w:before="0" w:beforeAutospacing="0" w:after="0" w:afterAutospacing="0" w:line="360" w:lineRule="auto"/>
        <w:ind w:firstLine="482" w:firstLineChars="200"/>
        <w:rPr>
          <w:rFonts w:hint="eastAsia" w:ascii="黑体" w:hAnsi="黑体" w:eastAsia="黑体" w:cs="Times New Roman"/>
          <w:b/>
          <w:bCs/>
          <w:color w:val="auto"/>
          <w:kern w:val="2"/>
          <w:szCs w:val="32"/>
          <w:highlight w:val="none"/>
        </w:rPr>
      </w:pPr>
      <w:bookmarkStart w:id="2" w:name="_Toc16876"/>
      <w:r>
        <w:rPr>
          <w:rFonts w:hint="eastAsia" w:ascii="黑体" w:hAnsi="黑体" w:eastAsia="黑体" w:cs="Times New Roman"/>
          <w:b/>
          <w:bCs/>
          <w:color w:val="auto"/>
          <w:kern w:val="2"/>
          <w:szCs w:val="32"/>
          <w:highlight w:val="none"/>
        </w:rPr>
        <w:t>四、供应商的资格要求</w:t>
      </w:r>
      <w:bookmarkEnd w:id="2"/>
    </w:p>
    <w:p w14:paraId="35AE1640">
      <w:pPr>
        <w:pStyle w:val="21"/>
        <w:adjustRightInd w:val="0"/>
        <w:snapToGrid w:val="0"/>
        <w:spacing w:before="0" w:beforeAutospacing="0" w:after="0" w:afterAutospacing="0" w:line="360" w:lineRule="auto"/>
        <w:ind w:firstLine="420" w:firstLineChars="200"/>
        <w:rPr>
          <w:color w:val="auto"/>
          <w:sz w:val="21"/>
          <w:szCs w:val="21"/>
          <w:highlight w:val="none"/>
        </w:rPr>
      </w:pPr>
      <w:r>
        <w:rPr>
          <w:rFonts w:hint="eastAsia"/>
          <w:color w:val="auto"/>
          <w:sz w:val="21"/>
          <w:szCs w:val="21"/>
          <w:highlight w:val="none"/>
        </w:rPr>
        <w:t xml:space="preserve">1、供应商的基本资格条件：供应商必须是在中华人民共和国境内注册登记的法人、其他组织或者自然人，且应当符合《政府采购法》第二十二条第一款的规定，即： </w:t>
      </w:r>
    </w:p>
    <w:p w14:paraId="6A6461F1">
      <w:pPr>
        <w:widowControl w:val="0"/>
        <w:kinsoku/>
        <w:autoSpaceDE/>
        <w:autoSpaceDN/>
        <w:adjustRightInd/>
        <w:snapToGrid/>
        <w:spacing w:before="76" w:beforeAutospacing="0" w:after="0" w:afterAutospacing="0" w:line="360" w:lineRule="auto"/>
        <w:ind w:left="76"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（1）具有独立承担民事责任的能力；</w:t>
      </w:r>
    </w:p>
    <w:p w14:paraId="7FFD4255">
      <w:pPr>
        <w:widowControl w:val="0"/>
        <w:kinsoku/>
        <w:autoSpaceDE/>
        <w:autoSpaceDN/>
        <w:adjustRightInd/>
        <w:snapToGrid/>
        <w:spacing w:before="76" w:beforeAutospacing="0" w:after="0" w:afterAutospacing="0" w:line="360" w:lineRule="auto"/>
        <w:ind w:left="76"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（2）具有良好的商业信誉和健全的财务会计制度；</w:t>
      </w:r>
    </w:p>
    <w:p w14:paraId="40A71F4F">
      <w:pPr>
        <w:widowControl w:val="0"/>
        <w:kinsoku/>
        <w:autoSpaceDE/>
        <w:autoSpaceDN/>
        <w:adjustRightInd/>
        <w:snapToGrid/>
        <w:spacing w:before="76" w:beforeAutospacing="0" w:after="0" w:afterAutospacing="0" w:line="360" w:lineRule="auto"/>
        <w:ind w:left="76"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（3）具有履行合同所必需的设备和专业技术能力；</w:t>
      </w:r>
    </w:p>
    <w:p w14:paraId="19A0801E">
      <w:pPr>
        <w:widowControl w:val="0"/>
        <w:kinsoku/>
        <w:autoSpaceDE/>
        <w:autoSpaceDN/>
        <w:adjustRightInd/>
        <w:snapToGrid/>
        <w:spacing w:before="76" w:beforeAutospacing="0" w:after="0" w:afterAutospacing="0" w:line="360" w:lineRule="auto"/>
        <w:ind w:left="76"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（4）有依法缴纳税收和社会保障资金的良好记录；</w:t>
      </w:r>
    </w:p>
    <w:p w14:paraId="3D921AF3">
      <w:pPr>
        <w:widowControl w:val="0"/>
        <w:kinsoku/>
        <w:autoSpaceDE/>
        <w:autoSpaceDN/>
        <w:adjustRightInd/>
        <w:snapToGrid/>
        <w:spacing w:before="76" w:beforeAutospacing="0" w:after="0" w:afterAutospacing="0" w:line="360" w:lineRule="auto"/>
        <w:ind w:left="76"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（5）参加政府采购活动前三年内，在经营活动中没有重大违法记录；</w:t>
      </w:r>
    </w:p>
    <w:p w14:paraId="189ECBCC">
      <w:pPr>
        <w:widowControl w:val="0"/>
        <w:kinsoku/>
        <w:autoSpaceDE/>
        <w:autoSpaceDN/>
        <w:adjustRightInd/>
        <w:snapToGrid/>
        <w:spacing w:before="76" w:beforeAutospacing="0" w:after="0" w:afterAutospacing="0" w:line="360" w:lineRule="auto"/>
        <w:ind w:left="76"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（6）法律、行政法规规定的其他条件。</w:t>
      </w:r>
    </w:p>
    <w:p w14:paraId="2B1CAABE">
      <w:pPr>
        <w:widowControl w:val="0"/>
        <w:kinsoku/>
        <w:autoSpaceDE/>
        <w:autoSpaceDN/>
        <w:adjustRightInd/>
        <w:snapToGrid/>
        <w:spacing w:before="76" w:beforeAutospacing="0" w:after="0" w:afterAutospacing="0" w:line="360" w:lineRule="auto"/>
        <w:ind w:left="76" w:firstLine="42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注：根据《湖南省财政厅关于政府采购促进中小企业发展有关措施的通知》相关规定，符合法定条件的供应商可凭《湖南省政府采购供应商资格承诺函》（格式见附件）参与政府采购活动，无需提供财务状况、缴纳税收和社会保障资金等资格证明材料。</w:t>
      </w:r>
    </w:p>
    <w:p w14:paraId="348420F2">
      <w:pPr>
        <w:pStyle w:val="21"/>
        <w:adjustRightInd w:val="0"/>
        <w:snapToGrid w:val="0"/>
        <w:spacing w:before="0" w:beforeAutospacing="0" w:after="0" w:afterAutospacing="0" w:line="360" w:lineRule="auto"/>
        <w:ind w:firstLine="422" w:firstLineChars="200"/>
        <w:rPr>
          <w:bCs/>
          <w:color w:val="auto"/>
          <w:sz w:val="21"/>
          <w:szCs w:val="21"/>
          <w:highlight w:val="none"/>
        </w:rPr>
      </w:pPr>
      <w:r>
        <w:rPr>
          <w:rFonts w:hint="eastAsia"/>
          <w:b/>
          <w:color w:val="auto"/>
          <w:sz w:val="21"/>
          <w:szCs w:val="21"/>
          <w:highlight w:val="none"/>
        </w:rPr>
        <w:t>2、采购项目的特定资格条件：无</w:t>
      </w:r>
      <w:r>
        <w:rPr>
          <w:rFonts w:hint="eastAsia"/>
          <w:bCs/>
          <w:color w:val="auto"/>
          <w:sz w:val="21"/>
          <w:szCs w:val="21"/>
          <w:highlight w:val="none"/>
        </w:rPr>
        <w:t>。</w:t>
      </w:r>
    </w:p>
    <w:p w14:paraId="4612ECFA">
      <w:pPr>
        <w:pStyle w:val="21"/>
        <w:adjustRightInd w:val="0"/>
        <w:snapToGrid w:val="0"/>
        <w:spacing w:before="0" w:beforeAutospacing="0" w:after="0" w:afterAutospacing="0" w:line="360" w:lineRule="auto"/>
        <w:ind w:firstLine="420" w:firstLineChars="200"/>
        <w:rPr>
          <w:bCs/>
          <w:color w:val="auto"/>
          <w:sz w:val="21"/>
          <w:szCs w:val="21"/>
          <w:highlight w:val="none"/>
        </w:rPr>
      </w:pPr>
      <w:r>
        <w:rPr>
          <w:rFonts w:hint="eastAsia"/>
          <w:bCs/>
          <w:color w:val="auto"/>
          <w:sz w:val="21"/>
          <w:szCs w:val="21"/>
          <w:highlight w:val="none"/>
        </w:rPr>
        <w:t>3、单位负责人为同一人或者存在直接控股、管理关系的不同供应商，不得参加同一合同项下的政府采购活动。</w:t>
      </w:r>
    </w:p>
    <w:p w14:paraId="03E4A491">
      <w:pPr>
        <w:pStyle w:val="21"/>
        <w:adjustRightInd w:val="0"/>
        <w:snapToGrid w:val="0"/>
        <w:spacing w:before="0" w:beforeAutospacing="0" w:after="0" w:afterAutospacing="0" w:line="360" w:lineRule="auto"/>
        <w:ind w:firstLine="420" w:firstLineChars="200"/>
        <w:rPr>
          <w:bCs/>
          <w:color w:val="auto"/>
          <w:sz w:val="21"/>
          <w:szCs w:val="21"/>
          <w:highlight w:val="none"/>
        </w:rPr>
      </w:pPr>
      <w:r>
        <w:rPr>
          <w:rFonts w:hint="eastAsia"/>
          <w:bCs/>
          <w:color w:val="auto"/>
          <w:sz w:val="21"/>
          <w:szCs w:val="21"/>
          <w:highlight w:val="none"/>
        </w:rPr>
        <w:t>4、为本采购项目提供整体设计、规范编制或者项目管理、监理、检测等服务的，不得再参加此项目的其他采购活动。</w:t>
      </w:r>
    </w:p>
    <w:p w14:paraId="123F2053">
      <w:pPr>
        <w:pStyle w:val="21"/>
        <w:adjustRightInd w:val="0"/>
        <w:snapToGrid w:val="0"/>
        <w:spacing w:before="0" w:beforeAutospacing="0" w:after="0" w:afterAutospacing="0" w:line="360" w:lineRule="auto"/>
        <w:ind w:firstLine="420" w:firstLineChars="200"/>
        <w:rPr>
          <w:bCs/>
          <w:color w:val="auto"/>
          <w:sz w:val="21"/>
          <w:szCs w:val="21"/>
          <w:highlight w:val="none"/>
        </w:rPr>
      </w:pPr>
      <w:r>
        <w:rPr>
          <w:rFonts w:hint="eastAsia"/>
          <w:bCs/>
          <w:color w:val="auto"/>
          <w:sz w:val="21"/>
          <w:szCs w:val="21"/>
          <w:highlight w:val="none"/>
        </w:rPr>
        <w:t>5、列入失信被执行人、重大税收违法案件当事人名单，列入政府采购严重违法失信行为记录名单的，拒绝其参与政府采购活动。</w:t>
      </w:r>
    </w:p>
    <w:p w14:paraId="3465C28E">
      <w:pPr>
        <w:pStyle w:val="21"/>
        <w:adjustRightInd w:val="0"/>
        <w:snapToGrid w:val="0"/>
        <w:spacing w:before="0" w:beforeAutospacing="0" w:after="0" w:afterAutospacing="0" w:line="360" w:lineRule="auto"/>
        <w:ind w:firstLine="420" w:firstLineChars="200"/>
        <w:rPr>
          <w:bCs/>
          <w:color w:val="auto"/>
          <w:sz w:val="21"/>
          <w:szCs w:val="21"/>
          <w:highlight w:val="none"/>
        </w:rPr>
      </w:pPr>
      <w:r>
        <w:rPr>
          <w:rFonts w:hint="eastAsia"/>
          <w:bCs/>
          <w:color w:val="auto"/>
          <w:sz w:val="21"/>
          <w:szCs w:val="21"/>
          <w:highlight w:val="none"/>
        </w:rPr>
        <w:t>6、本次</w:t>
      </w:r>
      <w:r>
        <w:rPr>
          <w:rFonts w:hint="eastAsia"/>
          <w:color w:val="auto"/>
          <w:sz w:val="21"/>
          <w:szCs w:val="21"/>
          <w:highlight w:val="none"/>
        </w:rPr>
        <w:t>磋商</w:t>
      </w:r>
      <w:r>
        <w:rPr>
          <w:rFonts w:hint="eastAsia"/>
          <w:bCs/>
          <w:color w:val="auto"/>
          <w:sz w:val="21"/>
          <w:szCs w:val="21"/>
          <w:highlight w:val="none"/>
        </w:rPr>
        <w:t>采购</w:t>
      </w:r>
      <w:r>
        <w:rPr>
          <w:rFonts w:hint="eastAsia"/>
          <w:bCs/>
          <w:color w:val="auto"/>
          <w:sz w:val="21"/>
          <w:szCs w:val="21"/>
          <w:highlight w:val="none"/>
          <w:u w:val="single"/>
        </w:rPr>
        <w:t>不接受</w:t>
      </w:r>
      <w:r>
        <w:rPr>
          <w:rFonts w:hint="eastAsia"/>
          <w:bCs/>
          <w:color w:val="auto"/>
          <w:sz w:val="21"/>
          <w:szCs w:val="21"/>
          <w:highlight w:val="none"/>
        </w:rPr>
        <w:t>供应商为联合体形式。</w:t>
      </w:r>
    </w:p>
    <w:p w14:paraId="30E91B66">
      <w:pPr>
        <w:pStyle w:val="3"/>
        <w:adjustRightInd w:val="0"/>
        <w:snapToGrid w:val="0"/>
        <w:ind w:firstLine="482" w:firstLineChars="200"/>
        <w:rPr>
          <w:rFonts w:ascii="黑体" w:hAnsi="黑体" w:eastAsia="黑体"/>
          <w:color w:val="auto"/>
          <w:highlight w:val="none"/>
        </w:rPr>
      </w:pPr>
      <w:bookmarkStart w:id="3" w:name="_Toc6008"/>
      <w:r>
        <w:rPr>
          <w:rFonts w:hint="eastAsia" w:ascii="黑体" w:hAnsi="黑体" w:eastAsia="黑体"/>
          <w:color w:val="auto"/>
          <w:highlight w:val="none"/>
        </w:rPr>
        <w:t>五、获取磋商文件的时间、地点及方式</w:t>
      </w:r>
      <w:bookmarkEnd w:id="3"/>
    </w:p>
    <w:p w14:paraId="27D99CA0">
      <w:pPr>
        <w:adjustRightInd w:val="0"/>
        <w:snapToGrid w:val="0"/>
        <w:spacing w:line="360" w:lineRule="auto"/>
        <w:ind w:firstLine="420" w:firstLineChars="200"/>
        <w:jc w:val="left"/>
        <w:rPr>
          <w:color w:val="auto"/>
          <w:szCs w:val="21"/>
          <w:highlight w:val="none"/>
        </w:rPr>
      </w:pPr>
      <w:r>
        <w:rPr>
          <w:rFonts w:hint="eastAsia" w:ascii="宋体" w:hAnsi="宋体"/>
          <w:color w:val="auto"/>
          <w:kern w:val="0"/>
          <w:szCs w:val="21"/>
          <w:highlight w:val="none"/>
        </w:rPr>
        <w:t>1</w:t>
      </w:r>
      <w:r>
        <w:rPr>
          <w:rFonts w:hint="eastAsia" w:ascii="宋体" w:hAnsi="宋体" w:cs="微软雅黑"/>
          <w:color w:val="auto"/>
          <w:kern w:val="0"/>
          <w:szCs w:val="21"/>
          <w:highlight w:val="none"/>
        </w:rPr>
        <w:t>、</w:t>
      </w:r>
      <w:bookmarkStart w:id="4" w:name="_Toc12631"/>
      <w:bookmarkEnd w:id="4"/>
      <w:bookmarkStart w:id="5" w:name="_Toc6593"/>
      <w:bookmarkEnd w:id="5"/>
      <w:bookmarkStart w:id="6" w:name="_Toc21952"/>
      <w:bookmarkEnd w:id="6"/>
      <w:bookmarkStart w:id="7" w:name="_Toc110606577"/>
      <w:r>
        <w:rPr>
          <w:rFonts w:hint="eastAsia" w:ascii="宋体" w:hAnsi="宋体" w:cs="宋体"/>
          <w:color w:val="auto"/>
          <w:kern w:val="0"/>
          <w:szCs w:val="21"/>
          <w:highlight w:val="none"/>
        </w:rPr>
        <w:t>获取磋商文件的时间：</w:t>
      </w:r>
      <w:bookmarkEnd w:id="7"/>
      <w:r>
        <w:rPr>
          <w:rFonts w:hint="eastAsia" w:ascii="宋体" w:hAnsi="宋体" w:cs="宋体"/>
          <w:color w:val="auto"/>
          <w:kern w:val="0"/>
          <w:szCs w:val="21"/>
          <w:highlight w:val="none"/>
        </w:rPr>
        <w:t>凡符合投标资格要求并有意参加投标者，可在公告发布之日起至提交响应文件截止之日通过郴州市政府采购（非标）电子交易平台（网址：</w:t>
      </w:r>
      <w:r>
        <w:rPr>
          <w:color w:val="auto"/>
          <w:kern w:val="0"/>
          <w:szCs w:val="21"/>
          <w:highlight w:val="none"/>
          <w:u w:val="single"/>
        </w:rPr>
        <w:t>http://cz.hbncp.com.cn/#/</w:t>
      </w:r>
      <w:r>
        <w:rPr>
          <w:rFonts w:hint="eastAsia" w:ascii="宋体" w:hAnsi="宋体" w:cs="宋体"/>
          <w:color w:val="auto"/>
          <w:kern w:val="0"/>
          <w:szCs w:val="21"/>
          <w:highlight w:val="none"/>
        </w:rPr>
        <w:t>）免费获取及下载电子磋商文件。</w:t>
      </w:r>
    </w:p>
    <w:p w14:paraId="5F1FBD51">
      <w:pPr>
        <w:adjustRightInd w:val="0"/>
        <w:snapToGrid w:val="0"/>
        <w:spacing w:line="360" w:lineRule="auto"/>
        <w:ind w:firstLine="420" w:firstLineChars="200"/>
        <w:jc w:val="left"/>
        <w:rPr>
          <w:color w:val="auto"/>
          <w:szCs w:val="21"/>
          <w:highlight w:val="none"/>
        </w:rPr>
      </w:pPr>
      <w:r>
        <w:rPr>
          <w:rFonts w:hint="eastAsia" w:ascii="宋体" w:hAnsi="宋体" w:cs="宋体"/>
          <w:color w:val="auto"/>
          <w:kern w:val="0"/>
          <w:szCs w:val="21"/>
          <w:highlight w:val="none"/>
        </w:rPr>
        <w:t>2、磋商文件及修改、澄清文件的获取方式：</w:t>
      </w:r>
    </w:p>
    <w:p w14:paraId="36279801">
      <w:pPr>
        <w:adjustRightInd w:val="0"/>
        <w:snapToGrid w:val="0"/>
        <w:spacing w:line="360" w:lineRule="auto"/>
        <w:ind w:firstLine="388" w:firstLineChars="200"/>
        <w:jc w:val="left"/>
        <w:rPr>
          <w:color w:val="auto"/>
          <w:szCs w:val="21"/>
          <w:highlight w:val="none"/>
        </w:rPr>
      </w:pPr>
      <w:r>
        <w:rPr>
          <w:rFonts w:hint="eastAsia" w:ascii="宋体" w:hAnsi="宋体" w:cs="宋体"/>
          <w:color w:val="auto"/>
          <w:spacing w:val="-8"/>
          <w:kern w:val="0"/>
          <w:szCs w:val="21"/>
          <w:highlight w:val="none"/>
        </w:rPr>
        <w:t xml:space="preserve">2.1 </w:t>
      </w:r>
      <w:r>
        <w:rPr>
          <w:rFonts w:hint="eastAsia" w:ascii="宋体" w:hAnsi="宋体" w:cs="宋体"/>
          <w:color w:val="auto"/>
          <w:kern w:val="0"/>
          <w:szCs w:val="21"/>
          <w:highlight w:val="none"/>
        </w:rPr>
        <w:t>供应商</w:t>
      </w:r>
      <w:r>
        <w:rPr>
          <w:rFonts w:hint="eastAsia" w:ascii="宋体" w:hAnsi="宋体" w:cs="宋体"/>
          <w:color w:val="auto"/>
          <w:spacing w:val="-8"/>
          <w:kern w:val="0"/>
          <w:szCs w:val="21"/>
          <w:highlight w:val="none"/>
        </w:rPr>
        <w:t>应在本项目获取磋商文件截止时间前登录湖南省公共资源交易统一注册平台（网址：</w:t>
      </w:r>
      <w:r>
        <w:rPr>
          <w:color w:val="auto"/>
          <w:kern w:val="0"/>
          <w:szCs w:val="21"/>
          <w:highlight w:val="none"/>
          <w:u w:val="single"/>
        </w:rPr>
        <w:t>http://222.240.80.14:8888/G2/register!verification.do?systemId=4028c7b35a8cfff2015a8df8bba001fc</w:t>
      </w:r>
      <w:r>
        <w:rPr>
          <w:rFonts w:hint="eastAsia" w:ascii="宋体" w:hAnsi="宋体" w:cs="宋体"/>
          <w:color w:val="auto"/>
          <w:kern w:val="0"/>
          <w:szCs w:val="21"/>
          <w:highlight w:val="none"/>
        </w:rPr>
        <w:t>）中进行账号注册和数字证书申请。</w:t>
      </w:r>
    </w:p>
    <w:p w14:paraId="1FD1AB9C">
      <w:pPr>
        <w:adjustRightInd w:val="0"/>
        <w:snapToGrid w:val="0"/>
        <w:spacing w:line="360" w:lineRule="auto"/>
        <w:ind w:firstLine="420" w:firstLineChars="200"/>
        <w:jc w:val="left"/>
        <w:rPr>
          <w:color w:val="auto"/>
          <w:szCs w:val="21"/>
          <w:highlight w:val="none"/>
        </w:rPr>
      </w:pPr>
      <w:r>
        <w:rPr>
          <w:rFonts w:hint="eastAsia" w:ascii="宋体" w:hAnsi="宋体" w:cs="宋体"/>
          <w:color w:val="auto"/>
          <w:kern w:val="0"/>
          <w:szCs w:val="21"/>
          <w:highlight w:val="none"/>
        </w:rPr>
        <w:t>2.2 已完成审核的供应商应在本项目获取磋商文件截止时间前登录郴州市政府采购（非标）电子交易平台（网址：</w:t>
      </w:r>
      <w:r>
        <w:rPr>
          <w:color w:val="auto"/>
          <w:kern w:val="0"/>
          <w:szCs w:val="21"/>
          <w:highlight w:val="none"/>
          <w:u w:val="single"/>
        </w:rPr>
        <w:t>http://cz.hbncp.com.cn/#/</w:t>
      </w:r>
      <w:r>
        <w:rPr>
          <w:rFonts w:hint="eastAsia" w:ascii="宋体" w:hAnsi="宋体" w:cs="宋体"/>
          <w:color w:val="auto"/>
          <w:kern w:val="0"/>
          <w:szCs w:val="21"/>
          <w:highlight w:val="none"/>
        </w:rPr>
        <w:t>）中进行“公告”--“立即投递”--“下载文件”的操作，逾期将不能获取文件。未按照相关程序操作的投标人，所产生的后果由投标人自行承担全部责任。修改、澄清后的磋商文件请投标人自行在以上网站下载或查阅，恕不另行通知，如有遗漏，由投标人自行承担全部责任。</w:t>
      </w:r>
    </w:p>
    <w:p w14:paraId="2BC0A3D9">
      <w:pPr>
        <w:adjustRightInd w:val="0"/>
        <w:snapToGrid w:val="0"/>
        <w:spacing w:line="360" w:lineRule="auto"/>
        <w:ind w:firstLine="420" w:firstLineChars="200"/>
        <w:jc w:val="left"/>
        <w:rPr>
          <w:color w:val="auto"/>
          <w:szCs w:val="21"/>
          <w:highlight w:val="none"/>
        </w:rPr>
      </w:pPr>
      <w:r>
        <w:rPr>
          <w:rFonts w:hint="eastAsia" w:ascii="宋体" w:hAnsi="宋体" w:cs="宋体"/>
          <w:color w:val="auto"/>
          <w:kern w:val="0"/>
          <w:szCs w:val="21"/>
          <w:highlight w:val="none"/>
        </w:rPr>
        <w:t>3、通过网络下载，其磋商文件与备案的书面磋商文件具有同等法律效力。供应商应及时关注网上相关采购信息，如有遗漏（包括但不限于文件未下载或下载不完整），采购人概不负责，所造成的投标失败或损失由投标人自行承担。</w:t>
      </w:r>
    </w:p>
    <w:p w14:paraId="4858A543">
      <w:pPr>
        <w:pStyle w:val="3"/>
        <w:adjustRightInd w:val="0"/>
        <w:snapToGrid w:val="0"/>
        <w:ind w:firstLine="482" w:firstLineChars="200"/>
        <w:rPr>
          <w:rFonts w:ascii="黑体" w:hAnsi="黑体" w:eastAsia="黑体"/>
          <w:color w:val="auto"/>
          <w:highlight w:val="none"/>
        </w:rPr>
      </w:pPr>
      <w:bookmarkStart w:id="8" w:name="_Toc22201059"/>
      <w:bookmarkStart w:id="9" w:name="_Toc13768"/>
      <w:bookmarkStart w:id="10" w:name="_Toc23143"/>
      <w:r>
        <w:rPr>
          <w:rFonts w:hint="eastAsia" w:ascii="黑体" w:hAnsi="黑体" w:eastAsia="黑体"/>
          <w:color w:val="auto"/>
          <w:highlight w:val="none"/>
        </w:rPr>
        <w:t>六、提交首次响应文件的截止时间、磋商时间及地点</w:t>
      </w:r>
      <w:bookmarkEnd w:id="8"/>
      <w:bookmarkEnd w:id="9"/>
      <w:bookmarkEnd w:id="10"/>
    </w:p>
    <w:p w14:paraId="57E067EA">
      <w:pPr>
        <w:pStyle w:val="35"/>
        <w:adjustRightInd w:val="0"/>
        <w:snapToGrid w:val="0"/>
        <w:spacing w:line="360" w:lineRule="auto"/>
        <w:rPr>
          <w:color w:val="auto"/>
          <w:highlight w:val="none"/>
        </w:rPr>
      </w:pPr>
      <w:bookmarkStart w:id="11" w:name="_Toc3072"/>
      <w:bookmarkEnd w:id="11"/>
      <w:bookmarkStart w:id="12" w:name="_Toc110606580"/>
      <w:bookmarkEnd w:id="12"/>
      <w:r>
        <w:rPr>
          <w:rFonts w:hint="eastAsia"/>
          <w:color w:val="auto"/>
          <w:highlight w:val="none"/>
        </w:rPr>
        <w:t xml:space="preserve">1、响应文件的提交方式：供应商应在本项目获取磋商文件截止时间前登录郴州市公共资源（非标）电子交易平台（网址：http://cz.hbncp.com.cn/#/）进行线上上传。 </w:t>
      </w:r>
    </w:p>
    <w:p w14:paraId="0C4859F2">
      <w:pPr>
        <w:pStyle w:val="35"/>
        <w:adjustRightInd w:val="0"/>
        <w:snapToGrid w:val="0"/>
        <w:spacing w:line="360" w:lineRule="auto"/>
        <w:rPr>
          <w:color w:val="auto"/>
          <w:highlight w:val="none"/>
        </w:rPr>
      </w:pPr>
      <w:r>
        <w:rPr>
          <w:rFonts w:hint="eastAsia"/>
          <w:color w:val="auto"/>
          <w:highlight w:val="none"/>
        </w:rPr>
        <w:t>2、首次响应文件的提交截止时间：</w:t>
      </w:r>
      <w:r>
        <w:rPr>
          <w:rFonts w:hint="eastAsia"/>
          <w:color w:val="auto"/>
          <w:highlight w:val="none"/>
        </w:rPr>
        <w:t>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22</w:t>
      </w:r>
      <w:r>
        <w:rPr>
          <w:rFonts w:hint="eastAsia"/>
          <w:color w:val="auto"/>
          <w:highlight w:val="none"/>
        </w:rPr>
        <w:t>日上午</w:t>
      </w:r>
      <w:r>
        <w:rPr>
          <w:rFonts w:hint="eastAsia"/>
          <w:color w:val="auto"/>
          <w:highlight w:val="none"/>
          <w:lang w:val="en-US" w:eastAsia="zh-CN"/>
        </w:rPr>
        <w:t>9</w:t>
      </w:r>
      <w:r>
        <w:rPr>
          <w:rFonts w:hint="eastAsia"/>
          <w:color w:val="auto"/>
          <w:highlight w:val="none"/>
        </w:rPr>
        <w:t>时</w:t>
      </w:r>
      <w:r>
        <w:rPr>
          <w:rFonts w:hint="eastAsia"/>
          <w:color w:val="auto"/>
          <w:highlight w:val="none"/>
          <w:lang w:val="en-US" w:eastAsia="zh-CN"/>
        </w:rPr>
        <w:t>30</w:t>
      </w:r>
      <w:r>
        <w:rPr>
          <w:rFonts w:hint="eastAsia"/>
          <w:color w:val="auto"/>
          <w:highlight w:val="none"/>
        </w:rPr>
        <w:t>分（</w:t>
      </w:r>
      <w:r>
        <w:rPr>
          <w:rFonts w:hint="eastAsia"/>
          <w:color w:val="auto"/>
          <w:highlight w:val="none"/>
        </w:rPr>
        <w:t xml:space="preserve">北京时间），超过截止时间的投标将被拒绝。 </w:t>
      </w:r>
    </w:p>
    <w:p w14:paraId="26706E5B">
      <w:pPr>
        <w:pStyle w:val="35"/>
        <w:adjustRightInd w:val="0"/>
        <w:snapToGrid w:val="0"/>
        <w:spacing w:line="360" w:lineRule="auto"/>
        <w:rPr>
          <w:color w:val="auto"/>
          <w:highlight w:val="none"/>
        </w:rPr>
      </w:pPr>
      <w:r>
        <w:rPr>
          <w:rFonts w:hint="eastAsia"/>
          <w:color w:val="auto"/>
          <w:highlight w:val="none"/>
        </w:rPr>
        <w:t>3、首次响应文件的开启时间</w:t>
      </w:r>
      <w:r>
        <w:rPr>
          <w:rFonts w:hint="eastAsia"/>
          <w:color w:val="auto"/>
          <w:highlight w:val="none"/>
        </w:rPr>
        <w:t>：202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22</w:t>
      </w:r>
      <w:r>
        <w:rPr>
          <w:rFonts w:hint="eastAsia"/>
          <w:color w:val="auto"/>
          <w:highlight w:val="none"/>
        </w:rPr>
        <w:t>日上午</w:t>
      </w:r>
      <w:r>
        <w:rPr>
          <w:rFonts w:hint="eastAsia" w:ascii="Times New Roman" w:eastAsia="宋体"/>
          <w:color w:val="auto"/>
          <w:highlight w:val="none"/>
          <w:lang w:val="en-US" w:eastAsia="zh-CN"/>
        </w:rPr>
        <w:t>9</w:t>
      </w:r>
      <w:r>
        <w:rPr>
          <w:rFonts w:hint="eastAsia"/>
          <w:color w:val="auto"/>
          <w:highlight w:val="none"/>
        </w:rPr>
        <w:t>时</w:t>
      </w:r>
      <w:r>
        <w:rPr>
          <w:rFonts w:hint="eastAsia" w:ascii="Times New Roman" w:eastAsia="宋体"/>
          <w:color w:val="auto"/>
          <w:highlight w:val="none"/>
          <w:lang w:val="en-US" w:eastAsia="zh-CN"/>
        </w:rPr>
        <w:t>30</w:t>
      </w:r>
      <w:r>
        <w:rPr>
          <w:rFonts w:hint="eastAsia"/>
          <w:color w:val="auto"/>
          <w:highlight w:val="none"/>
        </w:rPr>
        <w:t>分</w:t>
      </w:r>
      <w:r>
        <w:rPr>
          <w:rFonts w:hint="eastAsia"/>
          <w:color w:val="auto"/>
          <w:highlight w:val="none"/>
        </w:rPr>
        <w:t>（北京时间）。</w:t>
      </w:r>
    </w:p>
    <w:p w14:paraId="305C259F">
      <w:pPr>
        <w:pStyle w:val="35"/>
        <w:adjustRightInd w:val="0"/>
        <w:snapToGrid w:val="0"/>
        <w:spacing w:line="360" w:lineRule="auto"/>
        <w:rPr>
          <w:color w:val="auto"/>
          <w:highlight w:val="none"/>
        </w:rPr>
      </w:pPr>
      <w:r>
        <w:rPr>
          <w:rFonts w:hint="eastAsia"/>
          <w:color w:val="auto"/>
          <w:highlight w:val="none"/>
        </w:rPr>
        <w:t>4、首次响应文件的开启地点：郴州市市民服务中心4楼市公共资源</w:t>
      </w:r>
      <w:r>
        <w:rPr>
          <w:rFonts w:hint="eastAsia"/>
          <w:color w:val="auto"/>
          <w:highlight w:val="none"/>
        </w:rPr>
        <w:t>交易中心第</w:t>
      </w:r>
      <w:r>
        <w:rPr>
          <w:rFonts w:hint="eastAsia"/>
          <w:color w:val="auto"/>
          <w:highlight w:val="none"/>
          <w:lang w:val="en-US" w:eastAsia="zh-CN"/>
        </w:rPr>
        <w:t>5</w:t>
      </w:r>
      <w:r>
        <w:rPr>
          <w:rFonts w:hint="eastAsia"/>
          <w:color w:val="auto"/>
          <w:highlight w:val="none"/>
        </w:rPr>
        <w:t>开标室。</w:t>
      </w:r>
    </w:p>
    <w:p w14:paraId="2772A87E">
      <w:pPr>
        <w:pStyle w:val="35"/>
        <w:adjustRightInd w:val="0"/>
        <w:snapToGrid w:val="0"/>
        <w:spacing w:line="360" w:lineRule="auto"/>
        <w:rPr>
          <w:color w:val="auto"/>
          <w:highlight w:val="none"/>
        </w:rPr>
      </w:pPr>
      <w:r>
        <w:rPr>
          <w:rFonts w:hint="eastAsia"/>
          <w:color w:val="auto"/>
          <w:highlight w:val="none"/>
        </w:rPr>
        <w:t>5、本项目实行全流程电子化，供应商应在规定时间内使用电脑自行远程解密开启文件，并参加网上开标活动。电子响应文件解密时限：30分钟。请投标人确保响应文件如期解密。</w:t>
      </w:r>
    </w:p>
    <w:p w14:paraId="38243CE6">
      <w:pPr>
        <w:pStyle w:val="35"/>
        <w:adjustRightInd w:val="0"/>
        <w:snapToGrid w:val="0"/>
        <w:spacing w:line="360" w:lineRule="auto"/>
        <w:rPr>
          <w:color w:val="auto"/>
          <w:highlight w:val="none"/>
        </w:rPr>
      </w:pPr>
      <w:r>
        <w:rPr>
          <w:rFonts w:hint="eastAsia"/>
          <w:color w:val="auto"/>
          <w:highlight w:val="none"/>
        </w:rPr>
        <w:t>6、首次响应文件的开启时间与提交首次响应文件的截止时间为同一时间。</w:t>
      </w:r>
    </w:p>
    <w:p w14:paraId="59916230">
      <w:pPr>
        <w:pStyle w:val="35"/>
        <w:adjustRightInd w:val="0"/>
        <w:snapToGrid w:val="0"/>
        <w:spacing w:line="360" w:lineRule="auto"/>
        <w:rPr>
          <w:color w:val="auto"/>
          <w:highlight w:val="none"/>
        </w:rPr>
      </w:pPr>
      <w:r>
        <w:rPr>
          <w:rFonts w:hint="eastAsia"/>
          <w:color w:val="auto"/>
          <w:highlight w:val="none"/>
        </w:rPr>
        <w:t>7、本项目电子响应文件容量应当控制在100MB以内（如文件大小超过100M，请联系系统客服协助），请投标人注意控制文件大小，若因响应文件容量较大而影响投标的，其责任由投标人自行承担。</w:t>
      </w:r>
    </w:p>
    <w:p w14:paraId="425CAF4C">
      <w:pPr>
        <w:pStyle w:val="35"/>
        <w:adjustRightInd w:val="0"/>
        <w:snapToGrid w:val="0"/>
        <w:spacing w:line="360" w:lineRule="auto"/>
        <w:rPr>
          <w:color w:val="auto"/>
          <w:highlight w:val="none"/>
        </w:rPr>
      </w:pPr>
      <w:r>
        <w:rPr>
          <w:rFonts w:hint="eastAsia"/>
          <w:color w:val="auto"/>
          <w:highlight w:val="none"/>
        </w:rPr>
        <w:t>8、为保证本项目的顺利进行，投标人应在投递页面填写本项目的磋商授权代表的手机号码，以便顺利通过视频会议进行磋商。</w:t>
      </w:r>
    </w:p>
    <w:p w14:paraId="341605E9">
      <w:pPr>
        <w:keepNext/>
        <w:keepLines/>
        <w:adjustRightInd w:val="0"/>
        <w:snapToGrid w:val="0"/>
        <w:spacing w:beforeLines="50" w:line="360" w:lineRule="auto"/>
        <w:ind w:firstLine="482" w:firstLineChars="200"/>
        <w:outlineLvl w:val="1"/>
        <w:rPr>
          <w:rFonts w:hint="eastAsia" w:ascii="黑体" w:hAnsi="黑体" w:eastAsia="黑体" w:cs="Times New Roman"/>
          <w:b/>
          <w:bCs/>
          <w:color w:val="auto"/>
          <w:kern w:val="2"/>
          <w:sz w:val="24"/>
          <w:szCs w:val="32"/>
          <w:highlight w:val="none"/>
          <w:lang w:val="en-US" w:eastAsia="zh-CN" w:bidi="ar-SA"/>
        </w:rPr>
      </w:pPr>
      <w:bookmarkStart w:id="13" w:name="_Toc18625"/>
      <w:bookmarkStart w:id="14" w:name="_Toc19218"/>
      <w:r>
        <w:rPr>
          <w:rFonts w:hint="eastAsia" w:ascii="黑体" w:hAnsi="黑体" w:eastAsia="黑体" w:cs="Times New Roman"/>
          <w:b/>
          <w:bCs/>
          <w:color w:val="auto"/>
          <w:kern w:val="2"/>
          <w:sz w:val="24"/>
          <w:szCs w:val="32"/>
          <w:highlight w:val="none"/>
          <w:lang w:val="en-US" w:eastAsia="zh-CN" w:bidi="ar-SA"/>
        </w:rPr>
        <w:t>七、</w:t>
      </w:r>
      <w:bookmarkEnd w:id="13"/>
      <w:r>
        <w:rPr>
          <w:rFonts w:hint="eastAsia" w:ascii="黑体" w:hAnsi="黑体" w:eastAsia="黑体" w:cs="Times New Roman"/>
          <w:b/>
          <w:bCs/>
          <w:color w:val="auto"/>
          <w:kern w:val="2"/>
          <w:sz w:val="24"/>
          <w:szCs w:val="32"/>
          <w:highlight w:val="none"/>
          <w:lang w:val="en-US" w:eastAsia="zh-CN" w:bidi="ar-SA"/>
        </w:rPr>
        <w:t>询问及质疑</w:t>
      </w:r>
      <w:bookmarkEnd w:id="14"/>
    </w:p>
    <w:p w14:paraId="75549B3B">
      <w:pPr>
        <w:adjustRightInd w:val="0"/>
        <w:snapToGrid w:val="0"/>
        <w:spacing w:beforeLines="50" w:line="360" w:lineRule="auto"/>
        <w:ind w:firstLine="420" w:firstLineChars="200"/>
        <w:rPr>
          <w:rFonts w:ascii="宋体" w:hAnsi="宋体"/>
          <w:color w:val="auto"/>
          <w:szCs w:val="21"/>
          <w:highlight w:val="none"/>
        </w:rPr>
      </w:pPr>
      <w:r>
        <w:rPr>
          <w:rFonts w:hint="eastAsia" w:ascii="宋体" w:hAnsi="宋体"/>
          <w:color w:val="auto"/>
          <w:szCs w:val="21"/>
          <w:highlight w:val="none"/>
        </w:rPr>
        <w:t>1、供应商对政府采购活动事项如有疑问的，可以向采购人、采购代理机构提出询问。采购人、采购代理机构将在3个工作日内作出答复。</w:t>
      </w:r>
    </w:p>
    <w:p w14:paraId="73137693">
      <w:pPr>
        <w:adjustRightInd w:val="0"/>
        <w:snapToGrid w:val="0"/>
        <w:spacing w:beforeLines="50" w:line="360" w:lineRule="auto"/>
        <w:ind w:firstLine="420" w:firstLineChars="200"/>
        <w:rPr>
          <w:rFonts w:ascii="宋体" w:hAnsi="宋体" w:cs="宋体"/>
          <w:color w:val="auto"/>
          <w:szCs w:val="21"/>
          <w:highlight w:val="none"/>
        </w:rPr>
      </w:pPr>
      <w:r>
        <w:rPr>
          <w:rFonts w:hint="eastAsia" w:ascii="宋体" w:hAnsi="宋体"/>
          <w:color w:val="auto"/>
          <w:szCs w:val="21"/>
          <w:highlight w:val="none"/>
        </w:rPr>
        <w:t>2、供应商认为磋商文件使自己的合法权益受到损害的，可以在收到磋商文件</w:t>
      </w:r>
      <w:r>
        <w:rPr>
          <w:rFonts w:hint="eastAsia" w:ascii="宋体" w:hAnsi="宋体" w:cs="宋体"/>
          <w:color w:val="auto"/>
          <w:szCs w:val="21"/>
          <w:highlight w:val="none"/>
        </w:rPr>
        <w:t>之日起7个工作日内，按《湖南省财政厅关于印发＜政府采购质疑答复和投诉处理操作规程＞的通知》(湘财购〔2019〕20号)规定，以纸质书面形式向采购人、采购代理机构提出质疑。</w:t>
      </w:r>
    </w:p>
    <w:p w14:paraId="78B33DA0">
      <w:pPr>
        <w:keepNext/>
        <w:keepLines/>
        <w:widowControl w:val="0"/>
        <w:adjustRightInd w:val="0"/>
        <w:spacing w:before="50" w:afterAutospacing="1" w:line="23" w:lineRule="atLeast"/>
        <w:ind w:firstLine="482" w:firstLineChars="200"/>
        <w:jc w:val="left"/>
        <w:outlineLvl w:val="1"/>
        <w:rPr>
          <w:rFonts w:hint="eastAsia" w:ascii="黑体" w:hAnsi="黑体" w:eastAsia="黑体" w:cs="黑体"/>
          <w:b/>
          <w:bCs/>
          <w:color w:val="auto"/>
          <w:highlight w:val="none"/>
        </w:rPr>
      </w:pPr>
      <w:r>
        <w:rPr>
          <w:rFonts w:hint="eastAsia" w:ascii="黑体" w:hAnsi="黑体" w:eastAsia="黑体" w:cs="黑体"/>
          <w:b/>
          <w:bCs/>
          <w:color w:val="auto"/>
          <w:kern w:val="0"/>
          <w:sz w:val="24"/>
          <w:highlight w:val="none"/>
        </w:rPr>
        <w:t>八、公告期限</w:t>
      </w:r>
    </w:p>
    <w:p w14:paraId="44187168">
      <w:pPr>
        <w:adjustRightInd w:val="0"/>
        <w:spacing w:beforeAutospacing="1" w:afterAutospacing="1" w:line="23" w:lineRule="atLeast"/>
        <w:ind w:firstLine="420" w:firstLineChars="200"/>
        <w:jc w:val="left"/>
        <w:rPr>
          <w:color w:val="auto"/>
          <w:highlight w:val="none"/>
        </w:rPr>
      </w:pPr>
      <w:r>
        <w:rPr>
          <w:rFonts w:hint="eastAsia" w:ascii="宋体" w:hAnsi="宋体" w:cs="宋体"/>
          <w:color w:val="auto"/>
          <w:kern w:val="0"/>
          <w:szCs w:val="21"/>
          <w:highlight w:val="none"/>
        </w:rPr>
        <w:t>1、本公告在中国湖南政府采购网（www.ccgp-hunan.gov.cn）和郴州市公共资源交易中心网（http://czggzy.czs.gov.cn/）发布。公告期限自本公告发布之日起5个工作日。</w:t>
      </w:r>
    </w:p>
    <w:p w14:paraId="7175CA39">
      <w:pPr>
        <w:adjustRightInd w:val="0"/>
        <w:spacing w:before="50" w:afterAutospacing="1" w:line="23" w:lineRule="atLeast"/>
        <w:ind w:firstLine="420" w:firstLineChars="200"/>
        <w:jc w:val="left"/>
        <w:rPr>
          <w:color w:val="auto"/>
          <w:highlight w:val="none"/>
        </w:rPr>
      </w:pPr>
      <w:r>
        <w:rPr>
          <w:rFonts w:hint="eastAsia" w:ascii="宋体" w:hAnsi="宋体" w:cs="宋体"/>
          <w:color w:val="auto"/>
          <w:kern w:val="0"/>
          <w:szCs w:val="21"/>
          <w:highlight w:val="none"/>
        </w:rPr>
        <w:t>2、在其他媒体发布的邀请公告，公告内容以本公告为准。</w:t>
      </w:r>
    </w:p>
    <w:p w14:paraId="01EF4D1D">
      <w:pPr>
        <w:keepNext/>
        <w:keepLines/>
        <w:widowControl w:val="0"/>
        <w:adjustRightInd w:val="0"/>
        <w:spacing w:before="50" w:afterAutospacing="1" w:line="23" w:lineRule="atLeast"/>
        <w:ind w:firstLine="482" w:firstLineChars="200"/>
        <w:jc w:val="left"/>
        <w:outlineLvl w:val="1"/>
        <w:rPr>
          <w:rFonts w:hint="eastAsia" w:ascii="黑体" w:hAnsi="黑体" w:eastAsia="黑体" w:cs="黑体"/>
          <w:b/>
          <w:bCs/>
          <w:color w:val="auto"/>
          <w:kern w:val="0"/>
          <w:sz w:val="24"/>
          <w:highlight w:val="none"/>
        </w:rPr>
      </w:pPr>
      <w:r>
        <w:rPr>
          <w:rFonts w:hint="eastAsia" w:ascii="黑体" w:hAnsi="黑体" w:eastAsia="黑体" w:cs="黑体"/>
          <w:b/>
          <w:bCs/>
          <w:color w:val="auto"/>
          <w:kern w:val="0"/>
          <w:sz w:val="24"/>
          <w:highlight w:val="none"/>
        </w:rPr>
        <w:t>九、磋商说明</w:t>
      </w:r>
    </w:p>
    <w:p w14:paraId="1354CF4E">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宋体" w:hAnsi="宋体" w:cs="宋体"/>
          <w:color w:val="auto"/>
          <w:szCs w:val="21"/>
          <w:highlight w:val="none"/>
        </w:rPr>
      </w:pPr>
      <w:r>
        <w:rPr>
          <w:rFonts w:hint="eastAsia" w:ascii="宋体" w:hAnsi="宋体" w:cs="宋体"/>
          <w:color w:val="auto"/>
          <w:szCs w:val="21"/>
          <w:highlight w:val="none"/>
        </w:rPr>
        <w:t>1、磋商邀请选项：</w:t>
      </w:r>
      <w:r>
        <w:rPr>
          <w:rFonts w:hint="eastAsia" w:ascii="宋体" w:hAnsi="宋体" w:cs="宋体"/>
          <w:color w:val="auto"/>
          <w:szCs w:val="21"/>
          <w:highlight w:val="none"/>
        </w:rPr>
        <w:sym w:font="Wingdings" w:char="F0FE"/>
      </w:r>
      <w:r>
        <w:rPr>
          <w:rFonts w:hint="eastAsia" w:ascii="宋体" w:hAnsi="宋体" w:cs="宋体"/>
          <w:color w:val="auto"/>
          <w:szCs w:val="21"/>
          <w:highlight w:val="none"/>
        </w:rPr>
        <w:t>表示选择，</w:t>
      </w:r>
      <w:r>
        <w:rPr>
          <w:rFonts w:hint="eastAsia" w:ascii="宋体" w:hAnsi="宋体" w:cs="宋体"/>
          <w:color w:val="auto"/>
          <w:szCs w:val="21"/>
          <w:highlight w:val="none"/>
        </w:rPr>
        <w:sym w:font="Wingdings" w:char="F0A8"/>
      </w:r>
      <w:r>
        <w:rPr>
          <w:rFonts w:hint="eastAsia" w:ascii="宋体" w:hAnsi="宋体" w:cs="宋体"/>
          <w:color w:val="auto"/>
          <w:szCs w:val="21"/>
          <w:highlight w:val="none"/>
        </w:rPr>
        <w:t>表示未选择。</w:t>
      </w:r>
    </w:p>
    <w:p w14:paraId="1521AB01">
      <w:pPr>
        <w:keepNext/>
        <w:keepLines/>
        <w:adjustRightInd w:val="0"/>
        <w:snapToGrid w:val="0"/>
        <w:spacing w:before="50" w:line="360" w:lineRule="auto"/>
        <w:ind w:firstLine="420" w:firstLineChars="200"/>
        <w:outlineLvl w:val="1"/>
        <w:rPr>
          <w:rFonts w:ascii="宋体" w:hAnsi="宋体" w:cs="宋体"/>
          <w:color w:val="auto"/>
          <w:szCs w:val="21"/>
          <w:highlight w:val="none"/>
        </w:rPr>
      </w:pPr>
      <w:bookmarkStart w:id="15" w:name="_Toc29057"/>
      <w:r>
        <w:rPr>
          <w:rFonts w:hint="eastAsia" w:ascii="宋体" w:hAnsi="宋体" w:cs="宋体"/>
          <w:color w:val="auto"/>
          <w:szCs w:val="21"/>
          <w:highlight w:val="none"/>
        </w:rPr>
        <w:t>2、供应商参与政府采购活动，无需向采购人、代理机构、交易平台缴纳任何费用。</w:t>
      </w:r>
      <w:bookmarkEnd w:id="15"/>
    </w:p>
    <w:p w14:paraId="4DCE4CA8">
      <w:pPr>
        <w:keepNext/>
        <w:keepLines/>
        <w:widowControl w:val="0"/>
        <w:adjustRightInd w:val="0"/>
        <w:spacing w:before="50" w:afterAutospacing="1" w:line="23" w:lineRule="atLeast"/>
        <w:ind w:firstLine="482" w:firstLineChars="200"/>
        <w:jc w:val="left"/>
        <w:outlineLvl w:val="1"/>
        <w:rPr>
          <w:rFonts w:hint="eastAsia" w:ascii="黑体" w:hAnsi="黑体" w:eastAsia="黑体" w:cs="黑体"/>
          <w:b/>
          <w:bCs/>
          <w:color w:val="auto"/>
          <w:kern w:val="0"/>
          <w:sz w:val="24"/>
          <w:highlight w:val="none"/>
        </w:rPr>
      </w:pPr>
      <w:bookmarkStart w:id="16" w:name="_Toc25650"/>
      <w:bookmarkStart w:id="17" w:name="_Toc22234"/>
      <w:bookmarkStart w:id="18" w:name="_Toc15028"/>
      <w:r>
        <w:rPr>
          <w:rFonts w:hint="eastAsia" w:ascii="黑体" w:hAnsi="黑体" w:eastAsia="黑体" w:cs="黑体"/>
          <w:b/>
          <w:bCs/>
          <w:color w:val="auto"/>
          <w:kern w:val="0"/>
          <w:sz w:val="24"/>
          <w:highlight w:val="none"/>
        </w:rPr>
        <w:t>十、采购项目联系人姓名和电话</w:t>
      </w:r>
      <w:bookmarkEnd w:id="16"/>
      <w:bookmarkEnd w:id="17"/>
      <w:bookmarkEnd w:id="18"/>
    </w:p>
    <w:p w14:paraId="414AE459">
      <w:pPr>
        <w:widowControl w:val="0"/>
        <w:snapToGrid w:val="0"/>
        <w:spacing w:line="440" w:lineRule="exact"/>
        <w:ind w:firstLine="422" w:firstLineChars="200"/>
        <w:jc w:val="left"/>
        <w:rPr>
          <w:rFonts w:ascii="宋体" w:hAnsi="宋体" w:cs="宋体"/>
          <w:b/>
          <w:bCs/>
          <w:color w:val="auto"/>
          <w:kern w:val="0"/>
          <w:szCs w:val="21"/>
          <w:highlight w:val="none"/>
        </w:rPr>
      </w:pPr>
      <w:r>
        <w:rPr>
          <w:rFonts w:hint="eastAsia" w:ascii="宋体" w:hAnsi="宋体" w:cs="宋体"/>
          <w:b/>
          <w:bCs/>
          <w:color w:val="auto"/>
          <w:kern w:val="0"/>
          <w:szCs w:val="21"/>
          <w:highlight w:val="none"/>
        </w:rPr>
        <w:t>1、采购人信息：</w:t>
      </w:r>
    </w:p>
    <w:p w14:paraId="659F50EA">
      <w:pPr>
        <w:widowControl w:val="0"/>
        <w:spacing w:line="440" w:lineRule="exact"/>
        <w:ind w:firstLine="411" w:firstLineChars="196"/>
        <w:rPr>
          <w:rFonts w:ascii="宋体" w:hAnsi="宋体"/>
          <w:color w:val="auto"/>
          <w:szCs w:val="21"/>
          <w:highlight w:val="none"/>
        </w:rPr>
      </w:pPr>
      <w:r>
        <w:rPr>
          <w:rFonts w:hint="eastAsia" w:ascii="宋体" w:hAnsi="宋体"/>
          <w:color w:val="auto"/>
          <w:szCs w:val="21"/>
          <w:highlight w:val="none"/>
        </w:rPr>
        <w:t>采购人：郴州市林业科学研究所</w:t>
      </w:r>
    </w:p>
    <w:p w14:paraId="1089AF2B">
      <w:pPr>
        <w:widowControl w:val="0"/>
        <w:spacing w:line="440" w:lineRule="exact"/>
        <w:ind w:firstLine="411" w:firstLineChars="196"/>
        <w:rPr>
          <w:rFonts w:ascii="宋体" w:hAnsi="宋体"/>
          <w:color w:val="auto"/>
          <w:szCs w:val="21"/>
          <w:highlight w:val="none"/>
        </w:rPr>
      </w:pPr>
      <w:r>
        <w:rPr>
          <w:rFonts w:hint="eastAsia" w:ascii="宋体" w:hAnsi="宋体"/>
          <w:color w:val="auto"/>
          <w:szCs w:val="21"/>
          <w:highlight w:val="none"/>
        </w:rPr>
        <w:t>地  址：郴州市北湖区骆仙路41号市林业科学研究所</w:t>
      </w:r>
    </w:p>
    <w:p w14:paraId="13BD2F04">
      <w:pPr>
        <w:widowControl w:val="0"/>
        <w:spacing w:line="440" w:lineRule="exact"/>
        <w:ind w:firstLine="411" w:firstLineChars="196"/>
        <w:rPr>
          <w:rFonts w:ascii="宋体" w:hAnsi="宋体"/>
          <w:color w:val="auto"/>
          <w:szCs w:val="21"/>
          <w:highlight w:val="none"/>
        </w:rPr>
      </w:pPr>
      <w:r>
        <w:rPr>
          <w:rFonts w:hint="eastAsia" w:ascii="宋体" w:hAnsi="宋体"/>
          <w:color w:val="auto"/>
          <w:szCs w:val="21"/>
          <w:highlight w:val="none"/>
        </w:rPr>
        <w:t>联系人：赵娅扉</w:t>
      </w:r>
    </w:p>
    <w:p w14:paraId="10AB15DB">
      <w:pPr>
        <w:widowControl w:val="0"/>
        <w:spacing w:line="440" w:lineRule="exact"/>
        <w:ind w:firstLine="411" w:firstLineChars="196"/>
        <w:rPr>
          <w:rFonts w:ascii="宋体" w:hAnsi="宋体"/>
          <w:color w:val="auto"/>
          <w:szCs w:val="21"/>
          <w:highlight w:val="none"/>
        </w:rPr>
      </w:pPr>
      <w:r>
        <w:rPr>
          <w:rFonts w:hint="eastAsia" w:ascii="宋体" w:hAnsi="宋体"/>
          <w:color w:val="auto"/>
          <w:szCs w:val="21"/>
          <w:highlight w:val="none"/>
        </w:rPr>
        <w:t>电话：13873557003</w:t>
      </w:r>
    </w:p>
    <w:p w14:paraId="71C67A6C">
      <w:pPr>
        <w:widowControl w:val="0"/>
        <w:spacing w:line="440" w:lineRule="exact"/>
        <w:ind w:firstLine="413" w:firstLineChars="196"/>
        <w:rPr>
          <w:rFonts w:ascii="宋体" w:hAnsi="宋体"/>
          <w:b/>
          <w:color w:val="auto"/>
          <w:szCs w:val="21"/>
          <w:highlight w:val="none"/>
        </w:rPr>
      </w:pPr>
      <w:r>
        <w:rPr>
          <w:rFonts w:hint="eastAsia" w:ascii="宋体" w:hAnsi="宋体"/>
          <w:b/>
          <w:color w:val="auto"/>
          <w:szCs w:val="21"/>
          <w:highlight w:val="none"/>
        </w:rPr>
        <w:t>2、采购代理机构信息：</w:t>
      </w:r>
    </w:p>
    <w:p w14:paraId="3A66F795">
      <w:pPr>
        <w:widowControl w:val="0"/>
        <w:adjustRightInd w:val="0"/>
        <w:snapToGrid w:val="0"/>
        <w:spacing w:line="410" w:lineRule="exact"/>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（1）名  称：</w:t>
      </w:r>
      <w:r>
        <w:rPr>
          <w:rFonts w:hint="eastAsia" w:ascii="宋体" w:hAnsi="宋体"/>
          <w:color w:val="auto"/>
          <w:szCs w:val="21"/>
          <w:highlight w:val="none"/>
          <w:lang w:eastAsia="zh-CN"/>
        </w:rPr>
        <w:t>湖南新星项目管理有限公司</w:t>
      </w:r>
    </w:p>
    <w:p w14:paraId="42984AFB">
      <w:pPr>
        <w:widowControl w:val="0"/>
        <w:adjustRightInd w:val="0"/>
        <w:snapToGrid w:val="0"/>
        <w:spacing w:line="410" w:lineRule="exact"/>
        <w:ind w:firstLine="420" w:firstLineChars="200"/>
        <w:rPr>
          <w:rFonts w:ascii="宋体" w:hAnsi="宋体"/>
          <w:color w:val="auto"/>
          <w:szCs w:val="21"/>
          <w:highlight w:val="none"/>
        </w:rPr>
      </w:pPr>
      <w:r>
        <w:rPr>
          <w:rFonts w:hint="eastAsia" w:ascii="宋体" w:hAnsi="宋体"/>
          <w:color w:val="auto"/>
          <w:szCs w:val="21"/>
          <w:highlight w:val="none"/>
        </w:rPr>
        <w:t>（2）地址：长沙市开福区芙蓉中路一段479号(建鸿达现代城1811房)</w:t>
      </w:r>
    </w:p>
    <w:p w14:paraId="680BBFDB">
      <w:pPr>
        <w:widowControl w:val="0"/>
        <w:adjustRightInd w:val="0"/>
        <w:snapToGrid w:val="0"/>
        <w:spacing w:line="410" w:lineRule="exact"/>
        <w:ind w:firstLine="420" w:firstLineChars="200"/>
        <w:rPr>
          <w:rFonts w:ascii="宋体" w:hAnsi="宋体"/>
          <w:color w:val="auto"/>
          <w:szCs w:val="21"/>
          <w:highlight w:val="none"/>
        </w:rPr>
      </w:pPr>
      <w:r>
        <w:rPr>
          <w:rFonts w:hint="eastAsia" w:ascii="宋体" w:hAnsi="宋体"/>
          <w:color w:val="auto"/>
          <w:szCs w:val="21"/>
          <w:highlight w:val="none"/>
        </w:rPr>
        <w:t>（3）联系人：李丽霞</w:t>
      </w:r>
    </w:p>
    <w:p w14:paraId="40FF7F2D">
      <w:pPr>
        <w:widowControl w:val="0"/>
        <w:adjustRightInd w:val="0"/>
        <w:snapToGrid w:val="0"/>
        <w:spacing w:line="410" w:lineRule="exact"/>
        <w:ind w:firstLine="420" w:firstLineChars="200"/>
        <w:rPr>
          <w:rFonts w:hAnsi="宋体" w:cs="宋体"/>
          <w:color w:val="auto"/>
          <w:highlight w:val="none"/>
        </w:rPr>
      </w:pPr>
      <w:r>
        <w:rPr>
          <w:rFonts w:hint="eastAsia" w:ascii="宋体" w:hAnsi="宋体"/>
          <w:color w:val="auto"/>
          <w:szCs w:val="21"/>
          <w:highlight w:val="none"/>
        </w:rPr>
        <w:t>（4）电  话：18570558897</w:t>
      </w:r>
    </w:p>
    <w:p w14:paraId="70DE26E6">
      <w:pPr>
        <w:keepNext/>
        <w:keepLines/>
        <w:widowControl w:val="0"/>
        <w:adjustRightInd w:val="0"/>
        <w:spacing w:before="50" w:afterAutospacing="1" w:line="23" w:lineRule="atLeast"/>
        <w:ind w:firstLine="482" w:firstLineChars="200"/>
        <w:jc w:val="left"/>
        <w:outlineLvl w:val="1"/>
        <w:rPr>
          <w:rFonts w:hint="eastAsia" w:ascii="黑体" w:hAnsi="黑体" w:eastAsia="黑体" w:cs="黑体"/>
          <w:b/>
          <w:bCs/>
          <w:color w:val="auto"/>
          <w:kern w:val="0"/>
          <w:sz w:val="24"/>
          <w:highlight w:val="none"/>
        </w:rPr>
      </w:pPr>
      <w:r>
        <w:rPr>
          <w:rFonts w:hint="eastAsia" w:ascii="黑体" w:hAnsi="黑体" w:eastAsia="黑体" w:cs="黑体"/>
          <w:b/>
          <w:bCs/>
          <w:color w:val="auto"/>
          <w:kern w:val="0"/>
          <w:sz w:val="24"/>
          <w:highlight w:val="none"/>
        </w:rPr>
        <w:t>十一、其它补充事宜</w:t>
      </w:r>
    </w:p>
    <w:p w14:paraId="2CAEC3D0">
      <w:pPr>
        <w:adjustRightInd w:val="0"/>
        <w:spacing w:before="50" w:afterAutospacing="1" w:line="23" w:lineRule="atLeast"/>
        <w:ind w:firstLine="420" w:firstLineChars="200"/>
        <w:jc w:val="left"/>
        <w:rPr>
          <w:color w:val="auto"/>
          <w:highlight w:val="none"/>
        </w:rPr>
      </w:pPr>
      <w:r>
        <w:rPr>
          <w:rFonts w:hint="eastAsia" w:ascii="宋体" w:hAnsi="宋体" w:cs="宋体"/>
          <w:color w:val="auto"/>
          <w:kern w:val="0"/>
          <w:szCs w:val="21"/>
          <w:highlight w:val="none"/>
        </w:rPr>
        <w:t>1、本邀请公告选项：■表示选择   □表示未选择</w:t>
      </w:r>
    </w:p>
    <w:p w14:paraId="75FBDC67">
      <w:pPr>
        <w:adjustRightInd w:val="0"/>
        <w:spacing w:before="50" w:afterAutospacing="1" w:line="23" w:lineRule="atLeas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2、招标代理服务费和专家评审费由采购人支付,代理费10936.00元。</w:t>
      </w:r>
    </w:p>
    <w:p w14:paraId="55674592">
      <w:pPr>
        <w:adjustRightInd w:val="0"/>
        <w:spacing w:before="50" w:afterAutospacing="1" w:line="23" w:lineRule="atLeast"/>
        <w:ind w:firstLine="420" w:firstLineChars="200"/>
        <w:jc w:val="left"/>
        <w:rPr>
          <w:color w:val="auto"/>
          <w:highlight w:val="none"/>
        </w:rPr>
      </w:pPr>
      <w:r>
        <w:rPr>
          <w:rFonts w:hint="eastAsia" w:ascii="宋体" w:hAnsi="宋体" w:cs="宋体"/>
          <w:color w:val="auto"/>
          <w:kern w:val="0"/>
          <w:szCs w:val="21"/>
          <w:highlight w:val="none"/>
        </w:rPr>
        <w:t>3、参与本项目政府采购活动的供应商无需向采购人、采购代理机构、郴州市公共资源交易中心缴纳任何费用。</w:t>
      </w:r>
    </w:p>
    <w:p w14:paraId="2FD73072">
      <w:pPr>
        <w:adjustRightInd w:val="0"/>
        <w:spacing w:before="50" w:afterAutospacing="1" w:line="23" w:lineRule="atLeast"/>
        <w:ind w:firstLine="420" w:firstLineChars="200"/>
        <w:jc w:val="left"/>
        <w:rPr>
          <w:color w:val="auto"/>
          <w:highlight w:val="none"/>
        </w:rPr>
      </w:pPr>
      <w:r>
        <w:rPr>
          <w:rFonts w:hint="eastAsia" w:ascii="宋体" w:hAnsi="宋体" w:cs="宋体"/>
          <w:color w:val="auto"/>
          <w:kern w:val="0"/>
          <w:szCs w:val="21"/>
          <w:highlight w:val="none"/>
        </w:rPr>
        <w:t>4、各供应商可在郴州市公共资源交易中心网“下载中心”中下载“政府采购电子标操作手册”。</w:t>
      </w:r>
    </w:p>
    <w:p w14:paraId="02D29EF5">
      <w:pPr>
        <w:adjustRightInd w:val="0"/>
        <w:spacing w:before="50" w:afterAutospacing="1" w:line="23" w:lineRule="atLeast"/>
        <w:ind w:firstLine="420" w:firstLineChars="200"/>
        <w:jc w:val="left"/>
        <w:rPr>
          <w:color w:val="auto"/>
          <w:highlight w:val="none"/>
        </w:rPr>
      </w:pPr>
      <w:r>
        <w:rPr>
          <w:rFonts w:hint="eastAsia" w:ascii="宋体" w:hAnsi="宋体" w:cs="宋体"/>
          <w:color w:val="auto"/>
          <w:kern w:val="0"/>
          <w:szCs w:val="21"/>
          <w:highlight w:val="none"/>
        </w:rPr>
        <w:t>5、若因供应商对网上招投标操作不熟悉或自身电脑、个人网络等原因导致不能在投标截止时间之前完成响应文件上传的，所造成的投标失败或损失由投标人自行承担。建议在各投标人在工作时间段内上传响应文件，在操作系统过程中有疑问或困难请及时进行咨询。</w:t>
      </w:r>
    </w:p>
    <w:p w14:paraId="7B1E8363">
      <w:pPr>
        <w:adjustRightInd w:val="0"/>
        <w:spacing w:before="50" w:afterAutospacing="1" w:line="23" w:lineRule="atLeast"/>
        <w:ind w:firstLine="420" w:firstLineChars="200"/>
        <w:jc w:val="left"/>
        <w:rPr>
          <w:color w:val="auto"/>
          <w:highlight w:val="none"/>
        </w:rPr>
      </w:pPr>
      <w:r>
        <w:rPr>
          <w:rFonts w:hint="eastAsia" w:ascii="宋体" w:hAnsi="宋体" w:cs="宋体"/>
          <w:color w:val="auto"/>
          <w:kern w:val="0"/>
          <w:szCs w:val="21"/>
          <w:highlight w:val="none"/>
        </w:rPr>
        <w:t>6、若开标时出现网络故障、交易系统技术故障等情形，导致解密无法完成而影响采购活动开展的，采购人有权采取非加密文件上传或者将项目延期、延长响应文件解密时间等相应措施，以保障采购活动的公开、公平和公正，供应商不得对此持有异议。</w:t>
      </w:r>
    </w:p>
    <w:p w14:paraId="7A0D68E1">
      <w:pPr>
        <w:adjustRightInd w:val="0"/>
        <w:spacing w:before="50" w:afterAutospacing="1" w:line="23" w:lineRule="atLeast"/>
        <w:ind w:firstLine="420" w:firstLineChars="200"/>
        <w:jc w:val="left"/>
        <w:rPr>
          <w:color w:val="auto"/>
          <w:highlight w:val="none"/>
        </w:rPr>
      </w:pPr>
      <w:r>
        <w:rPr>
          <w:rFonts w:hint="eastAsia" w:ascii="宋体" w:hAnsi="宋体" w:cs="宋体"/>
          <w:color w:val="auto"/>
          <w:kern w:val="0"/>
          <w:szCs w:val="21"/>
          <w:highlight w:val="none"/>
        </w:rPr>
        <w:t>7、交易平台技术支持联系方式：</w:t>
      </w:r>
    </w:p>
    <w:p w14:paraId="05E85D73">
      <w:pPr>
        <w:adjustRightInd w:val="0"/>
        <w:spacing w:before="50" w:afterAutospacing="1" w:line="23" w:lineRule="atLeast"/>
        <w:ind w:firstLine="420" w:firstLineChars="200"/>
        <w:jc w:val="left"/>
        <w:rPr>
          <w:color w:val="auto"/>
          <w:highlight w:val="none"/>
        </w:rPr>
      </w:pPr>
      <w:r>
        <w:rPr>
          <w:rFonts w:hint="eastAsia" w:ascii="宋体" w:hAnsi="宋体" w:cs="宋体"/>
          <w:color w:val="auto"/>
          <w:kern w:val="0"/>
          <w:szCs w:val="21"/>
          <w:highlight w:val="none"/>
        </w:rPr>
        <w:t>平台客服电话：400-112-9919；客服QQ：800182906。</w:t>
      </w:r>
    </w:p>
    <w:p w14:paraId="58F499E9">
      <w:pPr>
        <w:spacing w:after="312" w:line="440" w:lineRule="atLeast"/>
        <w:rPr>
          <w:rStyle w:val="29"/>
          <w:rFonts w:ascii="宋体" w:hAnsi="宋体" w:cs="宋体"/>
          <w:b/>
          <w:color w:val="auto"/>
          <w:sz w:val="32"/>
          <w:szCs w:val="32"/>
          <w:highlight w:val="none"/>
        </w:rPr>
      </w:pPr>
      <w:r>
        <w:rPr>
          <w:rFonts w:hint="eastAsia" w:ascii="宋体" w:hAnsi="宋体" w:cs="宋体"/>
          <w:color w:val="auto"/>
          <w:szCs w:val="21"/>
          <w:highlight w:val="none"/>
        </w:rPr>
        <w:br w:type="page"/>
      </w:r>
    </w:p>
    <w:p w14:paraId="6BF37E63">
      <w:pPr>
        <w:pStyle w:val="2"/>
        <w:spacing w:after="312" w:line="440" w:lineRule="atLeast"/>
        <w:jc w:val="center"/>
        <w:rPr>
          <w:rStyle w:val="29"/>
          <w:rFonts w:hint="eastAsia" w:ascii="黑体" w:hAnsi="宋体" w:eastAsia="黑体"/>
          <w:color w:val="auto"/>
          <w:sz w:val="32"/>
          <w:szCs w:val="32"/>
          <w:highlight w:val="none"/>
          <w:lang w:eastAsia="zh-CN"/>
        </w:rPr>
      </w:pPr>
      <w:bookmarkStart w:id="19" w:name="_Toc20668"/>
      <w:r>
        <w:rPr>
          <w:rStyle w:val="29"/>
          <w:rFonts w:ascii="黑体" w:hAnsi="宋体" w:eastAsia="黑体"/>
          <w:color w:val="auto"/>
          <w:sz w:val="32"/>
          <w:szCs w:val="32"/>
          <w:highlight w:val="none"/>
        </w:rPr>
        <w:t xml:space="preserve">第二章 </w:t>
      </w:r>
      <w:bookmarkEnd w:id="19"/>
      <w:r>
        <w:rPr>
          <w:rStyle w:val="29"/>
          <w:rFonts w:hint="eastAsia" w:ascii="黑体" w:hAnsi="宋体" w:eastAsia="黑体"/>
          <w:color w:val="auto"/>
          <w:sz w:val="32"/>
          <w:szCs w:val="32"/>
          <w:highlight w:val="none"/>
          <w:lang w:eastAsia="zh-CN"/>
        </w:rPr>
        <w:t>磋商须知</w:t>
      </w:r>
    </w:p>
    <w:p w14:paraId="11FF2A9E">
      <w:pPr>
        <w:snapToGrid w:val="0"/>
        <w:spacing w:line="360" w:lineRule="auto"/>
        <w:jc w:val="center"/>
        <w:rPr>
          <w:rStyle w:val="29"/>
          <w:rFonts w:ascii="黑体" w:eastAsia="黑体"/>
          <w:b/>
          <w:color w:val="auto"/>
          <w:sz w:val="28"/>
          <w:szCs w:val="28"/>
          <w:highlight w:val="none"/>
        </w:rPr>
      </w:pPr>
      <w:r>
        <w:rPr>
          <w:rStyle w:val="29"/>
          <w:rFonts w:ascii="黑体" w:eastAsia="黑体"/>
          <w:b/>
          <w:color w:val="auto"/>
          <w:sz w:val="28"/>
          <w:szCs w:val="28"/>
          <w:highlight w:val="none"/>
        </w:rPr>
        <w:t>磋商须知前附表</w:t>
      </w:r>
    </w:p>
    <w:tbl>
      <w:tblPr>
        <w:tblStyle w:val="25"/>
        <w:tblW w:w="9355"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1260"/>
        <w:gridCol w:w="1900"/>
        <w:gridCol w:w="6195"/>
      </w:tblGrid>
      <w:tr w14:paraId="3AB3BEC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vMerge w:val="restart"/>
            <w:tcBorders>
              <w:left w:val="single" w:color="000000" w:sz="12" w:space="0"/>
              <w:right w:val="single" w:color="000000" w:sz="6" w:space="0"/>
            </w:tcBorders>
            <w:vAlign w:val="center"/>
          </w:tcPr>
          <w:p w14:paraId="6624E957">
            <w:pPr>
              <w:adjustRightInd w:val="0"/>
              <w:snapToGrid w:val="0"/>
              <w:spacing w:line="360" w:lineRule="auto"/>
              <w:jc w:val="center"/>
              <w:rPr>
                <w:rStyle w:val="29"/>
                <w:rFonts w:ascii="宋体" w:hAnsi="宋体"/>
                <w:b/>
                <w:color w:val="auto"/>
                <w:szCs w:val="21"/>
                <w:highlight w:val="none"/>
              </w:rPr>
            </w:pPr>
          </w:p>
          <w:p w14:paraId="1FBF7EF6">
            <w:pPr>
              <w:adjustRightInd w:val="0"/>
              <w:snapToGrid w:val="0"/>
              <w:spacing w:line="360" w:lineRule="auto"/>
              <w:jc w:val="center"/>
              <w:rPr>
                <w:rStyle w:val="29"/>
                <w:rFonts w:ascii="宋体" w:hAnsi="宋体"/>
                <w:b/>
                <w:color w:val="auto"/>
                <w:szCs w:val="21"/>
                <w:highlight w:val="none"/>
              </w:rPr>
            </w:pPr>
            <w:r>
              <w:rPr>
                <w:rStyle w:val="29"/>
                <w:rFonts w:ascii="宋体" w:hAnsi="宋体"/>
                <w:b/>
                <w:color w:val="auto"/>
                <w:szCs w:val="21"/>
                <w:highlight w:val="none"/>
              </w:rPr>
              <w:t>条款号</w:t>
            </w:r>
          </w:p>
        </w:tc>
        <w:tc>
          <w:tcPr>
            <w:tcW w:w="1900" w:type="dxa"/>
            <w:tcBorders>
              <w:top w:val="single" w:color="000000" w:sz="12" w:space="0"/>
              <w:left w:val="single" w:color="000000" w:sz="6" w:space="0"/>
              <w:bottom w:val="single" w:color="000000" w:sz="6" w:space="0"/>
              <w:right w:val="single" w:color="000000" w:sz="6" w:space="0"/>
            </w:tcBorders>
            <w:vAlign w:val="center"/>
          </w:tcPr>
          <w:p w14:paraId="7F7EBD04">
            <w:pPr>
              <w:adjustRightInd w:val="0"/>
              <w:snapToGrid w:val="0"/>
              <w:spacing w:line="360" w:lineRule="auto"/>
              <w:jc w:val="center"/>
              <w:rPr>
                <w:rStyle w:val="29"/>
                <w:rFonts w:ascii="宋体" w:hAnsi="宋体"/>
                <w:b/>
                <w:color w:val="auto"/>
                <w:szCs w:val="21"/>
                <w:highlight w:val="none"/>
              </w:rPr>
            </w:pPr>
            <w:r>
              <w:rPr>
                <w:rStyle w:val="29"/>
                <w:rFonts w:ascii="宋体" w:hAnsi="宋体"/>
                <w:b/>
                <w:color w:val="auto"/>
                <w:szCs w:val="21"/>
                <w:highlight w:val="none"/>
              </w:rPr>
              <w:t>条款名称</w:t>
            </w:r>
          </w:p>
        </w:tc>
        <w:tc>
          <w:tcPr>
            <w:tcW w:w="6195" w:type="dxa"/>
            <w:tcBorders>
              <w:top w:val="single" w:color="000000" w:sz="12" w:space="0"/>
              <w:left w:val="single" w:color="000000" w:sz="6" w:space="0"/>
              <w:bottom w:val="single" w:color="000000" w:sz="6" w:space="0"/>
              <w:right w:val="single" w:color="000000" w:sz="12" w:space="0"/>
            </w:tcBorders>
            <w:vAlign w:val="center"/>
          </w:tcPr>
          <w:p w14:paraId="035B0BBB">
            <w:pPr>
              <w:adjustRightInd w:val="0"/>
              <w:snapToGrid w:val="0"/>
              <w:spacing w:line="360" w:lineRule="auto"/>
              <w:jc w:val="center"/>
              <w:rPr>
                <w:rStyle w:val="29"/>
                <w:rFonts w:ascii="宋体" w:hAnsi="宋体"/>
                <w:b/>
                <w:color w:val="auto"/>
                <w:szCs w:val="21"/>
                <w:highlight w:val="none"/>
              </w:rPr>
            </w:pPr>
            <w:r>
              <w:rPr>
                <w:rStyle w:val="29"/>
                <w:rFonts w:ascii="宋体" w:hAnsi="宋体"/>
                <w:b/>
                <w:color w:val="auto"/>
                <w:szCs w:val="21"/>
                <w:highlight w:val="none"/>
              </w:rPr>
              <w:t>编列内容规定</w:t>
            </w:r>
          </w:p>
        </w:tc>
      </w:tr>
      <w:tr w14:paraId="5253139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3"/>
            <w:tcBorders>
              <w:top w:val="single" w:color="000000" w:sz="6" w:space="0"/>
              <w:left w:val="single" w:color="000000" w:sz="12" w:space="0"/>
              <w:bottom w:val="single" w:color="000000" w:sz="6" w:space="0"/>
              <w:right w:val="single" w:color="000000" w:sz="12" w:space="0"/>
            </w:tcBorders>
            <w:vAlign w:val="center"/>
          </w:tcPr>
          <w:p w14:paraId="6CFDFEB6">
            <w:pPr>
              <w:adjustRightInd w:val="0"/>
              <w:snapToGrid w:val="0"/>
              <w:spacing w:line="360" w:lineRule="auto"/>
              <w:rPr>
                <w:rStyle w:val="29"/>
                <w:rFonts w:ascii="宋体" w:hAnsi="宋体"/>
                <w:color w:val="auto"/>
                <w:szCs w:val="21"/>
                <w:highlight w:val="none"/>
              </w:rPr>
            </w:pPr>
            <w:r>
              <w:rPr>
                <w:rStyle w:val="29"/>
                <w:rFonts w:ascii="宋体" w:hAnsi="宋体"/>
                <w:b/>
                <w:color w:val="auto"/>
                <w:szCs w:val="21"/>
                <w:highlight w:val="none"/>
              </w:rPr>
              <w:t>一、说明</w:t>
            </w:r>
          </w:p>
        </w:tc>
      </w:tr>
      <w:tr w14:paraId="0AD00C3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106AFCE6">
            <w:pPr>
              <w:widowControl w:val="0"/>
              <w:adjustRightInd w:val="0"/>
              <w:snapToGrid w:val="0"/>
              <w:spacing w:line="360" w:lineRule="auto"/>
              <w:jc w:val="center"/>
              <w:rPr>
                <w:rFonts w:ascii="宋体" w:hAnsi="宋体"/>
                <w:color w:val="auto"/>
                <w:szCs w:val="21"/>
                <w:highlight w:val="none"/>
              </w:rPr>
            </w:pPr>
            <w:r>
              <w:rPr>
                <w:rFonts w:hint="eastAsia"/>
                <w:color w:val="auto"/>
                <w:highlight w:val="none"/>
              </w:rPr>
              <w:t>第1.1款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45E97BD9">
            <w:pPr>
              <w:widowControl w:val="0"/>
              <w:adjustRightInd w:val="0"/>
              <w:snapToGrid w:val="0"/>
              <w:spacing w:line="360" w:lineRule="auto"/>
              <w:jc w:val="left"/>
              <w:rPr>
                <w:rFonts w:ascii="宋体" w:hAnsi="宋体"/>
                <w:color w:val="auto"/>
                <w:szCs w:val="21"/>
                <w:highlight w:val="none"/>
              </w:rPr>
            </w:pPr>
            <w:r>
              <w:rPr>
                <w:rFonts w:hint="eastAsia"/>
                <w:color w:val="auto"/>
                <w:highlight w:val="none"/>
              </w:rPr>
              <w:t>采购项目</w:t>
            </w:r>
          </w:p>
        </w:tc>
        <w:tc>
          <w:tcPr>
            <w:tcW w:w="6195" w:type="dxa"/>
            <w:tcBorders>
              <w:top w:val="single" w:color="000000" w:sz="6" w:space="0"/>
              <w:left w:val="single" w:color="000000" w:sz="6" w:space="0"/>
              <w:bottom w:val="single" w:color="000000" w:sz="6" w:space="0"/>
              <w:right w:val="single" w:color="000000" w:sz="12" w:space="0"/>
            </w:tcBorders>
            <w:vAlign w:val="center"/>
          </w:tcPr>
          <w:p w14:paraId="336E9EC4">
            <w:pPr>
              <w:adjustRightInd w:val="0"/>
              <w:snapToGrid w:val="0"/>
              <w:spacing w:line="360" w:lineRule="auto"/>
              <w:rPr>
                <w:rFonts w:hint="eastAsia" w:ascii="宋体" w:hAnsi="宋体" w:eastAsia="宋体"/>
                <w:color w:val="auto"/>
                <w:szCs w:val="21"/>
                <w:highlight w:val="none"/>
                <w:lang w:eastAsia="zh-CN"/>
              </w:rPr>
            </w:pPr>
            <w:r>
              <w:rPr>
                <w:rFonts w:hint="eastAsia" w:ascii="宋体" w:hAnsi="宋体"/>
                <w:color w:val="auto"/>
                <w:szCs w:val="21"/>
                <w:highlight w:val="none"/>
                <w:u w:val="single"/>
                <w:lang w:eastAsia="zh-CN"/>
              </w:rPr>
              <w:t>郴州市南岭植物园劳务用工（园区卫生保洁、安保、森林资源管护辅助等用工）服务项目</w:t>
            </w:r>
          </w:p>
        </w:tc>
      </w:tr>
      <w:tr w14:paraId="561B7D1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3B8B4DAE">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第1.2款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10294C78">
            <w:pPr>
              <w:widowControl w:val="0"/>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是否预留采购份额</w:t>
            </w:r>
          </w:p>
        </w:tc>
        <w:tc>
          <w:tcPr>
            <w:tcW w:w="6195" w:type="dxa"/>
            <w:tcBorders>
              <w:top w:val="single" w:color="000000" w:sz="6" w:space="0"/>
              <w:left w:val="single" w:color="000000" w:sz="6" w:space="0"/>
              <w:bottom w:val="single" w:color="000000" w:sz="6" w:space="0"/>
              <w:right w:val="single" w:color="000000" w:sz="12" w:space="0"/>
            </w:tcBorders>
            <w:vAlign w:val="center"/>
          </w:tcPr>
          <w:p w14:paraId="0A52C19C">
            <w:pPr>
              <w:widowControl w:val="0"/>
              <w:adjustRightInd w:val="0"/>
              <w:snapToGrid w:val="0"/>
              <w:spacing w:line="360" w:lineRule="auto"/>
              <w:jc w:val="left"/>
              <w:rPr>
                <w:rFonts w:ascii="宋体" w:hAnsi="宋体"/>
                <w:color w:val="auto"/>
                <w:szCs w:val="21"/>
                <w:highlight w:val="none"/>
              </w:rPr>
            </w:pPr>
            <w:r>
              <w:rPr>
                <w:rFonts w:hint="eastAsia"/>
                <w:color w:val="auto"/>
                <w:highlight w:val="none"/>
              </w:rPr>
              <w:t xml:space="preserve">见第一章磋商邀请 </w:t>
            </w:r>
          </w:p>
        </w:tc>
      </w:tr>
      <w:tr w14:paraId="60830FA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74EABE57">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第2.</w:t>
            </w:r>
            <w:r>
              <w:rPr>
                <w:rFonts w:hint="eastAsia" w:ascii="宋体" w:hAnsi="宋体"/>
                <w:color w:val="auto"/>
                <w:szCs w:val="21"/>
                <w:highlight w:val="none"/>
                <w:lang w:val="en-US" w:eastAsia="zh-CN"/>
              </w:rPr>
              <w:t>1</w:t>
            </w:r>
            <w:r>
              <w:rPr>
                <w:rFonts w:hint="eastAsia" w:ascii="宋体" w:hAnsi="宋体"/>
                <w:color w:val="auto"/>
                <w:szCs w:val="21"/>
                <w:highlight w:val="none"/>
              </w:rPr>
              <w:t>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5E51F519">
            <w:pPr>
              <w:widowControl w:val="0"/>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采购项目联系人</w:t>
            </w:r>
          </w:p>
        </w:tc>
        <w:tc>
          <w:tcPr>
            <w:tcW w:w="6195" w:type="dxa"/>
            <w:tcBorders>
              <w:top w:val="single" w:color="000000" w:sz="6" w:space="0"/>
              <w:left w:val="single" w:color="000000" w:sz="6" w:space="0"/>
              <w:bottom w:val="single" w:color="000000" w:sz="6" w:space="0"/>
              <w:right w:val="single" w:color="000000" w:sz="12" w:space="0"/>
            </w:tcBorders>
            <w:vAlign w:val="center"/>
          </w:tcPr>
          <w:p w14:paraId="63B7A392">
            <w:pPr>
              <w:widowControl w:val="0"/>
              <w:adjustRightInd w:val="0"/>
              <w:snapToGrid w:val="0"/>
              <w:spacing w:line="360" w:lineRule="auto"/>
              <w:jc w:val="left"/>
              <w:rPr>
                <w:rFonts w:ascii="宋体" w:hAnsi="宋体"/>
                <w:color w:val="auto"/>
                <w:szCs w:val="21"/>
                <w:highlight w:val="none"/>
              </w:rPr>
            </w:pPr>
            <w:r>
              <w:rPr>
                <w:rFonts w:hint="eastAsia"/>
                <w:color w:val="auto"/>
                <w:highlight w:val="none"/>
              </w:rPr>
              <w:t>见第一章</w:t>
            </w:r>
            <w:r>
              <w:rPr>
                <w:rFonts w:hint="eastAsia" w:ascii="宋体" w:hAnsi="宋体"/>
                <w:color w:val="auto"/>
                <w:szCs w:val="21"/>
                <w:highlight w:val="none"/>
              </w:rPr>
              <w:t>磋商</w:t>
            </w:r>
            <w:r>
              <w:rPr>
                <w:rFonts w:hint="eastAsia"/>
                <w:color w:val="auto"/>
                <w:highlight w:val="none"/>
              </w:rPr>
              <w:t>邀请</w:t>
            </w:r>
          </w:p>
        </w:tc>
      </w:tr>
      <w:tr w14:paraId="0DC181F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14AAF53D">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第2.2款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531F861A">
            <w:pPr>
              <w:widowControl w:val="0"/>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采购人</w:t>
            </w:r>
          </w:p>
        </w:tc>
        <w:tc>
          <w:tcPr>
            <w:tcW w:w="6195" w:type="dxa"/>
            <w:tcBorders>
              <w:top w:val="single" w:color="000000" w:sz="6" w:space="0"/>
              <w:left w:val="single" w:color="000000" w:sz="6" w:space="0"/>
              <w:bottom w:val="single" w:color="000000" w:sz="6" w:space="0"/>
              <w:right w:val="single" w:color="000000" w:sz="12" w:space="0"/>
            </w:tcBorders>
            <w:vAlign w:val="center"/>
          </w:tcPr>
          <w:p w14:paraId="3DC71D0F">
            <w:pPr>
              <w:kinsoku w:val="0"/>
              <w:autoSpaceDE w:val="0"/>
              <w:autoSpaceDN w:val="0"/>
              <w:adjustRightInd w:val="0"/>
              <w:snapToGrid w:val="0"/>
              <w:spacing w:beforeLines="50"/>
              <w:jc w:val="left"/>
              <w:rPr>
                <w:rFonts w:ascii="宋体" w:hAnsi="宋体" w:eastAsia="Arial" w:cs="宋体"/>
                <w:color w:val="auto"/>
                <w:kern w:val="0"/>
                <w:sz w:val="20"/>
                <w:szCs w:val="20"/>
                <w:highlight w:val="none"/>
              </w:rPr>
            </w:pPr>
            <w:r>
              <w:rPr>
                <w:rFonts w:hint="eastAsia" w:ascii="宋体" w:hAnsi="宋体" w:eastAsia="Arial" w:cs="宋体"/>
                <w:color w:val="auto"/>
                <w:kern w:val="0"/>
                <w:sz w:val="20"/>
                <w:szCs w:val="20"/>
                <w:highlight w:val="none"/>
              </w:rPr>
              <w:t>采购人名称：郴州市林业科学研究所</w:t>
            </w:r>
          </w:p>
          <w:p w14:paraId="7651B5B8">
            <w:pPr>
              <w:kinsoku w:val="0"/>
              <w:autoSpaceDE w:val="0"/>
              <w:autoSpaceDN w:val="0"/>
              <w:adjustRightInd w:val="0"/>
              <w:snapToGrid w:val="0"/>
              <w:spacing w:beforeLines="50"/>
              <w:jc w:val="left"/>
              <w:rPr>
                <w:rFonts w:ascii="宋体" w:hAnsi="宋体" w:eastAsia="Arial" w:cs="宋体"/>
                <w:color w:val="auto"/>
                <w:kern w:val="0"/>
                <w:sz w:val="20"/>
                <w:szCs w:val="20"/>
                <w:highlight w:val="none"/>
              </w:rPr>
            </w:pPr>
            <w:r>
              <w:rPr>
                <w:rFonts w:hint="eastAsia" w:ascii="宋体" w:hAnsi="宋体" w:eastAsia="Arial" w:cs="宋体"/>
                <w:color w:val="auto"/>
                <w:kern w:val="0"/>
                <w:sz w:val="20"/>
                <w:szCs w:val="20"/>
                <w:highlight w:val="none"/>
              </w:rPr>
              <w:t>地址：</w:t>
            </w:r>
            <w:r>
              <w:rPr>
                <w:rFonts w:hint="eastAsia" w:ascii="宋体" w:hAnsi="宋体" w:eastAsia="Arial"/>
                <w:color w:val="auto"/>
                <w:sz w:val="20"/>
                <w:szCs w:val="20"/>
                <w:highlight w:val="none"/>
              </w:rPr>
              <w:t>郴州市北湖区骆仙路41号市林业科学研究所</w:t>
            </w:r>
          </w:p>
          <w:p w14:paraId="149B43CC">
            <w:pPr>
              <w:kinsoku w:val="0"/>
              <w:autoSpaceDE w:val="0"/>
              <w:autoSpaceDN w:val="0"/>
              <w:adjustRightInd w:val="0"/>
              <w:snapToGrid w:val="0"/>
              <w:spacing w:beforeLines="50"/>
              <w:jc w:val="left"/>
              <w:rPr>
                <w:rFonts w:ascii="宋体" w:hAnsi="宋体" w:cs="宋体"/>
                <w:color w:val="auto"/>
                <w:kern w:val="0"/>
                <w:sz w:val="20"/>
                <w:szCs w:val="20"/>
                <w:highlight w:val="none"/>
              </w:rPr>
            </w:pPr>
            <w:r>
              <w:rPr>
                <w:rFonts w:hint="eastAsia" w:ascii="宋体" w:hAnsi="宋体" w:eastAsia="Arial" w:cs="宋体"/>
                <w:color w:val="auto"/>
                <w:kern w:val="0"/>
                <w:sz w:val="20"/>
                <w:szCs w:val="20"/>
                <w:highlight w:val="none"/>
              </w:rPr>
              <w:t>联系人：</w:t>
            </w:r>
            <w:r>
              <w:rPr>
                <w:rFonts w:hint="eastAsia" w:ascii="宋体" w:hAnsi="宋体" w:cs="宋体"/>
                <w:color w:val="auto"/>
                <w:kern w:val="0"/>
                <w:sz w:val="20"/>
                <w:szCs w:val="20"/>
                <w:highlight w:val="none"/>
              </w:rPr>
              <w:t>赵娅扉</w:t>
            </w:r>
          </w:p>
          <w:p w14:paraId="2202D16F">
            <w:pPr>
              <w:spacing w:line="360" w:lineRule="exact"/>
              <w:rPr>
                <w:rFonts w:ascii="宋体" w:hAnsi="宋体"/>
                <w:color w:val="auto"/>
                <w:szCs w:val="21"/>
                <w:highlight w:val="none"/>
              </w:rPr>
            </w:pPr>
            <w:r>
              <w:rPr>
                <w:rFonts w:hint="eastAsia" w:ascii="宋体" w:hAnsi="宋体" w:cs="宋体"/>
                <w:color w:val="auto"/>
                <w:sz w:val="20"/>
                <w:szCs w:val="20"/>
                <w:highlight w:val="none"/>
              </w:rPr>
              <w:t>电  话：</w:t>
            </w:r>
            <w:r>
              <w:rPr>
                <w:rFonts w:hint="eastAsia" w:ascii="宋体" w:hAnsi="宋体"/>
                <w:color w:val="auto"/>
                <w:sz w:val="20"/>
                <w:szCs w:val="20"/>
                <w:highlight w:val="none"/>
              </w:rPr>
              <w:t>13873557003</w:t>
            </w:r>
          </w:p>
        </w:tc>
      </w:tr>
      <w:tr w14:paraId="0F75D26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0D654D49">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第2.3款</w:t>
            </w:r>
          </w:p>
          <w:p w14:paraId="5DDAD941">
            <w:pPr>
              <w:adjustRightInd w:val="0"/>
              <w:snapToGrid w:val="0"/>
              <w:spacing w:line="360" w:lineRule="auto"/>
              <w:jc w:val="center"/>
              <w:rPr>
                <w:rStyle w:val="29"/>
                <w:rFonts w:ascii="宋体" w:hAnsi="宋体"/>
                <w:color w:val="auto"/>
                <w:szCs w:val="21"/>
                <w:highlight w:val="none"/>
              </w:rPr>
            </w:pPr>
          </w:p>
        </w:tc>
        <w:tc>
          <w:tcPr>
            <w:tcW w:w="1900" w:type="dxa"/>
            <w:tcBorders>
              <w:top w:val="single" w:color="000000" w:sz="6" w:space="0"/>
              <w:left w:val="single" w:color="000000" w:sz="6" w:space="0"/>
              <w:bottom w:val="single" w:color="000000" w:sz="6" w:space="0"/>
              <w:right w:val="single" w:color="000000" w:sz="6" w:space="0"/>
            </w:tcBorders>
            <w:vAlign w:val="center"/>
          </w:tcPr>
          <w:p w14:paraId="60A43ED9">
            <w:pPr>
              <w:widowControl w:val="0"/>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采购代理机构</w:t>
            </w:r>
          </w:p>
        </w:tc>
        <w:tc>
          <w:tcPr>
            <w:tcW w:w="6195" w:type="dxa"/>
            <w:tcBorders>
              <w:top w:val="single" w:color="000000" w:sz="6" w:space="0"/>
              <w:left w:val="single" w:color="000000" w:sz="6" w:space="0"/>
              <w:bottom w:val="single" w:color="000000" w:sz="6" w:space="0"/>
              <w:right w:val="single" w:color="000000" w:sz="12" w:space="0"/>
            </w:tcBorders>
            <w:vAlign w:val="center"/>
          </w:tcPr>
          <w:p w14:paraId="2B4E2528">
            <w:pPr>
              <w:kinsoku w:val="0"/>
              <w:autoSpaceDE w:val="0"/>
              <w:autoSpaceDN w:val="0"/>
              <w:adjustRightInd w:val="0"/>
              <w:snapToGrid w:val="0"/>
              <w:spacing w:beforeLines="50"/>
              <w:jc w:val="left"/>
              <w:rPr>
                <w:rFonts w:hint="eastAsia" w:ascii="宋体" w:hAnsi="宋体" w:eastAsia="宋体" w:cs="宋体"/>
                <w:color w:val="auto"/>
                <w:kern w:val="0"/>
                <w:sz w:val="20"/>
                <w:szCs w:val="20"/>
                <w:highlight w:val="none"/>
                <w:lang w:eastAsia="zh-CN"/>
              </w:rPr>
            </w:pPr>
            <w:r>
              <w:rPr>
                <w:rFonts w:hint="eastAsia" w:ascii="宋体" w:hAnsi="宋体" w:eastAsia="Arial" w:cs="宋体"/>
                <w:color w:val="auto"/>
                <w:kern w:val="0"/>
                <w:sz w:val="20"/>
                <w:szCs w:val="20"/>
                <w:highlight w:val="none"/>
              </w:rPr>
              <w:t>采购代理机构名称：</w:t>
            </w:r>
            <w:r>
              <w:rPr>
                <w:rFonts w:hint="eastAsia" w:ascii="宋体" w:hAnsi="宋体" w:eastAsia="宋体" w:cs="宋体"/>
                <w:color w:val="auto"/>
                <w:kern w:val="0"/>
                <w:sz w:val="20"/>
                <w:szCs w:val="20"/>
                <w:highlight w:val="none"/>
                <w:lang w:eastAsia="zh-CN"/>
              </w:rPr>
              <w:t>湖南新星项目管理有限公司</w:t>
            </w:r>
          </w:p>
          <w:p w14:paraId="4866033D">
            <w:pPr>
              <w:kinsoku w:val="0"/>
              <w:autoSpaceDE w:val="0"/>
              <w:autoSpaceDN w:val="0"/>
              <w:adjustRightInd w:val="0"/>
              <w:snapToGrid w:val="0"/>
              <w:spacing w:beforeLines="50"/>
              <w:jc w:val="left"/>
              <w:rPr>
                <w:rFonts w:ascii="宋体" w:hAnsi="宋体" w:cs="宋体"/>
                <w:color w:val="auto"/>
                <w:kern w:val="0"/>
                <w:sz w:val="20"/>
                <w:szCs w:val="20"/>
                <w:highlight w:val="none"/>
              </w:rPr>
            </w:pPr>
            <w:r>
              <w:rPr>
                <w:rFonts w:hint="eastAsia" w:ascii="宋体" w:hAnsi="宋体" w:eastAsia="Arial" w:cs="宋体"/>
                <w:color w:val="auto"/>
                <w:kern w:val="0"/>
                <w:sz w:val="20"/>
                <w:szCs w:val="20"/>
                <w:highlight w:val="none"/>
              </w:rPr>
              <w:t>地址：长沙市开福区芙蓉中路一段479号(建鸿达现代城1811房)</w:t>
            </w:r>
          </w:p>
          <w:p w14:paraId="08450950">
            <w:pPr>
              <w:spacing w:line="360" w:lineRule="exact"/>
              <w:rPr>
                <w:rFonts w:hint="eastAsia" w:ascii="宋体" w:hAnsi="宋体" w:eastAsia="Arial" w:cs="宋体"/>
                <w:color w:val="auto"/>
                <w:kern w:val="0"/>
                <w:sz w:val="20"/>
                <w:szCs w:val="20"/>
                <w:highlight w:val="none"/>
              </w:rPr>
            </w:pPr>
            <w:r>
              <w:rPr>
                <w:rFonts w:hint="eastAsia" w:ascii="宋体" w:hAnsi="宋体" w:eastAsia="Arial" w:cs="宋体"/>
                <w:color w:val="auto"/>
                <w:kern w:val="0"/>
                <w:sz w:val="20"/>
                <w:szCs w:val="20"/>
                <w:highlight w:val="none"/>
              </w:rPr>
              <w:t>联 系 人：李丽霞</w:t>
            </w:r>
          </w:p>
          <w:p w14:paraId="0055D5F6">
            <w:pPr>
              <w:spacing w:line="360" w:lineRule="exact"/>
              <w:rPr>
                <w:rFonts w:ascii="宋体" w:hAnsi="宋体"/>
                <w:color w:val="auto"/>
                <w:szCs w:val="21"/>
                <w:highlight w:val="none"/>
              </w:rPr>
            </w:pPr>
            <w:r>
              <w:rPr>
                <w:rFonts w:hint="eastAsia" w:ascii="宋体" w:hAnsi="宋体" w:eastAsia="Arial" w:cs="宋体"/>
                <w:color w:val="auto"/>
                <w:kern w:val="0"/>
                <w:sz w:val="20"/>
                <w:szCs w:val="20"/>
                <w:highlight w:val="none"/>
              </w:rPr>
              <w:t>电    话：18570558897</w:t>
            </w:r>
          </w:p>
        </w:tc>
      </w:tr>
      <w:tr w14:paraId="65EC061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4E82EE5B">
            <w:pPr>
              <w:widowControl w:val="0"/>
              <w:adjustRightInd w:val="0"/>
              <w:snapToGrid w:val="0"/>
              <w:spacing w:line="360" w:lineRule="auto"/>
              <w:jc w:val="center"/>
              <w:rPr>
                <w:rFonts w:hint="default" w:ascii="宋体" w:hAnsi="宋体" w:eastAsia="宋体"/>
                <w:color w:val="auto"/>
                <w:szCs w:val="21"/>
                <w:highlight w:val="none"/>
                <w:lang w:val="en-US" w:eastAsia="zh-CN"/>
              </w:rPr>
            </w:pPr>
            <w:r>
              <w:rPr>
                <w:rFonts w:hint="eastAsia" w:ascii="宋体" w:hAnsi="宋体"/>
                <w:color w:val="auto"/>
                <w:szCs w:val="21"/>
                <w:highlight w:val="none"/>
              </w:rPr>
              <w:t>第</w:t>
            </w:r>
            <w:r>
              <w:rPr>
                <w:rFonts w:hint="eastAsia" w:ascii="宋体" w:hAnsi="宋体"/>
                <w:color w:val="auto"/>
                <w:szCs w:val="21"/>
                <w:highlight w:val="none"/>
                <w:lang w:val="en-US" w:eastAsia="zh-CN"/>
              </w:rPr>
              <w:t>3.1</w:t>
            </w:r>
            <w:r>
              <w:rPr>
                <w:rFonts w:hint="eastAsia" w:ascii="宋体" w:hAnsi="宋体"/>
                <w:color w:val="auto"/>
                <w:szCs w:val="21"/>
                <w:highlight w:val="none"/>
              </w:rPr>
              <w:t>款</w:t>
            </w:r>
          </w:p>
        </w:tc>
        <w:tc>
          <w:tcPr>
            <w:tcW w:w="190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A60523D">
            <w:pPr>
              <w:widowControl w:val="0"/>
              <w:adjustRightInd w:val="0"/>
              <w:snapToGrid w:val="0"/>
              <w:spacing w:line="360"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rPr>
              <w:t>供应商资格条件</w:t>
            </w:r>
          </w:p>
        </w:tc>
        <w:tc>
          <w:tcPr>
            <w:tcW w:w="6195" w:type="dxa"/>
            <w:tcBorders>
              <w:top w:val="single" w:color="000000" w:sz="6" w:space="0"/>
              <w:left w:val="single" w:color="000000" w:sz="6" w:space="0"/>
              <w:bottom w:val="single" w:color="000000" w:sz="6" w:space="0"/>
              <w:right w:val="single" w:color="000000" w:sz="12" w:space="0"/>
            </w:tcBorders>
            <w:shd w:val="clear" w:color="auto" w:fill="auto"/>
            <w:vAlign w:val="center"/>
          </w:tcPr>
          <w:p w14:paraId="259051DD">
            <w:pPr>
              <w:widowControl w:val="0"/>
              <w:adjustRightInd w:val="0"/>
              <w:snapToGrid w:val="0"/>
              <w:spacing w:line="360" w:lineRule="auto"/>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rPr>
              <w:t xml:space="preserve">见第一章磋商邀请 </w:t>
            </w:r>
          </w:p>
        </w:tc>
      </w:tr>
      <w:tr w14:paraId="40C6285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0607E9BE">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第5.1款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72FE3A75">
            <w:pPr>
              <w:widowControl w:val="0"/>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现场勘察</w:t>
            </w:r>
          </w:p>
        </w:tc>
        <w:tc>
          <w:tcPr>
            <w:tcW w:w="6195" w:type="dxa"/>
            <w:tcBorders>
              <w:top w:val="single" w:color="000000" w:sz="6" w:space="0"/>
              <w:left w:val="single" w:color="000000" w:sz="6" w:space="0"/>
              <w:bottom w:val="single" w:color="000000" w:sz="6" w:space="0"/>
              <w:right w:val="single" w:color="000000" w:sz="12" w:space="0"/>
            </w:tcBorders>
            <w:vAlign w:val="center"/>
          </w:tcPr>
          <w:p w14:paraId="41155162">
            <w:pPr>
              <w:widowControl w:val="0"/>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 采购人不组织</w:t>
            </w:r>
          </w:p>
          <w:p w14:paraId="3D33228F">
            <w:pPr>
              <w:widowControl w:val="0"/>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 采购人组织，时间：地点：联系人：</w:t>
            </w:r>
          </w:p>
        </w:tc>
      </w:tr>
      <w:tr w14:paraId="72D99ED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17944CC1">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第11.3款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37971E94">
            <w:pPr>
              <w:widowControl w:val="0"/>
              <w:adjustRightInd w:val="0"/>
              <w:snapToGrid w:val="0"/>
              <w:spacing w:line="360" w:lineRule="auto"/>
              <w:jc w:val="left"/>
              <w:rPr>
                <w:rFonts w:ascii="宋体" w:hAnsi="宋体"/>
                <w:color w:val="auto"/>
                <w:szCs w:val="21"/>
                <w:highlight w:val="none"/>
              </w:rPr>
            </w:pPr>
            <w:r>
              <w:rPr>
                <w:rFonts w:hint="eastAsia" w:ascii="宋体" w:hAnsi="宋体"/>
                <w:bCs/>
                <w:color w:val="auto"/>
                <w:szCs w:val="21"/>
                <w:highlight w:val="none"/>
              </w:rPr>
              <w:t>采购</w:t>
            </w:r>
            <w:r>
              <w:rPr>
                <w:rFonts w:hint="eastAsia" w:ascii="宋体" w:hAnsi="宋体"/>
                <w:color w:val="auto"/>
                <w:szCs w:val="21"/>
                <w:highlight w:val="none"/>
              </w:rPr>
              <w:t>项目</w:t>
            </w:r>
            <w:r>
              <w:rPr>
                <w:rFonts w:hint="eastAsia" w:ascii="宋体" w:hAnsi="宋体"/>
                <w:bCs/>
                <w:color w:val="auto"/>
                <w:szCs w:val="21"/>
                <w:highlight w:val="none"/>
              </w:rPr>
              <w:t>预算、最高限价</w:t>
            </w:r>
          </w:p>
        </w:tc>
        <w:tc>
          <w:tcPr>
            <w:tcW w:w="6195" w:type="dxa"/>
            <w:tcBorders>
              <w:top w:val="single" w:color="000000" w:sz="6" w:space="0"/>
              <w:left w:val="single" w:color="000000" w:sz="6" w:space="0"/>
              <w:bottom w:val="single" w:color="000000" w:sz="6" w:space="0"/>
              <w:right w:val="single" w:color="000000" w:sz="12" w:space="0"/>
            </w:tcBorders>
            <w:vAlign w:val="center"/>
          </w:tcPr>
          <w:p w14:paraId="54B68BF7">
            <w:pPr>
              <w:pStyle w:val="35"/>
              <w:adjustRightInd w:val="0"/>
              <w:snapToGrid w:val="0"/>
              <w:spacing w:line="360" w:lineRule="auto"/>
              <w:ind w:firstLine="0" w:firstLineChars="0"/>
              <w:rPr>
                <w:color w:val="auto"/>
                <w:highlight w:val="none"/>
              </w:rPr>
            </w:pPr>
            <w:r>
              <w:rPr>
                <w:rFonts w:hint="eastAsia" w:ascii="宋体" w:hAnsi="宋体"/>
                <w:color w:val="auto"/>
                <w:highlight w:val="none"/>
              </w:rPr>
              <w:t>见第一章磋商邀请</w:t>
            </w:r>
          </w:p>
        </w:tc>
      </w:tr>
      <w:tr w14:paraId="54F9FCD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247A12D5">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第11.6款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1AC99939">
            <w:pPr>
              <w:widowControl w:val="0"/>
              <w:adjustRightInd w:val="0"/>
              <w:snapToGrid w:val="0"/>
              <w:spacing w:line="360" w:lineRule="auto"/>
              <w:jc w:val="left"/>
              <w:rPr>
                <w:rFonts w:ascii="宋体" w:hAnsi="宋体"/>
                <w:bCs/>
                <w:color w:val="auto"/>
                <w:szCs w:val="21"/>
                <w:highlight w:val="none"/>
              </w:rPr>
            </w:pPr>
            <w:r>
              <w:rPr>
                <w:rFonts w:hint="eastAsia" w:ascii="宋体" w:hAnsi="宋体" w:cs="Courier New"/>
                <w:color w:val="auto"/>
                <w:szCs w:val="21"/>
                <w:highlight w:val="none"/>
              </w:rPr>
              <w:t>报价的其他要求</w:t>
            </w:r>
          </w:p>
        </w:tc>
        <w:tc>
          <w:tcPr>
            <w:tcW w:w="6195" w:type="dxa"/>
            <w:tcBorders>
              <w:top w:val="single" w:color="000000" w:sz="6" w:space="0"/>
              <w:left w:val="single" w:color="000000" w:sz="6" w:space="0"/>
              <w:bottom w:val="single" w:color="000000" w:sz="6" w:space="0"/>
              <w:right w:val="single" w:color="000000" w:sz="12" w:space="0"/>
            </w:tcBorders>
            <w:vAlign w:val="center"/>
          </w:tcPr>
          <w:p w14:paraId="553D57B9">
            <w:pPr>
              <w:widowControl w:val="0"/>
              <w:adjustRightInd w:val="0"/>
              <w:snapToGrid w:val="0"/>
              <w:spacing w:line="360" w:lineRule="auto"/>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无</w:t>
            </w:r>
          </w:p>
          <w:p w14:paraId="45C4FCB6">
            <w:pPr>
              <w:numPr>
                <w:ilvl w:val="0"/>
                <w:numId w:val="0"/>
              </w:numPr>
              <w:adjustRightInd w:val="0"/>
              <w:snapToGrid w:val="0"/>
              <w:spacing w:line="240" w:lineRule="auto"/>
              <w:rPr>
                <w:rFonts w:hint="eastAsia" w:ascii="宋体" w:hAnsi="宋体" w:cs="Courier New"/>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 xml:space="preserve"> </w:t>
            </w:r>
            <w:r>
              <w:rPr>
                <w:rFonts w:hint="eastAsia" w:ascii="宋体" w:hAnsi="宋体" w:cs="Courier New"/>
                <w:color w:val="auto"/>
                <w:szCs w:val="21"/>
                <w:highlight w:val="none"/>
              </w:rPr>
              <w:t>其他要求为：</w:t>
            </w:r>
          </w:p>
          <w:p w14:paraId="7F99BDBE">
            <w:pPr>
              <w:numPr>
                <w:ilvl w:val="0"/>
                <w:numId w:val="0"/>
              </w:numPr>
              <w:adjustRightInd w:val="0"/>
              <w:snapToGrid w:val="0"/>
              <w:spacing w:line="240" w:lineRule="auto"/>
              <w:rPr>
                <w:rFonts w:hint="eastAsia" w:ascii="宋体" w:hAnsi="宋体" w:eastAsia="宋体" w:cs="宋体"/>
                <w:color w:val="auto"/>
                <w:kern w:val="0"/>
                <w:szCs w:val="21"/>
                <w:highlight w:val="none"/>
              </w:rPr>
            </w:pP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lang w:eastAsia="zh-CN"/>
              </w:rPr>
              <w:t>投标报价不得超过采购项目预算或最高限价</w:t>
            </w:r>
            <w:r>
              <w:rPr>
                <w:rFonts w:hint="eastAsia" w:ascii="宋体" w:hAnsi="宋体" w:eastAsia="宋体" w:cs="宋体"/>
                <w:color w:val="auto"/>
                <w:kern w:val="0"/>
                <w:szCs w:val="21"/>
                <w:highlight w:val="none"/>
              </w:rPr>
              <w:t>。</w:t>
            </w:r>
          </w:p>
          <w:p w14:paraId="55D3A9CC">
            <w:pPr>
              <w:numPr>
                <w:ilvl w:val="0"/>
                <w:numId w:val="2"/>
              </w:numPr>
              <w:adjustRightInd w:val="0"/>
              <w:snapToGrid w:val="0"/>
              <w:spacing w:line="24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评标委员会认为投标人的报价明显低于其他通过符合性审查投标人的报价，有可能影响服务质量或者不能诚信履约的，可要求其在合理时间内采用数据电文形式，并根据要求进行电子签章，提供书面说明，</w:t>
            </w:r>
            <w:r>
              <w:rPr>
                <w:rFonts w:hint="eastAsia" w:ascii="宋体" w:hAnsi="宋体" w:cs="宋体"/>
                <w:color w:val="auto"/>
                <w:kern w:val="0"/>
                <w:szCs w:val="21"/>
                <w:highlight w:val="none"/>
                <w:lang w:val="en-US" w:eastAsia="zh-CN"/>
              </w:rPr>
              <w:t>书面说明应提供</w:t>
            </w:r>
            <w:r>
              <w:rPr>
                <w:rFonts w:hint="eastAsia" w:ascii="宋体" w:hAnsi="宋体" w:eastAsia="宋体" w:cs="宋体"/>
                <w:color w:val="auto"/>
                <w:kern w:val="0"/>
                <w:szCs w:val="21"/>
                <w:highlight w:val="none"/>
              </w:rPr>
              <w:t>相关证明材料；投标人不能证明其报价合理性的，评标委员会将其作为无效投标处理。</w:t>
            </w:r>
          </w:p>
          <w:p w14:paraId="3D0C747E">
            <w:pPr>
              <w:adjustRightInd w:val="0"/>
              <w:snapToGrid w:val="0"/>
              <w:spacing w:line="400" w:lineRule="exact"/>
              <w:jc w:val="left"/>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lang w:val="en-US" w:eastAsia="zh-CN"/>
              </w:rPr>
              <w:t>根据《关于推动解决政府采购异常低价问题的通知》（财库〔2026〕2号）政府采购评审中出现下列情形之一的，评审委员会应当启动异常低价投标（响应）审查程序： </w:t>
            </w:r>
          </w:p>
          <w:p w14:paraId="3445F456">
            <w:pPr>
              <w:keepNext w:val="0"/>
              <w:keepLines w:val="0"/>
              <w:pageBreakBefore w:val="0"/>
              <w:widowControl/>
              <w:numPr>
                <w:ilvl w:val="0"/>
                <w:numId w:val="3"/>
              </w:numPr>
              <w:kinsoku/>
              <w:wordWrap/>
              <w:overflowPunct/>
              <w:topLinePunct w:val="0"/>
              <w:autoSpaceDE/>
              <w:autoSpaceDN/>
              <w:bidi w:val="0"/>
              <w:adjustRightInd/>
              <w:snapToGrid/>
              <w:spacing w:line="360" w:lineRule="exact"/>
              <w:ind w:left="425" w:leftChars="0" w:hanging="425" w:firstLineChars="0"/>
              <w:jc w:val="left"/>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投标（响应）报价低于全部通过符合性审查供应商投标（响应）报价平均值50%的（不得超过65%），即投标（响应）报价＜全部通过符合性审查供应商投标（响应）报价平均值×50%；</w:t>
            </w:r>
          </w:p>
          <w:p w14:paraId="6DD3045F">
            <w:pPr>
              <w:keepNext w:val="0"/>
              <w:keepLines w:val="0"/>
              <w:pageBreakBefore w:val="0"/>
              <w:widowControl/>
              <w:numPr>
                <w:ilvl w:val="0"/>
                <w:numId w:val="3"/>
              </w:numPr>
              <w:kinsoku/>
              <w:wordWrap/>
              <w:overflowPunct/>
              <w:topLinePunct w:val="0"/>
              <w:autoSpaceDE/>
              <w:autoSpaceDN/>
              <w:bidi w:val="0"/>
              <w:adjustRightInd/>
              <w:snapToGrid/>
              <w:spacing w:line="360" w:lineRule="exact"/>
              <w:ind w:left="425" w:leftChars="0" w:hanging="425" w:firstLineChars="0"/>
              <w:jc w:val="left"/>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投标（响应）报价低于通过符合性审查的次低报价供应商投标（响应）报价50%的（不得超过65%），即投标（响应）报价＜通过符合性审查的次低报价供应商投标（响应）报价×50%；</w:t>
            </w:r>
          </w:p>
          <w:p w14:paraId="012F7900">
            <w:pPr>
              <w:keepNext w:val="0"/>
              <w:keepLines w:val="0"/>
              <w:pageBreakBefore w:val="0"/>
              <w:widowControl/>
              <w:numPr>
                <w:ilvl w:val="0"/>
                <w:numId w:val="3"/>
              </w:numPr>
              <w:kinsoku/>
              <w:wordWrap/>
              <w:overflowPunct/>
              <w:topLinePunct w:val="0"/>
              <w:autoSpaceDE/>
              <w:autoSpaceDN/>
              <w:bidi w:val="0"/>
              <w:adjustRightInd/>
              <w:snapToGrid/>
              <w:spacing w:line="360" w:lineRule="exact"/>
              <w:ind w:left="425" w:leftChars="0" w:hanging="425" w:firstLineChars="0"/>
              <w:jc w:val="left"/>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投标（响应）报价低于采购项目最高限价</w:t>
            </w:r>
            <w:r>
              <w:rPr>
                <w:rFonts w:hint="eastAsia" w:ascii="宋体" w:hAnsi="宋体" w:eastAsia="宋体" w:cs="宋体"/>
                <w:color w:val="auto"/>
                <w:highlight w:val="none"/>
                <w:lang w:val="en-US" w:eastAsia="zh-CN"/>
              </w:rPr>
              <w:t>65</w:t>
            </w:r>
            <w:r>
              <w:rPr>
                <w:rFonts w:hint="eastAsia" w:ascii="宋体" w:hAnsi="宋体" w:eastAsia="宋体" w:cs="宋体"/>
                <w:color w:val="auto"/>
                <w:highlight w:val="none"/>
                <w:lang w:val="en-US" w:eastAsia="zh-Hans"/>
              </w:rPr>
              <w:t>%的（不得超过65%），即投标（响应）报价＜采购项目最高限价×</w:t>
            </w:r>
            <w:r>
              <w:rPr>
                <w:rFonts w:hint="eastAsia" w:ascii="宋体" w:hAnsi="宋体" w:eastAsia="宋体" w:cs="宋体"/>
                <w:color w:val="auto"/>
                <w:highlight w:val="none"/>
                <w:lang w:val="en-US" w:eastAsia="zh-CN"/>
              </w:rPr>
              <w:t>65</w:t>
            </w:r>
            <w:r>
              <w:rPr>
                <w:rFonts w:hint="eastAsia" w:ascii="宋体" w:hAnsi="宋体" w:eastAsia="宋体" w:cs="宋体"/>
                <w:color w:val="auto"/>
                <w:highlight w:val="none"/>
                <w:lang w:val="en-US" w:eastAsia="zh-Hans"/>
              </w:rPr>
              <w:t>%；</w:t>
            </w:r>
          </w:p>
          <w:p w14:paraId="02F01BD0">
            <w:pPr>
              <w:keepNext w:val="0"/>
              <w:keepLines w:val="0"/>
              <w:pageBreakBefore w:val="0"/>
              <w:widowControl/>
              <w:numPr>
                <w:ilvl w:val="0"/>
                <w:numId w:val="3"/>
              </w:numPr>
              <w:kinsoku/>
              <w:wordWrap/>
              <w:overflowPunct/>
              <w:topLinePunct w:val="0"/>
              <w:autoSpaceDE/>
              <w:autoSpaceDN/>
              <w:bidi w:val="0"/>
              <w:adjustRightInd/>
              <w:snapToGrid/>
              <w:spacing w:line="360" w:lineRule="exact"/>
              <w:ind w:left="425" w:leftChars="0" w:hanging="425" w:firstLineChars="0"/>
              <w:jc w:val="left"/>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评审委员会基于专业判断，认为供应商报价过低，有可能影响产品质量或者不能诚信履约的其他情形。</w:t>
            </w:r>
          </w:p>
          <w:p w14:paraId="7C96136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相关法律法规对供应商报价有规定的，从其规定。</w:t>
            </w:r>
          </w:p>
          <w:p w14:paraId="7BE05D1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rPr>
                <w:rFonts w:ascii="宋体" w:hAnsi="宋体"/>
                <w:color w:val="auto"/>
                <w:szCs w:val="21"/>
                <w:highlight w:val="none"/>
              </w:rPr>
            </w:pPr>
            <w:r>
              <w:rPr>
                <w:rFonts w:hint="eastAsia" w:ascii="宋体" w:hAnsi="宋体" w:eastAsia="宋体" w:cs="宋体"/>
                <w:color w:val="auto"/>
                <w:highlight w:val="none"/>
                <w:lang w:val="en-US" w:eastAsia="zh-Hans"/>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177B982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5DE8DC41">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第12.1款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189810E2">
            <w:pPr>
              <w:widowControl w:val="0"/>
              <w:adjustRightInd w:val="0"/>
              <w:snapToGrid w:val="0"/>
              <w:spacing w:line="360" w:lineRule="auto"/>
              <w:jc w:val="left"/>
              <w:rPr>
                <w:rFonts w:ascii="宋体" w:hAnsi="宋体" w:cs="Courier New"/>
                <w:color w:val="auto"/>
                <w:szCs w:val="21"/>
                <w:highlight w:val="none"/>
              </w:rPr>
            </w:pPr>
            <w:r>
              <w:rPr>
                <w:rFonts w:hint="eastAsia" w:ascii="宋体" w:hAnsi="宋体" w:cs="Courier New"/>
                <w:color w:val="auto"/>
                <w:szCs w:val="21"/>
                <w:highlight w:val="none"/>
                <w:lang w:val="en-US" w:eastAsia="zh-CN"/>
              </w:rPr>
              <w:t>磋商</w:t>
            </w:r>
            <w:r>
              <w:rPr>
                <w:rFonts w:hint="eastAsia" w:ascii="宋体" w:hAnsi="宋体" w:cs="Courier New"/>
                <w:color w:val="auto"/>
                <w:szCs w:val="21"/>
                <w:highlight w:val="none"/>
              </w:rPr>
              <w:t>保证金</w:t>
            </w:r>
          </w:p>
        </w:tc>
        <w:tc>
          <w:tcPr>
            <w:tcW w:w="6195" w:type="dxa"/>
            <w:tcBorders>
              <w:top w:val="single" w:color="000000" w:sz="6" w:space="0"/>
              <w:left w:val="single" w:color="000000" w:sz="6" w:space="0"/>
              <w:bottom w:val="single" w:color="000000" w:sz="6" w:space="0"/>
              <w:right w:val="single" w:color="000000" w:sz="12" w:space="0"/>
            </w:tcBorders>
            <w:vAlign w:val="center"/>
          </w:tcPr>
          <w:p w14:paraId="5181BDB3">
            <w:pPr>
              <w:pStyle w:val="35"/>
              <w:adjustRightInd w:val="0"/>
              <w:snapToGrid w:val="0"/>
              <w:spacing w:line="360" w:lineRule="auto"/>
              <w:ind w:firstLine="0" w:firstLineChars="0"/>
              <w:rPr>
                <w:rFonts w:ascii="宋体" w:hAnsi="宋体" w:cs="Courier New"/>
                <w:color w:val="auto"/>
                <w:highlight w:val="none"/>
              </w:rPr>
            </w:pPr>
            <w:r>
              <w:rPr>
                <w:rFonts w:hint="eastAsia" w:ascii="宋体" w:hAnsi="宋体" w:cs="Courier New"/>
                <w:color w:val="auto"/>
                <w:highlight w:val="none"/>
              </w:rPr>
              <w:t>无需提供</w:t>
            </w:r>
          </w:p>
        </w:tc>
      </w:tr>
      <w:tr w14:paraId="37E7AAD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6F28CDB6">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第13.1款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7A3347A9">
            <w:pPr>
              <w:widowControl w:val="0"/>
              <w:adjustRightInd w:val="0"/>
              <w:snapToGrid w:val="0"/>
              <w:spacing w:line="360" w:lineRule="auto"/>
              <w:rPr>
                <w:rFonts w:ascii="宋体" w:hAnsi="宋体"/>
                <w:color w:val="auto"/>
                <w:szCs w:val="21"/>
                <w:highlight w:val="none"/>
              </w:rPr>
            </w:pPr>
            <w:r>
              <w:rPr>
                <w:rFonts w:hint="eastAsia" w:ascii="宋体" w:hAnsi="宋体"/>
                <w:color w:val="auto"/>
                <w:highlight w:val="none"/>
              </w:rPr>
              <w:t>响应文件</w:t>
            </w:r>
            <w:r>
              <w:rPr>
                <w:rFonts w:hint="eastAsia" w:ascii="宋体" w:hAnsi="宋体"/>
                <w:color w:val="auto"/>
                <w:szCs w:val="21"/>
                <w:highlight w:val="none"/>
              </w:rPr>
              <w:t>有效期</w:t>
            </w:r>
          </w:p>
        </w:tc>
        <w:tc>
          <w:tcPr>
            <w:tcW w:w="6195" w:type="dxa"/>
            <w:tcBorders>
              <w:top w:val="single" w:color="000000" w:sz="6" w:space="0"/>
              <w:left w:val="single" w:color="000000" w:sz="6" w:space="0"/>
              <w:bottom w:val="single" w:color="000000" w:sz="6" w:space="0"/>
              <w:right w:val="single" w:color="000000" w:sz="12" w:space="0"/>
            </w:tcBorders>
            <w:vAlign w:val="center"/>
          </w:tcPr>
          <w:p w14:paraId="014F0CF3">
            <w:pPr>
              <w:widowControl w:val="0"/>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有效期为</w:t>
            </w:r>
            <w:r>
              <w:rPr>
                <w:rFonts w:hint="eastAsia" w:ascii="宋体" w:hAnsi="宋体"/>
                <w:color w:val="auto"/>
                <w:szCs w:val="21"/>
                <w:highlight w:val="none"/>
                <w:u w:val="single"/>
              </w:rPr>
              <w:t xml:space="preserve">  90  </w:t>
            </w:r>
            <w:r>
              <w:rPr>
                <w:rFonts w:hint="eastAsia" w:ascii="宋体" w:hAnsi="宋体"/>
                <w:color w:val="auto"/>
                <w:szCs w:val="21"/>
                <w:highlight w:val="none"/>
              </w:rPr>
              <w:t>日历天</w:t>
            </w:r>
          </w:p>
        </w:tc>
      </w:tr>
      <w:tr w14:paraId="09F6630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0F01D8CC">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第14.1款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154C45DC">
            <w:pPr>
              <w:widowControl w:val="0"/>
              <w:adjustRightInd w:val="0"/>
              <w:snapToGrid w:val="0"/>
              <w:spacing w:line="360" w:lineRule="auto"/>
              <w:rPr>
                <w:rFonts w:ascii="宋体" w:hAnsi="宋体"/>
                <w:color w:val="auto"/>
                <w:highlight w:val="none"/>
              </w:rPr>
            </w:pPr>
            <w:r>
              <w:rPr>
                <w:rFonts w:hint="eastAsia" w:ascii="宋体" w:hAnsi="宋体"/>
                <w:color w:val="auto"/>
                <w:highlight w:val="none"/>
              </w:rPr>
              <w:t>分包</w:t>
            </w:r>
          </w:p>
        </w:tc>
        <w:tc>
          <w:tcPr>
            <w:tcW w:w="6195" w:type="dxa"/>
            <w:tcBorders>
              <w:top w:val="single" w:color="000000" w:sz="6" w:space="0"/>
              <w:left w:val="single" w:color="000000" w:sz="6" w:space="0"/>
              <w:bottom w:val="single" w:color="000000" w:sz="6" w:space="0"/>
              <w:right w:val="single" w:color="000000" w:sz="12" w:space="0"/>
            </w:tcBorders>
            <w:vAlign w:val="center"/>
          </w:tcPr>
          <w:p w14:paraId="558D9556">
            <w:pPr>
              <w:widowControl w:val="0"/>
              <w:adjustRightInd w:val="0"/>
              <w:snapToGrid w:val="0"/>
              <w:spacing w:line="360" w:lineRule="auto"/>
              <w:jc w:val="left"/>
              <w:rPr>
                <w:rFonts w:ascii="宋体" w:hAnsi="宋体"/>
                <w:color w:val="auto"/>
                <w:szCs w:val="21"/>
                <w:highlight w:val="none"/>
              </w:rPr>
            </w:pPr>
            <w:r>
              <w:rPr>
                <w:rFonts w:hint="eastAsia"/>
                <w:color w:val="auto"/>
                <w:highlight w:val="none"/>
              </w:rPr>
              <w:t xml:space="preserve">见第一章磋商邀请 </w:t>
            </w:r>
          </w:p>
        </w:tc>
      </w:tr>
      <w:tr w14:paraId="15BC1E1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7BD32292">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第15.2款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547D2AB0">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响应文件副本份数</w:t>
            </w:r>
          </w:p>
        </w:tc>
        <w:tc>
          <w:tcPr>
            <w:tcW w:w="6195" w:type="dxa"/>
            <w:tcBorders>
              <w:top w:val="single" w:color="000000" w:sz="6" w:space="0"/>
              <w:left w:val="single" w:color="000000" w:sz="6" w:space="0"/>
              <w:bottom w:val="single" w:color="000000" w:sz="6" w:space="0"/>
              <w:right w:val="single" w:color="000000" w:sz="12" w:space="0"/>
            </w:tcBorders>
            <w:vAlign w:val="center"/>
          </w:tcPr>
          <w:p w14:paraId="090167E0">
            <w:pPr>
              <w:adjustRightInd w:val="0"/>
              <w:snapToGrid w:val="0"/>
              <w:rPr>
                <w:rFonts w:ascii="宋体" w:hAnsi="宋体" w:cs="宋体"/>
                <w:color w:val="auto"/>
                <w:kern w:val="0"/>
                <w:szCs w:val="21"/>
                <w:highlight w:val="none"/>
              </w:rPr>
            </w:pPr>
            <w:r>
              <w:rPr>
                <w:rFonts w:hint="eastAsia" w:ascii="宋体" w:hAnsi="宋体" w:cs="宋体"/>
                <w:color w:val="auto"/>
                <w:szCs w:val="21"/>
                <w:highlight w:val="none"/>
              </w:rPr>
              <w:t>1.本项目实行全流程电子化，实行网上电子标及远程解密。无需在开标现场递交纸质响应文件。</w:t>
            </w:r>
          </w:p>
          <w:p w14:paraId="2A84F19F">
            <w:pPr>
              <w:adjustRightInd w:val="0"/>
              <w:snapToGrid w:val="0"/>
              <w:spacing w:line="360" w:lineRule="auto"/>
              <w:rPr>
                <w:rFonts w:hint="eastAsia" w:ascii="宋体" w:hAnsi="宋体" w:cs="宋体"/>
                <w:color w:val="auto"/>
                <w:szCs w:val="21"/>
                <w:highlight w:val="none"/>
              </w:rPr>
            </w:pPr>
            <w:r>
              <w:rPr>
                <w:rFonts w:hint="eastAsia" w:ascii="宋体" w:hAnsi="宋体" w:cs="宋体"/>
                <w:color w:val="auto"/>
                <w:kern w:val="0"/>
                <w:szCs w:val="21"/>
                <w:highlight w:val="none"/>
              </w:rPr>
              <w:t>2.</w:t>
            </w:r>
            <w:r>
              <w:rPr>
                <w:rFonts w:hint="eastAsia" w:ascii="宋体" w:hAnsi="宋体" w:cs="宋体"/>
                <w:color w:val="auto"/>
                <w:szCs w:val="21"/>
                <w:highlight w:val="none"/>
              </w:rPr>
              <w:t>成交供应商应在收到成交通知书后7日内向采购代理机构提供与电子响应文件一致的纸质版响应文件叁份。当纸质版与电子交易平台上的电子响应文件不一致时，以平台中的电子响应文件为准。</w:t>
            </w:r>
          </w:p>
        </w:tc>
      </w:tr>
      <w:tr w14:paraId="6AA4ADF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3"/>
            <w:tcBorders>
              <w:top w:val="single" w:color="000000" w:sz="6" w:space="0"/>
              <w:left w:val="single" w:color="000000" w:sz="12" w:space="0"/>
              <w:bottom w:val="single" w:color="000000" w:sz="6" w:space="0"/>
              <w:right w:val="single" w:color="000000" w:sz="12" w:space="0"/>
            </w:tcBorders>
            <w:vAlign w:val="center"/>
          </w:tcPr>
          <w:p w14:paraId="6FA78585">
            <w:pPr>
              <w:adjustRightInd w:val="0"/>
              <w:snapToGrid w:val="0"/>
              <w:spacing w:line="360" w:lineRule="auto"/>
              <w:rPr>
                <w:rStyle w:val="29"/>
                <w:rFonts w:ascii="宋体" w:hAnsi="宋体"/>
                <w:b/>
                <w:bCs/>
                <w:color w:val="auto"/>
                <w:szCs w:val="21"/>
                <w:highlight w:val="none"/>
              </w:rPr>
            </w:pPr>
            <w:r>
              <w:rPr>
                <w:rStyle w:val="29"/>
                <w:rFonts w:ascii="宋体" w:hAnsi="宋体"/>
                <w:b/>
                <w:color w:val="auto"/>
                <w:szCs w:val="21"/>
                <w:highlight w:val="none"/>
              </w:rPr>
              <w:t>四、响应文件的递交</w:t>
            </w:r>
          </w:p>
        </w:tc>
      </w:tr>
      <w:tr w14:paraId="6625C98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177"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3E7F1BA4">
            <w:pPr>
              <w:widowControl w:val="0"/>
              <w:adjustRightInd w:val="0"/>
              <w:snapToGrid w:val="0"/>
              <w:spacing w:line="360" w:lineRule="auto"/>
              <w:jc w:val="center"/>
              <w:rPr>
                <w:rStyle w:val="29"/>
                <w:rFonts w:ascii="宋体" w:hAnsi="宋体"/>
                <w:color w:val="auto"/>
                <w:szCs w:val="21"/>
                <w:highlight w:val="none"/>
              </w:rPr>
            </w:pPr>
            <w:r>
              <w:rPr>
                <w:rFonts w:hint="eastAsia" w:ascii="宋体" w:hAnsi="宋体"/>
                <w:color w:val="auto"/>
                <w:szCs w:val="21"/>
                <w:highlight w:val="none"/>
              </w:rPr>
              <w:t>第18.</w:t>
            </w:r>
            <w:r>
              <w:rPr>
                <w:rFonts w:hint="eastAsia" w:ascii="宋体" w:hAnsi="宋体"/>
                <w:color w:val="auto"/>
                <w:szCs w:val="21"/>
                <w:highlight w:val="none"/>
                <w:lang w:val="en-US" w:eastAsia="zh-CN"/>
              </w:rPr>
              <w:t>1</w:t>
            </w:r>
            <w:r>
              <w:rPr>
                <w:rFonts w:hint="eastAsia" w:ascii="宋体" w:hAnsi="宋体"/>
                <w:color w:val="auto"/>
                <w:szCs w:val="21"/>
                <w:highlight w:val="none"/>
              </w:rPr>
              <w:t>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466E1DC0">
            <w:pPr>
              <w:adjustRightInd w:val="0"/>
              <w:snapToGrid w:val="0"/>
              <w:spacing w:line="360" w:lineRule="auto"/>
              <w:rPr>
                <w:rStyle w:val="29"/>
                <w:rFonts w:ascii="宋体" w:hAnsi="宋体"/>
                <w:color w:val="auto"/>
                <w:highlight w:val="none"/>
              </w:rPr>
            </w:pPr>
            <w:r>
              <w:rPr>
                <w:rFonts w:hint="eastAsia" w:ascii="宋体" w:hAnsi="宋体"/>
                <w:color w:val="auto"/>
                <w:szCs w:val="21"/>
                <w:highlight w:val="none"/>
              </w:rPr>
              <w:t>提交首次响应文件的截止时间、地点</w:t>
            </w:r>
          </w:p>
        </w:tc>
        <w:tc>
          <w:tcPr>
            <w:tcW w:w="6195" w:type="dxa"/>
            <w:tcBorders>
              <w:top w:val="single" w:color="000000" w:sz="6" w:space="0"/>
              <w:left w:val="single" w:color="000000" w:sz="6" w:space="0"/>
              <w:bottom w:val="single" w:color="000000" w:sz="6" w:space="0"/>
              <w:right w:val="single" w:color="000000" w:sz="12" w:space="0"/>
            </w:tcBorders>
            <w:vAlign w:val="center"/>
          </w:tcPr>
          <w:p w14:paraId="3D59E534">
            <w:pPr>
              <w:pStyle w:val="35"/>
              <w:adjustRightInd w:val="0"/>
              <w:snapToGrid w:val="0"/>
              <w:spacing w:line="360" w:lineRule="auto"/>
              <w:ind w:firstLine="0" w:firstLineChars="0"/>
              <w:rPr>
                <w:rStyle w:val="29"/>
                <w:rFonts w:ascii="宋体" w:hAnsi="宋体"/>
                <w:color w:val="auto"/>
                <w:spacing w:val="-2"/>
                <w:highlight w:val="none"/>
                <w:u w:val="dottedHeavy" w:color="000000"/>
              </w:rPr>
            </w:pPr>
            <w:r>
              <w:rPr>
                <w:rFonts w:hint="eastAsia" w:ascii="宋体" w:hAnsi="宋体" w:cs="Courier New"/>
                <w:color w:val="auto"/>
                <w:highlight w:val="none"/>
              </w:rPr>
              <w:t>见第一章磋商邀请</w:t>
            </w:r>
          </w:p>
        </w:tc>
      </w:tr>
      <w:tr w14:paraId="32800F5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3"/>
            <w:tcBorders>
              <w:top w:val="single" w:color="000000" w:sz="6" w:space="0"/>
              <w:left w:val="single" w:color="000000" w:sz="12" w:space="0"/>
              <w:bottom w:val="single" w:color="000000" w:sz="6" w:space="0"/>
              <w:right w:val="single" w:color="000000" w:sz="12" w:space="0"/>
            </w:tcBorders>
            <w:vAlign w:val="center"/>
          </w:tcPr>
          <w:p w14:paraId="21D9C427">
            <w:pPr>
              <w:adjustRightInd w:val="0"/>
              <w:snapToGrid w:val="0"/>
              <w:spacing w:line="360" w:lineRule="auto"/>
              <w:rPr>
                <w:rStyle w:val="29"/>
                <w:rFonts w:ascii="宋体" w:hAnsi="宋体"/>
                <w:b/>
                <w:color w:val="auto"/>
                <w:highlight w:val="none"/>
              </w:rPr>
            </w:pPr>
            <w:r>
              <w:rPr>
                <w:rStyle w:val="29"/>
                <w:rFonts w:ascii="宋体" w:hAnsi="宋体"/>
                <w:b/>
                <w:color w:val="auto"/>
                <w:highlight w:val="none"/>
              </w:rPr>
              <w:t>五、响应文件的评审与磋商</w:t>
            </w:r>
          </w:p>
        </w:tc>
      </w:tr>
      <w:tr w14:paraId="6CC62C8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11"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3587C215">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w:t>
            </w:r>
            <w:r>
              <w:rPr>
                <w:rFonts w:hint="eastAsia" w:ascii="宋体" w:hAnsi="宋体"/>
                <w:color w:val="auto"/>
                <w:szCs w:val="21"/>
                <w:highlight w:val="none"/>
                <w:lang w:val="en-US" w:eastAsia="zh-CN"/>
              </w:rPr>
              <w:t>22.4</w:t>
            </w:r>
            <w:r>
              <w:rPr>
                <w:rFonts w:hint="eastAsia" w:ascii="宋体" w:hAnsi="宋体"/>
                <w:color w:val="auto"/>
                <w:szCs w:val="21"/>
                <w:highlight w:val="none"/>
              </w:rPr>
              <w:t>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40DBD456">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磋商文件规定的实质性</w:t>
            </w:r>
            <w:r>
              <w:rPr>
                <w:rFonts w:hint="eastAsia" w:ascii="宋体" w:hAnsi="宋体" w:cs="宋体"/>
                <w:color w:val="auto"/>
                <w:kern w:val="0"/>
                <w:szCs w:val="21"/>
                <w:highlight w:val="none"/>
              </w:rPr>
              <w:t>要求和条件</w:t>
            </w:r>
          </w:p>
        </w:tc>
        <w:tc>
          <w:tcPr>
            <w:tcW w:w="6195" w:type="dxa"/>
            <w:tcBorders>
              <w:top w:val="single" w:color="000000" w:sz="6" w:space="0"/>
              <w:left w:val="single" w:color="000000" w:sz="6" w:space="0"/>
              <w:bottom w:val="single" w:color="000000" w:sz="6" w:space="0"/>
              <w:right w:val="single" w:color="000000" w:sz="12" w:space="0"/>
            </w:tcBorders>
            <w:vAlign w:val="center"/>
          </w:tcPr>
          <w:p w14:paraId="080F64D3">
            <w:pPr>
              <w:adjustRightInd w:val="0"/>
              <w:snapToGrid w:val="0"/>
              <w:spacing w:line="360" w:lineRule="auto"/>
              <w:rPr>
                <w:rFonts w:ascii="宋体" w:hAnsi="宋体"/>
                <w:color w:val="auto"/>
                <w:szCs w:val="21"/>
                <w:highlight w:val="none"/>
                <w:u w:val="single"/>
              </w:rPr>
            </w:pPr>
            <w:r>
              <w:rPr>
                <w:rFonts w:ascii="宋体" w:hAnsi="宋体"/>
                <w:color w:val="auto"/>
                <w:szCs w:val="21"/>
                <w:highlight w:val="none"/>
              </w:rPr>
              <w:t>见采购需求中的★条款。</w:t>
            </w:r>
          </w:p>
        </w:tc>
      </w:tr>
      <w:tr w14:paraId="6C682A9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534EB6C7">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第2</w:t>
            </w:r>
            <w:r>
              <w:rPr>
                <w:rFonts w:hint="eastAsia" w:ascii="宋体" w:hAnsi="宋体"/>
                <w:color w:val="auto"/>
                <w:szCs w:val="21"/>
                <w:highlight w:val="none"/>
                <w:lang w:val="en-US" w:eastAsia="zh-CN"/>
              </w:rPr>
              <w:t>8.2</w:t>
            </w:r>
            <w:r>
              <w:rPr>
                <w:rFonts w:hint="eastAsia" w:ascii="宋体" w:hAnsi="宋体"/>
                <w:color w:val="auto"/>
                <w:szCs w:val="21"/>
                <w:highlight w:val="none"/>
              </w:rPr>
              <w:t>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7BB709E5">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评审因素和标准</w:t>
            </w:r>
          </w:p>
        </w:tc>
        <w:tc>
          <w:tcPr>
            <w:tcW w:w="6195" w:type="dxa"/>
            <w:tcBorders>
              <w:top w:val="single" w:color="000000" w:sz="6" w:space="0"/>
              <w:left w:val="single" w:color="000000" w:sz="6" w:space="0"/>
              <w:bottom w:val="single" w:color="000000" w:sz="6" w:space="0"/>
              <w:right w:val="single" w:color="000000" w:sz="12" w:space="0"/>
            </w:tcBorders>
            <w:vAlign w:val="center"/>
          </w:tcPr>
          <w:p w14:paraId="712CF805">
            <w:pPr>
              <w:adjustRightInd w:val="0"/>
              <w:snapToGrid w:val="0"/>
              <w:spacing w:line="360" w:lineRule="auto"/>
              <w:rPr>
                <w:rFonts w:ascii="宋体" w:hAnsi="宋体"/>
                <w:color w:val="auto"/>
                <w:szCs w:val="21"/>
                <w:highlight w:val="none"/>
                <w:u w:val="single"/>
              </w:rPr>
            </w:pPr>
            <w:r>
              <w:rPr>
                <w:rFonts w:hint="eastAsia" w:ascii="宋体" w:hAnsi="宋体"/>
                <w:bCs/>
                <w:color w:val="auto"/>
                <w:szCs w:val="21"/>
                <w:highlight w:val="none"/>
              </w:rPr>
              <w:t>见附表3</w:t>
            </w:r>
          </w:p>
        </w:tc>
      </w:tr>
      <w:tr w14:paraId="28F2F7B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67222D99">
            <w:pPr>
              <w:widowControl w:val="0"/>
              <w:adjustRightInd w:val="0"/>
              <w:snapToGrid w:val="0"/>
              <w:spacing w:line="360" w:lineRule="auto"/>
              <w:jc w:val="center"/>
              <w:rPr>
                <w:rFonts w:ascii="宋体" w:hAnsi="宋体"/>
                <w:color w:val="auto"/>
                <w:sz w:val="18"/>
                <w:szCs w:val="18"/>
                <w:highlight w:val="none"/>
              </w:rPr>
            </w:pPr>
            <w:r>
              <w:rPr>
                <w:rFonts w:hint="eastAsia" w:ascii="宋体" w:hAnsi="宋体"/>
                <w:color w:val="auto"/>
                <w:szCs w:val="21"/>
                <w:highlight w:val="none"/>
              </w:rPr>
              <w:t>第2</w:t>
            </w:r>
            <w:r>
              <w:rPr>
                <w:rFonts w:hint="eastAsia" w:ascii="宋体" w:hAnsi="宋体"/>
                <w:color w:val="auto"/>
                <w:szCs w:val="21"/>
                <w:highlight w:val="none"/>
                <w:lang w:val="en-US" w:eastAsia="zh-CN"/>
              </w:rPr>
              <w:t>9.3</w:t>
            </w:r>
            <w:r>
              <w:rPr>
                <w:rFonts w:hint="eastAsia" w:ascii="宋体" w:hAnsi="宋体"/>
                <w:color w:val="auto"/>
                <w:szCs w:val="21"/>
                <w:highlight w:val="none"/>
              </w:rPr>
              <w:t>项</w:t>
            </w:r>
          </w:p>
        </w:tc>
        <w:tc>
          <w:tcPr>
            <w:tcW w:w="1900" w:type="dxa"/>
            <w:tcBorders>
              <w:top w:val="single" w:color="000000" w:sz="6" w:space="0"/>
              <w:left w:val="single" w:color="000000" w:sz="6" w:space="0"/>
              <w:bottom w:val="single" w:color="000000" w:sz="6" w:space="0"/>
              <w:right w:val="single" w:color="000000" w:sz="6" w:space="0"/>
            </w:tcBorders>
            <w:vAlign w:val="center"/>
          </w:tcPr>
          <w:p w14:paraId="30F40ECA">
            <w:pPr>
              <w:adjustRightInd w:val="0"/>
              <w:snapToGrid w:val="0"/>
              <w:spacing w:line="360" w:lineRule="auto"/>
              <w:rPr>
                <w:rFonts w:ascii="宋体" w:hAnsi="宋体"/>
                <w:color w:val="auto"/>
                <w:szCs w:val="21"/>
                <w:highlight w:val="none"/>
              </w:rPr>
            </w:pPr>
            <w:r>
              <w:rPr>
                <w:rFonts w:hint="eastAsia" w:ascii="宋体" w:hAnsi="宋体" w:cs="宋体"/>
                <w:color w:val="auto"/>
                <w:kern w:val="0"/>
                <w:szCs w:val="21"/>
                <w:highlight w:val="none"/>
              </w:rPr>
              <w:t>最后报价算术错误修正规定</w:t>
            </w:r>
          </w:p>
        </w:tc>
        <w:tc>
          <w:tcPr>
            <w:tcW w:w="6195" w:type="dxa"/>
            <w:tcBorders>
              <w:top w:val="single" w:color="000000" w:sz="6" w:space="0"/>
              <w:left w:val="single" w:color="000000" w:sz="6" w:space="0"/>
              <w:bottom w:val="single" w:color="000000" w:sz="6" w:space="0"/>
              <w:right w:val="single" w:color="000000" w:sz="12" w:space="0"/>
            </w:tcBorders>
            <w:vAlign w:val="center"/>
          </w:tcPr>
          <w:p w14:paraId="77D126DA">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☑按正文部分的规定进行修正</w:t>
            </w:r>
          </w:p>
          <w:p w14:paraId="41CB4931">
            <w:pPr>
              <w:adjustRightInd w:val="0"/>
              <w:snapToGrid w:val="0"/>
              <w:spacing w:line="360" w:lineRule="auto"/>
              <w:rPr>
                <w:rFonts w:ascii="宋体" w:hAnsi="宋体"/>
                <w:bCs/>
                <w:color w:val="auto"/>
                <w:szCs w:val="21"/>
                <w:highlight w:val="none"/>
              </w:rPr>
            </w:pPr>
            <w:r>
              <w:rPr>
                <w:rFonts w:hint="eastAsia" w:ascii="宋体" w:hAnsi="宋体"/>
                <w:color w:val="auto"/>
                <w:szCs w:val="21"/>
                <w:highlight w:val="none"/>
              </w:rPr>
              <w:t>□ 其它修正规定：</w:t>
            </w:r>
          </w:p>
        </w:tc>
      </w:tr>
      <w:tr w14:paraId="078538D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3"/>
            <w:tcBorders>
              <w:top w:val="single" w:color="000000" w:sz="6" w:space="0"/>
              <w:left w:val="single" w:color="000000" w:sz="12" w:space="0"/>
              <w:bottom w:val="single" w:color="000000" w:sz="6" w:space="0"/>
              <w:right w:val="single" w:color="000000" w:sz="12" w:space="0"/>
            </w:tcBorders>
            <w:vAlign w:val="center"/>
          </w:tcPr>
          <w:p w14:paraId="6CA22CE2">
            <w:pPr>
              <w:adjustRightInd w:val="0"/>
              <w:snapToGrid w:val="0"/>
              <w:spacing w:line="360" w:lineRule="auto"/>
              <w:rPr>
                <w:rStyle w:val="29"/>
                <w:rFonts w:ascii="宋体" w:hAnsi="宋体"/>
                <w:color w:val="auto"/>
                <w:szCs w:val="21"/>
                <w:highlight w:val="none"/>
              </w:rPr>
            </w:pPr>
            <w:r>
              <w:rPr>
                <w:rStyle w:val="29"/>
                <w:rFonts w:ascii="宋体" w:hAnsi="宋体"/>
                <w:b/>
                <w:color w:val="auto"/>
                <w:szCs w:val="21"/>
                <w:highlight w:val="none"/>
              </w:rPr>
              <w:t>六、成交结果信息公布与授予合同</w:t>
            </w:r>
          </w:p>
        </w:tc>
      </w:tr>
      <w:tr w14:paraId="33B260B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4AA8D526">
            <w:pPr>
              <w:adjustRightInd w:val="0"/>
              <w:snapToGrid w:val="0"/>
              <w:spacing w:before="50"/>
              <w:jc w:val="center"/>
              <w:rPr>
                <w:rStyle w:val="29"/>
                <w:rFonts w:ascii="宋体" w:hAnsi="宋体"/>
                <w:color w:val="auto"/>
                <w:szCs w:val="21"/>
                <w:highlight w:val="none"/>
              </w:rPr>
            </w:pPr>
            <w:r>
              <w:rPr>
                <w:rFonts w:hint="eastAsia" w:ascii="宋体" w:hAnsi="宋体" w:cs="宋体"/>
                <w:color w:val="auto"/>
                <w:szCs w:val="21"/>
                <w:highlight w:val="none"/>
              </w:rPr>
              <w:t>第34.1款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1589D35E">
            <w:pPr>
              <w:adjustRightInd w:val="0"/>
              <w:snapToGrid w:val="0"/>
              <w:spacing w:before="50"/>
              <w:rPr>
                <w:rStyle w:val="29"/>
                <w:rFonts w:ascii="宋体" w:hAnsi="宋体"/>
                <w:color w:val="auto"/>
                <w:highlight w:val="none"/>
              </w:rPr>
            </w:pPr>
            <w:r>
              <w:rPr>
                <w:rFonts w:hint="eastAsia" w:ascii="宋体" w:hAnsi="宋体" w:cs="宋体"/>
                <w:color w:val="auto"/>
                <w:szCs w:val="21"/>
                <w:highlight w:val="none"/>
              </w:rPr>
              <w:t>财政部门指定的媒体</w:t>
            </w:r>
          </w:p>
        </w:tc>
        <w:tc>
          <w:tcPr>
            <w:tcW w:w="6195" w:type="dxa"/>
            <w:tcBorders>
              <w:top w:val="single" w:color="000000" w:sz="6" w:space="0"/>
              <w:left w:val="single" w:color="000000" w:sz="6" w:space="0"/>
              <w:bottom w:val="single" w:color="000000" w:sz="6" w:space="0"/>
              <w:right w:val="single" w:color="000000" w:sz="12" w:space="0"/>
            </w:tcBorders>
            <w:vAlign w:val="center"/>
          </w:tcPr>
          <w:p w14:paraId="5D722F13">
            <w:pPr>
              <w:adjustRightInd w:val="0"/>
              <w:snapToGrid w:val="0"/>
              <w:spacing w:before="50"/>
              <w:rPr>
                <w:rStyle w:val="29"/>
                <w:rFonts w:ascii="宋体" w:hAnsi="宋体"/>
                <w:color w:val="auto"/>
                <w:highlight w:val="none"/>
              </w:rPr>
            </w:pPr>
            <w:r>
              <w:rPr>
                <w:rFonts w:hint="eastAsia" w:ascii="宋体" w:hAnsi="宋体" w:cs="宋体"/>
                <w:color w:val="auto"/>
                <w:szCs w:val="21"/>
                <w:highlight w:val="none"/>
              </w:rPr>
              <w:t>详见第一章磋商邀请公告</w:t>
            </w:r>
          </w:p>
        </w:tc>
      </w:tr>
      <w:tr w14:paraId="55A8E29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2B5F655F">
            <w:pPr>
              <w:adjustRightInd w:val="0"/>
              <w:snapToGrid w:val="0"/>
              <w:jc w:val="center"/>
              <w:rPr>
                <w:rStyle w:val="29"/>
                <w:rFonts w:ascii="宋体" w:hAnsi="宋体"/>
                <w:color w:val="auto"/>
                <w:szCs w:val="21"/>
                <w:highlight w:val="none"/>
              </w:rPr>
            </w:pPr>
            <w:r>
              <w:rPr>
                <w:rFonts w:hint="eastAsia" w:ascii="宋体" w:hAnsi="宋体" w:cs="宋体"/>
                <w:color w:val="auto"/>
                <w:szCs w:val="21"/>
                <w:highlight w:val="none"/>
              </w:rPr>
              <w:t>第35.3</w:t>
            </w:r>
            <w:r>
              <w:rPr>
                <w:rFonts w:hint="eastAsia" w:ascii="宋体" w:hAnsi="宋体" w:cs="宋体"/>
                <w:color w:val="auto"/>
                <w:kern w:val="0"/>
                <w:szCs w:val="21"/>
                <w:highlight w:val="none"/>
                <w:lang w:val="zh-CN"/>
              </w:rPr>
              <w:t>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42697466">
            <w:pPr>
              <w:adjustRightInd w:val="0"/>
              <w:snapToGrid w:val="0"/>
              <w:rPr>
                <w:rStyle w:val="29"/>
                <w:rFonts w:ascii="宋体" w:hAnsi="宋体"/>
                <w:color w:val="auto"/>
                <w:highlight w:val="none"/>
              </w:rPr>
            </w:pPr>
            <w:r>
              <w:rPr>
                <w:rFonts w:hint="eastAsia" w:ascii="宋体" w:hAnsi="宋体" w:cs="宋体"/>
                <w:color w:val="auto"/>
                <w:szCs w:val="21"/>
                <w:highlight w:val="none"/>
              </w:rPr>
              <w:t>接收质疑函的联系部门、联系电话和通讯地址</w:t>
            </w:r>
          </w:p>
        </w:tc>
        <w:tc>
          <w:tcPr>
            <w:tcW w:w="6195" w:type="dxa"/>
            <w:tcBorders>
              <w:top w:val="single" w:color="000000" w:sz="6" w:space="0"/>
              <w:left w:val="single" w:color="000000" w:sz="6" w:space="0"/>
              <w:bottom w:val="single" w:color="000000" w:sz="6" w:space="0"/>
              <w:right w:val="single" w:color="000000" w:sz="12" w:space="0"/>
            </w:tcBorders>
            <w:vAlign w:val="center"/>
          </w:tcPr>
          <w:p w14:paraId="2DEAEFE8">
            <w:pPr>
              <w:adjustRightInd w:val="0"/>
              <w:snapToGrid w:val="0"/>
              <w:spacing w:before="50"/>
              <w:rPr>
                <w:rStyle w:val="29"/>
                <w:rFonts w:ascii="宋体" w:hAnsi="宋体"/>
                <w:color w:val="auto"/>
                <w:highlight w:val="none"/>
              </w:rPr>
            </w:pPr>
            <w:r>
              <w:rPr>
                <w:rFonts w:hint="eastAsia" w:ascii="宋体" w:hAnsi="宋体" w:cs="宋体"/>
                <w:color w:val="auto"/>
                <w:szCs w:val="21"/>
                <w:highlight w:val="none"/>
              </w:rPr>
              <w:t>详见第一章磋商邀请公告</w:t>
            </w:r>
          </w:p>
        </w:tc>
      </w:tr>
      <w:tr w14:paraId="7A34CE3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430509D2">
            <w:pPr>
              <w:adjustRightInd w:val="0"/>
              <w:snapToGrid w:val="0"/>
              <w:spacing w:before="50"/>
              <w:jc w:val="center"/>
              <w:rPr>
                <w:rStyle w:val="29"/>
                <w:rFonts w:ascii="宋体" w:hAnsi="宋体"/>
                <w:color w:val="auto"/>
                <w:szCs w:val="21"/>
                <w:highlight w:val="none"/>
              </w:rPr>
            </w:pPr>
            <w:r>
              <w:rPr>
                <w:rFonts w:hint="eastAsia" w:ascii="宋体" w:hAnsi="宋体" w:cs="宋体"/>
                <w:color w:val="auto"/>
                <w:szCs w:val="21"/>
                <w:highlight w:val="none"/>
              </w:rPr>
              <w:t>第36.1款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40DB1C01">
            <w:pPr>
              <w:adjustRightInd w:val="0"/>
              <w:snapToGrid w:val="0"/>
              <w:spacing w:before="50"/>
              <w:rPr>
                <w:rStyle w:val="29"/>
                <w:rFonts w:ascii="宋体" w:hAnsi="宋体"/>
                <w:color w:val="auto"/>
                <w:highlight w:val="none"/>
              </w:rPr>
            </w:pPr>
            <w:r>
              <w:rPr>
                <w:rFonts w:hint="eastAsia" w:ascii="宋体" w:hAnsi="宋体" w:cs="宋体"/>
                <w:color w:val="auto"/>
                <w:szCs w:val="21"/>
                <w:highlight w:val="none"/>
              </w:rPr>
              <w:t>履约担保</w:t>
            </w:r>
          </w:p>
        </w:tc>
        <w:tc>
          <w:tcPr>
            <w:tcW w:w="6195" w:type="dxa"/>
            <w:tcBorders>
              <w:top w:val="single" w:color="000000" w:sz="6" w:space="0"/>
              <w:left w:val="single" w:color="000000" w:sz="6" w:space="0"/>
              <w:bottom w:val="single" w:color="000000" w:sz="6" w:space="0"/>
              <w:right w:val="single" w:color="000000" w:sz="12" w:space="0"/>
            </w:tcBorders>
            <w:vAlign w:val="center"/>
          </w:tcPr>
          <w:p w14:paraId="523A6414">
            <w:pPr>
              <w:adjustRightInd w:val="0"/>
              <w:snapToGrid w:val="0"/>
              <w:spacing w:before="50"/>
              <w:rPr>
                <w:rStyle w:val="29"/>
                <w:rFonts w:ascii="宋体" w:hAnsi="宋体"/>
                <w:color w:val="auto"/>
                <w:highlight w:val="none"/>
              </w:rPr>
            </w:pPr>
            <w:r>
              <w:rPr>
                <w:rFonts w:hint="eastAsia" w:ascii="宋体" w:hAnsi="宋体" w:cs="宋体"/>
                <w:color w:val="auto"/>
                <w:szCs w:val="21"/>
                <w:highlight w:val="none"/>
              </w:rPr>
              <w:t>无</w:t>
            </w:r>
          </w:p>
        </w:tc>
      </w:tr>
      <w:tr w14:paraId="15ED980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3"/>
            <w:tcBorders>
              <w:top w:val="single" w:color="000000" w:sz="6" w:space="0"/>
              <w:left w:val="single" w:color="000000" w:sz="12" w:space="0"/>
              <w:bottom w:val="single" w:color="000000" w:sz="6" w:space="0"/>
              <w:right w:val="single" w:color="000000" w:sz="12" w:space="0"/>
            </w:tcBorders>
            <w:vAlign w:val="center"/>
          </w:tcPr>
          <w:p w14:paraId="541FC2AC">
            <w:pPr>
              <w:adjustRightInd w:val="0"/>
              <w:snapToGrid w:val="0"/>
              <w:spacing w:line="360" w:lineRule="auto"/>
              <w:rPr>
                <w:rStyle w:val="29"/>
                <w:rFonts w:ascii="宋体" w:hAnsi="宋体"/>
                <w:b/>
                <w:color w:val="auto"/>
                <w:szCs w:val="21"/>
                <w:highlight w:val="none"/>
              </w:rPr>
            </w:pPr>
            <w:r>
              <w:rPr>
                <w:rFonts w:hint="eastAsia" w:ascii="黑体" w:hAnsi="黑体" w:eastAsia="黑体" w:cs="黑体"/>
                <w:b/>
                <w:color w:val="auto"/>
                <w:szCs w:val="21"/>
                <w:highlight w:val="none"/>
              </w:rPr>
              <w:t>七、政府采购政策</w:t>
            </w:r>
          </w:p>
        </w:tc>
      </w:tr>
      <w:tr w14:paraId="6096699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79479960">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第40.1款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50E89E4D">
            <w:pPr>
              <w:pStyle w:val="35"/>
              <w:ind w:firstLine="0" w:firstLineChars="0"/>
              <w:rPr>
                <w:rFonts w:ascii="宋体" w:hAnsi="宋体"/>
                <w:color w:val="auto"/>
                <w:highlight w:val="none"/>
              </w:rPr>
            </w:pPr>
            <w:r>
              <w:rPr>
                <w:rFonts w:hint="eastAsia" w:ascii="宋体" w:hAnsi="宋体"/>
                <w:color w:val="auto"/>
                <w:highlight w:val="none"/>
              </w:rPr>
              <w:t>优先采购加分比例</w:t>
            </w:r>
          </w:p>
          <w:p w14:paraId="4C7F0C55">
            <w:pPr>
              <w:pStyle w:val="35"/>
              <w:ind w:firstLine="0" w:firstLineChars="0"/>
              <w:rPr>
                <w:rFonts w:ascii="宋体" w:hAnsi="宋体"/>
                <w:color w:val="auto"/>
                <w:highlight w:val="none"/>
              </w:rPr>
            </w:pPr>
            <w:r>
              <w:rPr>
                <w:rFonts w:hint="eastAsia" w:ascii="宋体" w:hAnsi="宋体"/>
                <w:color w:val="auto"/>
                <w:highlight w:val="none"/>
              </w:rPr>
              <w:t>1、非强制采购的节能产品；</w:t>
            </w:r>
          </w:p>
          <w:p w14:paraId="2EB9390B">
            <w:pPr>
              <w:pStyle w:val="35"/>
              <w:ind w:firstLine="0" w:firstLineChars="0"/>
              <w:rPr>
                <w:color w:val="auto"/>
                <w:highlight w:val="none"/>
              </w:rPr>
            </w:pPr>
            <w:r>
              <w:rPr>
                <w:rFonts w:hint="eastAsia" w:ascii="宋体" w:hAnsi="宋体"/>
                <w:color w:val="auto"/>
                <w:highlight w:val="none"/>
              </w:rPr>
              <w:t>2、环境标志产品；</w:t>
            </w:r>
          </w:p>
        </w:tc>
        <w:tc>
          <w:tcPr>
            <w:tcW w:w="6195" w:type="dxa"/>
            <w:tcBorders>
              <w:top w:val="single" w:color="000000" w:sz="6" w:space="0"/>
              <w:left w:val="single" w:color="000000" w:sz="6" w:space="0"/>
              <w:bottom w:val="single" w:color="000000" w:sz="6" w:space="0"/>
              <w:right w:val="single" w:color="000000" w:sz="12" w:space="0"/>
            </w:tcBorders>
            <w:vAlign w:val="center"/>
          </w:tcPr>
          <w:p w14:paraId="5CE0DF3C">
            <w:pPr>
              <w:adjustRightInd w:val="0"/>
              <w:snapToGrid w:val="0"/>
              <w:spacing w:beforeLines="50" w:line="360" w:lineRule="auto"/>
              <w:rPr>
                <w:rFonts w:ascii="宋体" w:hAnsi="宋体"/>
                <w:color w:val="auto"/>
                <w:szCs w:val="21"/>
                <w:highlight w:val="none"/>
              </w:rPr>
            </w:pPr>
            <w:r>
              <w:rPr>
                <w:rFonts w:hint="eastAsia" w:ascii="宋体" w:hAnsi="宋体"/>
                <w:color w:val="auto"/>
                <w:szCs w:val="21"/>
                <w:highlight w:val="none"/>
              </w:rPr>
              <w:t>1、采购产品为《节能产品政府采购品目清单》内非标记★符号的，分别给予技术和价格项标准总分值4%-8%的加分。本项目具体加分比例分别为 ：技术</w:t>
            </w:r>
            <w:r>
              <w:rPr>
                <w:rFonts w:hint="eastAsia" w:ascii="宋体" w:hAnsi="宋体"/>
                <w:color w:val="auto"/>
                <w:szCs w:val="21"/>
                <w:highlight w:val="none"/>
                <w:u w:val="single"/>
                <w:lang w:val="en-US" w:eastAsia="zh-CN"/>
              </w:rPr>
              <w:t>/</w:t>
            </w:r>
            <w:r>
              <w:rPr>
                <w:rFonts w:hint="eastAsia" w:ascii="宋体" w:hAnsi="宋体"/>
                <w:color w:val="auto"/>
                <w:szCs w:val="21"/>
                <w:highlight w:val="none"/>
              </w:rPr>
              <w:t>%、价格</w:t>
            </w:r>
            <w:r>
              <w:rPr>
                <w:rFonts w:hint="eastAsia" w:ascii="宋体" w:hAnsi="宋体"/>
                <w:color w:val="auto"/>
                <w:szCs w:val="21"/>
                <w:highlight w:val="none"/>
                <w:u w:val="single"/>
                <w:lang w:val="en-US" w:eastAsia="zh-CN"/>
              </w:rPr>
              <w:t>/</w:t>
            </w:r>
            <w:r>
              <w:rPr>
                <w:rFonts w:hint="eastAsia" w:ascii="宋体" w:hAnsi="宋体"/>
                <w:color w:val="auto"/>
                <w:szCs w:val="21"/>
                <w:highlight w:val="none"/>
              </w:rPr>
              <w:t>%。</w:t>
            </w:r>
          </w:p>
          <w:p w14:paraId="537E5855">
            <w:pPr>
              <w:adjustRightInd w:val="0"/>
              <w:snapToGrid w:val="0"/>
              <w:spacing w:beforeLines="50" w:line="360" w:lineRule="auto"/>
              <w:rPr>
                <w:rFonts w:hint="eastAsia" w:ascii="宋体" w:hAnsi="宋体"/>
                <w:color w:val="auto"/>
                <w:szCs w:val="21"/>
                <w:highlight w:val="none"/>
              </w:rPr>
            </w:pPr>
            <w:r>
              <w:rPr>
                <w:rFonts w:hint="eastAsia" w:ascii="宋体" w:hAnsi="宋体"/>
                <w:color w:val="auto"/>
                <w:szCs w:val="21"/>
                <w:highlight w:val="none"/>
              </w:rPr>
              <w:t>2、采购产品为《环境标志产品政府采购品目清单》内的，分别给予技术和价格项标准总分值4%-8%的加分。本项目具体加分比例分别为 ：技术</w:t>
            </w:r>
            <w:r>
              <w:rPr>
                <w:rFonts w:hint="eastAsia" w:ascii="宋体" w:hAnsi="宋体"/>
                <w:color w:val="auto"/>
                <w:szCs w:val="21"/>
                <w:highlight w:val="none"/>
                <w:u w:val="single"/>
                <w:lang w:val="en-US" w:eastAsia="zh-CN"/>
              </w:rPr>
              <w:t>/</w:t>
            </w:r>
            <w:r>
              <w:rPr>
                <w:rFonts w:hint="eastAsia" w:ascii="宋体" w:hAnsi="宋体"/>
                <w:color w:val="auto"/>
                <w:szCs w:val="21"/>
                <w:highlight w:val="none"/>
              </w:rPr>
              <w:t>%、价格</w:t>
            </w:r>
            <w:r>
              <w:rPr>
                <w:rFonts w:hint="eastAsia" w:ascii="宋体" w:hAnsi="宋体"/>
                <w:color w:val="auto"/>
                <w:szCs w:val="21"/>
                <w:highlight w:val="none"/>
                <w:u w:val="single"/>
                <w:lang w:val="en-US" w:eastAsia="zh-CN"/>
              </w:rPr>
              <w:t>/</w:t>
            </w:r>
            <w:r>
              <w:rPr>
                <w:rFonts w:hint="eastAsia" w:ascii="宋体" w:hAnsi="宋体"/>
                <w:color w:val="auto"/>
                <w:szCs w:val="21"/>
                <w:highlight w:val="none"/>
              </w:rPr>
              <w:t>%。</w:t>
            </w:r>
          </w:p>
          <w:p w14:paraId="7184F5E8">
            <w:pPr>
              <w:adjustRightInd w:val="0"/>
              <w:snapToGrid w:val="0"/>
              <w:spacing w:beforeLines="50" w:line="360" w:lineRule="auto"/>
              <w:rPr>
                <w:rFonts w:hint="eastAsia" w:ascii="宋体" w:hAnsi="宋体"/>
                <w:color w:val="auto"/>
                <w:szCs w:val="21"/>
                <w:highlight w:val="none"/>
              </w:rPr>
            </w:pPr>
            <w:r>
              <w:rPr>
                <w:rFonts w:hint="eastAsia" w:ascii="宋体" w:hAnsi="宋体"/>
                <w:color w:val="auto"/>
                <w:szCs w:val="21"/>
                <w:highlight w:val="none"/>
              </w:rPr>
              <w:t>本项目为服务类采购项目</w:t>
            </w:r>
            <w:r>
              <w:rPr>
                <w:rFonts w:hint="eastAsia" w:ascii="宋体" w:hAnsi="宋体"/>
                <w:color w:val="auto"/>
                <w:szCs w:val="21"/>
                <w:highlight w:val="none"/>
                <w:lang w:eastAsia="zh-CN"/>
              </w:rPr>
              <w:t>，</w:t>
            </w:r>
            <w:r>
              <w:rPr>
                <w:rFonts w:hint="eastAsia" w:ascii="宋体" w:hAnsi="宋体"/>
                <w:color w:val="auto"/>
                <w:szCs w:val="21"/>
                <w:highlight w:val="none"/>
              </w:rPr>
              <w:t>不适用</w:t>
            </w:r>
            <w:r>
              <w:rPr>
                <w:rFonts w:hint="eastAsia" w:ascii="宋体" w:hAnsi="宋体"/>
                <w:color w:val="auto"/>
                <w:szCs w:val="21"/>
                <w:highlight w:val="none"/>
                <w:lang w:val="en-US" w:eastAsia="zh-CN"/>
              </w:rPr>
              <w:t>此项</w:t>
            </w:r>
          </w:p>
        </w:tc>
      </w:tr>
      <w:tr w14:paraId="373B790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289"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47F2B771">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第41.2款</w:t>
            </w:r>
          </w:p>
        </w:tc>
        <w:tc>
          <w:tcPr>
            <w:tcW w:w="1900" w:type="dxa"/>
            <w:tcBorders>
              <w:top w:val="single" w:color="000000" w:sz="6" w:space="0"/>
              <w:left w:val="single" w:color="000000" w:sz="6" w:space="0"/>
              <w:bottom w:val="single" w:color="000000" w:sz="6" w:space="0"/>
              <w:right w:val="single" w:color="000000" w:sz="6" w:space="0"/>
            </w:tcBorders>
            <w:vAlign w:val="center"/>
          </w:tcPr>
          <w:p w14:paraId="0C543C78">
            <w:pPr>
              <w:adjustRightInd w:val="0"/>
              <w:snapToGrid w:val="0"/>
              <w:spacing w:before="50"/>
              <w:rPr>
                <w:rFonts w:ascii="宋体" w:hAnsi="宋体"/>
                <w:color w:val="auto"/>
                <w:szCs w:val="21"/>
                <w:highlight w:val="none"/>
              </w:rPr>
            </w:pPr>
            <w:r>
              <w:rPr>
                <w:rFonts w:hint="eastAsia" w:ascii="宋体" w:hAnsi="宋体" w:cs="宋体"/>
                <w:color w:val="auto"/>
                <w:szCs w:val="21"/>
                <w:highlight w:val="none"/>
              </w:rPr>
              <w:t>小型、微型企业的价格折扣比例</w:t>
            </w:r>
          </w:p>
        </w:tc>
        <w:tc>
          <w:tcPr>
            <w:tcW w:w="6195" w:type="dxa"/>
            <w:tcBorders>
              <w:top w:val="single" w:color="000000" w:sz="6" w:space="0"/>
              <w:left w:val="single" w:color="000000" w:sz="6" w:space="0"/>
              <w:bottom w:val="single" w:color="000000" w:sz="6" w:space="0"/>
              <w:right w:val="single" w:color="000000" w:sz="12" w:space="0"/>
            </w:tcBorders>
            <w:vAlign w:val="center"/>
          </w:tcPr>
          <w:p w14:paraId="7641A15C">
            <w:pPr>
              <w:adjustRightInd w:val="0"/>
              <w:snapToGrid w:val="0"/>
              <w:spacing w:before="50"/>
              <w:rPr>
                <w:rFonts w:ascii="宋体" w:hAnsi="宋体" w:cs="宋体"/>
                <w:color w:val="auto"/>
                <w:szCs w:val="21"/>
                <w:highlight w:val="none"/>
              </w:rPr>
            </w:pPr>
            <w:r>
              <w:rPr>
                <w:rFonts w:hint="eastAsia" w:ascii="宋体" w:hAnsi="宋体" w:cs="宋体"/>
                <w:color w:val="auto"/>
                <w:szCs w:val="21"/>
                <w:highlight w:val="none"/>
              </w:rPr>
              <w:sym w:font="Wingdings" w:char="F0A8"/>
            </w:r>
            <w:r>
              <w:rPr>
                <w:rFonts w:hint="eastAsia" w:ascii="宋体" w:hAnsi="宋体" w:cs="宋体"/>
                <w:color w:val="auto"/>
                <w:szCs w:val="21"/>
                <w:highlight w:val="none"/>
              </w:rPr>
              <w:t>工程类6%；</w:t>
            </w:r>
          </w:p>
          <w:p w14:paraId="382662F8">
            <w:pPr>
              <w:adjustRightInd w:val="0"/>
              <w:snapToGrid w:val="0"/>
              <w:spacing w:before="50"/>
              <w:rPr>
                <w:rFonts w:ascii="宋体" w:hAnsi="宋体" w:cs="宋体"/>
                <w:color w:val="auto"/>
                <w:szCs w:val="21"/>
                <w:highlight w:val="none"/>
              </w:rPr>
            </w:pPr>
            <w:r>
              <w:rPr>
                <w:rFonts w:hint="eastAsia" w:ascii="宋体" w:hAnsi="宋体" w:cs="宋体"/>
                <w:color w:val="auto"/>
                <w:szCs w:val="21"/>
                <w:highlight w:val="none"/>
              </w:rPr>
              <w:sym w:font="Wingdings" w:char="F0A8"/>
            </w:r>
            <w:r>
              <w:rPr>
                <w:rFonts w:hint="eastAsia" w:ascii="宋体" w:hAnsi="宋体" w:cs="宋体"/>
                <w:color w:val="auto"/>
                <w:szCs w:val="21"/>
                <w:highlight w:val="none"/>
              </w:rPr>
              <w:t>服务类10%；</w:t>
            </w:r>
          </w:p>
          <w:p w14:paraId="1EFED717">
            <w:pPr>
              <w:pStyle w:val="23"/>
              <w:spacing w:line="240" w:lineRule="auto"/>
              <w:ind w:left="0" w:leftChars="0" w:firstLine="0" w:firstLineChars="0"/>
              <w:rPr>
                <w:rFonts w:ascii="宋体" w:hAnsi="宋体" w:eastAsia="宋体"/>
                <w:color w:val="auto"/>
                <w:sz w:val="21"/>
                <w:szCs w:val="21"/>
                <w:highlight w:val="none"/>
                <w:u w:val="single"/>
              </w:rPr>
            </w:pPr>
            <w:r>
              <w:rPr>
                <w:rFonts w:hint="eastAsia" w:ascii="宋体" w:hAnsi="宋体" w:eastAsia="宋体" w:cs="宋体"/>
                <w:color w:val="auto"/>
                <w:sz w:val="21"/>
                <w:szCs w:val="21"/>
                <w:highlight w:val="none"/>
              </w:rPr>
              <w:sym w:font="Wingdings" w:char="F0FE"/>
            </w:r>
            <w:r>
              <w:rPr>
                <w:rFonts w:hint="eastAsia" w:ascii="宋体" w:hAnsi="宋体" w:eastAsia="宋体" w:cs="宋体"/>
                <w:color w:val="auto"/>
                <w:sz w:val="21"/>
                <w:szCs w:val="21"/>
                <w:highlight w:val="none"/>
              </w:rPr>
              <w:t>本项目专门面向中小企业、小微企业，无价格折扣。</w:t>
            </w:r>
          </w:p>
        </w:tc>
      </w:tr>
      <w:tr w14:paraId="294F430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04" w:hRule="atLeast"/>
          <w:jc w:val="center"/>
        </w:trPr>
        <w:tc>
          <w:tcPr>
            <w:tcW w:w="1260" w:type="dxa"/>
            <w:vMerge w:val="restart"/>
            <w:tcBorders>
              <w:top w:val="single" w:color="000000" w:sz="6" w:space="0"/>
              <w:left w:val="single" w:color="000000" w:sz="12" w:space="0"/>
              <w:right w:val="single" w:color="000000" w:sz="6" w:space="0"/>
            </w:tcBorders>
            <w:shd w:val="clear" w:color="auto" w:fill="auto"/>
            <w:vAlign w:val="center"/>
          </w:tcPr>
          <w:p w14:paraId="2B948ABB">
            <w:pPr>
              <w:adjustRightInd w:val="0"/>
              <w:snapToGrid w:val="0"/>
              <w:spacing w:before="50"/>
              <w:jc w:val="center"/>
              <w:rPr>
                <w:rFonts w:ascii="宋体" w:hAnsi="宋体" w:cs="宋体"/>
                <w:color w:val="auto"/>
                <w:szCs w:val="21"/>
                <w:highlight w:val="none"/>
              </w:rPr>
            </w:pPr>
            <w:r>
              <w:rPr>
                <w:rFonts w:hint="eastAsia" w:ascii="宋体" w:hAnsi="宋体" w:cs="宋体"/>
                <w:color w:val="auto"/>
                <w:szCs w:val="21"/>
                <w:highlight w:val="none"/>
              </w:rPr>
              <w:t>第43.1（2）项</w:t>
            </w:r>
          </w:p>
        </w:tc>
        <w:tc>
          <w:tcPr>
            <w:tcW w:w="1900" w:type="dxa"/>
            <w:vMerge w:val="restart"/>
            <w:tcBorders>
              <w:top w:val="single" w:color="000000" w:sz="6" w:space="0"/>
              <w:left w:val="single" w:color="000000" w:sz="6" w:space="0"/>
              <w:right w:val="single" w:color="000000" w:sz="6" w:space="0"/>
            </w:tcBorders>
            <w:shd w:val="clear" w:color="auto" w:fill="auto"/>
            <w:vAlign w:val="center"/>
          </w:tcPr>
          <w:p w14:paraId="172B1C9B">
            <w:pPr>
              <w:adjustRightInd w:val="0"/>
              <w:snapToGrid w:val="0"/>
              <w:spacing w:before="50"/>
              <w:rPr>
                <w:rFonts w:ascii="宋体" w:hAnsi="宋体" w:cs="宋体"/>
                <w:color w:val="auto"/>
                <w:szCs w:val="21"/>
                <w:highlight w:val="none"/>
              </w:rPr>
            </w:pPr>
            <w:r>
              <w:rPr>
                <w:rFonts w:hint="eastAsia" w:ascii="宋体" w:hAnsi="宋体" w:cs="宋体"/>
                <w:color w:val="auto"/>
                <w:szCs w:val="21"/>
                <w:highlight w:val="none"/>
              </w:rPr>
              <w:t>支持中小企业</w:t>
            </w:r>
          </w:p>
        </w:tc>
        <w:tc>
          <w:tcPr>
            <w:tcW w:w="6195" w:type="dxa"/>
            <w:tcBorders>
              <w:top w:val="single" w:color="000000" w:sz="6" w:space="0"/>
              <w:left w:val="single" w:color="000000" w:sz="6" w:space="0"/>
              <w:bottom w:val="single" w:color="000000" w:sz="6" w:space="0"/>
              <w:right w:val="single" w:color="000000" w:sz="12" w:space="0"/>
            </w:tcBorders>
            <w:shd w:val="clear" w:color="auto" w:fill="auto"/>
            <w:vAlign w:val="center"/>
          </w:tcPr>
          <w:p w14:paraId="66D7D66E">
            <w:pPr>
              <w:rPr>
                <w:rFonts w:ascii="宋体" w:hAnsi="宋体" w:cs="宋体"/>
                <w:color w:val="auto"/>
                <w:szCs w:val="21"/>
                <w:highlight w:val="none"/>
                <w:u w:val="single"/>
              </w:rPr>
            </w:pPr>
            <w:r>
              <w:rPr>
                <w:rFonts w:hint="eastAsia" w:ascii="宋体" w:hAnsi="宋体" w:cs="宋体"/>
                <w:color w:val="auto"/>
                <w:szCs w:val="21"/>
                <w:highlight w:val="none"/>
              </w:rPr>
              <w:t xml:space="preserve">本项目所属行业 </w:t>
            </w:r>
            <w:r>
              <w:rPr>
                <w:rFonts w:hint="eastAsia" w:ascii="宋体" w:hAnsi="宋体" w:cs="宋体"/>
                <w:color w:val="auto"/>
                <w:szCs w:val="21"/>
                <w:highlight w:val="none"/>
                <w:u w:val="single"/>
              </w:rPr>
              <w:t xml:space="preserve">  （十六）其他未列明行业</w:t>
            </w:r>
          </w:p>
          <w:p w14:paraId="7FC3BC70">
            <w:pPr>
              <w:rPr>
                <w:rFonts w:ascii="宋体" w:hAnsi="宋体" w:cs="宋体"/>
                <w:color w:val="auto"/>
                <w:szCs w:val="21"/>
                <w:highlight w:val="none"/>
              </w:rPr>
            </w:pPr>
            <w:r>
              <w:rPr>
                <w:rFonts w:hint="eastAsia" w:ascii="宋体" w:hAnsi="宋体" w:cs="宋体"/>
                <w:color w:val="auto"/>
                <w:szCs w:val="21"/>
                <w:highlight w:val="none"/>
              </w:rPr>
              <w:t>(注：从以下选项中选择填写）</w:t>
            </w:r>
          </w:p>
          <w:p w14:paraId="730E53C6">
            <w:pPr>
              <w:rPr>
                <w:rFonts w:ascii="宋体" w:hAnsi="宋体" w:cs="宋体"/>
                <w:color w:val="auto"/>
                <w:szCs w:val="21"/>
                <w:highlight w:val="none"/>
              </w:rPr>
            </w:pPr>
            <w:r>
              <w:rPr>
                <w:rFonts w:hint="eastAsia" w:ascii="宋体" w:hAnsi="宋体" w:cs="宋体"/>
                <w:color w:val="auto"/>
                <w:szCs w:val="21"/>
                <w:highlight w:val="none"/>
              </w:rPr>
              <w:t>（一）农、林、牧、渔业</w:t>
            </w:r>
          </w:p>
          <w:p w14:paraId="752E2CD4">
            <w:pPr>
              <w:rPr>
                <w:rFonts w:ascii="宋体" w:hAnsi="宋体" w:cs="宋体"/>
                <w:color w:val="auto"/>
                <w:szCs w:val="21"/>
                <w:highlight w:val="none"/>
              </w:rPr>
            </w:pPr>
            <w:r>
              <w:rPr>
                <w:rFonts w:hint="eastAsia" w:ascii="宋体" w:hAnsi="宋体" w:cs="宋体"/>
                <w:color w:val="auto"/>
                <w:szCs w:val="21"/>
                <w:highlight w:val="none"/>
              </w:rPr>
              <w:t>（二）工业</w:t>
            </w:r>
          </w:p>
          <w:p w14:paraId="57A601D3">
            <w:pPr>
              <w:rPr>
                <w:rFonts w:ascii="宋体" w:hAnsi="宋体" w:cs="宋体"/>
                <w:color w:val="auto"/>
                <w:szCs w:val="21"/>
                <w:highlight w:val="none"/>
              </w:rPr>
            </w:pPr>
            <w:r>
              <w:rPr>
                <w:rFonts w:hint="eastAsia" w:ascii="宋体" w:hAnsi="宋体" w:cs="宋体"/>
                <w:color w:val="auto"/>
                <w:szCs w:val="21"/>
                <w:highlight w:val="none"/>
              </w:rPr>
              <w:t>（三）建筑业</w:t>
            </w:r>
          </w:p>
          <w:p w14:paraId="6EAF2261">
            <w:pPr>
              <w:rPr>
                <w:rFonts w:ascii="宋体" w:hAnsi="宋体" w:cs="宋体"/>
                <w:color w:val="auto"/>
                <w:szCs w:val="21"/>
                <w:highlight w:val="none"/>
              </w:rPr>
            </w:pPr>
            <w:r>
              <w:rPr>
                <w:rFonts w:hint="eastAsia" w:ascii="宋体" w:hAnsi="宋体" w:cs="宋体"/>
                <w:color w:val="auto"/>
                <w:szCs w:val="21"/>
                <w:highlight w:val="none"/>
              </w:rPr>
              <w:t>（四）批发业</w:t>
            </w:r>
          </w:p>
          <w:p w14:paraId="2A18E646">
            <w:pPr>
              <w:rPr>
                <w:rFonts w:ascii="宋体" w:hAnsi="宋体" w:cs="宋体"/>
                <w:color w:val="auto"/>
                <w:szCs w:val="21"/>
                <w:highlight w:val="none"/>
              </w:rPr>
            </w:pPr>
            <w:r>
              <w:rPr>
                <w:rFonts w:hint="eastAsia" w:ascii="宋体" w:hAnsi="宋体" w:cs="宋体"/>
                <w:color w:val="auto"/>
                <w:szCs w:val="21"/>
                <w:highlight w:val="none"/>
              </w:rPr>
              <w:t>（五）零售业</w:t>
            </w:r>
          </w:p>
          <w:p w14:paraId="0BFC2EA7">
            <w:pPr>
              <w:rPr>
                <w:rFonts w:ascii="宋体" w:hAnsi="宋体" w:cs="宋体"/>
                <w:color w:val="auto"/>
                <w:szCs w:val="21"/>
                <w:highlight w:val="none"/>
              </w:rPr>
            </w:pPr>
            <w:r>
              <w:rPr>
                <w:rFonts w:hint="eastAsia" w:ascii="宋体" w:hAnsi="宋体" w:cs="宋体"/>
                <w:color w:val="auto"/>
                <w:szCs w:val="21"/>
                <w:highlight w:val="none"/>
              </w:rPr>
              <w:t>（六）交通运输业</w:t>
            </w:r>
          </w:p>
          <w:p w14:paraId="35628629">
            <w:pPr>
              <w:rPr>
                <w:rFonts w:ascii="宋体" w:hAnsi="宋体" w:cs="宋体"/>
                <w:color w:val="auto"/>
                <w:szCs w:val="21"/>
                <w:highlight w:val="none"/>
              </w:rPr>
            </w:pPr>
            <w:r>
              <w:rPr>
                <w:rFonts w:hint="eastAsia" w:ascii="宋体" w:hAnsi="宋体" w:cs="宋体"/>
                <w:color w:val="auto"/>
                <w:szCs w:val="21"/>
                <w:highlight w:val="none"/>
              </w:rPr>
              <w:t>（七）仓储业</w:t>
            </w:r>
          </w:p>
          <w:p w14:paraId="6B1CA6F7">
            <w:pPr>
              <w:rPr>
                <w:rFonts w:ascii="宋体" w:hAnsi="宋体" w:cs="宋体"/>
                <w:color w:val="auto"/>
                <w:szCs w:val="21"/>
                <w:highlight w:val="none"/>
              </w:rPr>
            </w:pPr>
            <w:r>
              <w:rPr>
                <w:rFonts w:hint="eastAsia" w:ascii="宋体" w:hAnsi="宋体" w:cs="宋体"/>
                <w:color w:val="auto"/>
                <w:szCs w:val="21"/>
                <w:highlight w:val="none"/>
              </w:rPr>
              <w:t>（八）邮政业</w:t>
            </w:r>
          </w:p>
          <w:p w14:paraId="5E6F2BC1">
            <w:pPr>
              <w:rPr>
                <w:rFonts w:ascii="宋体" w:hAnsi="宋体" w:cs="宋体"/>
                <w:color w:val="auto"/>
                <w:szCs w:val="21"/>
                <w:highlight w:val="none"/>
              </w:rPr>
            </w:pPr>
            <w:r>
              <w:rPr>
                <w:rFonts w:hint="eastAsia" w:ascii="宋体" w:hAnsi="宋体" w:cs="宋体"/>
                <w:color w:val="auto"/>
                <w:szCs w:val="21"/>
                <w:highlight w:val="none"/>
              </w:rPr>
              <w:t>（九）住宿业</w:t>
            </w:r>
          </w:p>
          <w:p w14:paraId="797C642E">
            <w:pPr>
              <w:rPr>
                <w:rFonts w:ascii="宋体" w:hAnsi="宋体" w:cs="宋体"/>
                <w:color w:val="auto"/>
                <w:szCs w:val="21"/>
                <w:highlight w:val="none"/>
              </w:rPr>
            </w:pPr>
            <w:r>
              <w:rPr>
                <w:rFonts w:hint="eastAsia" w:ascii="宋体" w:hAnsi="宋体" w:cs="宋体"/>
                <w:color w:val="auto"/>
                <w:szCs w:val="21"/>
                <w:highlight w:val="none"/>
              </w:rPr>
              <w:t>（十）餐饮业</w:t>
            </w:r>
          </w:p>
          <w:p w14:paraId="120BB6FA">
            <w:pPr>
              <w:rPr>
                <w:rFonts w:ascii="宋体" w:hAnsi="宋体" w:cs="宋体"/>
                <w:color w:val="auto"/>
                <w:szCs w:val="21"/>
                <w:highlight w:val="none"/>
              </w:rPr>
            </w:pPr>
            <w:r>
              <w:rPr>
                <w:rFonts w:hint="eastAsia" w:ascii="宋体" w:hAnsi="宋体" w:cs="宋体"/>
                <w:color w:val="auto"/>
                <w:szCs w:val="21"/>
                <w:highlight w:val="none"/>
              </w:rPr>
              <w:t>（十一）信息传输业</w:t>
            </w:r>
          </w:p>
          <w:p w14:paraId="7A8AD962">
            <w:pPr>
              <w:rPr>
                <w:rFonts w:ascii="宋体" w:hAnsi="宋体" w:cs="宋体"/>
                <w:color w:val="auto"/>
                <w:szCs w:val="21"/>
                <w:highlight w:val="none"/>
              </w:rPr>
            </w:pPr>
            <w:r>
              <w:rPr>
                <w:rFonts w:hint="eastAsia" w:ascii="宋体" w:hAnsi="宋体" w:cs="宋体"/>
                <w:color w:val="auto"/>
                <w:szCs w:val="21"/>
                <w:highlight w:val="none"/>
              </w:rPr>
              <w:t>（十二）软件和信息技术服务业</w:t>
            </w:r>
          </w:p>
          <w:p w14:paraId="34277482">
            <w:pPr>
              <w:rPr>
                <w:rFonts w:ascii="宋体" w:hAnsi="宋体" w:cs="宋体"/>
                <w:color w:val="auto"/>
                <w:szCs w:val="21"/>
                <w:highlight w:val="none"/>
              </w:rPr>
            </w:pPr>
            <w:r>
              <w:rPr>
                <w:rFonts w:hint="eastAsia" w:ascii="宋体" w:hAnsi="宋体" w:cs="宋体"/>
                <w:color w:val="auto"/>
                <w:szCs w:val="21"/>
                <w:highlight w:val="none"/>
              </w:rPr>
              <w:t>（十三）房地产开发经营</w:t>
            </w:r>
          </w:p>
          <w:p w14:paraId="32C83C5D">
            <w:pPr>
              <w:rPr>
                <w:rFonts w:ascii="宋体" w:hAnsi="宋体" w:cs="宋体"/>
                <w:color w:val="auto"/>
                <w:szCs w:val="21"/>
                <w:highlight w:val="none"/>
              </w:rPr>
            </w:pPr>
            <w:r>
              <w:rPr>
                <w:rFonts w:hint="eastAsia" w:ascii="宋体" w:hAnsi="宋体" w:cs="宋体"/>
                <w:color w:val="auto"/>
                <w:szCs w:val="21"/>
                <w:highlight w:val="none"/>
              </w:rPr>
              <w:t>（十四）物业管理</w:t>
            </w:r>
          </w:p>
          <w:p w14:paraId="723B31AB">
            <w:pPr>
              <w:rPr>
                <w:rFonts w:ascii="宋体" w:hAnsi="宋体" w:cs="宋体"/>
                <w:color w:val="auto"/>
                <w:szCs w:val="21"/>
                <w:highlight w:val="none"/>
              </w:rPr>
            </w:pPr>
            <w:r>
              <w:rPr>
                <w:rFonts w:hint="eastAsia" w:ascii="宋体" w:hAnsi="宋体" w:cs="宋体"/>
                <w:color w:val="auto"/>
                <w:szCs w:val="21"/>
                <w:highlight w:val="none"/>
              </w:rPr>
              <w:t>（十五）租赁和商务服务业</w:t>
            </w:r>
          </w:p>
          <w:p w14:paraId="1389A769">
            <w:pPr>
              <w:rPr>
                <w:rFonts w:ascii="宋体" w:hAnsi="宋体" w:cs="宋体"/>
                <w:color w:val="auto"/>
                <w:szCs w:val="21"/>
                <w:highlight w:val="none"/>
              </w:rPr>
            </w:pPr>
            <w:r>
              <w:rPr>
                <w:rFonts w:hint="eastAsia" w:ascii="宋体" w:hAnsi="宋体" w:cs="宋体"/>
                <w:color w:val="auto"/>
                <w:szCs w:val="21"/>
                <w:highlight w:val="none"/>
              </w:rPr>
              <w:t>（十六）其他未列明行业</w:t>
            </w:r>
          </w:p>
        </w:tc>
      </w:tr>
      <w:tr w14:paraId="683D165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vMerge w:val="continue"/>
            <w:tcBorders>
              <w:left w:val="single" w:color="000000" w:sz="12" w:space="0"/>
              <w:right w:val="single" w:color="000000" w:sz="6" w:space="0"/>
            </w:tcBorders>
            <w:vAlign w:val="center"/>
          </w:tcPr>
          <w:p w14:paraId="1C76EEFF">
            <w:pPr>
              <w:widowControl w:val="0"/>
              <w:adjustRightInd w:val="0"/>
              <w:snapToGrid w:val="0"/>
              <w:spacing w:line="360" w:lineRule="auto"/>
              <w:jc w:val="center"/>
              <w:rPr>
                <w:rFonts w:ascii="宋体" w:hAnsi="宋体"/>
                <w:color w:val="auto"/>
                <w:szCs w:val="21"/>
                <w:highlight w:val="none"/>
              </w:rPr>
            </w:pPr>
          </w:p>
        </w:tc>
        <w:tc>
          <w:tcPr>
            <w:tcW w:w="1900" w:type="dxa"/>
            <w:vMerge w:val="continue"/>
            <w:tcBorders>
              <w:left w:val="single" w:color="000000" w:sz="6" w:space="0"/>
              <w:right w:val="single" w:color="000000" w:sz="6" w:space="0"/>
            </w:tcBorders>
            <w:vAlign w:val="center"/>
          </w:tcPr>
          <w:p w14:paraId="2E057CE8">
            <w:pPr>
              <w:adjustRightInd w:val="0"/>
              <w:snapToGrid w:val="0"/>
              <w:spacing w:before="50"/>
              <w:rPr>
                <w:rFonts w:ascii="宋体" w:hAnsi="宋体" w:cs="宋体"/>
                <w:color w:val="auto"/>
                <w:szCs w:val="21"/>
                <w:highlight w:val="none"/>
              </w:rPr>
            </w:pPr>
          </w:p>
        </w:tc>
        <w:tc>
          <w:tcPr>
            <w:tcW w:w="6195" w:type="dxa"/>
            <w:tcBorders>
              <w:top w:val="single" w:color="000000" w:sz="6" w:space="0"/>
              <w:left w:val="single" w:color="000000" w:sz="6" w:space="0"/>
              <w:bottom w:val="single" w:color="000000" w:sz="6" w:space="0"/>
              <w:right w:val="single" w:color="000000" w:sz="12" w:space="0"/>
            </w:tcBorders>
            <w:shd w:val="clear" w:color="auto" w:fill="auto"/>
            <w:vAlign w:val="center"/>
          </w:tcPr>
          <w:p w14:paraId="784043DB">
            <w:pPr>
              <w:rPr>
                <w:rFonts w:ascii="宋体" w:hAnsi="宋体" w:cs="宋体"/>
                <w:color w:val="auto"/>
                <w:szCs w:val="21"/>
                <w:highlight w:val="none"/>
              </w:rPr>
            </w:pPr>
            <w:r>
              <w:rPr>
                <w:rFonts w:hint="eastAsia" w:ascii="宋体" w:hAnsi="宋体" w:cs="宋体"/>
                <w:color w:val="auto"/>
                <w:szCs w:val="21"/>
                <w:highlight w:val="none"/>
              </w:rPr>
              <w:t>☑本项目专门面向中小企业采购；</w:t>
            </w:r>
          </w:p>
          <w:p w14:paraId="7BC8601E">
            <w:pPr>
              <w:jc w:val="left"/>
              <w:rPr>
                <w:rFonts w:ascii="宋体" w:hAnsi="宋体" w:cs="宋体"/>
                <w:color w:val="auto"/>
                <w:szCs w:val="21"/>
                <w:highlight w:val="none"/>
              </w:rPr>
            </w:pPr>
            <w:r>
              <w:rPr>
                <w:rFonts w:hint="eastAsia" w:ascii="宋体" w:hAnsi="宋体" w:cs="宋体"/>
                <w:color w:val="auto"/>
                <w:szCs w:val="21"/>
                <w:highlight w:val="none"/>
              </w:rPr>
              <w:t>（按湘财购[2022]17号文件规定，</w:t>
            </w:r>
            <w:r>
              <w:rPr>
                <w:rFonts w:hint="eastAsia" w:ascii="宋体" w:hAnsi="宋体" w:cs="宋体"/>
                <w:color w:val="auto"/>
                <w:kern w:val="0"/>
                <w:szCs w:val="21"/>
                <w:highlight w:val="none"/>
              </w:rPr>
              <w:t>预算 200 万元以下的货物、服务项目和400 万元以下的工程项目适宜由中小企业提供的，应面向中小企业采购</w:t>
            </w:r>
            <w:r>
              <w:rPr>
                <w:rFonts w:hint="eastAsia" w:ascii="宋体" w:hAnsi="宋体" w:cs="宋体"/>
                <w:color w:val="auto"/>
                <w:szCs w:val="21"/>
                <w:highlight w:val="none"/>
              </w:rPr>
              <w:t>。）</w:t>
            </w:r>
          </w:p>
        </w:tc>
      </w:tr>
      <w:tr w14:paraId="39AEA18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vMerge w:val="continue"/>
            <w:tcBorders>
              <w:left w:val="single" w:color="000000" w:sz="12" w:space="0"/>
              <w:bottom w:val="single" w:color="000000" w:sz="6" w:space="0"/>
              <w:right w:val="single" w:color="000000" w:sz="6" w:space="0"/>
            </w:tcBorders>
            <w:vAlign w:val="center"/>
          </w:tcPr>
          <w:p w14:paraId="5F1E2BA9">
            <w:pPr>
              <w:widowControl w:val="0"/>
              <w:adjustRightInd w:val="0"/>
              <w:snapToGrid w:val="0"/>
              <w:spacing w:line="360" w:lineRule="auto"/>
              <w:jc w:val="center"/>
              <w:rPr>
                <w:rFonts w:ascii="宋体" w:hAnsi="宋体"/>
                <w:color w:val="auto"/>
                <w:szCs w:val="21"/>
                <w:highlight w:val="none"/>
              </w:rPr>
            </w:pPr>
          </w:p>
        </w:tc>
        <w:tc>
          <w:tcPr>
            <w:tcW w:w="1900" w:type="dxa"/>
            <w:vMerge w:val="continue"/>
            <w:tcBorders>
              <w:left w:val="single" w:color="000000" w:sz="6" w:space="0"/>
              <w:bottom w:val="single" w:color="000000" w:sz="6" w:space="0"/>
              <w:right w:val="single" w:color="000000" w:sz="6" w:space="0"/>
            </w:tcBorders>
            <w:vAlign w:val="center"/>
          </w:tcPr>
          <w:p w14:paraId="6C50C4B4">
            <w:pPr>
              <w:adjustRightInd w:val="0"/>
              <w:snapToGrid w:val="0"/>
              <w:spacing w:before="50"/>
              <w:rPr>
                <w:rFonts w:ascii="宋体" w:hAnsi="宋体" w:cs="宋体"/>
                <w:color w:val="auto"/>
                <w:szCs w:val="21"/>
                <w:highlight w:val="none"/>
              </w:rPr>
            </w:pPr>
          </w:p>
        </w:tc>
        <w:tc>
          <w:tcPr>
            <w:tcW w:w="6195" w:type="dxa"/>
            <w:tcBorders>
              <w:top w:val="single" w:color="000000" w:sz="6" w:space="0"/>
              <w:left w:val="single" w:color="000000" w:sz="6" w:space="0"/>
              <w:bottom w:val="single" w:color="000000" w:sz="6" w:space="0"/>
              <w:right w:val="single" w:color="000000" w:sz="12" w:space="0"/>
            </w:tcBorders>
            <w:shd w:val="clear" w:color="auto" w:fill="auto"/>
            <w:vAlign w:val="center"/>
          </w:tcPr>
          <w:p w14:paraId="569AD037">
            <w:pPr>
              <w:rPr>
                <w:rFonts w:ascii="宋体" w:hAnsi="宋体" w:cs="宋体"/>
                <w:color w:val="auto"/>
                <w:szCs w:val="21"/>
                <w:highlight w:val="none"/>
              </w:rPr>
            </w:pPr>
            <w:r>
              <w:rPr>
                <w:rFonts w:hint="eastAsia" w:ascii="宋体" w:hAnsi="宋体" w:cs="宋体"/>
                <w:color w:val="auto"/>
                <w:szCs w:val="21"/>
                <w:highlight w:val="none"/>
              </w:rPr>
              <w:t>□非专门面向中小企业采购（供应商如为中小企业，响应文件必须按磋商文件要求提供相应的证明资料，否则将不能享受政府采购政策。）</w:t>
            </w:r>
          </w:p>
        </w:tc>
      </w:tr>
      <w:tr w14:paraId="6462C4F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58" w:hRule="atLeast"/>
          <w:jc w:val="center"/>
        </w:trPr>
        <w:tc>
          <w:tcPr>
            <w:tcW w:w="1260" w:type="dxa"/>
            <w:tcBorders>
              <w:top w:val="single" w:color="000000" w:sz="6" w:space="0"/>
              <w:left w:val="single" w:color="000000" w:sz="12" w:space="0"/>
              <w:bottom w:val="single" w:color="000000" w:sz="12" w:space="0"/>
              <w:right w:val="single" w:color="000000" w:sz="6" w:space="0"/>
            </w:tcBorders>
            <w:vAlign w:val="center"/>
          </w:tcPr>
          <w:p w14:paraId="60C021DA">
            <w:pPr>
              <w:widowControl w:val="0"/>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第44.1款</w:t>
            </w:r>
          </w:p>
        </w:tc>
        <w:tc>
          <w:tcPr>
            <w:tcW w:w="1900" w:type="dxa"/>
            <w:tcBorders>
              <w:top w:val="single" w:color="000000" w:sz="6" w:space="0"/>
              <w:left w:val="single" w:color="000000" w:sz="6" w:space="0"/>
              <w:bottom w:val="single" w:color="000000" w:sz="12" w:space="0"/>
              <w:right w:val="single" w:color="000000" w:sz="6" w:space="0"/>
            </w:tcBorders>
            <w:vAlign w:val="center"/>
          </w:tcPr>
          <w:p w14:paraId="6D765D25">
            <w:pPr>
              <w:widowControl w:val="0"/>
              <w:adjustRightInd w:val="0"/>
              <w:snapToGrid w:val="0"/>
              <w:spacing w:line="360" w:lineRule="auto"/>
              <w:jc w:val="left"/>
              <w:rPr>
                <w:rFonts w:ascii="宋体" w:hAnsi="宋体"/>
                <w:color w:val="auto"/>
                <w:szCs w:val="21"/>
                <w:highlight w:val="none"/>
              </w:rPr>
            </w:pPr>
            <w:r>
              <w:rPr>
                <w:rFonts w:hint="eastAsia" w:ascii="宋体" w:hAnsi="宋体"/>
                <w:color w:val="auto"/>
                <w:szCs w:val="21"/>
                <w:highlight w:val="none"/>
              </w:rPr>
              <w:t>采购进口产品</w:t>
            </w:r>
          </w:p>
        </w:tc>
        <w:tc>
          <w:tcPr>
            <w:tcW w:w="6195" w:type="dxa"/>
            <w:tcBorders>
              <w:top w:val="single" w:color="000000" w:sz="6" w:space="0"/>
              <w:left w:val="single" w:color="000000" w:sz="6" w:space="0"/>
              <w:bottom w:val="single" w:color="000000" w:sz="12" w:space="0"/>
              <w:right w:val="single" w:color="000000" w:sz="12" w:space="0"/>
            </w:tcBorders>
            <w:vAlign w:val="center"/>
          </w:tcPr>
          <w:p w14:paraId="71028DA3">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☑本项目拒绝采购进口产品</w:t>
            </w:r>
          </w:p>
          <w:p w14:paraId="2EA0AFD4">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□本项目已经财政部门审核同意购买进口产品</w:t>
            </w:r>
          </w:p>
        </w:tc>
      </w:tr>
      <w:tr w14:paraId="0571FEC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13" w:hRule="atLeast"/>
          <w:jc w:val="center"/>
        </w:trPr>
        <w:tc>
          <w:tcPr>
            <w:tcW w:w="9355" w:type="dxa"/>
            <w:gridSpan w:val="3"/>
            <w:tcBorders>
              <w:top w:val="single" w:color="000000" w:sz="6" w:space="0"/>
              <w:left w:val="single" w:color="000000" w:sz="12" w:space="0"/>
              <w:bottom w:val="single" w:color="000000" w:sz="12" w:space="0"/>
              <w:right w:val="single" w:color="000000" w:sz="12" w:space="0"/>
            </w:tcBorders>
            <w:vAlign w:val="center"/>
          </w:tcPr>
          <w:p w14:paraId="11ABA5F7">
            <w:pPr>
              <w:adjustRightInd w:val="0"/>
              <w:snapToGrid w:val="0"/>
              <w:spacing w:line="360" w:lineRule="auto"/>
              <w:rPr>
                <w:rFonts w:ascii="宋体" w:hAnsi="宋体"/>
                <w:color w:val="auto"/>
                <w:szCs w:val="21"/>
                <w:highlight w:val="none"/>
              </w:rPr>
            </w:pPr>
            <w:r>
              <w:rPr>
                <w:rFonts w:hint="eastAsia" w:ascii="黑体" w:hAnsi="黑体" w:eastAsia="黑体" w:cs="黑体"/>
                <w:b/>
                <w:color w:val="auto"/>
                <w:szCs w:val="21"/>
                <w:highlight w:val="none"/>
              </w:rPr>
              <w:t>八、其他规定</w:t>
            </w:r>
          </w:p>
        </w:tc>
      </w:tr>
      <w:tr w14:paraId="424D000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58" w:hRule="atLeast"/>
          <w:jc w:val="center"/>
        </w:trPr>
        <w:tc>
          <w:tcPr>
            <w:tcW w:w="1260" w:type="dxa"/>
            <w:tcBorders>
              <w:top w:val="single" w:color="000000" w:sz="6" w:space="0"/>
              <w:left w:val="single" w:color="000000" w:sz="12" w:space="0"/>
              <w:bottom w:val="single" w:color="000000" w:sz="12" w:space="0"/>
              <w:right w:val="single" w:color="000000" w:sz="6" w:space="0"/>
            </w:tcBorders>
            <w:vAlign w:val="center"/>
          </w:tcPr>
          <w:p w14:paraId="7136342B">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w:t>
            </w:r>
            <w:r>
              <w:rPr>
                <w:rFonts w:ascii="宋体" w:hAnsi="宋体"/>
                <w:color w:val="auto"/>
                <w:szCs w:val="21"/>
                <w:highlight w:val="none"/>
              </w:rPr>
              <w:t>4</w:t>
            </w:r>
            <w:r>
              <w:rPr>
                <w:rFonts w:hint="eastAsia" w:ascii="宋体" w:hAnsi="宋体"/>
                <w:color w:val="auto"/>
                <w:szCs w:val="21"/>
                <w:highlight w:val="none"/>
              </w:rPr>
              <w:t>6.1</w:t>
            </w:r>
            <w:r>
              <w:rPr>
                <w:rFonts w:hint="eastAsia" w:ascii="宋体" w:hAnsi="宋体" w:cs="宋体"/>
                <w:color w:val="auto"/>
                <w:kern w:val="0"/>
                <w:szCs w:val="21"/>
                <w:highlight w:val="none"/>
                <w:lang w:val="zh-CN"/>
              </w:rPr>
              <w:t>（</w:t>
            </w:r>
            <w:r>
              <w:rPr>
                <w:rFonts w:hint="eastAsia" w:ascii="宋体" w:hAnsi="宋体" w:cs="宋体"/>
                <w:color w:val="auto"/>
                <w:kern w:val="0"/>
                <w:szCs w:val="21"/>
                <w:highlight w:val="none"/>
              </w:rPr>
              <w:t>1</w:t>
            </w:r>
            <w:r>
              <w:rPr>
                <w:rFonts w:hint="eastAsia" w:ascii="宋体" w:hAnsi="宋体" w:cs="宋体"/>
                <w:color w:val="auto"/>
                <w:kern w:val="0"/>
                <w:szCs w:val="21"/>
                <w:highlight w:val="none"/>
                <w:lang w:val="zh-CN"/>
              </w:rPr>
              <w:t>）</w:t>
            </w:r>
            <w:r>
              <w:rPr>
                <w:rFonts w:hint="eastAsia" w:ascii="宋体" w:hAnsi="宋体"/>
                <w:color w:val="auto"/>
                <w:szCs w:val="21"/>
                <w:highlight w:val="none"/>
              </w:rPr>
              <w:t>项</w:t>
            </w:r>
          </w:p>
        </w:tc>
        <w:tc>
          <w:tcPr>
            <w:tcW w:w="1900" w:type="dxa"/>
            <w:tcBorders>
              <w:top w:val="single" w:color="000000" w:sz="6" w:space="0"/>
              <w:left w:val="single" w:color="000000" w:sz="6" w:space="0"/>
              <w:bottom w:val="single" w:color="000000" w:sz="12" w:space="0"/>
              <w:right w:val="single" w:color="000000" w:sz="6" w:space="0"/>
            </w:tcBorders>
            <w:vAlign w:val="center"/>
          </w:tcPr>
          <w:p w14:paraId="47ECE46E">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合同预付款的支付比例和支付条件</w:t>
            </w:r>
          </w:p>
        </w:tc>
        <w:tc>
          <w:tcPr>
            <w:tcW w:w="6195" w:type="dxa"/>
            <w:tcBorders>
              <w:top w:val="single" w:color="000000" w:sz="6" w:space="0"/>
              <w:left w:val="single" w:color="000000" w:sz="6" w:space="0"/>
              <w:bottom w:val="single" w:color="000000" w:sz="12" w:space="0"/>
              <w:right w:val="single" w:color="000000" w:sz="12" w:space="0"/>
            </w:tcBorders>
            <w:vAlign w:val="center"/>
          </w:tcPr>
          <w:p w14:paraId="38BEE276">
            <w:pPr>
              <w:adjustRightInd w:val="0"/>
              <w:snapToGrid w:val="0"/>
              <w:spacing w:line="360" w:lineRule="auto"/>
              <w:rPr>
                <w:color w:val="auto"/>
                <w:highlight w:val="none"/>
              </w:rPr>
            </w:pPr>
            <w:r>
              <w:rPr>
                <w:rFonts w:hint="eastAsia" w:ascii="宋体" w:hAnsi="宋体" w:cs="Courier New"/>
                <w:color w:val="auto"/>
                <w:szCs w:val="21"/>
                <w:highlight w:val="none"/>
                <w:lang w:val="en-US" w:eastAsia="zh-CN"/>
              </w:rPr>
              <w:t>见</w:t>
            </w:r>
            <w:r>
              <w:rPr>
                <w:rFonts w:hint="eastAsia" w:ascii="宋体" w:hAnsi="宋体" w:cs="Courier New"/>
                <w:color w:val="auto"/>
                <w:szCs w:val="21"/>
                <w:highlight w:val="none"/>
              </w:rPr>
              <w:t>第一章磋商邀请</w:t>
            </w:r>
          </w:p>
        </w:tc>
      </w:tr>
      <w:tr w14:paraId="26D030F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58" w:hRule="atLeast"/>
          <w:jc w:val="center"/>
        </w:trPr>
        <w:tc>
          <w:tcPr>
            <w:tcW w:w="1260" w:type="dxa"/>
            <w:tcBorders>
              <w:top w:val="single" w:color="000000" w:sz="6" w:space="0"/>
              <w:left w:val="single" w:color="000000" w:sz="12" w:space="0"/>
              <w:bottom w:val="single" w:color="000000" w:sz="12" w:space="0"/>
              <w:right w:val="single" w:color="000000" w:sz="6" w:space="0"/>
            </w:tcBorders>
            <w:vAlign w:val="center"/>
          </w:tcPr>
          <w:p w14:paraId="45320B82">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第46.1</w:t>
            </w:r>
            <w:r>
              <w:rPr>
                <w:rFonts w:hint="eastAsia" w:ascii="宋体" w:hAnsi="宋体"/>
                <w:color w:val="auto"/>
                <w:szCs w:val="21"/>
                <w:highlight w:val="none"/>
                <w:lang w:val="zh-CN"/>
              </w:rPr>
              <w:t>（</w:t>
            </w:r>
            <w:r>
              <w:rPr>
                <w:rFonts w:hint="eastAsia" w:ascii="宋体" w:hAnsi="宋体"/>
                <w:color w:val="auto"/>
                <w:szCs w:val="21"/>
                <w:highlight w:val="none"/>
              </w:rPr>
              <w:t>2</w:t>
            </w:r>
            <w:r>
              <w:rPr>
                <w:rFonts w:hint="eastAsia" w:ascii="宋体" w:hAnsi="宋体"/>
                <w:color w:val="auto"/>
                <w:szCs w:val="21"/>
                <w:highlight w:val="none"/>
                <w:lang w:val="zh-CN"/>
              </w:rPr>
              <w:t>）</w:t>
            </w:r>
            <w:r>
              <w:rPr>
                <w:rFonts w:hint="eastAsia" w:ascii="宋体" w:hAnsi="宋体"/>
                <w:color w:val="auto"/>
                <w:szCs w:val="21"/>
                <w:highlight w:val="none"/>
              </w:rPr>
              <w:t>项</w:t>
            </w:r>
          </w:p>
        </w:tc>
        <w:tc>
          <w:tcPr>
            <w:tcW w:w="1900" w:type="dxa"/>
            <w:tcBorders>
              <w:top w:val="single" w:color="000000" w:sz="6" w:space="0"/>
              <w:left w:val="single" w:color="000000" w:sz="6" w:space="0"/>
              <w:bottom w:val="single" w:color="000000" w:sz="12" w:space="0"/>
              <w:right w:val="single" w:color="000000" w:sz="6" w:space="0"/>
            </w:tcBorders>
            <w:vAlign w:val="center"/>
          </w:tcPr>
          <w:p w14:paraId="4AB30908">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质量保证金</w:t>
            </w:r>
          </w:p>
        </w:tc>
        <w:tc>
          <w:tcPr>
            <w:tcW w:w="6195" w:type="dxa"/>
            <w:tcBorders>
              <w:top w:val="single" w:color="000000" w:sz="6" w:space="0"/>
              <w:left w:val="single" w:color="000000" w:sz="6" w:space="0"/>
              <w:bottom w:val="single" w:color="000000" w:sz="12" w:space="0"/>
              <w:right w:val="single" w:color="000000" w:sz="12" w:space="0"/>
            </w:tcBorders>
            <w:vAlign w:val="center"/>
          </w:tcPr>
          <w:p w14:paraId="441D7AAC">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见</w:t>
            </w:r>
            <w:r>
              <w:rPr>
                <w:rFonts w:hint="eastAsia" w:ascii="宋体" w:hAnsi="宋体" w:cs="Courier New"/>
                <w:color w:val="auto"/>
                <w:szCs w:val="21"/>
                <w:highlight w:val="none"/>
              </w:rPr>
              <w:t>第一章磋商邀请</w:t>
            </w:r>
          </w:p>
        </w:tc>
      </w:tr>
      <w:tr w14:paraId="61A1266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58" w:hRule="atLeast"/>
          <w:jc w:val="center"/>
        </w:trPr>
        <w:tc>
          <w:tcPr>
            <w:tcW w:w="1260" w:type="dxa"/>
            <w:vMerge w:val="restart"/>
            <w:tcBorders>
              <w:top w:val="single" w:color="000000" w:sz="6" w:space="0"/>
              <w:left w:val="single" w:color="000000" w:sz="12" w:space="0"/>
              <w:right w:val="single" w:color="000000" w:sz="6" w:space="0"/>
            </w:tcBorders>
            <w:vAlign w:val="center"/>
          </w:tcPr>
          <w:p w14:paraId="1388941F">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第46.</w:t>
            </w:r>
            <w:r>
              <w:rPr>
                <w:rFonts w:ascii="宋体" w:hAnsi="宋体"/>
                <w:color w:val="auto"/>
                <w:szCs w:val="21"/>
                <w:highlight w:val="none"/>
              </w:rPr>
              <w:t>2</w:t>
            </w:r>
            <w:r>
              <w:rPr>
                <w:rFonts w:hint="eastAsia" w:ascii="宋体" w:hAnsi="宋体"/>
                <w:color w:val="auto"/>
                <w:szCs w:val="21"/>
                <w:highlight w:val="none"/>
              </w:rPr>
              <w:t>款</w:t>
            </w:r>
          </w:p>
        </w:tc>
        <w:tc>
          <w:tcPr>
            <w:tcW w:w="1900" w:type="dxa"/>
            <w:vMerge w:val="restart"/>
            <w:tcBorders>
              <w:top w:val="single" w:color="000000" w:sz="6" w:space="0"/>
              <w:left w:val="single" w:color="000000" w:sz="6" w:space="0"/>
              <w:right w:val="single" w:color="000000" w:sz="6" w:space="0"/>
            </w:tcBorders>
            <w:vAlign w:val="center"/>
          </w:tcPr>
          <w:p w14:paraId="2ECED6E9">
            <w:pPr>
              <w:adjustRightInd w:val="0"/>
              <w:snapToGrid w:val="0"/>
              <w:spacing w:line="360" w:lineRule="auto"/>
              <w:rPr>
                <w:rFonts w:ascii="宋体" w:hAnsi="宋体"/>
                <w:color w:val="auto"/>
                <w:szCs w:val="21"/>
                <w:highlight w:val="none"/>
              </w:rPr>
            </w:pPr>
          </w:p>
        </w:tc>
        <w:tc>
          <w:tcPr>
            <w:tcW w:w="6195" w:type="dxa"/>
            <w:tcBorders>
              <w:top w:val="single" w:color="000000" w:sz="6" w:space="0"/>
              <w:left w:val="single" w:color="000000" w:sz="6" w:space="0"/>
              <w:bottom w:val="single" w:color="000000" w:sz="12" w:space="0"/>
              <w:right w:val="single" w:color="000000" w:sz="12" w:space="0"/>
            </w:tcBorders>
            <w:vAlign w:val="center"/>
          </w:tcPr>
          <w:p w14:paraId="155D6C4A">
            <w:pPr>
              <w:adjustRightInd w:val="0"/>
              <w:snapToGrid w:val="0"/>
              <w:spacing w:line="360" w:lineRule="auto"/>
              <w:rPr>
                <w:rFonts w:ascii="宋体" w:hAnsi="宋体"/>
                <w:color w:val="auto"/>
                <w:szCs w:val="21"/>
                <w:highlight w:val="none"/>
              </w:rPr>
            </w:pPr>
            <w:r>
              <w:rPr>
                <w:rFonts w:ascii="宋体" w:hAnsi="宋体"/>
                <w:color w:val="auto"/>
                <w:szCs w:val="21"/>
                <w:highlight w:val="none"/>
              </w:rPr>
              <w:t>本竞争性磋商文件要求提供的原件是指原件扫描件；</w:t>
            </w:r>
          </w:p>
          <w:p w14:paraId="5C0D920B">
            <w:pPr>
              <w:adjustRightInd w:val="0"/>
              <w:snapToGrid w:val="0"/>
              <w:spacing w:line="360" w:lineRule="auto"/>
              <w:rPr>
                <w:rFonts w:ascii="宋体" w:hAnsi="宋体"/>
                <w:color w:val="auto"/>
                <w:szCs w:val="21"/>
                <w:highlight w:val="none"/>
              </w:rPr>
            </w:pPr>
            <w:r>
              <w:rPr>
                <w:rFonts w:ascii="宋体" w:hAnsi="宋体"/>
                <w:color w:val="auto"/>
                <w:szCs w:val="21"/>
                <w:highlight w:val="none"/>
              </w:rPr>
              <w:t>复印件是指复印件或扫描件或影印件；</w:t>
            </w:r>
          </w:p>
          <w:p w14:paraId="3E38F5B1">
            <w:pPr>
              <w:adjustRightInd w:val="0"/>
              <w:snapToGrid w:val="0"/>
              <w:spacing w:line="360" w:lineRule="auto"/>
              <w:rPr>
                <w:rFonts w:ascii="宋体" w:hAnsi="宋体"/>
                <w:color w:val="auto"/>
                <w:szCs w:val="21"/>
                <w:highlight w:val="none"/>
              </w:rPr>
            </w:pPr>
            <w:r>
              <w:rPr>
                <w:rFonts w:ascii="宋体" w:hAnsi="宋体"/>
                <w:color w:val="auto"/>
                <w:szCs w:val="21"/>
                <w:highlight w:val="none"/>
              </w:rPr>
              <w:t>本竞争性磋商文件中未注明原件或复印件的按复印件提供。</w:t>
            </w:r>
          </w:p>
          <w:p w14:paraId="27276919">
            <w:pPr>
              <w:adjustRightInd w:val="0"/>
              <w:snapToGrid w:val="0"/>
              <w:spacing w:line="360" w:lineRule="auto"/>
              <w:rPr>
                <w:rFonts w:ascii="宋体" w:hAnsi="宋体"/>
                <w:color w:val="auto"/>
                <w:szCs w:val="21"/>
                <w:highlight w:val="none"/>
              </w:rPr>
            </w:pPr>
            <w:r>
              <w:rPr>
                <w:rFonts w:ascii="宋体" w:hAnsi="宋体"/>
                <w:color w:val="auto"/>
                <w:szCs w:val="21"/>
                <w:highlight w:val="none"/>
              </w:rPr>
              <w:t>注：磋商文件中提到的不管是扫描件、复印件或是影印件，都必须加盖供应商的单位电子公章，否则，视为无效响应。</w:t>
            </w:r>
          </w:p>
          <w:p w14:paraId="15FB8E11">
            <w:pPr>
              <w:adjustRightInd w:val="0"/>
              <w:snapToGrid w:val="0"/>
              <w:spacing w:line="360" w:lineRule="auto"/>
              <w:rPr>
                <w:rFonts w:ascii="宋体" w:hAnsi="宋体"/>
                <w:color w:val="auto"/>
                <w:szCs w:val="21"/>
                <w:highlight w:val="none"/>
              </w:rPr>
            </w:pPr>
            <w:r>
              <w:rPr>
                <w:rFonts w:ascii="宋体" w:hAnsi="宋体"/>
                <w:color w:val="auto"/>
                <w:szCs w:val="21"/>
                <w:highlight w:val="none"/>
              </w:rPr>
              <w:t>1、合同备案</w:t>
            </w:r>
          </w:p>
          <w:p w14:paraId="2FC1A114">
            <w:pPr>
              <w:adjustRightInd w:val="0"/>
              <w:snapToGrid w:val="0"/>
              <w:spacing w:line="360" w:lineRule="auto"/>
              <w:jc w:val="left"/>
              <w:rPr>
                <w:rFonts w:hint="eastAsia" w:ascii="宋体" w:hAnsi="宋体" w:eastAsia="宋体" w:cs="Times New Roman"/>
                <w:color w:val="auto"/>
                <w:szCs w:val="21"/>
                <w:highlight w:val="none"/>
                <w:lang w:eastAsia="zh-CN"/>
              </w:rPr>
            </w:pPr>
            <w:r>
              <w:rPr>
                <w:rFonts w:ascii="宋体" w:hAnsi="宋体"/>
                <w:color w:val="auto"/>
                <w:szCs w:val="21"/>
                <w:highlight w:val="none"/>
              </w:rPr>
              <w:t>1）成交供应</w:t>
            </w:r>
            <w:r>
              <w:rPr>
                <w:rFonts w:ascii="宋体" w:hAnsi="宋体" w:eastAsia="宋体" w:cs="Times New Roman"/>
                <w:color w:val="auto"/>
                <w:szCs w:val="21"/>
                <w:highlight w:val="none"/>
              </w:rPr>
              <w:t>商须在发出成交通知书</w:t>
            </w:r>
            <w:r>
              <w:rPr>
                <w:rFonts w:hint="eastAsia" w:ascii="宋体" w:hAnsi="宋体" w:eastAsia="宋体" w:cs="Times New Roman"/>
                <w:color w:val="auto"/>
                <w:szCs w:val="21"/>
                <w:highlight w:val="none"/>
              </w:rPr>
              <w:t>之日起30天内（日历日）与采购人签订政府采购合同</w:t>
            </w:r>
            <w:r>
              <w:rPr>
                <w:rFonts w:hint="eastAsia" w:ascii="宋体" w:hAnsi="宋体" w:eastAsia="宋体" w:cs="Times New Roman"/>
                <w:color w:val="auto"/>
                <w:szCs w:val="21"/>
                <w:highlight w:val="none"/>
                <w:lang w:eastAsia="zh-CN"/>
              </w:rPr>
              <w:t>。</w:t>
            </w:r>
          </w:p>
          <w:p w14:paraId="4361C3EB">
            <w:pPr>
              <w:adjustRightInd w:val="0"/>
              <w:snapToGrid w:val="0"/>
              <w:spacing w:line="360" w:lineRule="auto"/>
              <w:rPr>
                <w:rFonts w:ascii="宋体" w:hAnsi="宋体"/>
                <w:color w:val="auto"/>
                <w:szCs w:val="21"/>
                <w:highlight w:val="none"/>
              </w:rPr>
            </w:pPr>
            <w:r>
              <w:rPr>
                <w:rFonts w:ascii="宋体" w:hAnsi="宋体"/>
                <w:color w:val="auto"/>
                <w:szCs w:val="21"/>
                <w:highlight w:val="none"/>
              </w:rPr>
              <w:t>2、免责声明</w:t>
            </w:r>
          </w:p>
          <w:p w14:paraId="52521DFC">
            <w:pPr>
              <w:adjustRightInd w:val="0"/>
              <w:snapToGrid w:val="0"/>
              <w:spacing w:line="360" w:lineRule="auto"/>
              <w:rPr>
                <w:rFonts w:ascii="宋体" w:hAnsi="宋体"/>
                <w:color w:val="auto"/>
                <w:szCs w:val="21"/>
                <w:highlight w:val="none"/>
              </w:rPr>
            </w:pPr>
            <w:r>
              <w:rPr>
                <w:rFonts w:ascii="宋体" w:hAnsi="宋体"/>
                <w:color w:val="auto"/>
                <w:szCs w:val="21"/>
                <w:highlight w:val="none"/>
              </w:rPr>
              <w:t>供应商应自行承担所有与采购活动有关的全部费用。无论何种因素导致项目延期开标、废标（流标）、项目终止的，采购人与采购代理机构均不承担供应商参加采购活动的费用。</w:t>
            </w:r>
          </w:p>
        </w:tc>
      </w:tr>
      <w:tr w14:paraId="11AB8BE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58" w:hRule="atLeast"/>
          <w:jc w:val="center"/>
        </w:trPr>
        <w:tc>
          <w:tcPr>
            <w:tcW w:w="1260" w:type="dxa"/>
            <w:vMerge w:val="continue"/>
            <w:tcBorders>
              <w:left w:val="single" w:color="000000" w:sz="12" w:space="0"/>
              <w:right w:val="single" w:color="000000" w:sz="6" w:space="0"/>
            </w:tcBorders>
            <w:vAlign w:val="center"/>
          </w:tcPr>
          <w:p w14:paraId="55E44060">
            <w:pPr>
              <w:adjustRightInd w:val="0"/>
              <w:snapToGrid w:val="0"/>
              <w:spacing w:line="360" w:lineRule="auto"/>
              <w:jc w:val="center"/>
              <w:rPr>
                <w:rFonts w:hint="eastAsia" w:ascii="宋体" w:hAnsi="宋体"/>
                <w:color w:val="auto"/>
                <w:szCs w:val="21"/>
                <w:highlight w:val="none"/>
              </w:rPr>
            </w:pPr>
          </w:p>
        </w:tc>
        <w:tc>
          <w:tcPr>
            <w:tcW w:w="1900" w:type="dxa"/>
            <w:vMerge w:val="continue"/>
            <w:tcBorders>
              <w:left w:val="single" w:color="000000" w:sz="6" w:space="0"/>
              <w:right w:val="single" w:color="000000" w:sz="6" w:space="0"/>
            </w:tcBorders>
            <w:vAlign w:val="center"/>
          </w:tcPr>
          <w:p w14:paraId="330E9A8B">
            <w:pPr>
              <w:adjustRightInd w:val="0"/>
              <w:snapToGrid w:val="0"/>
              <w:spacing w:line="360" w:lineRule="auto"/>
              <w:rPr>
                <w:rFonts w:hint="eastAsia" w:ascii="宋体" w:hAnsi="宋体"/>
                <w:color w:val="auto"/>
                <w:szCs w:val="21"/>
                <w:highlight w:val="none"/>
              </w:rPr>
            </w:pPr>
          </w:p>
        </w:tc>
        <w:tc>
          <w:tcPr>
            <w:tcW w:w="6195" w:type="dxa"/>
            <w:tcBorders>
              <w:top w:val="single" w:color="000000" w:sz="6" w:space="0"/>
              <w:left w:val="single" w:color="000000" w:sz="6" w:space="0"/>
              <w:bottom w:val="single" w:color="000000" w:sz="12" w:space="0"/>
              <w:right w:val="single" w:color="000000" w:sz="12" w:space="0"/>
            </w:tcBorders>
            <w:vAlign w:val="center"/>
          </w:tcPr>
          <w:p w14:paraId="6D151EBF">
            <w:pPr>
              <w:adjustRightInd w:val="0"/>
              <w:snapToGrid w:val="0"/>
              <w:spacing w:line="360" w:lineRule="auto"/>
              <w:rPr>
                <w:rFonts w:hint="eastAsia" w:ascii="宋体" w:hAnsi="宋体" w:cs="宋体"/>
                <w:color w:val="auto"/>
                <w:kern w:val="0"/>
                <w:szCs w:val="21"/>
                <w:highlight w:val="none"/>
                <w:lang w:eastAsia="zh-CN"/>
              </w:rPr>
            </w:pPr>
            <w:r>
              <w:rPr>
                <w:rFonts w:hint="eastAsia" w:ascii="宋体" w:hAnsi="宋体"/>
                <w:color w:val="auto"/>
                <w:szCs w:val="21"/>
                <w:highlight w:val="none"/>
              </w:rPr>
              <w:t>优先采购技术、价格</w:t>
            </w:r>
            <w:r>
              <w:rPr>
                <w:rFonts w:hint="eastAsia" w:ascii="宋体" w:hAnsi="宋体" w:cs="宋体"/>
                <w:color w:val="auto"/>
                <w:kern w:val="0"/>
                <w:szCs w:val="21"/>
                <w:highlight w:val="none"/>
              </w:rPr>
              <w:t>加分规则</w:t>
            </w:r>
            <w:r>
              <w:rPr>
                <w:rFonts w:hint="eastAsia" w:ascii="宋体" w:hAnsi="宋体" w:cs="宋体"/>
                <w:color w:val="auto"/>
                <w:kern w:val="0"/>
                <w:szCs w:val="21"/>
                <w:highlight w:val="none"/>
                <w:lang w:eastAsia="zh-CN"/>
              </w:rPr>
              <w:t>：</w:t>
            </w:r>
          </w:p>
          <w:p w14:paraId="57F9467B">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1、节能产品：</w:t>
            </w:r>
          </w:p>
          <w:p w14:paraId="491F3620">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技术加分＝技术分值× 加分比例（比例见前附表第40.1款,下同）×（节能产品最后报价÷最后总报价）；</w:t>
            </w:r>
          </w:p>
          <w:p w14:paraId="6A5F5CC5">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价格加分＝价格分值×加分比例×（节能产品最后报价÷最后总报价）。</w:t>
            </w:r>
          </w:p>
          <w:p w14:paraId="427247D8">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2、环境标志产品：</w:t>
            </w:r>
          </w:p>
          <w:p w14:paraId="52E0B5F2">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技术加分＝技术分值× 加分比例×（环境标志产品最后报价÷最后总报价）；</w:t>
            </w:r>
          </w:p>
          <w:p w14:paraId="4F8D9265">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价格加分＝价格分值×加分比例×（环境标志产品</w:t>
            </w:r>
          </w:p>
          <w:p w14:paraId="72BC480E">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最后报价÷最后总报价）。</w:t>
            </w:r>
          </w:p>
          <w:p w14:paraId="3792266A">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本项目为服务类采购项目</w:t>
            </w:r>
            <w:r>
              <w:rPr>
                <w:rFonts w:hint="eastAsia" w:ascii="宋体" w:hAnsi="宋体"/>
                <w:color w:val="auto"/>
                <w:szCs w:val="21"/>
                <w:highlight w:val="none"/>
                <w:lang w:eastAsia="zh-CN"/>
              </w:rPr>
              <w:t>，</w:t>
            </w:r>
            <w:r>
              <w:rPr>
                <w:rFonts w:hint="eastAsia" w:ascii="宋体" w:hAnsi="宋体"/>
                <w:color w:val="auto"/>
                <w:szCs w:val="21"/>
                <w:highlight w:val="none"/>
              </w:rPr>
              <w:t>不适用</w:t>
            </w:r>
            <w:r>
              <w:rPr>
                <w:rFonts w:hint="eastAsia" w:ascii="宋体" w:hAnsi="宋体"/>
                <w:color w:val="auto"/>
                <w:szCs w:val="21"/>
                <w:highlight w:val="none"/>
                <w:lang w:val="en-US" w:eastAsia="zh-CN"/>
              </w:rPr>
              <w:t>此项</w:t>
            </w:r>
          </w:p>
        </w:tc>
      </w:tr>
      <w:tr w14:paraId="5F8D0F2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58" w:hRule="atLeast"/>
          <w:jc w:val="center"/>
        </w:trPr>
        <w:tc>
          <w:tcPr>
            <w:tcW w:w="1260" w:type="dxa"/>
            <w:vMerge w:val="continue"/>
            <w:tcBorders>
              <w:left w:val="single" w:color="000000" w:sz="12" w:space="0"/>
              <w:bottom w:val="single" w:color="000000" w:sz="12" w:space="0"/>
              <w:right w:val="single" w:color="000000" w:sz="6" w:space="0"/>
            </w:tcBorders>
            <w:vAlign w:val="center"/>
          </w:tcPr>
          <w:p w14:paraId="627A458F">
            <w:pPr>
              <w:adjustRightInd w:val="0"/>
              <w:snapToGrid w:val="0"/>
              <w:spacing w:line="360" w:lineRule="auto"/>
              <w:jc w:val="center"/>
              <w:rPr>
                <w:rFonts w:hint="eastAsia" w:ascii="宋体" w:hAnsi="宋体"/>
                <w:color w:val="auto"/>
                <w:szCs w:val="21"/>
                <w:highlight w:val="none"/>
              </w:rPr>
            </w:pPr>
          </w:p>
        </w:tc>
        <w:tc>
          <w:tcPr>
            <w:tcW w:w="1900" w:type="dxa"/>
            <w:vMerge w:val="continue"/>
            <w:tcBorders>
              <w:left w:val="single" w:color="000000" w:sz="6" w:space="0"/>
              <w:bottom w:val="single" w:color="000000" w:sz="12" w:space="0"/>
              <w:right w:val="single" w:color="000000" w:sz="6" w:space="0"/>
            </w:tcBorders>
            <w:shd w:val="clear" w:color="auto" w:fill="auto"/>
            <w:vAlign w:val="center"/>
          </w:tcPr>
          <w:p w14:paraId="74B13949">
            <w:pPr>
              <w:adjustRightInd w:val="0"/>
              <w:snapToGrid w:val="0"/>
              <w:spacing w:line="360" w:lineRule="auto"/>
              <w:rPr>
                <w:rFonts w:hint="eastAsia" w:ascii="宋体" w:hAnsi="宋体" w:eastAsia="宋体" w:cs="宋体"/>
                <w:color w:val="auto"/>
                <w:kern w:val="0"/>
                <w:sz w:val="21"/>
                <w:szCs w:val="21"/>
                <w:highlight w:val="none"/>
                <w:lang w:val="en-US" w:eastAsia="zh-CN" w:bidi="ar-SA"/>
              </w:rPr>
            </w:pPr>
          </w:p>
        </w:tc>
        <w:tc>
          <w:tcPr>
            <w:tcW w:w="6195" w:type="dxa"/>
            <w:tcBorders>
              <w:top w:val="single" w:color="000000" w:sz="6" w:space="0"/>
              <w:left w:val="single" w:color="000000" w:sz="6" w:space="0"/>
              <w:bottom w:val="single" w:color="000000" w:sz="12" w:space="0"/>
              <w:right w:val="single" w:color="000000" w:sz="12" w:space="0"/>
            </w:tcBorders>
            <w:shd w:val="clear" w:color="auto" w:fill="auto"/>
            <w:vAlign w:val="center"/>
          </w:tcPr>
          <w:p w14:paraId="75A3E507">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信用查询：</w:t>
            </w:r>
            <w:r>
              <w:rPr>
                <w:rFonts w:hint="eastAsia" w:ascii="宋体" w:hAnsi="宋体"/>
                <w:color w:val="auto"/>
                <w:szCs w:val="21"/>
                <w:highlight w:val="none"/>
              </w:rPr>
              <w:t>根据《湖南省财政厅关于做好政府采购有关信用主体标识码登记及在政府采购活动中查询使用信用记录有关问题的通知》湘财购[2017]2号文要求，对列入失信被执行人、重大税收违法案件当事人名单、政府采购严重违法失信行为记录名单及其他不符合《中华人民共和国政府采购法》第二十二条规定条件的供应商，应当拒绝其参与政府采购活动。</w:t>
            </w:r>
          </w:p>
          <w:p w14:paraId="43E8A29D">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2567A6C1">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信用信息查询的查询渠道：“信用中国”网站（www.creditchina.gov.cn）、中国政府采购网（www.ccgp.gov.cn）。</w:t>
            </w:r>
          </w:p>
          <w:p w14:paraId="6082B496">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信用信息查询的截止时点：至本项目首次响应文件的提交截止时间止。</w:t>
            </w:r>
          </w:p>
          <w:p w14:paraId="70E3E9D5">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信用信息查询记录的具体方式：由采购人或采购代理机构在规定的查询渠道进行查询。</w:t>
            </w:r>
          </w:p>
          <w:p w14:paraId="36D884F6">
            <w:pP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信用信息查询记录证据留存的具体方式：查询记录的网上打印件。</w:t>
            </w:r>
          </w:p>
          <w:p w14:paraId="1E313A48">
            <w:pPr>
              <w:adjustRightInd w:val="0"/>
              <w:snapToGrid w:val="0"/>
              <w:spacing w:line="360" w:lineRule="auto"/>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rPr>
              <w:t>信用信息的使用规则：留存备查。</w:t>
            </w:r>
          </w:p>
        </w:tc>
      </w:tr>
      <w:tr w14:paraId="5942088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3"/>
            <w:tcBorders>
              <w:top w:val="single" w:color="000000" w:sz="12" w:space="0"/>
              <w:left w:val="single" w:color="000000" w:sz="12" w:space="0"/>
              <w:bottom w:val="single" w:color="000000" w:sz="6" w:space="0"/>
              <w:right w:val="single" w:color="000000" w:sz="12" w:space="0"/>
            </w:tcBorders>
            <w:vAlign w:val="center"/>
          </w:tcPr>
          <w:p w14:paraId="5C3122DA">
            <w:pPr>
              <w:adjustRightInd w:val="0"/>
              <w:snapToGrid w:val="0"/>
              <w:spacing w:line="360" w:lineRule="auto"/>
              <w:rPr>
                <w:rStyle w:val="29"/>
                <w:rFonts w:ascii="宋体" w:hAnsi="宋体"/>
                <w:b/>
                <w:color w:val="auto"/>
                <w:highlight w:val="none"/>
              </w:rPr>
            </w:pPr>
            <w:r>
              <w:rPr>
                <w:rStyle w:val="29"/>
                <w:rFonts w:ascii="宋体" w:hAnsi="宋体"/>
                <w:b/>
                <w:color w:val="auto"/>
                <w:highlight w:val="none"/>
              </w:rPr>
              <w:t>第三章  采购合同专用条款（前附表）</w:t>
            </w:r>
          </w:p>
        </w:tc>
      </w:tr>
      <w:tr w14:paraId="1DAA210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4BFE449F">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1</w:t>
            </w:r>
          </w:p>
        </w:tc>
        <w:tc>
          <w:tcPr>
            <w:tcW w:w="1900" w:type="dxa"/>
            <w:tcBorders>
              <w:top w:val="single" w:color="000000" w:sz="6" w:space="0"/>
              <w:left w:val="single" w:color="000000" w:sz="6" w:space="0"/>
              <w:bottom w:val="single" w:color="000000" w:sz="6" w:space="0"/>
              <w:right w:val="single" w:color="000000" w:sz="6" w:space="0"/>
            </w:tcBorders>
            <w:vAlign w:val="center"/>
          </w:tcPr>
          <w:p w14:paraId="4A4DD721">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合同当事人</w:t>
            </w:r>
          </w:p>
        </w:tc>
        <w:tc>
          <w:tcPr>
            <w:tcW w:w="6195" w:type="dxa"/>
            <w:tcBorders>
              <w:top w:val="single" w:color="000000" w:sz="6" w:space="0"/>
              <w:left w:val="single" w:color="000000" w:sz="6" w:space="0"/>
              <w:bottom w:val="single" w:color="000000" w:sz="6" w:space="0"/>
              <w:right w:val="single" w:color="000000" w:sz="12" w:space="0"/>
            </w:tcBorders>
            <w:vAlign w:val="center"/>
          </w:tcPr>
          <w:p w14:paraId="581225EC">
            <w:pPr>
              <w:adjustRightInd w:val="0"/>
              <w:snapToGrid w:val="0"/>
              <w:spacing w:line="360" w:lineRule="auto"/>
              <w:rPr>
                <w:rStyle w:val="29"/>
                <w:rFonts w:ascii="宋体" w:hAnsi="宋体"/>
                <w:color w:val="auto"/>
                <w:highlight w:val="none"/>
              </w:rPr>
            </w:pPr>
            <w:r>
              <w:rPr>
                <w:rStyle w:val="29"/>
                <w:rFonts w:ascii="宋体" w:hAnsi="宋体"/>
                <w:color w:val="auto"/>
                <w:highlight w:val="none"/>
              </w:rPr>
              <w:t>甲方名称</w:t>
            </w:r>
            <w:r>
              <w:rPr>
                <w:rStyle w:val="29"/>
                <w:rFonts w:ascii="宋体" w:hAnsi="宋体"/>
                <w:b/>
                <w:bCs/>
                <w:color w:val="auto"/>
                <w:highlight w:val="none"/>
              </w:rPr>
              <w:t>：</w:t>
            </w:r>
            <w:r>
              <w:rPr>
                <w:rStyle w:val="29"/>
                <w:rFonts w:hint="eastAsia" w:ascii="宋体" w:hAnsi="宋体" w:cs="宋体"/>
                <w:color w:val="auto"/>
                <w:szCs w:val="21"/>
                <w:highlight w:val="none"/>
              </w:rPr>
              <w:t>郴州市林业科学研究所</w:t>
            </w:r>
          </w:p>
          <w:p w14:paraId="369D053B">
            <w:pPr>
              <w:adjustRightInd w:val="0"/>
              <w:snapToGrid w:val="0"/>
              <w:spacing w:line="360" w:lineRule="auto"/>
              <w:rPr>
                <w:rStyle w:val="29"/>
                <w:rFonts w:ascii="宋体" w:hAnsi="宋体"/>
                <w:color w:val="auto"/>
                <w:highlight w:val="none"/>
              </w:rPr>
            </w:pPr>
            <w:r>
              <w:rPr>
                <w:rStyle w:val="29"/>
                <w:rFonts w:ascii="宋体" w:hAnsi="宋体"/>
                <w:color w:val="auto"/>
                <w:highlight w:val="none"/>
              </w:rPr>
              <w:t>乙方名称：成交人</w:t>
            </w:r>
          </w:p>
        </w:tc>
      </w:tr>
      <w:tr w14:paraId="64B83B1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71B98B2D">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2</w:t>
            </w:r>
          </w:p>
        </w:tc>
        <w:tc>
          <w:tcPr>
            <w:tcW w:w="1900" w:type="dxa"/>
            <w:tcBorders>
              <w:top w:val="single" w:color="000000" w:sz="6" w:space="0"/>
              <w:left w:val="single" w:color="000000" w:sz="6" w:space="0"/>
              <w:bottom w:val="single" w:color="000000" w:sz="6" w:space="0"/>
              <w:right w:val="single" w:color="000000" w:sz="6" w:space="0"/>
            </w:tcBorders>
            <w:vAlign w:val="center"/>
          </w:tcPr>
          <w:p w14:paraId="2677AE7A">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项目现场</w:t>
            </w:r>
          </w:p>
        </w:tc>
        <w:tc>
          <w:tcPr>
            <w:tcW w:w="6195" w:type="dxa"/>
            <w:tcBorders>
              <w:top w:val="single" w:color="000000" w:sz="6" w:space="0"/>
              <w:left w:val="single" w:color="000000" w:sz="6" w:space="0"/>
              <w:bottom w:val="single" w:color="000000" w:sz="6" w:space="0"/>
              <w:right w:val="single" w:color="000000" w:sz="12" w:space="0"/>
            </w:tcBorders>
            <w:vAlign w:val="center"/>
          </w:tcPr>
          <w:p w14:paraId="2A817B14">
            <w:pPr>
              <w:adjustRightInd w:val="0"/>
              <w:snapToGrid w:val="0"/>
              <w:spacing w:line="360" w:lineRule="auto"/>
              <w:rPr>
                <w:rStyle w:val="29"/>
                <w:rFonts w:ascii="宋体" w:hAnsi="宋体"/>
                <w:color w:val="auto"/>
                <w:highlight w:val="none"/>
              </w:rPr>
            </w:pPr>
            <w:r>
              <w:rPr>
                <w:rStyle w:val="29"/>
                <w:rFonts w:hint="eastAsia" w:ascii="宋体" w:hAnsi="宋体"/>
                <w:color w:val="auto"/>
                <w:highlight w:val="none"/>
              </w:rPr>
              <w:t>采购人</w:t>
            </w:r>
            <w:r>
              <w:rPr>
                <w:rStyle w:val="29"/>
                <w:rFonts w:ascii="宋体" w:hAnsi="宋体"/>
                <w:color w:val="auto"/>
                <w:highlight w:val="none"/>
              </w:rPr>
              <w:t>指定地点。</w:t>
            </w:r>
          </w:p>
        </w:tc>
      </w:tr>
      <w:tr w14:paraId="78EDBF5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0A625AB4">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3</w:t>
            </w:r>
          </w:p>
        </w:tc>
        <w:tc>
          <w:tcPr>
            <w:tcW w:w="1900" w:type="dxa"/>
            <w:tcBorders>
              <w:top w:val="single" w:color="000000" w:sz="6" w:space="0"/>
              <w:left w:val="single" w:color="000000" w:sz="6" w:space="0"/>
              <w:bottom w:val="single" w:color="000000" w:sz="6" w:space="0"/>
              <w:right w:val="single" w:color="000000" w:sz="6" w:space="0"/>
            </w:tcBorders>
            <w:vAlign w:val="center"/>
          </w:tcPr>
          <w:p w14:paraId="7BA0F5D3">
            <w:pPr>
              <w:adjustRightInd w:val="0"/>
              <w:snapToGrid w:val="0"/>
              <w:spacing w:line="360" w:lineRule="auto"/>
              <w:rPr>
                <w:rStyle w:val="29"/>
                <w:rFonts w:ascii="宋体" w:hAnsi="宋体"/>
                <w:color w:val="auto"/>
                <w:szCs w:val="21"/>
                <w:highlight w:val="none"/>
              </w:rPr>
            </w:pPr>
            <w:r>
              <w:rPr>
                <w:rStyle w:val="29"/>
                <w:rFonts w:ascii="宋体" w:hAnsi="宋体"/>
                <w:color w:val="auto"/>
                <w:szCs w:val="21"/>
                <w:highlight w:val="none"/>
              </w:rPr>
              <w:t>履行合同的时间、地点及方式</w:t>
            </w:r>
          </w:p>
        </w:tc>
        <w:tc>
          <w:tcPr>
            <w:tcW w:w="6195" w:type="dxa"/>
            <w:tcBorders>
              <w:top w:val="single" w:color="000000" w:sz="6" w:space="0"/>
              <w:left w:val="single" w:color="000000" w:sz="6" w:space="0"/>
              <w:bottom w:val="single" w:color="000000" w:sz="6" w:space="0"/>
              <w:right w:val="single" w:color="000000" w:sz="12" w:space="0"/>
            </w:tcBorders>
            <w:vAlign w:val="center"/>
          </w:tcPr>
          <w:p w14:paraId="1122A1CD">
            <w:pPr>
              <w:adjustRightInd w:val="0"/>
              <w:snapToGrid w:val="0"/>
              <w:spacing w:line="360" w:lineRule="auto"/>
              <w:rPr>
                <w:rStyle w:val="29"/>
                <w:rFonts w:ascii="宋体" w:hAnsi="宋体"/>
                <w:color w:val="auto"/>
                <w:szCs w:val="21"/>
                <w:highlight w:val="none"/>
              </w:rPr>
            </w:pPr>
            <w:r>
              <w:rPr>
                <w:rStyle w:val="29"/>
                <w:rFonts w:hint="eastAsia" w:ascii="宋体" w:hAnsi="宋体"/>
                <w:color w:val="auto"/>
                <w:szCs w:val="21"/>
                <w:highlight w:val="none"/>
              </w:rPr>
              <w:t>合同履行期限</w:t>
            </w:r>
            <w:r>
              <w:rPr>
                <w:rStyle w:val="29"/>
                <w:rFonts w:ascii="宋体" w:hAnsi="宋体"/>
                <w:color w:val="auto"/>
                <w:szCs w:val="21"/>
                <w:highlight w:val="none"/>
              </w:rPr>
              <w:t>：</w:t>
            </w:r>
            <w:r>
              <w:rPr>
                <w:rFonts w:hint="eastAsia" w:ascii="宋体" w:hAnsi="宋体" w:cs="宋体"/>
                <w:color w:val="auto"/>
                <w:szCs w:val="21"/>
                <w:highlight w:val="none"/>
                <w:u w:val="single"/>
                <w:shd w:val="clear" w:color="auto" w:fill="FFFFFF"/>
              </w:rPr>
              <w:t>一年</w:t>
            </w:r>
          </w:p>
          <w:p w14:paraId="2ACB642D">
            <w:pPr>
              <w:adjustRightInd w:val="0"/>
              <w:snapToGrid w:val="0"/>
              <w:spacing w:line="360" w:lineRule="auto"/>
              <w:rPr>
                <w:rStyle w:val="29"/>
                <w:rFonts w:ascii="宋体" w:hAnsi="宋体"/>
                <w:color w:val="auto"/>
                <w:szCs w:val="21"/>
                <w:highlight w:val="none"/>
              </w:rPr>
            </w:pPr>
            <w:r>
              <w:rPr>
                <w:rStyle w:val="29"/>
                <w:rFonts w:ascii="宋体" w:hAnsi="宋体"/>
                <w:color w:val="auto"/>
                <w:szCs w:val="21"/>
                <w:highlight w:val="none"/>
              </w:rPr>
              <w:t>实施地点：</w:t>
            </w:r>
            <w:r>
              <w:rPr>
                <w:rFonts w:hint="eastAsia" w:ascii="宋体" w:hAnsi="宋体"/>
                <w:color w:val="auto"/>
                <w:szCs w:val="21"/>
                <w:highlight w:val="none"/>
              </w:rPr>
              <w:t>郴州市林业科学研究所</w:t>
            </w:r>
            <w:r>
              <w:rPr>
                <w:rStyle w:val="29"/>
                <w:rFonts w:ascii="宋体" w:hAnsi="宋体"/>
                <w:color w:val="auto"/>
                <w:szCs w:val="21"/>
                <w:highlight w:val="none"/>
              </w:rPr>
              <w:t>指定地点。</w:t>
            </w:r>
          </w:p>
        </w:tc>
      </w:tr>
      <w:tr w14:paraId="3BD6C4E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2683430E">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4</w:t>
            </w:r>
          </w:p>
        </w:tc>
        <w:tc>
          <w:tcPr>
            <w:tcW w:w="1900" w:type="dxa"/>
            <w:tcBorders>
              <w:top w:val="single" w:color="000000" w:sz="6" w:space="0"/>
              <w:left w:val="single" w:color="000000" w:sz="6" w:space="0"/>
              <w:bottom w:val="single" w:color="000000" w:sz="6" w:space="0"/>
              <w:right w:val="single" w:color="000000" w:sz="6" w:space="0"/>
            </w:tcBorders>
            <w:vAlign w:val="center"/>
          </w:tcPr>
          <w:p w14:paraId="38F6F12F">
            <w:pPr>
              <w:adjustRightInd w:val="0"/>
              <w:snapToGrid w:val="0"/>
              <w:spacing w:line="360" w:lineRule="auto"/>
              <w:jc w:val="center"/>
              <w:rPr>
                <w:rStyle w:val="29"/>
                <w:rFonts w:ascii="宋体" w:hAnsi="宋体"/>
                <w:color w:val="auto"/>
                <w:szCs w:val="21"/>
                <w:highlight w:val="none"/>
              </w:rPr>
            </w:pPr>
            <w:r>
              <w:rPr>
                <w:rStyle w:val="29"/>
                <w:rFonts w:ascii="宋体" w:hAnsi="宋体"/>
                <w:color w:val="auto"/>
                <w:szCs w:val="21"/>
                <w:highlight w:val="none"/>
              </w:rPr>
              <w:t>质量标准</w:t>
            </w:r>
          </w:p>
        </w:tc>
        <w:tc>
          <w:tcPr>
            <w:tcW w:w="6195" w:type="dxa"/>
            <w:tcBorders>
              <w:top w:val="single" w:color="000000" w:sz="6" w:space="0"/>
              <w:left w:val="single" w:color="000000" w:sz="6" w:space="0"/>
              <w:bottom w:val="single" w:color="000000" w:sz="6" w:space="0"/>
              <w:right w:val="single" w:color="000000" w:sz="12" w:space="0"/>
            </w:tcBorders>
            <w:vAlign w:val="center"/>
          </w:tcPr>
          <w:p w14:paraId="21E10B76">
            <w:pPr>
              <w:adjustRightInd w:val="0"/>
              <w:snapToGrid w:val="0"/>
              <w:spacing w:line="360" w:lineRule="auto"/>
              <w:rPr>
                <w:rStyle w:val="29"/>
                <w:rFonts w:ascii="宋体" w:hAnsi="宋体"/>
                <w:color w:val="auto"/>
                <w:szCs w:val="21"/>
                <w:highlight w:val="none"/>
              </w:rPr>
            </w:pPr>
            <w:r>
              <w:rPr>
                <w:rStyle w:val="29"/>
                <w:rFonts w:ascii="宋体" w:hAnsi="宋体"/>
                <w:color w:val="auto"/>
                <w:szCs w:val="21"/>
                <w:highlight w:val="none"/>
              </w:rPr>
              <w:t>要求验收合格。</w:t>
            </w:r>
          </w:p>
        </w:tc>
      </w:tr>
      <w:tr w14:paraId="37DBA82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75"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07DF61DC">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5</w:t>
            </w:r>
          </w:p>
        </w:tc>
        <w:tc>
          <w:tcPr>
            <w:tcW w:w="1900" w:type="dxa"/>
            <w:tcBorders>
              <w:top w:val="single" w:color="000000" w:sz="6" w:space="0"/>
              <w:left w:val="single" w:color="000000" w:sz="6" w:space="0"/>
              <w:bottom w:val="single" w:color="000000" w:sz="6" w:space="0"/>
              <w:right w:val="single" w:color="000000" w:sz="6" w:space="0"/>
            </w:tcBorders>
            <w:vAlign w:val="center"/>
          </w:tcPr>
          <w:p w14:paraId="40251A5D">
            <w:pPr>
              <w:adjustRightInd w:val="0"/>
              <w:snapToGrid w:val="0"/>
              <w:spacing w:line="360" w:lineRule="auto"/>
              <w:jc w:val="center"/>
              <w:rPr>
                <w:rStyle w:val="29"/>
                <w:rFonts w:ascii="宋体" w:hAnsi="宋体"/>
                <w:color w:val="auto"/>
                <w:szCs w:val="21"/>
                <w:highlight w:val="none"/>
              </w:rPr>
            </w:pPr>
            <w:r>
              <w:rPr>
                <w:rStyle w:val="29"/>
                <w:rFonts w:ascii="宋体" w:hAnsi="宋体"/>
                <w:color w:val="auto"/>
                <w:szCs w:val="21"/>
                <w:highlight w:val="none"/>
              </w:rPr>
              <w:t>付款方式</w:t>
            </w:r>
          </w:p>
        </w:tc>
        <w:tc>
          <w:tcPr>
            <w:tcW w:w="6195" w:type="dxa"/>
            <w:tcBorders>
              <w:top w:val="single" w:color="000000" w:sz="6" w:space="0"/>
              <w:left w:val="single" w:color="000000" w:sz="6" w:space="0"/>
              <w:bottom w:val="single" w:color="000000" w:sz="6" w:space="0"/>
              <w:right w:val="single" w:color="000000" w:sz="12" w:space="0"/>
            </w:tcBorders>
            <w:vAlign w:val="center"/>
          </w:tcPr>
          <w:p w14:paraId="36FA04DA">
            <w:pPr>
              <w:adjustRightInd w:val="0"/>
              <w:snapToGrid w:val="0"/>
              <w:spacing w:line="360" w:lineRule="auto"/>
              <w:jc w:val="left"/>
              <w:rPr>
                <w:rStyle w:val="29"/>
                <w:rFonts w:hint="eastAsia" w:ascii="宋体" w:hAnsi="宋体"/>
                <w:color w:val="auto"/>
                <w:szCs w:val="21"/>
                <w:highlight w:val="none"/>
              </w:rPr>
            </w:pPr>
            <w:r>
              <w:rPr>
                <w:rStyle w:val="29"/>
                <w:rFonts w:hint="eastAsia" w:ascii="宋体" w:hAnsi="宋体"/>
                <w:color w:val="auto"/>
                <w:szCs w:val="21"/>
                <w:highlight w:val="none"/>
              </w:rPr>
              <w:t>本合同价款按12个月平均分摊。甲方按以下节点付款，且每次均以乙方对应服务期间考核合格、开具合法有效发票、甲方审核无误为前提：</w:t>
            </w:r>
          </w:p>
          <w:p w14:paraId="4C762D07">
            <w:pPr>
              <w:adjustRightInd w:val="0"/>
              <w:snapToGrid w:val="0"/>
              <w:spacing w:line="360" w:lineRule="auto"/>
              <w:jc w:val="left"/>
              <w:rPr>
                <w:rStyle w:val="29"/>
                <w:rFonts w:hint="eastAsia" w:ascii="宋体" w:hAnsi="宋体"/>
                <w:color w:val="auto"/>
                <w:szCs w:val="21"/>
                <w:highlight w:val="none"/>
              </w:rPr>
            </w:pPr>
            <w:r>
              <w:rPr>
                <w:rStyle w:val="29"/>
                <w:rFonts w:hint="eastAsia" w:ascii="宋体" w:hAnsi="宋体"/>
                <w:color w:val="auto"/>
                <w:szCs w:val="21"/>
                <w:highlight w:val="none"/>
              </w:rPr>
              <w:t>1. 服务期开始满1个月，支付第1个月对应价款，为合同总价款的8%；</w:t>
            </w:r>
          </w:p>
          <w:p w14:paraId="32E6FE93">
            <w:pPr>
              <w:adjustRightInd w:val="0"/>
              <w:snapToGrid w:val="0"/>
              <w:spacing w:line="360" w:lineRule="auto"/>
              <w:jc w:val="left"/>
              <w:rPr>
                <w:rStyle w:val="29"/>
                <w:rFonts w:hint="eastAsia" w:ascii="宋体" w:hAnsi="宋体"/>
                <w:color w:val="auto"/>
                <w:szCs w:val="21"/>
                <w:highlight w:val="none"/>
              </w:rPr>
            </w:pPr>
            <w:r>
              <w:rPr>
                <w:rStyle w:val="29"/>
                <w:rFonts w:hint="eastAsia" w:ascii="宋体" w:hAnsi="宋体"/>
                <w:color w:val="auto"/>
                <w:szCs w:val="21"/>
                <w:highlight w:val="none"/>
              </w:rPr>
              <w:t>2. 服务期开始满4个月，支付第2至第4个月对应价款，为合同总价款的25%；</w:t>
            </w:r>
          </w:p>
          <w:p w14:paraId="4FA2002C">
            <w:pPr>
              <w:adjustRightInd w:val="0"/>
              <w:snapToGrid w:val="0"/>
              <w:spacing w:line="360" w:lineRule="auto"/>
              <w:jc w:val="left"/>
              <w:rPr>
                <w:rStyle w:val="29"/>
                <w:rFonts w:hint="eastAsia" w:ascii="宋体" w:hAnsi="宋体"/>
                <w:color w:val="auto"/>
                <w:szCs w:val="21"/>
                <w:highlight w:val="none"/>
              </w:rPr>
            </w:pPr>
            <w:r>
              <w:rPr>
                <w:rStyle w:val="29"/>
                <w:rFonts w:hint="eastAsia" w:ascii="宋体" w:hAnsi="宋体"/>
                <w:color w:val="auto"/>
                <w:szCs w:val="21"/>
                <w:highlight w:val="none"/>
              </w:rPr>
              <w:t>3. 服务期开始满7个月，支付第5至第7个月对应价款，为合同总价款的25%；</w:t>
            </w:r>
          </w:p>
          <w:p w14:paraId="064492E0">
            <w:pPr>
              <w:adjustRightInd w:val="0"/>
              <w:snapToGrid w:val="0"/>
              <w:spacing w:line="360" w:lineRule="auto"/>
              <w:jc w:val="left"/>
              <w:rPr>
                <w:rStyle w:val="29"/>
                <w:rFonts w:hint="eastAsia" w:ascii="宋体" w:hAnsi="宋体"/>
                <w:color w:val="auto"/>
                <w:szCs w:val="21"/>
                <w:highlight w:val="none"/>
              </w:rPr>
            </w:pPr>
            <w:r>
              <w:rPr>
                <w:rStyle w:val="29"/>
                <w:rFonts w:hint="eastAsia" w:ascii="宋体" w:hAnsi="宋体"/>
                <w:color w:val="auto"/>
                <w:szCs w:val="21"/>
                <w:highlight w:val="none"/>
              </w:rPr>
              <w:t>4. 服务期开始满10个月，支付第8至第10个月对应价款，为合同总价款的25%；</w:t>
            </w:r>
          </w:p>
          <w:p w14:paraId="45EA0FC8">
            <w:pPr>
              <w:adjustRightInd w:val="0"/>
              <w:snapToGrid w:val="0"/>
              <w:spacing w:line="360" w:lineRule="auto"/>
              <w:jc w:val="left"/>
              <w:rPr>
                <w:rStyle w:val="29"/>
                <w:rFonts w:ascii="宋体" w:hAnsi="宋体"/>
                <w:color w:val="auto"/>
                <w:szCs w:val="21"/>
                <w:highlight w:val="none"/>
              </w:rPr>
            </w:pPr>
            <w:r>
              <w:rPr>
                <w:rStyle w:val="29"/>
                <w:rFonts w:hint="eastAsia" w:ascii="宋体" w:hAnsi="宋体"/>
                <w:color w:val="auto"/>
                <w:szCs w:val="21"/>
                <w:highlight w:val="none"/>
              </w:rPr>
              <w:t>5. 服务期开始满12个月且服务全部届满，经甲方整体验收合格，支付第11至第12个月对应价款及尾差，为合同总价款的17%，最终结清至合同总价款的100%。</w:t>
            </w:r>
          </w:p>
        </w:tc>
      </w:tr>
      <w:tr w14:paraId="2B5CC47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5D80C4CA">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6</w:t>
            </w:r>
          </w:p>
        </w:tc>
        <w:tc>
          <w:tcPr>
            <w:tcW w:w="1900" w:type="dxa"/>
            <w:tcBorders>
              <w:top w:val="single" w:color="000000" w:sz="6" w:space="0"/>
              <w:left w:val="single" w:color="000000" w:sz="6" w:space="0"/>
              <w:bottom w:val="single" w:color="000000" w:sz="6" w:space="0"/>
              <w:right w:val="single" w:color="000000" w:sz="6" w:space="0"/>
            </w:tcBorders>
            <w:vAlign w:val="center"/>
          </w:tcPr>
          <w:p w14:paraId="2695E075">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分包</w:t>
            </w:r>
          </w:p>
        </w:tc>
        <w:tc>
          <w:tcPr>
            <w:tcW w:w="6195" w:type="dxa"/>
            <w:tcBorders>
              <w:top w:val="single" w:color="000000" w:sz="6" w:space="0"/>
              <w:left w:val="single" w:color="000000" w:sz="6" w:space="0"/>
              <w:bottom w:val="single" w:color="000000" w:sz="6" w:space="0"/>
              <w:right w:val="single" w:color="000000" w:sz="12" w:space="0"/>
            </w:tcBorders>
            <w:vAlign w:val="center"/>
          </w:tcPr>
          <w:p w14:paraId="698BFF04">
            <w:pPr>
              <w:adjustRightInd w:val="0"/>
              <w:snapToGrid w:val="0"/>
              <w:spacing w:line="360" w:lineRule="auto"/>
              <w:rPr>
                <w:rStyle w:val="29"/>
                <w:rFonts w:ascii="宋体" w:hAnsi="宋体"/>
                <w:color w:val="auto"/>
                <w:highlight w:val="none"/>
              </w:rPr>
            </w:pPr>
            <w:r>
              <w:rPr>
                <w:rStyle w:val="29"/>
                <w:rFonts w:ascii="宋体" w:hAnsi="宋体"/>
                <w:color w:val="auto"/>
                <w:highlight w:val="none"/>
              </w:rPr>
              <w:t>■ 不接受</w:t>
            </w:r>
          </w:p>
          <w:p w14:paraId="0FA1E02D">
            <w:pPr>
              <w:adjustRightInd w:val="0"/>
              <w:snapToGrid w:val="0"/>
              <w:spacing w:line="360" w:lineRule="auto"/>
              <w:rPr>
                <w:rStyle w:val="29"/>
                <w:rFonts w:ascii="宋体" w:hAnsi="宋体"/>
                <w:b/>
                <w:color w:val="auto"/>
                <w:szCs w:val="21"/>
                <w:highlight w:val="none"/>
              </w:rPr>
            </w:pPr>
            <w:r>
              <w:rPr>
                <w:rStyle w:val="29"/>
                <w:rFonts w:ascii="宋体" w:hAnsi="宋体"/>
                <w:color w:val="auto"/>
                <w:highlight w:val="none"/>
              </w:rPr>
              <w:t>□ 接受</w:t>
            </w:r>
          </w:p>
        </w:tc>
      </w:tr>
      <w:tr w14:paraId="79D1423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175C7FE2">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7</w:t>
            </w:r>
          </w:p>
        </w:tc>
        <w:tc>
          <w:tcPr>
            <w:tcW w:w="1900" w:type="dxa"/>
            <w:tcBorders>
              <w:top w:val="single" w:color="000000" w:sz="6" w:space="0"/>
              <w:left w:val="single" w:color="000000" w:sz="6" w:space="0"/>
              <w:bottom w:val="single" w:color="000000" w:sz="6" w:space="0"/>
              <w:right w:val="single" w:color="000000" w:sz="6" w:space="0"/>
            </w:tcBorders>
            <w:vAlign w:val="center"/>
          </w:tcPr>
          <w:p w14:paraId="69DFC03D">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伴随服务</w:t>
            </w:r>
          </w:p>
        </w:tc>
        <w:tc>
          <w:tcPr>
            <w:tcW w:w="6195" w:type="dxa"/>
            <w:tcBorders>
              <w:top w:val="single" w:color="000000" w:sz="6" w:space="0"/>
              <w:left w:val="single" w:color="000000" w:sz="6" w:space="0"/>
              <w:bottom w:val="single" w:color="000000" w:sz="6" w:space="0"/>
              <w:right w:val="single" w:color="000000" w:sz="12" w:space="0"/>
            </w:tcBorders>
            <w:vAlign w:val="center"/>
          </w:tcPr>
          <w:p w14:paraId="601256F4">
            <w:pPr>
              <w:adjustRightInd w:val="0"/>
              <w:snapToGrid w:val="0"/>
              <w:spacing w:line="360" w:lineRule="auto"/>
              <w:rPr>
                <w:rStyle w:val="29"/>
                <w:rFonts w:ascii="宋体" w:hAnsi="宋体"/>
                <w:color w:val="auto"/>
                <w:highlight w:val="none"/>
              </w:rPr>
            </w:pPr>
            <w:r>
              <w:rPr>
                <w:rStyle w:val="29"/>
                <w:rFonts w:ascii="宋体" w:hAnsi="宋体"/>
                <w:color w:val="auto"/>
                <w:szCs w:val="21"/>
                <w:highlight w:val="none"/>
              </w:rPr>
              <w:t>第五章 采购内容及要求</w:t>
            </w:r>
          </w:p>
        </w:tc>
      </w:tr>
      <w:tr w14:paraId="65401DA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0B736C98">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8</w:t>
            </w:r>
          </w:p>
        </w:tc>
        <w:tc>
          <w:tcPr>
            <w:tcW w:w="1900" w:type="dxa"/>
            <w:tcBorders>
              <w:top w:val="single" w:color="000000" w:sz="6" w:space="0"/>
              <w:left w:val="single" w:color="000000" w:sz="6" w:space="0"/>
              <w:bottom w:val="single" w:color="000000" w:sz="6" w:space="0"/>
              <w:right w:val="single" w:color="000000" w:sz="6" w:space="0"/>
            </w:tcBorders>
            <w:vAlign w:val="center"/>
          </w:tcPr>
          <w:p w14:paraId="67455C4E">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解决争议的方式</w:t>
            </w:r>
          </w:p>
        </w:tc>
        <w:tc>
          <w:tcPr>
            <w:tcW w:w="6195" w:type="dxa"/>
            <w:tcBorders>
              <w:top w:val="single" w:color="000000" w:sz="6" w:space="0"/>
              <w:left w:val="single" w:color="000000" w:sz="6" w:space="0"/>
              <w:bottom w:val="single" w:color="000000" w:sz="6" w:space="0"/>
              <w:right w:val="single" w:color="000000" w:sz="12" w:space="0"/>
            </w:tcBorders>
            <w:vAlign w:val="center"/>
          </w:tcPr>
          <w:p w14:paraId="13881D85">
            <w:pPr>
              <w:adjustRightInd w:val="0"/>
              <w:snapToGrid w:val="0"/>
              <w:spacing w:line="360" w:lineRule="auto"/>
              <w:rPr>
                <w:rStyle w:val="29"/>
                <w:rFonts w:ascii="宋体" w:hAnsi="宋体"/>
                <w:color w:val="auto"/>
                <w:highlight w:val="none"/>
              </w:rPr>
            </w:pPr>
            <w:r>
              <w:rPr>
                <w:rStyle w:val="29"/>
                <w:rFonts w:ascii="宋体" w:hAnsi="宋体"/>
                <w:color w:val="auto"/>
                <w:highlight w:val="none"/>
              </w:rPr>
              <w:t>■ 诉讼</w:t>
            </w:r>
          </w:p>
          <w:p w14:paraId="5C3A2F05">
            <w:pPr>
              <w:adjustRightInd w:val="0"/>
              <w:snapToGrid w:val="0"/>
              <w:spacing w:line="360" w:lineRule="auto"/>
              <w:rPr>
                <w:rStyle w:val="29"/>
                <w:rFonts w:ascii="宋体" w:hAnsi="宋体"/>
                <w:color w:val="auto"/>
                <w:highlight w:val="none"/>
              </w:rPr>
            </w:pPr>
            <w:r>
              <w:rPr>
                <w:rStyle w:val="29"/>
                <w:rFonts w:ascii="宋体" w:hAnsi="宋体"/>
                <w:color w:val="auto"/>
                <w:highlight w:val="none"/>
              </w:rPr>
              <w:t>□ 仲裁</w:t>
            </w:r>
          </w:p>
        </w:tc>
      </w:tr>
      <w:tr w14:paraId="1841EEC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791B8552">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9</w:t>
            </w:r>
          </w:p>
        </w:tc>
        <w:tc>
          <w:tcPr>
            <w:tcW w:w="1900" w:type="dxa"/>
            <w:tcBorders>
              <w:top w:val="single" w:color="000000" w:sz="6" w:space="0"/>
              <w:left w:val="single" w:color="000000" w:sz="6" w:space="0"/>
              <w:bottom w:val="single" w:color="000000" w:sz="6" w:space="0"/>
              <w:right w:val="single" w:color="000000" w:sz="6" w:space="0"/>
            </w:tcBorders>
            <w:vAlign w:val="center"/>
          </w:tcPr>
          <w:p w14:paraId="44F86D5F">
            <w:pPr>
              <w:adjustRightInd w:val="0"/>
              <w:snapToGrid w:val="0"/>
              <w:spacing w:line="360" w:lineRule="auto"/>
              <w:jc w:val="center"/>
              <w:rPr>
                <w:rStyle w:val="29"/>
                <w:rFonts w:ascii="宋体" w:hAnsi="宋体"/>
                <w:color w:val="auto"/>
                <w:szCs w:val="21"/>
                <w:highlight w:val="none"/>
              </w:rPr>
            </w:pPr>
            <w:r>
              <w:rPr>
                <w:rStyle w:val="29"/>
                <w:rFonts w:ascii="宋体" w:hAnsi="宋体"/>
                <w:bCs/>
                <w:color w:val="auto"/>
                <w:szCs w:val="21"/>
                <w:highlight w:val="none"/>
              </w:rPr>
              <w:t>合同未尽事项</w:t>
            </w:r>
          </w:p>
        </w:tc>
        <w:tc>
          <w:tcPr>
            <w:tcW w:w="6195" w:type="dxa"/>
            <w:tcBorders>
              <w:top w:val="single" w:color="000000" w:sz="6" w:space="0"/>
              <w:left w:val="single" w:color="000000" w:sz="6" w:space="0"/>
              <w:bottom w:val="single" w:color="000000" w:sz="6" w:space="0"/>
              <w:right w:val="single" w:color="000000" w:sz="12" w:space="0"/>
            </w:tcBorders>
            <w:vAlign w:val="center"/>
          </w:tcPr>
          <w:p w14:paraId="4636F911">
            <w:pPr>
              <w:adjustRightInd w:val="0"/>
              <w:snapToGrid w:val="0"/>
              <w:spacing w:line="360" w:lineRule="auto"/>
              <w:rPr>
                <w:rStyle w:val="29"/>
                <w:rFonts w:ascii="宋体" w:hAnsi="宋体"/>
                <w:color w:val="auto"/>
                <w:szCs w:val="21"/>
                <w:highlight w:val="none"/>
              </w:rPr>
            </w:pPr>
            <w:r>
              <w:rPr>
                <w:rStyle w:val="29"/>
                <w:rFonts w:ascii="宋体" w:hAnsi="宋体"/>
                <w:color w:val="auto"/>
                <w:szCs w:val="21"/>
                <w:highlight w:val="none"/>
              </w:rPr>
              <w:t>合同的签订以本项目磋商文件、中标单位响应文件为依据，未尽事项协商解决。</w:t>
            </w:r>
          </w:p>
        </w:tc>
      </w:tr>
      <w:tr w14:paraId="3D451F5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260" w:type="dxa"/>
            <w:tcBorders>
              <w:top w:val="single" w:color="000000" w:sz="6" w:space="0"/>
              <w:left w:val="single" w:color="000000" w:sz="12" w:space="0"/>
              <w:bottom w:val="single" w:color="000000" w:sz="6" w:space="0"/>
              <w:right w:val="single" w:color="000000" w:sz="6" w:space="0"/>
            </w:tcBorders>
            <w:vAlign w:val="center"/>
          </w:tcPr>
          <w:p w14:paraId="6708C120">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10</w:t>
            </w:r>
          </w:p>
        </w:tc>
        <w:tc>
          <w:tcPr>
            <w:tcW w:w="1900" w:type="dxa"/>
            <w:tcBorders>
              <w:top w:val="single" w:color="000000" w:sz="6" w:space="0"/>
              <w:left w:val="single" w:color="000000" w:sz="6" w:space="0"/>
              <w:bottom w:val="single" w:color="000000" w:sz="6" w:space="0"/>
              <w:right w:val="single" w:color="000000" w:sz="6" w:space="0"/>
            </w:tcBorders>
            <w:vAlign w:val="center"/>
          </w:tcPr>
          <w:p w14:paraId="41BD5A4A">
            <w:pPr>
              <w:adjustRightInd w:val="0"/>
              <w:snapToGrid w:val="0"/>
              <w:spacing w:line="360" w:lineRule="auto"/>
              <w:jc w:val="center"/>
              <w:rPr>
                <w:rStyle w:val="29"/>
                <w:rFonts w:ascii="宋体" w:hAnsi="宋体"/>
                <w:color w:val="auto"/>
                <w:highlight w:val="none"/>
              </w:rPr>
            </w:pPr>
            <w:r>
              <w:rPr>
                <w:rStyle w:val="29"/>
                <w:rFonts w:ascii="宋体" w:hAnsi="宋体"/>
                <w:color w:val="auto"/>
                <w:highlight w:val="none"/>
              </w:rPr>
              <w:t>补充条款</w:t>
            </w:r>
          </w:p>
        </w:tc>
        <w:tc>
          <w:tcPr>
            <w:tcW w:w="6195" w:type="dxa"/>
            <w:tcBorders>
              <w:top w:val="single" w:color="000000" w:sz="6" w:space="0"/>
              <w:left w:val="single" w:color="000000" w:sz="6" w:space="0"/>
              <w:bottom w:val="single" w:color="000000" w:sz="6" w:space="0"/>
              <w:right w:val="single" w:color="000000" w:sz="12" w:space="0"/>
            </w:tcBorders>
            <w:vAlign w:val="center"/>
          </w:tcPr>
          <w:p w14:paraId="06E02449">
            <w:pPr>
              <w:adjustRightInd w:val="0"/>
              <w:snapToGrid w:val="0"/>
              <w:spacing w:line="360" w:lineRule="auto"/>
              <w:rPr>
                <w:rStyle w:val="29"/>
                <w:rFonts w:ascii="宋体" w:hAnsi="宋体"/>
                <w:color w:val="auto"/>
                <w:highlight w:val="none"/>
              </w:rPr>
            </w:pPr>
            <w:r>
              <w:rPr>
                <w:rStyle w:val="29"/>
                <w:rFonts w:ascii="宋体" w:hAnsi="宋体"/>
                <w:color w:val="auto"/>
                <w:highlight w:val="none"/>
              </w:rPr>
              <w:t>本</w:t>
            </w:r>
            <w:r>
              <w:rPr>
                <w:rStyle w:val="29"/>
                <w:rFonts w:ascii="宋体" w:hAnsi="宋体"/>
                <w:color w:val="auto"/>
                <w:szCs w:val="21"/>
                <w:highlight w:val="none"/>
              </w:rPr>
              <w:t>合同一式</w:t>
            </w:r>
            <w:r>
              <w:rPr>
                <w:rStyle w:val="29"/>
                <w:rFonts w:hint="eastAsia" w:ascii="宋体" w:hAnsi="宋体"/>
                <w:color w:val="auto"/>
                <w:szCs w:val="21"/>
                <w:highlight w:val="none"/>
              </w:rPr>
              <w:t>陆</w:t>
            </w:r>
            <w:r>
              <w:rPr>
                <w:rStyle w:val="29"/>
                <w:rFonts w:ascii="宋体" w:hAnsi="宋体"/>
                <w:color w:val="auto"/>
                <w:szCs w:val="21"/>
                <w:highlight w:val="none"/>
              </w:rPr>
              <w:t>份，甲方</w:t>
            </w:r>
            <w:r>
              <w:rPr>
                <w:rStyle w:val="29"/>
                <w:rFonts w:hint="eastAsia" w:ascii="宋体" w:hAnsi="宋体"/>
                <w:color w:val="auto"/>
                <w:szCs w:val="21"/>
                <w:highlight w:val="none"/>
              </w:rPr>
              <w:t>叁份</w:t>
            </w:r>
            <w:r>
              <w:rPr>
                <w:rStyle w:val="29"/>
                <w:rFonts w:ascii="宋体" w:hAnsi="宋体"/>
                <w:color w:val="auto"/>
                <w:szCs w:val="21"/>
                <w:highlight w:val="none"/>
              </w:rPr>
              <w:t>、乙方</w:t>
            </w:r>
            <w:r>
              <w:rPr>
                <w:rStyle w:val="29"/>
                <w:rFonts w:hint="eastAsia" w:ascii="宋体" w:hAnsi="宋体"/>
                <w:color w:val="auto"/>
                <w:szCs w:val="21"/>
                <w:highlight w:val="none"/>
              </w:rPr>
              <w:t>贰</w:t>
            </w:r>
            <w:r>
              <w:rPr>
                <w:rStyle w:val="29"/>
                <w:rFonts w:ascii="宋体" w:hAnsi="宋体"/>
                <w:color w:val="auto"/>
                <w:szCs w:val="21"/>
                <w:highlight w:val="none"/>
              </w:rPr>
              <w:t>份，采购代理机构壹份。</w:t>
            </w:r>
          </w:p>
        </w:tc>
      </w:tr>
      <w:tr w14:paraId="476DC64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1260" w:type="dxa"/>
            <w:tcBorders>
              <w:top w:val="single" w:color="000000" w:sz="6" w:space="0"/>
              <w:left w:val="single" w:color="000000" w:sz="12" w:space="0"/>
              <w:bottom w:val="single" w:color="000000" w:sz="12" w:space="0"/>
              <w:right w:val="single" w:color="000000" w:sz="6" w:space="0"/>
            </w:tcBorders>
            <w:vAlign w:val="center"/>
          </w:tcPr>
          <w:p w14:paraId="5263B0D7">
            <w:pPr>
              <w:adjustRightInd w:val="0"/>
              <w:snapToGrid w:val="0"/>
              <w:spacing w:line="360" w:lineRule="auto"/>
              <w:jc w:val="center"/>
              <w:rPr>
                <w:rStyle w:val="29"/>
                <w:rFonts w:ascii="宋体" w:hAnsi="宋体"/>
                <w:color w:val="auto"/>
                <w:highlight w:val="none"/>
              </w:rPr>
            </w:pPr>
            <w:r>
              <w:rPr>
                <w:rStyle w:val="29"/>
                <w:rFonts w:hint="eastAsia" w:ascii="宋体" w:hAnsi="宋体"/>
                <w:color w:val="auto"/>
                <w:highlight w:val="none"/>
              </w:rPr>
              <w:t>11</w:t>
            </w:r>
          </w:p>
        </w:tc>
        <w:tc>
          <w:tcPr>
            <w:tcW w:w="1900" w:type="dxa"/>
            <w:tcBorders>
              <w:top w:val="single" w:color="000000" w:sz="6" w:space="0"/>
              <w:left w:val="single" w:color="000000" w:sz="6" w:space="0"/>
              <w:bottom w:val="single" w:color="000000" w:sz="12" w:space="0"/>
              <w:right w:val="single" w:color="000000" w:sz="6" w:space="0"/>
            </w:tcBorders>
            <w:vAlign w:val="center"/>
          </w:tcPr>
          <w:p w14:paraId="5FCB5154">
            <w:pPr>
              <w:adjustRightInd w:val="0"/>
              <w:snapToGrid w:val="0"/>
              <w:spacing w:line="360" w:lineRule="auto"/>
              <w:jc w:val="center"/>
              <w:rPr>
                <w:rStyle w:val="29"/>
                <w:rFonts w:ascii="宋体" w:hAnsi="宋体"/>
                <w:color w:val="auto"/>
                <w:highlight w:val="none"/>
              </w:rPr>
            </w:pPr>
            <w:r>
              <w:rPr>
                <w:rStyle w:val="29"/>
                <w:rFonts w:hint="eastAsia" w:ascii="宋体" w:hAnsi="宋体"/>
                <w:color w:val="auto"/>
                <w:highlight w:val="none"/>
              </w:rPr>
              <w:t>其它</w:t>
            </w:r>
          </w:p>
        </w:tc>
        <w:tc>
          <w:tcPr>
            <w:tcW w:w="6195" w:type="dxa"/>
            <w:tcBorders>
              <w:top w:val="single" w:color="000000" w:sz="6" w:space="0"/>
              <w:left w:val="single" w:color="000000" w:sz="6" w:space="0"/>
              <w:bottom w:val="single" w:color="000000" w:sz="12" w:space="0"/>
              <w:right w:val="single" w:color="000000" w:sz="12" w:space="0"/>
            </w:tcBorders>
            <w:vAlign w:val="center"/>
          </w:tcPr>
          <w:p w14:paraId="57BB1408">
            <w:pPr>
              <w:pStyle w:val="51"/>
              <w:adjustRightInd w:val="0"/>
              <w:snapToGrid w:val="0"/>
              <w:spacing w:before="0" w:beforeAutospacing="0" w:after="0" w:afterAutospacing="0" w:line="360" w:lineRule="auto"/>
              <w:rPr>
                <w:rStyle w:val="29"/>
                <w:color w:val="auto"/>
                <w:highlight w:val="none"/>
              </w:rPr>
            </w:pPr>
            <w:r>
              <w:rPr>
                <w:rStyle w:val="29"/>
                <w:rFonts w:hint="eastAsia"/>
                <w:color w:val="auto"/>
                <w:highlight w:val="none"/>
              </w:rPr>
              <w:t>/</w:t>
            </w:r>
          </w:p>
        </w:tc>
      </w:tr>
    </w:tbl>
    <w:p w14:paraId="327F81F1">
      <w:pPr>
        <w:rPr>
          <w:rStyle w:val="29"/>
          <w:rFonts w:ascii="黑体" w:eastAsia="黑体"/>
          <w:b/>
          <w:color w:val="auto"/>
          <w:sz w:val="28"/>
          <w:szCs w:val="28"/>
          <w:highlight w:val="none"/>
        </w:rPr>
      </w:pPr>
    </w:p>
    <w:p w14:paraId="700C91D9">
      <w:pPr>
        <w:jc w:val="center"/>
        <w:rPr>
          <w:rStyle w:val="29"/>
          <w:rFonts w:hint="eastAsia" w:ascii="黑体" w:eastAsia="黑体"/>
          <w:b/>
          <w:color w:val="auto"/>
          <w:sz w:val="28"/>
          <w:szCs w:val="28"/>
          <w:highlight w:val="none"/>
        </w:rPr>
      </w:pPr>
      <w:r>
        <w:rPr>
          <w:rFonts w:hint="eastAsia" w:ascii="黑体" w:hAnsi="黑体" w:eastAsia="黑体"/>
          <w:b/>
          <w:bCs/>
          <w:color w:val="auto"/>
          <w:sz w:val="28"/>
          <w:szCs w:val="28"/>
          <w:highlight w:val="none"/>
        </w:rPr>
        <w:br w:type="page"/>
      </w:r>
      <w:bookmarkStart w:id="20" w:name="_Toc15549"/>
      <w:bookmarkStart w:id="21" w:name="_Toc4481"/>
      <w:bookmarkStart w:id="22" w:name="_Toc187939530"/>
      <w:bookmarkStart w:id="23" w:name="_Toc18111"/>
      <w:bookmarkStart w:id="24" w:name="_Toc9918"/>
      <w:bookmarkStart w:id="25" w:name="_Toc432109648"/>
      <w:r>
        <w:rPr>
          <w:rStyle w:val="29"/>
          <w:rFonts w:hint="eastAsia" w:ascii="黑体" w:eastAsia="黑体"/>
          <w:b/>
          <w:color w:val="auto"/>
          <w:sz w:val="28"/>
          <w:szCs w:val="28"/>
          <w:highlight w:val="none"/>
        </w:rPr>
        <w:t>磋商须知正文</w:t>
      </w:r>
      <w:bookmarkEnd w:id="20"/>
      <w:bookmarkEnd w:id="21"/>
      <w:bookmarkEnd w:id="22"/>
      <w:bookmarkEnd w:id="23"/>
      <w:bookmarkEnd w:id="24"/>
      <w:bookmarkEnd w:id="25"/>
    </w:p>
    <w:p w14:paraId="0C90EEF5">
      <w:pPr>
        <w:adjustRightInd w:val="0"/>
        <w:snapToGrid w:val="0"/>
        <w:spacing w:line="360" w:lineRule="auto"/>
        <w:jc w:val="center"/>
        <w:outlineLvl w:val="2"/>
        <w:rPr>
          <w:rFonts w:ascii="黑体" w:hAnsi="黑体" w:eastAsia="黑体"/>
          <w:b/>
          <w:bCs/>
          <w:color w:val="auto"/>
          <w:sz w:val="28"/>
          <w:szCs w:val="28"/>
          <w:highlight w:val="none"/>
        </w:rPr>
      </w:pPr>
      <w:r>
        <w:rPr>
          <w:rFonts w:hint="eastAsia" w:ascii="黑体" w:hAnsi="黑体" w:eastAsia="黑体"/>
          <w:b/>
          <w:bCs/>
          <w:color w:val="auto"/>
          <w:sz w:val="28"/>
          <w:szCs w:val="28"/>
          <w:highlight w:val="none"/>
        </w:rPr>
        <w:t>一、说明</w:t>
      </w:r>
    </w:p>
    <w:p w14:paraId="3F95147E">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1.适用范围</w:t>
      </w:r>
    </w:p>
    <w:p w14:paraId="470E9B0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 本磋商文件仅适用于磋商须知前附表(以下简称</w:t>
      </w:r>
      <w:r>
        <w:rPr>
          <w:rFonts w:hint="eastAsia" w:ascii="宋体" w:hAnsi="宋体"/>
          <w:b/>
          <w:color w:val="auto"/>
          <w:szCs w:val="21"/>
          <w:highlight w:val="none"/>
        </w:rPr>
        <w:t>磋商须知前附表)</w:t>
      </w:r>
      <w:r>
        <w:rPr>
          <w:rFonts w:hint="eastAsia" w:ascii="宋体" w:hAnsi="宋体"/>
          <w:color w:val="auto"/>
          <w:szCs w:val="21"/>
          <w:highlight w:val="none"/>
        </w:rPr>
        <w:t>中所叙述的采购项目。</w:t>
      </w:r>
    </w:p>
    <w:p w14:paraId="7189B44F">
      <w:pPr>
        <w:pStyle w:val="35"/>
        <w:rPr>
          <w:color w:val="auto"/>
          <w:highlight w:val="none"/>
        </w:rPr>
      </w:pPr>
      <w:r>
        <w:rPr>
          <w:rFonts w:hint="eastAsia" w:ascii="宋体" w:hAnsi="宋体"/>
          <w:color w:val="auto"/>
          <w:highlight w:val="none"/>
        </w:rPr>
        <w:t>1.2</w:t>
      </w:r>
      <w:r>
        <w:rPr>
          <w:rFonts w:hint="eastAsia" w:ascii="宋体" w:hAnsi="宋体"/>
          <w:b/>
          <w:color w:val="auto"/>
          <w:highlight w:val="none"/>
        </w:rPr>
        <w:t>【磋商须知前附表】</w:t>
      </w:r>
      <w:r>
        <w:rPr>
          <w:rFonts w:hint="eastAsia" w:ascii="宋体" w:hAnsi="宋体"/>
          <w:color w:val="auto"/>
          <w:highlight w:val="none"/>
        </w:rPr>
        <w:t>规定采购项目或者采购包属于“预留采购份额”的，供应商应当符合本章第3</w:t>
      </w:r>
      <w:r>
        <w:rPr>
          <w:rFonts w:ascii="宋体" w:hAnsi="宋体"/>
          <w:color w:val="auto"/>
          <w:highlight w:val="none"/>
        </w:rPr>
        <w:t>8</w:t>
      </w:r>
      <w:r>
        <w:rPr>
          <w:rFonts w:hint="eastAsia" w:ascii="宋体" w:hAnsi="宋体"/>
          <w:color w:val="auto"/>
          <w:highlight w:val="none"/>
        </w:rPr>
        <w:t>.1款规定，否则，</w:t>
      </w:r>
      <w:r>
        <w:rPr>
          <w:rFonts w:hint="eastAsia" w:ascii="宋体" w:hAnsi="宋体"/>
          <w:b/>
          <w:bCs/>
          <w:color w:val="auto"/>
          <w:kern w:val="0"/>
          <w:highlight w:val="none"/>
        </w:rPr>
        <w:t>不能参与本项目的磋商</w:t>
      </w:r>
      <w:r>
        <w:rPr>
          <w:rFonts w:hint="eastAsia" w:ascii="宋体" w:hAnsi="宋体"/>
          <w:color w:val="auto"/>
          <w:highlight w:val="none"/>
        </w:rPr>
        <w:t>。</w:t>
      </w:r>
    </w:p>
    <w:p w14:paraId="06629ADC">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2.定义</w:t>
      </w:r>
    </w:p>
    <w:p w14:paraId="41C914FE">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2.1采购项目联系人姓名和电话见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426A5876">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2.2采购人名称、地址、电话、联系人见</w:t>
      </w:r>
      <w:r>
        <w:rPr>
          <w:rFonts w:hint="eastAsia" w:ascii="宋体" w:hAnsi="宋体"/>
          <w:b/>
          <w:color w:val="auto"/>
          <w:szCs w:val="21"/>
          <w:highlight w:val="none"/>
        </w:rPr>
        <w:t>【磋商须知前附表】</w:t>
      </w:r>
      <w:r>
        <w:rPr>
          <w:rFonts w:hint="eastAsia" w:ascii="宋体" w:hAnsi="宋体"/>
          <w:color w:val="auto"/>
          <w:szCs w:val="21"/>
          <w:highlight w:val="none"/>
        </w:rPr>
        <w:t>。</w:t>
      </w:r>
    </w:p>
    <w:p w14:paraId="6B018BFE">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2.3采购代理机构名称、地址、电话、联系人见【</w:t>
      </w:r>
      <w:r>
        <w:rPr>
          <w:rFonts w:hint="eastAsia" w:ascii="宋体" w:hAnsi="宋体"/>
          <w:b/>
          <w:bCs/>
          <w:color w:val="auto"/>
          <w:szCs w:val="21"/>
          <w:highlight w:val="none"/>
        </w:rPr>
        <w:t>磋商须知前附表</w:t>
      </w:r>
      <w:r>
        <w:rPr>
          <w:rFonts w:hint="eastAsia" w:ascii="宋体" w:hAnsi="宋体"/>
          <w:color w:val="auto"/>
          <w:szCs w:val="21"/>
          <w:highlight w:val="none"/>
        </w:rPr>
        <w:t>】。</w:t>
      </w:r>
    </w:p>
    <w:p w14:paraId="3F24F579">
      <w:pPr>
        <w:adjustRightInd w:val="0"/>
        <w:snapToGrid w:val="0"/>
        <w:spacing w:line="360" w:lineRule="auto"/>
        <w:ind w:firstLine="420" w:firstLineChars="200"/>
        <w:rPr>
          <w:rFonts w:ascii="宋体" w:hAnsi="宋体" w:cs="宋体"/>
          <w:bCs/>
          <w:color w:val="auto"/>
          <w:kern w:val="36"/>
          <w:szCs w:val="21"/>
          <w:highlight w:val="none"/>
        </w:rPr>
      </w:pPr>
      <w:r>
        <w:rPr>
          <w:rFonts w:hint="eastAsia" w:ascii="宋体" w:hAnsi="宋体"/>
          <w:color w:val="auto"/>
          <w:szCs w:val="21"/>
          <w:highlight w:val="none"/>
        </w:rPr>
        <w:t>2.4供应商是指响应磋商文件要求、参加竞争性磋商采购的法人、其他组织或者自然人。</w:t>
      </w:r>
    </w:p>
    <w:p w14:paraId="53144FAB">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3.供应商的资格要求</w:t>
      </w:r>
    </w:p>
    <w:p w14:paraId="1270C078">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3.1供应商应当符合</w:t>
      </w:r>
      <w:r>
        <w:rPr>
          <w:rFonts w:hint="eastAsia" w:ascii="宋体" w:hAnsi="宋体"/>
          <w:b/>
          <w:color w:val="auto"/>
          <w:szCs w:val="21"/>
          <w:highlight w:val="none"/>
        </w:rPr>
        <w:t>【磋商须知前附表】</w:t>
      </w:r>
      <w:r>
        <w:rPr>
          <w:rFonts w:hint="eastAsia" w:ascii="宋体" w:hAnsi="宋体"/>
          <w:color w:val="auto"/>
          <w:szCs w:val="21"/>
          <w:highlight w:val="none"/>
        </w:rPr>
        <w:t>规定的供应商资格条件。</w:t>
      </w:r>
    </w:p>
    <w:p w14:paraId="13005F78">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3.2</w:t>
      </w:r>
      <w:r>
        <w:rPr>
          <w:rFonts w:hint="eastAsia" w:ascii="宋体" w:hAnsi="宋体"/>
          <w:b/>
          <w:color w:val="auto"/>
          <w:szCs w:val="21"/>
          <w:highlight w:val="none"/>
        </w:rPr>
        <w:t>【磋商须知前附表】</w:t>
      </w:r>
      <w:r>
        <w:rPr>
          <w:rFonts w:hint="eastAsia" w:ascii="宋体" w:hAnsi="宋体"/>
          <w:color w:val="auto"/>
          <w:szCs w:val="21"/>
          <w:highlight w:val="none"/>
        </w:rPr>
        <w:t>规定接受联合体形式的，供应商除应符合本章第3.1</w:t>
      </w:r>
      <w:r>
        <w:rPr>
          <w:rFonts w:hint="eastAsia" w:ascii="宋体" w:hAnsi="宋体" w:cs="宋体"/>
          <w:color w:val="auto"/>
          <w:kern w:val="0"/>
          <w:szCs w:val="21"/>
          <w:highlight w:val="none"/>
          <w:lang w:val="zh-CN"/>
        </w:rPr>
        <w:t>款</w:t>
      </w:r>
      <w:r>
        <w:rPr>
          <w:rFonts w:hint="eastAsia" w:ascii="宋体" w:hAnsi="宋体"/>
          <w:color w:val="auto"/>
          <w:szCs w:val="21"/>
          <w:highlight w:val="none"/>
        </w:rPr>
        <w:t xml:space="preserve">规定外，还应遵守以下规定： </w:t>
      </w:r>
    </w:p>
    <w:p w14:paraId="73FFC552">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（l）联合体中有同类资质的供应商按照联合体分工承担相同工作的，应当按照资质等级较低的供应商确定资质等级。</w:t>
      </w:r>
    </w:p>
    <w:p w14:paraId="1306406C">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（2）联合体各方应按磋商文件提供的格式签订联合体协议书，明确联合体牵头人和各方的权利义务、合同工作量比例；</w:t>
      </w:r>
    </w:p>
    <w:p w14:paraId="39B44FE1">
      <w:pPr>
        <w:adjustRightInd w:val="0"/>
        <w:snapToGrid w:val="0"/>
        <w:spacing w:line="360" w:lineRule="auto"/>
        <w:ind w:firstLine="420" w:firstLineChars="200"/>
        <w:rPr>
          <w:rFonts w:ascii="宋体" w:hAnsi="宋体"/>
          <w:strike/>
          <w:color w:val="auto"/>
          <w:szCs w:val="21"/>
          <w:highlight w:val="none"/>
        </w:rPr>
      </w:pPr>
      <w:r>
        <w:rPr>
          <w:rFonts w:hint="eastAsia" w:ascii="宋体" w:hAnsi="宋体"/>
          <w:color w:val="auto"/>
          <w:szCs w:val="21"/>
          <w:highlight w:val="none"/>
        </w:rPr>
        <w:t>（3）联合体各方签订联合体协议书后，</w:t>
      </w:r>
      <w:r>
        <w:rPr>
          <w:rFonts w:hint="eastAsia" w:ascii="宋体" w:hAnsi="宋体" w:cs="宋体"/>
          <w:color w:val="auto"/>
          <w:kern w:val="0"/>
          <w:szCs w:val="21"/>
          <w:highlight w:val="none"/>
          <w:lang w:val="zh-CN"/>
        </w:rPr>
        <w:t>不得再单独参加或者与其他供应商组成新的联合体参加同一合同项下的采购活动。</w:t>
      </w:r>
    </w:p>
    <w:p w14:paraId="5BE45AD3">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 xml:space="preserve">4.参与磋商的费用 </w:t>
      </w:r>
    </w:p>
    <w:p w14:paraId="218E6CA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4.1 无论磋商的结果如何，供应商应自行承担所有与竞争性磋商采购活动有关的全部费用。</w:t>
      </w:r>
    </w:p>
    <w:p w14:paraId="1D1AFDE1">
      <w:pPr>
        <w:adjustRightInd w:val="0"/>
        <w:snapToGrid w:val="0"/>
        <w:spacing w:line="360" w:lineRule="auto"/>
        <w:rPr>
          <w:rFonts w:ascii="宋体" w:hAnsi="宋体"/>
          <w:b/>
          <w:color w:val="auto"/>
          <w:szCs w:val="21"/>
          <w:highlight w:val="none"/>
        </w:rPr>
      </w:pPr>
      <w:r>
        <w:rPr>
          <w:rFonts w:hint="eastAsia" w:hAnsi="宋体"/>
          <w:b/>
          <w:color w:val="auto"/>
          <w:highlight w:val="none"/>
        </w:rPr>
        <w:t>5</w:t>
      </w:r>
      <w:r>
        <w:rPr>
          <w:rFonts w:hint="eastAsia" w:ascii="宋体" w:hAnsi="宋体"/>
          <w:b/>
          <w:color w:val="auto"/>
          <w:szCs w:val="21"/>
          <w:highlight w:val="none"/>
        </w:rPr>
        <w:t>.现场勘察</w:t>
      </w:r>
    </w:p>
    <w:p w14:paraId="68894B03">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5.1供应商应按</w:t>
      </w:r>
      <w:r>
        <w:rPr>
          <w:rFonts w:hint="eastAsia" w:hAnsi="宋体"/>
          <w:b/>
          <w:color w:val="auto"/>
          <w:highlight w:val="none"/>
        </w:rPr>
        <w:t>【磋商须知前附表】</w:t>
      </w:r>
      <w:r>
        <w:rPr>
          <w:rFonts w:hint="eastAsia" w:hAnsi="宋体"/>
          <w:color w:val="auto"/>
          <w:highlight w:val="none"/>
        </w:rPr>
        <w:t>中规定</w:t>
      </w:r>
      <w:r>
        <w:rPr>
          <w:rFonts w:hint="eastAsia" w:ascii="宋体" w:hAnsi="宋体"/>
          <w:color w:val="auto"/>
          <w:szCs w:val="21"/>
          <w:highlight w:val="none"/>
        </w:rPr>
        <w:t>对采购项目现场和周围环境的现场考察。</w:t>
      </w:r>
    </w:p>
    <w:p w14:paraId="3C8233A1">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5.2勘察现场的费用由供应商自己承担，勘察期间所发生的人身伤害及财产损失由供应商自己负责。</w:t>
      </w:r>
    </w:p>
    <w:p w14:paraId="2E1DA9F1">
      <w:pPr>
        <w:adjustRightInd w:val="0"/>
        <w:snapToGrid w:val="0"/>
        <w:spacing w:line="360" w:lineRule="auto"/>
        <w:ind w:firstLine="420" w:firstLineChars="200"/>
        <w:jc w:val="left"/>
        <w:rPr>
          <w:rFonts w:ascii="宋体" w:hAnsi="宋体"/>
          <w:b/>
          <w:color w:val="auto"/>
          <w:szCs w:val="21"/>
          <w:highlight w:val="none"/>
        </w:rPr>
      </w:pPr>
      <w:r>
        <w:rPr>
          <w:rFonts w:hint="eastAsia" w:ascii="宋体" w:hAnsi="宋体"/>
          <w:color w:val="auto"/>
          <w:szCs w:val="21"/>
          <w:highlight w:val="none"/>
        </w:rPr>
        <w:t>5.3采购人不对供应商据此而做出的推论、理解和结论负责。一旦成交，供应商不得以任何借口，提出额外补偿，或延长合同期限的要求。</w:t>
      </w:r>
    </w:p>
    <w:p w14:paraId="607F4BCE">
      <w:pPr>
        <w:adjustRightInd w:val="0"/>
        <w:snapToGrid w:val="0"/>
        <w:spacing w:line="360" w:lineRule="auto"/>
        <w:jc w:val="center"/>
        <w:outlineLvl w:val="2"/>
        <w:rPr>
          <w:rFonts w:ascii="黑体" w:hAnsi="黑体" w:eastAsia="黑体"/>
          <w:b/>
          <w:bCs/>
          <w:color w:val="auto"/>
          <w:sz w:val="28"/>
          <w:szCs w:val="28"/>
          <w:highlight w:val="none"/>
        </w:rPr>
      </w:pPr>
      <w:bookmarkStart w:id="26" w:name="_Toc28274"/>
      <w:r>
        <w:rPr>
          <w:rFonts w:hint="eastAsia" w:ascii="黑体" w:hAnsi="黑体" w:eastAsia="黑体"/>
          <w:b/>
          <w:bCs/>
          <w:color w:val="auto"/>
          <w:sz w:val="28"/>
          <w:szCs w:val="28"/>
          <w:highlight w:val="none"/>
        </w:rPr>
        <w:t>二、磋商文件</w:t>
      </w:r>
      <w:bookmarkEnd w:id="26"/>
    </w:p>
    <w:p w14:paraId="27AE605B">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6．磋商文件的组成</w:t>
      </w:r>
    </w:p>
    <w:p w14:paraId="41969077">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6.1 磋商文件由下列文件组成：</w:t>
      </w:r>
    </w:p>
    <w:p w14:paraId="4B89DD47">
      <w:pPr>
        <w:pStyle w:val="12"/>
        <w:adjustRightInd w:val="0"/>
        <w:snapToGrid w:val="0"/>
        <w:spacing w:line="360" w:lineRule="auto"/>
        <w:ind w:firstLine="420" w:firstLineChars="200"/>
        <w:rPr>
          <w:rFonts w:hint="eastAsia" w:hAnsi="宋体" w:eastAsia="宋体"/>
          <w:color w:val="auto"/>
          <w:highlight w:val="none"/>
          <w:lang w:val="en-US" w:eastAsia="zh-CN"/>
        </w:rPr>
      </w:pPr>
      <w:r>
        <w:rPr>
          <w:rFonts w:hint="eastAsia" w:hAnsi="宋体"/>
          <w:color w:val="auto"/>
          <w:highlight w:val="none"/>
        </w:rPr>
        <w:t>第一章 磋商邀请</w:t>
      </w:r>
      <w:r>
        <w:rPr>
          <w:rFonts w:hint="eastAsia" w:hAnsi="宋体"/>
          <w:color w:val="auto"/>
          <w:highlight w:val="none"/>
          <w:lang w:val="en-US" w:eastAsia="zh-CN"/>
        </w:rPr>
        <w:t>公告</w:t>
      </w:r>
    </w:p>
    <w:p w14:paraId="527E358E">
      <w:pPr>
        <w:pStyle w:val="12"/>
        <w:adjustRightInd w:val="0"/>
        <w:snapToGrid w:val="0"/>
        <w:spacing w:line="360" w:lineRule="auto"/>
        <w:ind w:firstLine="420" w:firstLineChars="200"/>
        <w:rPr>
          <w:rFonts w:hint="eastAsia" w:hAnsi="宋体" w:eastAsia="宋体"/>
          <w:color w:val="auto"/>
          <w:highlight w:val="none"/>
          <w:lang w:eastAsia="zh-CN"/>
        </w:rPr>
      </w:pPr>
      <w:r>
        <w:rPr>
          <w:rFonts w:hint="eastAsia" w:hAnsi="宋体"/>
          <w:color w:val="auto"/>
          <w:highlight w:val="none"/>
        </w:rPr>
        <w:t xml:space="preserve">第二章 </w:t>
      </w:r>
      <w:r>
        <w:rPr>
          <w:rFonts w:hint="eastAsia" w:hAnsi="宋体"/>
          <w:color w:val="auto"/>
          <w:highlight w:val="none"/>
          <w:lang w:eastAsia="zh-CN"/>
        </w:rPr>
        <w:t>磋商须知</w:t>
      </w:r>
    </w:p>
    <w:p w14:paraId="182A1EC5">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第三章 采购需求</w:t>
      </w:r>
    </w:p>
    <w:p w14:paraId="20FB69F9">
      <w:pPr>
        <w:pStyle w:val="12"/>
        <w:adjustRightInd w:val="0"/>
        <w:snapToGrid w:val="0"/>
        <w:spacing w:line="360" w:lineRule="auto"/>
        <w:ind w:firstLine="420" w:firstLineChars="200"/>
        <w:rPr>
          <w:rFonts w:hint="default" w:hAnsi="宋体" w:eastAsia="宋体"/>
          <w:color w:val="auto"/>
          <w:highlight w:val="none"/>
          <w:lang w:val="en-US" w:eastAsia="zh-CN"/>
        </w:rPr>
      </w:pPr>
      <w:r>
        <w:rPr>
          <w:rFonts w:hint="eastAsia" w:hAnsi="宋体"/>
          <w:color w:val="auto"/>
          <w:highlight w:val="none"/>
        </w:rPr>
        <w:t xml:space="preserve">第四章 </w:t>
      </w:r>
      <w:r>
        <w:rPr>
          <w:rFonts w:hint="eastAsia" w:hAnsi="宋体"/>
          <w:color w:val="auto"/>
          <w:highlight w:val="none"/>
          <w:lang w:val="en-US" w:eastAsia="zh-CN"/>
        </w:rPr>
        <w:t>政府采购合同格式条款</w:t>
      </w:r>
    </w:p>
    <w:p w14:paraId="374D15FF">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第五章 响应文件组成</w:t>
      </w:r>
    </w:p>
    <w:p w14:paraId="3955B530">
      <w:pPr>
        <w:pStyle w:val="12"/>
        <w:adjustRightInd w:val="0"/>
        <w:snapToGrid w:val="0"/>
        <w:spacing w:line="360" w:lineRule="auto"/>
        <w:ind w:firstLine="420" w:firstLineChars="200"/>
        <w:rPr>
          <w:rFonts w:hAnsi="宋体" w:cs="宋体"/>
          <w:color w:val="auto"/>
          <w:kern w:val="0"/>
          <w:highlight w:val="none"/>
        </w:rPr>
      </w:pPr>
      <w:r>
        <w:rPr>
          <w:rFonts w:hint="eastAsia"/>
          <w:color w:val="auto"/>
          <w:highlight w:val="none"/>
        </w:rPr>
        <w:t>6.2</w:t>
      </w:r>
      <w:r>
        <w:rPr>
          <w:rFonts w:hint="eastAsia" w:hAnsi="宋体" w:cs="宋体"/>
          <w:color w:val="auto"/>
          <w:kern w:val="0"/>
          <w:highlight w:val="none"/>
        </w:rPr>
        <w:t>采购人、采购代理机构在提交首次响应文件截止之日前对已发出的磋商文件进行的澄清或者修改，构成磋商文件的组成部分。</w:t>
      </w:r>
    </w:p>
    <w:p w14:paraId="54AF5FB0">
      <w:pPr>
        <w:adjustRightInd w:val="0"/>
        <w:snapToGrid w:val="0"/>
        <w:spacing w:line="360" w:lineRule="auto"/>
        <w:ind w:firstLine="420" w:firstLineChars="200"/>
        <w:rPr>
          <w:rFonts w:ascii="宋体" w:hAnsi="Courier New" w:cs="Courier New"/>
          <w:color w:val="auto"/>
          <w:szCs w:val="21"/>
          <w:highlight w:val="none"/>
        </w:rPr>
      </w:pPr>
      <w:r>
        <w:rPr>
          <w:rFonts w:hint="eastAsia" w:ascii="宋体" w:hAnsi="宋体" w:cs="宋体"/>
          <w:color w:val="auto"/>
          <w:kern w:val="0"/>
          <w:szCs w:val="21"/>
          <w:highlight w:val="none"/>
        </w:rPr>
        <w:t>6.3磋商文件中，磋商小组根据与供应商磋商情况可能实质性变动的内容见</w:t>
      </w:r>
      <w:r>
        <w:rPr>
          <w:rFonts w:hint="eastAsia" w:ascii="宋体" w:hAnsi="宋体" w:cs="Courier New"/>
          <w:b/>
          <w:color w:val="auto"/>
          <w:szCs w:val="21"/>
          <w:highlight w:val="none"/>
        </w:rPr>
        <w:t>【磋商须知前附表】</w:t>
      </w:r>
      <w:r>
        <w:rPr>
          <w:rFonts w:hint="eastAsia" w:ascii="宋体" w:hAnsi="宋体" w:cs="宋体"/>
          <w:color w:val="auto"/>
          <w:kern w:val="0"/>
          <w:szCs w:val="21"/>
          <w:highlight w:val="none"/>
        </w:rPr>
        <w:t>。对磋商文件作出的实质性变动是磋商文件的有效组成部分。</w:t>
      </w:r>
    </w:p>
    <w:p w14:paraId="688A23FE">
      <w:pPr>
        <w:adjustRightInd w:val="0"/>
        <w:snapToGrid w:val="0"/>
        <w:spacing w:line="360" w:lineRule="auto"/>
        <w:ind w:firstLine="420" w:firstLineChars="200"/>
        <w:rPr>
          <w:rFonts w:ascii="宋体" w:hAnsi="宋体"/>
          <w:color w:val="auto"/>
          <w:szCs w:val="21"/>
          <w:highlight w:val="none"/>
        </w:rPr>
      </w:pPr>
      <w:r>
        <w:rPr>
          <w:rFonts w:hint="eastAsia" w:ascii="宋体" w:hAnsi="宋体" w:cs="宋体"/>
          <w:color w:val="auto"/>
          <w:kern w:val="0"/>
          <w:szCs w:val="21"/>
          <w:highlight w:val="none"/>
        </w:rPr>
        <w:t>6</w:t>
      </w:r>
      <w:r>
        <w:rPr>
          <w:rFonts w:hint="eastAsia" w:ascii="宋体" w:hAnsi="宋体"/>
          <w:color w:val="auto"/>
          <w:highlight w:val="none"/>
        </w:rPr>
        <w:t>.</w:t>
      </w:r>
      <w:r>
        <w:rPr>
          <w:rFonts w:hint="eastAsia" w:ascii="宋体" w:hAnsi="宋体"/>
          <w:color w:val="auto"/>
          <w:highlight w:val="none"/>
          <w:lang w:val="en-US" w:eastAsia="zh-CN"/>
        </w:rPr>
        <w:t>4</w:t>
      </w:r>
      <w:r>
        <w:rPr>
          <w:rFonts w:hint="eastAsia" w:ascii="宋体" w:hAnsi="宋体"/>
          <w:color w:val="auto"/>
          <w:szCs w:val="21"/>
          <w:highlight w:val="none"/>
        </w:rPr>
        <w:t>供应商应仔细阅读</w:t>
      </w:r>
      <w:r>
        <w:rPr>
          <w:rFonts w:hint="eastAsia" w:ascii="宋体" w:hAnsi="宋体"/>
          <w:bCs/>
          <w:color w:val="auto"/>
          <w:szCs w:val="21"/>
          <w:highlight w:val="none"/>
        </w:rPr>
        <w:t>磋商</w:t>
      </w:r>
      <w:r>
        <w:rPr>
          <w:rFonts w:hint="eastAsia" w:ascii="宋体" w:hAnsi="宋体"/>
          <w:color w:val="auto"/>
          <w:szCs w:val="21"/>
          <w:highlight w:val="none"/>
        </w:rPr>
        <w:t>文件的全部内容，按照</w:t>
      </w:r>
      <w:r>
        <w:rPr>
          <w:rFonts w:hint="eastAsia" w:ascii="宋体" w:hAnsi="宋体"/>
          <w:bCs/>
          <w:color w:val="auto"/>
          <w:szCs w:val="21"/>
          <w:highlight w:val="none"/>
        </w:rPr>
        <w:t>磋商</w:t>
      </w:r>
      <w:r>
        <w:rPr>
          <w:rFonts w:hint="eastAsia" w:ascii="宋体" w:hAnsi="宋体"/>
          <w:color w:val="auto"/>
          <w:szCs w:val="21"/>
          <w:highlight w:val="none"/>
        </w:rPr>
        <w:t>文件要求编制</w:t>
      </w:r>
      <w:r>
        <w:rPr>
          <w:rFonts w:hint="eastAsia"/>
          <w:color w:val="auto"/>
          <w:szCs w:val="21"/>
          <w:highlight w:val="none"/>
        </w:rPr>
        <w:t>响应</w:t>
      </w:r>
      <w:r>
        <w:rPr>
          <w:rFonts w:hint="eastAsia" w:ascii="宋体" w:hAnsi="宋体"/>
          <w:color w:val="auto"/>
          <w:szCs w:val="21"/>
          <w:highlight w:val="none"/>
        </w:rPr>
        <w:t>文件。任何对</w:t>
      </w:r>
      <w:r>
        <w:rPr>
          <w:rFonts w:hint="eastAsia" w:ascii="宋体" w:hAnsi="宋体"/>
          <w:bCs/>
          <w:color w:val="auto"/>
          <w:szCs w:val="21"/>
          <w:highlight w:val="none"/>
        </w:rPr>
        <w:t>磋商</w:t>
      </w:r>
      <w:r>
        <w:rPr>
          <w:rFonts w:hint="eastAsia" w:ascii="宋体" w:hAnsi="宋体"/>
          <w:color w:val="auto"/>
          <w:szCs w:val="21"/>
          <w:highlight w:val="none"/>
        </w:rPr>
        <w:t>文件的忽略或误解不能作为</w:t>
      </w:r>
      <w:r>
        <w:rPr>
          <w:rFonts w:hint="eastAsia"/>
          <w:color w:val="auto"/>
          <w:szCs w:val="21"/>
          <w:highlight w:val="none"/>
        </w:rPr>
        <w:t>响应</w:t>
      </w:r>
      <w:r>
        <w:rPr>
          <w:rFonts w:hint="eastAsia" w:ascii="宋体" w:hAnsi="宋体"/>
          <w:color w:val="auto"/>
          <w:szCs w:val="21"/>
          <w:highlight w:val="none"/>
        </w:rPr>
        <w:t>文件存在缺陷或瑕疵的理由，其风险由供应商承担。</w:t>
      </w:r>
    </w:p>
    <w:p w14:paraId="28053994">
      <w:pPr>
        <w:adjustRightInd w:val="0"/>
        <w:snapToGrid w:val="0"/>
        <w:spacing w:line="360" w:lineRule="auto"/>
        <w:rPr>
          <w:rFonts w:ascii="宋体" w:hAnsi="宋体"/>
          <w:b/>
          <w:bCs/>
          <w:color w:val="auto"/>
          <w:szCs w:val="21"/>
          <w:highlight w:val="none"/>
        </w:rPr>
      </w:pPr>
      <w:r>
        <w:rPr>
          <w:rFonts w:hint="eastAsia" w:ascii="宋体" w:hAnsi="宋体"/>
          <w:b/>
          <w:color w:val="auto"/>
          <w:szCs w:val="21"/>
          <w:highlight w:val="none"/>
        </w:rPr>
        <w:t>7</w:t>
      </w:r>
      <w:r>
        <w:rPr>
          <w:rFonts w:hint="eastAsia" w:ascii="宋体" w:hAnsi="宋体"/>
          <w:b/>
          <w:bCs/>
          <w:color w:val="auto"/>
          <w:szCs w:val="21"/>
          <w:highlight w:val="none"/>
        </w:rPr>
        <w:t>.磋商文件的澄清</w:t>
      </w:r>
      <w:r>
        <w:rPr>
          <w:rFonts w:hint="eastAsia" w:ascii="宋体" w:hAnsi="宋体"/>
          <w:b/>
          <w:color w:val="auto"/>
          <w:kern w:val="0"/>
          <w:szCs w:val="21"/>
          <w:highlight w:val="none"/>
          <w:lang w:val="zh-CN"/>
        </w:rPr>
        <w:t>或者</w:t>
      </w:r>
      <w:r>
        <w:rPr>
          <w:rFonts w:hint="eastAsia" w:ascii="宋体" w:hAnsi="宋体"/>
          <w:b/>
          <w:bCs/>
          <w:color w:val="auto"/>
          <w:szCs w:val="21"/>
          <w:highlight w:val="none"/>
        </w:rPr>
        <w:t>修改</w:t>
      </w:r>
    </w:p>
    <w:p w14:paraId="00D380D7">
      <w:pPr>
        <w:adjustRightInd w:val="0"/>
        <w:snapToGrid w:val="0"/>
        <w:spacing w:line="360" w:lineRule="auto"/>
        <w:ind w:right="-105" w:rightChars="-50" w:firstLine="420" w:firstLineChars="200"/>
        <w:rPr>
          <w:rFonts w:ascii="宋体" w:hAnsi="宋体" w:cs="宋体"/>
          <w:color w:val="auto"/>
          <w:kern w:val="0"/>
          <w:szCs w:val="21"/>
          <w:highlight w:val="none"/>
        </w:rPr>
      </w:pPr>
      <w:r>
        <w:rPr>
          <w:rFonts w:hint="eastAsia" w:ascii="宋体" w:hAnsi="宋体"/>
          <w:color w:val="auto"/>
          <w:szCs w:val="21"/>
          <w:highlight w:val="none"/>
        </w:rPr>
        <w:t>7.1在</w:t>
      </w:r>
      <w:r>
        <w:rPr>
          <w:rFonts w:hint="eastAsia" w:ascii="宋体" w:hAnsi="宋体" w:cs="宋体"/>
          <w:color w:val="auto"/>
          <w:kern w:val="0"/>
          <w:szCs w:val="21"/>
          <w:highlight w:val="none"/>
        </w:rPr>
        <w:t xml:space="preserve">提交首次响应文件截止之日前，采购人、采购代理机构可以对已发出的磋商文件进行必要的澄清或者修改。 </w:t>
      </w:r>
    </w:p>
    <w:p w14:paraId="107F96C8">
      <w:pPr>
        <w:adjustRightInd w:val="0"/>
        <w:snapToGrid w:val="0"/>
        <w:spacing w:line="360" w:lineRule="auto"/>
        <w:ind w:right="-105" w:rightChars="-50" w:firstLine="420" w:firstLineChars="200"/>
        <w:rPr>
          <w:rFonts w:ascii="宋体" w:hAnsi="宋体" w:cs="宋体"/>
          <w:color w:val="auto"/>
          <w:kern w:val="0"/>
          <w:szCs w:val="21"/>
          <w:highlight w:val="none"/>
        </w:rPr>
      </w:pPr>
      <w:r>
        <w:rPr>
          <w:rFonts w:hint="eastAsia" w:ascii="宋体" w:hAnsi="宋体"/>
          <w:color w:val="auto"/>
          <w:szCs w:val="21"/>
          <w:highlight w:val="none"/>
        </w:rPr>
        <w:t>7.2</w:t>
      </w:r>
      <w:r>
        <w:rPr>
          <w:rFonts w:hint="eastAsia" w:ascii="宋体" w:hAnsi="宋体" w:cs="宋体"/>
          <w:color w:val="auto"/>
          <w:kern w:val="0"/>
          <w:szCs w:val="21"/>
          <w:highlight w:val="none"/>
        </w:rPr>
        <w:t>澄清或者修改的内容可能影响响应文件编制的，采购人、采购代理机构应当在提交首次响应文件截止之日</w:t>
      </w: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个工作日前，以书面形式通知所有接收磋商文件的供应商，不足</w:t>
      </w: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个工作日的，顺延供应商提交首次响应文件截止时间。</w:t>
      </w:r>
    </w:p>
    <w:p w14:paraId="4F3B111E">
      <w:pPr>
        <w:adjustRightInd w:val="0"/>
        <w:snapToGrid w:val="0"/>
        <w:spacing w:line="360" w:lineRule="auto"/>
        <w:jc w:val="center"/>
        <w:outlineLvl w:val="2"/>
        <w:rPr>
          <w:rFonts w:ascii="黑体" w:hAnsi="黑体" w:eastAsia="黑体"/>
          <w:b/>
          <w:bCs/>
          <w:color w:val="auto"/>
          <w:sz w:val="28"/>
          <w:szCs w:val="28"/>
          <w:highlight w:val="none"/>
        </w:rPr>
      </w:pPr>
      <w:bookmarkStart w:id="27" w:name="_Toc28827"/>
      <w:r>
        <w:rPr>
          <w:rFonts w:hint="eastAsia" w:ascii="黑体" w:hAnsi="黑体" w:eastAsia="黑体"/>
          <w:b/>
          <w:bCs/>
          <w:color w:val="auto"/>
          <w:sz w:val="28"/>
          <w:szCs w:val="28"/>
          <w:highlight w:val="none"/>
        </w:rPr>
        <w:t>三、响应文件</w:t>
      </w:r>
      <w:bookmarkEnd w:id="27"/>
    </w:p>
    <w:p w14:paraId="3195809B">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8.一般要求</w:t>
      </w:r>
    </w:p>
    <w:p w14:paraId="218282E9">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8.1 供应商应仔细阅读磋商文件的所有内容，按磋商文件的要求编制响应文件，并保证所提供的全部资料的真实性，以使其响应文件对磋商文件做出实质性的响应。</w:t>
      </w:r>
    </w:p>
    <w:p w14:paraId="288B93D0">
      <w:pPr>
        <w:adjustRightInd w:val="0"/>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 xml:space="preserve">8.2 </w:t>
      </w:r>
      <w:r>
        <w:rPr>
          <w:rFonts w:hint="eastAsia" w:ascii="宋体" w:hAnsi="宋体"/>
          <w:color w:val="auto"/>
          <w:szCs w:val="21"/>
          <w:highlight w:val="none"/>
        </w:rPr>
        <w:t>供应商提交的响应文件及供应商与采购人或采购代理机构、磋商小组就有关磋商的所有来往函电均使用中文。供应商可以提交其它语言的资料，但应附中文注释，在有差异时以中文为准。</w:t>
      </w:r>
    </w:p>
    <w:p w14:paraId="171A9BA2">
      <w:pPr>
        <w:pStyle w:val="12"/>
        <w:adjustRightInd w:val="0"/>
        <w:snapToGrid w:val="0"/>
        <w:spacing w:line="360" w:lineRule="auto"/>
        <w:ind w:firstLine="420" w:firstLineChars="200"/>
        <w:rPr>
          <w:rFonts w:hAnsi="宋体"/>
          <w:color w:val="auto"/>
          <w:highlight w:val="none"/>
        </w:rPr>
      </w:pPr>
      <w:r>
        <w:rPr>
          <w:rFonts w:hint="eastAsia" w:hAnsi="宋体"/>
          <w:bCs/>
          <w:color w:val="auto"/>
          <w:highlight w:val="none"/>
        </w:rPr>
        <w:t xml:space="preserve">8.3 </w:t>
      </w:r>
      <w:r>
        <w:rPr>
          <w:rFonts w:hint="eastAsia" w:hAnsi="宋体"/>
          <w:color w:val="auto"/>
          <w:highlight w:val="none"/>
        </w:rPr>
        <w:t>计量单位应使用我国法定计量单位，未列明时应默认为我国法定计量单位。</w:t>
      </w:r>
    </w:p>
    <w:p w14:paraId="164859F3">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8.4 响应文件应采用书面形式，电报、传真、电子邮件形式的响应文件概不接受。</w:t>
      </w:r>
    </w:p>
    <w:p w14:paraId="14D69E4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8.5 供应商应按磋商文件中提供的响应文件格式填写。</w:t>
      </w:r>
    </w:p>
    <w:p w14:paraId="478842DD">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9.</w:t>
      </w:r>
      <w:r>
        <w:rPr>
          <w:rFonts w:hint="eastAsia" w:ascii="宋体" w:hAnsi="宋体"/>
          <w:b/>
          <w:color w:val="auto"/>
          <w:szCs w:val="21"/>
          <w:highlight w:val="none"/>
        </w:rPr>
        <w:t>响应文件</w:t>
      </w:r>
      <w:r>
        <w:rPr>
          <w:rFonts w:hint="eastAsia" w:ascii="宋体" w:hAnsi="宋体"/>
          <w:b/>
          <w:bCs/>
          <w:color w:val="auto"/>
          <w:szCs w:val="21"/>
          <w:highlight w:val="none"/>
        </w:rPr>
        <w:t>的组成</w:t>
      </w:r>
    </w:p>
    <w:p w14:paraId="5E0882BB">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highlight w:val="none"/>
        </w:rPr>
        <w:t>9.1</w:t>
      </w:r>
      <w:r>
        <w:rPr>
          <w:rFonts w:hint="eastAsia" w:ascii="宋体" w:hAnsi="宋体"/>
          <w:bCs/>
          <w:color w:val="auto"/>
          <w:szCs w:val="21"/>
          <w:highlight w:val="none"/>
        </w:rPr>
        <w:t>响应</w:t>
      </w:r>
      <w:r>
        <w:rPr>
          <w:rFonts w:hint="eastAsia" w:hAnsi="宋体"/>
          <w:color w:val="auto"/>
          <w:highlight w:val="none"/>
        </w:rPr>
        <w:t>文件包括下列内容：</w:t>
      </w:r>
    </w:p>
    <w:p w14:paraId="3912A0D4">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rPr>
        <w:t>一、报价表及报价文件(格式)</w:t>
      </w:r>
    </w:p>
    <w:p w14:paraId="348BD0C4">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rPr>
        <w:t>二、</w:t>
      </w:r>
      <w:r>
        <w:rPr>
          <w:rFonts w:hint="eastAsia" w:ascii="宋体" w:hAnsi="宋体" w:cs="Times New Roman"/>
          <w:bCs/>
          <w:color w:val="auto"/>
          <w:szCs w:val="21"/>
          <w:highlight w:val="none"/>
          <w:lang w:val="en-US" w:eastAsia="zh-CN"/>
        </w:rPr>
        <w:t>供应商资格声明</w:t>
      </w:r>
      <w:r>
        <w:rPr>
          <w:rFonts w:hint="eastAsia" w:ascii="宋体" w:hAnsi="宋体" w:cs="Times New Roman"/>
          <w:bCs/>
          <w:color w:val="auto"/>
          <w:szCs w:val="21"/>
          <w:highlight w:val="none"/>
        </w:rPr>
        <w:t>(格式)</w:t>
      </w:r>
    </w:p>
    <w:p w14:paraId="7DC1439A">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rPr>
        <w:t>三、授权委托书(格式)</w:t>
      </w:r>
    </w:p>
    <w:p w14:paraId="5430567D">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lang w:val="en-US" w:eastAsia="zh-CN"/>
        </w:rPr>
        <w:t>四</w:t>
      </w:r>
      <w:r>
        <w:rPr>
          <w:rFonts w:hint="eastAsia" w:ascii="宋体" w:hAnsi="宋体" w:cs="Times New Roman"/>
          <w:bCs/>
          <w:color w:val="auto"/>
          <w:szCs w:val="21"/>
          <w:highlight w:val="none"/>
        </w:rPr>
        <w:t>、供应商资格审查材料</w:t>
      </w:r>
    </w:p>
    <w:p w14:paraId="00CC633D">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lang w:val="en-US" w:eastAsia="zh-CN"/>
        </w:rPr>
        <w:t>五</w:t>
      </w:r>
      <w:r>
        <w:rPr>
          <w:rFonts w:hint="eastAsia" w:ascii="宋体" w:hAnsi="宋体" w:cs="Times New Roman"/>
          <w:bCs/>
          <w:color w:val="auto"/>
          <w:szCs w:val="21"/>
          <w:highlight w:val="none"/>
        </w:rPr>
        <w:t>、采购需求响应</w:t>
      </w:r>
    </w:p>
    <w:p w14:paraId="2188FDC6">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lang w:val="en-US" w:eastAsia="zh-CN"/>
        </w:rPr>
        <w:t>六</w:t>
      </w:r>
      <w:r>
        <w:rPr>
          <w:rFonts w:hint="eastAsia" w:ascii="宋体" w:hAnsi="宋体" w:cs="Times New Roman"/>
          <w:bCs/>
          <w:color w:val="auto"/>
          <w:szCs w:val="21"/>
          <w:highlight w:val="none"/>
        </w:rPr>
        <w:t>、合同条款偏离表</w:t>
      </w:r>
    </w:p>
    <w:p w14:paraId="0F3AED7F">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lang w:val="en-US" w:eastAsia="zh-CN"/>
        </w:rPr>
        <w:t>七</w:t>
      </w:r>
      <w:r>
        <w:rPr>
          <w:rFonts w:hint="eastAsia" w:ascii="宋体" w:hAnsi="宋体" w:cs="Times New Roman"/>
          <w:bCs/>
          <w:color w:val="auto"/>
          <w:szCs w:val="21"/>
          <w:highlight w:val="none"/>
        </w:rPr>
        <w:t>、采购需求偏离表</w:t>
      </w:r>
    </w:p>
    <w:p w14:paraId="3D64CF46">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lang w:val="en-US" w:eastAsia="zh-CN"/>
        </w:rPr>
        <w:t>八</w:t>
      </w:r>
      <w:r>
        <w:rPr>
          <w:rFonts w:hint="eastAsia" w:ascii="宋体" w:hAnsi="宋体" w:cs="Times New Roman"/>
          <w:bCs/>
          <w:color w:val="auto"/>
          <w:szCs w:val="21"/>
          <w:highlight w:val="none"/>
        </w:rPr>
        <w:t>、享受政府采购政策的证明资料</w:t>
      </w:r>
    </w:p>
    <w:p w14:paraId="7BBE1DD5">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lang w:val="en-US" w:eastAsia="zh-CN"/>
        </w:rPr>
        <w:t>九</w:t>
      </w:r>
      <w:r>
        <w:rPr>
          <w:rFonts w:hint="eastAsia" w:ascii="宋体" w:hAnsi="宋体" w:cs="Times New Roman"/>
          <w:bCs/>
          <w:color w:val="auto"/>
          <w:szCs w:val="21"/>
          <w:highlight w:val="none"/>
        </w:rPr>
        <w:t>、响应标的符合</w:t>
      </w:r>
      <w:r>
        <w:rPr>
          <w:rFonts w:hint="eastAsia" w:ascii="宋体" w:hAnsi="宋体" w:cs="Times New Roman"/>
          <w:bCs/>
          <w:color w:val="auto"/>
          <w:szCs w:val="21"/>
          <w:highlight w:val="none"/>
          <w:lang w:val="en-US" w:eastAsia="zh-CN"/>
        </w:rPr>
        <w:t>磋商</w:t>
      </w:r>
      <w:r>
        <w:rPr>
          <w:rFonts w:hint="eastAsia" w:ascii="宋体" w:hAnsi="宋体" w:cs="Times New Roman"/>
          <w:bCs/>
          <w:color w:val="auto"/>
          <w:szCs w:val="21"/>
          <w:highlight w:val="none"/>
        </w:rPr>
        <w:t>文件规定的证明文件</w:t>
      </w:r>
    </w:p>
    <w:p w14:paraId="2B3D7483">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rPr>
        <w:t>十、供应商认为需提供的其他资料（如有）</w:t>
      </w:r>
    </w:p>
    <w:p w14:paraId="733D467F">
      <w:pPr>
        <w:adjustRightInd w:val="0"/>
        <w:snapToGrid w:val="0"/>
        <w:spacing w:line="360" w:lineRule="auto"/>
        <w:ind w:firstLine="420" w:firstLineChars="200"/>
        <w:rPr>
          <w:rFonts w:hint="eastAsia" w:ascii="宋体" w:hAnsi="宋体" w:cs="Times New Roman"/>
          <w:bCs/>
          <w:color w:val="auto"/>
          <w:szCs w:val="21"/>
          <w:highlight w:val="none"/>
        </w:rPr>
      </w:pPr>
      <w:r>
        <w:rPr>
          <w:rFonts w:hint="eastAsia" w:ascii="宋体" w:hAnsi="宋体" w:cs="Times New Roman"/>
          <w:bCs/>
          <w:color w:val="auto"/>
          <w:szCs w:val="21"/>
          <w:highlight w:val="none"/>
        </w:rPr>
        <w:t>十</w:t>
      </w:r>
      <w:r>
        <w:rPr>
          <w:rFonts w:hint="eastAsia" w:ascii="宋体" w:hAnsi="宋体" w:cs="Times New Roman"/>
          <w:bCs/>
          <w:color w:val="auto"/>
          <w:szCs w:val="21"/>
          <w:highlight w:val="none"/>
          <w:lang w:val="en-US" w:eastAsia="zh-CN"/>
        </w:rPr>
        <w:t>一</w:t>
      </w:r>
      <w:r>
        <w:rPr>
          <w:rFonts w:hint="eastAsia" w:ascii="宋体" w:hAnsi="宋体" w:cs="Times New Roman"/>
          <w:bCs/>
          <w:color w:val="auto"/>
          <w:szCs w:val="21"/>
          <w:highlight w:val="none"/>
        </w:rPr>
        <w:t>、最后报价</w:t>
      </w:r>
    </w:p>
    <w:p w14:paraId="42585B46">
      <w:pPr>
        <w:adjustRightInd w:val="0"/>
        <w:snapToGrid w:val="0"/>
        <w:spacing w:line="360" w:lineRule="auto"/>
        <w:ind w:firstLine="420" w:firstLineChars="200"/>
        <w:rPr>
          <w:rFonts w:hAnsi="宋体"/>
          <w:color w:val="auto"/>
          <w:highlight w:val="none"/>
        </w:rPr>
      </w:pPr>
      <w:r>
        <w:rPr>
          <w:rFonts w:hint="eastAsia" w:ascii="宋体" w:hAnsi="宋体"/>
          <w:color w:val="auto"/>
          <w:highlight w:val="none"/>
        </w:rPr>
        <w:t>9.2在磋商过程中，</w:t>
      </w:r>
      <w:r>
        <w:rPr>
          <w:rFonts w:hint="eastAsia" w:ascii="宋体" w:hAnsi="宋体"/>
          <w:color w:val="auto"/>
          <w:szCs w:val="21"/>
          <w:highlight w:val="none"/>
        </w:rPr>
        <w:t>供应商</w:t>
      </w:r>
      <w:r>
        <w:rPr>
          <w:rFonts w:hint="eastAsia" w:ascii="宋体" w:hAnsi="宋体"/>
          <w:color w:val="auto"/>
          <w:highlight w:val="none"/>
        </w:rPr>
        <w:t>根据</w:t>
      </w:r>
      <w:r>
        <w:rPr>
          <w:rFonts w:hint="eastAsia" w:ascii="宋体" w:hAnsi="宋体" w:cs="宋体"/>
          <w:color w:val="auto"/>
          <w:kern w:val="0"/>
          <w:szCs w:val="21"/>
          <w:highlight w:val="none"/>
        </w:rPr>
        <w:t>磋商小组</w:t>
      </w:r>
      <w:r>
        <w:rPr>
          <w:rFonts w:hint="eastAsia" w:ascii="宋体" w:hAnsi="宋体"/>
          <w:bCs/>
          <w:color w:val="auto"/>
          <w:szCs w:val="21"/>
          <w:highlight w:val="none"/>
        </w:rPr>
        <w:t>书面形式要求</w:t>
      </w:r>
      <w:r>
        <w:rPr>
          <w:rFonts w:hint="eastAsia" w:ascii="宋体" w:hAnsi="宋体" w:cs="宋体"/>
          <w:color w:val="auto"/>
          <w:kern w:val="0"/>
          <w:szCs w:val="21"/>
          <w:highlight w:val="none"/>
        </w:rPr>
        <w:t>提交的</w:t>
      </w:r>
      <w:r>
        <w:rPr>
          <w:rFonts w:hint="eastAsia" w:hAnsi="宋体"/>
          <w:color w:val="auto"/>
          <w:highlight w:val="none"/>
        </w:rPr>
        <w:t>最后报价(或者</w:t>
      </w:r>
      <w:r>
        <w:rPr>
          <w:rFonts w:hint="eastAsia" w:ascii="宋体" w:hAnsi="宋体"/>
          <w:bCs/>
          <w:color w:val="auto"/>
          <w:szCs w:val="21"/>
          <w:highlight w:val="none"/>
        </w:rPr>
        <w:t>重</w:t>
      </w:r>
      <w:r>
        <w:rPr>
          <w:rFonts w:hint="eastAsia" w:ascii="宋体" w:hAnsi="宋体" w:cs="宋体"/>
          <w:color w:val="auto"/>
          <w:kern w:val="0"/>
          <w:szCs w:val="21"/>
          <w:highlight w:val="none"/>
        </w:rPr>
        <w:t>新提交的响应文件和</w:t>
      </w:r>
      <w:r>
        <w:rPr>
          <w:rFonts w:hint="eastAsia" w:hAnsi="宋体"/>
          <w:color w:val="auto"/>
          <w:highlight w:val="none"/>
        </w:rPr>
        <w:t>最后报价)是</w:t>
      </w:r>
      <w:r>
        <w:rPr>
          <w:rFonts w:hint="eastAsia" w:ascii="宋体" w:hAnsi="宋体"/>
          <w:color w:val="auto"/>
          <w:szCs w:val="21"/>
          <w:highlight w:val="none"/>
        </w:rPr>
        <w:t>响应文件</w:t>
      </w:r>
      <w:r>
        <w:rPr>
          <w:rFonts w:hint="eastAsia" w:hAnsi="宋体"/>
          <w:color w:val="auto"/>
          <w:highlight w:val="none"/>
        </w:rPr>
        <w:t>的有效组成部分。</w:t>
      </w:r>
    </w:p>
    <w:p w14:paraId="6576E87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9.3</w:t>
      </w:r>
      <w:r>
        <w:rPr>
          <w:rFonts w:hint="eastAsia" w:ascii="宋体" w:hAnsi="宋体"/>
          <w:color w:val="auto"/>
          <w:szCs w:val="21"/>
          <w:highlight w:val="none"/>
        </w:rPr>
        <w:t>根据《政府采购法》第四十二条的规定，供应商无论成交与否，其响应文件不予退还。</w:t>
      </w:r>
    </w:p>
    <w:p w14:paraId="48E6A531">
      <w:pPr>
        <w:adjustRightInd w:val="0"/>
        <w:snapToGrid w:val="0"/>
        <w:spacing w:line="360" w:lineRule="auto"/>
        <w:rPr>
          <w:rFonts w:ascii="宋体" w:hAnsi="宋体"/>
          <w:b/>
          <w:color w:val="auto"/>
          <w:szCs w:val="21"/>
          <w:highlight w:val="none"/>
        </w:rPr>
      </w:pPr>
      <w:r>
        <w:rPr>
          <w:rFonts w:hint="eastAsia" w:ascii="宋体" w:hAnsi="宋体"/>
          <w:b/>
          <w:color w:val="auto"/>
          <w:szCs w:val="21"/>
          <w:highlight w:val="none"/>
        </w:rPr>
        <w:t>10. 供应商的资格证明文件（未进行资格预审的）</w:t>
      </w:r>
    </w:p>
    <w:p w14:paraId="7E814E37">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10.1</w:t>
      </w:r>
      <w:r>
        <w:rPr>
          <w:rFonts w:hint="eastAsia" w:ascii="宋体" w:hAnsi="宋体"/>
          <w:color w:val="auto"/>
          <w:szCs w:val="21"/>
          <w:highlight w:val="none"/>
        </w:rPr>
        <w:t>除</w:t>
      </w:r>
      <w:r>
        <w:rPr>
          <w:rFonts w:hint="eastAsia" w:ascii="宋体" w:hAnsi="宋体"/>
          <w:b/>
          <w:color w:val="auto"/>
          <w:szCs w:val="21"/>
          <w:highlight w:val="none"/>
        </w:rPr>
        <w:t>【磋商须知前附表】</w:t>
      </w:r>
      <w:r>
        <w:rPr>
          <w:rFonts w:hint="eastAsia" w:ascii="宋体" w:hAnsi="宋体"/>
          <w:color w:val="auto"/>
          <w:szCs w:val="21"/>
          <w:highlight w:val="none"/>
        </w:rPr>
        <w:t>另有规</w:t>
      </w:r>
      <w:r>
        <w:rPr>
          <w:rFonts w:hint="eastAsia" w:ascii="宋体" w:hAnsi="宋体"/>
          <w:color w:val="auto"/>
          <w:highlight w:val="none"/>
        </w:rPr>
        <w:t>定外，供应商应按下列规定提供资格证明文件。</w:t>
      </w:r>
    </w:p>
    <w:p w14:paraId="6F0D7642">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w:t>
      </w:r>
      <w:r>
        <w:rPr>
          <w:rFonts w:hint="eastAsia" w:ascii="宋体" w:hAnsi="宋体"/>
          <w:b/>
          <w:color w:val="auto"/>
          <w:highlight w:val="none"/>
        </w:rPr>
        <w:t>法人或者其他组织的营业执照等主体资格证明文件，自然人的身份证明</w:t>
      </w:r>
      <w:r>
        <w:rPr>
          <w:rFonts w:hint="eastAsia" w:ascii="宋体" w:hAnsi="宋体"/>
          <w:color w:val="auto"/>
          <w:highlight w:val="none"/>
        </w:rPr>
        <w:t>：</w:t>
      </w:r>
      <w:r>
        <w:rPr>
          <w:rFonts w:hint="eastAsia" w:ascii="宋体" w:hAnsi="宋体"/>
          <w:color w:val="auto"/>
          <w:szCs w:val="21"/>
          <w:highlight w:val="none"/>
        </w:rPr>
        <w:t>供应商</w:t>
      </w:r>
      <w:r>
        <w:rPr>
          <w:rFonts w:hint="eastAsia" w:ascii="宋体" w:hAnsi="宋体"/>
          <w:color w:val="auto"/>
          <w:highlight w:val="none"/>
        </w:rPr>
        <w:t>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06EBC46C">
      <w:pPr>
        <w:adjustRightInd w:val="0"/>
        <w:snapToGrid w:val="0"/>
        <w:spacing w:line="360" w:lineRule="auto"/>
        <w:ind w:firstLine="422" w:firstLineChars="200"/>
        <w:rPr>
          <w:rFonts w:ascii="宋体" w:hAnsi="宋体"/>
          <w:b/>
          <w:color w:val="auto"/>
          <w:highlight w:val="none"/>
        </w:rPr>
      </w:pPr>
      <w:r>
        <w:rPr>
          <w:rFonts w:hint="eastAsia" w:ascii="宋体" w:hAnsi="宋体"/>
          <w:b/>
          <w:color w:val="auto"/>
          <w:highlight w:val="none"/>
        </w:rPr>
        <w:t>（2）湖南省政府采购供应商资格承诺函(格式)</w:t>
      </w:r>
    </w:p>
    <w:p w14:paraId="098B87AF">
      <w:pPr>
        <w:adjustRightInd w:val="0"/>
        <w:snapToGrid w:val="0"/>
        <w:spacing w:line="360" w:lineRule="auto"/>
        <w:ind w:firstLine="422" w:firstLineChars="200"/>
        <w:rPr>
          <w:color w:val="auto"/>
          <w:highlight w:val="none"/>
        </w:rPr>
      </w:pPr>
      <w:r>
        <w:rPr>
          <w:rFonts w:hint="eastAsia" w:ascii="宋体" w:hAnsi="宋体"/>
          <w:b/>
          <w:color w:val="auto"/>
          <w:highlight w:val="none"/>
        </w:rPr>
        <w:t>（3）落实政府采购政策需满足的资格要求证明材料</w:t>
      </w:r>
    </w:p>
    <w:p w14:paraId="4E41C779">
      <w:pPr>
        <w:adjustRightInd w:val="0"/>
        <w:snapToGrid w:val="0"/>
        <w:spacing w:line="360" w:lineRule="auto"/>
        <w:ind w:firstLine="422" w:firstLineChars="200"/>
        <w:rPr>
          <w:rFonts w:ascii="宋体" w:hAnsi="宋体"/>
          <w:b/>
          <w:color w:val="auto"/>
          <w:highlight w:val="none"/>
        </w:rPr>
      </w:pPr>
      <w:r>
        <w:rPr>
          <w:rFonts w:hint="eastAsia" w:ascii="宋体" w:hAnsi="宋体"/>
          <w:b/>
          <w:color w:val="auto"/>
          <w:highlight w:val="none"/>
        </w:rPr>
        <w:t>（4）符合特定资格要求证明材料或者情况说明。</w:t>
      </w:r>
    </w:p>
    <w:p w14:paraId="38CC15B7">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10.2</w:t>
      </w:r>
      <w:r>
        <w:rPr>
          <w:rFonts w:hint="eastAsia" w:ascii="宋体" w:hAnsi="宋体"/>
          <w:color w:val="auto"/>
          <w:szCs w:val="21"/>
          <w:highlight w:val="none"/>
        </w:rPr>
        <w:t>供应商</w:t>
      </w:r>
      <w:r>
        <w:rPr>
          <w:rFonts w:hint="eastAsia" w:ascii="宋体" w:hAnsi="宋体"/>
          <w:color w:val="auto"/>
          <w:highlight w:val="none"/>
        </w:rPr>
        <w:t>为联合体形式的，除应提交联合协议(格式)外，参加联合体的各方均应提交上款资格证明材料。</w:t>
      </w:r>
    </w:p>
    <w:p w14:paraId="4808DD39">
      <w:pPr>
        <w:adjustRightInd w:val="0"/>
        <w:snapToGrid w:val="0"/>
        <w:spacing w:line="360" w:lineRule="auto"/>
        <w:ind w:firstLine="420" w:firstLineChars="200"/>
        <w:rPr>
          <w:color w:val="auto"/>
          <w:highlight w:val="none"/>
        </w:rPr>
      </w:pPr>
      <w:r>
        <w:rPr>
          <w:rFonts w:hint="eastAsia" w:ascii="宋体" w:hAnsi="宋体"/>
          <w:color w:val="auto"/>
          <w:highlight w:val="none"/>
        </w:rPr>
        <w:t>10.3供应商的资格证明文件均应为有效文件并加盖供应商单位章，并按其规定签署。</w:t>
      </w:r>
    </w:p>
    <w:p w14:paraId="244846AE">
      <w:pPr>
        <w:adjustRightInd w:val="0"/>
        <w:snapToGrid w:val="0"/>
        <w:spacing w:line="360" w:lineRule="auto"/>
        <w:rPr>
          <w:rFonts w:ascii="宋体" w:hAnsi="宋体"/>
          <w:b/>
          <w:color w:val="auto"/>
          <w:szCs w:val="21"/>
          <w:highlight w:val="none"/>
        </w:rPr>
      </w:pPr>
      <w:bookmarkStart w:id="28" w:name="_Toc62225434"/>
      <w:bookmarkStart w:id="29" w:name="_Toc107997847"/>
      <w:bookmarkStart w:id="30" w:name="_Toc107997974"/>
      <w:r>
        <w:rPr>
          <w:rFonts w:hint="eastAsia" w:ascii="宋体" w:hAnsi="宋体"/>
          <w:b/>
          <w:color w:val="auto"/>
          <w:szCs w:val="21"/>
          <w:highlight w:val="none"/>
        </w:rPr>
        <w:t>10.</w:t>
      </w:r>
      <w:bookmarkEnd w:id="28"/>
      <w:bookmarkEnd w:id="29"/>
      <w:bookmarkEnd w:id="30"/>
      <w:r>
        <w:rPr>
          <w:rFonts w:hint="eastAsia" w:ascii="宋体" w:hAnsi="宋体"/>
          <w:b/>
          <w:color w:val="auto"/>
          <w:szCs w:val="21"/>
          <w:highlight w:val="none"/>
        </w:rPr>
        <w:t>供应商的资格证明文件（已进行资格预审的）</w:t>
      </w:r>
    </w:p>
    <w:p w14:paraId="7FD21F3A">
      <w:pPr>
        <w:adjustRightInd w:val="0"/>
        <w:snapToGrid w:val="0"/>
        <w:spacing w:line="360" w:lineRule="auto"/>
        <w:ind w:firstLine="420" w:firstLineChars="200"/>
        <w:jc w:val="left"/>
        <w:rPr>
          <w:color w:val="auto"/>
          <w:highlight w:val="none"/>
        </w:rPr>
      </w:pPr>
      <w:r>
        <w:rPr>
          <w:rFonts w:hint="eastAsia" w:ascii="宋体" w:hAnsi="宋体"/>
          <w:color w:val="auto"/>
          <w:highlight w:val="none"/>
        </w:rPr>
        <w:t>10.1通过资格预审方式确定供应商参加采购活动的，被邀请的供应商在提交首次响应文件前，其资格条件发生变化，影响或者可能影响资格条件的，应随响应文件提供更新或者补充的资格证明材料，以证实其各项条件仍能继续满足本章第3.1款规定的供应商资格条件要求。</w:t>
      </w:r>
    </w:p>
    <w:p w14:paraId="302E6A7F">
      <w:pPr>
        <w:adjustRightInd w:val="0"/>
        <w:snapToGrid w:val="0"/>
        <w:spacing w:line="360" w:lineRule="auto"/>
        <w:rPr>
          <w:rFonts w:ascii="宋体" w:hAnsi="宋体"/>
          <w:b/>
          <w:color w:val="auto"/>
          <w:szCs w:val="21"/>
          <w:highlight w:val="none"/>
        </w:rPr>
      </w:pPr>
      <w:r>
        <w:rPr>
          <w:rFonts w:hint="eastAsia" w:ascii="宋体" w:hAnsi="宋体"/>
          <w:b/>
          <w:color w:val="auto"/>
          <w:szCs w:val="21"/>
          <w:highlight w:val="none"/>
        </w:rPr>
        <w:t>11.报价要求</w:t>
      </w:r>
    </w:p>
    <w:p w14:paraId="0EFF04C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11.1供应商应当根据磋商文件第三章“采购清单一览表”逐一报价。</w:t>
      </w:r>
    </w:p>
    <w:p w14:paraId="2E722F5D">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11.2在报价表、分项报价表填写报价时应注意下列要求：</w:t>
      </w:r>
    </w:p>
    <w:p w14:paraId="7AA447E1">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（1）采购需求要求的安装、调试、培训、售后服务及其他附加服务的费用。</w:t>
      </w:r>
    </w:p>
    <w:p w14:paraId="74948497">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（2）所有根据合同或其他原因应由供应商交纳和支付的税款和费用。</w:t>
      </w:r>
    </w:p>
    <w:p w14:paraId="76121E4D">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（3）磋商文件指定交货地点的运输、保险、装卸费。</w:t>
      </w:r>
    </w:p>
    <w:p w14:paraId="60F9E395">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highlight w:val="none"/>
        </w:rPr>
        <w:t>（4）实行工程量清单报价的，供应商提交最后报价应与已标价工程量清单总报价一致。（不适用）</w:t>
      </w:r>
    </w:p>
    <w:p w14:paraId="28ADE83A">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11.3</w:t>
      </w:r>
      <w:r>
        <w:rPr>
          <w:rFonts w:hint="eastAsia" w:ascii="宋体" w:hAnsi="宋体" w:cs="Courier New"/>
          <w:color w:val="auto"/>
          <w:szCs w:val="21"/>
          <w:highlight w:val="none"/>
          <w:lang w:val="zh-CN"/>
        </w:rPr>
        <w:t>供应商</w:t>
      </w:r>
      <w:r>
        <w:rPr>
          <w:rFonts w:hint="eastAsia" w:ascii="宋体" w:hAnsi="宋体" w:cs="Courier New"/>
          <w:color w:val="auto"/>
          <w:szCs w:val="21"/>
          <w:highlight w:val="none"/>
        </w:rPr>
        <w:t>的最后报价不得超过采购项目预算，如项目设定了最高限价则不得超过最高限价，</w:t>
      </w:r>
      <w:r>
        <w:rPr>
          <w:rFonts w:hint="eastAsia" w:ascii="宋体" w:hAnsi="宋体" w:cs="Courier New"/>
          <w:b/>
          <w:bCs/>
          <w:color w:val="auto"/>
          <w:szCs w:val="21"/>
          <w:highlight w:val="none"/>
        </w:rPr>
        <w:t>否则，其响应无效</w:t>
      </w:r>
      <w:r>
        <w:rPr>
          <w:rFonts w:hint="eastAsia" w:ascii="宋体" w:hAnsi="宋体" w:cs="Courier New"/>
          <w:color w:val="auto"/>
          <w:szCs w:val="21"/>
          <w:highlight w:val="none"/>
        </w:rPr>
        <w:t>。采购项目预算、项目最高限价或其计算方法见</w:t>
      </w:r>
      <w:r>
        <w:rPr>
          <w:rFonts w:hint="eastAsia" w:ascii="宋体" w:hAnsi="宋体" w:cs="Courier New"/>
          <w:b/>
          <w:bCs/>
          <w:color w:val="auto"/>
          <w:szCs w:val="21"/>
          <w:highlight w:val="none"/>
        </w:rPr>
        <w:t>【磋商须知前附表】</w:t>
      </w:r>
      <w:r>
        <w:rPr>
          <w:rFonts w:hint="eastAsia" w:ascii="宋体" w:hAnsi="宋体" w:cs="Courier New"/>
          <w:color w:val="auto"/>
          <w:szCs w:val="21"/>
          <w:highlight w:val="none"/>
        </w:rPr>
        <w:t>。</w:t>
      </w:r>
    </w:p>
    <w:p w14:paraId="0F936CCC">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11.4采用固定价格定价方式的采购项目，供应商提交的最后报价在合同执行过程中是固定不变的，不得以任何理由予以变更。以可变动价格提交的报价将被认为是非实质响应而被拒绝。</w:t>
      </w:r>
    </w:p>
    <w:p w14:paraId="07F133BB">
      <w:pPr>
        <w:adjustRightInd w:val="0"/>
        <w:snapToGrid w:val="0"/>
        <w:spacing w:line="360" w:lineRule="auto"/>
        <w:ind w:firstLine="420" w:firstLineChars="200"/>
        <w:jc w:val="left"/>
        <w:rPr>
          <w:rFonts w:ascii="宋体" w:hAnsi="宋体"/>
          <w:color w:val="auto"/>
          <w:highlight w:val="none"/>
        </w:rPr>
      </w:pPr>
      <w:r>
        <w:rPr>
          <w:rFonts w:hint="eastAsia" w:ascii="宋体" w:hAnsi="宋体"/>
          <w:color w:val="auto"/>
          <w:highlight w:val="none"/>
        </w:rPr>
        <w:t>11.5采购人不接受供应商给予的赠品、回扣或者与采购无关的其他商品、服务。</w:t>
      </w:r>
    </w:p>
    <w:p w14:paraId="5F8E8745">
      <w:pPr>
        <w:pStyle w:val="35"/>
        <w:rPr>
          <w:rFonts w:ascii="宋体" w:hAnsi="宋体"/>
          <w:color w:val="auto"/>
          <w:highlight w:val="none"/>
        </w:rPr>
      </w:pPr>
      <w:r>
        <w:rPr>
          <w:rFonts w:hint="eastAsia" w:ascii="宋体" w:hAnsi="宋体" w:cs="Courier New"/>
          <w:color w:val="auto"/>
          <w:highlight w:val="none"/>
        </w:rPr>
        <w:t>11.6报价的其他要求见</w:t>
      </w:r>
      <w:r>
        <w:rPr>
          <w:rFonts w:hint="eastAsia" w:ascii="宋体" w:hAnsi="宋体" w:cs="Courier New"/>
          <w:b/>
          <w:color w:val="auto"/>
          <w:highlight w:val="none"/>
        </w:rPr>
        <w:t>【磋商须知前附表】</w:t>
      </w:r>
      <w:r>
        <w:rPr>
          <w:rFonts w:hint="eastAsia" w:ascii="宋体" w:hAnsi="宋体" w:cs="Courier New"/>
          <w:color w:val="auto"/>
          <w:highlight w:val="none"/>
        </w:rPr>
        <w:t>。</w:t>
      </w:r>
    </w:p>
    <w:p w14:paraId="02CDA979">
      <w:pPr>
        <w:adjustRightInd w:val="0"/>
        <w:snapToGrid w:val="0"/>
        <w:spacing w:beforeLines="50" w:line="360" w:lineRule="auto"/>
        <w:jc w:val="left"/>
        <w:rPr>
          <w:rFonts w:ascii="宋体" w:hAnsi="宋体"/>
          <w:b/>
          <w:color w:val="auto"/>
          <w:szCs w:val="21"/>
          <w:highlight w:val="none"/>
        </w:rPr>
      </w:pPr>
      <w:bookmarkStart w:id="31" w:name="_Toc107997849"/>
      <w:bookmarkStart w:id="32" w:name="_Toc107997976"/>
      <w:r>
        <w:rPr>
          <w:rFonts w:hint="eastAsia" w:ascii="宋体" w:hAnsi="宋体"/>
          <w:b/>
          <w:color w:val="auto"/>
          <w:szCs w:val="21"/>
          <w:highlight w:val="none"/>
        </w:rPr>
        <w:t>12.磋商保证金</w:t>
      </w:r>
      <w:bookmarkEnd w:id="31"/>
      <w:bookmarkEnd w:id="32"/>
    </w:p>
    <w:p w14:paraId="528A97BA">
      <w:pPr>
        <w:autoSpaceDE w:val="0"/>
        <w:autoSpaceDN w:val="0"/>
        <w:adjustRightInd w:val="0"/>
        <w:spacing w:line="360" w:lineRule="auto"/>
        <w:ind w:firstLine="420" w:firstLineChars="200"/>
        <w:jc w:val="left"/>
        <w:rPr>
          <w:rFonts w:hAnsi="宋体"/>
          <w:bCs/>
          <w:color w:val="auto"/>
          <w:highlight w:val="none"/>
        </w:rPr>
      </w:pPr>
      <w:r>
        <w:rPr>
          <w:rFonts w:hint="eastAsia" w:hAnsi="宋体"/>
          <w:color w:val="auto"/>
          <w:highlight w:val="none"/>
        </w:rPr>
        <w:t>12.1</w:t>
      </w:r>
      <w:r>
        <w:rPr>
          <w:rFonts w:hint="eastAsia" w:hAnsi="宋体"/>
          <w:bCs/>
          <w:color w:val="auto"/>
          <w:highlight w:val="none"/>
        </w:rPr>
        <w:t>磋商文件要求供应商提交磋商保证金的，供应商应按</w:t>
      </w:r>
      <w:r>
        <w:rPr>
          <w:rFonts w:hint="eastAsia" w:hAnsi="宋体"/>
          <w:b/>
          <w:bCs/>
          <w:color w:val="auto"/>
          <w:highlight w:val="none"/>
        </w:rPr>
        <w:t>【磋商须知前附表】</w:t>
      </w:r>
      <w:r>
        <w:rPr>
          <w:rFonts w:hint="eastAsia" w:hAnsi="宋体"/>
          <w:bCs/>
          <w:color w:val="auto"/>
          <w:highlight w:val="none"/>
        </w:rPr>
        <w:t>规定，在提交首次响应文件的截止时间前提交磋商保证金。磋商保证金有效期应当与响应文件有效期一致。供应商可用保函、电子增信替代磋商保证金。</w:t>
      </w:r>
    </w:p>
    <w:p w14:paraId="0D7059BB">
      <w:pPr>
        <w:adjustRightInd w:val="0"/>
        <w:snapToGrid w:val="0"/>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12.2</w:t>
      </w:r>
      <w:r>
        <w:rPr>
          <w:rFonts w:hint="eastAsia" w:ascii="宋体" w:hAnsi="宋体" w:cs="宋体"/>
          <w:color w:val="auto"/>
          <w:kern w:val="0"/>
          <w:szCs w:val="21"/>
          <w:highlight w:val="none"/>
          <w:lang w:val="zh-CN"/>
        </w:rPr>
        <w:t>供应商为联合体的，可以由联合体中的一方或者共同交纳</w:t>
      </w:r>
      <w:r>
        <w:rPr>
          <w:rFonts w:hint="eastAsia" w:hAnsi="宋体"/>
          <w:bCs/>
          <w:color w:val="auto"/>
          <w:highlight w:val="none"/>
        </w:rPr>
        <w:t>磋商</w:t>
      </w:r>
      <w:r>
        <w:rPr>
          <w:rFonts w:hint="eastAsia" w:ascii="宋体" w:hAnsi="宋体" w:cs="宋体"/>
          <w:color w:val="auto"/>
          <w:kern w:val="0"/>
          <w:szCs w:val="21"/>
          <w:highlight w:val="none"/>
          <w:lang w:val="zh-CN"/>
        </w:rPr>
        <w:t>保证金，其交纳的</w:t>
      </w:r>
      <w:r>
        <w:rPr>
          <w:rFonts w:hint="eastAsia" w:hAnsi="宋体"/>
          <w:bCs/>
          <w:color w:val="auto"/>
          <w:highlight w:val="none"/>
        </w:rPr>
        <w:t>磋商</w:t>
      </w:r>
      <w:r>
        <w:rPr>
          <w:rFonts w:hint="eastAsia" w:ascii="宋体" w:hAnsi="宋体" w:cs="宋体"/>
          <w:color w:val="auto"/>
          <w:kern w:val="0"/>
          <w:szCs w:val="21"/>
          <w:highlight w:val="none"/>
          <w:lang w:val="zh-CN"/>
        </w:rPr>
        <w:t>保证金，对联合体各方均具有约束力。</w:t>
      </w:r>
    </w:p>
    <w:p w14:paraId="659B6FDF">
      <w:pPr>
        <w:tabs>
          <w:tab w:val="left" w:pos="6300"/>
        </w:tabs>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12.3采购人、采购代理机构在成交通知书发出后5个工作日内退还未成交供应商的</w:t>
      </w:r>
      <w:r>
        <w:rPr>
          <w:rFonts w:hint="eastAsia" w:hAnsi="宋体"/>
          <w:bCs/>
          <w:color w:val="auto"/>
          <w:highlight w:val="none"/>
        </w:rPr>
        <w:t>磋商</w:t>
      </w:r>
      <w:r>
        <w:rPr>
          <w:rFonts w:hint="eastAsia" w:ascii="宋体" w:hAnsi="宋体" w:cs="Courier New"/>
          <w:color w:val="auto"/>
          <w:szCs w:val="21"/>
          <w:highlight w:val="none"/>
        </w:rPr>
        <w:t>保证金；在采购合同签订后5个工作日内退还成交供应商的</w:t>
      </w:r>
      <w:r>
        <w:rPr>
          <w:rFonts w:hint="eastAsia" w:hAnsi="宋体"/>
          <w:bCs/>
          <w:color w:val="auto"/>
          <w:highlight w:val="none"/>
        </w:rPr>
        <w:t>磋商</w:t>
      </w:r>
      <w:r>
        <w:rPr>
          <w:rFonts w:hint="eastAsia" w:ascii="宋体" w:hAnsi="宋体" w:cs="Courier New"/>
          <w:color w:val="auto"/>
          <w:szCs w:val="21"/>
          <w:highlight w:val="none"/>
        </w:rPr>
        <w:t>保证金，但因供应商自身原因导致无法及时退还的除外。</w:t>
      </w:r>
    </w:p>
    <w:p w14:paraId="47BF96F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12.4</w:t>
      </w:r>
      <w:r>
        <w:rPr>
          <w:rFonts w:hint="eastAsia" w:hAnsi="宋体"/>
          <w:bCs/>
          <w:color w:val="auto"/>
          <w:highlight w:val="none"/>
        </w:rPr>
        <w:t>磋商</w:t>
      </w:r>
      <w:r>
        <w:rPr>
          <w:rFonts w:hint="eastAsia" w:ascii="宋体" w:hAnsi="宋体"/>
          <w:color w:val="auto"/>
          <w:szCs w:val="21"/>
          <w:highlight w:val="none"/>
        </w:rPr>
        <w:t>保证金的退还按以下规定办理：</w:t>
      </w:r>
    </w:p>
    <w:p w14:paraId="757789A7">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（1）成交供应商的</w:t>
      </w:r>
      <w:r>
        <w:rPr>
          <w:rFonts w:hint="eastAsia" w:hAnsi="宋体"/>
          <w:bCs/>
          <w:color w:val="auto"/>
          <w:highlight w:val="none"/>
        </w:rPr>
        <w:t>磋商</w:t>
      </w:r>
      <w:r>
        <w:rPr>
          <w:rFonts w:hint="eastAsia" w:ascii="宋体" w:hAnsi="宋体"/>
          <w:color w:val="auto"/>
          <w:szCs w:val="21"/>
          <w:highlight w:val="none"/>
        </w:rPr>
        <w:t>保证金，在政府采购合同签订后5个工作日内退还。</w:t>
      </w:r>
    </w:p>
    <w:p w14:paraId="754C5A7D">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（2）未成交供应商的</w:t>
      </w:r>
      <w:r>
        <w:rPr>
          <w:rFonts w:hint="eastAsia" w:hAnsi="宋体"/>
          <w:bCs/>
          <w:color w:val="auto"/>
          <w:highlight w:val="none"/>
        </w:rPr>
        <w:t>磋商</w:t>
      </w:r>
      <w:r>
        <w:rPr>
          <w:rFonts w:hint="eastAsia" w:ascii="宋体" w:hAnsi="宋体"/>
          <w:color w:val="auto"/>
          <w:szCs w:val="21"/>
          <w:highlight w:val="none"/>
        </w:rPr>
        <w:t>保证金，在成交通知书发出后5个工作日内退还。</w:t>
      </w:r>
    </w:p>
    <w:p w14:paraId="1852464B">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（3）终止竞争性</w:t>
      </w:r>
      <w:r>
        <w:rPr>
          <w:rFonts w:hint="eastAsia" w:hAnsi="宋体"/>
          <w:bCs/>
          <w:color w:val="auto"/>
          <w:highlight w:val="none"/>
        </w:rPr>
        <w:t>磋商</w:t>
      </w:r>
      <w:r>
        <w:rPr>
          <w:rFonts w:hint="eastAsia" w:ascii="宋体" w:hAnsi="宋体"/>
          <w:color w:val="auto"/>
          <w:szCs w:val="21"/>
          <w:highlight w:val="none"/>
        </w:rPr>
        <w:t>采购活动的，在发布项目终止公告后5个工作日内退还。</w:t>
      </w:r>
    </w:p>
    <w:p w14:paraId="7423B7CC">
      <w:pPr>
        <w:adjustRightInd w:val="0"/>
        <w:snapToGrid w:val="0"/>
        <w:spacing w:line="360" w:lineRule="auto"/>
        <w:ind w:firstLine="420" w:firstLineChars="200"/>
        <w:rPr>
          <w:rFonts w:ascii="宋体" w:hAnsi="Courier New" w:cs="Courier New"/>
          <w:color w:val="auto"/>
          <w:kern w:val="0"/>
          <w:szCs w:val="21"/>
          <w:highlight w:val="none"/>
        </w:rPr>
      </w:pPr>
      <w:r>
        <w:rPr>
          <w:rFonts w:hint="eastAsia" w:ascii="宋体" w:hAnsi="Courier New" w:cs="Courier New"/>
          <w:color w:val="auto"/>
          <w:szCs w:val="21"/>
          <w:highlight w:val="none"/>
        </w:rPr>
        <w:t>12.5</w:t>
      </w:r>
      <w:r>
        <w:rPr>
          <w:rFonts w:hint="eastAsia" w:ascii="宋体" w:hAnsi="Courier New" w:cs="Courier New"/>
          <w:color w:val="auto"/>
          <w:kern w:val="0"/>
          <w:szCs w:val="21"/>
          <w:highlight w:val="none"/>
        </w:rPr>
        <w:t>有下列情形之一的，</w:t>
      </w:r>
      <w:r>
        <w:rPr>
          <w:rFonts w:hint="eastAsia" w:hAnsi="宋体"/>
          <w:bCs/>
          <w:color w:val="auto"/>
          <w:highlight w:val="none"/>
        </w:rPr>
        <w:t>磋商</w:t>
      </w:r>
      <w:r>
        <w:rPr>
          <w:rFonts w:hint="eastAsia" w:ascii="宋体" w:hAnsi="Courier New" w:cs="Courier New"/>
          <w:color w:val="auto"/>
          <w:kern w:val="0"/>
          <w:szCs w:val="21"/>
          <w:highlight w:val="none"/>
        </w:rPr>
        <w:t>保证金不予退还，并上缴本级财政国库：</w:t>
      </w:r>
    </w:p>
    <w:p w14:paraId="1DC312EA">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（1）供应商在提交响应文件截止时间后撤回响应文件的；</w:t>
      </w:r>
    </w:p>
    <w:p w14:paraId="75BA2D02">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（2）供应商在响应文件中提供虚假材料的；</w:t>
      </w:r>
    </w:p>
    <w:p w14:paraId="280F120B">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（3）除因不可抗力或</w:t>
      </w:r>
      <w:r>
        <w:rPr>
          <w:rFonts w:hint="eastAsia" w:hAnsi="宋体"/>
          <w:bCs/>
          <w:color w:val="auto"/>
          <w:highlight w:val="none"/>
        </w:rPr>
        <w:t>磋商</w:t>
      </w:r>
      <w:r>
        <w:rPr>
          <w:rFonts w:hint="eastAsia" w:ascii="宋体" w:hAnsi="宋体" w:cs="Courier New"/>
          <w:color w:val="auto"/>
          <w:szCs w:val="21"/>
          <w:highlight w:val="none"/>
        </w:rPr>
        <w:t>文件认可的情形以外，成交供应商不与采购人签订合同的；</w:t>
      </w:r>
    </w:p>
    <w:p w14:paraId="72D7ECA8">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（4）供应商与采购人、其他供应商或者采购代理机构恶意串通的；</w:t>
      </w:r>
    </w:p>
    <w:p w14:paraId="292CFFD4">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（5）</w:t>
      </w:r>
      <w:r>
        <w:rPr>
          <w:rFonts w:hint="eastAsia" w:hAnsi="宋体"/>
          <w:bCs/>
          <w:color w:val="auto"/>
          <w:highlight w:val="none"/>
        </w:rPr>
        <w:t>磋商</w:t>
      </w:r>
      <w:r>
        <w:rPr>
          <w:rFonts w:hint="eastAsia" w:ascii="宋体" w:hAnsi="宋体" w:cs="Courier New"/>
          <w:color w:val="auto"/>
          <w:szCs w:val="21"/>
          <w:highlight w:val="none"/>
        </w:rPr>
        <w:t>文件规定的其他情形。</w:t>
      </w:r>
    </w:p>
    <w:p w14:paraId="7581AA45">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13.</w:t>
      </w:r>
      <w:r>
        <w:rPr>
          <w:rFonts w:hint="eastAsia" w:hAnsi="宋体"/>
          <w:b/>
          <w:color w:val="auto"/>
          <w:highlight w:val="none"/>
        </w:rPr>
        <w:t>响应文件</w:t>
      </w:r>
      <w:r>
        <w:rPr>
          <w:rFonts w:hint="eastAsia" w:ascii="宋体" w:hAnsi="宋体"/>
          <w:b/>
          <w:color w:val="auto"/>
          <w:szCs w:val="21"/>
          <w:highlight w:val="none"/>
        </w:rPr>
        <w:t>有效期</w:t>
      </w:r>
    </w:p>
    <w:p w14:paraId="25723EE8">
      <w:pPr>
        <w:adjustRightInd w:val="0"/>
        <w:snapToGrid w:val="0"/>
        <w:spacing w:line="360" w:lineRule="auto"/>
        <w:ind w:firstLine="420" w:firstLineChars="200"/>
        <w:jc w:val="left"/>
        <w:rPr>
          <w:rFonts w:hAnsi="宋体"/>
          <w:color w:val="auto"/>
          <w:highlight w:val="none"/>
        </w:rPr>
      </w:pPr>
      <w:r>
        <w:rPr>
          <w:rFonts w:hint="eastAsia" w:ascii="宋体" w:hAnsi="宋体"/>
          <w:color w:val="auto"/>
          <w:highlight w:val="none"/>
        </w:rPr>
        <w:t>13.1响应文件</w:t>
      </w:r>
      <w:r>
        <w:rPr>
          <w:rFonts w:hint="eastAsia" w:ascii="宋体" w:hAnsi="宋体"/>
          <w:color w:val="auto"/>
          <w:szCs w:val="21"/>
          <w:highlight w:val="none"/>
        </w:rPr>
        <w:t>有效期见</w:t>
      </w:r>
      <w:r>
        <w:rPr>
          <w:rFonts w:hint="eastAsia" w:ascii="宋体" w:hAnsi="宋体"/>
          <w:b/>
          <w:color w:val="auto"/>
          <w:highlight w:val="none"/>
        </w:rPr>
        <w:t>【磋商须知前附表】</w:t>
      </w:r>
      <w:r>
        <w:rPr>
          <w:rFonts w:hint="eastAsia" w:ascii="宋体" w:hAnsi="宋体"/>
          <w:color w:val="auto"/>
          <w:szCs w:val="21"/>
          <w:highlight w:val="none"/>
        </w:rPr>
        <w:t>，在此期间</w:t>
      </w:r>
      <w:r>
        <w:rPr>
          <w:rFonts w:hint="eastAsia" w:ascii="宋体" w:hAnsi="宋体"/>
          <w:color w:val="auto"/>
          <w:highlight w:val="none"/>
        </w:rPr>
        <w:t>响应</w:t>
      </w:r>
      <w:r>
        <w:rPr>
          <w:rFonts w:hint="eastAsia" w:ascii="宋体" w:hAnsi="宋体"/>
          <w:color w:val="auto"/>
          <w:szCs w:val="21"/>
          <w:highlight w:val="none"/>
        </w:rPr>
        <w:t>文件对供应商具有法律约束力，</w:t>
      </w:r>
      <w:r>
        <w:rPr>
          <w:rFonts w:hint="eastAsia" w:ascii="宋体" w:hAnsi="宋体" w:cs="Arial"/>
          <w:color w:val="auto"/>
          <w:highlight w:val="none"/>
        </w:rPr>
        <w:t>从</w:t>
      </w:r>
      <w:r>
        <w:rPr>
          <w:rFonts w:hint="eastAsia" w:ascii="宋体" w:hAnsi="宋体" w:cs="宋体"/>
          <w:color w:val="auto"/>
          <w:kern w:val="0"/>
          <w:szCs w:val="21"/>
          <w:highlight w:val="none"/>
        </w:rPr>
        <w:t>提交首次响应文件截止时间</w:t>
      </w:r>
      <w:r>
        <w:rPr>
          <w:rFonts w:hint="eastAsia" w:hAnsi="宋体"/>
          <w:color w:val="auto"/>
          <w:highlight w:val="none"/>
        </w:rPr>
        <w:t>之日</w:t>
      </w:r>
      <w:r>
        <w:rPr>
          <w:rFonts w:hint="eastAsia" w:hAnsi="宋体" w:cs="Arial"/>
          <w:color w:val="auto"/>
          <w:highlight w:val="none"/>
        </w:rPr>
        <w:t>起计算。</w:t>
      </w:r>
      <w:r>
        <w:rPr>
          <w:rFonts w:hint="eastAsia" w:hAnsi="宋体"/>
          <w:color w:val="auto"/>
          <w:highlight w:val="none"/>
        </w:rPr>
        <w:t>响应文件有效期不足的，</w:t>
      </w:r>
      <w:r>
        <w:rPr>
          <w:rFonts w:hint="eastAsia" w:ascii="宋体" w:hAnsi="宋体"/>
          <w:color w:val="auto"/>
          <w:highlight w:val="none"/>
        </w:rPr>
        <w:t>其</w:t>
      </w:r>
      <w:r>
        <w:rPr>
          <w:rFonts w:hint="eastAsia" w:ascii="宋体" w:hAnsi="宋体"/>
          <w:b/>
          <w:bCs/>
          <w:color w:val="auto"/>
          <w:highlight w:val="none"/>
        </w:rPr>
        <w:t>响应无效</w:t>
      </w:r>
      <w:r>
        <w:rPr>
          <w:rFonts w:hint="eastAsia" w:hAnsi="宋体"/>
          <w:color w:val="auto"/>
          <w:highlight w:val="none"/>
        </w:rPr>
        <w:t>。</w:t>
      </w:r>
    </w:p>
    <w:p w14:paraId="2688C351">
      <w:pPr>
        <w:adjustRightInd w:val="0"/>
        <w:snapToGrid w:val="0"/>
        <w:spacing w:line="360" w:lineRule="auto"/>
        <w:rPr>
          <w:rFonts w:hAnsi="宋体"/>
          <w:b/>
          <w:color w:val="auto"/>
          <w:highlight w:val="none"/>
        </w:rPr>
      </w:pPr>
      <w:bookmarkStart w:id="33" w:name="_Toc107997851"/>
      <w:bookmarkStart w:id="34" w:name="_Toc107997978"/>
      <w:r>
        <w:rPr>
          <w:rFonts w:hint="eastAsia" w:ascii="宋体" w:hAnsi="宋体"/>
          <w:b/>
          <w:bCs/>
          <w:color w:val="auto"/>
          <w:szCs w:val="21"/>
          <w:highlight w:val="none"/>
        </w:rPr>
        <w:t>14.</w:t>
      </w:r>
      <w:r>
        <w:rPr>
          <w:rFonts w:hint="eastAsia" w:hAnsi="宋体"/>
          <w:b/>
          <w:color w:val="auto"/>
          <w:highlight w:val="none"/>
        </w:rPr>
        <w:t>分包</w:t>
      </w:r>
      <w:bookmarkEnd w:id="33"/>
      <w:bookmarkEnd w:id="34"/>
    </w:p>
    <w:p w14:paraId="4BB7FE90">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14.1</w:t>
      </w:r>
      <w:r>
        <w:rPr>
          <w:rFonts w:hint="eastAsia" w:hAnsi="宋体"/>
          <w:b/>
          <w:bCs/>
          <w:color w:val="auto"/>
          <w:highlight w:val="none"/>
        </w:rPr>
        <w:t>【</w:t>
      </w:r>
      <w:r>
        <w:rPr>
          <w:rFonts w:hint="eastAsia" w:ascii="宋体" w:hAnsi="宋体"/>
          <w:b/>
          <w:color w:val="auto"/>
          <w:highlight w:val="none"/>
        </w:rPr>
        <w:t>磋商</w:t>
      </w:r>
      <w:r>
        <w:rPr>
          <w:rFonts w:hint="eastAsia" w:hAnsi="宋体"/>
          <w:b/>
          <w:bCs/>
          <w:color w:val="auto"/>
          <w:highlight w:val="none"/>
        </w:rPr>
        <w:t>须知前附表】</w:t>
      </w:r>
      <w:r>
        <w:rPr>
          <w:rFonts w:hint="eastAsia" w:ascii="宋体" w:hAnsi="宋体"/>
          <w:color w:val="auto"/>
          <w:highlight w:val="none"/>
        </w:rPr>
        <w:t>规定供应商分包的，供应商分包承诺不符合竞争性磋商文件中有关分包规定的，</w:t>
      </w:r>
      <w:r>
        <w:rPr>
          <w:rFonts w:hint="eastAsia" w:ascii="宋体" w:hAnsi="宋体"/>
          <w:b/>
          <w:bCs/>
          <w:color w:val="auto"/>
          <w:kern w:val="0"/>
          <w:szCs w:val="21"/>
          <w:highlight w:val="none"/>
        </w:rPr>
        <w:t>不能参与本项目的磋商</w:t>
      </w:r>
      <w:r>
        <w:rPr>
          <w:rFonts w:hint="eastAsia" w:ascii="宋体" w:hAnsi="宋体"/>
          <w:color w:val="auto"/>
          <w:highlight w:val="none"/>
        </w:rPr>
        <w:t>。</w:t>
      </w:r>
    </w:p>
    <w:p w14:paraId="69D51841">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14.2供应商应在签订政府采购合同前向采购人提供分包合同，否则，采购人有权拒绝签订采购合同。</w:t>
      </w:r>
    </w:p>
    <w:p w14:paraId="2CD06401">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14.3享受中小企业扶持政策获得政府采购</w:t>
      </w:r>
      <w:r>
        <w:rPr>
          <w:rFonts w:hint="eastAsia" w:ascii="宋体" w:hAnsi="宋体" w:cs="Courier New"/>
          <w:color w:val="auto"/>
          <w:szCs w:val="21"/>
          <w:highlight w:val="none"/>
        </w:rPr>
        <w:t>合同</w:t>
      </w:r>
      <w:r>
        <w:rPr>
          <w:rFonts w:hint="eastAsia" w:ascii="宋体" w:hAnsi="宋体"/>
          <w:color w:val="auto"/>
          <w:highlight w:val="none"/>
        </w:rPr>
        <w:t>的，小微企业不得将合同分包给大中型企业，中型企业不得将合同分包给大型企业。</w:t>
      </w:r>
    </w:p>
    <w:p w14:paraId="6C54E106">
      <w:pPr>
        <w:adjustRightInd w:val="0"/>
        <w:snapToGrid w:val="0"/>
        <w:spacing w:line="360" w:lineRule="auto"/>
        <w:ind w:firstLine="420" w:firstLineChars="200"/>
        <w:rPr>
          <w:rFonts w:ascii="宋体" w:hAnsi="宋体"/>
          <w:color w:val="auto"/>
          <w:highlight w:val="none"/>
        </w:rPr>
      </w:pPr>
      <w:r>
        <w:rPr>
          <w:rFonts w:hint="eastAsia" w:ascii="宋体" w:hAnsi="宋体"/>
          <w:color w:val="auto"/>
          <w:highlight w:val="none"/>
        </w:rPr>
        <w:t>14.4分包供应商不得再次</w:t>
      </w:r>
      <w:r>
        <w:rPr>
          <w:rFonts w:hint="eastAsia" w:ascii="宋体" w:hAnsi="宋体" w:cs="Courier New"/>
          <w:color w:val="auto"/>
          <w:szCs w:val="21"/>
          <w:highlight w:val="none"/>
        </w:rPr>
        <w:t>分包</w:t>
      </w:r>
      <w:r>
        <w:rPr>
          <w:rFonts w:hint="eastAsia" w:ascii="宋体" w:hAnsi="宋体"/>
          <w:color w:val="auto"/>
          <w:highlight w:val="none"/>
        </w:rPr>
        <w:t>。</w:t>
      </w:r>
    </w:p>
    <w:p w14:paraId="4A8F88FD">
      <w:pPr>
        <w:adjustRightInd w:val="0"/>
        <w:snapToGrid w:val="0"/>
        <w:spacing w:line="360" w:lineRule="auto"/>
        <w:rPr>
          <w:rFonts w:hint="eastAsia" w:ascii="宋体" w:hAnsi="宋体" w:cs="Times New Roman"/>
          <w:b/>
          <w:bCs/>
          <w:color w:val="auto"/>
          <w:szCs w:val="21"/>
          <w:highlight w:val="none"/>
        </w:rPr>
      </w:pPr>
      <w:bookmarkStart w:id="35" w:name="_Toc107997852"/>
      <w:bookmarkStart w:id="36" w:name="_Toc107997979"/>
      <w:r>
        <w:rPr>
          <w:rFonts w:hint="eastAsia" w:ascii="宋体" w:hAnsi="宋体" w:cs="Times New Roman"/>
          <w:b/>
          <w:bCs/>
          <w:color w:val="auto"/>
          <w:szCs w:val="21"/>
          <w:highlight w:val="none"/>
        </w:rPr>
        <w:t>15.</w:t>
      </w:r>
      <w:bookmarkEnd w:id="35"/>
      <w:bookmarkEnd w:id="36"/>
      <w:r>
        <w:rPr>
          <w:rFonts w:hint="eastAsia" w:ascii="宋体" w:hAnsi="宋体" w:cs="Times New Roman"/>
          <w:b/>
          <w:bCs/>
          <w:color w:val="auto"/>
          <w:szCs w:val="21"/>
          <w:highlight w:val="none"/>
        </w:rPr>
        <w:t>电子响应文件的制作和签署</w:t>
      </w:r>
    </w:p>
    <w:p w14:paraId="14DFBC4D">
      <w:pPr>
        <w:adjustRightInd w:val="0"/>
        <w:snapToGrid w:val="0"/>
        <w:spacing w:beforeLines="50" w:line="360" w:lineRule="auto"/>
        <w:ind w:firstLine="420" w:firstLineChars="200"/>
        <w:jc w:val="left"/>
        <w:rPr>
          <w:rFonts w:ascii="宋体" w:hAnsi="宋体" w:cs="宋体"/>
          <w:color w:val="auto"/>
          <w:highlight w:val="none"/>
        </w:rPr>
      </w:pPr>
      <w:r>
        <w:rPr>
          <w:rFonts w:hint="eastAsia" w:ascii="宋体" w:hAnsi="宋体" w:cs="宋体"/>
          <w:color w:val="auto"/>
          <w:highlight w:val="none"/>
        </w:rPr>
        <w:t xml:space="preserve">15.1 </w:t>
      </w:r>
      <w:r>
        <w:rPr>
          <w:rFonts w:hint="eastAsia" w:ascii="宋体" w:hAnsi="宋体" w:cs="宋体"/>
          <w:color w:val="auto"/>
          <w:szCs w:val="21"/>
          <w:highlight w:val="none"/>
        </w:rPr>
        <w:t>供应商应在本项目获取磋商文件截止时间前登录湖南省公共资源交易统一注册平台（网址：</w:t>
      </w:r>
      <w:r>
        <w:rPr>
          <w:color w:val="auto"/>
          <w:highlight w:val="none"/>
        </w:rPr>
        <w:fldChar w:fldCharType="begin"/>
      </w:r>
      <w:r>
        <w:rPr>
          <w:color w:val="auto"/>
          <w:highlight w:val="none"/>
        </w:rPr>
        <w:instrText xml:space="preserve"> HYPERLINK "http://222.240.80.14:8888/G2/register!verification.do?systemId=4028c7b35a8cfff2015a8df8bba001fc）k" </w:instrText>
      </w:r>
      <w:r>
        <w:rPr>
          <w:color w:val="auto"/>
          <w:highlight w:val="none"/>
        </w:rPr>
        <w:fldChar w:fldCharType="separate"/>
      </w:r>
      <w:r>
        <w:rPr>
          <w:rStyle w:val="33"/>
          <w:rFonts w:hint="eastAsia" w:ascii="宋体" w:hAnsi="宋体" w:cs="宋体"/>
          <w:color w:val="auto"/>
          <w:szCs w:val="21"/>
          <w:highlight w:val="none"/>
        </w:rPr>
        <w:t>http://222.240.80.14:8888/G2/register!verification.do?systemId=4028c7b35a8cfff2015a8df8bba001fc）</w:t>
      </w:r>
      <w:r>
        <w:rPr>
          <w:rStyle w:val="33"/>
          <w:rFonts w:hint="eastAsia" w:ascii="宋体" w:hAnsi="宋体" w:cs="宋体"/>
          <w:color w:val="auto"/>
          <w:szCs w:val="21"/>
          <w:highlight w:val="none"/>
        </w:rPr>
        <w:fldChar w:fldCharType="end"/>
      </w:r>
      <w:r>
        <w:rPr>
          <w:rFonts w:hint="eastAsia" w:ascii="宋体" w:hAnsi="宋体" w:cs="宋体"/>
          <w:color w:val="auto"/>
          <w:szCs w:val="21"/>
          <w:highlight w:val="none"/>
        </w:rPr>
        <w:t>中进行账号注册和数字证书申请。</w:t>
      </w:r>
    </w:p>
    <w:p w14:paraId="6E0E8F81">
      <w:pPr>
        <w:adjustRightInd w:val="0"/>
        <w:snapToGrid w:val="0"/>
        <w:spacing w:beforeLines="50" w:line="360" w:lineRule="auto"/>
        <w:ind w:firstLine="420" w:firstLineChars="200"/>
        <w:jc w:val="left"/>
        <w:rPr>
          <w:rFonts w:ascii="宋体" w:hAnsi="宋体" w:cs="宋体"/>
          <w:color w:val="auto"/>
          <w:highlight w:val="none"/>
        </w:rPr>
      </w:pPr>
      <w:r>
        <w:rPr>
          <w:rFonts w:hint="eastAsia" w:ascii="宋体" w:hAnsi="宋体" w:cs="宋体"/>
          <w:color w:val="auto"/>
          <w:highlight w:val="none"/>
        </w:rPr>
        <w:t>15.2</w:t>
      </w:r>
      <w:r>
        <w:rPr>
          <w:rFonts w:hint="eastAsia" w:ascii="宋体" w:hAnsi="宋体" w:cs="宋体"/>
          <w:color w:val="auto"/>
          <w:szCs w:val="21"/>
          <w:highlight w:val="none"/>
        </w:rPr>
        <w:t>已完成审核的供应商应在本项目获取磋商文件截止时间前登录郴州市政府采购（非标）电子交易平台（网址：</w:t>
      </w:r>
      <w:r>
        <w:rPr>
          <w:color w:val="auto"/>
          <w:highlight w:val="none"/>
        </w:rPr>
        <w:fldChar w:fldCharType="begin"/>
      </w:r>
      <w:r>
        <w:rPr>
          <w:color w:val="auto"/>
          <w:highlight w:val="none"/>
        </w:rPr>
        <w:instrText xml:space="preserve"> HYPERLINK "http://cz.hbncp.com.cn/#/）免费获取及下载电子磋商文件。" </w:instrText>
      </w:r>
      <w:r>
        <w:rPr>
          <w:color w:val="auto"/>
          <w:highlight w:val="none"/>
        </w:rPr>
        <w:fldChar w:fldCharType="separate"/>
      </w:r>
      <w:r>
        <w:rPr>
          <w:rStyle w:val="33"/>
          <w:rFonts w:hint="eastAsia" w:ascii="宋体" w:hAnsi="宋体" w:cs="宋体"/>
          <w:color w:val="auto"/>
          <w:szCs w:val="21"/>
          <w:highlight w:val="none"/>
        </w:rPr>
        <w:t>http://cz.hbncp.com.cn/#/）</w:t>
      </w:r>
      <w:r>
        <w:rPr>
          <w:rStyle w:val="33"/>
          <w:rFonts w:hint="eastAsia" w:ascii="宋体" w:hAnsi="宋体" w:cs="宋体"/>
          <w:color w:val="auto"/>
          <w:szCs w:val="21"/>
          <w:highlight w:val="none"/>
        </w:rPr>
        <w:fldChar w:fldCharType="end"/>
      </w:r>
      <w:r>
        <w:rPr>
          <w:rFonts w:hint="eastAsia" w:ascii="宋体" w:hAnsi="宋体" w:cs="宋体"/>
          <w:color w:val="auto"/>
          <w:szCs w:val="21"/>
          <w:highlight w:val="none"/>
        </w:rPr>
        <w:t>中进行“公告”--“立即投递”--“下载文件”的操作，逾期将不能获取磋商文件。未按照相关程序操作的供应商，所产生的后果由供应商自行承担全部责任。</w:t>
      </w:r>
    </w:p>
    <w:p w14:paraId="1B69AAFA">
      <w:pPr>
        <w:adjustRightInd w:val="0"/>
        <w:snapToGrid w:val="0"/>
        <w:spacing w:beforeLines="50" w:line="360" w:lineRule="auto"/>
        <w:ind w:firstLine="420" w:firstLineChars="200"/>
        <w:jc w:val="left"/>
        <w:rPr>
          <w:rFonts w:ascii="宋体" w:hAnsi="宋体" w:cs="宋体"/>
          <w:color w:val="auto"/>
          <w:highlight w:val="none"/>
        </w:rPr>
      </w:pPr>
      <w:r>
        <w:rPr>
          <w:rFonts w:hint="eastAsia" w:ascii="宋体" w:hAnsi="宋体" w:cs="宋体"/>
          <w:color w:val="auto"/>
          <w:highlight w:val="none"/>
        </w:rPr>
        <w:t xml:space="preserve">供应商确认响应后，应当在交易平台上认可的“制作工具软件下载”制作响应文件（含澄清、说明文件）并进行固化、加密；否则将可能影响电子响应文件的上传而导致响应无效。 </w:t>
      </w:r>
    </w:p>
    <w:p w14:paraId="40AAFD16">
      <w:pPr>
        <w:adjustRightInd w:val="0"/>
        <w:snapToGrid w:val="0"/>
        <w:spacing w:beforeLines="50" w:line="360" w:lineRule="auto"/>
        <w:ind w:firstLine="420" w:firstLineChars="200"/>
        <w:jc w:val="left"/>
        <w:rPr>
          <w:rFonts w:ascii="宋体" w:hAnsi="宋体" w:cs="宋体"/>
          <w:color w:val="auto"/>
          <w:highlight w:val="none"/>
        </w:rPr>
      </w:pPr>
      <w:r>
        <w:rPr>
          <w:rFonts w:hint="eastAsia" w:ascii="宋体" w:hAnsi="宋体" w:cs="宋体"/>
          <w:color w:val="auto"/>
          <w:highlight w:val="none"/>
        </w:rPr>
        <w:t xml:space="preserve">15.3供应商应按照电子磋商文件格式及非标工具编制响应文件及综合评分表的相关资料。必须按磋商文件目录和节点对应位置上传或填写相应资料，否则，由于编制上传位置失误，系统将判断供应商未递交此项资料，由此造成的后果和责任由供应商自行承担。 </w:t>
      </w:r>
    </w:p>
    <w:p w14:paraId="1F73018C">
      <w:pPr>
        <w:adjustRightInd w:val="0"/>
        <w:snapToGrid w:val="0"/>
        <w:spacing w:beforeLines="50" w:line="360" w:lineRule="auto"/>
        <w:ind w:firstLine="420" w:firstLineChars="200"/>
        <w:jc w:val="left"/>
        <w:rPr>
          <w:rFonts w:ascii="宋体" w:hAnsi="宋体" w:cs="宋体"/>
          <w:color w:val="auto"/>
          <w:highlight w:val="none"/>
        </w:rPr>
      </w:pPr>
      <w:r>
        <w:rPr>
          <w:rFonts w:hint="eastAsia" w:ascii="宋体" w:hAnsi="宋体" w:cs="宋体"/>
          <w:color w:val="auto"/>
          <w:highlight w:val="none"/>
        </w:rPr>
        <w:t xml:space="preserve">15.4供应商应注意压缩电子文件，上传的有关扫描件的尺寸和清晰度应该能够在电脑上被阅读、识别和判断。若供应商未按要求提供证明材料或提供的仅是部分证明材料或提供不清晰的扫描件复印件，无法阅读、识别和判断的，由此可能导致的不予计分、废标等后果由供应商自行承担。 </w:t>
      </w:r>
    </w:p>
    <w:p w14:paraId="276C57E7">
      <w:pPr>
        <w:adjustRightInd w:val="0"/>
        <w:snapToGrid w:val="0"/>
        <w:spacing w:beforeLines="50" w:line="360" w:lineRule="auto"/>
        <w:ind w:firstLine="420" w:firstLineChars="200"/>
        <w:jc w:val="left"/>
        <w:rPr>
          <w:rFonts w:ascii="宋体" w:hAnsi="宋体" w:cs="宋体"/>
          <w:color w:val="auto"/>
          <w:highlight w:val="none"/>
        </w:rPr>
      </w:pPr>
      <w:r>
        <w:rPr>
          <w:rFonts w:hint="eastAsia" w:ascii="宋体" w:hAnsi="宋体" w:cs="宋体"/>
          <w:color w:val="auto"/>
          <w:szCs w:val="21"/>
          <w:highlight w:val="none"/>
        </w:rPr>
        <w:t>本项目电子响应文件容量应当控制在100MB以内（如文件大小超过100MB，请联系系统客服协助解决），请供应商注意控制文件大小。若因响应文件容量较大而影响响应的，其责任由供应商自行承担。</w:t>
      </w:r>
    </w:p>
    <w:p w14:paraId="62A095A6">
      <w:pPr>
        <w:adjustRightInd w:val="0"/>
        <w:snapToGrid w:val="0"/>
        <w:spacing w:beforeLines="50" w:line="360" w:lineRule="auto"/>
        <w:ind w:firstLine="420" w:firstLineChars="200"/>
        <w:jc w:val="left"/>
        <w:rPr>
          <w:rFonts w:ascii="宋体" w:hAnsi="宋体" w:cs="宋体"/>
          <w:color w:val="auto"/>
          <w:highlight w:val="none"/>
        </w:rPr>
      </w:pPr>
      <w:r>
        <w:rPr>
          <w:rFonts w:hint="eastAsia" w:ascii="宋体" w:hAnsi="宋体" w:cs="宋体"/>
          <w:color w:val="auto"/>
          <w:highlight w:val="none"/>
        </w:rPr>
        <w:t xml:space="preserve">15.5供应商应在电子响应文件指定签章处采用交易平台认可的 CA 数字证书（含电子印章）进行签章。 </w:t>
      </w:r>
    </w:p>
    <w:p w14:paraId="3E3BE430">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s="宋体"/>
          <w:color w:val="auto"/>
          <w:highlight w:val="none"/>
        </w:rPr>
        <w:t>15.6电子响应文件具有法律效力，若响应文件与磋商文件要求不一致，其内容影响成交结果时，责任由供应商自行承担。</w:t>
      </w:r>
    </w:p>
    <w:p w14:paraId="069DAEA7">
      <w:pPr>
        <w:adjustRightInd w:val="0"/>
        <w:snapToGrid w:val="0"/>
        <w:spacing w:line="360" w:lineRule="auto"/>
        <w:jc w:val="center"/>
        <w:outlineLvl w:val="2"/>
        <w:rPr>
          <w:rFonts w:ascii="黑体" w:hAnsi="黑体" w:eastAsia="黑体"/>
          <w:b/>
          <w:bCs/>
          <w:color w:val="auto"/>
          <w:sz w:val="28"/>
          <w:szCs w:val="28"/>
          <w:highlight w:val="none"/>
        </w:rPr>
      </w:pPr>
      <w:bookmarkStart w:id="37" w:name="_Toc31494"/>
      <w:r>
        <w:rPr>
          <w:rFonts w:hint="eastAsia" w:ascii="黑体" w:hAnsi="黑体" w:eastAsia="黑体"/>
          <w:b/>
          <w:bCs/>
          <w:color w:val="auto"/>
          <w:sz w:val="28"/>
          <w:szCs w:val="28"/>
          <w:highlight w:val="none"/>
        </w:rPr>
        <w:t>四、响应文件的递交</w:t>
      </w:r>
      <w:bookmarkEnd w:id="37"/>
    </w:p>
    <w:p w14:paraId="0757A674">
      <w:pPr>
        <w:adjustRightInd w:val="0"/>
        <w:snapToGrid w:val="0"/>
        <w:spacing w:line="360" w:lineRule="auto"/>
        <w:rPr>
          <w:rFonts w:hint="eastAsia" w:ascii="宋体" w:hAnsi="宋体" w:cs="Times New Roman"/>
          <w:b/>
          <w:bCs/>
          <w:color w:val="auto"/>
          <w:szCs w:val="21"/>
          <w:highlight w:val="none"/>
        </w:rPr>
      </w:pPr>
      <w:bookmarkStart w:id="38" w:name="_Toc107997854"/>
      <w:bookmarkStart w:id="39" w:name="_Toc107997981"/>
      <w:r>
        <w:rPr>
          <w:rFonts w:hint="eastAsia" w:ascii="宋体" w:hAnsi="宋体" w:cs="Times New Roman"/>
          <w:b/>
          <w:bCs/>
          <w:color w:val="auto"/>
          <w:szCs w:val="21"/>
          <w:highlight w:val="none"/>
        </w:rPr>
        <w:t>16.</w:t>
      </w:r>
      <w:bookmarkEnd w:id="38"/>
      <w:bookmarkEnd w:id="39"/>
      <w:r>
        <w:rPr>
          <w:rFonts w:hint="eastAsia" w:ascii="宋体" w:hAnsi="宋体" w:cs="Times New Roman"/>
          <w:b/>
          <w:bCs/>
          <w:color w:val="auto"/>
          <w:szCs w:val="21"/>
          <w:highlight w:val="none"/>
        </w:rPr>
        <w:t>电子响应文件的加密和递交</w:t>
      </w:r>
    </w:p>
    <w:p w14:paraId="172DBC24">
      <w:pPr>
        <w:pStyle w:val="12"/>
        <w:spacing w:line="360" w:lineRule="auto"/>
        <w:ind w:firstLine="420" w:firstLineChars="200"/>
        <w:rPr>
          <w:rFonts w:hAnsi="宋体" w:cs="宋体"/>
          <w:color w:val="auto"/>
          <w:highlight w:val="none"/>
        </w:rPr>
      </w:pPr>
      <w:r>
        <w:rPr>
          <w:rFonts w:hint="eastAsia" w:hAnsi="宋体" w:cs="宋体"/>
          <w:color w:val="auto"/>
          <w:highlight w:val="none"/>
        </w:rPr>
        <w:t>16.1供应商应在本项目获取磋商文件截止时间前登录郴州市公共资源（非标）电子交易平台（网址：http://cz.hbncp.com.cn/#/）进行线上上传电子响应文件。</w:t>
      </w:r>
    </w:p>
    <w:p w14:paraId="38796E8B">
      <w:pPr>
        <w:pStyle w:val="12"/>
        <w:spacing w:line="360" w:lineRule="auto"/>
        <w:ind w:firstLine="420" w:firstLineChars="200"/>
        <w:rPr>
          <w:rFonts w:hAnsi="宋体" w:cs="宋体"/>
          <w:color w:val="auto"/>
          <w:highlight w:val="none"/>
        </w:rPr>
      </w:pPr>
      <w:r>
        <w:rPr>
          <w:rFonts w:hint="eastAsia" w:hAnsi="宋体" w:cs="宋体"/>
          <w:color w:val="auto"/>
          <w:highlight w:val="none"/>
        </w:rPr>
        <w:t>16.2供应商应在本磋商文件规定的递交截止时间之前，在交易平台中递交电子响应文件，电子响应文件经过CA数字证书加密后上传递交，其它任何单位或个人均无法在递交截止时间之前查看或篡改，不存在泄密风险。供应商还需在投递页面填写本项目磋商的代表（法定代表人或授权代表人）的手机号码，以便顺利进行视频会议邀请通知。</w:t>
      </w:r>
    </w:p>
    <w:p w14:paraId="543CFBD6">
      <w:pPr>
        <w:adjustRightInd w:val="0"/>
        <w:snapToGrid w:val="0"/>
        <w:spacing w:line="360" w:lineRule="auto"/>
        <w:ind w:firstLine="420" w:firstLineChars="200"/>
        <w:jc w:val="left"/>
        <w:rPr>
          <w:rFonts w:ascii="宋体" w:hAnsi="宋体"/>
          <w:color w:val="auto"/>
          <w:szCs w:val="21"/>
          <w:highlight w:val="none"/>
        </w:rPr>
      </w:pPr>
      <w:r>
        <w:rPr>
          <w:rFonts w:hint="eastAsia" w:hAnsi="宋体" w:cs="宋体"/>
          <w:color w:val="auto"/>
          <w:highlight w:val="none"/>
        </w:rPr>
        <w:t>16.3供应商需在响应文件及最后报价规定解密截止时间前，进行响应文件的解密；未在规定时间解密的将视为未递交响应文件，其响应无效</w:t>
      </w:r>
      <w:r>
        <w:rPr>
          <w:rFonts w:hint="eastAsia" w:ascii="宋体" w:hAnsi="宋体"/>
          <w:color w:val="auto"/>
          <w:szCs w:val="21"/>
          <w:highlight w:val="none"/>
        </w:rPr>
        <w:t>。</w:t>
      </w:r>
    </w:p>
    <w:p w14:paraId="5420C86D">
      <w:pPr>
        <w:adjustRightInd w:val="0"/>
        <w:snapToGrid w:val="0"/>
        <w:spacing w:line="360" w:lineRule="auto"/>
        <w:rPr>
          <w:rFonts w:hint="eastAsia" w:ascii="宋体" w:hAnsi="宋体" w:cs="Times New Roman"/>
          <w:b/>
          <w:bCs/>
          <w:color w:val="auto"/>
          <w:szCs w:val="21"/>
          <w:highlight w:val="none"/>
        </w:rPr>
      </w:pPr>
      <w:r>
        <w:rPr>
          <w:rFonts w:hint="eastAsia" w:ascii="宋体" w:hAnsi="宋体" w:cs="Times New Roman"/>
          <w:b/>
          <w:bCs/>
          <w:color w:val="auto"/>
          <w:szCs w:val="21"/>
          <w:highlight w:val="none"/>
        </w:rPr>
        <w:t>17.电子响应文件的修改和撤回</w:t>
      </w:r>
    </w:p>
    <w:p w14:paraId="48F9C75B">
      <w:pPr>
        <w:pStyle w:val="12"/>
        <w:spacing w:line="360" w:lineRule="auto"/>
        <w:ind w:firstLine="420" w:firstLineChars="200"/>
        <w:rPr>
          <w:rFonts w:hAnsi="宋体" w:cs="宋体"/>
          <w:color w:val="auto"/>
          <w:highlight w:val="none"/>
        </w:rPr>
      </w:pPr>
      <w:r>
        <w:rPr>
          <w:rFonts w:hint="eastAsia" w:hAnsi="宋体" w:cs="宋体"/>
          <w:color w:val="auto"/>
          <w:kern w:val="0"/>
          <w:highlight w:val="none"/>
        </w:rPr>
        <w:t>17.1</w:t>
      </w:r>
      <w:r>
        <w:rPr>
          <w:rFonts w:hint="eastAsia" w:hAnsi="宋体" w:cs="宋体"/>
          <w:color w:val="auto"/>
          <w:highlight w:val="none"/>
        </w:rPr>
        <w:t>供应商在递交响应文件后，可以撤回并修改其响应文件，但供应商必须在规定的磋商截止时间之前将修改的响应文件在郴州市政府采购（非标）电子交易系统上重新递交。在递交首次响应文件截止时间之后，供应商不得要求对其响应文件做任何修改。</w:t>
      </w:r>
    </w:p>
    <w:p w14:paraId="7FF927A7">
      <w:pPr>
        <w:pStyle w:val="12"/>
        <w:spacing w:line="360" w:lineRule="auto"/>
        <w:ind w:firstLine="420" w:firstLineChars="200"/>
        <w:rPr>
          <w:rFonts w:hAnsi="宋体" w:cs="宋体"/>
          <w:color w:val="auto"/>
          <w:highlight w:val="none"/>
        </w:rPr>
      </w:pPr>
      <w:r>
        <w:rPr>
          <w:rFonts w:hint="eastAsia" w:hAnsi="宋体" w:cs="宋体"/>
          <w:color w:val="auto"/>
          <w:highlight w:val="none"/>
        </w:rPr>
        <w:t>17.2 补充、修改的内容与响应文件不一致时，以补充、修改的内容为准。</w:t>
      </w:r>
    </w:p>
    <w:p w14:paraId="2BFDF063">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宋体"/>
          <w:color w:val="auto"/>
          <w:kern w:val="0"/>
          <w:szCs w:val="21"/>
          <w:highlight w:val="none"/>
        </w:rPr>
        <w:t>17.3 采购人、采购代理机构发布了修改、澄清文件的，供应商应按照修改、澄清后的磋商文件要求重新编制响应文件并上传至交易平台</w:t>
      </w:r>
      <w:r>
        <w:rPr>
          <w:rFonts w:hint="eastAsia" w:ascii="宋体" w:hAnsi="宋体" w:cs="宋体"/>
          <w:color w:val="auto"/>
          <w:kern w:val="0"/>
          <w:szCs w:val="21"/>
          <w:highlight w:val="none"/>
          <w:lang w:val="zh-CN"/>
        </w:rPr>
        <w:t>。</w:t>
      </w:r>
    </w:p>
    <w:p w14:paraId="332D4B20">
      <w:pPr>
        <w:adjustRightInd w:val="0"/>
        <w:snapToGrid w:val="0"/>
        <w:spacing w:line="360" w:lineRule="auto"/>
        <w:rPr>
          <w:rFonts w:ascii="宋体" w:hAnsi="宋体" w:cs="宋体"/>
          <w:b/>
          <w:color w:val="auto"/>
          <w:highlight w:val="none"/>
        </w:rPr>
      </w:pPr>
      <w:bookmarkStart w:id="40" w:name="_Toc107997983"/>
      <w:bookmarkStart w:id="41" w:name="_Toc107997856"/>
      <w:r>
        <w:rPr>
          <w:rFonts w:hint="eastAsia" w:ascii="宋体" w:hAnsi="宋体" w:cs="宋体"/>
          <w:b/>
          <w:color w:val="auto"/>
          <w:highlight w:val="none"/>
        </w:rPr>
        <w:t>18.响应文件的递交与接收</w:t>
      </w:r>
      <w:bookmarkEnd w:id="40"/>
      <w:bookmarkEnd w:id="41"/>
    </w:p>
    <w:p w14:paraId="5BB99A80">
      <w:pPr>
        <w:adjustRightInd w:val="0"/>
        <w:snapToGrid w:val="0"/>
        <w:spacing w:line="360" w:lineRule="auto"/>
        <w:ind w:firstLine="420" w:firstLineChars="200"/>
        <w:rPr>
          <w:rFonts w:hAnsi="宋体" w:cs="宋体"/>
          <w:color w:val="auto"/>
          <w:kern w:val="0"/>
          <w:highlight w:val="none"/>
        </w:rPr>
      </w:pPr>
      <w:r>
        <w:rPr>
          <w:rFonts w:hint="eastAsia" w:ascii="宋体" w:hAnsi="宋体"/>
          <w:color w:val="auto"/>
          <w:szCs w:val="21"/>
          <w:highlight w:val="none"/>
        </w:rPr>
        <w:t>18.1供应商应在</w:t>
      </w:r>
      <w:r>
        <w:rPr>
          <w:rFonts w:hint="eastAsia" w:ascii="宋体" w:hAnsi="宋体"/>
          <w:b/>
          <w:color w:val="auto"/>
          <w:szCs w:val="21"/>
          <w:highlight w:val="none"/>
        </w:rPr>
        <w:t>【磋商须知前附表】</w:t>
      </w:r>
      <w:r>
        <w:rPr>
          <w:rFonts w:hint="eastAsia" w:hAnsi="宋体"/>
          <w:color w:val="auto"/>
          <w:highlight w:val="none"/>
        </w:rPr>
        <w:t>规定的</w:t>
      </w:r>
      <w:r>
        <w:rPr>
          <w:rFonts w:hint="eastAsia" w:ascii="宋体" w:hAnsi="宋体" w:cs="宋体"/>
          <w:color w:val="auto"/>
          <w:kern w:val="0"/>
          <w:szCs w:val="21"/>
          <w:highlight w:val="none"/>
        </w:rPr>
        <w:t>时间和</w:t>
      </w:r>
      <w:r>
        <w:rPr>
          <w:rFonts w:hint="eastAsia" w:ascii="宋体" w:hAnsi="宋体"/>
          <w:color w:val="auto"/>
          <w:szCs w:val="21"/>
          <w:highlight w:val="none"/>
        </w:rPr>
        <w:t>地点提交响应文件。</w:t>
      </w:r>
      <w:r>
        <w:rPr>
          <w:rFonts w:hint="eastAsia" w:hAnsi="宋体" w:cs="宋体"/>
          <w:color w:val="auto"/>
          <w:kern w:val="0"/>
          <w:highlight w:val="none"/>
        </w:rPr>
        <w:t>采购人、采购代理机构或者磋商小组拒收逾期送达的响应文件。</w:t>
      </w:r>
    </w:p>
    <w:p w14:paraId="2557404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18.2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117A217C">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（1）项目名称、政府采购计划编号；</w:t>
      </w:r>
    </w:p>
    <w:p w14:paraId="56A57550">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（2）供应商名称；</w:t>
      </w:r>
    </w:p>
    <w:p w14:paraId="4E2F4894">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（3）响应文件送达时间、地址；</w:t>
      </w:r>
    </w:p>
    <w:p w14:paraId="59EB517A">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（4）响应文件密封情况；</w:t>
      </w:r>
    </w:p>
    <w:p w14:paraId="68B168AE">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（5）采购人、采购代理机构名称；</w:t>
      </w:r>
    </w:p>
    <w:p w14:paraId="4BAB08F8">
      <w:pPr>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（6）采购人、采购代理机构接收人签字。</w:t>
      </w:r>
    </w:p>
    <w:p w14:paraId="6F49E43F">
      <w:pPr>
        <w:adjustRightInd w:val="0"/>
        <w:snapToGrid w:val="0"/>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18.3采购人、</w:t>
      </w:r>
      <w:r>
        <w:rPr>
          <w:rFonts w:hint="eastAsia" w:ascii="宋体" w:hAnsi="宋体" w:cs="Courier New"/>
          <w:bCs/>
          <w:color w:val="auto"/>
          <w:szCs w:val="21"/>
          <w:highlight w:val="none"/>
        </w:rPr>
        <w:t>采购代理机构</w:t>
      </w:r>
      <w:r>
        <w:rPr>
          <w:rFonts w:hint="eastAsia" w:ascii="宋体" w:hAnsi="宋体" w:cs="Courier New"/>
          <w:color w:val="auto"/>
          <w:szCs w:val="21"/>
          <w:highlight w:val="none"/>
        </w:rPr>
        <w:t>在按本章第2</w:t>
      </w:r>
      <w:r>
        <w:rPr>
          <w:rFonts w:ascii="宋体" w:hAnsi="宋体" w:cs="Courier New"/>
          <w:color w:val="auto"/>
          <w:szCs w:val="21"/>
          <w:highlight w:val="none"/>
        </w:rPr>
        <w:t>4</w:t>
      </w:r>
      <w:r>
        <w:rPr>
          <w:rFonts w:hint="eastAsia" w:ascii="宋体" w:hAnsi="宋体" w:cs="Courier New"/>
          <w:color w:val="auto"/>
          <w:szCs w:val="21"/>
          <w:highlight w:val="none"/>
        </w:rPr>
        <w:t>.3款规定公布供应商的最后报价前，不公开供应商的技术资料、价格和其他信息。</w:t>
      </w:r>
    </w:p>
    <w:p w14:paraId="38CDDECF">
      <w:pPr>
        <w:pStyle w:val="12"/>
        <w:adjustRightInd w:val="0"/>
        <w:snapToGrid w:val="0"/>
        <w:spacing w:line="360" w:lineRule="auto"/>
        <w:ind w:firstLine="420" w:firstLineChars="200"/>
        <w:rPr>
          <w:rFonts w:hAnsi="宋体"/>
          <w:color w:val="auto"/>
          <w:highlight w:val="none"/>
        </w:rPr>
      </w:pPr>
    </w:p>
    <w:p w14:paraId="2DD18908">
      <w:pPr>
        <w:adjustRightInd w:val="0"/>
        <w:snapToGrid w:val="0"/>
        <w:spacing w:line="360" w:lineRule="auto"/>
        <w:jc w:val="center"/>
        <w:outlineLvl w:val="2"/>
        <w:rPr>
          <w:rFonts w:ascii="黑体" w:hAnsi="黑体" w:eastAsia="黑体"/>
          <w:b/>
          <w:bCs/>
          <w:color w:val="auto"/>
          <w:sz w:val="28"/>
          <w:szCs w:val="28"/>
          <w:highlight w:val="none"/>
        </w:rPr>
      </w:pPr>
      <w:bookmarkStart w:id="42" w:name="_Toc3269"/>
      <w:r>
        <w:rPr>
          <w:rFonts w:hint="eastAsia" w:ascii="黑体" w:hAnsi="黑体" w:eastAsia="黑体"/>
          <w:b/>
          <w:bCs/>
          <w:color w:val="auto"/>
          <w:sz w:val="28"/>
          <w:szCs w:val="28"/>
          <w:highlight w:val="none"/>
        </w:rPr>
        <w:t>五、响应文件的磋商与评审</w:t>
      </w:r>
      <w:bookmarkEnd w:id="42"/>
    </w:p>
    <w:p w14:paraId="05DDBD26">
      <w:pPr>
        <w:adjustRightInd w:val="0"/>
        <w:snapToGrid w:val="0"/>
        <w:spacing w:line="360" w:lineRule="auto"/>
        <w:rPr>
          <w:rFonts w:hint="eastAsia" w:ascii="宋体" w:hAnsi="宋体" w:cs="宋体"/>
          <w:b/>
          <w:color w:val="auto"/>
          <w:highlight w:val="none"/>
        </w:rPr>
      </w:pPr>
      <w:bookmarkStart w:id="43" w:name="_Toc107997985"/>
      <w:bookmarkStart w:id="44" w:name="_Toc107997858"/>
      <w:r>
        <w:rPr>
          <w:rFonts w:hint="eastAsia" w:ascii="宋体" w:hAnsi="宋体" w:cs="宋体"/>
          <w:b/>
          <w:color w:val="auto"/>
          <w:highlight w:val="none"/>
        </w:rPr>
        <w:t>19.</w:t>
      </w:r>
      <w:bookmarkEnd w:id="43"/>
      <w:bookmarkEnd w:id="44"/>
      <w:r>
        <w:rPr>
          <w:rFonts w:hint="eastAsia" w:ascii="宋体" w:hAnsi="宋体" w:cs="宋体"/>
          <w:b/>
          <w:color w:val="auto"/>
          <w:highlight w:val="none"/>
        </w:rPr>
        <w:t>资格审查</w:t>
      </w:r>
    </w:p>
    <w:p w14:paraId="1C195930">
      <w:pPr>
        <w:pStyle w:val="34"/>
        <w:spacing w:line="360" w:lineRule="auto"/>
        <w:ind w:firstLine="420" w:firstLineChars="20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19.1 资格审查由磋商小组全体成员进行。如果供应商不再具备本章第3.1款规定的供应商资格条件时，其</w:t>
      </w:r>
      <w:r>
        <w:rPr>
          <w:rFonts w:hint="eastAsia" w:ascii="宋体" w:hAnsi="宋体" w:eastAsia="宋体" w:cs="宋体"/>
          <w:b/>
          <w:color w:val="auto"/>
          <w:sz w:val="21"/>
          <w:szCs w:val="21"/>
          <w:highlight w:val="none"/>
        </w:rPr>
        <w:t>响应文件无效</w:t>
      </w:r>
      <w:r>
        <w:rPr>
          <w:rFonts w:hint="eastAsia" w:ascii="宋体" w:hAnsi="宋体" w:eastAsia="宋体" w:cs="宋体"/>
          <w:color w:val="auto"/>
          <w:sz w:val="21"/>
          <w:szCs w:val="21"/>
          <w:highlight w:val="none"/>
        </w:rPr>
        <w:t>。</w:t>
      </w:r>
    </w:p>
    <w:p w14:paraId="5A787A64">
      <w:pPr>
        <w:pStyle w:val="34"/>
        <w:spacing w:line="360" w:lineRule="auto"/>
        <w:ind w:firstLine="420" w:firstLineChars="200"/>
        <w:rPr>
          <w:rFonts w:ascii="宋体" w:hAnsi="宋体" w:eastAsia="宋体" w:cs="宋体"/>
          <w:color w:val="auto"/>
          <w:highlight w:val="none"/>
        </w:rPr>
      </w:pPr>
      <w:r>
        <w:rPr>
          <w:rFonts w:hint="eastAsia" w:ascii="宋体" w:hAnsi="宋体" w:eastAsia="宋体" w:cs="宋体"/>
          <w:color w:val="auto"/>
          <w:sz w:val="21"/>
          <w:szCs w:val="21"/>
          <w:highlight w:val="none"/>
        </w:rPr>
        <w:t>19.2 资格审查不合格的供应商不进入磋商程序；</w:t>
      </w:r>
      <w:r>
        <w:rPr>
          <w:rFonts w:hint="eastAsia" w:ascii="宋体" w:hAnsi="宋体" w:eastAsia="宋体" w:cs="宋体"/>
          <w:b/>
          <w:bCs/>
          <w:color w:val="auto"/>
          <w:sz w:val="21"/>
          <w:szCs w:val="21"/>
          <w:highlight w:val="none"/>
        </w:rPr>
        <w:t>除本章第31.1（3）款规定的情形外，</w:t>
      </w:r>
      <w:r>
        <w:rPr>
          <w:rFonts w:hint="eastAsia" w:ascii="宋体" w:hAnsi="宋体" w:eastAsia="宋体" w:cs="宋体"/>
          <w:color w:val="auto"/>
          <w:sz w:val="21"/>
          <w:szCs w:val="21"/>
          <w:highlight w:val="none"/>
        </w:rPr>
        <w:t>资格审查合格供应商少于3家的，不得继续进行磋商采购活动。</w:t>
      </w:r>
    </w:p>
    <w:p w14:paraId="13BFA136">
      <w:pPr>
        <w:adjustRightInd w:val="0"/>
        <w:snapToGrid w:val="0"/>
        <w:spacing w:line="360" w:lineRule="auto"/>
        <w:rPr>
          <w:rFonts w:hint="eastAsia" w:ascii="宋体" w:hAnsi="宋体" w:cs="宋体"/>
          <w:b/>
          <w:color w:val="auto"/>
          <w:highlight w:val="none"/>
        </w:rPr>
      </w:pPr>
      <w:bookmarkStart w:id="45" w:name="_Toc107997860"/>
      <w:bookmarkStart w:id="46" w:name="_Toc107997987"/>
      <w:r>
        <w:rPr>
          <w:rFonts w:hint="eastAsia" w:ascii="宋体" w:hAnsi="宋体" w:cs="宋体"/>
          <w:b/>
          <w:color w:val="auto"/>
          <w:highlight w:val="none"/>
        </w:rPr>
        <w:t>20.磋商小组</w:t>
      </w:r>
      <w:bookmarkEnd w:id="45"/>
      <w:bookmarkEnd w:id="46"/>
    </w:p>
    <w:p w14:paraId="579EFB5E">
      <w:pPr>
        <w:adjustRightInd w:val="0"/>
        <w:snapToGrid w:val="0"/>
        <w:spacing w:line="360" w:lineRule="auto"/>
        <w:ind w:firstLine="420"/>
        <w:jc w:val="left"/>
        <w:rPr>
          <w:rFonts w:ascii="宋体" w:hAnsi="宋体" w:cs="宋体"/>
          <w:bCs/>
          <w:color w:val="auto"/>
          <w:szCs w:val="21"/>
          <w:highlight w:val="none"/>
        </w:rPr>
      </w:pPr>
      <w:r>
        <w:rPr>
          <w:rFonts w:hint="eastAsia" w:ascii="宋体" w:hAnsi="宋体" w:cs="宋体"/>
          <w:bCs/>
          <w:color w:val="auto"/>
          <w:szCs w:val="21"/>
          <w:highlight w:val="none"/>
        </w:rPr>
        <w:t>20.1磋商小组由采购人代表和评审专家组成。</w:t>
      </w:r>
    </w:p>
    <w:p w14:paraId="38C63745">
      <w:pPr>
        <w:adjustRightInd w:val="0"/>
        <w:snapToGrid w:val="0"/>
        <w:spacing w:line="360" w:lineRule="auto"/>
        <w:ind w:firstLine="420"/>
        <w:jc w:val="left"/>
        <w:rPr>
          <w:rFonts w:ascii="宋体" w:hAnsi="宋体" w:cs="宋体"/>
          <w:color w:val="auto"/>
          <w:szCs w:val="21"/>
          <w:highlight w:val="none"/>
        </w:rPr>
      </w:pPr>
      <w:r>
        <w:rPr>
          <w:rFonts w:hint="eastAsia" w:ascii="宋体" w:hAnsi="宋体" w:cs="宋体"/>
          <w:bCs/>
          <w:color w:val="auto"/>
          <w:szCs w:val="21"/>
          <w:highlight w:val="none"/>
        </w:rPr>
        <w:t>20.2磋商小组</w:t>
      </w:r>
      <w:r>
        <w:rPr>
          <w:rFonts w:hint="eastAsia" w:ascii="宋体" w:hAnsi="宋体" w:cs="宋体"/>
          <w:color w:val="auto"/>
          <w:szCs w:val="21"/>
          <w:highlight w:val="none"/>
        </w:rPr>
        <w:t>成员有下列情形之一的，应当回避：</w:t>
      </w:r>
    </w:p>
    <w:p w14:paraId="2763CE15">
      <w:pPr>
        <w:adjustRightInd w:val="0"/>
        <w:snapToGrid w:val="0"/>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（1）参加采购活动前 3 年内与供应商存在劳动关系；</w:t>
      </w:r>
    </w:p>
    <w:p w14:paraId="3B66D554">
      <w:pPr>
        <w:adjustRightInd w:val="0"/>
        <w:snapToGrid w:val="0"/>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（2）参加采购活动前 3 年内担任供应商的董事、监事；</w:t>
      </w:r>
    </w:p>
    <w:p w14:paraId="28BE975E">
      <w:pPr>
        <w:adjustRightInd w:val="0"/>
        <w:snapToGrid w:val="0"/>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（3）参加采购活动前 3 年内是供应商的控股股东或者实际控制人；</w:t>
      </w:r>
    </w:p>
    <w:p w14:paraId="6CE85DCF">
      <w:pPr>
        <w:adjustRightInd w:val="0"/>
        <w:snapToGrid w:val="0"/>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2D19B3FB">
      <w:pPr>
        <w:adjustRightInd w:val="0"/>
        <w:snapToGrid w:val="0"/>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63D65900">
      <w:pPr>
        <w:adjustRightInd w:val="0"/>
        <w:snapToGrid w:val="0"/>
        <w:spacing w:line="360" w:lineRule="auto"/>
        <w:ind w:firstLine="420"/>
        <w:jc w:val="left"/>
        <w:rPr>
          <w:rFonts w:ascii="宋体" w:hAnsi="宋体" w:cs="宋体"/>
          <w:color w:val="auto"/>
          <w:szCs w:val="21"/>
          <w:highlight w:val="none"/>
        </w:rPr>
      </w:pPr>
      <w:r>
        <w:rPr>
          <w:rFonts w:hint="eastAsia" w:ascii="宋体" w:hAnsi="宋体" w:cs="宋体"/>
          <w:color w:val="auto"/>
          <w:szCs w:val="21"/>
          <w:highlight w:val="none"/>
        </w:rPr>
        <w:t>20.3磋商小组成员应当按照客观、公正、审慎的原则，根据磋商文件规定的评审程序、评审方法和评审标准进行独立评审。</w:t>
      </w:r>
    </w:p>
    <w:p w14:paraId="26CC2CC2">
      <w:pPr>
        <w:adjustRightInd w:val="0"/>
        <w:snapToGrid w:val="0"/>
        <w:spacing w:line="360" w:lineRule="auto"/>
        <w:rPr>
          <w:rFonts w:hint="eastAsia" w:ascii="宋体" w:hAnsi="宋体" w:cs="宋体"/>
          <w:b/>
          <w:color w:val="auto"/>
          <w:highlight w:val="none"/>
        </w:rPr>
      </w:pPr>
      <w:bookmarkStart w:id="47" w:name="_Toc107997988"/>
      <w:bookmarkStart w:id="48" w:name="_Toc107997861"/>
      <w:r>
        <w:rPr>
          <w:rFonts w:hint="eastAsia" w:ascii="宋体" w:hAnsi="宋体" w:cs="宋体"/>
          <w:b/>
          <w:color w:val="auto"/>
          <w:highlight w:val="none"/>
        </w:rPr>
        <w:t>21.磋商程序</w:t>
      </w:r>
      <w:bookmarkEnd w:id="47"/>
      <w:bookmarkEnd w:id="48"/>
    </w:p>
    <w:p w14:paraId="2AB2E055">
      <w:pPr>
        <w:adjustRightInd w:val="0"/>
        <w:snapToGrid w:val="0"/>
        <w:spacing w:line="360" w:lineRule="auto"/>
        <w:ind w:firstLine="420"/>
        <w:jc w:val="left"/>
        <w:rPr>
          <w:rFonts w:ascii="宋体" w:hAnsi="宋体" w:cs="宋体"/>
          <w:bCs/>
          <w:color w:val="auto"/>
          <w:szCs w:val="21"/>
          <w:highlight w:val="none"/>
        </w:rPr>
      </w:pPr>
      <w:r>
        <w:rPr>
          <w:rFonts w:hint="eastAsia" w:ascii="宋体" w:hAnsi="宋体" w:cs="宋体"/>
          <w:color w:val="auto"/>
          <w:kern w:val="0"/>
          <w:szCs w:val="21"/>
          <w:highlight w:val="none"/>
        </w:rPr>
        <w:t>21.1磋商程序：响应文件的资格审查和符合性审查、磋商（包括澄清）、响应文件评审、</w:t>
      </w:r>
      <w:r>
        <w:rPr>
          <w:rFonts w:hint="eastAsia" w:ascii="宋体" w:hAnsi="宋体" w:cs="宋体"/>
          <w:bCs/>
          <w:color w:val="auto"/>
          <w:szCs w:val="21"/>
          <w:highlight w:val="none"/>
        </w:rPr>
        <w:t>提出成交供应商。其中，磋商按本章第24条进行。</w:t>
      </w:r>
    </w:p>
    <w:p w14:paraId="18E5B435">
      <w:pPr>
        <w:adjustRightInd w:val="0"/>
        <w:snapToGrid w:val="0"/>
        <w:spacing w:line="360" w:lineRule="auto"/>
        <w:ind w:firstLine="420"/>
        <w:jc w:val="left"/>
        <w:rPr>
          <w:rFonts w:ascii="宋体" w:hAnsi="宋体" w:cs="宋体"/>
          <w:bCs/>
          <w:color w:val="auto"/>
          <w:szCs w:val="21"/>
          <w:highlight w:val="none"/>
        </w:rPr>
      </w:pPr>
      <w:r>
        <w:rPr>
          <w:rFonts w:hint="eastAsia" w:ascii="宋体" w:hAnsi="宋体" w:cs="宋体"/>
          <w:bCs/>
          <w:color w:val="auto"/>
          <w:szCs w:val="21"/>
          <w:highlight w:val="none"/>
        </w:rPr>
        <w:t>21.2磋商小组应当对响应文件进行评审，并根据磋商文件规定的程序、评定成交的标准等事项与实质性响应磋商文件要求的供应商进行磋商。</w:t>
      </w:r>
    </w:p>
    <w:p w14:paraId="0D00A0A8">
      <w:pPr>
        <w:adjustRightInd w:val="0"/>
        <w:snapToGrid w:val="0"/>
        <w:spacing w:line="360" w:lineRule="auto"/>
        <w:ind w:firstLine="420"/>
        <w:jc w:val="left"/>
        <w:rPr>
          <w:rFonts w:ascii="宋体" w:hAnsi="宋体" w:cs="宋体"/>
          <w:bCs/>
          <w:color w:val="auto"/>
          <w:szCs w:val="21"/>
          <w:highlight w:val="none"/>
        </w:rPr>
      </w:pPr>
      <w:r>
        <w:rPr>
          <w:rFonts w:hint="eastAsia" w:ascii="宋体" w:hAnsi="宋体" w:cs="宋体"/>
          <w:bCs/>
          <w:color w:val="auto"/>
          <w:szCs w:val="21"/>
          <w:highlight w:val="none"/>
        </w:rPr>
        <w:t>21.3在磋商过程中磋商的任何一方不得向他人透露与磋商有关的技术资料、价格或其他信息。</w:t>
      </w:r>
    </w:p>
    <w:p w14:paraId="2FC6D516">
      <w:pPr>
        <w:adjustRightInd w:val="0"/>
        <w:snapToGrid w:val="0"/>
        <w:spacing w:line="360" w:lineRule="auto"/>
        <w:rPr>
          <w:rFonts w:hint="eastAsia" w:ascii="宋体" w:hAnsi="宋体" w:cs="宋体"/>
          <w:b/>
          <w:color w:val="auto"/>
          <w:highlight w:val="none"/>
        </w:rPr>
      </w:pPr>
      <w:bookmarkStart w:id="49" w:name="_Toc107997989"/>
      <w:bookmarkStart w:id="50" w:name="_Toc107997862"/>
      <w:r>
        <w:rPr>
          <w:rFonts w:hint="eastAsia" w:ascii="宋体" w:hAnsi="宋体" w:cs="宋体"/>
          <w:b/>
          <w:color w:val="auto"/>
          <w:highlight w:val="none"/>
        </w:rPr>
        <w:t>22.响应文件审查</w:t>
      </w:r>
      <w:bookmarkEnd w:id="49"/>
      <w:bookmarkEnd w:id="50"/>
    </w:p>
    <w:p w14:paraId="08B70734">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22.1磋商小组对响应文件(包括首次递交的响应文件、重新递交的响应文件)的有效性、完整性和对磋商文件的响应程度进行审查。</w:t>
      </w:r>
    </w:p>
    <w:p w14:paraId="11CE38DD">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22.2响应文件有下列情况之一，响应文件按无效处理，磋商小组应当告知有关供应商。</w:t>
      </w:r>
    </w:p>
    <w:p w14:paraId="57BDEFB9">
      <w:pPr>
        <w:adjustRightInd w:val="0"/>
        <w:snapToGrid w:val="0"/>
        <w:spacing w:line="360" w:lineRule="auto"/>
        <w:ind w:firstLine="420" w:firstLineChars="200"/>
        <w:rPr>
          <w:rFonts w:ascii="宋体" w:hAnsi="宋体" w:cs="宋体"/>
          <w:bCs/>
          <w:color w:val="auto"/>
          <w:szCs w:val="21"/>
          <w:highlight w:val="none"/>
        </w:rPr>
      </w:pPr>
      <w:r>
        <w:rPr>
          <w:rFonts w:hint="eastAsia" w:ascii="宋体" w:hAnsi="宋体" w:cs="宋体"/>
          <w:color w:val="auto"/>
          <w:kern w:val="0"/>
          <w:szCs w:val="21"/>
          <w:highlight w:val="none"/>
        </w:rPr>
        <w:t>（1）</w:t>
      </w:r>
      <w:r>
        <w:rPr>
          <w:rFonts w:hint="eastAsia" w:ascii="宋体" w:hAnsi="宋体" w:cs="宋体"/>
          <w:color w:val="auto"/>
          <w:szCs w:val="21"/>
          <w:highlight w:val="none"/>
        </w:rPr>
        <w:t>应交未交保证金或金额不足、保证金形式不符合磋商文件要求的；</w:t>
      </w:r>
    </w:p>
    <w:p w14:paraId="4A0B21C3">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s="宋体"/>
          <w:color w:val="auto"/>
          <w:szCs w:val="21"/>
          <w:highlight w:val="none"/>
        </w:rPr>
      </w:pPr>
      <w:r>
        <w:rPr>
          <w:rFonts w:hint="eastAsia" w:ascii="宋体" w:hAnsi="宋体" w:cs="宋体"/>
          <w:color w:val="auto"/>
          <w:kern w:val="0"/>
          <w:szCs w:val="21"/>
          <w:highlight w:val="none"/>
        </w:rPr>
        <w:t>（2）</w:t>
      </w:r>
      <w:r>
        <w:rPr>
          <w:rFonts w:hint="eastAsia" w:ascii="宋体" w:hAnsi="宋体" w:cs="宋体"/>
          <w:color w:val="auto"/>
          <w:szCs w:val="21"/>
          <w:highlight w:val="none"/>
        </w:rPr>
        <w:t>未按照磋商文件规定要求签署、盖章的；</w:t>
      </w:r>
    </w:p>
    <w:p w14:paraId="6F717586">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s="宋体"/>
          <w:color w:val="auto"/>
          <w:szCs w:val="21"/>
          <w:highlight w:val="none"/>
        </w:rPr>
      </w:pPr>
      <w:r>
        <w:rPr>
          <w:rFonts w:hint="eastAsia" w:ascii="宋体" w:hAnsi="宋体" w:cs="宋体"/>
          <w:color w:val="auto"/>
          <w:szCs w:val="21"/>
          <w:highlight w:val="none"/>
        </w:rPr>
        <w:t>（3）不满足磋商文件规定的实质性要求和条件的；</w:t>
      </w:r>
    </w:p>
    <w:p w14:paraId="3B496F3C">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s="宋体"/>
          <w:color w:val="auto"/>
          <w:szCs w:val="21"/>
          <w:highlight w:val="none"/>
        </w:rPr>
      </w:pPr>
      <w:r>
        <w:rPr>
          <w:rFonts w:hint="eastAsia" w:ascii="宋体" w:hAnsi="宋体" w:cs="宋体"/>
          <w:color w:val="auto"/>
          <w:szCs w:val="21"/>
          <w:highlight w:val="none"/>
        </w:rPr>
        <w:t>（4）法律、法规和磋商文件规定的其他响应无效情形。</w:t>
      </w:r>
    </w:p>
    <w:p w14:paraId="41F2ED10">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cs="宋体"/>
          <w:color w:val="auto"/>
          <w:szCs w:val="21"/>
          <w:highlight w:val="none"/>
        </w:rPr>
      </w:pPr>
      <w:r>
        <w:rPr>
          <w:rFonts w:hint="eastAsia" w:ascii="宋体" w:hAnsi="宋体" w:cs="宋体"/>
          <w:color w:val="auto"/>
          <w:kern w:val="0"/>
          <w:szCs w:val="21"/>
          <w:highlight w:val="none"/>
        </w:rPr>
        <w:t>22.3响应文件按无效处理的，磋商小组应拒绝其参与磋商，但属于磋商文件规定的实质性变动内容的除外。</w:t>
      </w:r>
    </w:p>
    <w:p w14:paraId="5DD0D711">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22.4磋商文件规定的实质性要求和条件见【</w:t>
      </w:r>
      <w:r>
        <w:rPr>
          <w:rFonts w:hint="eastAsia" w:ascii="宋体" w:hAnsi="宋体" w:cs="宋体"/>
          <w:b/>
          <w:color w:val="auto"/>
          <w:kern w:val="0"/>
          <w:szCs w:val="21"/>
          <w:highlight w:val="none"/>
        </w:rPr>
        <w:t>磋商须知前附表</w:t>
      </w:r>
      <w:r>
        <w:rPr>
          <w:rFonts w:hint="eastAsia" w:ascii="宋体" w:hAnsi="宋体" w:cs="宋体"/>
          <w:color w:val="auto"/>
          <w:kern w:val="0"/>
          <w:szCs w:val="21"/>
          <w:highlight w:val="none"/>
        </w:rPr>
        <w:t>】。</w:t>
      </w:r>
    </w:p>
    <w:p w14:paraId="30C85658">
      <w:pPr>
        <w:adjustRightInd w:val="0"/>
        <w:snapToGrid w:val="0"/>
        <w:spacing w:line="360" w:lineRule="auto"/>
        <w:rPr>
          <w:rFonts w:hint="eastAsia" w:ascii="宋体" w:hAnsi="宋体" w:cs="宋体"/>
          <w:b/>
          <w:color w:val="auto"/>
          <w:highlight w:val="none"/>
        </w:rPr>
      </w:pPr>
      <w:bookmarkStart w:id="51" w:name="_Toc107997863"/>
      <w:bookmarkStart w:id="52" w:name="_Toc107997990"/>
      <w:r>
        <w:rPr>
          <w:rFonts w:hint="eastAsia" w:ascii="宋体" w:hAnsi="宋体" w:cs="宋体"/>
          <w:b/>
          <w:color w:val="auto"/>
          <w:highlight w:val="none"/>
        </w:rPr>
        <w:t>23.澄清</w:t>
      </w:r>
      <w:bookmarkEnd w:id="51"/>
      <w:bookmarkEnd w:id="52"/>
    </w:p>
    <w:p w14:paraId="1FE90AC6">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23.1磋商小组在对响应文件(包括</w:t>
      </w:r>
      <w:r>
        <w:rPr>
          <w:rFonts w:hint="eastAsia" w:ascii="宋体" w:hAnsi="宋体" w:cs="宋体"/>
          <w:color w:val="auto"/>
          <w:kern w:val="0"/>
          <w:highlight w:val="none"/>
        </w:rPr>
        <w:t>首次递交的</w:t>
      </w:r>
      <w:r>
        <w:rPr>
          <w:rFonts w:hint="eastAsia" w:ascii="宋体" w:hAnsi="宋体" w:cs="宋体"/>
          <w:color w:val="auto"/>
          <w:kern w:val="0"/>
          <w:szCs w:val="21"/>
          <w:highlight w:val="none"/>
        </w:rPr>
        <w:t>响应文件、重新递交的响应文件)的有效性、完整性和对磋商文件的响应程度进行审查时，可以要求供应商对响应文件中含义不明确、同类问题表述不一致或者有明显文字和计算错误的内容等作出必要的澄清、说明或者更正。该要求应当以电子形式作出。供应商的澄清、说明或者更正应当采用电子形式，由其供应商代表签字，供应商的澄清、说明或者更正不得超出磋商文件的范围或者改变响应文件的实质性内容。</w:t>
      </w:r>
    </w:p>
    <w:p w14:paraId="08AB935F">
      <w:pPr>
        <w:adjustRightInd w:val="0"/>
        <w:snapToGrid w:val="0"/>
        <w:spacing w:line="360" w:lineRule="auto"/>
        <w:rPr>
          <w:rFonts w:hint="eastAsia" w:ascii="宋体" w:hAnsi="宋体" w:cs="宋体"/>
          <w:b/>
          <w:color w:val="auto"/>
          <w:highlight w:val="none"/>
        </w:rPr>
      </w:pPr>
      <w:bookmarkStart w:id="53" w:name="_Toc107997864"/>
      <w:bookmarkStart w:id="54" w:name="_Toc107997991"/>
      <w:r>
        <w:rPr>
          <w:rFonts w:hint="eastAsia" w:ascii="宋体" w:hAnsi="宋体" w:cs="宋体"/>
          <w:b/>
          <w:color w:val="auto"/>
          <w:highlight w:val="none"/>
        </w:rPr>
        <w:t>24.磋商的规定</w:t>
      </w:r>
      <w:bookmarkEnd w:id="53"/>
      <w:bookmarkEnd w:id="54"/>
    </w:p>
    <w:p w14:paraId="729E23B0">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24.1竞争性磋商项目的响应文件解密前，供应商需在投递页面填写本项目磋商的代表（法定代表人或授权代表人）的手机号码，</w:t>
      </w:r>
      <w:r>
        <w:rPr>
          <w:rFonts w:hint="eastAsia" w:ascii="宋体" w:hAnsi="宋体" w:cs="宋体"/>
          <w:color w:val="auto"/>
          <w:szCs w:val="21"/>
          <w:highlight w:val="none"/>
        </w:rPr>
        <w:t>以便顺利进行视频会议邀请通知</w:t>
      </w:r>
      <w:r>
        <w:rPr>
          <w:rFonts w:hint="eastAsia" w:ascii="宋体" w:hAnsi="宋体" w:cs="宋体"/>
          <w:color w:val="auto"/>
          <w:kern w:val="0"/>
          <w:szCs w:val="21"/>
          <w:highlight w:val="none"/>
        </w:rPr>
        <w:t>。供应商在解密之后，点击“解密”按键旁的“视频环境检测”确认摄像头、麦克风、网络是否通畅。</w:t>
      </w:r>
    </w:p>
    <w:p w14:paraId="5E948CA2">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投标人在开标结束后，可以提前登录郴州市政府采购（非标）电子交易平台等待磋商小组的视频磋商邀请。</w:t>
      </w:r>
    </w:p>
    <w:p w14:paraId="2804FB9C">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（1）请各投标人使用 360、QQ、谷歌（Google）浏览器登录郴州市政府采购（非标）电子交易系统，并确保电脑有麦克风及视频功能（台式电脑需具备扩音器，笔记本电脑若已配备视频通话功能，则无需另配）。</w:t>
      </w:r>
    </w:p>
    <w:p w14:paraId="71D2B571">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（2）通过郴州市政府采购（非标）电子交易系统的视频会议功能，系统机器人会电话通知投标人准备视频会议（系统机器人默认拨打投标人注册手机号码），投标人应及时接听，以免错过视频会议。</w:t>
      </w:r>
    </w:p>
    <w:p w14:paraId="1E636F87">
      <w:pPr>
        <w:adjustRightInd w:val="0"/>
        <w:snapToGrid w:val="0"/>
        <w:spacing w:line="360" w:lineRule="auto"/>
        <w:ind w:firstLine="42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（3）使用电脑端视频（推荐首选使用）：投标人接听电话后，应立即打开郴州市政府采购（非标）电子交易平台登录报名此次项目的系统账号，点击进入页面自动弹出的“进房邀请”对话框进行视频通话。</w:t>
      </w:r>
    </w:p>
    <w:p w14:paraId="6299F33E">
      <w:pPr>
        <w:adjustRightInd w:val="0"/>
        <w:snapToGrid w:val="0"/>
        <w:spacing w:line="360" w:lineRule="auto"/>
        <w:ind w:firstLine="420"/>
        <w:jc w:val="left"/>
        <w:rPr>
          <w:rFonts w:ascii="Times New Roman" w:hAnsi="Times New Roman" w:eastAsia="宋体" w:cs="Times New Roman"/>
          <w:color w:val="auto"/>
          <w:szCs w:val="24"/>
          <w:highlight w:val="none"/>
        </w:rPr>
      </w:pPr>
      <w:r>
        <w:rPr>
          <w:rFonts w:hint="eastAsia" w:ascii="宋体" w:hAnsi="宋体" w:eastAsia="宋体" w:cs="宋体"/>
          <w:color w:val="auto"/>
          <w:kern w:val="0"/>
          <w:szCs w:val="21"/>
          <w:highlight w:val="none"/>
        </w:rPr>
        <w:t>（4）使用微信小程序：投标人接听电话后，应立即在开标大厅点击“微信小程序”，扫描二维码</w:t>
      </w:r>
      <w:r>
        <w:rPr>
          <w:rFonts w:ascii="Times New Roman" w:hAnsi="Times New Roman" w:eastAsia="宋体" w:cs="Times New Roman"/>
          <w:color w:val="auto"/>
          <w:szCs w:val="24"/>
          <w:highlight w:val="none"/>
        </w:rPr>
        <w:drawing>
          <wp:inline distT="0" distB="0" distL="114300" distR="114300">
            <wp:extent cx="651510" cy="651510"/>
            <wp:effectExtent l="0" t="0" r="15240"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651510" cy="651510"/>
                    </a:xfrm>
                    <a:prstGeom prst="rect">
                      <a:avLst/>
                    </a:prstGeom>
                    <a:noFill/>
                    <a:ln w="12700">
                      <a:noFill/>
                    </a:ln>
                  </pic:spPr>
                </pic:pic>
              </a:graphicData>
            </a:graphic>
          </wp:inline>
        </w:drawing>
      </w:r>
      <w:r>
        <w:rPr>
          <w:rFonts w:hint="eastAsia" w:ascii="Times New Roman" w:hAnsi="Times New Roman" w:eastAsia="宋体" w:cs="Times New Roman"/>
          <w:color w:val="auto"/>
          <w:szCs w:val="24"/>
          <w:highlight w:val="none"/>
        </w:rPr>
        <w:t>，然后输入郴州市政府采购（非标）电子交易平台所使用的账号、密码，点击进入页面自动弹出的“邀请视频”对话框进行视频通话。</w:t>
      </w:r>
    </w:p>
    <w:p w14:paraId="5E875652">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24.2参与磋商的代表（法定代表人或授权代表人）应出示身份证明原件以供磋商小组线上核验，如在核验中发现实际参与的人员与响应文件中提供名单的信息不一致的，将拒绝其参加磋商。</w:t>
      </w:r>
    </w:p>
    <w:p w14:paraId="5E608405">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24.3供应商磋商顺序按照一毂清风平台自动生成的会议签到的顺序，由磋商小组按照磋商文件确定的磋商步骤及方法，集体与单一的供应商分别进行磋商，并给予所有符合磋商资格的供应商平等的磋商机会。</w:t>
      </w:r>
    </w:p>
    <w:p w14:paraId="77779F2D">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24.4参与磋商的供应商应当服从会议安排，根据邀请的顺序及人员名单依次进入视频会场。</w:t>
      </w:r>
    </w:p>
    <w:p w14:paraId="7D47CB2D">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24.5磋商会议开始后，供应商应及时应答磋商小组的邀请进入网络会议室。如因供应商自身原因无法进入，将视同该供应商放弃磋商资格，该供应商作无效响应处理。磋商小组不再邀请其参加后续磋商。</w:t>
      </w:r>
    </w:p>
    <w:p w14:paraId="113EC1E8">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 xml:space="preserve">24.6 磋商过程中，进入视频会场的参与磋商的代表（法定代表人或授权代表人）不得接打电话。使用微信小程序视频时可能会被外部电话打断视频，应立即挂掉电话等待呼叫。 </w:t>
      </w:r>
    </w:p>
    <w:p w14:paraId="5E1A18C6">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24.7磋商中，参与磋商的任何一方不得透露与磋商有关的其他供应商的技术资料、价格和其他信息。</w:t>
      </w:r>
    </w:p>
    <w:p w14:paraId="6696AC79">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24.8如因不可抗力情况导致视频磋商障碍，经磋商小组一致确认，磋商小组将通过网页一毂清风电子非标平台向供应商发送磋商书面确认函或随最后报价表一并书面确认。</w:t>
      </w:r>
    </w:p>
    <w:p w14:paraId="1381AFAF">
      <w:pPr>
        <w:spacing w:line="360" w:lineRule="auto"/>
        <w:ind w:firstLine="420" w:firstLineChars="200"/>
        <w:rPr>
          <w:rFonts w:ascii="宋体" w:hAnsi="宋体" w:cs="宋体"/>
          <w:color w:val="auto"/>
          <w:szCs w:val="21"/>
          <w:highlight w:val="none"/>
        </w:rPr>
      </w:pPr>
      <w:r>
        <w:rPr>
          <w:rFonts w:hint="eastAsia" w:ascii="宋体" w:hAnsi="宋体" w:cs="宋体"/>
          <w:color w:val="auto"/>
          <w:kern w:val="0"/>
          <w:szCs w:val="21"/>
          <w:highlight w:val="none"/>
        </w:rPr>
        <w:t>24.9采购代理机构采用视频录像记录磋商过程。</w:t>
      </w:r>
    </w:p>
    <w:p w14:paraId="556A343C">
      <w:pPr>
        <w:adjustRightInd w:val="0"/>
        <w:snapToGrid w:val="0"/>
        <w:spacing w:line="360" w:lineRule="auto"/>
        <w:rPr>
          <w:rFonts w:hint="eastAsia" w:ascii="宋体" w:hAnsi="宋体" w:cs="宋体"/>
          <w:b/>
          <w:color w:val="auto"/>
          <w:highlight w:val="none"/>
        </w:rPr>
      </w:pPr>
      <w:bookmarkStart w:id="55" w:name="_Toc107997992"/>
      <w:bookmarkStart w:id="56" w:name="_Toc107997865"/>
      <w:r>
        <w:rPr>
          <w:rFonts w:hint="eastAsia" w:ascii="宋体" w:hAnsi="宋体" w:cs="宋体"/>
          <w:b/>
          <w:color w:val="auto"/>
          <w:highlight w:val="none"/>
        </w:rPr>
        <w:t>25.退出</w:t>
      </w:r>
      <w:bookmarkEnd w:id="55"/>
      <w:bookmarkEnd w:id="56"/>
      <w:r>
        <w:rPr>
          <w:rFonts w:hint="eastAsia" w:ascii="宋体" w:hAnsi="宋体" w:cs="宋体"/>
          <w:b/>
          <w:color w:val="auto"/>
          <w:highlight w:val="none"/>
        </w:rPr>
        <w:t>磋商</w:t>
      </w:r>
    </w:p>
    <w:p w14:paraId="7350D808">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25.1供应商在递交最后报价之前，可以根据磋商情况退出磋商，</w:t>
      </w:r>
      <w:r>
        <w:rPr>
          <w:rFonts w:hint="eastAsia" w:ascii="宋体" w:hAnsi="宋体" w:cs="宋体"/>
          <w:color w:val="auto"/>
          <w:kern w:val="0"/>
          <w:highlight w:val="none"/>
        </w:rPr>
        <w:t>并以电子形式通知采购人、采购代理机构或者磋商小组。</w:t>
      </w:r>
      <w:r>
        <w:rPr>
          <w:rFonts w:hint="eastAsia" w:ascii="宋体" w:hAnsi="宋体" w:cs="宋体"/>
          <w:color w:val="auto"/>
          <w:highlight w:val="none"/>
        </w:rPr>
        <w:t>该通知由供应商代表签字。采购人、</w:t>
      </w:r>
      <w:r>
        <w:rPr>
          <w:rFonts w:hint="eastAsia" w:ascii="宋体" w:hAnsi="宋体" w:cs="宋体"/>
          <w:color w:val="auto"/>
          <w:kern w:val="0"/>
          <w:szCs w:val="21"/>
          <w:highlight w:val="none"/>
        </w:rPr>
        <w:t>采购代理机构</w:t>
      </w:r>
      <w:r>
        <w:rPr>
          <w:rFonts w:hint="eastAsia" w:ascii="宋体" w:hAnsi="宋体" w:cs="宋体"/>
          <w:color w:val="auto"/>
          <w:kern w:val="0"/>
          <w:highlight w:val="none"/>
        </w:rPr>
        <w:t>按</w:t>
      </w:r>
      <w:r>
        <w:rPr>
          <w:rFonts w:hint="eastAsia" w:ascii="宋体" w:hAnsi="宋体" w:cs="宋体"/>
          <w:color w:val="auto"/>
          <w:kern w:val="0"/>
          <w:szCs w:val="21"/>
          <w:highlight w:val="none"/>
        </w:rPr>
        <w:t>本章第</w:t>
      </w:r>
      <w:r>
        <w:rPr>
          <w:rFonts w:hint="eastAsia" w:ascii="宋体" w:hAnsi="宋体" w:cs="宋体"/>
          <w:color w:val="auto"/>
          <w:highlight w:val="none"/>
        </w:rPr>
        <w:t>12.4</w:t>
      </w:r>
      <w:r>
        <w:rPr>
          <w:rFonts w:hint="eastAsia" w:ascii="宋体" w:hAnsi="宋体" w:cs="宋体"/>
          <w:color w:val="auto"/>
          <w:kern w:val="0"/>
          <w:szCs w:val="21"/>
          <w:highlight w:val="none"/>
          <w:lang w:val="zh-CN"/>
        </w:rPr>
        <w:t>款</w:t>
      </w:r>
      <w:r>
        <w:rPr>
          <w:rFonts w:hint="eastAsia" w:ascii="宋体" w:hAnsi="宋体" w:cs="宋体"/>
          <w:color w:val="auto"/>
          <w:highlight w:val="none"/>
        </w:rPr>
        <w:t>规定</w:t>
      </w:r>
      <w:r>
        <w:rPr>
          <w:rFonts w:hint="eastAsia" w:ascii="宋体" w:hAnsi="宋体" w:cs="宋体"/>
          <w:color w:val="auto"/>
          <w:kern w:val="0"/>
          <w:szCs w:val="21"/>
          <w:highlight w:val="none"/>
        </w:rPr>
        <w:t>退还退出磋商的供应商的保证金。</w:t>
      </w:r>
    </w:p>
    <w:p w14:paraId="79DA03FA">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25.2供应商参与磋商，但未递交最后报价又未按前款规定退出磋商的，磋商保证金不予退还。</w:t>
      </w:r>
    </w:p>
    <w:p w14:paraId="75A380D9">
      <w:pPr>
        <w:adjustRightInd w:val="0"/>
        <w:snapToGrid w:val="0"/>
        <w:spacing w:line="360" w:lineRule="auto"/>
        <w:rPr>
          <w:rFonts w:hint="eastAsia" w:ascii="宋体" w:hAnsi="宋体" w:cs="宋体"/>
          <w:b/>
          <w:color w:val="auto"/>
          <w:highlight w:val="none"/>
        </w:rPr>
      </w:pPr>
      <w:bookmarkStart w:id="57" w:name="_Toc107997866"/>
      <w:bookmarkStart w:id="58" w:name="_Toc107997993"/>
      <w:r>
        <w:rPr>
          <w:rFonts w:hint="eastAsia" w:ascii="宋体" w:hAnsi="宋体" w:cs="宋体"/>
          <w:b/>
          <w:color w:val="auto"/>
          <w:highlight w:val="none"/>
        </w:rPr>
        <w:t>26.最后报价</w:t>
      </w:r>
      <w:bookmarkEnd w:id="57"/>
      <w:bookmarkEnd w:id="58"/>
    </w:p>
    <w:p w14:paraId="77D9F075">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26.1磋商结束后，磋商小组按本章第22.2款规定对响应文件或重新递交的响应文件进行审查。响应文件不符合磋商文件规定的实质性要求和条件的，磋商小组不得要求供应商递交最后报价，也不得接受供应商递交的最后报价。符合磋商文件规定的实质性要求和条件的供应商不少于3家的，磋商小组应当要求符合磋商文件规定的实质性要求和条件的供应商在规定时间内递交最后报价。最后报价应由供应商代表签字或者加盖供应商单位公章。</w:t>
      </w:r>
    </w:p>
    <w:p w14:paraId="62CB50D7">
      <w:pPr>
        <w:adjustRightInd w:val="0"/>
        <w:snapToGrid w:val="0"/>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（1）磋商文件能够详细列明采购需求的技术、服务要求的，磋商结束后，磋商小组应当要求所有供应商在规定时间内递交最后报价。</w:t>
      </w:r>
    </w:p>
    <w:p w14:paraId="06971D18">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递交最后报价。</w:t>
      </w:r>
    </w:p>
    <w:p w14:paraId="66801981">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26.2下列情形，磋商小组确认符合磋商文件规定的实质性要求和条件的供应商不少于3家，可以不与供应商磋商，直接要求符合磋商文件规定的实质性要求和条件的供应商递交最后报价。</w:t>
      </w:r>
    </w:p>
    <w:p w14:paraId="23E2B8AD">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（1）磋商文件未明确可能实质性变动的；</w:t>
      </w:r>
    </w:p>
    <w:p w14:paraId="73BB8C0D">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（2）磋商文件明确可能实质性变动，但磋商小组对供应商递交的首次响应文件的有效性、完整性和响应程度进行审查后，认为磋商文件不需发生实质性变动、不需要磋商的。</w:t>
      </w:r>
    </w:p>
    <w:p w14:paraId="2009A205">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26.3磋商小组应召集所有递交最后报价的供应商，逐一</w:t>
      </w:r>
      <w:r>
        <w:rPr>
          <w:rFonts w:hint="eastAsia" w:ascii="宋体" w:hAnsi="宋体" w:cs="宋体"/>
          <w:bCs/>
          <w:color w:val="auto"/>
          <w:szCs w:val="21"/>
          <w:highlight w:val="none"/>
        </w:rPr>
        <w:t>公布</w:t>
      </w:r>
      <w:r>
        <w:rPr>
          <w:rFonts w:hint="eastAsia" w:ascii="宋体" w:hAnsi="宋体" w:cs="宋体"/>
          <w:color w:val="auto"/>
          <w:kern w:val="0"/>
          <w:szCs w:val="21"/>
          <w:highlight w:val="none"/>
          <w:lang w:val="zh-CN"/>
        </w:rPr>
        <w:t>供应商的</w:t>
      </w:r>
      <w:r>
        <w:rPr>
          <w:rFonts w:hint="eastAsia" w:ascii="宋体" w:hAnsi="宋体" w:cs="宋体"/>
          <w:bCs/>
          <w:color w:val="auto"/>
          <w:szCs w:val="21"/>
          <w:highlight w:val="none"/>
        </w:rPr>
        <w:t>最</w:t>
      </w:r>
      <w:r>
        <w:rPr>
          <w:rFonts w:hint="eastAsia" w:ascii="宋体" w:hAnsi="宋体" w:cs="宋体"/>
          <w:color w:val="auto"/>
          <w:kern w:val="0"/>
          <w:szCs w:val="21"/>
          <w:highlight w:val="none"/>
          <w:lang w:val="zh-CN"/>
        </w:rPr>
        <w:t>后</w:t>
      </w:r>
      <w:r>
        <w:rPr>
          <w:rFonts w:hint="eastAsia" w:ascii="宋体" w:hAnsi="宋体" w:cs="宋体"/>
          <w:bCs/>
          <w:color w:val="auto"/>
          <w:szCs w:val="21"/>
          <w:highlight w:val="none"/>
        </w:rPr>
        <w:t>报价</w:t>
      </w:r>
      <w:r>
        <w:rPr>
          <w:rFonts w:hint="eastAsia" w:ascii="宋体" w:hAnsi="宋体" w:cs="宋体"/>
          <w:color w:val="auto"/>
          <w:kern w:val="0"/>
          <w:szCs w:val="21"/>
          <w:highlight w:val="none"/>
        </w:rPr>
        <w:t>，由采购人、采购代理机构负责记录，并由供应商代表签字确认后随采购文件一并存档。</w:t>
      </w:r>
    </w:p>
    <w:p w14:paraId="78B35552">
      <w:pPr>
        <w:adjustRightInd w:val="0"/>
        <w:snapToGrid w:val="0"/>
        <w:spacing w:line="360" w:lineRule="auto"/>
        <w:rPr>
          <w:rFonts w:hint="eastAsia" w:ascii="宋体" w:hAnsi="宋体" w:cs="宋体"/>
          <w:b/>
          <w:color w:val="auto"/>
          <w:highlight w:val="none"/>
        </w:rPr>
      </w:pPr>
      <w:bookmarkStart w:id="59" w:name="_Toc107997994"/>
      <w:bookmarkStart w:id="60" w:name="_Toc107997867"/>
      <w:r>
        <w:rPr>
          <w:rFonts w:hint="eastAsia" w:ascii="宋体" w:hAnsi="宋体" w:cs="宋体"/>
          <w:b/>
          <w:color w:val="auto"/>
          <w:highlight w:val="none"/>
        </w:rPr>
        <w:t>27.异常报价</w:t>
      </w:r>
      <w:bookmarkEnd w:id="59"/>
      <w:bookmarkEnd w:id="60"/>
    </w:p>
    <w:p w14:paraId="68E29EA7">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bCs/>
          <w:color w:val="auto"/>
          <w:szCs w:val="21"/>
          <w:highlight w:val="none"/>
        </w:rPr>
        <w:t>27．1磋商小组认为供应商的报价明显低于其他通过资格审查和符合性审查供应商的报价，有可能影响产品质量或者不能诚信履约的，应当要求其在磋商现场合理的时间内提供电子形式的说明，必要时递交相关证明材料；供应商不能证明其报价合理性的，磋商小组应当将其作为响应无效处理。</w:t>
      </w:r>
    </w:p>
    <w:p w14:paraId="42109523">
      <w:pPr>
        <w:adjustRightInd w:val="0"/>
        <w:snapToGrid w:val="0"/>
        <w:spacing w:line="360" w:lineRule="auto"/>
        <w:rPr>
          <w:rFonts w:hint="eastAsia" w:ascii="宋体" w:hAnsi="宋体" w:cs="宋体"/>
          <w:b/>
          <w:color w:val="auto"/>
          <w:highlight w:val="none"/>
        </w:rPr>
      </w:pPr>
      <w:r>
        <w:rPr>
          <w:rFonts w:hint="eastAsia" w:ascii="宋体" w:hAnsi="宋体" w:cs="宋体"/>
          <w:b/>
          <w:color w:val="auto"/>
          <w:highlight w:val="none"/>
        </w:rPr>
        <w:t>28.响应文件评审</w:t>
      </w:r>
    </w:p>
    <w:p w14:paraId="44714022">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28.1经磋商确定最终采购需求和递交最后报价的供应商后，由磋商小组采用综合评分法对递交最后报价的供应商的响应文件和最后报价进行综合评价。</w:t>
      </w:r>
    </w:p>
    <w:p w14:paraId="3D45CE72">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28.2综合评分法，是指响应文件满足磋商文件全部实质性要求且按评审因素的量化指标评审得分最高的供应商为成交候选供应商的评审方法。本采购项目的评审因素和标准见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bCs/>
          <w:color w:val="auto"/>
          <w:szCs w:val="21"/>
          <w:highlight w:val="none"/>
        </w:rPr>
        <w:t>磋商须知前附表。</w:t>
      </w:r>
    </w:p>
    <w:p w14:paraId="56A5CBB6">
      <w:pPr>
        <w:adjustRightInd w:val="0"/>
        <w:snapToGrid w:val="0"/>
        <w:spacing w:beforeLines="50" w:line="360" w:lineRule="auto"/>
        <w:ind w:firstLine="420" w:firstLineChars="200"/>
        <w:jc w:val="left"/>
        <w:rPr>
          <w:rFonts w:ascii="宋体" w:hAnsi="宋体" w:cs="宋体"/>
          <w:bCs/>
          <w:color w:val="auto"/>
          <w:szCs w:val="21"/>
          <w:highlight w:val="none"/>
        </w:rPr>
      </w:pPr>
      <w:r>
        <w:rPr>
          <w:rFonts w:hint="eastAsia" w:ascii="宋体" w:hAnsi="宋体" w:cs="宋体"/>
          <w:color w:val="auto"/>
          <w:kern w:val="0"/>
          <w:szCs w:val="21"/>
          <w:highlight w:val="none"/>
        </w:rPr>
        <w:t>28.3</w:t>
      </w:r>
      <w:r>
        <w:rPr>
          <w:rFonts w:hint="eastAsia" w:ascii="宋体" w:hAnsi="宋体" w:cs="宋体"/>
          <w:color w:val="auto"/>
          <w:szCs w:val="21"/>
          <w:highlight w:val="none"/>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w:t>
      </w:r>
    </w:p>
    <w:p w14:paraId="12BD1715">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28.4综合评分法中的价格分采用低价优先法计算，即满足磋商文件要求且最后报价最低的供应商的价格为磋商基准价，其价格分为满分。其他供应商的价格分按照下列公式计算：</w:t>
      </w:r>
    </w:p>
    <w:p w14:paraId="7DC35B5F">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磋商报价得分=（磋商基准价/最后报价）×价格权值×100</w:t>
      </w:r>
    </w:p>
    <w:p w14:paraId="1256DF37">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项目评审过程中，不得去掉最后报价中的最高报价和最低报价。</w:t>
      </w:r>
    </w:p>
    <w:p w14:paraId="72779AF1">
      <w:pPr>
        <w:adjustRightInd w:val="0"/>
        <w:snapToGrid w:val="0"/>
        <w:spacing w:beforeLines="50" w:line="360" w:lineRule="auto"/>
        <w:ind w:firstLine="420" w:firstLineChars="200"/>
        <w:jc w:val="left"/>
        <w:rPr>
          <w:rFonts w:ascii="宋体" w:hAnsi="宋体" w:cs="宋体"/>
          <w:color w:val="auto"/>
          <w:szCs w:val="21"/>
          <w:highlight w:val="none"/>
        </w:rPr>
      </w:pPr>
      <w:r>
        <w:rPr>
          <w:rFonts w:hint="eastAsia" w:ascii="宋体" w:hAnsi="宋体" w:cs="宋体"/>
          <w:bCs/>
          <w:color w:val="auto"/>
          <w:szCs w:val="21"/>
          <w:highlight w:val="none"/>
        </w:rPr>
        <w:t>28.5</w:t>
      </w:r>
      <w:r>
        <w:rPr>
          <w:rFonts w:hint="eastAsia" w:ascii="宋体" w:hAnsi="宋体" w:cs="宋体"/>
          <w:color w:val="auto"/>
          <w:szCs w:val="21"/>
          <w:highlight w:val="none"/>
        </w:rPr>
        <w:t>涉及政府采购政策优惠对供应商分值进行调整的，</w:t>
      </w:r>
      <w:r>
        <w:rPr>
          <w:rFonts w:hint="eastAsia" w:ascii="宋体" w:hAnsi="宋体" w:cs="宋体"/>
          <w:bCs/>
          <w:color w:val="auto"/>
          <w:szCs w:val="21"/>
          <w:highlight w:val="none"/>
        </w:rPr>
        <w:t>按</w:t>
      </w:r>
      <w:r>
        <w:rPr>
          <w:rFonts w:hint="eastAsia" w:ascii="宋体" w:hAnsi="宋体" w:cs="宋体"/>
          <w:b/>
          <w:color w:val="auto"/>
          <w:szCs w:val="21"/>
          <w:highlight w:val="none"/>
        </w:rPr>
        <w:t>磋商须知前附表</w:t>
      </w:r>
      <w:r>
        <w:rPr>
          <w:rFonts w:hint="eastAsia" w:ascii="宋体" w:hAnsi="宋体" w:cs="宋体"/>
          <w:bCs/>
          <w:color w:val="auto"/>
          <w:szCs w:val="21"/>
          <w:highlight w:val="none"/>
        </w:rPr>
        <w:t>规定</w:t>
      </w:r>
      <w:r>
        <w:rPr>
          <w:rFonts w:hint="eastAsia" w:ascii="宋体" w:hAnsi="宋体" w:cs="宋体"/>
          <w:color w:val="auto"/>
          <w:szCs w:val="21"/>
          <w:highlight w:val="none"/>
        </w:rPr>
        <w:t>调整供应商的技术、商务、价格</w:t>
      </w:r>
      <w:r>
        <w:rPr>
          <w:rFonts w:hint="eastAsia" w:ascii="宋体" w:hAnsi="宋体" w:cs="宋体"/>
          <w:color w:val="auto"/>
          <w:kern w:val="0"/>
          <w:szCs w:val="21"/>
          <w:highlight w:val="none"/>
        </w:rPr>
        <w:t>得分或总得分</w:t>
      </w:r>
      <w:r>
        <w:rPr>
          <w:rFonts w:hint="eastAsia" w:ascii="宋体" w:hAnsi="宋体" w:cs="宋体"/>
          <w:color w:val="auto"/>
          <w:szCs w:val="21"/>
          <w:highlight w:val="none"/>
        </w:rPr>
        <w:t>。</w:t>
      </w:r>
    </w:p>
    <w:p w14:paraId="6FCDEA44">
      <w:pPr>
        <w:adjustRightInd w:val="0"/>
        <w:snapToGrid w:val="0"/>
        <w:spacing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28.6涉及多处或部分获得政府采购政策优惠的，其多处或部分享受政府采购优惠政策的计算方法见</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相关规定。</w:t>
      </w:r>
    </w:p>
    <w:p w14:paraId="68B1B392">
      <w:pPr>
        <w:adjustRightInd w:val="0"/>
        <w:snapToGrid w:val="0"/>
        <w:spacing w:beforeLines="50" w:line="360" w:lineRule="auto"/>
        <w:ind w:firstLine="420" w:firstLineChars="200"/>
        <w:jc w:val="left"/>
        <w:rPr>
          <w:rFonts w:ascii="宋体" w:hAnsi="宋体" w:cs="宋体"/>
          <w:color w:val="auto"/>
          <w:szCs w:val="21"/>
          <w:highlight w:val="none"/>
        </w:rPr>
      </w:pPr>
      <w:r>
        <w:rPr>
          <w:rFonts w:hint="eastAsia" w:ascii="宋体" w:hAnsi="宋体" w:cs="宋体"/>
          <w:color w:val="auto"/>
          <w:kern w:val="0"/>
          <w:szCs w:val="21"/>
          <w:highlight w:val="none"/>
        </w:rPr>
        <w:t>28.7</w:t>
      </w:r>
      <w:r>
        <w:rPr>
          <w:rFonts w:hint="eastAsia" w:ascii="宋体" w:hAnsi="宋体" w:cs="宋体"/>
          <w:color w:val="auto"/>
          <w:szCs w:val="21"/>
          <w:highlight w:val="none"/>
        </w:rPr>
        <w:t>评审时，磋商小组各成员应当独立对每个供应商的</w:t>
      </w:r>
      <w:r>
        <w:rPr>
          <w:rFonts w:hint="eastAsia" w:ascii="宋体" w:hAnsi="宋体" w:cs="宋体"/>
          <w:bCs/>
          <w:color w:val="auto"/>
          <w:szCs w:val="21"/>
          <w:highlight w:val="none"/>
        </w:rPr>
        <w:t>响应文件</w:t>
      </w:r>
      <w:r>
        <w:rPr>
          <w:rFonts w:hint="eastAsia" w:ascii="宋体" w:hAnsi="宋体" w:cs="宋体"/>
          <w:color w:val="auto"/>
          <w:szCs w:val="21"/>
          <w:highlight w:val="none"/>
        </w:rPr>
        <w:t>进行评价、评分，并按照政府采购优惠政策对最后报价进行价格扣除和技术、商务、价格加分后，汇总各供应商的总得分。</w:t>
      </w:r>
    </w:p>
    <w:p w14:paraId="331E6A8E">
      <w:pPr>
        <w:adjustRightInd w:val="0"/>
        <w:snapToGrid w:val="0"/>
        <w:spacing w:line="360" w:lineRule="auto"/>
        <w:rPr>
          <w:rFonts w:hint="eastAsia" w:ascii="宋体" w:hAnsi="宋体" w:cs="宋体"/>
          <w:b/>
          <w:color w:val="auto"/>
          <w:highlight w:val="none"/>
        </w:rPr>
      </w:pPr>
      <w:r>
        <w:rPr>
          <w:rFonts w:hint="eastAsia" w:ascii="宋体" w:hAnsi="宋体" w:cs="宋体"/>
          <w:b/>
          <w:color w:val="auto"/>
          <w:highlight w:val="none"/>
        </w:rPr>
        <w:t>29.提出成交供应商</w:t>
      </w:r>
    </w:p>
    <w:p w14:paraId="768CBBE6">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29.1</w:t>
      </w:r>
      <w:r>
        <w:rPr>
          <w:rFonts w:hint="eastAsia" w:ascii="宋体" w:hAnsi="宋体" w:cs="宋体"/>
          <w:color w:val="auto"/>
          <w:szCs w:val="21"/>
          <w:highlight w:val="none"/>
        </w:rPr>
        <w:t>磋商小组应当根据综合评分情况，按照评审得分由高到低顺序推荐3名以上成交候选供应商，并编写评审报告。评审总得分相同的，依次按照最后报价得分、技术得分由高到低的顺序排序。评审总得分且最后报价得分相同且技术得分均相同的，由采购人随机抽取确定排序。</w:t>
      </w:r>
    </w:p>
    <w:p w14:paraId="595F176A">
      <w:pPr>
        <w:adjustRightInd w:val="0"/>
        <w:snapToGrid w:val="0"/>
        <w:spacing w:line="360" w:lineRule="auto"/>
        <w:ind w:firstLine="420"/>
        <w:jc w:val="left"/>
        <w:rPr>
          <w:rFonts w:ascii="宋体" w:hAnsi="宋体" w:cs="宋体"/>
          <w:bCs/>
          <w:color w:val="auto"/>
          <w:szCs w:val="21"/>
          <w:highlight w:val="none"/>
        </w:rPr>
      </w:pPr>
      <w:r>
        <w:rPr>
          <w:rFonts w:hint="eastAsia" w:ascii="宋体" w:hAnsi="宋体" w:cs="宋体"/>
          <w:color w:val="auto"/>
          <w:kern w:val="0"/>
          <w:szCs w:val="21"/>
          <w:highlight w:val="none"/>
        </w:rPr>
        <w:t>29.2</w:t>
      </w:r>
      <w:r>
        <w:rPr>
          <w:rFonts w:hint="eastAsia" w:ascii="宋体" w:hAnsi="宋体" w:cs="宋体"/>
          <w:color w:val="auto"/>
          <w:szCs w:val="21"/>
          <w:highlight w:val="none"/>
        </w:rPr>
        <w:t>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1BDD2AE9">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bCs/>
          <w:color w:val="auto"/>
          <w:szCs w:val="21"/>
          <w:highlight w:val="none"/>
        </w:rPr>
        <w:t>29.3</w:t>
      </w:r>
      <w:r>
        <w:rPr>
          <w:rFonts w:hint="eastAsia" w:ascii="宋体" w:hAnsi="宋体" w:cs="宋体"/>
          <w:color w:val="auto"/>
          <w:kern w:val="0"/>
          <w:szCs w:val="21"/>
          <w:highlight w:val="none"/>
        </w:rPr>
        <w:t>最后报价有算术错误的，除</w:t>
      </w:r>
      <w:r>
        <w:rPr>
          <w:rFonts w:hint="eastAsia" w:ascii="宋体" w:hAnsi="宋体" w:cs="宋体"/>
          <w:b/>
          <w:color w:val="auto"/>
          <w:szCs w:val="21"/>
          <w:highlight w:val="none"/>
        </w:rPr>
        <w:t>【磋商须知前附表】</w:t>
      </w:r>
      <w:r>
        <w:rPr>
          <w:rFonts w:hint="eastAsia" w:ascii="宋体" w:hAnsi="宋体" w:cs="宋体"/>
          <w:color w:val="auto"/>
          <w:kern w:val="0"/>
          <w:szCs w:val="21"/>
          <w:highlight w:val="none"/>
        </w:rPr>
        <w:t>另有规定外，磋商小组按以下原则对报价进行修正，修正后的价格经供应商电子形式的确认，并由供应商代表签字或者加盖单位公章确认后产生约束力，供应商不接受修正价格的或者不确认的，其报价作无效报价处理，其响应无效。</w:t>
      </w:r>
    </w:p>
    <w:p w14:paraId="248248FB">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（1）大写金额与小写金额不一致的，以大写金额为准。</w:t>
      </w:r>
    </w:p>
    <w:p w14:paraId="435F1A5C">
      <w:pPr>
        <w:adjustRightInd w:val="0"/>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（2）总价金额与按单价汇总金额不一致的，以单价金额计算结果为准。</w:t>
      </w:r>
    </w:p>
    <w:p w14:paraId="512836D5">
      <w:pPr>
        <w:adjustRightInd w:val="0"/>
        <w:snapToGrid w:val="0"/>
        <w:spacing w:line="360" w:lineRule="auto"/>
        <w:ind w:firstLine="420" w:firstLineChars="200"/>
        <w:jc w:val="left"/>
        <w:rPr>
          <w:rFonts w:ascii="宋体" w:hAnsi="宋体" w:cs="宋体"/>
          <w:color w:val="auto"/>
          <w:szCs w:val="21"/>
          <w:highlight w:val="none"/>
        </w:rPr>
      </w:pPr>
    </w:p>
    <w:p w14:paraId="602D436A">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29.4最后报价的评审</w:t>
      </w:r>
    </w:p>
    <w:p w14:paraId="163BE6A8">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（1）如果有算术错误，最后报价将按上款规定进行算术修正。</w:t>
      </w:r>
    </w:p>
    <w:p w14:paraId="6D202CB1">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（2）需落实政府采购政策（优先采购、价格评审优惠）的，按本章本节第40条、第41条等相关规定进行价格扣除。</w:t>
      </w:r>
    </w:p>
    <w:p w14:paraId="68943AD5">
      <w:pPr>
        <w:adjustRightInd w:val="0"/>
        <w:snapToGrid w:val="0"/>
        <w:spacing w:line="360" w:lineRule="auto"/>
        <w:rPr>
          <w:rFonts w:hint="eastAsia" w:ascii="宋体" w:hAnsi="宋体" w:cs="宋体"/>
          <w:b/>
          <w:color w:val="auto"/>
          <w:highlight w:val="none"/>
        </w:rPr>
      </w:pPr>
      <w:bookmarkStart w:id="61" w:name="_Toc107997996"/>
      <w:bookmarkStart w:id="62" w:name="_Toc107997869"/>
      <w:r>
        <w:rPr>
          <w:rFonts w:hint="eastAsia" w:ascii="宋体" w:hAnsi="宋体" w:cs="宋体"/>
          <w:b/>
          <w:color w:val="auto"/>
          <w:highlight w:val="none"/>
        </w:rPr>
        <w:t>30.确定成交供应商</w:t>
      </w:r>
      <w:bookmarkEnd w:id="61"/>
      <w:bookmarkEnd w:id="62"/>
    </w:p>
    <w:p w14:paraId="1D642A9B">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30.1采购代理机构应当在评审结束后2个工作日内将评审报告送采购人确认。</w:t>
      </w:r>
    </w:p>
    <w:p w14:paraId="6B7E29A3">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30.2采购人应当在收到评审报告后5个工作日内，从评审报告提出的成交候选供应商中，按照排序由高到低的原则确定成交供应商，也可以书面授权磋商小组直接确定成交供应商。</w:t>
      </w:r>
    </w:p>
    <w:p w14:paraId="5ACCC261">
      <w:pPr>
        <w:adjustRightInd w:val="0"/>
        <w:snapToGrid w:val="0"/>
        <w:spacing w:line="360" w:lineRule="auto"/>
        <w:ind w:firstLine="420"/>
        <w:jc w:val="left"/>
        <w:rPr>
          <w:rFonts w:ascii="宋体" w:hAnsi="宋体" w:cs="宋体"/>
          <w:bCs/>
          <w:color w:val="auto"/>
          <w:szCs w:val="21"/>
          <w:highlight w:val="none"/>
        </w:rPr>
      </w:pPr>
      <w:r>
        <w:rPr>
          <w:rFonts w:hint="eastAsia" w:ascii="宋体" w:hAnsi="宋体" w:cs="宋体"/>
          <w:color w:val="auto"/>
          <w:kern w:val="0"/>
          <w:szCs w:val="21"/>
          <w:highlight w:val="none"/>
        </w:rPr>
        <w:t>30.3成交候选人并列的，由采购人自行确定成交供应商（</w:t>
      </w:r>
      <w:r>
        <w:rPr>
          <w:rFonts w:hint="eastAsia" w:ascii="宋体" w:hAnsi="宋体" w:cs="宋体"/>
          <w:color w:val="auto"/>
          <w:szCs w:val="21"/>
          <w:highlight w:val="none"/>
        </w:rPr>
        <w:t>由采购人随机抽取确定排序）。</w:t>
      </w:r>
    </w:p>
    <w:p w14:paraId="0E861EB9">
      <w:pPr>
        <w:adjustRightInd w:val="0"/>
        <w:snapToGrid w:val="0"/>
        <w:spacing w:line="360" w:lineRule="auto"/>
        <w:rPr>
          <w:rFonts w:hint="eastAsia" w:ascii="宋体" w:hAnsi="宋体" w:cs="宋体"/>
          <w:b/>
          <w:color w:val="auto"/>
          <w:highlight w:val="none"/>
        </w:rPr>
      </w:pPr>
      <w:bookmarkStart w:id="63" w:name="_Toc107997871"/>
      <w:bookmarkStart w:id="64" w:name="_Toc107997998"/>
      <w:r>
        <w:rPr>
          <w:rFonts w:hint="eastAsia" w:ascii="宋体" w:hAnsi="宋体" w:cs="宋体"/>
          <w:b/>
          <w:color w:val="auto"/>
          <w:highlight w:val="none"/>
        </w:rPr>
        <w:t>31.磋商终止</w:t>
      </w:r>
      <w:bookmarkEnd w:id="63"/>
      <w:bookmarkEnd w:id="64"/>
    </w:p>
    <w:p w14:paraId="2056E077">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bCs/>
          <w:color w:val="auto"/>
          <w:szCs w:val="21"/>
          <w:highlight w:val="none"/>
        </w:rPr>
        <w:t>31.1</w:t>
      </w:r>
      <w:r>
        <w:rPr>
          <w:rFonts w:hint="eastAsia" w:ascii="宋体" w:hAnsi="宋体" w:cs="宋体"/>
          <w:color w:val="auto"/>
          <w:kern w:val="0"/>
          <w:szCs w:val="21"/>
          <w:highlight w:val="none"/>
        </w:rPr>
        <w:t>出现下列情形之一的，采购人、采购代理机构应当终止竞争性磋商采购活动，</w:t>
      </w:r>
      <w:r>
        <w:rPr>
          <w:rFonts w:hint="eastAsia" w:ascii="宋体" w:hAnsi="宋体" w:cs="宋体"/>
          <w:color w:val="auto"/>
          <w:highlight w:val="none"/>
        </w:rPr>
        <w:t>在指定的媒体上</w:t>
      </w:r>
      <w:r>
        <w:rPr>
          <w:rFonts w:hint="eastAsia" w:ascii="宋体" w:hAnsi="宋体" w:cs="宋体"/>
          <w:color w:val="auto"/>
          <w:kern w:val="0"/>
          <w:szCs w:val="21"/>
          <w:highlight w:val="none"/>
        </w:rPr>
        <w:t xml:space="preserve">发布项目终止公告并说明原因，重新开展采购活动： </w:t>
      </w:r>
    </w:p>
    <w:p w14:paraId="014686CB">
      <w:pPr>
        <w:adjustRightInd w:val="0"/>
        <w:snapToGrid w:val="0"/>
        <w:spacing w:line="40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（1）因情况变化，不再符合规定的竞争性磋商采购方式适用情形的；</w:t>
      </w:r>
    </w:p>
    <w:p w14:paraId="6A86A7F0">
      <w:pPr>
        <w:adjustRightInd w:val="0"/>
        <w:snapToGrid w:val="0"/>
        <w:spacing w:line="400" w:lineRule="exact"/>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（2）出现影响采购公正的违法、违规行为的；</w:t>
      </w:r>
    </w:p>
    <w:p w14:paraId="6BEAAE50">
      <w:pPr>
        <w:adjustRightInd w:val="0"/>
        <w:snapToGrid w:val="0"/>
        <w:spacing w:line="400" w:lineRule="exact"/>
        <w:ind w:firstLine="420"/>
        <w:jc w:val="left"/>
        <w:rPr>
          <w:rFonts w:ascii="宋体" w:hAnsi="宋体" w:cs="宋体"/>
          <w:bCs/>
          <w:color w:val="auto"/>
          <w:szCs w:val="21"/>
          <w:highlight w:val="none"/>
        </w:rPr>
      </w:pPr>
      <w:r>
        <w:rPr>
          <w:rFonts w:hint="eastAsia" w:ascii="宋体" w:hAnsi="宋体" w:cs="宋体"/>
          <w:color w:val="auto"/>
          <w:kern w:val="0"/>
          <w:szCs w:val="21"/>
          <w:highlight w:val="none"/>
        </w:rPr>
        <w:t>（3）</w:t>
      </w:r>
      <w:r>
        <w:rPr>
          <w:rFonts w:hint="eastAsia" w:ascii="宋体" w:hAnsi="宋体" w:cs="宋体"/>
          <w:bCs/>
          <w:color w:val="auto"/>
          <w:szCs w:val="21"/>
          <w:highlight w:val="none"/>
        </w:rPr>
        <w:t>除《政府采购竞争性磋商采购方式管理暂行办法》(财库〔2014〕214号)</w:t>
      </w:r>
      <w:r>
        <w:rPr>
          <w:rFonts w:hint="eastAsia" w:ascii="宋体" w:hAnsi="宋体" w:cs="宋体"/>
          <w:color w:val="auto"/>
          <w:kern w:val="0"/>
          <w:szCs w:val="21"/>
          <w:highlight w:val="none"/>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cs="宋体"/>
          <w:bCs/>
          <w:color w:val="auto"/>
          <w:szCs w:val="21"/>
          <w:highlight w:val="none"/>
        </w:rPr>
        <w:t>情形外，在采购过程中符合要求的供应商或者报价未超过采购预算的供应商不足3家的；</w:t>
      </w:r>
    </w:p>
    <w:p w14:paraId="76BD02ED">
      <w:pPr>
        <w:adjustRightInd w:val="0"/>
        <w:snapToGrid w:val="0"/>
        <w:spacing w:line="360" w:lineRule="auto"/>
        <w:ind w:firstLine="420"/>
        <w:jc w:val="left"/>
        <w:rPr>
          <w:rFonts w:ascii="宋体" w:hAnsi="宋体" w:cs="宋体"/>
          <w:color w:val="auto"/>
          <w:kern w:val="0"/>
          <w:szCs w:val="21"/>
          <w:highlight w:val="none"/>
        </w:rPr>
      </w:pPr>
      <w:r>
        <w:rPr>
          <w:rFonts w:hint="eastAsia" w:ascii="宋体" w:hAnsi="宋体" w:cs="宋体"/>
          <w:color w:val="auto"/>
          <w:kern w:val="0"/>
          <w:szCs w:val="21"/>
          <w:highlight w:val="none"/>
        </w:rPr>
        <w:t>（4）因重大变故，采购任务取消的。</w:t>
      </w:r>
    </w:p>
    <w:p w14:paraId="1F98E872">
      <w:pPr>
        <w:adjustRightInd w:val="0"/>
        <w:snapToGrid w:val="0"/>
        <w:spacing w:line="360" w:lineRule="auto"/>
        <w:rPr>
          <w:rFonts w:hint="eastAsia" w:ascii="宋体" w:hAnsi="宋体" w:cs="宋体"/>
          <w:b/>
          <w:color w:val="auto"/>
          <w:highlight w:val="none"/>
        </w:rPr>
      </w:pPr>
      <w:bookmarkStart w:id="65" w:name="_Toc107997999"/>
      <w:bookmarkStart w:id="66" w:name="_Toc107997872"/>
      <w:r>
        <w:rPr>
          <w:rFonts w:hint="eastAsia" w:ascii="宋体" w:hAnsi="宋体" w:cs="宋体"/>
          <w:b/>
          <w:color w:val="auto"/>
          <w:highlight w:val="none"/>
        </w:rPr>
        <w:t>32.重新评审</w:t>
      </w:r>
      <w:bookmarkEnd w:id="65"/>
      <w:bookmarkEnd w:id="66"/>
    </w:p>
    <w:p w14:paraId="32B0F7B4">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32.1除资格审查和符合性审查认定错误、分值汇总计算错误、分项评分超出评分标准范围、客观分评分不一致、经磋商小组一致认定评分畸高、畸低的情形外，采购人或者采购代理机构不得以任何理由组织重新评审。</w:t>
      </w:r>
    </w:p>
    <w:p w14:paraId="7BAC9EE4">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32.2采购人、采购代理机构发现磋商小组未按照磋商文件规定的评定成交的标准进行评审的，应当重新开展采购活动，并同时书面报告本级财政部门。</w:t>
      </w:r>
    </w:p>
    <w:p w14:paraId="0C330543">
      <w:pPr>
        <w:adjustRightInd w:val="0"/>
        <w:snapToGrid w:val="0"/>
        <w:spacing w:line="360" w:lineRule="auto"/>
        <w:rPr>
          <w:rFonts w:hint="eastAsia" w:ascii="宋体" w:hAnsi="宋体" w:cs="宋体"/>
          <w:b/>
          <w:color w:val="auto"/>
          <w:highlight w:val="none"/>
        </w:rPr>
      </w:pPr>
      <w:bookmarkStart w:id="67" w:name="_Toc107998000"/>
      <w:bookmarkStart w:id="68" w:name="_Toc107997873"/>
      <w:r>
        <w:rPr>
          <w:rFonts w:hint="eastAsia" w:ascii="宋体" w:hAnsi="宋体" w:cs="宋体"/>
          <w:b/>
          <w:color w:val="auto"/>
          <w:highlight w:val="none"/>
        </w:rPr>
        <w:t>33.保密及串通行为</w:t>
      </w:r>
      <w:bookmarkEnd w:id="67"/>
      <w:bookmarkEnd w:id="68"/>
    </w:p>
    <w:p w14:paraId="1748C9BE">
      <w:pPr>
        <w:adjustRightInd w:val="0"/>
        <w:snapToGrid w:val="0"/>
        <w:spacing w:line="360" w:lineRule="auto"/>
        <w:ind w:firstLine="420" w:firstLineChars="200"/>
        <w:rPr>
          <w:rFonts w:ascii="宋体" w:hAnsi="宋体" w:cs="宋体"/>
          <w:color w:val="auto"/>
          <w:highlight w:val="none"/>
        </w:rPr>
      </w:pPr>
      <w:r>
        <w:rPr>
          <w:rFonts w:hint="eastAsia" w:ascii="宋体" w:hAnsi="宋体" w:cs="宋体"/>
          <w:color w:val="auto"/>
          <w:highlight w:val="none"/>
        </w:rPr>
        <w:t>33.1磋商小组成员以及与评审工作有关的人员不得泄露评审情况以及评审过程中获悉的国家秘密、商业秘密。</w:t>
      </w:r>
    </w:p>
    <w:p w14:paraId="703D60F9">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33.2</w:t>
      </w:r>
      <w:r>
        <w:rPr>
          <w:rFonts w:hint="eastAsia" w:ascii="宋体" w:hAnsi="宋体" w:cs="宋体"/>
          <w:color w:val="auto"/>
          <w:kern w:val="0"/>
          <w:szCs w:val="21"/>
          <w:highlight w:val="none"/>
        </w:rPr>
        <w:t>供应商</w:t>
      </w:r>
      <w:r>
        <w:rPr>
          <w:rFonts w:hint="eastAsia" w:ascii="宋体" w:hAnsi="宋体" w:cs="宋体"/>
          <w:color w:val="auto"/>
          <w:szCs w:val="21"/>
          <w:highlight w:val="none"/>
        </w:rPr>
        <w:t>不得与</w:t>
      </w:r>
      <w:r>
        <w:rPr>
          <w:rFonts w:hint="eastAsia" w:ascii="宋体" w:hAnsi="宋体" w:cs="宋体"/>
          <w:color w:val="auto"/>
          <w:kern w:val="0"/>
          <w:szCs w:val="21"/>
          <w:highlight w:val="none"/>
        </w:rPr>
        <w:t>采购人、采购代理机构、其他供应商恶意</w:t>
      </w:r>
      <w:r>
        <w:rPr>
          <w:rFonts w:hint="eastAsia" w:ascii="宋体" w:hAnsi="宋体" w:cs="宋体"/>
          <w:color w:val="auto"/>
          <w:szCs w:val="21"/>
          <w:highlight w:val="none"/>
        </w:rPr>
        <w:t>串通；不得向</w:t>
      </w:r>
      <w:r>
        <w:rPr>
          <w:rFonts w:hint="eastAsia" w:ascii="宋体" w:hAnsi="宋体" w:cs="宋体"/>
          <w:color w:val="auto"/>
          <w:kern w:val="0"/>
          <w:szCs w:val="21"/>
          <w:highlight w:val="none"/>
        </w:rPr>
        <w:t>采购人、采购代理机构</w:t>
      </w:r>
      <w:r>
        <w:rPr>
          <w:rFonts w:hint="eastAsia" w:ascii="宋体" w:hAnsi="宋体" w:cs="宋体"/>
          <w:color w:val="auto"/>
          <w:szCs w:val="21"/>
          <w:highlight w:val="none"/>
        </w:rPr>
        <w:t>或者磋商小组成员行贿或者提供其他不正当利益；不得提供虚假材料谋取成交；不得以任何方式干扰、影响采购工作。</w:t>
      </w:r>
    </w:p>
    <w:p w14:paraId="2D4B2042">
      <w:pPr>
        <w:adjustRightInd w:val="0"/>
        <w:snapToGrid w:val="0"/>
        <w:spacing w:line="360" w:lineRule="auto"/>
        <w:ind w:firstLine="420" w:firstLineChars="200"/>
        <w:jc w:val="left"/>
        <w:rPr>
          <w:rFonts w:ascii="宋体" w:hAnsi="宋体" w:cs="宋体"/>
          <w:color w:val="auto"/>
          <w:kern w:val="0"/>
          <w:szCs w:val="21"/>
          <w:highlight w:val="none"/>
          <w:lang w:val="zh-CN"/>
        </w:rPr>
      </w:pPr>
      <w:r>
        <w:rPr>
          <w:rFonts w:hint="eastAsia" w:ascii="宋体" w:hAnsi="宋体" w:cs="宋体"/>
          <w:color w:val="auto"/>
          <w:kern w:val="0"/>
          <w:szCs w:val="21"/>
          <w:highlight w:val="none"/>
        </w:rPr>
        <w:t>33.3有下列情形之一的，</w:t>
      </w:r>
      <w:r>
        <w:rPr>
          <w:rFonts w:hint="eastAsia" w:ascii="宋体" w:hAnsi="宋体" w:cs="宋体"/>
          <w:color w:val="auto"/>
          <w:kern w:val="0"/>
          <w:szCs w:val="21"/>
          <w:highlight w:val="none"/>
          <w:lang w:val="zh-CN"/>
        </w:rPr>
        <w:t>属于恶意串通，</w:t>
      </w:r>
      <w:r>
        <w:rPr>
          <w:rFonts w:hint="eastAsia" w:ascii="宋体" w:hAnsi="宋体" w:cs="宋体"/>
          <w:color w:val="auto"/>
          <w:kern w:val="0"/>
          <w:szCs w:val="21"/>
          <w:highlight w:val="none"/>
        </w:rPr>
        <w:t>成交无效，并</w:t>
      </w:r>
      <w:r>
        <w:rPr>
          <w:rFonts w:hint="eastAsia" w:ascii="宋体" w:hAnsi="宋体" w:cs="宋体"/>
          <w:color w:val="auto"/>
          <w:kern w:val="0"/>
          <w:szCs w:val="21"/>
          <w:highlight w:val="none"/>
          <w:lang w:val="zh-CN"/>
        </w:rPr>
        <w:t>依照《政府采购法》第七十七条的规定追究法律责任：</w:t>
      </w:r>
    </w:p>
    <w:p w14:paraId="7F38091B">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（1）供应商直接或者间接从</w:t>
      </w:r>
      <w:r>
        <w:rPr>
          <w:rFonts w:hint="eastAsia" w:ascii="宋体" w:hAnsi="宋体" w:cs="宋体"/>
          <w:bCs/>
          <w:color w:val="auto"/>
          <w:szCs w:val="21"/>
          <w:highlight w:val="none"/>
        </w:rPr>
        <w:t>采购人、采购代理机构</w:t>
      </w:r>
      <w:r>
        <w:rPr>
          <w:rFonts w:hint="eastAsia" w:ascii="宋体" w:hAnsi="宋体" w:cs="宋体"/>
          <w:color w:val="auto"/>
          <w:szCs w:val="21"/>
          <w:highlight w:val="none"/>
        </w:rPr>
        <w:t>获得其他供应商的响应情况，并修改其响应文件</w:t>
      </w:r>
      <w:r>
        <w:rPr>
          <w:rFonts w:hint="eastAsia" w:ascii="宋体" w:hAnsi="宋体" w:cs="宋体"/>
          <w:color w:val="auto"/>
          <w:highlight w:val="none"/>
        </w:rPr>
        <w:t>的</w:t>
      </w:r>
      <w:r>
        <w:rPr>
          <w:rFonts w:hint="eastAsia" w:ascii="宋体" w:hAnsi="宋体" w:cs="宋体"/>
          <w:color w:val="auto"/>
          <w:szCs w:val="21"/>
          <w:highlight w:val="none"/>
        </w:rPr>
        <w:t>；</w:t>
      </w:r>
    </w:p>
    <w:p w14:paraId="17216A9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Cs/>
          <w:color w:val="auto"/>
          <w:szCs w:val="21"/>
          <w:highlight w:val="none"/>
        </w:rPr>
        <w:t>采购人、采购代理机构</w:t>
      </w:r>
      <w:r>
        <w:rPr>
          <w:rFonts w:hint="eastAsia" w:ascii="宋体" w:hAnsi="宋体" w:cs="宋体"/>
          <w:color w:val="auto"/>
          <w:szCs w:val="21"/>
          <w:highlight w:val="none"/>
        </w:rPr>
        <w:t>授意供应商撤换、修改响应文件</w:t>
      </w:r>
      <w:r>
        <w:rPr>
          <w:rFonts w:hint="eastAsia" w:ascii="宋体" w:hAnsi="宋体" w:cs="宋体"/>
          <w:color w:val="auto"/>
          <w:highlight w:val="none"/>
        </w:rPr>
        <w:t>的</w:t>
      </w:r>
      <w:r>
        <w:rPr>
          <w:rFonts w:hint="eastAsia" w:ascii="宋体" w:hAnsi="宋体" w:cs="宋体"/>
          <w:color w:val="auto"/>
          <w:szCs w:val="21"/>
          <w:highlight w:val="none"/>
        </w:rPr>
        <w:t>；</w:t>
      </w:r>
    </w:p>
    <w:p w14:paraId="37162300">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（3）供应商之间协商技术方案、合同条款以及报价等响应文件实质性内容</w:t>
      </w:r>
      <w:r>
        <w:rPr>
          <w:rFonts w:hint="eastAsia" w:ascii="宋体" w:hAnsi="宋体" w:cs="宋体"/>
          <w:color w:val="auto"/>
          <w:highlight w:val="none"/>
        </w:rPr>
        <w:t>的</w:t>
      </w:r>
      <w:r>
        <w:rPr>
          <w:rFonts w:hint="eastAsia" w:ascii="宋体" w:hAnsi="宋体" w:cs="宋体"/>
          <w:color w:val="auto"/>
          <w:szCs w:val="21"/>
          <w:highlight w:val="none"/>
        </w:rPr>
        <w:t>；</w:t>
      </w:r>
    </w:p>
    <w:p w14:paraId="05DF654A">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（4）属于同一集团、协会、商会等组织成员的供应商按照该组织要求协同参加竞争性磋商政府采购活动</w:t>
      </w:r>
      <w:r>
        <w:rPr>
          <w:rFonts w:hint="eastAsia" w:ascii="宋体" w:hAnsi="宋体" w:cs="宋体"/>
          <w:color w:val="auto"/>
          <w:highlight w:val="none"/>
        </w:rPr>
        <w:t>的</w:t>
      </w:r>
      <w:r>
        <w:rPr>
          <w:rFonts w:hint="eastAsia" w:ascii="宋体" w:hAnsi="宋体" w:cs="宋体"/>
          <w:color w:val="auto"/>
          <w:szCs w:val="21"/>
          <w:highlight w:val="none"/>
        </w:rPr>
        <w:t>；</w:t>
      </w:r>
    </w:p>
    <w:p w14:paraId="17AE0396">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（5）供应商之间事先约定由某一特定供应商成交</w:t>
      </w:r>
      <w:r>
        <w:rPr>
          <w:rFonts w:hint="eastAsia" w:ascii="宋体" w:hAnsi="宋体" w:cs="宋体"/>
          <w:color w:val="auto"/>
          <w:highlight w:val="none"/>
        </w:rPr>
        <w:t>的</w:t>
      </w:r>
      <w:r>
        <w:rPr>
          <w:rFonts w:hint="eastAsia" w:ascii="宋体" w:hAnsi="宋体" w:cs="宋体"/>
          <w:color w:val="auto"/>
          <w:szCs w:val="21"/>
          <w:highlight w:val="none"/>
        </w:rPr>
        <w:t>；</w:t>
      </w:r>
    </w:p>
    <w:p w14:paraId="540D2E8D">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（6）供应商之间商定部分供应商放弃</w:t>
      </w:r>
      <w:r>
        <w:rPr>
          <w:rFonts w:hint="eastAsia" w:ascii="宋体" w:hAnsi="宋体" w:cs="宋体"/>
          <w:color w:val="auto"/>
          <w:highlight w:val="none"/>
        </w:rPr>
        <w:t>递交</w:t>
      </w:r>
      <w:r>
        <w:rPr>
          <w:rFonts w:hint="eastAsia" w:ascii="宋体" w:hAnsi="宋体" w:cs="宋体"/>
          <w:color w:val="auto"/>
          <w:szCs w:val="21"/>
          <w:highlight w:val="none"/>
        </w:rPr>
        <w:t>响应文件或者退出磋商或者放弃成交</w:t>
      </w:r>
      <w:r>
        <w:rPr>
          <w:rFonts w:hint="eastAsia" w:ascii="宋体" w:hAnsi="宋体" w:cs="宋体"/>
          <w:color w:val="auto"/>
          <w:highlight w:val="none"/>
        </w:rPr>
        <w:t>的</w:t>
      </w:r>
      <w:r>
        <w:rPr>
          <w:rFonts w:hint="eastAsia" w:ascii="宋体" w:hAnsi="宋体" w:cs="宋体"/>
          <w:color w:val="auto"/>
          <w:szCs w:val="21"/>
          <w:highlight w:val="none"/>
        </w:rPr>
        <w:t>；</w:t>
      </w:r>
    </w:p>
    <w:p w14:paraId="59EDC8F7">
      <w:pPr>
        <w:adjustRightInd w:val="0"/>
        <w:snapToGrid w:val="0"/>
        <w:spacing w:line="360" w:lineRule="auto"/>
        <w:ind w:firstLine="420" w:firstLineChars="200"/>
        <w:rPr>
          <w:rFonts w:ascii="宋体" w:hAnsi="宋体" w:cs="宋体"/>
          <w:b/>
          <w:color w:val="auto"/>
          <w:szCs w:val="21"/>
          <w:highlight w:val="none"/>
        </w:rPr>
      </w:pPr>
      <w:r>
        <w:rPr>
          <w:rFonts w:hint="eastAsia" w:ascii="宋体" w:hAnsi="宋体" w:cs="宋体"/>
          <w:color w:val="auto"/>
          <w:szCs w:val="21"/>
          <w:highlight w:val="none"/>
        </w:rPr>
        <w:t>（7）供应商与</w:t>
      </w:r>
      <w:r>
        <w:rPr>
          <w:rFonts w:hint="eastAsia" w:ascii="宋体" w:hAnsi="宋体" w:cs="宋体"/>
          <w:bCs/>
          <w:color w:val="auto"/>
          <w:szCs w:val="21"/>
          <w:highlight w:val="none"/>
        </w:rPr>
        <w:t>采购人、采购代理机构以及</w:t>
      </w:r>
      <w:r>
        <w:rPr>
          <w:rFonts w:hint="eastAsia" w:ascii="宋体" w:hAnsi="宋体" w:cs="宋体"/>
          <w:color w:val="auto"/>
          <w:szCs w:val="21"/>
          <w:highlight w:val="none"/>
        </w:rPr>
        <w:t>磋商小组成员之间、供应商相互之间，为谋求特定供应商成交或者排斥其他供应商的其他串通行为的；</w:t>
      </w:r>
    </w:p>
    <w:p w14:paraId="21290E55">
      <w:pPr>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（8）不同供应商的文件制作机器码或文件创建标识码或电脑IP地址一致的；</w:t>
      </w:r>
    </w:p>
    <w:p w14:paraId="29ED62B8">
      <w:pPr>
        <w:pStyle w:val="21"/>
        <w:adjustRightInd w:val="0"/>
        <w:snapToGrid w:val="0"/>
        <w:spacing w:before="0" w:beforeAutospacing="0" w:after="0" w:afterAutospacing="0" w:line="360" w:lineRule="auto"/>
        <w:ind w:firstLine="420" w:firstLineChars="200"/>
        <w:rPr>
          <w:color w:val="auto"/>
          <w:sz w:val="21"/>
          <w:szCs w:val="21"/>
          <w:highlight w:val="none"/>
          <w:lang w:val="zh-CN"/>
        </w:rPr>
      </w:pPr>
      <w:r>
        <w:rPr>
          <w:rFonts w:hint="eastAsia"/>
          <w:color w:val="auto"/>
          <w:sz w:val="21"/>
          <w:szCs w:val="21"/>
          <w:highlight w:val="none"/>
        </w:rPr>
        <w:t>（9）法律、行政法规或规章规定的其他串通行为。</w:t>
      </w:r>
    </w:p>
    <w:p w14:paraId="75F7E8F3">
      <w:pPr>
        <w:adjustRightInd w:val="0"/>
        <w:snapToGrid w:val="0"/>
        <w:spacing w:line="360" w:lineRule="auto"/>
        <w:jc w:val="center"/>
        <w:outlineLvl w:val="2"/>
        <w:rPr>
          <w:rFonts w:ascii="黑体" w:hAnsi="黑体" w:eastAsia="黑体"/>
          <w:b/>
          <w:bCs/>
          <w:color w:val="auto"/>
          <w:sz w:val="28"/>
          <w:szCs w:val="28"/>
          <w:highlight w:val="none"/>
        </w:rPr>
      </w:pPr>
      <w:bookmarkStart w:id="69" w:name="_Toc22901"/>
      <w:r>
        <w:rPr>
          <w:rFonts w:hint="eastAsia" w:ascii="黑体" w:hAnsi="黑体" w:eastAsia="黑体"/>
          <w:b/>
          <w:bCs/>
          <w:color w:val="auto"/>
          <w:sz w:val="28"/>
          <w:szCs w:val="28"/>
          <w:highlight w:val="none"/>
        </w:rPr>
        <w:t>六、成交结果信息公布与授予合同</w:t>
      </w:r>
      <w:bookmarkEnd w:id="69"/>
    </w:p>
    <w:p w14:paraId="2DAF64A1">
      <w:pPr>
        <w:adjustRightInd w:val="0"/>
        <w:snapToGrid w:val="0"/>
        <w:spacing w:line="360" w:lineRule="auto"/>
        <w:rPr>
          <w:rFonts w:hint="eastAsia" w:ascii="宋体" w:hAnsi="宋体" w:cs="宋体"/>
          <w:b/>
          <w:color w:val="auto"/>
          <w:highlight w:val="none"/>
        </w:rPr>
      </w:pPr>
      <w:r>
        <w:rPr>
          <w:rFonts w:hint="eastAsia" w:ascii="宋体" w:hAnsi="宋体" w:cs="宋体"/>
          <w:b/>
          <w:color w:val="auto"/>
          <w:highlight w:val="none"/>
        </w:rPr>
        <w:t>34.成交信息的公布与成交通知书</w:t>
      </w:r>
    </w:p>
    <w:p w14:paraId="0329A21B">
      <w:pPr>
        <w:adjustRightInd w:val="0"/>
        <w:snapToGrid w:val="0"/>
        <w:spacing w:line="360" w:lineRule="auto"/>
        <w:ind w:firstLine="420" w:firstLineChars="200"/>
        <w:rPr>
          <w:rFonts w:hAnsi="宋体"/>
          <w:color w:val="auto"/>
          <w:highlight w:val="none"/>
        </w:rPr>
      </w:pPr>
      <w:r>
        <w:rPr>
          <w:rFonts w:hint="eastAsia" w:hAnsi="宋体"/>
          <w:color w:val="auto"/>
          <w:highlight w:val="none"/>
        </w:rPr>
        <w:t>34.1采购人、采购代理机构应当自采购人确定成交供应商之日起2个工作日内，发出成交通知书，并在【</w:t>
      </w:r>
      <w:r>
        <w:rPr>
          <w:rFonts w:hint="eastAsia" w:hAnsi="宋体"/>
          <w:b/>
          <w:bCs/>
          <w:color w:val="auto"/>
          <w:highlight w:val="none"/>
        </w:rPr>
        <w:t>磋商须知前附表</w:t>
      </w:r>
      <w:r>
        <w:rPr>
          <w:rFonts w:hint="eastAsia" w:hAnsi="宋体"/>
          <w:color w:val="auto"/>
          <w:highlight w:val="none"/>
        </w:rPr>
        <w:t>】指定媒体上公告成交结果，竞争性磋商文件随成交结果同时公告（已经公开的可不再公告），成交结果公告期限为1个工作日。</w:t>
      </w:r>
    </w:p>
    <w:p w14:paraId="47581F43">
      <w:pPr>
        <w:adjustRightInd w:val="0"/>
        <w:snapToGrid w:val="0"/>
        <w:spacing w:line="360" w:lineRule="auto"/>
        <w:ind w:firstLine="420" w:firstLineChars="200"/>
        <w:rPr>
          <w:rFonts w:hAnsi="宋体"/>
          <w:color w:val="auto"/>
          <w:highlight w:val="none"/>
        </w:rPr>
      </w:pPr>
      <w:r>
        <w:rPr>
          <w:rFonts w:hint="eastAsia" w:hAnsi="宋体"/>
          <w:color w:val="auto"/>
          <w:highlight w:val="none"/>
        </w:rPr>
        <w:t>34.2成交供应商确定后，采购人、采购代理机构将以书面形式向成交供应商发出成交通知书。成交通知书对采购人和成交供应商具有同等法律效力。</w:t>
      </w:r>
    </w:p>
    <w:p w14:paraId="3D2DEAF9">
      <w:pPr>
        <w:adjustRightInd w:val="0"/>
        <w:snapToGrid w:val="0"/>
        <w:spacing w:line="360" w:lineRule="auto"/>
        <w:ind w:firstLine="420" w:firstLineChars="200"/>
        <w:rPr>
          <w:rFonts w:hAnsi="宋体"/>
          <w:color w:val="auto"/>
          <w:highlight w:val="none"/>
        </w:rPr>
      </w:pPr>
      <w:r>
        <w:rPr>
          <w:rFonts w:hint="eastAsia" w:hAnsi="宋体"/>
          <w:color w:val="auto"/>
          <w:highlight w:val="none"/>
        </w:rPr>
        <w:t>34.3成交通知书是合同文件的组成部分。</w:t>
      </w:r>
    </w:p>
    <w:p w14:paraId="0D10C356">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35.询问及质疑</w:t>
      </w:r>
    </w:p>
    <w:p w14:paraId="6496C912">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35.1供应商对政府采购活动事项有疑问的，可以向采购人、采购代理机构提出询问。采购人或采购代理机构将在3个工作日内作出答复。</w:t>
      </w:r>
    </w:p>
    <w:p w14:paraId="50DB16E0">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35.2供应商若认为磋商文件、采购过程和成交结果使自己的权益受到损害，可以按法律、规章及《湖南省财政厅关于印发＜政府采购质疑答复和投诉处理操作规程＞的通知》(湘财购〔2019〕20号)文件规定向采购人、采购代理机构提出质疑。供应商应当在法定质疑期内一次性提出针对同一采购程序环节的质疑。</w:t>
      </w:r>
    </w:p>
    <w:p w14:paraId="53746D3C">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35.3供应商提出质疑的，质疑函应按照《湖南省财政厅关于印发＜政府采购质疑答复和投诉处理操作规程＞的通知》规定制作、签署、送达。采购人、采购代理机构接收质疑函的联系部门、联系电话和通讯地址见【</w:t>
      </w:r>
      <w:r>
        <w:rPr>
          <w:rFonts w:hint="eastAsia" w:ascii="宋体" w:hAnsi="宋体"/>
          <w:b/>
          <w:bCs/>
          <w:color w:val="auto"/>
          <w:szCs w:val="21"/>
          <w:highlight w:val="none"/>
        </w:rPr>
        <w:t>磋商须知前附表</w:t>
      </w:r>
      <w:r>
        <w:rPr>
          <w:rFonts w:hint="eastAsia" w:ascii="宋体" w:hAnsi="宋体"/>
          <w:color w:val="auto"/>
          <w:szCs w:val="21"/>
          <w:highlight w:val="none"/>
        </w:rPr>
        <w:t>】。</w:t>
      </w:r>
    </w:p>
    <w:p w14:paraId="685CA0A4">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35.4采购人、采购代理机构按照《湖南省财政厅关于印发＜政府采购质疑答复和投诉处理操作规程＞的通知》规定进行质疑答复。</w:t>
      </w:r>
    </w:p>
    <w:p w14:paraId="5102C34A">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35.5供应商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455B8AEF">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36.履约担保</w:t>
      </w:r>
    </w:p>
    <w:p w14:paraId="6A343FC7">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36.1磋商文件要求成交供应商向采购人提交履约担保的，成交供应商应按照【</w:t>
      </w:r>
      <w:r>
        <w:rPr>
          <w:rFonts w:hint="eastAsia" w:ascii="宋体" w:hAnsi="宋体"/>
          <w:b/>
          <w:bCs/>
          <w:color w:val="auto"/>
          <w:szCs w:val="21"/>
          <w:highlight w:val="none"/>
        </w:rPr>
        <w:t>磋商须知前附表</w:t>
      </w:r>
      <w:r>
        <w:rPr>
          <w:rFonts w:hint="eastAsia" w:ascii="宋体" w:hAnsi="宋体"/>
          <w:color w:val="auto"/>
          <w:szCs w:val="21"/>
          <w:highlight w:val="none"/>
        </w:rPr>
        <w:t>】的规定提交，供应商可用保函、电子增信替代履约保证金。联合体成交的，履约担保由联合体各方或联合体中牵头人的名义提交。</w:t>
      </w:r>
    </w:p>
    <w:p w14:paraId="096C33D5">
      <w:pPr>
        <w:adjustRightInd w:val="0"/>
        <w:snapToGrid w:val="0"/>
        <w:spacing w:line="360" w:lineRule="auto"/>
        <w:ind w:firstLine="420" w:firstLineChars="200"/>
        <w:jc w:val="left"/>
        <w:rPr>
          <w:rFonts w:hAnsi="宋体"/>
          <w:color w:val="auto"/>
          <w:highlight w:val="none"/>
        </w:rPr>
      </w:pPr>
      <w:r>
        <w:rPr>
          <w:rFonts w:hint="eastAsia" w:ascii="宋体" w:hAnsi="宋体"/>
          <w:color w:val="auto"/>
          <w:szCs w:val="21"/>
          <w:highlight w:val="none"/>
        </w:rPr>
        <w:t>36.2成交供应商没有按照本章第36.1款规定提交履约担保的，视为放弃成交资格，其磋商保证金不予退还。</w:t>
      </w:r>
    </w:p>
    <w:p w14:paraId="5E737BF1">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37.签订合同</w:t>
      </w:r>
    </w:p>
    <w:p w14:paraId="6C898FD4">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37.1磋商文件、成交供应商的响应文件等均为签订政府采购合同的依据。</w:t>
      </w:r>
    </w:p>
    <w:p w14:paraId="18A75032">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37.2成交供应商应当在成交通知书发出之日起30日内与采购人签订政府采购合同。</w:t>
      </w:r>
    </w:p>
    <w:p w14:paraId="67B025FC">
      <w:pPr>
        <w:pStyle w:val="12"/>
        <w:adjustRightInd w:val="0"/>
        <w:snapToGrid w:val="0"/>
        <w:spacing w:line="360" w:lineRule="auto"/>
        <w:ind w:firstLine="420" w:firstLineChars="200"/>
        <w:rPr>
          <w:rFonts w:hAnsi="宋体"/>
          <w:color w:val="auto"/>
          <w:highlight w:val="none"/>
        </w:rPr>
      </w:pPr>
      <w:r>
        <w:rPr>
          <w:rFonts w:hint="eastAsia" w:hAnsi="宋体"/>
          <w:color w:val="auto"/>
          <w:highlight w:val="none"/>
        </w:rPr>
        <w:t>37.3 成交供应商应当按照合同约定履行义务。成交供应商不得向他人转让成交项目，也不得将成交项目分包后分别向他人转让。</w:t>
      </w:r>
    </w:p>
    <w:p w14:paraId="3A907C1F">
      <w:pPr>
        <w:pStyle w:val="12"/>
        <w:adjustRightInd w:val="0"/>
        <w:snapToGrid w:val="0"/>
        <w:spacing w:line="360" w:lineRule="auto"/>
        <w:rPr>
          <w:rFonts w:hAnsi="宋体"/>
          <w:color w:val="auto"/>
          <w:highlight w:val="none"/>
        </w:rPr>
      </w:pPr>
    </w:p>
    <w:p w14:paraId="1C2468EC">
      <w:pPr>
        <w:adjustRightInd w:val="0"/>
        <w:snapToGrid w:val="0"/>
        <w:spacing w:line="360" w:lineRule="auto"/>
        <w:jc w:val="center"/>
        <w:outlineLvl w:val="2"/>
        <w:rPr>
          <w:rFonts w:ascii="黑体" w:hAnsi="黑体" w:eastAsia="黑体"/>
          <w:b/>
          <w:bCs/>
          <w:color w:val="auto"/>
          <w:sz w:val="28"/>
          <w:szCs w:val="28"/>
          <w:highlight w:val="none"/>
        </w:rPr>
      </w:pPr>
      <w:bookmarkStart w:id="70" w:name="_Toc107998006"/>
      <w:bookmarkStart w:id="71" w:name="_Toc28363"/>
      <w:bookmarkStart w:id="72" w:name="_Toc22201076"/>
      <w:bookmarkStart w:id="73" w:name="_Toc25963"/>
      <w:r>
        <w:rPr>
          <w:rFonts w:hint="eastAsia" w:ascii="黑体" w:hAnsi="黑体" w:eastAsia="黑体"/>
          <w:b/>
          <w:bCs/>
          <w:color w:val="auto"/>
          <w:sz w:val="28"/>
          <w:szCs w:val="28"/>
          <w:highlight w:val="none"/>
        </w:rPr>
        <w:t>七、政府采购政策</w:t>
      </w:r>
      <w:bookmarkEnd w:id="70"/>
      <w:bookmarkEnd w:id="71"/>
      <w:bookmarkEnd w:id="72"/>
      <w:bookmarkEnd w:id="73"/>
    </w:p>
    <w:p w14:paraId="61733415">
      <w:pPr>
        <w:adjustRightInd w:val="0"/>
        <w:snapToGrid w:val="0"/>
        <w:spacing w:line="360" w:lineRule="auto"/>
        <w:rPr>
          <w:rFonts w:ascii="宋体" w:hAnsi="宋体"/>
          <w:b/>
          <w:bCs/>
          <w:color w:val="auto"/>
          <w:szCs w:val="21"/>
          <w:highlight w:val="none"/>
        </w:rPr>
      </w:pPr>
      <w:bookmarkStart w:id="74" w:name="_Toc62225465"/>
      <w:bookmarkStart w:id="75" w:name="_Toc107997880"/>
      <w:bookmarkStart w:id="76" w:name="_Toc107998007"/>
      <w:r>
        <w:rPr>
          <w:rFonts w:hint="eastAsia" w:ascii="宋体" w:hAnsi="宋体"/>
          <w:b/>
          <w:bCs/>
          <w:color w:val="auto"/>
          <w:szCs w:val="21"/>
          <w:highlight w:val="none"/>
        </w:rPr>
        <w:t>38.</w:t>
      </w:r>
      <w:bookmarkEnd w:id="74"/>
      <w:r>
        <w:rPr>
          <w:rFonts w:hint="eastAsia" w:ascii="宋体" w:hAnsi="宋体"/>
          <w:b/>
          <w:bCs/>
          <w:color w:val="auto"/>
          <w:szCs w:val="21"/>
          <w:highlight w:val="none"/>
        </w:rPr>
        <w:t>预留采购份额</w:t>
      </w:r>
      <w:bookmarkEnd w:id="75"/>
      <w:bookmarkEnd w:id="76"/>
    </w:p>
    <w:p w14:paraId="19A0F39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38.1执行中小企业预留采购份额政策的规定：</w:t>
      </w:r>
    </w:p>
    <w:p w14:paraId="5AFCEA95">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（1）预留份额的采购项目或者采购包，应明确该项目或相关采购包专门面向中小企业采购，并作为供应商资格条件。</w:t>
      </w:r>
    </w:p>
    <w:p w14:paraId="038684F1">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（2）要求以联合体形式参加或者合同分包的，应明确联合协议或者分包承诺中中小企业合同金额应当达到的比例，并作为供应商资格条件。</w:t>
      </w:r>
    </w:p>
    <w:p w14:paraId="1141F0D1">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（3）组成联合体或者接受分包合同的中小企业与联合体内其他企业(成员)、分包企业之间不得存在直接控股、管理关系。</w:t>
      </w:r>
    </w:p>
    <w:p w14:paraId="4B2192C1">
      <w:pPr>
        <w:adjustRightInd w:val="0"/>
        <w:snapToGrid w:val="0"/>
        <w:spacing w:line="360" w:lineRule="auto"/>
        <w:rPr>
          <w:rFonts w:ascii="宋体" w:hAnsi="宋体"/>
          <w:b/>
          <w:bCs/>
          <w:color w:val="auto"/>
          <w:szCs w:val="21"/>
          <w:highlight w:val="none"/>
        </w:rPr>
      </w:pPr>
      <w:bookmarkStart w:id="77" w:name="_Toc62225466"/>
      <w:bookmarkStart w:id="78" w:name="_Toc107998008"/>
      <w:bookmarkStart w:id="79" w:name="_Toc107997881"/>
      <w:r>
        <w:rPr>
          <w:rFonts w:hint="eastAsia" w:ascii="宋体" w:hAnsi="宋体"/>
          <w:b/>
          <w:bCs/>
          <w:color w:val="auto"/>
          <w:szCs w:val="21"/>
          <w:highlight w:val="none"/>
        </w:rPr>
        <w:t>39.强制采购</w:t>
      </w:r>
      <w:bookmarkEnd w:id="77"/>
      <w:bookmarkEnd w:id="78"/>
      <w:bookmarkEnd w:id="79"/>
    </w:p>
    <w:p w14:paraId="55651F2B">
      <w:pPr>
        <w:adjustRightInd w:val="0"/>
        <w:snapToGrid w:val="0"/>
        <w:spacing w:line="360" w:lineRule="auto"/>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39.1纳入财政部会同国务院有关部门发布的节能产品政府采购品目清单（品目清单中标注</w:t>
      </w:r>
      <w:r>
        <w:rPr>
          <w:rFonts w:hint="eastAsia" w:ascii="宋体" w:hAnsi="宋体" w:cs="宋体"/>
          <w:color w:val="auto"/>
          <w:kern w:val="0"/>
          <w:szCs w:val="21"/>
          <w:highlight w:val="none"/>
        </w:rPr>
        <w:sym w:font="Wingdings" w:char="F0AB"/>
      </w:r>
      <w:r>
        <w:rPr>
          <w:rFonts w:hint="eastAsia" w:ascii="宋体" w:hAnsi="宋体" w:cs="宋体"/>
          <w:color w:val="auto"/>
          <w:kern w:val="0"/>
          <w:szCs w:val="21"/>
          <w:highlight w:val="none"/>
        </w:rPr>
        <w:t>符号产品），实施政府强制采购的，供应商提供的产品不符合强制采购规定，其</w:t>
      </w:r>
      <w:r>
        <w:rPr>
          <w:rFonts w:hint="eastAsia" w:ascii="宋体" w:hAnsi="宋体" w:cs="宋体"/>
          <w:b/>
          <w:color w:val="auto"/>
          <w:kern w:val="0"/>
          <w:szCs w:val="21"/>
          <w:highlight w:val="none"/>
        </w:rPr>
        <w:t>响应无效</w:t>
      </w:r>
      <w:r>
        <w:rPr>
          <w:rFonts w:hint="eastAsia" w:ascii="宋体" w:hAnsi="宋体" w:cs="宋体"/>
          <w:color w:val="auto"/>
          <w:kern w:val="0"/>
          <w:szCs w:val="21"/>
          <w:highlight w:val="none"/>
        </w:rPr>
        <w:t>。</w:t>
      </w:r>
    </w:p>
    <w:p w14:paraId="79909BF5">
      <w:pPr>
        <w:adjustRightInd w:val="0"/>
        <w:snapToGrid w:val="0"/>
        <w:spacing w:line="360" w:lineRule="auto"/>
        <w:rPr>
          <w:rFonts w:ascii="宋体" w:hAnsi="宋体"/>
          <w:b/>
          <w:bCs/>
          <w:color w:val="auto"/>
          <w:szCs w:val="21"/>
          <w:highlight w:val="none"/>
        </w:rPr>
      </w:pPr>
      <w:bookmarkStart w:id="80" w:name="_Toc107998009"/>
      <w:bookmarkStart w:id="81" w:name="_Toc62225467"/>
      <w:bookmarkStart w:id="82" w:name="_Toc107997882"/>
      <w:r>
        <w:rPr>
          <w:rFonts w:hint="eastAsia" w:ascii="宋体" w:hAnsi="宋体"/>
          <w:b/>
          <w:bCs/>
          <w:color w:val="auto"/>
          <w:szCs w:val="21"/>
          <w:highlight w:val="none"/>
        </w:rPr>
        <w:t>40.优先采购</w:t>
      </w:r>
      <w:bookmarkEnd w:id="80"/>
      <w:bookmarkEnd w:id="81"/>
      <w:bookmarkEnd w:id="82"/>
    </w:p>
    <w:p w14:paraId="7D33933C">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40.1对纳入财政部会同国务院有关部门发布的节能产品(未</w:t>
      </w:r>
      <w:r>
        <w:rPr>
          <w:rFonts w:hint="eastAsia" w:ascii="宋体" w:hAnsi="宋体" w:cs="宋体"/>
          <w:color w:val="auto"/>
          <w:kern w:val="0"/>
          <w:szCs w:val="21"/>
          <w:highlight w:val="none"/>
        </w:rPr>
        <w:t>标注</w:t>
      </w:r>
      <w:r>
        <w:rPr>
          <w:rFonts w:hint="eastAsia" w:ascii="宋体" w:hAnsi="宋体" w:cs="宋体"/>
          <w:color w:val="auto"/>
          <w:kern w:val="0"/>
          <w:szCs w:val="21"/>
          <w:highlight w:val="none"/>
        </w:rPr>
        <w:sym w:font="Wingdings" w:char="F0AB"/>
      </w:r>
      <w:r>
        <w:rPr>
          <w:rFonts w:hint="eastAsia" w:ascii="宋体" w:hAnsi="宋体" w:cs="宋体"/>
          <w:color w:val="auto"/>
          <w:kern w:val="0"/>
          <w:szCs w:val="21"/>
          <w:highlight w:val="none"/>
        </w:rPr>
        <w:t>符号产品</w:t>
      </w:r>
      <w:r>
        <w:rPr>
          <w:rFonts w:hint="eastAsia" w:ascii="宋体" w:hAnsi="宋体"/>
          <w:color w:val="auto"/>
          <w:szCs w:val="21"/>
          <w:highlight w:val="none"/>
        </w:rPr>
        <w:t>)、环境标志产品政府采购品目清单，实施政府优先采购的，评审时对该部分产品按</w:t>
      </w:r>
      <w:r>
        <w:rPr>
          <w:rFonts w:hint="eastAsia" w:ascii="宋体" w:hAnsi="宋体"/>
          <w:b/>
          <w:color w:val="auto"/>
          <w:szCs w:val="21"/>
          <w:highlight w:val="none"/>
        </w:rPr>
        <w:t>【磋商须知前附表】</w:t>
      </w:r>
      <w:r>
        <w:rPr>
          <w:rFonts w:hint="eastAsia" w:ascii="宋体" w:hAnsi="宋体"/>
          <w:color w:val="auto"/>
          <w:szCs w:val="21"/>
          <w:highlight w:val="none"/>
        </w:rPr>
        <w:t>规定给予价格折扣和加分；</w:t>
      </w:r>
    </w:p>
    <w:p w14:paraId="0CCE4366">
      <w:pPr>
        <w:adjustRightInd w:val="0"/>
        <w:snapToGrid w:val="0"/>
        <w:spacing w:line="360" w:lineRule="auto"/>
        <w:rPr>
          <w:rFonts w:ascii="宋体" w:hAnsi="宋体"/>
          <w:b/>
          <w:bCs/>
          <w:color w:val="auto"/>
          <w:szCs w:val="21"/>
          <w:highlight w:val="none"/>
        </w:rPr>
      </w:pPr>
      <w:bookmarkStart w:id="83" w:name="_Toc62225468"/>
      <w:bookmarkStart w:id="84" w:name="_Toc107997883"/>
      <w:bookmarkStart w:id="85" w:name="_Toc107998010"/>
      <w:r>
        <w:rPr>
          <w:rFonts w:hint="eastAsia" w:ascii="宋体" w:hAnsi="宋体"/>
          <w:b/>
          <w:bCs/>
          <w:color w:val="auto"/>
          <w:szCs w:val="21"/>
          <w:highlight w:val="none"/>
        </w:rPr>
        <w:t>41.价格评审优惠</w:t>
      </w:r>
      <w:bookmarkEnd w:id="83"/>
      <w:bookmarkEnd w:id="84"/>
      <w:bookmarkEnd w:id="85"/>
    </w:p>
    <w:p w14:paraId="3703D530">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1.1</w:t>
      </w:r>
      <w:r>
        <w:rPr>
          <w:rFonts w:hint="eastAsia" w:ascii="宋体" w:hAnsi="宋体"/>
          <w:color w:val="auto"/>
          <w:szCs w:val="21"/>
          <w:highlight w:val="none"/>
        </w:rPr>
        <w:t>在政府采购活动中，供应商提供的货物、工程或者服务符合下列情形的：</w:t>
      </w:r>
      <w:r>
        <w:rPr>
          <w:rFonts w:ascii="宋体" w:hAnsi="宋体"/>
          <w:color w:val="auto"/>
          <w:szCs w:val="21"/>
          <w:highlight w:val="none"/>
        </w:rPr>
        <w:t>（</w:t>
      </w: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在货物采购项目中，货物由中小企业制造，即货物由中小企业生产且使用该中小企业商号或者注册商标；（2）在工程采购项目中，工程由中小企业承建，即工程施工单位为中小企业；（3）在服务采购项目中，服务由中小企业承接，即提供服务的人员为中小企业依照《中华人民共和国劳动合同法》订立劳动合同的从业人员；给予一定比例的价格折扣，用扣除后的价格参与评审；</w:t>
      </w:r>
    </w:p>
    <w:p w14:paraId="6924241A">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1.2价格折扣比例</w:t>
      </w:r>
    </w:p>
    <w:p w14:paraId="5D50DE17">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（1）对于经主管预算单位统筹后未预留份额专门面向中小企业采购的采购项目，以及预留份额项目中的非预留部分采购包，符合小微企业生产的货物或者提供的服务、工程情形的，按照</w:t>
      </w:r>
      <w:r>
        <w:rPr>
          <w:rFonts w:hint="eastAsia" w:ascii="宋体" w:hAnsi="宋体"/>
          <w:b/>
          <w:color w:val="auto"/>
          <w:szCs w:val="21"/>
          <w:highlight w:val="none"/>
        </w:rPr>
        <w:t>【磋商须知前附表】</w:t>
      </w:r>
      <w:r>
        <w:rPr>
          <w:rFonts w:hint="eastAsia" w:ascii="宋体" w:hAnsi="宋体"/>
          <w:color w:val="auto"/>
          <w:szCs w:val="21"/>
          <w:highlight w:val="none"/>
        </w:rPr>
        <w:t>规定的比例给予价格折扣，用扣除后的价格参与评审。</w:t>
      </w:r>
    </w:p>
    <w:p w14:paraId="5EA4C60F">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（2）接受大中型企业与小微企业组成联合体或者允许大中型企业向一家或者多家小微企业分包的采购项目，对于联合协议或者分包承诺约定小微企业的合同份额占到合同总金额30%以上的，按照</w:t>
      </w:r>
      <w:r>
        <w:rPr>
          <w:rFonts w:hint="eastAsia" w:ascii="宋体" w:hAnsi="宋体"/>
          <w:b/>
          <w:color w:val="auto"/>
          <w:szCs w:val="21"/>
          <w:highlight w:val="none"/>
        </w:rPr>
        <w:t>【磋商须知前附表】</w:t>
      </w:r>
      <w:r>
        <w:rPr>
          <w:rFonts w:hint="eastAsia" w:ascii="宋体" w:hAnsi="宋体"/>
          <w:color w:val="auto"/>
          <w:szCs w:val="21"/>
          <w:highlight w:val="none"/>
        </w:rPr>
        <w:t>规定的比例给予价格折扣，用扣除后的价格参与评审。以联合体形式参加政府采购活动，联合体各方均为中小企业的，联合体视同中小企业。其中，联合体各方均为小微企业的，联合体视同小微企业。</w:t>
      </w:r>
    </w:p>
    <w:p w14:paraId="6D89B4AF">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1.3</w:t>
      </w:r>
      <w:r>
        <w:rPr>
          <w:rFonts w:hint="eastAsia" w:ascii="宋体" w:hAnsi="宋体"/>
          <w:color w:val="auto"/>
          <w:szCs w:val="21"/>
          <w:highlight w:val="none"/>
        </w:rPr>
        <w:t>符合中小企业划分标准的个体工商户视同中小企业，享受评审中价格扣除等促进中小企业发展的政府采购政策。</w:t>
      </w:r>
    </w:p>
    <w:p w14:paraId="6442C127">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1.4</w:t>
      </w:r>
      <w:r>
        <w:rPr>
          <w:rFonts w:hint="eastAsia" w:ascii="宋体" w:hAnsi="宋体"/>
          <w:color w:val="auto"/>
          <w:szCs w:val="21"/>
          <w:highlight w:val="none"/>
        </w:rPr>
        <w:t>监狱企业、残疾人福利性单位视同小型、微型企业，享受评审中价格扣除等促进中小企业发展的政府采购政策。</w:t>
      </w:r>
    </w:p>
    <w:p w14:paraId="726F53C8">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1.5</w:t>
      </w:r>
      <w:r>
        <w:rPr>
          <w:rFonts w:hint="eastAsia" w:ascii="宋体" w:hAnsi="宋体"/>
          <w:color w:val="auto"/>
          <w:szCs w:val="21"/>
          <w:highlight w:val="none"/>
        </w:rPr>
        <w:t xml:space="preserve">与大企业的负责人为同一人，或者与大企业存在直接控股、管理关系的中小企业，不享受评审中价格扣除等促进中小企业发展的政府采购政策。 </w:t>
      </w:r>
    </w:p>
    <w:p w14:paraId="0E031BC3">
      <w:pPr>
        <w:adjustRightInd w:val="0"/>
        <w:snapToGrid w:val="0"/>
        <w:spacing w:line="360" w:lineRule="auto"/>
        <w:ind w:firstLine="420" w:firstLineChars="200"/>
        <w:jc w:val="left"/>
        <w:rPr>
          <w:rFonts w:ascii="宋体" w:hAnsi="宋体"/>
          <w:bCs/>
          <w:color w:val="auto"/>
          <w:szCs w:val="21"/>
          <w:highlight w:val="none"/>
        </w:rPr>
      </w:pPr>
      <w:r>
        <w:rPr>
          <w:rFonts w:hint="eastAsia" w:ascii="宋体" w:hAnsi="宋体"/>
          <w:color w:val="auto"/>
          <w:szCs w:val="21"/>
          <w:highlight w:val="none"/>
        </w:rPr>
        <w:t>4</w:t>
      </w:r>
      <w:r>
        <w:rPr>
          <w:rFonts w:ascii="宋体" w:hAnsi="宋体"/>
          <w:color w:val="auto"/>
          <w:szCs w:val="21"/>
          <w:highlight w:val="none"/>
        </w:rPr>
        <w:t>1.6</w:t>
      </w:r>
      <w:r>
        <w:rPr>
          <w:rFonts w:hint="eastAsia" w:ascii="宋体" w:hAnsi="宋体"/>
          <w:color w:val="auto"/>
          <w:szCs w:val="21"/>
          <w:highlight w:val="none"/>
        </w:rPr>
        <w:t>本章第1.2款规定采购项目或者采购包属于“预留采购份额”的，预留部分不再享受本款“价格评审优惠”的小微企业扶持政策。</w:t>
      </w:r>
    </w:p>
    <w:p w14:paraId="6E2B8FA3">
      <w:pPr>
        <w:adjustRightInd w:val="0"/>
        <w:snapToGrid w:val="0"/>
        <w:spacing w:line="360" w:lineRule="auto"/>
        <w:rPr>
          <w:rFonts w:ascii="宋体" w:hAnsi="宋体"/>
          <w:b/>
          <w:bCs/>
          <w:color w:val="auto"/>
          <w:szCs w:val="21"/>
          <w:highlight w:val="none"/>
        </w:rPr>
      </w:pPr>
      <w:bookmarkStart w:id="86" w:name="_Toc107998011"/>
      <w:bookmarkStart w:id="87" w:name="_Toc107997884"/>
      <w:bookmarkStart w:id="88" w:name="_Toc62225469"/>
      <w:r>
        <w:rPr>
          <w:rFonts w:hint="eastAsia" w:ascii="宋体" w:hAnsi="宋体"/>
          <w:b/>
          <w:bCs/>
          <w:color w:val="auto"/>
          <w:szCs w:val="21"/>
          <w:highlight w:val="none"/>
        </w:rPr>
        <w:t>42.政府采购政策其他规定</w:t>
      </w:r>
      <w:bookmarkEnd w:id="86"/>
      <w:bookmarkEnd w:id="87"/>
      <w:bookmarkEnd w:id="88"/>
    </w:p>
    <w:p w14:paraId="47E9AA5C">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42.1中型企业、小型企业和微型企业类型按照《关于印发＜政府采购促进中小企业发展办法＞的通知》(财库[2020]46号)和《关于印发中小企业划型标准规定的通知》（工信部联企业〔2011〕300号）规定认定。</w:t>
      </w:r>
    </w:p>
    <w:p w14:paraId="471E24F0">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42.2监狱企业、残疾人福利性单位以及个体工商户视同小型、微型企业，享受预留采购份额、价格扣除等促进中小企业发展的政府采购政策。监狱企业、残疾人福利性单位以及个体工商户属于小型、微型企业的，不重复享受扶持政策。</w:t>
      </w:r>
    </w:p>
    <w:p w14:paraId="71EF21A4">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42.3以联合体形式参加政府采购活动，联合体各方均为中小企业的，联合体视同中小企业。其中，联合体各方均为小微企业的，联合体视同小微企业。</w:t>
      </w:r>
    </w:p>
    <w:p w14:paraId="1F751AC3">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42.4在货物采购项目中，供应商提供的货物既有中小企业制造货物，也有大型企业制造货物的，不享受中小企业扶持政策。</w:t>
      </w:r>
    </w:p>
    <w:p w14:paraId="344C25BC">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42.</w:t>
      </w:r>
      <w:r>
        <w:rPr>
          <w:rFonts w:ascii="宋体" w:hAnsi="宋体"/>
          <w:color w:val="auto"/>
          <w:szCs w:val="21"/>
          <w:highlight w:val="none"/>
        </w:rPr>
        <w:t>5</w:t>
      </w:r>
      <w:r>
        <w:rPr>
          <w:rFonts w:hint="eastAsia" w:ascii="宋体" w:hAnsi="宋体"/>
          <w:color w:val="auto"/>
          <w:szCs w:val="21"/>
          <w:highlight w:val="none"/>
        </w:rPr>
        <w:t>供应商提供的产品取得两个及以上优先采购产品认证的，评审时只有其中一项产品能够享受优先采购优惠（供应商自行选择，并在响应文件中并填报相关信息及数据）。</w:t>
      </w:r>
    </w:p>
    <w:p w14:paraId="7F3FEEBD">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42.</w:t>
      </w:r>
      <w:r>
        <w:rPr>
          <w:rFonts w:ascii="宋体" w:hAnsi="宋体"/>
          <w:color w:val="auto"/>
          <w:szCs w:val="21"/>
          <w:highlight w:val="none"/>
        </w:rPr>
        <w:t>6</w:t>
      </w:r>
      <w:r>
        <w:rPr>
          <w:rFonts w:hint="eastAsia" w:ascii="宋体" w:hAnsi="宋体"/>
          <w:color w:val="auto"/>
          <w:szCs w:val="21"/>
          <w:highlight w:val="none"/>
        </w:rPr>
        <w:t>“价格评审优惠”可以与同时属于“节能产品”、“环境标志产品”中的一项“优先采购”累加计算。</w:t>
      </w:r>
    </w:p>
    <w:p w14:paraId="3ADCD15D">
      <w:pPr>
        <w:adjustRightInd w:val="0"/>
        <w:snapToGrid w:val="0"/>
        <w:spacing w:line="360" w:lineRule="auto"/>
        <w:rPr>
          <w:rFonts w:ascii="宋体" w:hAnsi="宋体"/>
          <w:b/>
          <w:bCs/>
          <w:color w:val="auto"/>
          <w:szCs w:val="21"/>
          <w:highlight w:val="none"/>
        </w:rPr>
      </w:pPr>
      <w:bookmarkStart w:id="89" w:name="_Toc107998012"/>
      <w:bookmarkStart w:id="90" w:name="_Toc62225470"/>
      <w:bookmarkStart w:id="91" w:name="_Toc23255846"/>
      <w:bookmarkStart w:id="92" w:name="_Toc107997885"/>
      <w:bookmarkStart w:id="93" w:name="_Toc23243979"/>
      <w:r>
        <w:rPr>
          <w:rFonts w:hint="eastAsia" w:ascii="宋体" w:hAnsi="宋体"/>
          <w:b/>
          <w:bCs/>
          <w:color w:val="auto"/>
          <w:szCs w:val="21"/>
          <w:highlight w:val="none"/>
        </w:rPr>
        <w:t>43.供应商应提供的政府采购政策证明资料</w:t>
      </w:r>
      <w:bookmarkEnd w:id="89"/>
      <w:bookmarkEnd w:id="90"/>
      <w:bookmarkEnd w:id="91"/>
      <w:bookmarkEnd w:id="92"/>
      <w:bookmarkEnd w:id="93"/>
    </w:p>
    <w:p w14:paraId="6A4DE41B">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43.1符合本章第38条、第39条、第40条、第41条规定的，供应商应在响应文件中提供相关证明资料。</w:t>
      </w:r>
    </w:p>
    <w:p w14:paraId="40D859FB">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（1）节能产品、环境标志产品：提供国家确定的认证机构出具的、处于有效期之内的节能产品、环境标志产品认证证书（复印件）。</w:t>
      </w:r>
    </w:p>
    <w:p w14:paraId="6841C3FF">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（2）中小企业：货物类采购项目，按《关于印发＜政府采购促进中小企业发展办法＞的通知》(财库[2020]46号) 和《关于印发中小企业划型标准规定的通知》（工信部联企业〔2011〕300号）文件规定提供中小企业声明函（格式）；工程、服务类采购项目，按《湖南省财政厅关于政府采购促进中小企业发展的有关措施的通知》（湘财购[2022]17号）文件规定提供湖南省政府采购供应商资格承诺函（格式）。</w:t>
      </w:r>
    </w:p>
    <w:p w14:paraId="47B0FBA1">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（3）监狱企业：按《关于政府采购支持监狱企业发展有关问题的通知》(财库〔2014〕68号)文件规定提供证明文件（复印件）。</w:t>
      </w:r>
    </w:p>
    <w:p w14:paraId="21C0757B">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（4）残疾人福利性单位：按《关于促进残疾人就业政府采购政策的通知》(财库〔2017〕141号)文件规定提供《残疾人福利性单位声明函》（格式）。</w:t>
      </w:r>
    </w:p>
    <w:p w14:paraId="72102A8B">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44. 采购进口产品</w:t>
      </w:r>
    </w:p>
    <w:p w14:paraId="062FD438">
      <w:pPr>
        <w:adjustRightInd w:val="0"/>
        <w:snapToGrid w:val="0"/>
        <w:spacing w:line="360" w:lineRule="auto"/>
        <w:ind w:firstLine="420" w:firstLineChars="200"/>
        <w:jc w:val="left"/>
        <w:rPr>
          <w:rFonts w:ascii="黑体" w:hAnsi="黑体" w:eastAsia="黑体"/>
          <w:b/>
          <w:bCs/>
          <w:color w:val="auto"/>
          <w:szCs w:val="21"/>
          <w:highlight w:val="none"/>
        </w:rPr>
      </w:pPr>
      <w:r>
        <w:rPr>
          <w:rFonts w:hint="eastAsia" w:ascii="宋体" w:hAnsi="宋体" w:cs="宋体"/>
          <w:bCs/>
          <w:color w:val="auto"/>
          <w:kern w:val="0"/>
          <w:szCs w:val="21"/>
          <w:highlight w:val="none"/>
        </w:rPr>
        <w:t>44.1</w:t>
      </w:r>
      <w:r>
        <w:rPr>
          <w:rFonts w:hint="eastAsia" w:ascii="宋体" w:hAnsi="宋体" w:cs="宋体"/>
          <w:bCs/>
          <w:color w:val="auto"/>
          <w:kern w:val="0"/>
          <w:szCs w:val="21"/>
          <w:highlight w:val="none"/>
          <w:lang w:val="zh-CN"/>
        </w:rPr>
        <w:t>进口产品是指符合《政府采购进口产品管理办法》（财库〔2007〕119号）和《关于政府采购进口产品管理有关问题的通知》（财办库〔2008〕248号）文件规定的产品。</w:t>
      </w:r>
      <w:r>
        <w:rPr>
          <w:rFonts w:hint="eastAsia" w:ascii="宋体" w:hAnsi="宋体" w:cs="宋体"/>
          <w:b/>
          <w:color w:val="auto"/>
          <w:kern w:val="0"/>
          <w:szCs w:val="21"/>
          <w:highlight w:val="none"/>
          <w:lang w:val="zh-CN"/>
        </w:rPr>
        <w:t>除【</w:t>
      </w:r>
      <w:r>
        <w:rPr>
          <w:rFonts w:hint="eastAsia" w:ascii="宋体" w:hAnsi="宋体" w:cs="宋体"/>
          <w:b/>
          <w:color w:val="auto"/>
          <w:kern w:val="0"/>
          <w:szCs w:val="21"/>
          <w:highlight w:val="none"/>
        </w:rPr>
        <w:t>磋商</w:t>
      </w:r>
      <w:r>
        <w:rPr>
          <w:rFonts w:hint="eastAsia" w:ascii="宋体" w:hAnsi="宋体" w:cs="宋体"/>
          <w:b/>
          <w:color w:val="auto"/>
          <w:kern w:val="0"/>
          <w:szCs w:val="21"/>
          <w:highlight w:val="none"/>
          <w:lang w:val="zh-CN"/>
        </w:rPr>
        <w:t>须知前附表】另有规定外，采购项目拒绝进口产品参加</w:t>
      </w:r>
      <w:r>
        <w:rPr>
          <w:rFonts w:hint="eastAsia" w:ascii="宋体" w:hAnsi="宋体" w:cs="宋体"/>
          <w:b/>
          <w:color w:val="auto"/>
          <w:kern w:val="0"/>
          <w:szCs w:val="21"/>
          <w:highlight w:val="none"/>
        </w:rPr>
        <w:t>磋商</w:t>
      </w:r>
      <w:r>
        <w:rPr>
          <w:rFonts w:hint="eastAsia" w:ascii="宋体" w:hAnsi="宋体" w:cs="宋体"/>
          <w:b/>
          <w:color w:val="auto"/>
          <w:kern w:val="0"/>
          <w:szCs w:val="21"/>
          <w:highlight w:val="none"/>
          <w:lang w:val="zh-CN"/>
        </w:rPr>
        <w:t>。</w:t>
      </w:r>
      <w:r>
        <w:rPr>
          <w:rFonts w:hint="eastAsia" w:ascii="宋体" w:hAnsi="宋体" w:cs="宋体"/>
          <w:bCs/>
          <w:color w:val="auto"/>
          <w:kern w:val="0"/>
          <w:szCs w:val="21"/>
          <w:highlight w:val="none"/>
          <w:lang w:val="zh-CN"/>
        </w:rPr>
        <w:t>本款规定同意购买进口产品的，不限制满足</w:t>
      </w:r>
      <w:r>
        <w:rPr>
          <w:rFonts w:hint="eastAsia" w:ascii="宋体" w:hAnsi="宋体" w:cs="宋体"/>
          <w:bCs/>
          <w:color w:val="auto"/>
          <w:kern w:val="0"/>
          <w:szCs w:val="21"/>
          <w:highlight w:val="none"/>
        </w:rPr>
        <w:t>磋商</w:t>
      </w:r>
      <w:r>
        <w:rPr>
          <w:rFonts w:hint="eastAsia" w:ascii="宋体" w:hAnsi="宋体" w:cs="宋体"/>
          <w:bCs/>
          <w:color w:val="auto"/>
          <w:kern w:val="0"/>
          <w:szCs w:val="21"/>
          <w:highlight w:val="none"/>
          <w:lang w:val="zh-CN"/>
        </w:rPr>
        <w:t>文件要求的国内产品参与</w:t>
      </w:r>
      <w:r>
        <w:rPr>
          <w:rFonts w:hint="eastAsia" w:ascii="宋体" w:hAnsi="宋体" w:cs="宋体"/>
          <w:bCs/>
          <w:color w:val="auto"/>
          <w:kern w:val="0"/>
          <w:szCs w:val="21"/>
          <w:highlight w:val="none"/>
        </w:rPr>
        <w:t>磋商</w:t>
      </w:r>
      <w:r>
        <w:rPr>
          <w:rFonts w:hint="eastAsia" w:ascii="宋体" w:hAnsi="宋体" w:cs="宋体"/>
          <w:bCs/>
          <w:color w:val="auto"/>
          <w:kern w:val="0"/>
          <w:szCs w:val="21"/>
          <w:highlight w:val="none"/>
          <w:lang w:val="zh-CN"/>
        </w:rPr>
        <w:t>竞争。</w:t>
      </w:r>
    </w:p>
    <w:p w14:paraId="043CAB51">
      <w:pPr>
        <w:adjustRightInd w:val="0"/>
        <w:snapToGrid w:val="0"/>
        <w:spacing w:line="360" w:lineRule="auto"/>
        <w:rPr>
          <w:rFonts w:ascii="宋体" w:hAnsi="宋体"/>
          <w:b/>
          <w:bCs/>
          <w:color w:val="auto"/>
          <w:szCs w:val="21"/>
          <w:highlight w:val="none"/>
        </w:rPr>
      </w:pPr>
      <w:r>
        <w:rPr>
          <w:rFonts w:hint="eastAsia" w:ascii="宋体" w:hAnsi="宋体"/>
          <w:b/>
          <w:bCs/>
          <w:color w:val="auto"/>
          <w:szCs w:val="21"/>
          <w:highlight w:val="none"/>
        </w:rPr>
        <w:t>45.融资、担保</w:t>
      </w:r>
    </w:p>
    <w:p w14:paraId="3B139D24">
      <w:pPr>
        <w:adjustRightInd w:val="0"/>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45.1</w:t>
      </w:r>
      <w:bookmarkStart w:id="94" w:name="OLE_LINK1"/>
      <w:r>
        <w:rPr>
          <w:rFonts w:hint="eastAsia" w:ascii="宋体" w:hAnsi="宋体"/>
          <w:color w:val="auto"/>
          <w:szCs w:val="21"/>
          <w:highlight w:val="none"/>
        </w:rPr>
        <w:t>供应商有融资、担保需求的，可登陆中国湖南政府采购网查询相关银行、担保机构业务。</w:t>
      </w:r>
      <w:bookmarkEnd w:id="94"/>
    </w:p>
    <w:p w14:paraId="0FE961D0">
      <w:pPr>
        <w:adjustRightInd w:val="0"/>
        <w:snapToGrid w:val="0"/>
        <w:spacing w:line="360" w:lineRule="auto"/>
        <w:ind w:firstLine="420" w:firstLineChars="200"/>
        <w:jc w:val="left"/>
        <w:rPr>
          <w:rFonts w:hint="eastAsia" w:ascii="宋体" w:hAnsi="宋体"/>
          <w:color w:val="auto"/>
          <w:szCs w:val="21"/>
          <w:highlight w:val="none"/>
        </w:rPr>
      </w:pPr>
    </w:p>
    <w:p w14:paraId="0EFB3ED0">
      <w:pPr>
        <w:adjustRightInd w:val="0"/>
        <w:snapToGrid w:val="0"/>
        <w:spacing w:line="360" w:lineRule="auto"/>
        <w:jc w:val="center"/>
        <w:outlineLvl w:val="2"/>
        <w:rPr>
          <w:rFonts w:ascii="黑体" w:hAnsi="黑体" w:eastAsia="黑体"/>
          <w:b/>
          <w:bCs/>
          <w:color w:val="auto"/>
          <w:sz w:val="28"/>
          <w:szCs w:val="28"/>
          <w:highlight w:val="none"/>
        </w:rPr>
      </w:pPr>
      <w:bookmarkStart w:id="95" w:name="_Toc30988"/>
      <w:bookmarkStart w:id="96" w:name="_Toc107998014"/>
      <w:bookmarkStart w:id="97" w:name="_Toc13791"/>
      <w:r>
        <w:rPr>
          <w:rFonts w:hint="eastAsia" w:ascii="黑体" w:hAnsi="黑体" w:eastAsia="黑体"/>
          <w:b/>
          <w:bCs/>
          <w:color w:val="auto"/>
          <w:sz w:val="28"/>
          <w:szCs w:val="28"/>
          <w:highlight w:val="none"/>
        </w:rPr>
        <w:t>八、其他规定</w:t>
      </w:r>
      <w:bookmarkEnd w:id="95"/>
      <w:bookmarkEnd w:id="96"/>
      <w:bookmarkEnd w:id="97"/>
    </w:p>
    <w:p w14:paraId="08024C08">
      <w:pPr>
        <w:adjustRightInd w:val="0"/>
        <w:snapToGrid w:val="0"/>
        <w:spacing w:line="360" w:lineRule="auto"/>
        <w:rPr>
          <w:rFonts w:ascii="宋体" w:hAnsi="宋体"/>
          <w:b/>
          <w:bCs/>
          <w:color w:val="auto"/>
          <w:szCs w:val="21"/>
          <w:highlight w:val="none"/>
        </w:rPr>
      </w:pPr>
      <w:bookmarkStart w:id="98" w:name="_Toc107998015"/>
      <w:bookmarkStart w:id="99" w:name="_Toc107997888"/>
      <w:r>
        <w:rPr>
          <w:rFonts w:hint="eastAsia" w:ascii="宋体" w:hAnsi="宋体"/>
          <w:b/>
          <w:bCs/>
          <w:color w:val="auto"/>
          <w:szCs w:val="21"/>
          <w:highlight w:val="none"/>
        </w:rPr>
        <w:t>46.其他规定</w:t>
      </w:r>
      <w:bookmarkEnd w:id="98"/>
      <w:bookmarkEnd w:id="99"/>
    </w:p>
    <w:p w14:paraId="2AD3F356">
      <w:pPr>
        <w:adjustRightInd w:val="0"/>
        <w:snapToGrid w:val="0"/>
        <w:spacing w:line="360" w:lineRule="auto"/>
        <w:ind w:firstLine="420" w:firstLineChars="200"/>
        <w:jc w:val="left"/>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6</w:t>
      </w:r>
      <w:r>
        <w:rPr>
          <w:rFonts w:ascii="宋体" w:hAnsi="宋体"/>
          <w:color w:val="auto"/>
          <w:szCs w:val="21"/>
          <w:highlight w:val="none"/>
        </w:rPr>
        <w:t>.1</w:t>
      </w:r>
      <w:r>
        <w:rPr>
          <w:rFonts w:hint="eastAsia" w:ascii="宋体" w:hAnsi="宋体"/>
          <w:color w:val="auto"/>
          <w:szCs w:val="21"/>
          <w:highlight w:val="none"/>
        </w:rPr>
        <w:t>合同价款支付</w:t>
      </w:r>
    </w:p>
    <w:p w14:paraId="4C05BE9A">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（1）竞争性磋商文件规定支付合同预付款的，采购人应按【</w:t>
      </w:r>
      <w:r>
        <w:rPr>
          <w:rFonts w:hint="eastAsia" w:ascii="宋体" w:hAnsi="宋体"/>
          <w:b/>
          <w:bCs/>
          <w:color w:val="auto"/>
          <w:szCs w:val="21"/>
          <w:highlight w:val="none"/>
        </w:rPr>
        <w:t>磋商须知前附表</w:t>
      </w:r>
      <w:r>
        <w:rPr>
          <w:rFonts w:hint="eastAsia" w:ascii="宋体" w:hAnsi="宋体"/>
          <w:color w:val="auto"/>
          <w:szCs w:val="21"/>
          <w:highlight w:val="none"/>
        </w:rPr>
        <w:t>】规定的支付比例和支付条件向符合要求的成交供应商及时支付相应款项，并在政府采购合同中进行明确。</w:t>
      </w:r>
    </w:p>
    <w:p w14:paraId="4A93A9CB">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（2）竞争性磋商文件规定需提交质量保证金的，采购人可以按【</w:t>
      </w:r>
      <w:r>
        <w:rPr>
          <w:rFonts w:hint="eastAsia" w:ascii="宋体" w:hAnsi="宋体"/>
          <w:b/>
          <w:bCs/>
          <w:color w:val="auto"/>
          <w:szCs w:val="21"/>
          <w:highlight w:val="none"/>
        </w:rPr>
        <w:t>磋商须知前附表</w:t>
      </w:r>
      <w:r>
        <w:rPr>
          <w:rFonts w:hint="eastAsia" w:ascii="宋体" w:hAnsi="宋体"/>
          <w:color w:val="auto"/>
          <w:szCs w:val="21"/>
          <w:highlight w:val="none"/>
        </w:rPr>
        <w:t>】规定要求成交供应商提交质量保证金，并在政府采购合同中进行明确。</w:t>
      </w:r>
    </w:p>
    <w:p w14:paraId="67C42A24">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（3）供应商可以保函、电子增信替代预付款担保、质量保证金。</w:t>
      </w:r>
    </w:p>
    <w:p w14:paraId="623579A0">
      <w:pPr>
        <w:adjustRightInd w:val="0"/>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46.</w:t>
      </w:r>
      <w:r>
        <w:rPr>
          <w:rFonts w:ascii="宋体" w:hAnsi="宋体"/>
          <w:color w:val="auto"/>
          <w:szCs w:val="21"/>
          <w:highlight w:val="none"/>
        </w:rPr>
        <w:t>2</w:t>
      </w:r>
      <w:r>
        <w:rPr>
          <w:rFonts w:hint="eastAsia" w:ascii="宋体" w:hAnsi="宋体"/>
          <w:color w:val="auto"/>
          <w:szCs w:val="21"/>
          <w:highlight w:val="none"/>
        </w:rPr>
        <w:t>磋商文件</w:t>
      </w:r>
      <w:r>
        <w:rPr>
          <w:rFonts w:hint="eastAsia" w:hAnsi="宋体"/>
          <w:color w:val="auto"/>
          <w:szCs w:val="21"/>
          <w:highlight w:val="none"/>
        </w:rPr>
        <w:t>的其他规定</w:t>
      </w:r>
      <w:r>
        <w:rPr>
          <w:rFonts w:hint="eastAsia" w:ascii="宋体" w:hAnsi="宋体"/>
          <w:color w:val="auto"/>
          <w:szCs w:val="21"/>
          <w:highlight w:val="none"/>
        </w:rPr>
        <w:t>见</w:t>
      </w:r>
      <w:r>
        <w:rPr>
          <w:rFonts w:hint="eastAsia" w:ascii="宋体" w:hAnsi="宋体"/>
          <w:b/>
          <w:color w:val="auto"/>
          <w:szCs w:val="21"/>
          <w:highlight w:val="none"/>
        </w:rPr>
        <w:t>【</w:t>
      </w:r>
      <w:r>
        <w:rPr>
          <w:rFonts w:hint="eastAsia" w:ascii="宋体" w:hAnsi="宋体"/>
          <w:b/>
          <w:bCs/>
          <w:color w:val="auto"/>
          <w:szCs w:val="21"/>
          <w:highlight w:val="none"/>
        </w:rPr>
        <w:t>磋商须知前附表</w:t>
      </w:r>
      <w:r>
        <w:rPr>
          <w:rFonts w:hint="eastAsia" w:ascii="宋体" w:hAnsi="宋体"/>
          <w:b/>
          <w:color w:val="auto"/>
          <w:szCs w:val="21"/>
          <w:highlight w:val="none"/>
        </w:rPr>
        <w:t>】</w:t>
      </w:r>
      <w:r>
        <w:rPr>
          <w:rFonts w:hint="eastAsia" w:ascii="宋体" w:hAnsi="宋体"/>
          <w:color w:val="auto"/>
          <w:szCs w:val="21"/>
          <w:highlight w:val="none"/>
        </w:rPr>
        <w:t>。</w:t>
      </w:r>
    </w:p>
    <w:p w14:paraId="65077693">
      <w:pPr>
        <w:pStyle w:val="4"/>
        <w:adjustRightInd w:val="0"/>
        <w:snapToGrid w:val="0"/>
        <w:spacing w:line="360" w:lineRule="auto"/>
        <w:rPr>
          <w:rFonts w:ascii="黑体" w:hAnsi="黑体" w:eastAsia="黑体"/>
          <w:color w:val="auto"/>
          <w:sz w:val="28"/>
          <w:szCs w:val="28"/>
          <w:highlight w:val="none"/>
        </w:rPr>
      </w:pPr>
      <w:bookmarkStart w:id="100" w:name="_Toc14281"/>
      <w:r>
        <w:rPr>
          <w:rFonts w:hint="eastAsia" w:ascii="黑体" w:hAnsi="黑体" w:eastAsia="黑体"/>
          <w:color w:val="auto"/>
          <w:sz w:val="28"/>
          <w:szCs w:val="28"/>
          <w:highlight w:val="none"/>
        </w:rPr>
        <w:br w:type="page"/>
      </w:r>
      <w:bookmarkStart w:id="101" w:name="_Toc1584"/>
      <w:r>
        <w:rPr>
          <w:rFonts w:hint="eastAsia" w:ascii="黑体" w:hAnsi="黑体" w:eastAsia="黑体"/>
          <w:color w:val="auto"/>
          <w:sz w:val="28"/>
          <w:szCs w:val="28"/>
          <w:highlight w:val="none"/>
        </w:rPr>
        <w:t>附表1资格审查表</w:t>
      </w:r>
      <w:bookmarkEnd w:id="100"/>
      <w:bookmarkEnd w:id="101"/>
    </w:p>
    <w:p w14:paraId="10F000A9">
      <w:pPr>
        <w:adjustRightInd w:val="0"/>
        <w:snapToGrid w:val="0"/>
        <w:spacing w:line="360" w:lineRule="auto"/>
        <w:jc w:val="center"/>
        <w:rPr>
          <w:rFonts w:ascii="黑体" w:hAnsi="黑体" w:eastAsia="黑体"/>
          <w:b/>
          <w:color w:val="auto"/>
          <w:sz w:val="28"/>
          <w:szCs w:val="28"/>
          <w:highlight w:val="none"/>
        </w:rPr>
      </w:pPr>
      <w:r>
        <w:rPr>
          <w:rFonts w:ascii="黑体" w:hAnsi="黑体" w:eastAsia="黑体"/>
          <w:b/>
          <w:color w:val="auto"/>
          <w:sz w:val="28"/>
          <w:szCs w:val="28"/>
          <w:highlight w:val="none"/>
        </w:rPr>
        <w:t>资格审查表</w:t>
      </w:r>
    </w:p>
    <w:tbl>
      <w:tblPr>
        <w:tblStyle w:val="25"/>
        <w:tblW w:w="17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87"/>
        <w:gridCol w:w="5253"/>
        <w:gridCol w:w="3020"/>
      </w:tblGrid>
      <w:tr w14:paraId="4F972D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87" w:type="dxa"/>
            <w:noWrap/>
            <w:vAlign w:val="center"/>
          </w:tcPr>
          <w:p w14:paraId="697F8167">
            <w:pPr>
              <w:adjustRightInd w:val="0"/>
              <w:snapToGrid w:val="0"/>
              <w:spacing w:beforeLines="50" w:line="240" w:lineRule="auto"/>
              <w:ind w:left="0" w:leftChars="0" w:right="0" w:rightChars="0" w:firstLine="0" w:firstLineChars="0"/>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5253" w:type="dxa"/>
            <w:noWrap/>
            <w:vAlign w:val="center"/>
          </w:tcPr>
          <w:p w14:paraId="07F6E67C">
            <w:pPr>
              <w:adjustRightInd w:val="0"/>
              <w:snapToGrid w:val="0"/>
              <w:spacing w:beforeLines="50" w:line="240" w:lineRule="auto"/>
              <w:ind w:left="0" w:leftChars="0" w:right="0" w:rightChars="0" w:firstLine="0" w:firstLineChars="0"/>
              <w:jc w:val="center"/>
              <w:rPr>
                <w:rFonts w:ascii="宋体" w:hAnsi="宋体" w:cs="宋体"/>
                <w:b/>
                <w:color w:val="auto"/>
                <w:kern w:val="0"/>
                <w:szCs w:val="21"/>
                <w:highlight w:val="none"/>
              </w:rPr>
            </w:pPr>
            <w:r>
              <w:rPr>
                <w:rFonts w:hint="eastAsia" w:ascii="宋体" w:hAnsi="宋体" w:cs="宋体"/>
                <w:b/>
                <w:color w:val="auto"/>
                <w:kern w:val="0"/>
                <w:szCs w:val="21"/>
                <w:highlight w:val="none"/>
              </w:rPr>
              <w:t>审查项目</w:t>
            </w:r>
          </w:p>
        </w:tc>
        <w:tc>
          <w:tcPr>
            <w:tcW w:w="3020" w:type="dxa"/>
            <w:noWrap/>
            <w:vAlign w:val="center"/>
          </w:tcPr>
          <w:p w14:paraId="49C8980C">
            <w:pPr>
              <w:adjustRightInd w:val="0"/>
              <w:snapToGrid w:val="0"/>
              <w:spacing w:beforeLines="50" w:line="240" w:lineRule="auto"/>
              <w:ind w:left="0" w:leftChars="0" w:right="0" w:rightChars="0" w:firstLine="0" w:firstLineChars="0"/>
              <w:jc w:val="center"/>
              <w:rPr>
                <w:rFonts w:ascii="宋体" w:hAnsi="宋体" w:cs="宋体"/>
                <w:b/>
                <w:color w:val="auto"/>
                <w:kern w:val="0"/>
                <w:szCs w:val="21"/>
                <w:highlight w:val="none"/>
              </w:rPr>
            </w:pPr>
            <w:r>
              <w:rPr>
                <w:rFonts w:hint="eastAsia" w:ascii="宋体" w:hAnsi="宋体" w:cs="宋体"/>
                <w:b/>
                <w:color w:val="auto"/>
                <w:kern w:val="0"/>
                <w:szCs w:val="21"/>
                <w:highlight w:val="none"/>
              </w:rPr>
              <w:t>审查资料</w:t>
            </w:r>
          </w:p>
        </w:tc>
      </w:tr>
      <w:tr w14:paraId="754F16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vMerge w:val="restart"/>
            <w:noWrap/>
            <w:vAlign w:val="center"/>
          </w:tcPr>
          <w:p w14:paraId="2CE17E3D">
            <w:pPr>
              <w:pStyle w:val="66"/>
              <w:snapToGrid w:val="0"/>
              <w:spacing w:before="65" w:line="240" w:lineRule="auto"/>
              <w:ind w:left="0" w:leftChars="0" w:right="0" w:rightChars="0" w:firstLine="0" w:firstLineChars="0"/>
              <w:jc w:val="center"/>
              <w:rPr>
                <w:rFonts w:ascii="宋体" w:hAnsi="宋体" w:eastAsia="宋体" w:cs="宋体"/>
                <w:color w:val="auto"/>
                <w:kern w:val="0"/>
                <w:sz w:val="21"/>
                <w:szCs w:val="21"/>
                <w:highlight w:val="none"/>
              </w:rPr>
            </w:pPr>
            <w:r>
              <w:rPr>
                <w:rFonts w:hint="eastAsia" w:ascii="宋体" w:hAnsi="宋体" w:eastAsia="宋体" w:cs="宋体"/>
                <w:color w:val="auto"/>
                <w:position w:val="1"/>
                <w:sz w:val="21"/>
                <w:highlight w:val="none"/>
              </w:rPr>
              <w:t>1</w:t>
            </w:r>
          </w:p>
        </w:tc>
        <w:tc>
          <w:tcPr>
            <w:tcW w:w="5253" w:type="dxa"/>
            <w:vMerge w:val="restart"/>
            <w:noWrap/>
            <w:vAlign w:val="center"/>
          </w:tcPr>
          <w:p w14:paraId="382369E4">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bCs/>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具有独立承担民事责任的能力</w:t>
            </w:r>
          </w:p>
        </w:tc>
        <w:tc>
          <w:tcPr>
            <w:tcW w:w="3020" w:type="dxa"/>
            <w:noWrap/>
            <w:vAlign w:val="center"/>
          </w:tcPr>
          <w:p w14:paraId="7A8C9F65">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s="Times New Roman"/>
                <w:bCs/>
                <w:snapToGrid/>
                <w:color w:val="auto"/>
                <w:kern w:val="2"/>
                <w:sz w:val="21"/>
                <w:szCs w:val="24"/>
                <w:highlight w:val="none"/>
                <w:lang w:eastAsia="zh-CN"/>
              </w:rPr>
            </w:pPr>
            <w:r>
              <w:rPr>
                <w:rFonts w:hint="eastAsia" w:ascii="宋体" w:hAnsi="宋体" w:eastAsia="宋体" w:cs="Times New Roman"/>
                <w:bCs/>
                <w:snapToGrid/>
                <w:color w:val="auto"/>
                <w:kern w:val="2"/>
                <w:sz w:val="21"/>
                <w:szCs w:val="24"/>
                <w:highlight w:val="none"/>
                <w:lang w:eastAsia="zh-CN"/>
              </w:rPr>
              <w:t>（1）投标人为法人的，应提交营业执照或法人登记证书的复印件；</w:t>
            </w:r>
          </w:p>
          <w:p w14:paraId="2DD138B4">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s="Times New Roman"/>
                <w:bCs/>
                <w:snapToGrid/>
                <w:color w:val="auto"/>
                <w:kern w:val="2"/>
                <w:sz w:val="21"/>
                <w:szCs w:val="24"/>
                <w:highlight w:val="none"/>
                <w:lang w:eastAsia="zh-CN"/>
              </w:rPr>
            </w:pPr>
            <w:r>
              <w:rPr>
                <w:rFonts w:hint="eastAsia" w:ascii="宋体" w:hAnsi="宋体" w:eastAsia="宋体" w:cs="Times New Roman"/>
                <w:bCs/>
                <w:snapToGrid/>
                <w:color w:val="auto"/>
                <w:kern w:val="2"/>
                <w:sz w:val="21"/>
                <w:szCs w:val="24"/>
                <w:highlight w:val="none"/>
                <w:lang w:eastAsia="zh-CN"/>
              </w:rPr>
              <w:t>（2）投标人为非法人组织的，应提交依法登记证书复印件；</w:t>
            </w:r>
          </w:p>
          <w:p w14:paraId="32421F5C">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s="Times New Roman"/>
                <w:bCs/>
                <w:snapToGrid/>
                <w:color w:val="auto"/>
                <w:kern w:val="2"/>
                <w:sz w:val="21"/>
                <w:szCs w:val="24"/>
                <w:highlight w:val="none"/>
                <w:lang w:eastAsia="zh-CN"/>
              </w:rPr>
            </w:pPr>
            <w:r>
              <w:rPr>
                <w:rFonts w:hint="eastAsia" w:ascii="宋体" w:hAnsi="宋体" w:eastAsia="宋体" w:cs="Times New Roman"/>
                <w:bCs/>
                <w:snapToGrid/>
                <w:color w:val="auto"/>
                <w:kern w:val="2"/>
                <w:sz w:val="21"/>
                <w:szCs w:val="24"/>
                <w:highlight w:val="none"/>
                <w:lang w:eastAsia="zh-CN"/>
              </w:rPr>
              <w:t>（3）投标人为个体工商户的，应提交个体工商户营业执照复印件；</w:t>
            </w:r>
          </w:p>
          <w:p w14:paraId="67C69833">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（4）投标人为自然人的，应提交自然人的身份证明复印件。</w:t>
            </w:r>
          </w:p>
        </w:tc>
      </w:tr>
      <w:tr w14:paraId="786F50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19954171">
            <w:pPr>
              <w:pStyle w:val="66"/>
              <w:snapToGrid w:val="0"/>
              <w:spacing w:before="65" w:line="240" w:lineRule="auto"/>
              <w:ind w:left="0" w:leftChars="0" w:right="0" w:rightChars="0" w:firstLine="0" w:firstLineChars="0"/>
              <w:jc w:val="center"/>
              <w:rPr>
                <w:rFonts w:ascii="宋体" w:hAnsi="宋体" w:eastAsia="宋体" w:cs="宋体"/>
                <w:color w:val="auto"/>
                <w:kern w:val="0"/>
                <w:sz w:val="21"/>
                <w:szCs w:val="21"/>
                <w:highlight w:val="none"/>
              </w:rPr>
            </w:pPr>
            <w:r>
              <w:rPr>
                <w:rFonts w:hint="eastAsia" w:ascii="宋体" w:hAnsi="宋体" w:eastAsia="宋体" w:cs="宋体"/>
                <w:color w:val="auto"/>
                <w:position w:val="1"/>
                <w:sz w:val="21"/>
                <w:highlight w:val="none"/>
              </w:rPr>
              <w:t>2</w:t>
            </w:r>
          </w:p>
        </w:tc>
        <w:tc>
          <w:tcPr>
            <w:tcW w:w="5253" w:type="dxa"/>
            <w:noWrap/>
            <w:vAlign w:val="center"/>
          </w:tcPr>
          <w:p w14:paraId="288E7A61">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具有良好的商业信誉和健全的财务会计制度</w:t>
            </w:r>
          </w:p>
        </w:tc>
        <w:tc>
          <w:tcPr>
            <w:tcW w:w="3020" w:type="dxa"/>
            <w:noWrap/>
            <w:vAlign w:val="center"/>
          </w:tcPr>
          <w:p w14:paraId="5A4BAF3E">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提供供应商资格声明和湖南省政府采购供应商资格承诺函，签署、盖章符合要求</w:t>
            </w:r>
          </w:p>
        </w:tc>
      </w:tr>
      <w:tr w14:paraId="6FDDFD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09CD58E8">
            <w:pPr>
              <w:pStyle w:val="66"/>
              <w:snapToGrid w:val="0"/>
              <w:spacing w:before="65" w:line="240" w:lineRule="auto"/>
              <w:ind w:left="0" w:leftChars="0" w:right="0" w:rightChars="0" w:firstLine="0" w:firstLineChars="0"/>
              <w:jc w:val="center"/>
              <w:rPr>
                <w:rFonts w:ascii="宋体" w:hAnsi="宋体" w:eastAsia="宋体" w:cs="宋体"/>
                <w:color w:val="auto"/>
                <w:kern w:val="0"/>
                <w:sz w:val="21"/>
                <w:szCs w:val="21"/>
                <w:highlight w:val="none"/>
              </w:rPr>
            </w:pPr>
            <w:r>
              <w:rPr>
                <w:rFonts w:hint="eastAsia" w:ascii="宋体" w:hAnsi="宋体" w:eastAsia="宋体" w:cs="宋体"/>
                <w:color w:val="auto"/>
                <w:position w:val="1"/>
                <w:sz w:val="21"/>
                <w:highlight w:val="none"/>
              </w:rPr>
              <w:t>3</w:t>
            </w:r>
          </w:p>
        </w:tc>
        <w:tc>
          <w:tcPr>
            <w:tcW w:w="5253" w:type="dxa"/>
            <w:noWrap/>
            <w:vAlign w:val="center"/>
          </w:tcPr>
          <w:p w14:paraId="30C6DB97">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具有履行合同所必需的设备和专业技术能力</w:t>
            </w:r>
          </w:p>
        </w:tc>
        <w:tc>
          <w:tcPr>
            <w:tcW w:w="3020" w:type="dxa"/>
            <w:noWrap/>
            <w:vAlign w:val="center"/>
          </w:tcPr>
          <w:p w14:paraId="76246062">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提供供应商资格声明和湖南省政府采购供应商资格承诺函，签署、盖章符合要求</w:t>
            </w:r>
          </w:p>
        </w:tc>
      </w:tr>
      <w:tr w14:paraId="6CA7DE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2100B1C6">
            <w:pPr>
              <w:pStyle w:val="66"/>
              <w:snapToGrid w:val="0"/>
              <w:spacing w:before="65" w:line="240" w:lineRule="auto"/>
              <w:ind w:left="0" w:leftChars="0" w:right="0" w:rightChars="0" w:firstLine="0" w:firstLineChars="0"/>
              <w:jc w:val="center"/>
              <w:rPr>
                <w:rFonts w:ascii="宋体" w:hAnsi="宋体" w:eastAsia="宋体" w:cs="宋体"/>
                <w:color w:val="auto"/>
                <w:kern w:val="0"/>
                <w:sz w:val="21"/>
                <w:szCs w:val="21"/>
                <w:highlight w:val="none"/>
              </w:rPr>
            </w:pPr>
            <w:r>
              <w:rPr>
                <w:rFonts w:hint="eastAsia" w:ascii="宋体" w:hAnsi="宋体" w:eastAsia="宋体" w:cs="宋体"/>
                <w:color w:val="auto"/>
                <w:position w:val="1"/>
                <w:sz w:val="21"/>
                <w:highlight w:val="none"/>
              </w:rPr>
              <w:t>4</w:t>
            </w:r>
          </w:p>
        </w:tc>
        <w:tc>
          <w:tcPr>
            <w:tcW w:w="5253" w:type="dxa"/>
            <w:noWrap/>
            <w:vAlign w:val="center"/>
          </w:tcPr>
          <w:p w14:paraId="083C21B1">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有依法缴纳税收和社会保障资金的良好记录</w:t>
            </w:r>
          </w:p>
        </w:tc>
        <w:tc>
          <w:tcPr>
            <w:tcW w:w="3020" w:type="dxa"/>
            <w:noWrap/>
            <w:vAlign w:val="center"/>
          </w:tcPr>
          <w:p w14:paraId="07EB6AD0">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提供供应商资格声明和湖南省政府采购供应商资格承诺函，签署、盖章符合要求</w:t>
            </w:r>
          </w:p>
        </w:tc>
      </w:tr>
      <w:tr w14:paraId="3ED579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59B41091">
            <w:pPr>
              <w:pStyle w:val="66"/>
              <w:snapToGrid w:val="0"/>
              <w:spacing w:before="65" w:line="240" w:lineRule="auto"/>
              <w:ind w:left="0" w:leftChars="0" w:right="0" w:rightChars="0" w:firstLine="0" w:firstLineChars="0"/>
              <w:jc w:val="center"/>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position w:val="1"/>
                <w:sz w:val="21"/>
                <w:highlight w:val="none"/>
              </w:rPr>
              <w:t>5</w:t>
            </w:r>
          </w:p>
        </w:tc>
        <w:tc>
          <w:tcPr>
            <w:tcW w:w="5253" w:type="dxa"/>
            <w:noWrap/>
            <w:vAlign w:val="center"/>
          </w:tcPr>
          <w:p w14:paraId="6F198C9E">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参加政府采购活动前三年内，在经营活动中没有重大违法记录</w:t>
            </w:r>
          </w:p>
        </w:tc>
        <w:tc>
          <w:tcPr>
            <w:tcW w:w="3020" w:type="dxa"/>
            <w:noWrap/>
            <w:vAlign w:val="center"/>
          </w:tcPr>
          <w:p w14:paraId="0EC4AC08">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提供供应商资格声明和湖南省政府采购供应商资格承诺函，签署、盖章符合要求</w:t>
            </w:r>
          </w:p>
        </w:tc>
      </w:tr>
      <w:tr w14:paraId="41C3BA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73966CDD">
            <w:pPr>
              <w:pStyle w:val="66"/>
              <w:snapToGrid w:val="0"/>
              <w:spacing w:before="65" w:line="240" w:lineRule="auto"/>
              <w:ind w:left="0" w:leftChars="0" w:right="0" w:rightChars="0" w:firstLine="0" w:firstLineChars="0"/>
              <w:jc w:val="center"/>
              <w:rPr>
                <w:rFonts w:hint="eastAsia" w:ascii="宋体" w:hAnsi="宋体" w:eastAsia="宋体"/>
                <w:color w:val="auto"/>
                <w:kern w:val="0"/>
                <w:sz w:val="21"/>
                <w:szCs w:val="21"/>
                <w:highlight w:val="none"/>
                <w:lang w:eastAsia="zh-CN"/>
              </w:rPr>
            </w:pPr>
            <w:r>
              <w:rPr>
                <w:rFonts w:hint="eastAsia" w:ascii="宋体" w:hAnsi="宋体" w:eastAsia="宋体" w:cs="宋体"/>
                <w:color w:val="auto"/>
                <w:position w:val="1"/>
                <w:sz w:val="21"/>
                <w:highlight w:val="none"/>
              </w:rPr>
              <w:t>6</w:t>
            </w:r>
          </w:p>
        </w:tc>
        <w:tc>
          <w:tcPr>
            <w:tcW w:w="5253" w:type="dxa"/>
            <w:noWrap/>
            <w:vAlign w:val="center"/>
          </w:tcPr>
          <w:p w14:paraId="36AEDEDB">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法定代表人参加投标时，提供法定代表人身份证明；非法定代表人参加投标时，提供法定代表人授权委托书及双方身份证原件的扫描件或复印件加盖公章。</w:t>
            </w:r>
          </w:p>
        </w:tc>
        <w:tc>
          <w:tcPr>
            <w:tcW w:w="3020" w:type="dxa"/>
            <w:noWrap/>
            <w:vAlign w:val="center"/>
          </w:tcPr>
          <w:p w14:paraId="6F611784">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s="Times New Roman"/>
                <w:bCs/>
                <w:snapToGrid/>
                <w:color w:val="auto"/>
                <w:kern w:val="2"/>
                <w:sz w:val="21"/>
                <w:szCs w:val="24"/>
                <w:highlight w:val="none"/>
                <w:lang w:eastAsia="zh-CN"/>
              </w:rPr>
            </w:pPr>
            <w:r>
              <w:rPr>
                <w:rFonts w:hint="eastAsia" w:ascii="宋体" w:hAnsi="宋体" w:eastAsia="宋体" w:cs="Times New Roman"/>
                <w:bCs/>
                <w:snapToGrid/>
                <w:color w:val="auto"/>
                <w:kern w:val="2"/>
                <w:sz w:val="21"/>
                <w:szCs w:val="24"/>
                <w:highlight w:val="none"/>
                <w:lang w:eastAsia="zh-CN"/>
              </w:rPr>
              <w:t>提供签字或盖章的法定代表人身份证明或授</w:t>
            </w:r>
          </w:p>
          <w:p w14:paraId="356F0D21">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s="Times New Roman"/>
                <w:bCs/>
                <w:snapToGrid/>
                <w:color w:val="auto"/>
                <w:kern w:val="2"/>
                <w:sz w:val="21"/>
                <w:szCs w:val="24"/>
                <w:highlight w:val="none"/>
                <w:lang w:eastAsia="zh-CN"/>
              </w:rPr>
            </w:pPr>
            <w:r>
              <w:rPr>
                <w:rFonts w:hint="eastAsia" w:ascii="宋体" w:hAnsi="宋体" w:eastAsia="宋体" w:cs="Times New Roman"/>
                <w:bCs/>
                <w:snapToGrid/>
                <w:color w:val="auto"/>
                <w:kern w:val="2"/>
                <w:sz w:val="21"/>
                <w:szCs w:val="24"/>
                <w:highlight w:val="none"/>
                <w:lang w:eastAsia="zh-CN"/>
              </w:rPr>
              <w:t>权委托书及双方身份证原件的扫描件或复印</w:t>
            </w:r>
          </w:p>
          <w:p w14:paraId="1B997ECD">
            <w:pPr>
              <w:kinsoku/>
              <w:autoSpaceDE/>
              <w:autoSpaceDN/>
              <w:adjustRightInd w:val="0"/>
              <w:snapToGrid w:val="0"/>
              <w:spacing w:beforeLines="50" w:line="240" w:lineRule="auto"/>
              <w:ind w:left="0" w:leftChars="0" w:right="0" w:rightChars="0" w:firstLine="0" w:firstLineChars="0"/>
              <w:jc w:val="left"/>
              <w:textAlignment w:val="auto"/>
              <w:rPr>
                <w:rFonts w:ascii="宋体" w:hAnsi="宋体" w:eastAsia="宋体" w:cs="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件加盖公章</w:t>
            </w:r>
          </w:p>
        </w:tc>
      </w:tr>
      <w:tr w14:paraId="6BF2DF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371E2C30">
            <w:pPr>
              <w:pStyle w:val="66"/>
              <w:snapToGrid w:val="0"/>
              <w:spacing w:before="65" w:line="240" w:lineRule="auto"/>
              <w:ind w:left="0" w:leftChars="0" w:right="0" w:rightChars="0" w:firstLine="0" w:firstLineChars="0"/>
              <w:jc w:val="center"/>
              <w:rPr>
                <w:rFonts w:hint="eastAsia" w:ascii="宋体" w:hAnsi="宋体" w:eastAsia="宋体"/>
                <w:color w:val="auto"/>
                <w:kern w:val="0"/>
                <w:sz w:val="21"/>
                <w:szCs w:val="21"/>
                <w:highlight w:val="none"/>
                <w:lang w:val="en-US" w:eastAsia="zh-CN"/>
              </w:rPr>
            </w:pPr>
            <w:r>
              <w:rPr>
                <w:rFonts w:hint="eastAsia" w:ascii="宋体" w:hAnsi="宋体" w:eastAsia="宋体" w:cs="宋体"/>
                <w:color w:val="auto"/>
                <w:position w:val="1"/>
                <w:sz w:val="21"/>
                <w:highlight w:val="none"/>
              </w:rPr>
              <w:t>7</w:t>
            </w:r>
          </w:p>
        </w:tc>
        <w:tc>
          <w:tcPr>
            <w:tcW w:w="5253" w:type="dxa"/>
            <w:noWrap/>
            <w:vAlign w:val="center"/>
          </w:tcPr>
          <w:p w14:paraId="4CE94105">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信用记录</w:t>
            </w:r>
          </w:p>
        </w:tc>
        <w:tc>
          <w:tcPr>
            <w:tcW w:w="3020" w:type="dxa"/>
            <w:noWrap/>
            <w:vAlign w:val="center"/>
          </w:tcPr>
          <w:p w14:paraId="4F7A0364">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sz w:val="21"/>
                <w:highlight w:val="none"/>
              </w:rPr>
            </w:pPr>
            <w:r>
              <w:rPr>
                <w:rFonts w:hint="eastAsia" w:ascii="宋体" w:hAnsi="宋体" w:eastAsia="宋体" w:cs="Times New Roman"/>
                <w:bCs/>
                <w:snapToGrid/>
                <w:color w:val="auto"/>
                <w:kern w:val="2"/>
                <w:sz w:val="21"/>
                <w:szCs w:val="24"/>
                <w:highlight w:val="none"/>
                <w:lang w:eastAsia="zh-CN"/>
              </w:rPr>
              <w:t>信用记录符合法律法规要求的</w:t>
            </w:r>
          </w:p>
        </w:tc>
      </w:tr>
      <w:tr w14:paraId="27191D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55085419">
            <w:pPr>
              <w:pStyle w:val="66"/>
              <w:snapToGrid w:val="0"/>
              <w:spacing w:before="65" w:line="240" w:lineRule="auto"/>
              <w:ind w:left="0" w:leftChars="0" w:right="0" w:rightChars="0" w:firstLine="0" w:firstLineChars="0"/>
              <w:jc w:val="center"/>
              <w:rPr>
                <w:rFonts w:hint="eastAsia" w:ascii="宋体" w:hAnsi="宋体" w:eastAsia="宋体"/>
                <w:color w:val="auto"/>
                <w:kern w:val="0"/>
                <w:sz w:val="21"/>
                <w:szCs w:val="21"/>
                <w:highlight w:val="none"/>
                <w:lang w:val="en-US" w:eastAsia="zh-CN"/>
              </w:rPr>
            </w:pPr>
            <w:r>
              <w:rPr>
                <w:rFonts w:hint="eastAsia" w:ascii="宋体" w:hAnsi="宋体" w:eastAsia="宋体" w:cs="宋体"/>
                <w:color w:val="auto"/>
                <w:position w:val="1"/>
                <w:sz w:val="21"/>
                <w:highlight w:val="none"/>
              </w:rPr>
              <w:t>8</w:t>
            </w:r>
          </w:p>
        </w:tc>
        <w:tc>
          <w:tcPr>
            <w:tcW w:w="5253" w:type="dxa"/>
            <w:noWrap/>
            <w:vAlign w:val="center"/>
          </w:tcPr>
          <w:p w14:paraId="5282ACA2">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单位负责人为同一人或者存在直接控股、管理关系的不同投标人，不得参加同一合同项下的政府采购活动</w:t>
            </w:r>
          </w:p>
        </w:tc>
        <w:tc>
          <w:tcPr>
            <w:tcW w:w="3020" w:type="dxa"/>
            <w:noWrap/>
            <w:vAlign w:val="center"/>
          </w:tcPr>
          <w:p w14:paraId="7292AB22">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sz w:val="21"/>
                <w:highlight w:val="none"/>
              </w:rPr>
            </w:pPr>
            <w:r>
              <w:rPr>
                <w:rFonts w:hint="eastAsia" w:ascii="宋体" w:hAnsi="宋体" w:eastAsia="宋体" w:cs="Times New Roman"/>
                <w:bCs/>
                <w:snapToGrid/>
                <w:color w:val="auto"/>
                <w:kern w:val="2"/>
                <w:sz w:val="21"/>
                <w:szCs w:val="24"/>
                <w:highlight w:val="none"/>
                <w:lang w:eastAsia="zh-CN"/>
              </w:rPr>
              <w:t>提供供应商资格声明，签署、盖章符合要求</w:t>
            </w:r>
          </w:p>
        </w:tc>
      </w:tr>
      <w:tr w14:paraId="0D0D4B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72CA34BE">
            <w:pPr>
              <w:pStyle w:val="66"/>
              <w:snapToGrid w:val="0"/>
              <w:spacing w:before="65" w:line="240" w:lineRule="auto"/>
              <w:ind w:left="0" w:leftChars="0" w:right="0" w:rightChars="0" w:firstLine="0" w:firstLineChars="0"/>
              <w:jc w:val="center"/>
              <w:rPr>
                <w:rFonts w:hint="eastAsia" w:ascii="宋体" w:hAnsi="宋体" w:eastAsia="宋体"/>
                <w:color w:val="auto"/>
                <w:kern w:val="0"/>
                <w:sz w:val="21"/>
                <w:szCs w:val="21"/>
                <w:highlight w:val="none"/>
                <w:lang w:val="en-US" w:eastAsia="zh-CN"/>
              </w:rPr>
            </w:pPr>
            <w:r>
              <w:rPr>
                <w:rFonts w:hint="eastAsia" w:ascii="宋体" w:eastAsia="宋体" w:cs="宋体"/>
                <w:color w:val="auto"/>
                <w:position w:val="1"/>
                <w:sz w:val="21"/>
                <w:highlight w:val="none"/>
                <w:lang w:val="en-US" w:eastAsia="zh-CN"/>
              </w:rPr>
              <w:t>9</w:t>
            </w:r>
          </w:p>
        </w:tc>
        <w:tc>
          <w:tcPr>
            <w:tcW w:w="5253" w:type="dxa"/>
            <w:noWrap/>
            <w:vAlign w:val="center"/>
          </w:tcPr>
          <w:p w14:paraId="50A8B918">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符合特定资格要求</w:t>
            </w:r>
          </w:p>
        </w:tc>
        <w:tc>
          <w:tcPr>
            <w:tcW w:w="3020" w:type="dxa"/>
            <w:noWrap/>
            <w:vAlign w:val="center"/>
          </w:tcPr>
          <w:p w14:paraId="4EFC2EC0">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sz w:val="21"/>
                <w:highlight w:val="none"/>
              </w:rPr>
            </w:pPr>
            <w:r>
              <w:rPr>
                <w:rFonts w:hint="eastAsia" w:ascii="宋体" w:hAnsi="宋体" w:eastAsia="宋体" w:cs="Times New Roman"/>
                <w:bCs/>
                <w:snapToGrid/>
                <w:color w:val="auto"/>
                <w:kern w:val="2"/>
                <w:sz w:val="21"/>
                <w:szCs w:val="24"/>
                <w:highlight w:val="none"/>
                <w:lang w:eastAsia="zh-CN"/>
              </w:rPr>
              <w:t>符合特定资格要求证明材料复印件或者情况说明</w:t>
            </w:r>
          </w:p>
        </w:tc>
      </w:tr>
      <w:tr w14:paraId="6D83CB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68EB5CA4">
            <w:pPr>
              <w:pStyle w:val="66"/>
              <w:snapToGrid w:val="0"/>
              <w:spacing w:before="230" w:line="240" w:lineRule="auto"/>
              <w:ind w:left="0" w:leftChars="0" w:right="0" w:rightChars="0" w:firstLine="0" w:firstLineChars="0"/>
              <w:jc w:val="center"/>
              <w:rPr>
                <w:rFonts w:hint="eastAsia" w:ascii="宋体" w:hAnsi="宋体" w:eastAsia="宋体"/>
                <w:color w:val="auto"/>
                <w:kern w:val="0"/>
                <w:sz w:val="21"/>
                <w:szCs w:val="21"/>
                <w:highlight w:val="none"/>
                <w:lang w:val="en-US" w:eastAsia="zh-CN"/>
              </w:rPr>
            </w:pPr>
            <w:r>
              <w:rPr>
                <w:rFonts w:hint="eastAsia" w:ascii="宋体" w:eastAsia="宋体" w:cs="宋体"/>
                <w:color w:val="auto"/>
                <w:position w:val="1"/>
                <w:sz w:val="21"/>
                <w:highlight w:val="none"/>
                <w:lang w:val="en-US" w:eastAsia="zh-CN"/>
              </w:rPr>
              <w:t>10</w:t>
            </w:r>
          </w:p>
        </w:tc>
        <w:tc>
          <w:tcPr>
            <w:tcW w:w="5253" w:type="dxa"/>
            <w:noWrap/>
            <w:vAlign w:val="center"/>
          </w:tcPr>
          <w:p w14:paraId="62446016">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本次招标不接受联合体投标</w:t>
            </w:r>
          </w:p>
        </w:tc>
        <w:tc>
          <w:tcPr>
            <w:tcW w:w="3020" w:type="dxa"/>
            <w:noWrap/>
            <w:vAlign w:val="center"/>
          </w:tcPr>
          <w:p w14:paraId="4133F2A3">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sz w:val="21"/>
                <w:highlight w:val="none"/>
              </w:rPr>
            </w:pPr>
            <w:r>
              <w:rPr>
                <w:rFonts w:hint="eastAsia" w:ascii="宋体" w:hAnsi="宋体" w:eastAsia="宋体" w:cs="Times New Roman"/>
                <w:bCs/>
                <w:snapToGrid/>
                <w:color w:val="auto"/>
                <w:kern w:val="2"/>
                <w:sz w:val="21"/>
                <w:szCs w:val="24"/>
                <w:highlight w:val="none"/>
                <w:lang w:eastAsia="zh-CN"/>
              </w:rPr>
              <w:t>不是联合体投标</w:t>
            </w:r>
          </w:p>
        </w:tc>
      </w:tr>
      <w:tr w14:paraId="6DBB98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70082E28">
            <w:pPr>
              <w:adjustRightInd w:val="0"/>
              <w:snapToGrid w:val="0"/>
              <w:spacing w:beforeLines="50" w:line="240" w:lineRule="auto"/>
              <w:ind w:left="0" w:leftChars="0" w:right="0" w:rightChars="0" w:firstLine="0" w:firstLineChars="0"/>
              <w:jc w:val="center"/>
              <w:rPr>
                <w:rFonts w:ascii="宋体" w:eastAsia="宋体"/>
                <w:color w:val="auto"/>
                <w:sz w:val="21"/>
                <w:highlight w:val="none"/>
              </w:rPr>
            </w:pPr>
            <w:r>
              <w:rPr>
                <w:rFonts w:hint="eastAsia" w:ascii="宋体" w:hAnsi="宋体" w:eastAsia="宋体" w:cs="宋体"/>
                <w:color w:val="auto"/>
                <w:spacing w:val="-7"/>
                <w:sz w:val="21"/>
                <w:highlight w:val="none"/>
              </w:rPr>
              <w:t>1</w:t>
            </w:r>
            <w:r>
              <w:rPr>
                <w:rFonts w:hint="eastAsia" w:ascii="宋体" w:eastAsia="宋体" w:cs="宋体"/>
                <w:color w:val="auto"/>
                <w:spacing w:val="-7"/>
                <w:sz w:val="21"/>
                <w:highlight w:val="none"/>
                <w:lang w:val="en-US" w:eastAsia="zh-CN"/>
              </w:rPr>
              <w:t>1</w:t>
            </w:r>
          </w:p>
        </w:tc>
        <w:tc>
          <w:tcPr>
            <w:tcW w:w="5253" w:type="dxa"/>
            <w:noWrap/>
            <w:vAlign w:val="center"/>
          </w:tcPr>
          <w:p w14:paraId="731451CA">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资格证明文件按照磋商文件要求签署、盖章</w:t>
            </w:r>
          </w:p>
        </w:tc>
        <w:tc>
          <w:tcPr>
            <w:tcW w:w="3020" w:type="dxa"/>
            <w:noWrap/>
            <w:vAlign w:val="center"/>
          </w:tcPr>
          <w:p w14:paraId="3B3CEFDF">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sz w:val="21"/>
                <w:highlight w:val="none"/>
              </w:rPr>
            </w:pPr>
            <w:r>
              <w:rPr>
                <w:rFonts w:hint="eastAsia" w:ascii="宋体" w:hAnsi="宋体" w:eastAsia="宋体" w:cs="Times New Roman"/>
                <w:bCs/>
                <w:snapToGrid/>
                <w:color w:val="auto"/>
                <w:kern w:val="2"/>
                <w:sz w:val="21"/>
                <w:szCs w:val="24"/>
                <w:highlight w:val="none"/>
                <w:lang w:eastAsia="zh-CN"/>
              </w:rPr>
              <w:t>资格证明文件按照磋商文件要求签署、盖章。</w:t>
            </w:r>
          </w:p>
        </w:tc>
      </w:tr>
      <w:tr w14:paraId="74C5EA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39D72C00">
            <w:pPr>
              <w:adjustRightInd w:val="0"/>
              <w:snapToGrid w:val="0"/>
              <w:spacing w:beforeLines="50" w:line="240" w:lineRule="auto"/>
              <w:ind w:left="0" w:leftChars="0" w:right="0" w:rightChars="0" w:firstLine="0" w:firstLineChars="0"/>
              <w:jc w:val="center"/>
              <w:rPr>
                <w:rFonts w:ascii="宋体" w:eastAsia="宋体"/>
                <w:color w:val="auto"/>
                <w:sz w:val="21"/>
                <w:highlight w:val="none"/>
              </w:rPr>
            </w:pPr>
            <w:r>
              <w:rPr>
                <w:rFonts w:hint="eastAsia" w:ascii="宋体" w:hAnsi="宋体" w:eastAsia="宋体" w:cs="宋体"/>
                <w:color w:val="auto"/>
                <w:spacing w:val="-7"/>
                <w:sz w:val="21"/>
                <w:highlight w:val="none"/>
              </w:rPr>
              <w:t>1</w:t>
            </w:r>
            <w:r>
              <w:rPr>
                <w:rFonts w:hint="eastAsia" w:ascii="宋体" w:eastAsia="宋体" w:cs="宋体"/>
                <w:color w:val="auto"/>
                <w:spacing w:val="-7"/>
                <w:sz w:val="21"/>
                <w:highlight w:val="none"/>
                <w:lang w:val="en-US" w:eastAsia="zh-CN"/>
              </w:rPr>
              <w:t>2</w:t>
            </w:r>
          </w:p>
        </w:tc>
        <w:tc>
          <w:tcPr>
            <w:tcW w:w="5253" w:type="dxa"/>
            <w:noWrap/>
            <w:vAlign w:val="center"/>
          </w:tcPr>
          <w:p w14:paraId="740B5F1D">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kern w:val="0"/>
                <w:sz w:val="21"/>
                <w:szCs w:val="21"/>
                <w:highlight w:val="none"/>
              </w:rPr>
            </w:pPr>
            <w:r>
              <w:rPr>
                <w:rFonts w:hint="eastAsia" w:ascii="宋体" w:hAnsi="宋体" w:eastAsia="宋体" w:cs="Times New Roman"/>
                <w:bCs/>
                <w:snapToGrid/>
                <w:color w:val="auto"/>
                <w:kern w:val="2"/>
                <w:sz w:val="21"/>
                <w:szCs w:val="24"/>
                <w:highlight w:val="none"/>
                <w:lang w:eastAsia="zh-CN"/>
              </w:rPr>
              <w:t>首次报价未超过磋商文件中规定的预算</w:t>
            </w:r>
          </w:p>
        </w:tc>
        <w:tc>
          <w:tcPr>
            <w:tcW w:w="3020" w:type="dxa"/>
            <w:noWrap/>
            <w:vAlign w:val="center"/>
          </w:tcPr>
          <w:p w14:paraId="2430CDFD">
            <w:pPr>
              <w:kinsoku/>
              <w:autoSpaceDE/>
              <w:autoSpaceDN/>
              <w:adjustRightInd w:val="0"/>
              <w:snapToGrid w:val="0"/>
              <w:spacing w:beforeLines="50" w:line="240" w:lineRule="auto"/>
              <w:ind w:left="0" w:leftChars="0" w:right="0" w:rightChars="0" w:firstLine="0" w:firstLineChars="0"/>
              <w:jc w:val="left"/>
              <w:textAlignment w:val="auto"/>
              <w:rPr>
                <w:rFonts w:hint="eastAsia" w:ascii="宋体" w:hAnsi="宋体" w:eastAsia="宋体"/>
                <w:color w:val="auto"/>
                <w:sz w:val="21"/>
                <w:highlight w:val="none"/>
              </w:rPr>
            </w:pPr>
            <w:r>
              <w:rPr>
                <w:rFonts w:hint="eastAsia" w:ascii="宋体" w:hAnsi="宋体" w:eastAsia="宋体" w:cs="Times New Roman"/>
                <w:bCs/>
                <w:snapToGrid/>
                <w:color w:val="auto"/>
                <w:kern w:val="2"/>
                <w:sz w:val="21"/>
                <w:szCs w:val="24"/>
                <w:highlight w:val="none"/>
                <w:lang w:eastAsia="zh-CN"/>
              </w:rPr>
              <w:t>首次报价未超过磋商文件中规定的预算</w:t>
            </w:r>
          </w:p>
        </w:tc>
      </w:tr>
      <w:tr w14:paraId="521264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87" w:type="dxa"/>
            <w:noWrap/>
            <w:vAlign w:val="center"/>
          </w:tcPr>
          <w:p w14:paraId="29E36E74">
            <w:pPr>
              <w:pStyle w:val="66"/>
              <w:snapToGrid w:val="0"/>
              <w:spacing w:before="239" w:line="240" w:lineRule="auto"/>
              <w:ind w:left="0" w:leftChars="0" w:right="0" w:rightChars="0" w:firstLine="0" w:firstLineChars="0"/>
              <w:jc w:val="center"/>
              <w:rPr>
                <w:rFonts w:hint="eastAsia" w:ascii="宋体" w:hAnsi="宋体"/>
                <w:color w:val="auto"/>
                <w:kern w:val="0"/>
                <w:szCs w:val="21"/>
                <w:highlight w:val="none"/>
                <w:lang w:val="en-US" w:eastAsia="zh-CN"/>
              </w:rPr>
            </w:pPr>
            <w:r>
              <w:rPr>
                <w:rFonts w:hint="eastAsia" w:ascii="宋体" w:hAnsi="宋体" w:eastAsia="宋体" w:cs="宋体"/>
                <w:color w:val="auto"/>
                <w:spacing w:val="2"/>
                <w:sz w:val="19"/>
                <w:szCs w:val="19"/>
                <w:highlight w:val="none"/>
              </w:rPr>
              <w:t>结论</w:t>
            </w:r>
          </w:p>
        </w:tc>
        <w:tc>
          <w:tcPr>
            <w:tcW w:w="5253" w:type="dxa"/>
            <w:gridSpan w:val="2"/>
            <w:noWrap/>
            <w:vAlign w:val="center"/>
          </w:tcPr>
          <w:p w14:paraId="45E2691D">
            <w:pPr>
              <w:adjustRightInd w:val="0"/>
              <w:snapToGrid w:val="0"/>
              <w:spacing w:beforeLines="50" w:line="240" w:lineRule="auto"/>
              <w:ind w:left="0" w:leftChars="0" w:right="0" w:rightChars="0" w:firstLine="0" w:firstLineChars="0"/>
              <w:jc w:val="center"/>
              <w:rPr>
                <w:rFonts w:hint="eastAsia" w:ascii="宋体" w:hAnsi="宋体"/>
                <w:color w:val="auto"/>
                <w:highlight w:val="none"/>
              </w:rPr>
            </w:pPr>
            <w:r>
              <w:rPr>
                <w:rFonts w:hint="eastAsia" w:ascii="宋体" w:hAnsi="宋体" w:eastAsia="宋体" w:cs="宋体"/>
                <w:b/>
                <w:bCs/>
                <w:color w:val="auto"/>
                <w:spacing w:val="4"/>
                <w:highlight w:val="none"/>
              </w:rPr>
              <w:t>（合格/不合格）</w:t>
            </w:r>
          </w:p>
        </w:tc>
      </w:tr>
    </w:tbl>
    <w:p w14:paraId="4B8E805B">
      <w:pPr>
        <w:rPr>
          <w:color w:val="auto"/>
          <w:highlight w:val="none"/>
        </w:rPr>
      </w:pPr>
    </w:p>
    <w:p w14:paraId="37028BBE">
      <w:pPr>
        <w:jc w:val="left"/>
        <w:rPr>
          <w:rFonts w:ascii="黑体" w:hAnsi="黑体" w:eastAsia="黑体"/>
          <w:bCs/>
          <w:color w:val="auto"/>
          <w:szCs w:val="21"/>
          <w:highlight w:val="none"/>
        </w:rPr>
      </w:pPr>
    </w:p>
    <w:p w14:paraId="760D9EAB">
      <w:pPr>
        <w:jc w:val="left"/>
        <w:rPr>
          <w:rFonts w:ascii="宋体" w:hAnsi="宋体"/>
          <w:color w:val="auto"/>
          <w:sz w:val="24"/>
          <w:highlight w:val="none"/>
        </w:rPr>
      </w:pPr>
      <w:r>
        <w:rPr>
          <w:rFonts w:ascii="宋体" w:hAnsi="宋体"/>
          <w:color w:val="auto"/>
          <w:sz w:val="24"/>
          <w:highlight w:val="none"/>
        </w:rPr>
        <w:br w:type="page"/>
      </w:r>
    </w:p>
    <w:p w14:paraId="37090639">
      <w:pPr>
        <w:pStyle w:val="4"/>
        <w:adjustRightInd w:val="0"/>
        <w:snapToGrid w:val="0"/>
        <w:spacing w:line="360" w:lineRule="auto"/>
        <w:rPr>
          <w:color w:val="auto"/>
          <w:highlight w:val="none"/>
        </w:rPr>
      </w:pPr>
      <w:bookmarkStart w:id="102" w:name="_Toc31485"/>
      <w:r>
        <w:rPr>
          <w:rFonts w:hint="eastAsia"/>
          <w:color w:val="auto"/>
          <w:highlight w:val="none"/>
        </w:rPr>
        <w:t>附表2符合性审查表</w:t>
      </w:r>
      <w:bookmarkEnd w:id="102"/>
    </w:p>
    <w:p w14:paraId="47D855AE">
      <w:pPr>
        <w:adjustRightInd w:val="0"/>
        <w:snapToGrid w:val="0"/>
        <w:spacing w:beforeLines="50" w:line="360" w:lineRule="auto"/>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符合性审查表</w:t>
      </w:r>
    </w:p>
    <w:tbl>
      <w:tblPr>
        <w:tblStyle w:val="25"/>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1991"/>
        <w:gridCol w:w="6386"/>
      </w:tblGrid>
      <w:tr w14:paraId="74DF32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noWrap/>
            <w:vAlign w:val="center"/>
          </w:tcPr>
          <w:p w14:paraId="14B05B9D">
            <w:pPr>
              <w:adjustRightInd w:val="0"/>
              <w:snapToGrid w:val="0"/>
              <w:spacing w:beforeLines="50"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序号</w:t>
            </w:r>
          </w:p>
        </w:tc>
        <w:tc>
          <w:tcPr>
            <w:tcW w:w="1991" w:type="dxa"/>
            <w:noWrap/>
            <w:vAlign w:val="center"/>
          </w:tcPr>
          <w:p w14:paraId="218B6552">
            <w:pPr>
              <w:adjustRightInd w:val="0"/>
              <w:snapToGrid w:val="0"/>
              <w:spacing w:beforeLines="50"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审查项目</w:t>
            </w:r>
          </w:p>
        </w:tc>
        <w:tc>
          <w:tcPr>
            <w:tcW w:w="6386" w:type="dxa"/>
            <w:noWrap/>
            <w:vAlign w:val="center"/>
          </w:tcPr>
          <w:p w14:paraId="230835BE">
            <w:pPr>
              <w:adjustRightInd w:val="0"/>
              <w:snapToGrid w:val="0"/>
              <w:spacing w:beforeLines="50" w:line="360" w:lineRule="auto"/>
              <w:jc w:val="center"/>
              <w:rPr>
                <w:rFonts w:ascii="宋体" w:hAnsi="宋体" w:cs="宋体"/>
                <w:b/>
                <w:color w:val="auto"/>
                <w:kern w:val="0"/>
                <w:szCs w:val="21"/>
                <w:highlight w:val="none"/>
              </w:rPr>
            </w:pPr>
            <w:r>
              <w:rPr>
                <w:rFonts w:hint="eastAsia" w:ascii="宋体" w:hAnsi="宋体" w:cs="宋体"/>
                <w:b/>
                <w:color w:val="auto"/>
                <w:kern w:val="0"/>
                <w:szCs w:val="21"/>
                <w:highlight w:val="none"/>
              </w:rPr>
              <w:t>审查标准</w:t>
            </w:r>
          </w:p>
        </w:tc>
      </w:tr>
      <w:tr w14:paraId="6B12F4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ign w:val="center"/>
          </w:tcPr>
          <w:p w14:paraId="298A4723">
            <w:pPr>
              <w:adjustRightInd w:val="0"/>
              <w:snapToGrid w:val="0"/>
              <w:spacing w:beforeLines="50"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1991" w:type="dxa"/>
            <w:noWrap/>
            <w:vAlign w:val="center"/>
          </w:tcPr>
          <w:p w14:paraId="6369B8DF">
            <w:pPr>
              <w:adjustRightInd w:val="0"/>
              <w:snapToGrid w:val="0"/>
              <w:spacing w:beforeLines="50" w:line="360" w:lineRule="auto"/>
              <w:rPr>
                <w:rFonts w:ascii="宋体" w:hAnsi="宋体" w:cs="宋体"/>
                <w:color w:val="auto"/>
                <w:kern w:val="0"/>
                <w:szCs w:val="21"/>
                <w:highlight w:val="none"/>
              </w:rPr>
            </w:pPr>
            <w:r>
              <w:rPr>
                <w:rFonts w:hint="eastAsia" w:hAnsi="宋体"/>
                <w:color w:val="auto"/>
                <w:highlight w:val="none"/>
              </w:rPr>
              <w:t>响应文件有效期</w:t>
            </w:r>
          </w:p>
        </w:tc>
        <w:tc>
          <w:tcPr>
            <w:tcW w:w="6386" w:type="dxa"/>
            <w:noWrap/>
            <w:vAlign w:val="center"/>
          </w:tcPr>
          <w:p w14:paraId="36477A64">
            <w:pPr>
              <w:adjustRightInd w:val="0"/>
              <w:snapToGrid w:val="0"/>
              <w:spacing w:beforeLines="50" w:line="360" w:lineRule="auto"/>
              <w:jc w:val="left"/>
              <w:rPr>
                <w:rFonts w:ascii="宋体" w:hAnsi="宋体" w:cs="宋体"/>
                <w:color w:val="auto"/>
                <w:kern w:val="0"/>
                <w:szCs w:val="21"/>
                <w:highlight w:val="none"/>
              </w:rPr>
            </w:pPr>
            <w:r>
              <w:rPr>
                <w:rFonts w:hint="eastAsia" w:hAnsi="宋体"/>
                <w:color w:val="auto"/>
                <w:highlight w:val="none"/>
              </w:rPr>
              <w:t>响应文件有效期不符合磋商文件的要求。</w:t>
            </w:r>
          </w:p>
        </w:tc>
      </w:tr>
      <w:tr w14:paraId="5F6A02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ign w:val="center"/>
          </w:tcPr>
          <w:p w14:paraId="521F04E5">
            <w:pPr>
              <w:adjustRightInd w:val="0"/>
              <w:snapToGrid w:val="0"/>
              <w:spacing w:beforeLines="50"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1991" w:type="dxa"/>
            <w:noWrap/>
            <w:vAlign w:val="center"/>
          </w:tcPr>
          <w:p w14:paraId="6051E2E1">
            <w:pPr>
              <w:adjustRightInd w:val="0"/>
              <w:snapToGrid w:val="0"/>
              <w:spacing w:beforeLines="50" w:line="360" w:lineRule="auto"/>
              <w:rPr>
                <w:rFonts w:ascii="宋体" w:hAnsi="宋体"/>
                <w:color w:val="auto"/>
                <w:kern w:val="0"/>
                <w:szCs w:val="21"/>
                <w:highlight w:val="none"/>
              </w:rPr>
            </w:pPr>
            <w:r>
              <w:rPr>
                <w:rFonts w:hint="eastAsia" w:ascii="宋体" w:hAnsi="宋体"/>
                <w:color w:val="auto"/>
                <w:kern w:val="0"/>
                <w:szCs w:val="21"/>
                <w:highlight w:val="none"/>
              </w:rPr>
              <w:t>偏离表</w:t>
            </w:r>
          </w:p>
        </w:tc>
        <w:tc>
          <w:tcPr>
            <w:tcW w:w="6386" w:type="dxa"/>
            <w:noWrap/>
            <w:vAlign w:val="center"/>
          </w:tcPr>
          <w:p w14:paraId="4A2462D4">
            <w:pPr>
              <w:adjustRightInd w:val="0"/>
              <w:snapToGrid w:val="0"/>
              <w:spacing w:beforeLines="50" w:line="360" w:lineRule="auto"/>
              <w:rPr>
                <w:rFonts w:ascii="宋体" w:hAnsi="宋体" w:eastAsia="黑体"/>
                <w:color w:val="auto"/>
                <w:kern w:val="0"/>
                <w:szCs w:val="21"/>
                <w:highlight w:val="none"/>
              </w:rPr>
            </w:pPr>
            <w:r>
              <w:rPr>
                <w:rFonts w:hint="eastAsia" w:ascii="宋体" w:hAnsi="宋体"/>
                <w:color w:val="auto"/>
                <w:szCs w:val="21"/>
                <w:highlight w:val="none"/>
              </w:rPr>
              <w:t>响应文件未按磋商文件的要求提供合同条款偏离表、采购需求偏离表的。</w:t>
            </w:r>
          </w:p>
        </w:tc>
      </w:tr>
      <w:tr w14:paraId="669FE2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ign w:val="center"/>
          </w:tcPr>
          <w:p w14:paraId="35906F79">
            <w:pPr>
              <w:adjustRightInd w:val="0"/>
              <w:snapToGrid w:val="0"/>
              <w:spacing w:beforeLines="50"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3</w:t>
            </w:r>
          </w:p>
        </w:tc>
        <w:tc>
          <w:tcPr>
            <w:tcW w:w="1991" w:type="dxa"/>
            <w:noWrap/>
            <w:vAlign w:val="center"/>
          </w:tcPr>
          <w:p w14:paraId="1975C1B1">
            <w:pPr>
              <w:adjustRightInd w:val="0"/>
              <w:snapToGrid w:val="0"/>
              <w:spacing w:beforeLines="50" w:line="360" w:lineRule="auto"/>
              <w:rPr>
                <w:rFonts w:ascii="宋体" w:hAnsi="宋体" w:cs="宋体"/>
                <w:color w:val="auto"/>
                <w:kern w:val="0"/>
                <w:szCs w:val="21"/>
                <w:highlight w:val="none"/>
              </w:rPr>
            </w:pPr>
            <w:r>
              <w:rPr>
                <w:rFonts w:hint="eastAsia" w:ascii="宋体" w:hAnsi="宋体"/>
                <w:color w:val="auto"/>
                <w:szCs w:val="21"/>
                <w:highlight w:val="none"/>
              </w:rPr>
              <w:t>实质性要求和条件</w:t>
            </w:r>
          </w:p>
        </w:tc>
        <w:tc>
          <w:tcPr>
            <w:tcW w:w="6386" w:type="dxa"/>
            <w:noWrap/>
            <w:vAlign w:val="center"/>
          </w:tcPr>
          <w:p w14:paraId="66E35FB3">
            <w:pPr>
              <w:adjustRightInd w:val="0"/>
              <w:snapToGrid w:val="0"/>
              <w:spacing w:beforeLines="50" w:line="360" w:lineRule="auto"/>
              <w:jc w:val="left"/>
              <w:rPr>
                <w:rFonts w:ascii="宋体" w:hAnsi="宋体"/>
                <w:color w:val="auto"/>
                <w:szCs w:val="21"/>
                <w:highlight w:val="none"/>
              </w:rPr>
            </w:pPr>
            <w:r>
              <w:rPr>
                <w:rFonts w:hint="eastAsia" w:ascii="宋体" w:hAnsi="宋体" w:cs="宋体"/>
                <w:color w:val="auto"/>
                <w:kern w:val="0"/>
                <w:szCs w:val="21"/>
                <w:highlight w:val="none"/>
              </w:rPr>
              <w:t>响应文件不满足磋商文件的实质性要求和条件（磋商</w:t>
            </w:r>
            <w:r>
              <w:rPr>
                <w:rFonts w:hint="eastAsia" w:ascii="宋体" w:hAnsi="宋体"/>
                <w:color w:val="auto"/>
                <w:highlight w:val="none"/>
              </w:rPr>
              <w:t>文件中用“★”符号标明的条款为实质性要求和条件</w:t>
            </w:r>
            <w:r>
              <w:rPr>
                <w:rFonts w:hint="eastAsia" w:ascii="宋体" w:hAnsi="宋体" w:cs="宋体"/>
                <w:color w:val="auto"/>
                <w:kern w:val="0"/>
                <w:szCs w:val="21"/>
                <w:highlight w:val="none"/>
              </w:rPr>
              <w:t>）。</w:t>
            </w:r>
          </w:p>
        </w:tc>
      </w:tr>
      <w:tr w14:paraId="47D66D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ign w:val="center"/>
          </w:tcPr>
          <w:p w14:paraId="3688C46F">
            <w:pPr>
              <w:adjustRightInd w:val="0"/>
              <w:snapToGrid w:val="0"/>
              <w:spacing w:beforeLines="50"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4</w:t>
            </w:r>
          </w:p>
        </w:tc>
        <w:tc>
          <w:tcPr>
            <w:tcW w:w="1991" w:type="dxa"/>
            <w:noWrap/>
            <w:vAlign w:val="center"/>
          </w:tcPr>
          <w:p w14:paraId="398297BB">
            <w:pPr>
              <w:adjustRightInd w:val="0"/>
              <w:snapToGrid w:val="0"/>
              <w:spacing w:beforeLines="50" w:line="360" w:lineRule="auto"/>
              <w:rPr>
                <w:rFonts w:ascii="宋体" w:hAnsi="宋体"/>
                <w:color w:val="auto"/>
                <w:kern w:val="0"/>
                <w:szCs w:val="21"/>
                <w:highlight w:val="none"/>
              </w:rPr>
            </w:pPr>
            <w:r>
              <w:rPr>
                <w:rFonts w:hint="eastAsia" w:ascii="宋体" w:hAnsi="宋体"/>
                <w:color w:val="auto"/>
                <w:kern w:val="0"/>
                <w:szCs w:val="21"/>
                <w:highlight w:val="none"/>
              </w:rPr>
              <w:t>签署、盖章</w:t>
            </w:r>
          </w:p>
        </w:tc>
        <w:tc>
          <w:tcPr>
            <w:tcW w:w="6386" w:type="dxa"/>
            <w:noWrap/>
            <w:vAlign w:val="center"/>
          </w:tcPr>
          <w:p w14:paraId="62D65DA7">
            <w:pPr>
              <w:adjustRightInd w:val="0"/>
              <w:snapToGrid w:val="0"/>
              <w:spacing w:beforeLines="50" w:line="360" w:lineRule="auto"/>
              <w:rPr>
                <w:rFonts w:ascii="宋体" w:hAnsi="宋体"/>
                <w:color w:val="auto"/>
                <w:kern w:val="0"/>
                <w:szCs w:val="21"/>
                <w:highlight w:val="none"/>
              </w:rPr>
            </w:pPr>
            <w:r>
              <w:rPr>
                <w:rFonts w:hint="eastAsia" w:ascii="宋体" w:hAnsi="宋体"/>
                <w:color w:val="auto"/>
                <w:szCs w:val="21"/>
                <w:highlight w:val="none"/>
              </w:rPr>
              <w:t>响应文件未按照磋商文件规定要求签署、盖章的。</w:t>
            </w:r>
          </w:p>
        </w:tc>
      </w:tr>
      <w:tr w14:paraId="4CF7CA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ign w:val="center"/>
          </w:tcPr>
          <w:p w14:paraId="29D0D0BB">
            <w:pPr>
              <w:adjustRightInd w:val="0"/>
              <w:snapToGrid w:val="0"/>
              <w:spacing w:beforeLines="50" w:line="360" w:lineRule="auto"/>
              <w:jc w:val="center"/>
              <w:rPr>
                <w:rFonts w:ascii="宋体" w:hAnsi="宋体" w:cs="宋体"/>
                <w:color w:val="auto"/>
                <w:kern w:val="0"/>
                <w:szCs w:val="21"/>
                <w:highlight w:val="none"/>
              </w:rPr>
            </w:pPr>
            <w:r>
              <w:rPr>
                <w:rFonts w:hint="eastAsia" w:ascii="宋体" w:hAnsi="宋体" w:cs="宋体"/>
                <w:color w:val="auto"/>
                <w:kern w:val="0"/>
                <w:szCs w:val="21"/>
                <w:highlight w:val="none"/>
              </w:rPr>
              <w:t>5</w:t>
            </w:r>
          </w:p>
        </w:tc>
        <w:tc>
          <w:tcPr>
            <w:tcW w:w="1991" w:type="dxa"/>
            <w:noWrap/>
            <w:vAlign w:val="center"/>
          </w:tcPr>
          <w:p w14:paraId="7F139638">
            <w:pPr>
              <w:adjustRightInd w:val="0"/>
              <w:snapToGrid w:val="0"/>
              <w:spacing w:beforeLines="50" w:line="360" w:lineRule="auto"/>
              <w:rPr>
                <w:rFonts w:ascii="宋体" w:hAnsi="宋体"/>
                <w:color w:val="auto"/>
                <w:kern w:val="0"/>
                <w:szCs w:val="21"/>
                <w:highlight w:val="none"/>
              </w:rPr>
            </w:pPr>
            <w:r>
              <w:rPr>
                <w:rFonts w:hint="eastAsia" w:ascii="宋体" w:hAnsi="宋体"/>
                <w:color w:val="auto"/>
                <w:szCs w:val="21"/>
                <w:highlight w:val="none"/>
              </w:rPr>
              <w:t>分项报价明细表</w:t>
            </w:r>
          </w:p>
        </w:tc>
        <w:tc>
          <w:tcPr>
            <w:tcW w:w="6386" w:type="dxa"/>
            <w:noWrap/>
            <w:vAlign w:val="center"/>
          </w:tcPr>
          <w:p w14:paraId="3E769977">
            <w:pPr>
              <w:adjustRightInd w:val="0"/>
              <w:snapToGrid w:val="0"/>
              <w:spacing w:beforeLines="50" w:line="360" w:lineRule="auto"/>
              <w:rPr>
                <w:rFonts w:ascii="宋体" w:hAnsi="宋体"/>
                <w:color w:val="auto"/>
                <w:kern w:val="0"/>
                <w:szCs w:val="21"/>
                <w:highlight w:val="none"/>
              </w:rPr>
            </w:pPr>
            <w:r>
              <w:rPr>
                <w:rFonts w:hint="eastAsia" w:ascii="宋体" w:hAnsi="宋体"/>
                <w:color w:val="auto"/>
                <w:szCs w:val="21"/>
                <w:highlight w:val="none"/>
              </w:rPr>
              <w:t>响应文件未提供分项报价明细表，或分项报价明细表未按磋商文件的要求进行填写的。</w:t>
            </w:r>
          </w:p>
        </w:tc>
      </w:tr>
      <w:tr w14:paraId="438CEE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ign w:val="center"/>
          </w:tcPr>
          <w:p w14:paraId="55F0772D">
            <w:pPr>
              <w:adjustRightInd w:val="0"/>
              <w:snapToGrid w:val="0"/>
              <w:spacing w:beforeLines="50"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6</w:t>
            </w:r>
          </w:p>
        </w:tc>
        <w:tc>
          <w:tcPr>
            <w:tcW w:w="1991" w:type="dxa"/>
            <w:noWrap/>
            <w:vAlign w:val="center"/>
          </w:tcPr>
          <w:p w14:paraId="27F77828">
            <w:pPr>
              <w:adjustRightInd w:val="0"/>
              <w:snapToGrid w:val="0"/>
              <w:spacing w:beforeLines="50" w:line="360" w:lineRule="auto"/>
              <w:rPr>
                <w:rFonts w:ascii="宋体" w:hAnsi="宋体" w:cs="宋体"/>
                <w:color w:val="auto"/>
                <w:kern w:val="0"/>
                <w:szCs w:val="21"/>
                <w:highlight w:val="none"/>
              </w:rPr>
            </w:pPr>
            <w:r>
              <w:rPr>
                <w:rFonts w:hint="eastAsia" w:ascii="宋体" w:hAnsi="宋体" w:cs="宋体"/>
                <w:color w:val="auto"/>
                <w:kern w:val="0"/>
                <w:szCs w:val="21"/>
                <w:highlight w:val="none"/>
              </w:rPr>
              <w:t>报价有效性</w:t>
            </w:r>
          </w:p>
        </w:tc>
        <w:tc>
          <w:tcPr>
            <w:tcW w:w="6386" w:type="dxa"/>
            <w:noWrap/>
            <w:vAlign w:val="center"/>
          </w:tcPr>
          <w:p w14:paraId="36D67997">
            <w:pPr>
              <w:adjustRightInd w:val="0"/>
              <w:snapToGrid w:val="0"/>
              <w:spacing w:beforeLines="50" w:line="360" w:lineRule="auto"/>
              <w:jc w:val="left"/>
              <w:rPr>
                <w:rFonts w:ascii="宋体" w:hAnsi="宋体" w:cs="宋体"/>
                <w:color w:val="auto"/>
                <w:kern w:val="0"/>
                <w:szCs w:val="21"/>
                <w:highlight w:val="none"/>
              </w:rPr>
            </w:pPr>
            <w:r>
              <w:rPr>
                <w:rFonts w:hint="eastAsia" w:ascii="宋体" w:hAnsi="宋体" w:cs="Courier New"/>
                <w:color w:val="auto"/>
                <w:szCs w:val="21"/>
                <w:highlight w:val="none"/>
                <w:lang w:val="zh-CN"/>
              </w:rPr>
              <w:t>供应商</w:t>
            </w:r>
            <w:r>
              <w:rPr>
                <w:rFonts w:hint="eastAsia" w:ascii="宋体" w:hAnsi="宋体" w:cs="Courier New"/>
                <w:color w:val="auto"/>
                <w:szCs w:val="21"/>
                <w:highlight w:val="none"/>
              </w:rPr>
              <w:t>的最后报价不得超过采购项目预算，如项目设定了最高限价则不得超过最高限价。</w:t>
            </w:r>
          </w:p>
        </w:tc>
      </w:tr>
      <w:tr w14:paraId="13B3EB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ign w:val="center"/>
          </w:tcPr>
          <w:p w14:paraId="10E09EB5">
            <w:pPr>
              <w:adjustRightInd w:val="0"/>
              <w:snapToGrid w:val="0"/>
              <w:spacing w:beforeLines="50"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7</w:t>
            </w:r>
          </w:p>
        </w:tc>
        <w:tc>
          <w:tcPr>
            <w:tcW w:w="1991" w:type="dxa"/>
            <w:noWrap/>
            <w:vAlign w:val="center"/>
          </w:tcPr>
          <w:p w14:paraId="090B912E">
            <w:pPr>
              <w:adjustRightInd w:val="0"/>
              <w:snapToGrid w:val="0"/>
              <w:spacing w:beforeLines="50" w:line="360" w:lineRule="auto"/>
              <w:rPr>
                <w:rFonts w:ascii="宋体" w:hAnsi="宋体"/>
                <w:color w:val="auto"/>
                <w:kern w:val="0"/>
                <w:szCs w:val="21"/>
                <w:highlight w:val="none"/>
              </w:rPr>
            </w:pPr>
            <w:r>
              <w:rPr>
                <w:rFonts w:hint="eastAsia" w:ascii="宋体" w:hAnsi="宋体" w:cs="Courier New"/>
                <w:color w:val="auto"/>
                <w:szCs w:val="21"/>
                <w:highlight w:val="none"/>
              </w:rPr>
              <w:t>报价的其他要求</w:t>
            </w:r>
          </w:p>
        </w:tc>
        <w:tc>
          <w:tcPr>
            <w:tcW w:w="6386" w:type="dxa"/>
            <w:noWrap/>
            <w:vAlign w:val="center"/>
          </w:tcPr>
          <w:p w14:paraId="0A81C493">
            <w:pPr>
              <w:adjustRightInd w:val="0"/>
              <w:snapToGrid w:val="0"/>
              <w:spacing w:beforeLines="50" w:line="360" w:lineRule="auto"/>
              <w:jc w:val="left"/>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是否符合</w:t>
            </w:r>
            <w:r>
              <w:rPr>
                <w:rFonts w:hint="eastAsia" w:ascii="宋体" w:hAnsi="宋体"/>
                <w:color w:val="auto"/>
                <w:szCs w:val="21"/>
                <w:highlight w:val="none"/>
              </w:rPr>
              <w:t>磋商文件</w:t>
            </w:r>
            <w:r>
              <w:rPr>
                <w:rFonts w:hint="eastAsia" w:ascii="宋体" w:hAnsi="宋体"/>
                <w:color w:val="auto"/>
                <w:szCs w:val="21"/>
                <w:highlight w:val="none"/>
                <w:lang w:val="en-US" w:eastAsia="zh-CN"/>
              </w:rPr>
              <w:t>要求。</w:t>
            </w:r>
          </w:p>
        </w:tc>
      </w:tr>
      <w:tr w14:paraId="4A95A8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ign w:val="center"/>
          </w:tcPr>
          <w:p w14:paraId="0B464328">
            <w:pPr>
              <w:adjustRightInd w:val="0"/>
              <w:snapToGrid w:val="0"/>
              <w:spacing w:beforeLines="50"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8</w:t>
            </w:r>
          </w:p>
        </w:tc>
        <w:tc>
          <w:tcPr>
            <w:tcW w:w="1991" w:type="dxa"/>
            <w:noWrap/>
            <w:vAlign w:val="center"/>
          </w:tcPr>
          <w:p w14:paraId="4E28743A">
            <w:pPr>
              <w:adjustRightInd w:val="0"/>
              <w:snapToGrid w:val="0"/>
              <w:spacing w:beforeLines="50" w:line="360" w:lineRule="auto"/>
              <w:rPr>
                <w:rFonts w:ascii="宋体" w:hAnsi="宋体" w:cs="宋体"/>
                <w:color w:val="auto"/>
                <w:kern w:val="0"/>
                <w:szCs w:val="21"/>
                <w:highlight w:val="none"/>
              </w:rPr>
            </w:pPr>
            <w:r>
              <w:rPr>
                <w:rFonts w:hint="eastAsia" w:ascii="宋体" w:hAnsi="宋体"/>
                <w:color w:val="auto"/>
                <w:szCs w:val="21"/>
                <w:highlight w:val="none"/>
              </w:rPr>
              <w:t>其他响应无效情形</w:t>
            </w:r>
          </w:p>
        </w:tc>
        <w:tc>
          <w:tcPr>
            <w:tcW w:w="6386" w:type="dxa"/>
            <w:noWrap/>
            <w:vAlign w:val="center"/>
          </w:tcPr>
          <w:p w14:paraId="5E66B4F6">
            <w:pPr>
              <w:adjustRightInd w:val="0"/>
              <w:snapToGrid w:val="0"/>
              <w:spacing w:beforeLines="50" w:line="360" w:lineRule="auto"/>
              <w:jc w:val="left"/>
              <w:rPr>
                <w:rFonts w:ascii="宋体" w:hAnsi="宋体" w:cs="宋体"/>
                <w:color w:val="auto"/>
                <w:kern w:val="0"/>
                <w:szCs w:val="21"/>
                <w:highlight w:val="none"/>
              </w:rPr>
            </w:pPr>
            <w:r>
              <w:rPr>
                <w:rFonts w:hint="eastAsia" w:ascii="宋体" w:hAnsi="宋体"/>
                <w:color w:val="auto"/>
                <w:szCs w:val="21"/>
                <w:highlight w:val="none"/>
              </w:rPr>
              <w:t>法律、法规和磋商文件规定的其他响应无效情形。</w:t>
            </w:r>
          </w:p>
        </w:tc>
      </w:tr>
    </w:tbl>
    <w:p w14:paraId="0D1F135C">
      <w:pPr>
        <w:adjustRightInd w:val="0"/>
        <w:snapToGrid w:val="0"/>
        <w:spacing w:line="360" w:lineRule="auto"/>
        <w:rPr>
          <w:rFonts w:ascii="黑体" w:hAnsi="黑体" w:eastAsia="黑体"/>
          <w:bCs/>
          <w:color w:val="auto"/>
          <w:szCs w:val="21"/>
          <w:highlight w:val="none"/>
        </w:rPr>
      </w:pPr>
    </w:p>
    <w:p w14:paraId="0701C954">
      <w:pPr>
        <w:rPr>
          <w:rStyle w:val="29"/>
          <w:rFonts w:ascii="黑体" w:eastAsia="黑体"/>
          <w:b/>
          <w:color w:val="auto"/>
          <w:sz w:val="28"/>
          <w:szCs w:val="28"/>
          <w:highlight w:val="none"/>
        </w:rPr>
      </w:pPr>
      <w:r>
        <w:rPr>
          <w:rStyle w:val="29"/>
          <w:rFonts w:ascii="黑体" w:eastAsia="黑体"/>
          <w:b/>
          <w:color w:val="auto"/>
          <w:sz w:val="28"/>
          <w:szCs w:val="28"/>
          <w:highlight w:val="none"/>
        </w:rPr>
        <w:br w:type="page"/>
      </w:r>
    </w:p>
    <w:p w14:paraId="4F3BAF5F">
      <w:pPr>
        <w:adjustRightInd w:val="0"/>
        <w:snapToGrid w:val="0"/>
        <w:spacing w:line="360" w:lineRule="auto"/>
        <w:outlineLvl w:val="2"/>
        <w:rPr>
          <w:rFonts w:ascii="黑体" w:hAnsi="黑体" w:eastAsia="黑体"/>
          <w:b/>
          <w:bCs/>
          <w:color w:val="auto"/>
          <w:sz w:val="28"/>
          <w:szCs w:val="28"/>
          <w:highlight w:val="none"/>
        </w:rPr>
      </w:pPr>
      <w:bookmarkStart w:id="103" w:name="_Toc10262"/>
      <w:r>
        <w:rPr>
          <w:rFonts w:hint="eastAsia" w:ascii="黑体" w:hAnsi="黑体" w:eastAsia="黑体"/>
          <w:b/>
          <w:bCs/>
          <w:color w:val="auto"/>
          <w:sz w:val="28"/>
          <w:szCs w:val="28"/>
          <w:highlight w:val="none"/>
        </w:rPr>
        <w:t>附表3 评标方法及标准表</w:t>
      </w:r>
      <w:bookmarkEnd w:id="103"/>
    </w:p>
    <w:p w14:paraId="39B6332A">
      <w:pPr>
        <w:pStyle w:val="24"/>
        <w:ind w:left="0" w:leftChars="0" w:firstLine="0" w:firstLineChars="0"/>
        <w:jc w:val="center"/>
        <w:rPr>
          <w:b/>
          <w:bCs/>
          <w:color w:val="auto"/>
          <w:highlight w:val="none"/>
        </w:rPr>
      </w:pPr>
      <w:r>
        <w:rPr>
          <w:rFonts w:hint="eastAsia"/>
          <w:b/>
          <w:bCs/>
          <w:color w:val="auto"/>
          <w:highlight w:val="none"/>
        </w:rPr>
        <w:t>本采购项目的权值见下表</w:t>
      </w:r>
    </w:p>
    <w:tbl>
      <w:tblPr>
        <w:tblStyle w:val="25"/>
        <w:tblW w:w="883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1"/>
        <w:gridCol w:w="4690"/>
        <w:gridCol w:w="3428"/>
      </w:tblGrid>
      <w:tr w14:paraId="58B2CF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6" w:hRule="exact"/>
          <w:jc w:val="center"/>
        </w:trPr>
        <w:tc>
          <w:tcPr>
            <w:tcW w:w="721" w:type="dxa"/>
            <w:noWrap/>
            <w:vAlign w:val="center"/>
          </w:tcPr>
          <w:p w14:paraId="449FA6F9">
            <w:pPr>
              <w:adjustRightInd w:val="0"/>
              <w:snapToGrid w:val="0"/>
              <w:spacing w:line="240" w:lineRule="exact"/>
              <w:rPr>
                <w:rFonts w:ascii="宋体" w:hAnsi="宋体" w:cs="宋体"/>
                <w:b/>
                <w:bCs/>
                <w:color w:val="auto"/>
                <w:kern w:val="0"/>
                <w:sz w:val="20"/>
                <w:szCs w:val="21"/>
                <w:highlight w:val="none"/>
                <w:lang w:val="ru-RU" w:eastAsia="ru-RU"/>
              </w:rPr>
            </w:pPr>
            <w:r>
              <w:rPr>
                <w:rFonts w:hint="eastAsia" w:ascii="宋体" w:hAnsi="宋体" w:cs="宋体"/>
                <w:b/>
                <w:bCs/>
                <w:color w:val="auto"/>
                <w:kern w:val="0"/>
                <w:sz w:val="20"/>
                <w:szCs w:val="21"/>
                <w:highlight w:val="none"/>
                <w:lang w:val="ru-RU" w:eastAsia="ru-RU"/>
              </w:rPr>
              <w:t>序号</w:t>
            </w:r>
          </w:p>
        </w:tc>
        <w:tc>
          <w:tcPr>
            <w:tcW w:w="4690" w:type="dxa"/>
            <w:noWrap/>
            <w:vAlign w:val="center"/>
          </w:tcPr>
          <w:p w14:paraId="0E5D52BF">
            <w:pPr>
              <w:adjustRightInd w:val="0"/>
              <w:snapToGrid w:val="0"/>
              <w:spacing w:line="240" w:lineRule="exact"/>
              <w:jc w:val="center"/>
              <w:rPr>
                <w:rFonts w:ascii="宋体" w:hAnsi="宋体" w:cs="宋体"/>
                <w:b/>
                <w:bCs/>
                <w:color w:val="auto"/>
                <w:kern w:val="0"/>
                <w:sz w:val="20"/>
                <w:szCs w:val="21"/>
                <w:highlight w:val="none"/>
                <w:lang w:val="ru-RU" w:eastAsia="ru-RU"/>
              </w:rPr>
            </w:pPr>
            <w:r>
              <w:rPr>
                <w:rFonts w:hint="eastAsia" w:ascii="宋体" w:hAnsi="宋体" w:cs="宋体"/>
                <w:b/>
                <w:bCs/>
                <w:color w:val="auto"/>
                <w:kern w:val="0"/>
                <w:sz w:val="20"/>
                <w:szCs w:val="21"/>
                <w:highlight w:val="none"/>
                <w:lang w:val="ru-RU" w:eastAsia="ru-RU"/>
              </w:rPr>
              <w:t>项     目</w:t>
            </w:r>
          </w:p>
        </w:tc>
        <w:tc>
          <w:tcPr>
            <w:tcW w:w="3428" w:type="dxa"/>
            <w:noWrap/>
            <w:vAlign w:val="center"/>
          </w:tcPr>
          <w:p w14:paraId="758B6F69">
            <w:pPr>
              <w:adjustRightInd w:val="0"/>
              <w:snapToGrid w:val="0"/>
              <w:spacing w:line="240" w:lineRule="exact"/>
              <w:jc w:val="center"/>
              <w:rPr>
                <w:rFonts w:hint="default" w:ascii="宋体" w:hAnsi="宋体" w:eastAsia="宋体" w:cs="宋体"/>
                <w:b/>
                <w:bCs/>
                <w:color w:val="auto"/>
                <w:kern w:val="0"/>
                <w:sz w:val="20"/>
                <w:szCs w:val="21"/>
                <w:highlight w:val="none"/>
                <w:lang w:val="en-US" w:eastAsia="zh-CN"/>
              </w:rPr>
            </w:pPr>
            <w:r>
              <w:rPr>
                <w:rFonts w:hint="eastAsia" w:ascii="宋体" w:hAnsi="宋体" w:cs="宋体"/>
                <w:b/>
                <w:bCs/>
                <w:color w:val="auto"/>
                <w:kern w:val="0"/>
                <w:sz w:val="20"/>
                <w:szCs w:val="21"/>
                <w:highlight w:val="none"/>
                <w:lang w:val="en-US" w:eastAsia="zh-CN"/>
              </w:rPr>
              <w:t>权值</w:t>
            </w:r>
          </w:p>
        </w:tc>
      </w:tr>
      <w:tr w14:paraId="09313F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7" w:hRule="atLeast"/>
          <w:jc w:val="center"/>
        </w:trPr>
        <w:tc>
          <w:tcPr>
            <w:tcW w:w="721" w:type="dxa"/>
            <w:noWrap/>
            <w:vAlign w:val="center"/>
          </w:tcPr>
          <w:p w14:paraId="4567727B">
            <w:pPr>
              <w:adjustRightInd w:val="0"/>
              <w:snapToGrid w:val="0"/>
              <w:spacing w:line="240" w:lineRule="exact"/>
              <w:jc w:val="center"/>
              <w:rPr>
                <w:rFonts w:ascii="宋体" w:hAnsi="宋体" w:cs="宋体"/>
                <w:color w:val="auto"/>
                <w:kern w:val="0"/>
                <w:sz w:val="18"/>
                <w:szCs w:val="18"/>
                <w:highlight w:val="none"/>
                <w:lang w:val="ru-RU" w:eastAsia="ru-RU"/>
              </w:rPr>
            </w:pPr>
            <w:r>
              <w:rPr>
                <w:rFonts w:hint="eastAsia" w:ascii="宋体" w:hAnsi="宋体" w:cs="宋体"/>
                <w:color w:val="auto"/>
                <w:kern w:val="0"/>
                <w:sz w:val="18"/>
                <w:szCs w:val="18"/>
                <w:highlight w:val="none"/>
                <w:lang w:val="ru-RU" w:eastAsia="ru-RU"/>
              </w:rPr>
              <w:t>1</w:t>
            </w:r>
          </w:p>
        </w:tc>
        <w:tc>
          <w:tcPr>
            <w:tcW w:w="4690" w:type="dxa"/>
            <w:noWrap/>
            <w:vAlign w:val="center"/>
          </w:tcPr>
          <w:p w14:paraId="27808822">
            <w:pPr>
              <w:adjustRightInd w:val="0"/>
              <w:snapToGrid w:val="0"/>
              <w:spacing w:line="240" w:lineRule="exact"/>
              <w:jc w:val="center"/>
              <w:rPr>
                <w:rFonts w:ascii="宋体" w:hAnsi="宋体" w:cs="宋体"/>
                <w:color w:val="auto"/>
                <w:kern w:val="0"/>
                <w:sz w:val="20"/>
                <w:szCs w:val="21"/>
                <w:highlight w:val="none"/>
                <w:lang w:val="ru-RU"/>
              </w:rPr>
            </w:pPr>
            <w:r>
              <w:rPr>
                <w:rFonts w:hint="eastAsia" w:ascii="宋体" w:hAnsi="宋体" w:cs="宋体"/>
                <w:color w:val="auto"/>
                <w:kern w:val="0"/>
                <w:sz w:val="20"/>
                <w:szCs w:val="21"/>
                <w:highlight w:val="none"/>
                <w:lang w:val="ru-RU" w:eastAsia="ru-RU"/>
              </w:rPr>
              <w:t>报价</w:t>
            </w:r>
            <w:r>
              <w:rPr>
                <w:rFonts w:hint="eastAsia" w:ascii="宋体" w:hAnsi="宋体" w:cs="宋体"/>
                <w:color w:val="auto"/>
                <w:kern w:val="0"/>
                <w:sz w:val="20"/>
                <w:szCs w:val="21"/>
                <w:highlight w:val="none"/>
                <w:lang w:val="ru-RU"/>
              </w:rPr>
              <w:t>（A</w:t>
            </w:r>
            <w:r>
              <w:rPr>
                <w:rFonts w:ascii="Calibri" w:hAnsi="Calibri" w:cs="宋体"/>
                <w:color w:val="auto"/>
                <w:kern w:val="0"/>
                <w:sz w:val="13"/>
                <w:szCs w:val="13"/>
                <w:highlight w:val="none"/>
                <w:lang w:val="ru-RU"/>
              </w:rPr>
              <w:t>1</w:t>
            </w:r>
            <w:r>
              <w:rPr>
                <w:rFonts w:hint="eastAsia" w:ascii="宋体" w:hAnsi="宋体" w:cs="宋体"/>
                <w:color w:val="auto"/>
                <w:kern w:val="0"/>
                <w:sz w:val="20"/>
                <w:szCs w:val="21"/>
                <w:highlight w:val="none"/>
                <w:lang w:val="ru-RU"/>
              </w:rPr>
              <w:t>）</w:t>
            </w:r>
          </w:p>
        </w:tc>
        <w:tc>
          <w:tcPr>
            <w:tcW w:w="3428" w:type="dxa"/>
            <w:noWrap/>
          </w:tcPr>
          <w:p w14:paraId="230E3EC2">
            <w:pPr>
              <w:pStyle w:val="66"/>
              <w:spacing w:before="126" w:line="190" w:lineRule="auto"/>
              <w:ind w:left="1556"/>
              <w:rPr>
                <w:rFonts w:hint="default" w:eastAsia="宋体"/>
                <w:color w:val="auto"/>
                <w:kern w:val="0"/>
                <w:sz w:val="18"/>
                <w:szCs w:val="18"/>
                <w:highlight w:val="none"/>
                <w:lang w:val="en-US" w:eastAsia="zh-CN"/>
              </w:rPr>
            </w:pPr>
            <w:r>
              <w:rPr>
                <w:rFonts w:hint="eastAsia"/>
                <w:color w:val="auto"/>
                <w:highlight w:val="none"/>
                <w:lang w:val="en-US" w:eastAsia="zh-CN"/>
              </w:rPr>
              <w:t>0.1</w:t>
            </w:r>
          </w:p>
        </w:tc>
      </w:tr>
      <w:tr w14:paraId="7411A9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jc w:val="center"/>
        </w:trPr>
        <w:tc>
          <w:tcPr>
            <w:tcW w:w="721" w:type="dxa"/>
            <w:noWrap/>
            <w:vAlign w:val="center"/>
          </w:tcPr>
          <w:p w14:paraId="55BB644A">
            <w:pPr>
              <w:adjustRightInd w:val="0"/>
              <w:snapToGrid w:val="0"/>
              <w:spacing w:line="240" w:lineRule="exact"/>
              <w:jc w:val="center"/>
              <w:rPr>
                <w:rFonts w:ascii="宋体" w:hAnsi="宋体" w:cs="宋体"/>
                <w:color w:val="auto"/>
                <w:kern w:val="0"/>
                <w:sz w:val="18"/>
                <w:szCs w:val="18"/>
                <w:highlight w:val="none"/>
                <w:lang w:val="ru-RU" w:eastAsia="ru-RU"/>
              </w:rPr>
            </w:pPr>
            <w:r>
              <w:rPr>
                <w:rFonts w:hint="eastAsia" w:ascii="宋体" w:hAnsi="宋体" w:cs="宋体"/>
                <w:color w:val="auto"/>
                <w:kern w:val="0"/>
                <w:sz w:val="18"/>
                <w:szCs w:val="18"/>
                <w:highlight w:val="none"/>
                <w:lang w:val="ru-RU" w:eastAsia="ru-RU"/>
              </w:rPr>
              <w:t>2</w:t>
            </w:r>
          </w:p>
        </w:tc>
        <w:tc>
          <w:tcPr>
            <w:tcW w:w="4690" w:type="dxa"/>
            <w:noWrap/>
            <w:vAlign w:val="center"/>
          </w:tcPr>
          <w:p w14:paraId="227B8488">
            <w:pPr>
              <w:adjustRightInd w:val="0"/>
              <w:snapToGrid w:val="0"/>
              <w:spacing w:line="240" w:lineRule="exact"/>
              <w:jc w:val="center"/>
              <w:rPr>
                <w:rFonts w:ascii="宋体" w:hAnsi="宋体" w:cs="宋体"/>
                <w:color w:val="auto"/>
                <w:kern w:val="0"/>
                <w:sz w:val="20"/>
                <w:szCs w:val="21"/>
                <w:highlight w:val="none"/>
                <w:lang w:val="ru-RU" w:eastAsia="ru-RU"/>
              </w:rPr>
            </w:pPr>
            <w:r>
              <w:rPr>
                <w:rFonts w:hint="eastAsia" w:ascii="宋体" w:hAnsi="宋体" w:cs="宋体"/>
                <w:color w:val="auto"/>
                <w:kern w:val="0"/>
                <w:sz w:val="20"/>
                <w:szCs w:val="21"/>
                <w:highlight w:val="none"/>
                <w:lang w:val="ru-RU" w:eastAsia="ru-RU"/>
              </w:rPr>
              <w:t>技术</w:t>
            </w:r>
            <w:r>
              <w:rPr>
                <w:rFonts w:hint="eastAsia" w:ascii="宋体" w:hAnsi="宋体" w:cs="宋体"/>
                <w:color w:val="auto"/>
                <w:kern w:val="0"/>
                <w:sz w:val="20"/>
                <w:szCs w:val="21"/>
                <w:highlight w:val="none"/>
                <w:lang w:val="ru-RU"/>
              </w:rPr>
              <w:t>（A</w:t>
            </w:r>
            <w:r>
              <w:rPr>
                <w:rFonts w:ascii="Calibri" w:hAnsi="Calibri" w:cs="宋体"/>
                <w:color w:val="auto"/>
                <w:kern w:val="0"/>
                <w:sz w:val="13"/>
                <w:szCs w:val="13"/>
                <w:highlight w:val="none"/>
                <w:lang w:val="ru-RU"/>
              </w:rPr>
              <w:t>2</w:t>
            </w:r>
            <w:r>
              <w:rPr>
                <w:rFonts w:hint="eastAsia" w:ascii="宋体" w:hAnsi="宋体" w:cs="宋体"/>
                <w:color w:val="auto"/>
                <w:kern w:val="0"/>
                <w:sz w:val="20"/>
                <w:szCs w:val="21"/>
                <w:highlight w:val="none"/>
                <w:lang w:val="ru-RU"/>
              </w:rPr>
              <w:t>）</w:t>
            </w:r>
          </w:p>
        </w:tc>
        <w:tc>
          <w:tcPr>
            <w:tcW w:w="3428" w:type="dxa"/>
            <w:noWrap/>
          </w:tcPr>
          <w:p w14:paraId="65B4296E">
            <w:pPr>
              <w:pStyle w:val="66"/>
              <w:spacing w:before="136" w:line="189" w:lineRule="auto"/>
              <w:ind w:left="1556"/>
              <w:rPr>
                <w:rFonts w:hint="default" w:eastAsia="宋体"/>
                <w:color w:val="auto"/>
                <w:kern w:val="0"/>
                <w:sz w:val="18"/>
                <w:szCs w:val="18"/>
                <w:highlight w:val="none"/>
                <w:lang w:val="en-US" w:eastAsia="zh-CN"/>
              </w:rPr>
            </w:pPr>
            <w:r>
              <w:rPr>
                <w:rFonts w:hint="eastAsia"/>
                <w:color w:val="auto"/>
                <w:highlight w:val="none"/>
                <w:lang w:val="en-US" w:eastAsia="zh-CN"/>
              </w:rPr>
              <w:t>0.5</w:t>
            </w:r>
          </w:p>
        </w:tc>
      </w:tr>
      <w:tr w14:paraId="0FF733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721" w:type="dxa"/>
            <w:noWrap/>
            <w:vAlign w:val="center"/>
          </w:tcPr>
          <w:p w14:paraId="6E2C1468">
            <w:pPr>
              <w:adjustRightInd w:val="0"/>
              <w:snapToGrid w:val="0"/>
              <w:spacing w:line="240" w:lineRule="exact"/>
              <w:jc w:val="center"/>
              <w:rPr>
                <w:rFonts w:ascii="宋体" w:hAnsi="宋体" w:cs="宋体"/>
                <w:color w:val="auto"/>
                <w:kern w:val="0"/>
                <w:sz w:val="18"/>
                <w:szCs w:val="18"/>
                <w:highlight w:val="none"/>
                <w:lang w:val="ru-RU" w:eastAsia="ru-RU"/>
              </w:rPr>
            </w:pPr>
            <w:r>
              <w:rPr>
                <w:rFonts w:hint="eastAsia" w:ascii="宋体" w:hAnsi="宋体" w:cs="宋体"/>
                <w:color w:val="auto"/>
                <w:kern w:val="0"/>
                <w:sz w:val="18"/>
                <w:szCs w:val="18"/>
                <w:highlight w:val="none"/>
                <w:lang w:val="ru-RU" w:eastAsia="ru-RU"/>
              </w:rPr>
              <w:t>3</w:t>
            </w:r>
          </w:p>
        </w:tc>
        <w:tc>
          <w:tcPr>
            <w:tcW w:w="4690" w:type="dxa"/>
            <w:noWrap/>
            <w:vAlign w:val="center"/>
          </w:tcPr>
          <w:p w14:paraId="0001AB9F">
            <w:pPr>
              <w:adjustRightInd w:val="0"/>
              <w:snapToGrid w:val="0"/>
              <w:spacing w:line="240" w:lineRule="exact"/>
              <w:jc w:val="center"/>
              <w:rPr>
                <w:rFonts w:ascii="宋体" w:hAnsi="宋体" w:cs="宋体"/>
                <w:color w:val="auto"/>
                <w:kern w:val="0"/>
                <w:sz w:val="20"/>
                <w:szCs w:val="21"/>
                <w:highlight w:val="none"/>
                <w:lang w:val="ru-RU"/>
              </w:rPr>
            </w:pPr>
            <w:r>
              <w:rPr>
                <w:rFonts w:hint="eastAsia" w:ascii="宋体" w:hAnsi="宋体" w:cs="宋体"/>
                <w:color w:val="auto"/>
                <w:kern w:val="0"/>
                <w:sz w:val="20"/>
                <w:szCs w:val="21"/>
                <w:highlight w:val="none"/>
                <w:lang w:val="ru-RU"/>
              </w:rPr>
              <w:t>商务（A</w:t>
            </w:r>
            <w:r>
              <w:rPr>
                <w:rFonts w:ascii="Calibri" w:hAnsi="Calibri" w:cs="宋体"/>
                <w:color w:val="auto"/>
                <w:kern w:val="0"/>
                <w:sz w:val="13"/>
                <w:szCs w:val="13"/>
                <w:highlight w:val="none"/>
                <w:lang w:val="ru-RU"/>
              </w:rPr>
              <w:t>3</w:t>
            </w:r>
            <w:r>
              <w:rPr>
                <w:rFonts w:hint="eastAsia" w:ascii="宋体" w:hAnsi="宋体" w:cs="宋体"/>
                <w:color w:val="auto"/>
                <w:kern w:val="0"/>
                <w:sz w:val="20"/>
                <w:szCs w:val="21"/>
                <w:highlight w:val="none"/>
                <w:lang w:val="ru-RU"/>
              </w:rPr>
              <w:t>）</w:t>
            </w:r>
          </w:p>
        </w:tc>
        <w:tc>
          <w:tcPr>
            <w:tcW w:w="3428" w:type="dxa"/>
            <w:noWrap/>
          </w:tcPr>
          <w:p w14:paraId="069A37D2">
            <w:pPr>
              <w:pStyle w:val="66"/>
              <w:spacing w:before="137" w:line="189" w:lineRule="auto"/>
              <w:ind w:left="1556"/>
              <w:rPr>
                <w:rFonts w:hint="default" w:eastAsia="宋体"/>
                <w:color w:val="auto"/>
                <w:kern w:val="0"/>
                <w:sz w:val="18"/>
                <w:szCs w:val="18"/>
                <w:highlight w:val="none"/>
                <w:lang w:val="en-US" w:eastAsia="zh-CN"/>
              </w:rPr>
            </w:pPr>
            <w:r>
              <w:rPr>
                <w:rFonts w:hint="eastAsia"/>
                <w:color w:val="auto"/>
                <w:highlight w:val="none"/>
                <w:lang w:val="en-US" w:eastAsia="zh-CN"/>
              </w:rPr>
              <w:t>0.4</w:t>
            </w:r>
          </w:p>
        </w:tc>
      </w:tr>
      <w:tr w14:paraId="469B59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5411" w:type="dxa"/>
            <w:gridSpan w:val="2"/>
            <w:noWrap/>
            <w:vAlign w:val="center"/>
          </w:tcPr>
          <w:p w14:paraId="250DD875">
            <w:pPr>
              <w:adjustRightInd w:val="0"/>
              <w:snapToGrid w:val="0"/>
              <w:spacing w:line="240" w:lineRule="exact"/>
              <w:jc w:val="center"/>
              <w:rPr>
                <w:rFonts w:ascii="宋体" w:hAnsi="宋体" w:cs="宋体"/>
                <w:color w:val="auto"/>
                <w:kern w:val="0"/>
                <w:sz w:val="20"/>
                <w:szCs w:val="21"/>
                <w:highlight w:val="none"/>
                <w:lang w:val="ru-RU" w:eastAsia="ru-RU"/>
              </w:rPr>
            </w:pPr>
            <w:r>
              <w:rPr>
                <w:rFonts w:hint="eastAsia" w:ascii="宋体" w:hAnsi="宋体" w:cs="宋体"/>
                <w:color w:val="auto"/>
                <w:kern w:val="0"/>
                <w:sz w:val="20"/>
                <w:szCs w:val="21"/>
                <w:highlight w:val="none"/>
                <w:lang w:val="ru-RU"/>
              </w:rPr>
              <w:t>合计</w:t>
            </w:r>
          </w:p>
        </w:tc>
        <w:tc>
          <w:tcPr>
            <w:tcW w:w="3428" w:type="dxa"/>
            <w:noWrap/>
            <w:vAlign w:val="center"/>
          </w:tcPr>
          <w:p w14:paraId="4BA262E1">
            <w:pPr>
              <w:adjustRightInd w:val="0"/>
              <w:snapToGrid w:val="0"/>
              <w:spacing w:line="240" w:lineRule="exact"/>
              <w:jc w:val="center"/>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1</w:t>
            </w:r>
          </w:p>
        </w:tc>
      </w:tr>
    </w:tbl>
    <w:p w14:paraId="58308446">
      <w:pPr>
        <w:rPr>
          <w:rFonts w:ascii="宋体" w:hAnsi="宋体"/>
          <w:b/>
          <w:color w:val="auto"/>
          <w:sz w:val="24"/>
          <w:highlight w:val="none"/>
        </w:rPr>
      </w:pPr>
      <w:r>
        <w:rPr>
          <w:rFonts w:hint="eastAsia" w:ascii="宋体" w:hAnsi="宋体"/>
          <w:b/>
          <w:color w:val="auto"/>
          <w:sz w:val="24"/>
          <w:highlight w:val="none"/>
        </w:rPr>
        <w:br w:type="page"/>
      </w:r>
    </w:p>
    <w:p w14:paraId="4E13C2A5">
      <w:pPr>
        <w:spacing w:before="52" w:after="11"/>
        <w:ind w:left="845" w:right="838"/>
        <w:jc w:val="center"/>
        <w:rPr>
          <w:rFonts w:ascii="宋体" w:hAnsi="宋体"/>
          <w:b/>
          <w:color w:val="auto"/>
          <w:sz w:val="24"/>
          <w:highlight w:val="none"/>
        </w:rPr>
      </w:pPr>
      <w:r>
        <w:rPr>
          <w:rFonts w:hint="eastAsia" w:ascii="宋体" w:hAnsi="宋体"/>
          <w:b/>
          <w:color w:val="auto"/>
          <w:sz w:val="24"/>
          <w:highlight w:val="none"/>
        </w:rPr>
        <w:t xml:space="preserve">附表3 </w:t>
      </w:r>
      <w:r>
        <w:rPr>
          <w:rFonts w:ascii="宋体" w:hAnsi="宋体"/>
          <w:b/>
          <w:color w:val="auto"/>
          <w:sz w:val="24"/>
          <w:highlight w:val="none"/>
        </w:rPr>
        <w:t>评审因素和标准</w:t>
      </w:r>
    </w:p>
    <w:tbl>
      <w:tblPr>
        <w:tblStyle w:val="25"/>
        <w:tblW w:w="9200" w:type="dxa"/>
        <w:tblInd w:w="-273"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40"/>
        <w:gridCol w:w="1164"/>
        <w:gridCol w:w="6156"/>
        <w:gridCol w:w="940"/>
      </w:tblGrid>
      <w:tr w14:paraId="406976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40" w:hRule="atLeast"/>
        </w:trPr>
        <w:tc>
          <w:tcPr>
            <w:tcW w:w="9200" w:type="dxa"/>
            <w:gridSpan w:val="4"/>
            <w:noWrap w:val="0"/>
            <w:vAlign w:val="center"/>
          </w:tcPr>
          <w:p w14:paraId="219452AC">
            <w:pPr>
              <w:jc w:val="center"/>
              <w:rPr>
                <w:rFonts w:hint="eastAsia" w:ascii="宋体" w:hAnsi="宋体" w:eastAsia="宋体" w:cs="宋体"/>
                <w:color w:val="auto"/>
                <w:highlight w:val="none"/>
                <w:lang w:val="en-US" w:eastAsia="zh-Hans"/>
              </w:rPr>
            </w:pPr>
            <w:r>
              <w:rPr>
                <w:rFonts w:hint="eastAsia" w:ascii="Calibri" w:hAnsi="Calibri" w:eastAsia="宋体" w:cs="Times New Roman"/>
                <w:color w:val="auto"/>
                <w:kern w:val="0"/>
                <w:sz w:val="24"/>
                <w:highlight w:val="none"/>
                <w:lang w:val="en-US" w:eastAsia="zh-Hans"/>
              </w:rPr>
              <w:t>综合评分表</w:t>
            </w:r>
          </w:p>
        </w:tc>
      </w:tr>
      <w:tr w14:paraId="5BB593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0" w:type="dxa"/>
            <w:noWrap w:val="0"/>
            <w:vAlign w:val="center"/>
          </w:tcPr>
          <w:p w14:paraId="42176C1A">
            <w:pPr>
              <w:jc w:val="center"/>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评审因素分类</w:t>
            </w:r>
          </w:p>
        </w:tc>
        <w:tc>
          <w:tcPr>
            <w:tcW w:w="1164" w:type="dxa"/>
            <w:noWrap w:val="0"/>
            <w:vAlign w:val="center"/>
          </w:tcPr>
          <w:p w14:paraId="2D22123E">
            <w:pPr>
              <w:jc w:val="center"/>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评审项</w:t>
            </w:r>
          </w:p>
        </w:tc>
        <w:tc>
          <w:tcPr>
            <w:tcW w:w="6156" w:type="dxa"/>
            <w:noWrap w:val="0"/>
            <w:vAlign w:val="center"/>
          </w:tcPr>
          <w:p w14:paraId="767B7E8D">
            <w:pPr>
              <w:jc w:val="center"/>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详细描述</w:t>
            </w:r>
          </w:p>
        </w:tc>
        <w:tc>
          <w:tcPr>
            <w:tcW w:w="940" w:type="dxa"/>
            <w:noWrap w:val="0"/>
            <w:vAlign w:val="center"/>
          </w:tcPr>
          <w:p w14:paraId="75820F42">
            <w:pPr>
              <w:jc w:val="center"/>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分值</w:t>
            </w:r>
          </w:p>
        </w:tc>
      </w:tr>
      <w:tr w14:paraId="52F039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0" w:type="dxa"/>
            <w:vMerge w:val="restart"/>
            <w:noWrap w:val="0"/>
            <w:vAlign w:val="center"/>
          </w:tcPr>
          <w:p w14:paraId="1AD5C3D5">
            <w:pPr>
              <w:jc w:val="center"/>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技术评审</w:t>
            </w:r>
          </w:p>
        </w:tc>
        <w:tc>
          <w:tcPr>
            <w:tcW w:w="1164" w:type="dxa"/>
            <w:noWrap w:val="0"/>
            <w:vAlign w:val="center"/>
          </w:tcPr>
          <w:p w14:paraId="3C1BFE6B">
            <w:pPr>
              <w:widowControl w:val="0"/>
              <w:kinsoku w:val="0"/>
              <w:autoSpaceDE w:val="0"/>
              <w:autoSpaceDN w:val="0"/>
              <w:adjustRightInd w:val="0"/>
              <w:snapToGrid w:val="0"/>
              <w:spacing w:line="254" w:lineRule="auto"/>
              <w:jc w:val="center"/>
              <w:rPr>
                <w:rFonts w:hint="eastAsia" w:asciiTheme="minorEastAsia" w:hAnsiTheme="minorEastAsia" w:eastAsiaTheme="minorEastAsia" w:cstheme="minorEastAsia"/>
                <w:color w:val="auto"/>
                <w:kern w:val="0"/>
                <w:sz w:val="21"/>
                <w:szCs w:val="21"/>
                <w:highlight w:val="none"/>
              </w:rPr>
            </w:pPr>
          </w:p>
          <w:p w14:paraId="49864B2F">
            <w:pPr>
              <w:widowControl w:val="0"/>
              <w:kinsoku w:val="0"/>
              <w:autoSpaceDE w:val="0"/>
              <w:autoSpaceDN w:val="0"/>
              <w:adjustRightInd w:val="0"/>
              <w:snapToGrid w:val="0"/>
              <w:spacing w:line="255" w:lineRule="auto"/>
              <w:jc w:val="center"/>
              <w:rPr>
                <w:rFonts w:hint="eastAsia" w:asciiTheme="minorEastAsia" w:hAnsiTheme="minorEastAsia" w:eastAsiaTheme="minorEastAsia" w:cstheme="minorEastAsia"/>
                <w:color w:val="auto"/>
                <w:kern w:val="0"/>
                <w:sz w:val="21"/>
                <w:szCs w:val="21"/>
                <w:highlight w:val="none"/>
              </w:rPr>
            </w:pPr>
          </w:p>
          <w:p w14:paraId="485FE238">
            <w:pPr>
              <w:widowControl w:val="0"/>
              <w:kinsoku w:val="0"/>
              <w:autoSpaceDE w:val="0"/>
              <w:autoSpaceDN w:val="0"/>
              <w:adjustRightInd w:val="0"/>
              <w:snapToGrid w:val="0"/>
              <w:spacing w:line="255" w:lineRule="auto"/>
              <w:jc w:val="center"/>
              <w:rPr>
                <w:rFonts w:hint="eastAsia" w:asciiTheme="minorEastAsia" w:hAnsiTheme="minorEastAsia" w:eastAsiaTheme="minorEastAsia" w:cstheme="minorEastAsia"/>
                <w:color w:val="auto"/>
                <w:kern w:val="0"/>
                <w:sz w:val="21"/>
                <w:szCs w:val="21"/>
                <w:highlight w:val="none"/>
              </w:rPr>
            </w:pPr>
          </w:p>
          <w:p w14:paraId="119D65EF">
            <w:pPr>
              <w:widowControl w:val="0"/>
              <w:kinsoku w:val="0"/>
              <w:autoSpaceDE w:val="0"/>
              <w:autoSpaceDN w:val="0"/>
              <w:adjustRightInd w:val="0"/>
              <w:snapToGrid w:val="0"/>
              <w:spacing w:before="65" w:line="228" w:lineRule="auto"/>
              <w:jc w:val="center"/>
              <w:rPr>
                <w:rFonts w:hint="eastAsia" w:ascii="宋体" w:hAnsi="宋体" w:eastAsia="宋体" w:cs="宋体"/>
                <w:color w:val="auto"/>
                <w:highlight w:val="none"/>
                <w:lang w:val="en-US" w:eastAsia="zh-Hans"/>
              </w:rPr>
            </w:pPr>
            <w:r>
              <w:rPr>
                <w:rFonts w:hint="eastAsia" w:asciiTheme="minorEastAsia" w:hAnsiTheme="minorEastAsia" w:eastAsiaTheme="minorEastAsia" w:cstheme="minorEastAsia"/>
                <w:color w:val="auto"/>
                <w:spacing w:val="8"/>
                <w:sz w:val="21"/>
                <w:szCs w:val="21"/>
                <w:highlight w:val="none"/>
                <w:lang w:eastAsia="en-US"/>
              </w:rPr>
              <w:t>整体服务方案</w:t>
            </w:r>
          </w:p>
        </w:tc>
        <w:tc>
          <w:tcPr>
            <w:tcW w:w="6156" w:type="dxa"/>
            <w:noWrap w:val="0"/>
            <w:vAlign w:val="center"/>
          </w:tcPr>
          <w:p w14:paraId="2AB6C08A">
            <w:pPr>
              <w:keepNext w:val="0"/>
              <w:keepLines w:val="0"/>
              <w:pageBreakBefore w:val="0"/>
              <w:widowControl/>
              <w:kinsoku/>
              <w:wordWrap/>
              <w:overflowPunct/>
              <w:topLinePunct w:val="0"/>
              <w:autoSpaceDE/>
              <w:autoSpaceDN/>
              <w:bidi w:val="0"/>
              <w:adjustRightInd/>
              <w:snapToGrid/>
              <w:spacing w:line="360" w:lineRule="exact"/>
              <w:ind w:firstLine="448" w:firstLineChars="200"/>
              <w:jc w:val="left"/>
              <w:rPr>
                <w:rFonts w:hint="eastAsia" w:ascii="宋体" w:hAnsi="宋体" w:eastAsia="宋体" w:cs="宋体"/>
                <w:color w:val="auto"/>
                <w:highlight w:val="none"/>
                <w:lang w:val="en-US" w:eastAsia="zh-Hans"/>
              </w:rPr>
            </w:pPr>
            <w:r>
              <w:rPr>
                <w:rFonts w:hint="eastAsia" w:asciiTheme="minorEastAsia" w:hAnsiTheme="minorEastAsia" w:eastAsiaTheme="minorEastAsia" w:cstheme="minorEastAsia"/>
                <w:color w:val="auto"/>
                <w:spacing w:val="7"/>
                <w:sz w:val="21"/>
                <w:szCs w:val="21"/>
                <w:highlight w:val="none"/>
                <w:lang w:val="en-US" w:eastAsia="zh-CN"/>
              </w:rPr>
              <w:t>供应商</w:t>
            </w:r>
            <w:r>
              <w:rPr>
                <w:rFonts w:hint="eastAsia" w:asciiTheme="minorEastAsia" w:hAnsiTheme="minorEastAsia" w:eastAsiaTheme="minorEastAsia" w:cstheme="minorEastAsia"/>
                <w:color w:val="auto"/>
                <w:spacing w:val="7"/>
                <w:sz w:val="21"/>
                <w:szCs w:val="21"/>
                <w:highlight w:val="none"/>
              </w:rPr>
              <w:t>根据对本项目的实际情况及特点提供整体服务方案包括但不限于</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7"/>
                <w:sz w:val="21"/>
                <w:szCs w:val="21"/>
                <w:highlight w:val="none"/>
              </w:rPr>
              <w:t>1.本项目的理解；2.整体服务模式；3.管理目标及管理思路；4.人员工资管理。</w:t>
            </w:r>
            <w:r>
              <w:rPr>
                <w:rFonts w:hint="eastAsia" w:asciiTheme="minorEastAsia" w:hAnsiTheme="minorEastAsia" w:eastAsiaTheme="minorEastAsia" w:cstheme="minorEastAsia"/>
                <w:color w:val="auto"/>
                <w:sz w:val="21"/>
                <w:szCs w:val="21"/>
                <w:highlight w:val="none"/>
              </w:rPr>
              <w:t>上述小项方案具有针对性和可行性，内容完整合理满足采购需求要求的每项得</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分，本项满分</w:t>
            </w:r>
            <w:r>
              <w:rPr>
                <w:rFonts w:hint="eastAsia" w:asciiTheme="minorEastAsia" w:hAnsiTheme="minorEastAsia" w:eastAsiaTheme="minorEastAsia" w:cstheme="minorEastAsia"/>
                <w:color w:val="auto"/>
                <w:sz w:val="21"/>
                <w:szCs w:val="21"/>
                <w:highlight w:val="none"/>
                <w:lang w:val="en-US" w:eastAsia="zh-CN"/>
              </w:rPr>
              <w:t>20</w:t>
            </w:r>
            <w:r>
              <w:rPr>
                <w:rFonts w:hint="eastAsia" w:asciiTheme="minorEastAsia" w:hAnsiTheme="minorEastAsia" w:eastAsiaTheme="minorEastAsia" w:cstheme="minorEastAsia"/>
                <w:color w:val="auto"/>
                <w:sz w:val="21"/>
                <w:szCs w:val="21"/>
                <w:highlight w:val="none"/>
              </w:rPr>
              <w:t>分，存在一般缺陷的小项方案得</w:t>
            </w: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分。 (一般缺陷是指方案内容前后不一致或前后逻辑错误或内容有缺失，不影响项目的实施)。未提供或存在重大缺陷的小项方案不得分(重大缺陷是指方案凭空编造或与采购项目和采购需求无关，无法指导项目实施)</w:t>
            </w:r>
          </w:p>
        </w:tc>
        <w:tc>
          <w:tcPr>
            <w:tcW w:w="940" w:type="dxa"/>
            <w:noWrap w:val="0"/>
            <w:vAlign w:val="center"/>
          </w:tcPr>
          <w:p w14:paraId="34C1A0AD">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20</w:t>
            </w:r>
          </w:p>
        </w:tc>
      </w:tr>
      <w:tr w14:paraId="04D3B8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0" w:type="dxa"/>
            <w:vMerge w:val="continue"/>
            <w:noWrap w:val="0"/>
            <w:vAlign w:val="center"/>
          </w:tcPr>
          <w:p w14:paraId="72603ED5">
            <w:pPr>
              <w:jc w:val="center"/>
              <w:rPr>
                <w:rFonts w:hint="eastAsia" w:ascii="宋体" w:hAnsi="宋体" w:eastAsia="宋体" w:cs="宋体"/>
                <w:color w:val="auto"/>
                <w:highlight w:val="none"/>
              </w:rPr>
            </w:pPr>
          </w:p>
        </w:tc>
        <w:tc>
          <w:tcPr>
            <w:tcW w:w="1164" w:type="dxa"/>
            <w:noWrap w:val="0"/>
            <w:vAlign w:val="center"/>
          </w:tcPr>
          <w:p w14:paraId="36D3780D">
            <w:pPr>
              <w:widowControl w:val="0"/>
              <w:kinsoku w:val="0"/>
              <w:autoSpaceDE w:val="0"/>
              <w:autoSpaceDN w:val="0"/>
              <w:adjustRightInd w:val="0"/>
              <w:snapToGrid w:val="0"/>
              <w:spacing w:line="305" w:lineRule="auto"/>
              <w:jc w:val="center"/>
              <w:rPr>
                <w:rFonts w:hint="eastAsia" w:asciiTheme="minorEastAsia" w:hAnsiTheme="minorEastAsia" w:eastAsiaTheme="minorEastAsia" w:cstheme="minorEastAsia"/>
                <w:color w:val="auto"/>
                <w:kern w:val="0"/>
                <w:sz w:val="21"/>
                <w:szCs w:val="21"/>
                <w:highlight w:val="none"/>
              </w:rPr>
            </w:pPr>
          </w:p>
          <w:p w14:paraId="496511B6">
            <w:pPr>
              <w:widowControl w:val="0"/>
              <w:kinsoku w:val="0"/>
              <w:autoSpaceDE w:val="0"/>
              <w:autoSpaceDN w:val="0"/>
              <w:adjustRightInd w:val="0"/>
              <w:snapToGrid w:val="0"/>
              <w:spacing w:line="305" w:lineRule="auto"/>
              <w:jc w:val="center"/>
              <w:rPr>
                <w:rFonts w:hint="eastAsia" w:asciiTheme="minorEastAsia" w:hAnsiTheme="minorEastAsia" w:eastAsiaTheme="minorEastAsia" w:cstheme="minorEastAsia"/>
                <w:color w:val="auto"/>
                <w:kern w:val="0"/>
                <w:sz w:val="21"/>
                <w:szCs w:val="21"/>
                <w:highlight w:val="none"/>
              </w:rPr>
            </w:pPr>
          </w:p>
          <w:p w14:paraId="12DED399">
            <w:pPr>
              <w:widowControl w:val="0"/>
              <w:kinsoku w:val="0"/>
              <w:autoSpaceDE w:val="0"/>
              <w:autoSpaceDN w:val="0"/>
              <w:adjustRightInd w:val="0"/>
              <w:snapToGrid w:val="0"/>
              <w:spacing w:before="65" w:line="273" w:lineRule="auto"/>
              <w:ind w:right="175" w:rightChars="0"/>
              <w:jc w:val="center"/>
              <w:rPr>
                <w:rFonts w:hint="eastAsia" w:ascii="宋体" w:hAnsi="宋体" w:eastAsia="宋体" w:cs="宋体"/>
                <w:color w:val="auto"/>
                <w:highlight w:val="none"/>
                <w:lang w:val="en-US" w:eastAsia="zh-CN"/>
              </w:rPr>
            </w:pPr>
            <w:r>
              <w:rPr>
                <w:rFonts w:hint="eastAsia" w:asciiTheme="minorEastAsia" w:hAnsiTheme="minorEastAsia" w:eastAsiaTheme="minorEastAsia" w:cstheme="minorEastAsia"/>
                <w:color w:val="auto"/>
                <w:spacing w:val="8"/>
                <w:sz w:val="21"/>
                <w:szCs w:val="21"/>
                <w:highlight w:val="none"/>
              </w:rPr>
              <w:t>人员配置管理与培训方案</w:t>
            </w:r>
          </w:p>
        </w:tc>
        <w:tc>
          <w:tcPr>
            <w:tcW w:w="6156" w:type="dxa"/>
            <w:noWrap w:val="0"/>
            <w:vAlign w:val="center"/>
          </w:tcPr>
          <w:p w14:paraId="41FC78C6">
            <w:pPr>
              <w:keepNext w:val="0"/>
              <w:keepLines w:val="0"/>
              <w:pageBreakBefore w:val="0"/>
              <w:widowControl/>
              <w:kinsoku/>
              <w:wordWrap/>
              <w:overflowPunct/>
              <w:topLinePunct w:val="0"/>
              <w:autoSpaceDE/>
              <w:autoSpaceDN/>
              <w:bidi w:val="0"/>
              <w:adjustRightInd/>
              <w:snapToGrid/>
              <w:spacing w:line="360" w:lineRule="exact"/>
              <w:ind w:firstLine="448" w:firstLineChars="200"/>
              <w:jc w:val="left"/>
              <w:rPr>
                <w:rFonts w:hint="eastAsia" w:ascii="宋体" w:hAnsi="宋体" w:eastAsia="宋体" w:cs="宋体"/>
                <w:color w:val="auto"/>
                <w:highlight w:val="none"/>
                <w:lang w:val="en-US" w:eastAsia="zh-Hans"/>
              </w:rPr>
            </w:pPr>
            <w:r>
              <w:rPr>
                <w:rFonts w:hint="eastAsia" w:asciiTheme="minorEastAsia" w:hAnsiTheme="minorEastAsia" w:eastAsiaTheme="minorEastAsia" w:cstheme="minorEastAsia"/>
                <w:color w:val="auto"/>
                <w:spacing w:val="7"/>
                <w:sz w:val="21"/>
                <w:szCs w:val="21"/>
                <w:highlight w:val="none"/>
                <w:lang w:val="en-US" w:eastAsia="zh-CN"/>
              </w:rPr>
              <w:t>供应商</w:t>
            </w:r>
            <w:r>
              <w:rPr>
                <w:rFonts w:hint="eastAsia" w:asciiTheme="minorEastAsia" w:hAnsiTheme="minorEastAsia" w:eastAsiaTheme="minorEastAsia" w:cstheme="minorEastAsia"/>
                <w:color w:val="auto"/>
                <w:spacing w:val="7"/>
                <w:sz w:val="21"/>
                <w:szCs w:val="21"/>
                <w:highlight w:val="none"/>
              </w:rPr>
              <w:t>根据对本项目的人员配置管理与培训方案包括但不限于</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7"/>
                <w:sz w:val="21"/>
                <w:szCs w:val="21"/>
                <w:highlight w:val="none"/>
              </w:rPr>
              <w:t>1.人员配置计划；2.岗位职责；3.人员管理</w:t>
            </w:r>
            <w:r>
              <w:rPr>
                <w:rFonts w:hint="eastAsia" w:asciiTheme="minorEastAsia" w:hAnsiTheme="minorEastAsia" w:eastAsiaTheme="minorEastAsia" w:cstheme="minorEastAsia"/>
                <w:color w:val="auto"/>
                <w:spacing w:val="13"/>
                <w:sz w:val="21"/>
                <w:szCs w:val="21"/>
                <w:highlight w:val="none"/>
              </w:rPr>
              <w:t>制度；4.人员培训方案等。</w:t>
            </w:r>
            <w:r>
              <w:rPr>
                <w:rFonts w:hint="eastAsia" w:asciiTheme="minorEastAsia" w:hAnsiTheme="minorEastAsia" w:eastAsiaTheme="minorEastAsia" w:cstheme="minorEastAsia"/>
                <w:color w:val="auto"/>
                <w:sz w:val="21"/>
                <w:szCs w:val="21"/>
                <w:highlight w:val="none"/>
              </w:rPr>
              <w:t>上述小项方案具有针对性和可行性，内容完整合理满足采购需求要求的每项得</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分，本项满分</w:t>
            </w:r>
            <w:r>
              <w:rPr>
                <w:rFonts w:hint="eastAsia" w:asciiTheme="minorEastAsia" w:hAnsiTheme="minorEastAsia" w:eastAsiaTheme="minorEastAsia" w:cstheme="minorEastAsia"/>
                <w:color w:val="auto"/>
                <w:sz w:val="21"/>
                <w:szCs w:val="21"/>
                <w:highlight w:val="none"/>
                <w:lang w:val="en-US" w:eastAsia="zh-CN"/>
              </w:rPr>
              <w:t>20</w:t>
            </w:r>
            <w:r>
              <w:rPr>
                <w:rFonts w:hint="eastAsia" w:asciiTheme="minorEastAsia" w:hAnsiTheme="minorEastAsia" w:eastAsiaTheme="minorEastAsia" w:cstheme="minorEastAsia"/>
                <w:color w:val="auto"/>
                <w:sz w:val="21"/>
                <w:szCs w:val="21"/>
                <w:highlight w:val="none"/>
              </w:rPr>
              <w:t>分，存在一般缺陷的小项方案得</w:t>
            </w: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分。 (一般缺陷是指方案内容前后不一致或前后逻辑错误或内容有缺失，不影响项目的实施)。未提供或存在重大缺陷的小项方案不得分(重大缺陷是指方案凭空编造或与采购项目和采购需求无关，无法指导项目实施)</w:t>
            </w:r>
          </w:p>
        </w:tc>
        <w:tc>
          <w:tcPr>
            <w:tcW w:w="940" w:type="dxa"/>
            <w:noWrap w:val="0"/>
            <w:vAlign w:val="center"/>
          </w:tcPr>
          <w:p w14:paraId="2BDC3CC1">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20</w:t>
            </w:r>
          </w:p>
        </w:tc>
      </w:tr>
      <w:tr w14:paraId="57497F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644" w:hRule="atLeast"/>
        </w:trPr>
        <w:tc>
          <w:tcPr>
            <w:tcW w:w="940" w:type="dxa"/>
            <w:vMerge w:val="continue"/>
            <w:noWrap w:val="0"/>
            <w:vAlign w:val="center"/>
          </w:tcPr>
          <w:p w14:paraId="1B0C7EB2">
            <w:pPr>
              <w:jc w:val="center"/>
              <w:rPr>
                <w:rFonts w:hint="eastAsia" w:ascii="宋体" w:hAnsi="宋体" w:eastAsia="宋体" w:cs="宋体"/>
                <w:color w:val="auto"/>
                <w:highlight w:val="none"/>
              </w:rPr>
            </w:pPr>
          </w:p>
        </w:tc>
        <w:tc>
          <w:tcPr>
            <w:tcW w:w="1164" w:type="dxa"/>
            <w:noWrap w:val="0"/>
            <w:vAlign w:val="center"/>
          </w:tcPr>
          <w:p w14:paraId="5D8EC48C">
            <w:pPr>
              <w:widowControl w:val="0"/>
              <w:kinsoku w:val="0"/>
              <w:autoSpaceDE w:val="0"/>
              <w:autoSpaceDN w:val="0"/>
              <w:adjustRightInd w:val="0"/>
              <w:snapToGrid w:val="0"/>
              <w:spacing w:before="65" w:line="228" w:lineRule="auto"/>
              <w:jc w:val="center"/>
              <w:rPr>
                <w:rFonts w:hint="eastAsia" w:ascii="宋体" w:hAnsi="宋体" w:eastAsia="宋体" w:cs="宋体"/>
                <w:color w:val="auto"/>
                <w:highlight w:val="none"/>
                <w:lang w:val="en-US" w:eastAsia="zh-CN"/>
              </w:rPr>
            </w:pPr>
            <w:r>
              <w:rPr>
                <w:rFonts w:hint="eastAsia" w:asciiTheme="minorEastAsia" w:hAnsiTheme="minorEastAsia" w:eastAsiaTheme="minorEastAsia" w:cstheme="minorEastAsia"/>
                <w:color w:val="auto"/>
                <w:spacing w:val="8"/>
                <w:sz w:val="21"/>
                <w:szCs w:val="21"/>
                <w:highlight w:val="none"/>
              </w:rPr>
              <w:t>卫生保洁服务方案</w:t>
            </w:r>
          </w:p>
        </w:tc>
        <w:tc>
          <w:tcPr>
            <w:tcW w:w="6156" w:type="dxa"/>
            <w:noWrap w:val="0"/>
            <w:vAlign w:val="center"/>
          </w:tcPr>
          <w:p w14:paraId="0A7537C2">
            <w:pPr>
              <w:keepNext w:val="0"/>
              <w:keepLines w:val="0"/>
              <w:pageBreakBefore w:val="0"/>
              <w:widowControl/>
              <w:kinsoku/>
              <w:wordWrap/>
              <w:overflowPunct/>
              <w:topLinePunct w:val="0"/>
              <w:autoSpaceDE/>
              <w:autoSpaceDN/>
              <w:bidi w:val="0"/>
              <w:adjustRightInd/>
              <w:snapToGrid/>
              <w:spacing w:line="360" w:lineRule="exact"/>
              <w:ind w:firstLine="448" w:firstLineChars="200"/>
              <w:jc w:val="left"/>
              <w:rPr>
                <w:rFonts w:hint="eastAsia" w:ascii="宋体" w:hAnsi="宋体" w:eastAsia="宋体" w:cs="宋体"/>
                <w:color w:val="auto"/>
                <w:highlight w:val="none"/>
                <w:lang w:val="en-US" w:eastAsia="zh-Hans"/>
              </w:rPr>
            </w:pPr>
            <w:r>
              <w:rPr>
                <w:rFonts w:hint="eastAsia" w:asciiTheme="minorEastAsia" w:hAnsiTheme="minorEastAsia" w:eastAsiaTheme="minorEastAsia" w:cstheme="minorEastAsia"/>
                <w:color w:val="auto"/>
                <w:spacing w:val="7"/>
                <w:sz w:val="21"/>
                <w:szCs w:val="21"/>
                <w:highlight w:val="none"/>
                <w:lang w:val="en-US" w:eastAsia="zh-CN"/>
              </w:rPr>
              <w:t>供应商</w:t>
            </w:r>
            <w:r>
              <w:rPr>
                <w:rFonts w:hint="eastAsia" w:asciiTheme="minorEastAsia" w:hAnsiTheme="minorEastAsia" w:eastAsiaTheme="minorEastAsia" w:cstheme="minorEastAsia"/>
                <w:color w:val="auto"/>
                <w:spacing w:val="7"/>
                <w:sz w:val="21"/>
                <w:szCs w:val="21"/>
                <w:highlight w:val="none"/>
              </w:rPr>
              <w:t>根据对本项目的</w:t>
            </w:r>
            <w:r>
              <w:rPr>
                <w:rFonts w:hint="eastAsia" w:asciiTheme="minorEastAsia" w:hAnsiTheme="minorEastAsia" w:eastAsiaTheme="minorEastAsia" w:cstheme="minorEastAsia"/>
                <w:color w:val="auto"/>
                <w:spacing w:val="8"/>
                <w:sz w:val="21"/>
                <w:szCs w:val="21"/>
                <w:highlight w:val="none"/>
              </w:rPr>
              <w:t>卫生保洁服务方案</w:t>
            </w:r>
            <w:r>
              <w:rPr>
                <w:rFonts w:hint="eastAsia" w:asciiTheme="minorEastAsia" w:hAnsiTheme="minorEastAsia" w:eastAsiaTheme="minorEastAsia" w:cstheme="minorEastAsia"/>
                <w:color w:val="auto"/>
                <w:spacing w:val="7"/>
                <w:sz w:val="21"/>
                <w:szCs w:val="21"/>
                <w:highlight w:val="none"/>
              </w:rPr>
              <w:t>包括但不限于</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8"/>
                <w:sz w:val="21"/>
                <w:szCs w:val="21"/>
                <w:highlight w:val="none"/>
              </w:rPr>
              <w:t>1.道路清扫保洁</w:t>
            </w:r>
            <w:r>
              <w:rPr>
                <w:rFonts w:hint="eastAsia" w:asciiTheme="minorEastAsia" w:hAnsiTheme="minorEastAsia" w:eastAsiaTheme="minorEastAsia" w:cstheme="minorEastAsia"/>
                <w:color w:val="auto"/>
                <w:spacing w:val="-2"/>
                <w:sz w:val="21"/>
                <w:szCs w:val="21"/>
                <w:highlight w:val="none"/>
              </w:rPr>
              <w:t>；</w:t>
            </w:r>
            <w:r>
              <w:rPr>
                <w:rFonts w:hint="eastAsia" w:asciiTheme="minorEastAsia" w:hAnsiTheme="minorEastAsia" w:eastAsiaTheme="minorEastAsia" w:cstheme="minorEastAsia"/>
                <w:color w:val="auto"/>
                <w:spacing w:val="8"/>
                <w:sz w:val="21"/>
                <w:szCs w:val="21"/>
                <w:highlight w:val="none"/>
              </w:rPr>
              <w:t>2.道路</w:t>
            </w:r>
            <w:r>
              <w:rPr>
                <w:rFonts w:hint="eastAsia" w:asciiTheme="minorEastAsia" w:hAnsiTheme="minorEastAsia" w:eastAsiaTheme="minorEastAsia" w:cstheme="minorEastAsia"/>
                <w:color w:val="auto"/>
                <w:spacing w:val="9"/>
                <w:sz w:val="21"/>
                <w:szCs w:val="21"/>
                <w:highlight w:val="none"/>
              </w:rPr>
              <w:t>洒水、降尘3.人工清洗、垃圾容器清洗</w:t>
            </w:r>
            <w:r>
              <w:rPr>
                <w:rFonts w:hint="eastAsia" w:asciiTheme="minorEastAsia" w:hAnsiTheme="minorEastAsia" w:eastAsiaTheme="minorEastAsia" w:cstheme="minorEastAsia"/>
                <w:color w:val="auto"/>
                <w:spacing w:val="4"/>
                <w:sz w:val="21"/>
                <w:szCs w:val="21"/>
                <w:highlight w:val="none"/>
              </w:rPr>
              <w:t>；4.</w:t>
            </w:r>
            <w:r>
              <w:rPr>
                <w:rFonts w:hint="eastAsia" w:asciiTheme="minorEastAsia" w:hAnsiTheme="minorEastAsia" w:eastAsiaTheme="minorEastAsia" w:cstheme="minorEastAsia"/>
                <w:color w:val="auto"/>
                <w:spacing w:val="9"/>
                <w:sz w:val="21"/>
                <w:szCs w:val="21"/>
                <w:highlight w:val="none"/>
              </w:rPr>
              <w:t>公厕管理</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pacing w:val="9"/>
                <w:sz w:val="21"/>
                <w:szCs w:val="21"/>
                <w:highlight w:val="none"/>
              </w:rPr>
              <w:t>5.宣传展牌保洁；6.垃圾清运。</w:t>
            </w:r>
            <w:r>
              <w:rPr>
                <w:rFonts w:hint="eastAsia" w:asciiTheme="minorEastAsia" w:hAnsiTheme="minorEastAsia" w:eastAsiaTheme="minorEastAsia" w:cstheme="minorEastAsia"/>
                <w:color w:val="auto"/>
                <w:sz w:val="21"/>
                <w:szCs w:val="21"/>
                <w:highlight w:val="none"/>
              </w:rPr>
              <w:t>上述小项方案具有针对性和可行性，内容完整合理满足采购需求要求的每项得</w:t>
            </w:r>
            <w:r>
              <w:rPr>
                <w:rFonts w:hint="eastAsia" w:asciiTheme="minorEastAsia" w:hAnsiTheme="minorEastAsia" w:eastAsiaTheme="minorEastAsia" w:cstheme="minorEastAsia"/>
                <w:color w:val="auto"/>
                <w:sz w:val="21"/>
                <w:szCs w:val="21"/>
                <w:highlight w:val="none"/>
                <w:lang w:val="en-US" w:eastAsia="zh-CN"/>
              </w:rPr>
              <w:t>2.5</w:t>
            </w:r>
            <w:r>
              <w:rPr>
                <w:rFonts w:hint="eastAsia" w:asciiTheme="minorEastAsia" w:hAnsiTheme="minorEastAsia" w:eastAsiaTheme="minorEastAsia" w:cstheme="minorEastAsia"/>
                <w:color w:val="auto"/>
                <w:sz w:val="21"/>
                <w:szCs w:val="21"/>
                <w:highlight w:val="none"/>
              </w:rPr>
              <w:t>分，本项满分</w:t>
            </w:r>
            <w:r>
              <w:rPr>
                <w:rFonts w:hint="eastAsia" w:asciiTheme="minorEastAsia" w:hAnsiTheme="minorEastAsia" w:eastAsiaTheme="minorEastAsia" w:cstheme="minorEastAsia"/>
                <w:color w:val="auto"/>
                <w:sz w:val="21"/>
                <w:szCs w:val="21"/>
                <w:highlight w:val="none"/>
                <w:lang w:val="en-US" w:eastAsia="zh-CN"/>
              </w:rPr>
              <w:t>15</w:t>
            </w:r>
            <w:r>
              <w:rPr>
                <w:rFonts w:hint="eastAsia" w:asciiTheme="minorEastAsia" w:hAnsiTheme="minorEastAsia" w:eastAsiaTheme="minorEastAsia" w:cstheme="minorEastAsia"/>
                <w:color w:val="auto"/>
                <w:sz w:val="21"/>
                <w:szCs w:val="21"/>
                <w:highlight w:val="none"/>
              </w:rPr>
              <w:t>分，存在一般缺陷的小项方案得</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分。 (一般缺陷是指方案内容前后不一致或前后逻辑错误或内容有缺失，不影响项目的实施)。未提供或存在重大缺陷的小项方案不得分(重大缺陷是指方案凭空编造或与采购项目和采购需求无关，无法指导项目实施)</w:t>
            </w:r>
          </w:p>
        </w:tc>
        <w:tc>
          <w:tcPr>
            <w:tcW w:w="940" w:type="dxa"/>
            <w:noWrap w:val="0"/>
            <w:vAlign w:val="center"/>
          </w:tcPr>
          <w:p w14:paraId="39DFE036">
            <w:pPr>
              <w:jc w:val="center"/>
              <w:rPr>
                <w:rFonts w:hint="default" w:ascii="宋体" w:hAnsi="宋体" w:eastAsia="宋体" w:cs="宋体"/>
                <w:color w:val="auto"/>
                <w:highlight w:val="none"/>
                <w:lang w:val="en-US" w:eastAsia="zh-Hans"/>
              </w:rPr>
            </w:pPr>
            <w:r>
              <w:rPr>
                <w:rFonts w:hint="eastAsia" w:ascii="宋体" w:hAnsi="宋体" w:eastAsia="宋体" w:cs="宋体"/>
                <w:color w:val="auto"/>
                <w:highlight w:val="none"/>
                <w:lang w:val="en-US" w:eastAsia="zh-CN"/>
              </w:rPr>
              <w:t>15</w:t>
            </w:r>
          </w:p>
        </w:tc>
      </w:tr>
      <w:tr w14:paraId="4114AE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48" w:hRule="atLeast"/>
        </w:trPr>
        <w:tc>
          <w:tcPr>
            <w:tcW w:w="940" w:type="dxa"/>
            <w:vMerge w:val="continue"/>
            <w:noWrap w:val="0"/>
            <w:vAlign w:val="center"/>
          </w:tcPr>
          <w:p w14:paraId="329C023D">
            <w:pPr>
              <w:jc w:val="center"/>
              <w:rPr>
                <w:rFonts w:hint="eastAsia" w:ascii="宋体" w:hAnsi="宋体" w:eastAsia="宋体" w:cs="宋体"/>
                <w:color w:val="auto"/>
                <w:highlight w:val="none"/>
              </w:rPr>
            </w:pPr>
          </w:p>
        </w:tc>
        <w:tc>
          <w:tcPr>
            <w:tcW w:w="1164" w:type="dxa"/>
            <w:noWrap w:val="0"/>
            <w:vAlign w:val="center"/>
          </w:tcPr>
          <w:p w14:paraId="43A6D5DB">
            <w:pPr>
              <w:widowControl w:val="0"/>
              <w:kinsoku w:val="0"/>
              <w:autoSpaceDE w:val="0"/>
              <w:autoSpaceDN w:val="0"/>
              <w:adjustRightInd w:val="0"/>
              <w:snapToGrid w:val="0"/>
              <w:spacing w:before="65" w:line="228" w:lineRule="auto"/>
              <w:jc w:val="center"/>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rPr>
              <w:t>园区秩序维护，安全管理及森林防火</w:t>
            </w:r>
          </w:p>
        </w:tc>
        <w:tc>
          <w:tcPr>
            <w:tcW w:w="6156" w:type="dxa"/>
            <w:noWrap w:val="0"/>
            <w:vAlign w:val="center"/>
          </w:tcPr>
          <w:p w14:paraId="472FEAF4">
            <w:pPr>
              <w:keepNext w:val="0"/>
              <w:keepLines w:val="0"/>
              <w:pageBreakBefore w:val="0"/>
              <w:widowControl/>
              <w:kinsoku/>
              <w:wordWrap/>
              <w:overflowPunct/>
              <w:topLinePunct w:val="0"/>
              <w:autoSpaceDE/>
              <w:autoSpaceDN/>
              <w:bidi w:val="0"/>
              <w:adjustRightInd/>
              <w:snapToGrid/>
              <w:spacing w:line="360" w:lineRule="exact"/>
              <w:ind w:firstLine="448" w:firstLineChars="200"/>
              <w:jc w:val="left"/>
              <w:rPr>
                <w:rFonts w:hint="eastAsia" w:asciiTheme="minorEastAsia" w:hAnsiTheme="minorEastAsia" w:eastAsiaTheme="minorEastAsia" w:cstheme="minorEastAsia"/>
                <w:color w:val="auto"/>
                <w:spacing w:val="9"/>
                <w:sz w:val="21"/>
                <w:szCs w:val="21"/>
                <w:highlight w:val="none"/>
              </w:rPr>
            </w:pPr>
            <w:r>
              <w:rPr>
                <w:rFonts w:hint="eastAsia" w:asciiTheme="minorEastAsia" w:hAnsiTheme="minorEastAsia" w:eastAsiaTheme="minorEastAsia" w:cstheme="minorEastAsia"/>
                <w:color w:val="auto"/>
                <w:spacing w:val="7"/>
                <w:sz w:val="21"/>
                <w:szCs w:val="21"/>
                <w:highlight w:val="none"/>
                <w:lang w:val="en-US" w:eastAsia="zh-CN"/>
              </w:rPr>
              <w:t>供应商</w:t>
            </w:r>
            <w:r>
              <w:rPr>
                <w:rFonts w:hint="eastAsia" w:asciiTheme="minorEastAsia" w:hAnsiTheme="minorEastAsia" w:eastAsiaTheme="minorEastAsia" w:cstheme="minorEastAsia"/>
                <w:color w:val="auto"/>
                <w:spacing w:val="7"/>
                <w:sz w:val="21"/>
                <w:szCs w:val="21"/>
                <w:highlight w:val="none"/>
              </w:rPr>
              <w:t>根据对本项目的</w:t>
            </w:r>
            <w:r>
              <w:rPr>
                <w:rFonts w:hint="eastAsia" w:asciiTheme="minorEastAsia" w:hAnsiTheme="minorEastAsia" w:eastAsiaTheme="minorEastAsia" w:cstheme="minorEastAsia"/>
                <w:color w:val="auto"/>
                <w:spacing w:val="8"/>
                <w:sz w:val="21"/>
                <w:szCs w:val="21"/>
                <w:highlight w:val="none"/>
              </w:rPr>
              <w:t>园区秩序维护，安全管理及森林防火</w:t>
            </w:r>
            <w:r>
              <w:rPr>
                <w:rFonts w:hint="eastAsia" w:asciiTheme="minorEastAsia" w:hAnsiTheme="minorEastAsia" w:eastAsiaTheme="minorEastAsia" w:cstheme="minorEastAsia"/>
                <w:color w:val="auto"/>
                <w:spacing w:val="8"/>
                <w:sz w:val="21"/>
                <w:szCs w:val="21"/>
                <w:highlight w:val="none"/>
                <w:lang w:val="en-US" w:eastAsia="zh-CN"/>
              </w:rPr>
              <w:t>方案</w:t>
            </w:r>
            <w:r>
              <w:rPr>
                <w:rFonts w:hint="eastAsia" w:asciiTheme="minorEastAsia" w:hAnsiTheme="minorEastAsia" w:eastAsiaTheme="minorEastAsia" w:cstheme="minorEastAsia"/>
                <w:color w:val="auto"/>
                <w:spacing w:val="7"/>
                <w:sz w:val="21"/>
                <w:szCs w:val="21"/>
                <w:highlight w:val="none"/>
              </w:rPr>
              <w:t>包括但不限于</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7"/>
                <w:sz w:val="21"/>
                <w:szCs w:val="21"/>
                <w:highlight w:val="none"/>
              </w:rPr>
              <w:t>1.园区游客管理；2.车辆管理；3.安全管理；4.水域管理；5.森林防火；6.防偷防盗等管理方案。</w:t>
            </w:r>
            <w:r>
              <w:rPr>
                <w:rFonts w:hint="eastAsia" w:asciiTheme="minorEastAsia" w:hAnsiTheme="minorEastAsia" w:eastAsiaTheme="minorEastAsia" w:cstheme="minorEastAsia"/>
                <w:color w:val="auto"/>
                <w:sz w:val="21"/>
                <w:szCs w:val="21"/>
                <w:highlight w:val="none"/>
              </w:rPr>
              <w:t>上述小项方案具有针对性和可行性，内容完整合理满足采购需求要求的每项得</w:t>
            </w:r>
            <w:r>
              <w:rPr>
                <w:rFonts w:hint="eastAsia" w:asciiTheme="minorEastAsia" w:hAnsiTheme="minorEastAsia" w:eastAsiaTheme="minorEastAsia" w:cstheme="minorEastAsia"/>
                <w:color w:val="auto"/>
                <w:sz w:val="21"/>
                <w:szCs w:val="21"/>
                <w:highlight w:val="none"/>
                <w:lang w:val="en-US" w:eastAsia="zh-CN"/>
              </w:rPr>
              <w:t>2.5</w:t>
            </w:r>
            <w:r>
              <w:rPr>
                <w:rFonts w:hint="eastAsia" w:asciiTheme="minorEastAsia" w:hAnsiTheme="minorEastAsia" w:eastAsiaTheme="minorEastAsia" w:cstheme="minorEastAsia"/>
                <w:color w:val="auto"/>
                <w:sz w:val="21"/>
                <w:szCs w:val="21"/>
                <w:highlight w:val="none"/>
              </w:rPr>
              <w:t>分，本项满分</w:t>
            </w:r>
            <w:r>
              <w:rPr>
                <w:rFonts w:hint="eastAsia" w:asciiTheme="minorEastAsia" w:hAnsiTheme="minorEastAsia" w:eastAsiaTheme="minorEastAsia" w:cstheme="minorEastAsia"/>
                <w:color w:val="auto"/>
                <w:sz w:val="21"/>
                <w:szCs w:val="21"/>
                <w:highlight w:val="none"/>
                <w:lang w:val="en-US" w:eastAsia="zh-CN"/>
              </w:rPr>
              <w:t>15</w:t>
            </w:r>
            <w:r>
              <w:rPr>
                <w:rFonts w:hint="eastAsia" w:asciiTheme="minorEastAsia" w:hAnsiTheme="minorEastAsia" w:eastAsiaTheme="minorEastAsia" w:cstheme="minorEastAsia"/>
                <w:color w:val="auto"/>
                <w:sz w:val="21"/>
                <w:szCs w:val="21"/>
                <w:highlight w:val="none"/>
              </w:rPr>
              <w:t>分，存在一般缺陷的小项方案得</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分。 (一般缺陷是指方案内容前后不一致或前后逻辑错误或内容有缺失，不影响项目的实施)。未提供或存在重大缺陷的小项方案不得分(重大缺陷是指方案凭空编造或与采购项目和采购需求无关，无法指导项目实施)</w:t>
            </w:r>
          </w:p>
        </w:tc>
        <w:tc>
          <w:tcPr>
            <w:tcW w:w="940" w:type="dxa"/>
            <w:noWrap w:val="0"/>
            <w:vAlign w:val="center"/>
          </w:tcPr>
          <w:p w14:paraId="1EF18530">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15</w:t>
            </w:r>
          </w:p>
        </w:tc>
      </w:tr>
      <w:tr w14:paraId="6736CF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644" w:hRule="atLeast"/>
        </w:trPr>
        <w:tc>
          <w:tcPr>
            <w:tcW w:w="940" w:type="dxa"/>
            <w:vMerge w:val="continue"/>
            <w:noWrap w:val="0"/>
            <w:vAlign w:val="center"/>
          </w:tcPr>
          <w:p w14:paraId="5A39A569">
            <w:pPr>
              <w:jc w:val="center"/>
              <w:rPr>
                <w:rFonts w:hint="eastAsia" w:ascii="宋体" w:hAnsi="宋体" w:eastAsia="宋体" w:cs="宋体"/>
                <w:color w:val="auto"/>
                <w:highlight w:val="none"/>
              </w:rPr>
            </w:pPr>
          </w:p>
        </w:tc>
        <w:tc>
          <w:tcPr>
            <w:tcW w:w="1164" w:type="dxa"/>
            <w:noWrap w:val="0"/>
            <w:vAlign w:val="center"/>
          </w:tcPr>
          <w:p w14:paraId="09CB3614">
            <w:pPr>
              <w:widowControl w:val="0"/>
              <w:kinsoku w:val="0"/>
              <w:autoSpaceDE w:val="0"/>
              <w:autoSpaceDN w:val="0"/>
              <w:adjustRightInd w:val="0"/>
              <w:snapToGrid w:val="0"/>
              <w:spacing w:before="65" w:line="228" w:lineRule="auto"/>
              <w:jc w:val="center"/>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lang w:eastAsia="en-US"/>
              </w:rPr>
              <w:t>应急预案</w:t>
            </w:r>
          </w:p>
        </w:tc>
        <w:tc>
          <w:tcPr>
            <w:tcW w:w="6156" w:type="dxa"/>
            <w:noWrap w:val="0"/>
            <w:vAlign w:val="center"/>
          </w:tcPr>
          <w:p w14:paraId="1E2A2E74">
            <w:pPr>
              <w:keepNext w:val="0"/>
              <w:keepLines w:val="0"/>
              <w:pageBreakBefore w:val="0"/>
              <w:widowControl/>
              <w:kinsoku/>
              <w:wordWrap/>
              <w:overflowPunct/>
              <w:topLinePunct w:val="0"/>
              <w:autoSpaceDE/>
              <w:autoSpaceDN/>
              <w:bidi w:val="0"/>
              <w:adjustRightInd/>
              <w:snapToGrid/>
              <w:spacing w:line="360" w:lineRule="exact"/>
              <w:ind w:firstLine="448" w:firstLineChars="200"/>
              <w:jc w:val="left"/>
              <w:rPr>
                <w:rFonts w:hint="eastAsia" w:asciiTheme="minorEastAsia" w:hAnsiTheme="minorEastAsia" w:eastAsiaTheme="minorEastAsia" w:cstheme="minorEastAsia"/>
                <w:color w:val="auto"/>
                <w:spacing w:val="7"/>
                <w:sz w:val="21"/>
                <w:szCs w:val="21"/>
                <w:highlight w:val="none"/>
              </w:rPr>
            </w:pPr>
            <w:r>
              <w:rPr>
                <w:rFonts w:hint="eastAsia" w:asciiTheme="minorEastAsia" w:hAnsiTheme="minorEastAsia" w:eastAsiaTheme="minorEastAsia" w:cstheme="minorEastAsia"/>
                <w:color w:val="auto"/>
                <w:spacing w:val="7"/>
                <w:sz w:val="21"/>
                <w:szCs w:val="21"/>
                <w:highlight w:val="none"/>
                <w:lang w:val="en-US" w:eastAsia="zh-CN"/>
              </w:rPr>
              <w:t>供应商</w:t>
            </w:r>
            <w:r>
              <w:rPr>
                <w:rFonts w:hint="eastAsia" w:asciiTheme="minorEastAsia" w:hAnsiTheme="minorEastAsia" w:eastAsiaTheme="minorEastAsia" w:cstheme="minorEastAsia"/>
                <w:color w:val="auto"/>
                <w:spacing w:val="7"/>
                <w:sz w:val="21"/>
                <w:szCs w:val="21"/>
                <w:highlight w:val="none"/>
              </w:rPr>
              <w:t>根据对本项目的</w:t>
            </w:r>
            <w:r>
              <w:rPr>
                <w:rFonts w:hint="eastAsia" w:asciiTheme="minorEastAsia" w:hAnsiTheme="minorEastAsia" w:eastAsiaTheme="minorEastAsia" w:cstheme="minorEastAsia"/>
                <w:color w:val="auto"/>
                <w:spacing w:val="8"/>
                <w:sz w:val="21"/>
                <w:szCs w:val="21"/>
                <w:highlight w:val="none"/>
                <w:lang w:eastAsia="en-US"/>
              </w:rPr>
              <w:t>应急预案</w:t>
            </w:r>
            <w:r>
              <w:rPr>
                <w:rFonts w:hint="eastAsia" w:asciiTheme="minorEastAsia" w:hAnsiTheme="minorEastAsia" w:eastAsiaTheme="minorEastAsia" w:cstheme="minorEastAsia"/>
                <w:color w:val="auto"/>
                <w:spacing w:val="7"/>
                <w:sz w:val="21"/>
                <w:szCs w:val="21"/>
                <w:highlight w:val="none"/>
              </w:rPr>
              <w:t>包括但不限于</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z w:val="21"/>
                <w:szCs w:val="21"/>
                <w:highlight w:val="none"/>
              </w:rPr>
              <w:t>1.发生安全事故；2.发生森林火情或火灾；3.省、市迎检、节假日、重大活动等；4.雨雪冰冻天气、防汛、防旱；5.突发事件等。上述小项方案具有针对性和可行性，内容完整合理满足采购需求要求的每项得</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分，本项满分</w:t>
            </w:r>
            <w:r>
              <w:rPr>
                <w:rFonts w:hint="eastAsia" w:asciiTheme="minorEastAsia" w:hAnsiTheme="minorEastAsia" w:eastAsiaTheme="minorEastAsia" w:cstheme="minorEastAsia"/>
                <w:color w:val="auto"/>
                <w:sz w:val="21"/>
                <w:szCs w:val="21"/>
                <w:highlight w:val="none"/>
                <w:lang w:val="en-US" w:eastAsia="zh-CN"/>
              </w:rPr>
              <w:t>15</w:t>
            </w:r>
            <w:r>
              <w:rPr>
                <w:rFonts w:hint="eastAsia" w:asciiTheme="minorEastAsia" w:hAnsiTheme="minorEastAsia" w:eastAsiaTheme="minorEastAsia" w:cstheme="minorEastAsia"/>
                <w:color w:val="auto"/>
                <w:sz w:val="21"/>
                <w:szCs w:val="21"/>
                <w:highlight w:val="none"/>
              </w:rPr>
              <w:t>分，存在一般缺陷的小项方案得</w:t>
            </w:r>
            <w:r>
              <w:rPr>
                <w:rFonts w:hint="eastAsia" w:asciiTheme="minorEastAsia" w:hAnsiTheme="minorEastAsia" w:eastAsiaTheme="minorEastAsia" w:cstheme="minorEastAsia"/>
                <w:color w:val="auto"/>
                <w:sz w:val="21"/>
                <w:szCs w:val="21"/>
                <w:highlight w:val="none"/>
                <w:lang w:val="en-US" w:eastAsia="zh-CN"/>
              </w:rPr>
              <w:t>1.5</w:t>
            </w:r>
            <w:r>
              <w:rPr>
                <w:rFonts w:hint="eastAsia" w:asciiTheme="minorEastAsia" w:hAnsiTheme="minorEastAsia" w:eastAsiaTheme="minorEastAsia" w:cstheme="minorEastAsia"/>
                <w:color w:val="auto"/>
                <w:sz w:val="21"/>
                <w:szCs w:val="21"/>
                <w:highlight w:val="none"/>
              </w:rPr>
              <w:t>分。 (一般缺陷是指方案内容前后不一致或前后逻辑错误或内容有缺失，不影响项目的实施)。未提供或存在重大缺陷的小项方案不得分(重大缺陷是指方案凭空编造或与采购项目和采购需求无关，无法指导项目实施)</w:t>
            </w:r>
          </w:p>
        </w:tc>
        <w:tc>
          <w:tcPr>
            <w:tcW w:w="940" w:type="dxa"/>
            <w:noWrap w:val="0"/>
            <w:vAlign w:val="center"/>
          </w:tcPr>
          <w:p w14:paraId="29ACD5FA">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15</w:t>
            </w:r>
          </w:p>
        </w:tc>
      </w:tr>
      <w:tr w14:paraId="35CD49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644" w:hRule="atLeast"/>
        </w:trPr>
        <w:tc>
          <w:tcPr>
            <w:tcW w:w="940" w:type="dxa"/>
            <w:vMerge w:val="continue"/>
            <w:noWrap w:val="0"/>
            <w:vAlign w:val="center"/>
          </w:tcPr>
          <w:p w14:paraId="0A417F40">
            <w:pPr>
              <w:jc w:val="center"/>
              <w:rPr>
                <w:rFonts w:hint="eastAsia" w:ascii="宋体" w:hAnsi="宋体" w:eastAsia="宋体" w:cs="宋体"/>
                <w:color w:val="auto"/>
                <w:highlight w:val="none"/>
              </w:rPr>
            </w:pPr>
          </w:p>
        </w:tc>
        <w:tc>
          <w:tcPr>
            <w:tcW w:w="1164" w:type="dxa"/>
            <w:noWrap w:val="0"/>
            <w:vAlign w:val="center"/>
          </w:tcPr>
          <w:p w14:paraId="791C28A8">
            <w:pPr>
              <w:widowControl w:val="0"/>
              <w:kinsoku w:val="0"/>
              <w:autoSpaceDE w:val="0"/>
              <w:autoSpaceDN w:val="0"/>
              <w:adjustRightInd w:val="0"/>
              <w:snapToGrid w:val="0"/>
              <w:spacing w:before="65" w:line="228" w:lineRule="auto"/>
              <w:jc w:val="center"/>
              <w:rPr>
                <w:rFonts w:hint="eastAsia" w:asciiTheme="minorEastAsia" w:hAnsiTheme="minorEastAsia" w:eastAsiaTheme="minorEastAsia" w:cstheme="minorEastAsia"/>
                <w:color w:val="auto"/>
                <w:spacing w:val="8"/>
                <w:sz w:val="21"/>
                <w:szCs w:val="21"/>
                <w:highlight w:val="none"/>
                <w:lang w:eastAsia="en-US"/>
              </w:rPr>
            </w:pPr>
            <w:r>
              <w:rPr>
                <w:rFonts w:hint="eastAsia" w:asciiTheme="minorEastAsia" w:hAnsiTheme="minorEastAsia" w:eastAsiaTheme="minorEastAsia" w:cstheme="minorEastAsia"/>
                <w:color w:val="auto"/>
                <w:spacing w:val="8"/>
                <w:sz w:val="21"/>
                <w:szCs w:val="21"/>
                <w:highlight w:val="none"/>
              </w:rPr>
              <w:t>绿地管护及专类园（含花圃）管护方案</w:t>
            </w:r>
          </w:p>
        </w:tc>
        <w:tc>
          <w:tcPr>
            <w:tcW w:w="6156" w:type="dxa"/>
            <w:noWrap w:val="0"/>
            <w:vAlign w:val="center"/>
          </w:tcPr>
          <w:p w14:paraId="3AD8A432">
            <w:pPr>
              <w:keepNext w:val="0"/>
              <w:keepLines w:val="0"/>
              <w:pageBreakBefore w:val="0"/>
              <w:widowControl/>
              <w:kinsoku/>
              <w:wordWrap/>
              <w:overflowPunct/>
              <w:topLinePunct w:val="0"/>
              <w:autoSpaceDE/>
              <w:autoSpaceDN/>
              <w:bidi w:val="0"/>
              <w:adjustRightInd/>
              <w:snapToGrid/>
              <w:spacing w:line="360" w:lineRule="exact"/>
              <w:ind w:firstLine="448" w:firstLineChars="200"/>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7"/>
                <w:sz w:val="21"/>
                <w:szCs w:val="21"/>
                <w:highlight w:val="none"/>
                <w:lang w:val="en-US" w:eastAsia="zh-CN"/>
              </w:rPr>
              <w:t>供应商</w:t>
            </w:r>
            <w:r>
              <w:rPr>
                <w:rFonts w:hint="eastAsia" w:asciiTheme="minorEastAsia" w:hAnsiTheme="minorEastAsia" w:eastAsiaTheme="minorEastAsia" w:cstheme="minorEastAsia"/>
                <w:color w:val="auto"/>
                <w:spacing w:val="7"/>
                <w:sz w:val="21"/>
                <w:szCs w:val="21"/>
                <w:highlight w:val="none"/>
              </w:rPr>
              <w:t>根据对本项目的</w:t>
            </w:r>
            <w:r>
              <w:rPr>
                <w:rFonts w:hint="eastAsia" w:asciiTheme="minorEastAsia" w:hAnsiTheme="minorEastAsia" w:eastAsiaTheme="minorEastAsia" w:cstheme="minorEastAsia"/>
                <w:color w:val="auto"/>
                <w:spacing w:val="8"/>
                <w:sz w:val="21"/>
                <w:szCs w:val="21"/>
                <w:highlight w:val="none"/>
              </w:rPr>
              <w:t>绿地管护及专类园（含花圃）管护方案</w:t>
            </w:r>
            <w:r>
              <w:rPr>
                <w:rFonts w:hint="eastAsia" w:asciiTheme="minorEastAsia" w:hAnsiTheme="minorEastAsia" w:eastAsiaTheme="minorEastAsia" w:cstheme="minorEastAsia"/>
                <w:color w:val="auto"/>
                <w:spacing w:val="7"/>
                <w:sz w:val="21"/>
                <w:szCs w:val="21"/>
                <w:highlight w:val="none"/>
              </w:rPr>
              <w:t>包括但不限于</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8"/>
                <w:sz w:val="21"/>
                <w:szCs w:val="21"/>
                <w:highlight w:val="none"/>
              </w:rPr>
              <w:t>1.植物园绿地管护人员安排；2.花卉栽培及地栽花卉管理；3.专类园、植物收集园管理；4.园区其他绿地及水体的管理；5.园林机械的使用和维护等。</w:t>
            </w:r>
            <w:r>
              <w:rPr>
                <w:rFonts w:hint="eastAsia" w:asciiTheme="minorEastAsia" w:hAnsiTheme="minorEastAsia" w:eastAsiaTheme="minorEastAsia" w:cstheme="minorEastAsia"/>
                <w:color w:val="auto"/>
                <w:sz w:val="21"/>
                <w:szCs w:val="21"/>
                <w:highlight w:val="none"/>
              </w:rPr>
              <w:t>上述小项方案具有针对性和可行性，内容完整合理满足采购需求要求的每项得</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分，本项满分</w:t>
            </w:r>
            <w:r>
              <w:rPr>
                <w:rFonts w:hint="eastAsia" w:asciiTheme="minorEastAsia" w:hAnsiTheme="minorEastAsia" w:eastAsiaTheme="minorEastAsia" w:cstheme="minorEastAsia"/>
                <w:color w:val="auto"/>
                <w:sz w:val="21"/>
                <w:szCs w:val="21"/>
                <w:highlight w:val="none"/>
                <w:lang w:val="en-US" w:eastAsia="zh-CN"/>
              </w:rPr>
              <w:t>15</w:t>
            </w:r>
            <w:r>
              <w:rPr>
                <w:rFonts w:hint="eastAsia" w:asciiTheme="minorEastAsia" w:hAnsiTheme="minorEastAsia" w:eastAsiaTheme="minorEastAsia" w:cstheme="minorEastAsia"/>
                <w:color w:val="auto"/>
                <w:sz w:val="21"/>
                <w:szCs w:val="21"/>
                <w:highlight w:val="none"/>
              </w:rPr>
              <w:t>分，存在一般缺陷的小项方案得</w:t>
            </w:r>
            <w:r>
              <w:rPr>
                <w:rFonts w:hint="eastAsia" w:asciiTheme="minorEastAsia" w:hAnsiTheme="minorEastAsia" w:eastAsiaTheme="minorEastAsia" w:cstheme="minorEastAsia"/>
                <w:color w:val="auto"/>
                <w:sz w:val="21"/>
                <w:szCs w:val="21"/>
                <w:highlight w:val="none"/>
                <w:lang w:val="en-US" w:eastAsia="zh-CN"/>
              </w:rPr>
              <w:t>1.5</w:t>
            </w:r>
            <w:r>
              <w:rPr>
                <w:rFonts w:hint="eastAsia" w:asciiTheme="minorEastAsia" w:hAnsiTheme="minorEastAsia" w:eastAsiaTheme="minorEastAsia" w:cstheme="minorEastAsia"/>
                <w:color w:val="auto"/>
                <w:sz w:val="21"/>
                <w:szCs w:val="21"/>
                <w:highlight w:val="none"/>
              </w:rPr>
              <w:t>分。 (一般缺陷是指方案内容前后不一致或前后逻辑错误或内容有缺失，不影响项目的实施)。未提供或存在重大缺陷的小项方案不得分(重大缺陷是指方案凭空编造或与采购项目和采购需求无关，无法指导项目实施)</w:t>
            </w:r>
          </w:p>
        </w:tc>
        <w:tc>
          <w:tcPr>
            <w:tcW w:w="940" w:type="dxa"/>
            <w:noWrap w:val="0"/>
            <w:vAlign w:val="center"/>
          </w:tcPr>
          <w:p w14:paraId="40100F9F">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15</w:t>
            </w:r>
          </w:p>
        </w:tc>
      </w:tr>
      <w:tr w14:paraId="3ED390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0" w:type="dxa"/>
            <w:vMerge w:val="restart"/>
            <w:noWrap w:val="0"/>
            <w:vAlign w:val="center"/>
          </w:tcPr>
          <w:p w14:paraId="79940E01">
            <w:pPr>
              <w:jc w:val="center"/>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商务评审</w:t>
            </w:r>
          </w:p>
        </w:tc>
        <w:tc>
          <w:tcPr>
            <w:tcW w:w="1164" w:type="dxa"/>
            <w:noWrap w:val="0"/>
            <w:vAlign w:val="center"/>
          </w:tcPr>
          <w:p w14:paraId="732B1B0E">
            <w:pPr>
              <w:widowControl w:val="0"/>
              <w:kinsoku w:val="0"/>
              <w:autoSpaceDE w:val="0"/>
              <w:autoSpaceDN w:val="0"/>
              <w:adjustRightInd w:val="0"/>
              <w:snapToGrid w:val="0"/>
              <w:spacing w:before="255" w:line="228" w:lineRule="auto"/>
              <w:jc w:val="center"/>
              <w:rPr>
                <w:rFonts w:hint="eastAsia" w:ascii="宋体" w:hAnsi="宋体" w:eastAsia="宋体" w:cs="宋体"/>
                <w:color w:val="auto"/>
                <w:highlight w:val="none"/>
                <w:lang w:val="en-US" w:eastAsia="zh-Hans"/>
              </w:rPr>
            </w:pPr>
            <w:r>
              <w:rPr>
                <w:rFonts w:hint="eastAsia" w:asciiTheme="minorEastAsia" w:hAnsiTheme="minorEastAsia" w:eastAsiaTheme="minorEastAsia" w:cstheme="minorEastAsia"/>
                <w:color w:val="auto"/>
                <w:spacing w:val="7"/>
                <w:sz w:val="21"/>
                <w:szCs w:val="21"/>
                <w:highlight w:val="none"/>
                <w:lang w:eastAsia="en-US"/>
              </w:rPr>
              <w:t>类似业绩</w:t>
            </w:r>
          </w:p>
        </w:tc>
        <w:tc>
          <w:tcPr>
            <w:tcW w:w="6156" w:type="dxa"/>
            <w:noWrap w:val="0"/>
            <w:vAlign w:val="center"/>
          </w:tcPr>
          <w:p w14:paraId="10F169DE">
            <w:pPr>
              <w:keepNext w:val="0"/>
              <w:keepLines w:val="0"/>
              <w:pageBreakBefore w:val="0"/>
              <w:widowControl/>
              <w:kinsoku/>
              <w:wordWrap/>
              <w:overflowPunct/>
              <w:topLinePunct w:val="0"/>
              <w:autoSpaceDE/>
              <w:autoSpaceDN/>
              <w:bidi w:val="0"/>
              <w:adjustRightInd/>
              <w:snapToGrid/>
              <w:spacing w:line="360" w:lineRule="exact"/>
              <w:ind w:firstLine="452" w:firstLineChars="200"/>
              <w:jc w:val="left"/>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lang w:val="en-US" w:eastAsia="zh-CN"/>
              </w:rPr>
              <w:t>1.</w:t>
            </w:r>
            <w:r>
              <w:rPr>
                <w:rFonts w:hint="eastAsia" w:asciiTheme="minorEastAsia" w:hAnsiTheme="minorEastAsia" w:eastAsiaTheme="minorEastAsia" w:cstheme="minorEastAsia"/>
                <w:color w:val="auto"/>
                <w:spacing w:val="8"/>
                <w:sz w:val="21"/>
                <w:szCs w:val="21"/>
                <w:highlight w:val="none"/>
              </w:rPr>
              <w:t>类似服务业绩：投标人具有类似服务业绩（合同服务范围包含保洁、安保、绿化养护、设施设备维护任一或多项服务内容），每提供1份有效业绩计10分，本项累计最高50分。</w:t>
            </w:r>
          </w:p>
          <w:p w14:paraId="147C5CE7">
            <w:pPr>
              <w:keepNext w:val="0"/>
              <w:keepLines w:val="0"/>
              <w:pageBreakBefore w:val="0"/>
              <w:widowControl/>
              <w:kinsoku/>
              <w:wordWrap/>
              <w:overflowPunct/>
              <w:topLinePunct w:val="0"/>
              <w:autoSpaceDE/>
              <w:autoSpaceDN/>
              <w:bidi w:val="0"/>
              <w:adjustRightInd/>
              <w:snapToGrid/>
              <w:spacing w:line="360" w:lineRule="exact"/>
              <w:ind w:firstLine="452" w:firstLineChars="200"/>
              <w:jc w:val="left"/>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lang w:val="en-US" w:eastAsia="zh-CN"/>
              </w:rPr>
              <w:t>2.</w:t>
            </w:r>
            <w:r>
              <w:rPr>
                <w:rFonts w:hint="eastAsia" w:asciiTheme="minorEastAsia" w:hAnsiTheme="minorEastAsia" w:eastAsiaTheme="minorEastAsia" w:cstheme="minorEastAsia"/>
                <w:color w:val="auto"/>
                <w:spacing w:val="8"/>
                <w:sz w:val="21"/>
                <w:szCs w:val="21"/>
                <w:highlight w:val="none"/>
              </w:rPr>
              <w:t>业绩时间认定：合同签订日期为投标截止时间前近三年内。</w:t>
            </w:r>
          </w:p>
          <w:p w14:paraId="1F91C5EE">
            <w:pPr>
              <w:keepNext w:val="0"/>
              <w:keepLines w:val="0"/>
              <w:pageBreakBefore w:val="0"/>
              <w:widowControl/>
              <w:kinsoku/>
              <w:wordWrap/>
              <w:overflowPunct/>
              <w:topLinePunct w:val="0"/>
              <w:autoSpaceDE/>
              <w:autoSpaceDN/>
              <w:bidi w:val="0"/>
              <w:adjustRightInd/>
              <w:snapToGrid/>
              <w:spacing w:line="360" w:lineRule="exact"/>
              <w:ind w:firstLine="454" w:firstLineChars="200"/>
              <w:jc w:val="left"/>
              <w:rPr>
                <w:rFonts w:hint="eastAsia" w:ascii="宋体" w:hAnsi="宋体" w:eastAsia="宋体" w:cs="宋体"/>
                <w:color w:val="auto"/>
                <w:sz w:val="24"/>
                <w:szCs w:val="24"/>
                <w:highlight w:val="none"/>
                <w:lang w:val="en-US" w:eastAsia="zh-CN"/>
              </w:rPr>
            </w:pPr>
            <w:r>
              <w:rPr>
                <w:rFonts w:hint="eastAsia" w:asciiTheme="minorEastAsia" w:hAnsiTheme="minorEastAsia" w:eastAsiaTheme="minorEastAsia" w:cstheme="minorEastAsia"/>
                <w:b/>
                <w:bCs/>
                <w:color w:val="auto"/>
                <w:spacing w:val="8"/>
                <w:sz w:val="21"/>
                <w:szCs w:val="21"/>
                <w:highlight w:val="none"/>
              </w:rPr>
              <w:t>注：有效业绩需提供对应项目的中标通知书或合同扫描件，并加盖投标人公章；同一项目无论包含多项服务内容仅按1份业绩计分；资料不全、不满足时间、服务内容要求的，该份业绩不予计分。</w:t>
            </w:r>
          </w:p>
        </w:tc>
        <w:tc>
          <w:tcPr>
            <w:tcW w:w="940" w:type="dxa"/>
            <w:noWrap w:val="0"/>
            <w:vAlign w:val="center"/>
          </w:tcPr>
          <w:p w14:paraId="14634B03">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50</w:t>
            </w:r>
          </w:p>
        </w:tc>
      </w:tr>
      <w:tr w14:paraId="713327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5" w:hRule="atLeast"/>
        </w:trPr>
        <w:tc>
          <w:tcPr>
            <w:tcW w:w="940" w:type="dxa"/>
            <w:vMerge w:val="continue"/>
            <w:noWrap w:val="0"/>
            <w:vAlign w:val="center"/>
          </w:tcPr>
          <w:p w14:paraId="33D50A3D">
            <w:pPr>
              <w:jc w:val="center"/>
              <w:rPr>
                <w:rFonts w:hint="eastAsia" w:ascii="宋体" w:hAnsi="宋体" w:eastAsia="宋体" w:cs="宋体"/>
                <w:color w:val="auto"/>
                <w:highlight w:val="none"/>
              </w:rPr>
            </w:pPr>
          </w:p>
        </w:tc>
        <w:tc>
          <w:tcPr>
            <w:tcW w:w="1164" w:type="dxa"/>
            <w:noWrap w:val="0"/>
            <w:vAlign w:val="center"/>
          </w:tcPr>
          <w:p w14:paraId="4F8A9E0F">
            <w:pPr>
              <w:widowControl w:val="0"/>
              <w:kinsoku w:val="0"/>
              <w:autoSpaceDE w:val="0"/>
              <w:autoSpaceDN w:val="0"/>
              <w:adjustRightInd w:val="0"/>
              <w:snapToGrid w:val="0"/>
              <w:spacing w:before="65" w:line="356" w:lineRule="auto"/>
              <w:ind w:right="23" w:rightChars="0"/>
              <w:jc w:val="center"/>
              <w:rPr>
                <w:rFonts w:hint="eastAsia" w:ascii="宋体" w:hAnsi="宋体" w:eastAsia="宋体" w:cs="宋体"/>
                <w:color w:val="auto"/>
                <w:highlight w:val="none"/>
                <w:lang w:val="en-US" w:eastAsia="zh-Hans"/>
              </w:rPr>
            </w:pPr>
            <w:r>
              <w:rPr>
                <w:rFonts w:hint="eastAsia" w:asciiTheme="minorEastAsia" w:hAnsiTheme="minorEastAsia" w:eastAsiaTheme="minorEastAsia" w:cstheme="minorEastAsia"/>
                <w:color w:val="auto"/>
                <w:spacing w:val="8"/>
                <w:sz w:val="21"/>
                <w:szCs w:val="21"/>
                <w:highlight w:val="none"/>
              </w:rPr>
              <w:t>拟任项目组人员</w:t>
            </w:r>
            <w:r>
              <w:rPr>
                <w:rFonts w:hint="eastAsia" w:asciiTheme="minorEastAsia" w:hAnsiTheme="minorEastAsia" w:eastAsiaTheme="minorEastAsia" w:cstheme="minorEastAsia"/>
                <w:color w:val="auto"/>
                <w:spacing w:val="1"/>
                <w:sz w:val="21"/>
                <w:szCs w:val="21"/>
                <w:highlight w:val="none"/>
              </w:rPr>
              <w:t>经验情况</w:t>
            </w:r>
          </w:p>
        </w:tc>
        <w:tc>
          <w:tcPr>
            <w:tcW w:w="6156" w:type="dxa"/>
            <w:noWrap w:val="0"/>
            <w:vAlign w:val="center"/>
          </w:tcPr>
          <w:p w14:paraId="40FF0B78">
            <w:pPr>
              <w:keepNext w:val="0"/>
              <w:keepLines w:val="0"/>
              <w:pageBreakBefore w:val="0"/>
              <w:widowControl/>
              <w:kinsoku/>
              <w:wordWrap/>
              <w:overflowPunct/>
              <w:topLinePunct w:val="0"/>
              <w:autoSpaceDE/>
              <w:autoSpaceDN/>
              <w:bidi w:val="0"/>
              <w:adjustRightInd/>
              <w:snapToGrid/>
              <w:spacing w:line="360" w:lineRule="exact"/>
              <w:jc w:val="left"/>
              <w:rPr>
                <w:rFonts w:hint="eastAsia" w:asciiTheme="minorEastAsia" w:hAnsiTheme="minorEastAsia" w:eastAsiaTheme="minorEastAsia" w:cstheme="minorEastAsia"/>
                <w:color w:val="auto"/>
                <w:spacing w:val="8"/>
                <w:sz w:val="21"/>
                <w:szCs w:val="21"/>
                <w:highlight w:val="none"/>
                <w:lang w:val="en-US" w:eastAsia="zh-CN"/>
              </w:rPr>
            </w:pPr>
            <w:r>
              <w:rPr>
                <w:rFonts w:hint="eastAsia" w:asciiTheme="minorEastAsia" w:hAnsiTheme="minorEastAsia" w:eastAsiaTheme="minorEastAsia" w:cstheme="minorEastAsia"/>
                <w:color w:val="auto"/>
                <w:spacing w:val="8"/>
                <w:sz w:val="21"/>
                <w:szCs w:val="21"/>
                <w:highlight w:val="none"/>
                <w:lang w:val="en-US" w:eastAsia="zh-CN"/>
              </w:rPr>
              <w:t>1、项目主管：提供人社部门或人社部门授权开展职称评审的社会化评审机构或授权企事业单位颁发的环境管理类或林业类或风景园林（园林绿化）类或安全工程类专业职称证书，取得中级职称得10分，取得高级职称得20分。</w:t>
            </w:r>
          </w:p>
          <w:p w14:paraId="7000970E">
            <w:pPr>
              <w:keepNext w:val="0"/>
              <w:keepLines w:val="0"/>
              <w:pageBreakBefore w:val="0"/>
              <w:widowControl/>
              <w:kinsoku/>
              <w:wordWrap/>
              <w:overflowPunct/>
              <w:topLinePunct w:val="0"/>
              <w:autoSpaceDE/>
              <w:autoSpaceDN/>
              <w:bidi w:val="0"/>
              <w:adjustRightInd/>
              <w:snapToGrid/>
              <w:spacing w:line="360" w:lineRule="exact"/>
              <w:jc w:val="left"/>
              <w:rPr>
                <w:rFonts w:hint="eastAsia" w:asciiTheme="minorEastAsia" w:hAnsiTheme="minorEastAsia" w:eastAsiaTheme="minorEastAsia" w:cstheme="minorEastAsia"/>
                <w:color w:val="auto"/>
                <w:spacing w:val="8"/>
                <w:sz w:val="21"/>
                <w:szCs w:val="21"/>
                <w:highlight w:val="none"/>
              </w:rPr>
            </w:pPr>
            <w:r>
              <w:rPr>
                <w:rFonts w:hint="eastAsia" w:asciiTheme="minorEastAsia" w:hAnsiTheme="minorEastAsia" w:eastAsiaTheme="minorEastAsia" w:cstheme="minorEastAsia"/>
                <w:color w:val="auto"/>
                <w:spacing w:val="8"/>
                <w:sz w:val="21"/>
                <w:szCs w:val="21"/>
                <w:highlight w:val="none"/>
                <w:lang w:val="en-US" w:eastAsia="zh-CN"/>
              </w:rPr>
              <w:t>2、其他项目组成员（不含项目主管）：项目组成员持有人社部门或人社部门授权开展职称评审的社会化评审机构或授权企事业单位颁发的环境管理类或林业类或风景园林（园林绿化）类或安全工程类专业职称证书，每提供1名符合条件人员得10分，本项最高得30分，同一人员不重复计分。</w:t>
            </w:r>
          </w:p>
          <w:p w14:paraId="158990C6">
            <w:pPr>
              <w:keepNext w:val="0"/>
              <w:keepLines w:val="0"/>
              <w:pageBreakBefore w:val="0"/>
              <w:widowControl/>
              <w:kinsoku/>
              <w:wordWrap/>
              <w:overflowPunct/>
              <w:topLinePunct w:val="0"/>
              <w:autoSpaceDE/>
              <w:autoSpaceDN/>
              <w:bidi w:val="0"/>
              <w:adjustRightInd/>
              <w:snapToGrid/>
              <w:spacing w:line="360" w:lineRule="exact"/>
              <w:ind w:firstLine="454" w:firstLineChars="200"/>
              <w:jc w:val="left"/>
              <w:rPr>
                <w:rFonts w:hint="eastAsia" w:asciiTheme="minorEastAsia" w:hAnsiTheme="minorEastAsia" w:eastAsiaTheme="minorEastAsia" w:cstheme="minorEastAsia"/>
                <w:color w:val="auto"/>
                <w:kern w:val="0"/>
                <w:sz w:val="21"/>
                <w:szCs w:val="21"/>
                <w:highlight w:val="none"/>
                <w:lang w:val="en-US" w:eastAsia="zh-Hans"/>
              </w:rPr>
            </w:pPr>
            <w:r>
              <w:rPr>
                <w:rFonts w:hint="eastAsia" w:asciiTheme="minorEastAsia" w:hAnsiTheme="minorEastAsia" w:eastAsiaTheme="minorEastAsia" w:cstheme="minorEastAsia"/>
                <w:b/>
                <w:bCs/>
                <w:color w:val="auto"/>
                <w:spacing w:val="8"/>
                <w:sz w:val="21"/>
                <w:szCs w:val="21"/>
                <w:highlight w:val="none"/>
                <w:lang w:val="en-US" w:eastAsia="zh-CN"/>
              </w:rPr>
              <w:t>注：①须提供对应人员职称证书扫描件，以及投标截止时间前六个月内任意一个月的社保证明；社保缴纳单位须为响应本项目的投标人单位；若人员属于退休返聘人员，可提供退休证明和投标人正式劳务聘用协议替代社保证明，资料真实有效即可予以计分；②职称证书为人社部门授权社会化评审机构或授权企事业单位评审核发的，应当为国家认可、可查询的合法有效职称证书；未按要求完整提供材料的，对应人员不计分。</w:t>
            </w:r>
          </w:p>
        </w:tc>
        <w:tc>
          <w:tcPr>
            <w:tcW w:w="940" w:type="dxa"/>
            <w:noWrap w:val="0"/>
            <w:vAlign w:val="center"/>
          </w:tcPr>
          <w:p w14:paraId="0615C62D">
            <w:pPr>
              <w:jc w:val="center"/>
              <w:rPr>
                <w:rFonts w:hint="default" w:ascii="宋体" w:hAnsi="宋体" w:eastAsia="宋体" w:cs="宋体"/>
                <w:color w:val="auto"/>
                <w:highlight w:val="none"/>
                <w:lang w:val="en-US" w:eastAsia="zh-Hans"/>
              </w:rPr>
            </w:pPr>
            <w:r>
              <w:rPr>
                <w:rFonts w:hint="eastAsia" w:ascii="宋体" w:hAnsi="宋体" w:eastAsia="宋体" w:cs="宋体"/>
                <w:color w:val="auto"/>
                <w:highlight w:val="none"/>
                <w:lang w:val="en-US" w:eastAsia="zh-CN"/>
              </w:rPr>
              <w:t>50</w:t>
            </w:r>
          </w:p>
        </w:tc>
      </w:tr>
      <w:tr w14:paraId="519B12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40" w:type="dxa"/>
            <w:noWrap w:val="0"/>
            <w:vAlign w:val="center"/>
          </w:tcPr>
          <w:p w14:paraId="02C20E08">
            <w:pPr>
              <w:jc w:val="center"/>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价格分</w:t>
            </w:r>
          </w:p>
        </w:tc>
        <w:tc>
          <w:tcPr>
            <w:tcW w:w="1164" w:type="dxa"/>
            <w:noWrap w:val="0"/>
            <w:vAlign w:val="center"/>
          </w:tcPr>
          <w:p w14:paraId="7A53DA6E">
            <w:pPr>
              <w:jc w:val="center"/>
              <w:rPr>
                <w:rFonts w:hint="eastAsia" w:ascii="宋体" w:hAnsi="宋体" w:eastAsia="宋体" w:cs="宋体"/>
                <w:color w:val="auto"/>
                <w:highlight w:val="none"/>
                <w:lang w:val="en-US" w:eastAsia="zh-Hans"/>
              </w:rPr>
            </w:pPr>
            <w:r>
              <w:rPr>
                <w:rFonts w:hint="eastAsia" w:ascii="宋体" w:hAnsi="宋体" w:eastAsia="宋体" w:cs="宋体"/>
                <w:color w:val="auto"/>
                <w:highlight w:val="none"/>
                <w:lang w:val="en-US" w:eastAsia="zh-Hans"/>
              </w:rPr>
              <w:t>投标价格得分</w:t>
            </w:r>
          </w:p>
        </w:tc>
        <w:tc>
          <w:tcPr>
            <w:tcW w:w="6156" w:type="dxa"/>
            <w:noWrap w:val="0"/>
            <w:vAlign w:val="center"/>
          </w:tcPr>
          <w:p w14:paraId="4EAF8CDB">
            <w:pPr>
              <w:widowControl w:val="0"/>
              <w:spacing w:before="111" w:line="360" w:lineRule="auto"/>
              <w:ind w:right="256"/>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lang w:val="en-US" w:eastAsia="zh-CN"/>
              </w:rPr>
              <w:t>1.</w:t>
            </w:r>
            <w:r>
              <w:rPr>
                <w:rFonts w:hint="eastAsia" w:asciiTheme="minorEastAsia" w:hAnsiTheme="minorEastAsia" w:eastAsiaTheme="minorEastAsia" w:cstheme="minorEastAsia"/>
                <w:color w:val="auto"/>
                <w:spacing w:val="-1"/>
                <w:sz w:val="21"/>
                <w:szCs w:val="21"/>
                <w:highlight w:val="none"/>
              </w:rPr>
              <w:t>满足</w:t>
            </w:r>
            <w:r>
              <w:rPr>
                <w:rFonts w:hint="eastAsia" w:asciiTheme="minorEastAsia" w:hAnsiTheme="minorEastAsia" w:eastAsiaTheme="minorEastAsia" w:cstheme="minorEastAsia"/>
                <w:color w:val="auto"/>
                <w:spacing w:val="-1"/>
                <w:sz w:val="21"/>
                <w:szCs w:val="21"/>
                <w:highlight w:val="none"/>
                <w:lang w:val="en-US" w:eastAsia="zh-CN"/>
              </w:rPr>
              <w:t>磋商</w:t>
            </w:r>
            <w:r>
              <w:rPr>
                <w:rFonts w:hint="eastAsia" w:asciiTheme="minorEastAsia" w:hAnsiTheme="minorEastAsia" w:eastAsiaTheme="minorEastAsia" w:cstheme="minorEastAsia"/>
                <w:color w:val="auto"/>
                <w:sz w:val="21"/>
                <w:szCs w:val="21"/>
                <w:highlight w:val="none"/>
              </w:rPr>
              <w:t>文件要求且</w:t>
            </w:r>
            <w:r>
              <w:rPr>
                <w:rFonts w:hint="eastAsia" w:asciiTheme="minorEastAsia" w:hAnsiTheme="minorEastAsia" w:eastAsiaTheme="minorEastAsia" w:cstheme="minorEastAsia"/>
                <w:color w:val="auto"/>
                <w:sz w:val="21"/>
                <w:szCs w:val="21"/>
                <w:highlight w:val="none"/>
                <w:lang w:eastAsia="zh-CN"/>
              </w:rPr>
              <w:t>磋商报价</w:t>
            </w:r>
            <w:r>
              <w:rPr>
                <w:rFonts w:hint="eastAsia" w:asciiTheme="minorEastAsia" w:hAnsiTheme="minorEastAsia" w:eastAsiaTheme="minorEastAsia" w:cstheme="minorEastAsia"/>
                <w:color w:val="auto"/>
                <w:sz w:val="21"/>
                <w:szCs w:val="21"/>
                <w:highlight w:val="none"/>
              </w:rPr>
              <w:t>最低的</w:t>
            </w:r>
            <w:r>
              <w:rPr>
                <w:rFonts w:hint="eastAsia" w:asciiTheme="minorEastAsia" w:hAnsiTheme="minorEastAsia" w:eastAsiaTheme="minorEastAsia" w:cstheme="minorEastAsia"/>
                <w:color w:val="auto"/>
                <w:sz w:val="21"/>
                <w:szCs w:val="21"/>
                <w:highlight w:val="none"/>
                <w:lang w:eastAsia="zh-CN"/>
              </w:rPr>
              <w:t>磋商报价</w:t>
            </w:r>
            <w:r>
              <w:rPr>
                <w:rFonts w:hint="eastAsia" w:asciiTheme="minorEastAsia" w:hAnsiTheme="minorEastAsia" w:eastAsiaTheme="minorEastAsia" w:cstheme="minorEastAsia"/>
                <w:color w:val="auto"/>
                <w:sz w:val="21"/>
                <w:szCs w:val="21"/>
                <w:highlight w:val="none"/>
              </w:rPr>
              <w:t>为评标基准价其</w:t>
            </w:r>
            <w:r>
              <w:rPr>
                <w:rFonts w:hint="eastAsia" w:asciiTheme="minorEastAsia" w:hAnsiTheme="minorEastAsia" w:eastAsiaTheme="minorEastAsia" w:cstheme="minorEastAsia"/>
                <w:color w:val="auto"/>
                <w:spacing w:val="-2"/>
                <w:sz w:val="21"/>
                <w:szCs w:val="21"/>
                <w:highlight w:val="none"/>
              </w:rPr>
              <w:t>价格分为满分；其他</w:t>
            </w:r>
            <w:r>
              <w:rPr>
                <w:rFonts w:hint="eastAsia" w:asciiTheme="minorEastAsia" w:hAnsiTheme="minorEastAsia" w:eastAsiaTheme="minorEastAsia" w:cstheme="minorEastAsia"/>
                <w:color w:val="auto"/>
                <w:spacing w:val="-2"/>
                <w:sz w:val="21"/>
                <w:szCs w:val="21"/>
                <w:highlight w:val="none"/>
                <w:lang w:val="en-US" w:eastAsia="zh-CN"/>
              </w:rPr>
              <w:t>供应商</w:t>
            </w:r>
            <w:r>
              <w:rPr>
                <w:rFonts w:hint="eastAsia" w:asciiTheme="minorEastAsia" w:hAnsiTheme="minorEastAsia" w:eastAsiaTheme="minorEastAsia" w:cstheme="minorEastAsia"/>
                <w:color w:val="auto"/>
                <w:spacing w:val="-2"/>
                <w:sz w:val="21"/>
                <w:szCs w:val="21"/>
                <w:highlight w:val="none"/>
              </w:rPr>
              <w:t>的价格分</w:t>
            </w:r>
            <w:r>
              <w:rPr>
                <w:rFonts w:hint="eastAsia" w:asciiTheme="minorEastAsia" w:hAnsiTheme="minorEastAsia" w:eastAsiaTheme="minorEastAsia" w:cstheme="minorEastAsia"/>
                <w:color w:val="auto"/>
                <w:spacing w:val="-1"/>
                <w:sz w:val="21"/>
                <w:szCs w:val="21"/>
                <w:highlight w:val="none"/>
              </w:rPr>
              <w:t>统一按照以下公式计算：</w:t>
            </w:r>
          </w:p>
          <w:p w14:paraId="14A0C321">
            <w:pPr>
              <w:widowControl w:val="0"/>
              <w:spacing w:line="360" w:lineRule="auto"/>
              <w:ind w:left="495"/>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pacing w:val="6"/>
                <w:sz w:val="21"/>
                <w:szCs w:val="21"/>
                <w:highlight w:val="none"/>
                <w:lang w:eastAsia="zh-CN"/>
              </w:rPr>
              <w:t>磋商报价</w:t>
            </w:r>
            <w:r>
              <w:rPr>
                <w:rFonts w:hint="eastAsia" w:asciiTheme="minorEastAsia" w:hAnsiTheme="minorEastAsia" w:eastAsiaTheme="minorEastAsia" w:cstheme="minorEastAsia"/>
                <w:color w:val="auto"/>
                <w:spacing w:val="3"/>
                <w:sz w:val="21"/>
                <w:szCs w:val="21"/>
                <w:highlight w:val="none"/>
              </w:rPr>
              <w:t>得分= (评标基准价/</w:t>
            </w:r>
            <w:r>
              <w:rPr>
                <w:rFonts w:hint="eastAsia" w:asciiTheme="minorEastAsia" w:hAnsiTheme="minorEastAsia" w:eastAsiaTheme="minorEastAsia" w:cstheme="minorEastAsia"/>
                <w:color w:val="auto"/>
                <w:spacing w:val="3"/>
                <w:sz w:val="21"/>
                <w:szCs w:val="21"/>
                <w:highlight w:val="none"/>
                <w:lang w:eastAsia="zh-CN"/>
              </w:rPr>
              <w:t>磋商报价</w:t>
            </w:r>
            <w:r>
              <w:rPr>
                <w:rFonts w:hint="eastAsia" w:asciiTheme="minorEastAsia" w:hAnsiTheme="minorEastAsia" w:eastAsiaTheme="minorEastAsia" w:cstheme="minorEastAsia"/>
                <w:color w:val="auto"/>
                <w:spacing w:val="3"/>
                <w:sz w:val="21"/>
                <w:szCs w:val="21"/>
                <w:highlight w:val="none"/>
              </w:rPr>
              <w:t>)×</w:t>
            </w:r>
            <w:r>
              <w:rPr>
                <w:rFonts w:hint="eastAsia" w:asciiTheme="minorEastAsia" w:hAnsiTheme="minorEastAsia" w:eastAsiaTheme="minorEastAsia" w:cstheme="minorEastAsia"/>
                <w:color w:val="auto"/>
                <w:spacing w:val="3"/>
                <w:sz w:val="21"/>
                <w:szCs w:val="21"/>
                <w:highlight w:val="none"/>
                <w:lang w:val="en-US" w:eastAsia="zh-CN"/>
              </w:rPr>
              <w:t>100</w:t>
            </w:r>
          </w:p>
          <w:p w14:paraId="66DF8243">
            <w:pPr>
              <w:keepNext w:val="0"/>
              <w:keepLines w:val="0"/>
              <w:pageBreakBefore w:val="0"/>
              <w:widowControl/>
              <w:kinsoku/>
              <w:wordWrap/>
              <w:overflowPunct/>
              <w:topLinePunct w:val="0"/>
              <w:autoSpaceDE/>
              <w:autoSpaceDN/>
              <w:bidi w:val="0"/>
              <w:adjustRightInd/>
              <w:snapToGrid/>
              <w:spacing w:line="360" w:lineRule="exact"/>
              <w:jc w:val="left"/>
              <w:rPr>
                <w:rFonts w:hint="eastAsia" w:ascii="宋体" w:hAnsi="宋体" w:eastAsia="宋体" w:cs="宋体"/>
                <w:color w:val="auto"/>
                <w:highlight w:val="none"/>
                <w:lang w:val="en-US" w:eastAsia="zh-Hans"/>
              </w:rPr>
            </w:pPr>
            <w:r>
              <w:rPr>
                <w:rFonts w:hint="eastAsia" w:asciiTheme="minorEastAsia" w:hAnsiTheme="minorEastAsia" w:eastAsiaTheme="minorEastAsia" w:cstheme="minorEastAsia"/>
                <w:color w:val="auto"/>
                <w:spacing w:val="-5"/>
                <w:sz w:val="21"/>
                <w:szCs w:val="21"/>
                <w:highlight w:val="none"/>
              </w:rPr>
              <w:t>2</w:t>
            </w:r>
            <w:r>
              <w:rPr>
                <w:rFonts w:hint="eastAsia" w:asciiTheme="minorEastAsia" w:hAnsiTheme="minorEastAsia" w:eastAsiaTheme="minorEastAsia" w:cstheme="minorEastAsia"/>
                <w:color w:val="auto"/>
                <w:spacing w:val="-5"/>
                <w:sz w:val="21"/>
                <w:szCs w:val="21"/>
                <w:highlight w:val="none"/>
                <w:lang w:val="en-US" w:eastAsia="zh-CN"/>
              </w:rPr>
              <w:t>.</w:t>
            </w:r>
            <w:r>
              <w:rPr>
                <w:rFonts w:hint="eastAsia" w:asciiTheme="minorEastAsia" w:hAnsiTheme="minorEastAsia" w:eastAsiaTheme="minorEastAsia" w:cstheme="minorEastAsia"/>
                <w:b/>
                <w:bCs/>
                <w:color w:val="auto"/>
                <w:spacing w:val="-5"/>
                <w:sz w:val="21"/>
                <w:szCs w:val="21"/>
                <w:highlight w:val="none"/>
              </w:rPr>
              <w:t>异常低价审查情形:按照《关于推动解决政府采购异常低价问题</w:t>
            </w:r>
            <w:r>
              <w:rPr>
                <w:rFonts w:hint="eastAsia" w:asciiTheme="minorEastAsia" w:hAnsiTheme="minorEastAsia" w:eastAsiaTheme="minorEastAsia" w:cstheme="minorEastAsia"/>
                <w:b/>
                <w:bCs/>
                <w:color w:val="auto"/>
                <w:spacing w:val="-6"/>
                <w:sz w:val="21"/>
                <w:szCs w:val="21"/>
                <w:highlight w:val="none"/>
              </w:rPr>
              <w:t>的通知》</w:t>
            </w:r>
            <w:r>
              <w:rPr>
                <w:rFonts w:hint="eastAsia" w:asciiTheme="minorEastAsia" w:hAnsiTheme="minorEastAsia" w:eastAsiaTheme="minorEastAsia" w:cstheme="minorEastAsia"/>
                <w:color w:val="auto"/>
                <w:spacing w:val="-71"/>
                <w:sz w:val="21"/>
                <w:szCs w:val="21"/>
                <w:highlight w:val="none"/>
              </w:rPr>
              <w:t xml:space="preserve"> </w:t>
            </w:r>
            <w:r>
              <w:rPr>
                <w:rFonts w:hint="eastAsia" w:asciiTheme="minorEastAsia" w:hAnsiTheme="minorEastAsia" w:eastAsiaTheme="minorEastAsia" w:cstheme="minorEastAsia"/>
                <w:b/>
                <w:bCs/>
                <w:color w:val="auto"/>
                <w:spacing w:val="-6"/>
                <w:sz w:val="21"/>
                <w:szCs w:val="21"/>
                <w:highlight w:val="none"/>
              </w:rPr>
              <w:t>(财库(2026)2号)规定，</w:t>
            </w:r>
            <w:r>
              <w:rPr>
                <w:rFonts w:hint="eastAsia" w:asciiTheme="minorEastAsia" w:hAnsiTheme="minorEastAsia" w:eastAsiaTheme="minorEastAsia" w:cstheme="minorEastAsia"/>
                <w:b/>
                <w:bCs/>
                <w:color w:val="auto"/>
                <w:spacing w:val="-7"/>
                <w:sz w:val="21"/>
                <w:szCs w:val="21"/>
                <w:highlight w:val="none"/>
              </w:rPr>
              <w:t>政府采购评审中出现异常低价情形</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b/>
                <w:bCs/>
                <w:color w:val="auto"/>
                <w:spacing w:val="-7"/>
                <w:sz w:val="21"/>
                <w:szCs w:val="21"/>
                <w:highlight w:val="none"/>
              </w:rPr>
              <w:t>,</w:t>
            </w:r>
            <w:r>
              <w:rPr>
                <w:rFonts w:hint="eastAsia" w:asciiTheme="minorEastAsia" w:hAnsiTheme="minorEastAsia" w:eastAsiaTheme="minorEastAsia" w:cstheme="minorEastAsia"/>
                <w:color w:val="auto"/>
                <w:spacing w:val="59"/>
                <w:sz w:val="21"/>
                <w:szCs w:val="21"/>
                <w:highlight w:val="none"/>
              </w:rPr>
              <w:t xml:space="preserve"> </w:t>
            </w:r>
            <w:r>
              <w:rPr>
                <w:rFonts w:hint="eastAsia" w:asciiTheme="minorEastAsia" w:hAnsiTheme="minorEastAsia" w:eastAsiaTheme="minorEastAsia" w:cstheme="minorEastAsia"/>
                <w:b/>
                <w:bCs/>
                <w:color w:val="auto"/>
                <w:spacing w:val="-7"/>
                <w:sz w:val="21"/>
                <w:szCs w:val="21"/>
                <w:highlight w:val="none"/>
              </w:rPr>
              <w:t>评审委员会应当启动异常低价投标审查程序。本项目适用情</w:t>
            </w:r>
            <w:r>
              <w:rPr>
                <w:rFonts w:hint="eastAsia" w:asciiTheme="minorEastAsia" w:hAnsiTheme="minorEastAsia" w:eastAsiaTheme="minorEastAsia" w:cstheme="minorEastAsia"/>
                <w:b/>
                <w:bCs/>
                <w:color w:val="auto"/>
                <w:spacing w:val="-8"/>
                <w:sz w:val="21"/>
                <w:szCs w:val="21"/>
                <w:highlight w:val="none"/>
              </w:rPr>
              <w:t>形详</w:t>
            </w:r>
            <w:r>
              <w:rPr>
                <w:rFonts w:hint="eastAsia" w:asciiTheme="minorEastAsia" w:hAnsiTheme="minorEastAsia" w:eastAsiaTheme="minorEastAsia" w:cstheme="minorEastAsia"/>
                <w:b/>
                <w:bCs/>
                <w:color w:val="auto"/>
                <w:spacing w:val="-7"/>
                <w:sz w:val="21"/>
                <w:szCs w:val="21"/>
                <w:highlight w:val="none"/>
              </w:rPr>
              <w:t>见“第二章第1</w:t>
            </w:r>
            <w:r>
              <w:rPr>
                <w:rFonts w:hint="eastAsia" w:asciiTheme="minorEastAsia" w:hAnsiTheme="minorEastAsia" w:eastAsiaTheme="minorEastAsia" w:cstheme="minorEastAsia"/>
                <w:b/>
                <w:bCs/>
                <w:color w:val="auto"/>
                <w:spacing w:val="-7"/>
                <w:sz w:val="21"/>
                <w:szCs w:val="21"/>
                <w:highlight w:val="none"/>
                <w:lang w:val="en-US" w:eastAsia="zh-CN"/>
              </w:rPr>
              <w:t>1</w:t>
            </w:r>
            <w:r>
              <w:rPr>
                <w:rFonts w:hint="eastAsia" w:asciiTheme="minorEastAsia" w:hAnsiTheme="minorEastAsia" w:eastAsiaTheme="minorEastAsia" w:cstheme="minorEastAsia"/>
                <w:b/>
                <w:bCs/>
                <w:color w:val="auto"/>
                <w:spacing w:val="-7"/>
                <w:sz w:val="21"/>
                <w:szCs w:val="21"/>
                <w:highlight w:val="none"/>
              </w:rPr>
              <w:t>.</w:t>
            </w:r>
            <w:r>
              <w:rPr>
                <w:rFonts w:hint="eastAsia" w:asciiTheme="minorEastAsia" w:hAnsiTheme="minorEastAsia" w:eastAsiaTheme="minorEastAsia" w:cstheme="minorEastAsia"/>
                <w:b/>
                <w:bCs/>
                <w:color w:val="auto"/>
                <w:spacing w:val="-7"/>
                <w:sz w:val="21"/>
                <w:szCs w:val="21"/>
                <w:highlight w:val="none"/>
                <w:lang w:val="en-US" w:eastAsia="zh-CN"/>
              </w:rPr>
              <w:t>6</w:t>
            </w:r>
            <w:r>
              <w:rPr>
                <w:rFonts w:hint="eastAsia" w:asciiTheme="minorEastAsia" w:hAnsiTheme="minorEastAsia" w:eastAsiaTheme="minorEastAsia" w:cstheme="minorEastAsia"/>
                <w:b/>
                <w:bCs/>
                <w:color w:val="auto"/>
                <w:spacing w:val="-7"/>
                <w:sz w:val="21"/>
                <w:szCs w:val="21"/>
                <w:highlight w:val="none"/>
              </w:rPr>
              <w:t>款</w:t>
            </w:r>
            <w:r>
              <w:rPr>
                <w:rFonts w:hint="eastAsia" w:asciiTheme="minorEastAsia" w:hAnsiTheme="minorEastAsia" w:eastAsiaTheme="minorEastAsia" w:cstheme="minorEastAsia"/>
                <w:b/>
                <w:bCs/>
                <w:color w:val="auto"/>
                <w:spacing w:val="-7"/>
                <w:sz w:val="21"/>
                <w:szCs w:val="21"/>
                <w:highlight w:val="none"/>
                <w:lang w:eastAsia="zh-CN"/>
              </w:rPr>
              <w:t>磋商报价</w:t>
            </w:r>
            <w:r>
              <w:rPr>
                <w:rFonts w:hint="eastAsia" w:asciiTheme="minorEastAsia" w:hAnsiTheme="minorEastAsia" w:eastAsiaTheme="minorEastAsia" w:cstheme="minorEastAsia"/>
                <w:b/>
                <w:bCs/>
                <w:color w:val="auto"/>
                <w:spacing w:val="-7"/>
                <w:sz w:val="21"/>
                <w:szCs w:val="21"/>
                <w:highlight w:val="none"/>
              </w:rPr>
              <w:t>的其他要求”的规定。</w:t>
            </w:r>
          </w:p>
        </w:tc>
        <w:tc>
          <w:tcPr>
            <w:tcW w:w="940" w:type="dxa"/>
            <w:noWrap w:val="0"/>
            <w:vAlign w:val="center"/>
          </w:tcPr>
          <w:p w14:paraId="57B4F438">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100</w:t>
            </w:r>
          </w:p>
        </w:tc>
      </w:tr>
    </w:tbl>
    <w:p w14:paraId="6FC1450E">
      <w:pPr>
        <w:spacing w:before="52" w:after="11"/>
        <w:ind w:right="838"/>
        <w:jc w:val="both"/>
        <w:rPr>
          <w:rFonts w:ascii="宋体" w:hAnsi="宋体"/>
          <w:b/>
          <w:color w:val="auto"/>
          <w:sz w:val="24"/>
          <w:highlight w:val="none"/>
        </w:rPr>
      </w:pPr>
    </w:p>
    <w:p w14:paraId="24253FFC">
      <w:pPr>
        <w:spacing w:before="52" w:after="11"/>
        <w:ind w:left="845" w:right="838"/>
        <w:jc w:val="both"/>
        <w:rPr>
          <w:rFonts w:ascii="宋体" w:hAnsi="宋体"/>
          <w:b/>
          <w:color w:val="auto"/>
          <w:sz w:val="24"/>
          <w:highlight w:val="none"/>
        </w:rPr>
      </w:pPr>
    </w:p>
    <w:p w14:paraId="0B3B89F0">
      <w:pPr>
        <w:rPr>
          <w:rFonts w:ascii="宋体" w:hAnsi="宋体" w:cs="宋体"/>
          <w:b/>
          <w:bCs/>
          <w:color w:val="auto"/>
          <w:sz w:val="24"/>
          <w:highlight w:val="none"/>
        </w:rPr>
      </w:pPr>
      <w:r>
        <w:rPr>
          <w:rFonts w:hint="eastAsia" w:ascii="宋体" w:hAnsi="宋体" w:cs="宋体"/>
          <w:b/>
          <w:bCs/>
          <w:color w:val="auto"/>
          <w:sz w:val="24"/>
          <w:highlight w:val="none"/>
        </w:rPr>
        <w:br w:type="page"/>
      </w:r>
    </w:p>
    <w:p w14:paraId="07AC3D12">
      <w:pPr>
        <w:spacing w:line="440" w:lineRule="exact"/>
        <w:jc w:val="center"/>
        <w:rPr>
          <w:rStyle w:val="29"/>
          <w:rFonts w:ascii="宋体" w:hAnsi="宋体"/>
          <w:b/>
          <w:bCs/>
          <w:color w:val="auto"/>
          <w:sz w:val="24"/>
          <w:highlight w:val="none"/>
        </w:rPr>
      </w:pPr>
      <w:r>
        <w:rPr>
          <w:rStyle w:val="29"/>
          <w:rFonts w:ascii="宋体" w:hAnsi="宋体"/>
          <w:b/>
          <w:bCs/>
          <w:color w:val="auto"/>
          <w:sz w:val="24"/>
          <w:highlight w:val="none"/>
        </w:rPr>
        <w:t xml:space="preserve"> 技术标部分得分汇总表</w:t>
      </w:r>
    </w:p>
    <w:tbl>
      <w:tblPr>
        <w:tblStyle w:val="25"/>
        <w:tblW w:w="9000" w:type="dxa"/>
        <w:tblInd w:w="-284"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2422"/>
        <w:gridCol w:w="1644"/>
        <w:gridCol w:w="1645"/>
        <w:gridCol w:w="1644"/>
        <w:gridCol w:w="1645"/>
      </w:tblGrid>
      <w:tr w14:paraId="68792EF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36" w:hRule="atLeast"/>
        </w:trPr>
        <w:tc>
          <w:tcPr>
            <w:tcW w:w="2422" w:type="dxa"/>
            <w:tcBorders>
              <w:top w:val="single" w:color="000000" w:sz="12" w:space="0"/>
              <w:left w:val="single" w:color="000000" w:sz="12" w:space="0"/>
              <w:bottom w:val="single" w:color="000000" w:sz="6" w:space="0"/>
              <w:right w:val="single" w:color="000000" w:sz="6" w:space="0"/>
            </w:tcBorders>
          </w:tcPr>
          <w:p w14:paraId="55762F81">
            <w:pPr>
              <w:spacing w:line="440" w:lineRule="exact"/>
              <w:rPr>
                <w:rStyle w:val="29"/>
                <w:rFonts w:ascii="宋体" w:hAnsi="宋体"/>
                <w:b/>
                <w:bCs/>
                <w:color w:val="auto"/>
                <w:sz w:val="18"/>
                <w:szCs w:val="18"/>
                <w:highlight w:val="none"/>
              </w:rPr>
            </w:pPr>
            <w:r>
              <w:rPr>
                <w:rStyle w:val="29"/>
                <w:rFonts w:ascii="宋体" w:hAnsi="宋体"/>
                <w:b/>
                <w:bCs/>
                <w:color w:val="auto"/>
                <w:sz w:val="18"/>
                <w:szCs w:val="18"/>
                <w:highlight w:val="none"/>
              </w:rPr>
              <w:t xml:space="preserve"> 投标单位</w:t>
            </w:r>
          </w:p>
          <w:p w14:paraId="02A93EE1">
            <w:pPr>
              <w:spacing w:line="440" w:lineRule="exact"/>
              <w:rPr>
                <w:rStyle w:val="29"/>
                <w:rFonts w:ascii="宋体" w:hAnsi="宋体"/>
                <w:b/>
                <w:bCs/>
                <w:color w:val="auto"/>
                <w:sz w:val="18"/>
                <w:szCs w:val="18"/>
                <w:highlight w:val="none"/>
              </w:rPr>
            </w:pPr>
            <w:r>
              <w:rPr>
                <w:rStyle w:val="29"/>
                <w:rFonts w:ascii="宋体" w:hAnsi="宋体"/>
                <w:b/>
                <w:bCs/>
                <w:color w:val="auto"/>
                <w:sz w:val="18"/>
                <w:szCs w:val="18"/>
                <w:highlight w:val="none"/>
              </w:rPr>
              <w:t>评委姓名</w:t>
            </w:r>
          </w:p>
        </w:tc>
        <w:tc>
          <w:tcPr>
            <w:tcW w:w="1644" w:type="dxa"/>
            <w:tcBorders>
              <w:top w:val="single" w:color="000000" w:sz="12" w:space="0"/>
              <w:left w:val="single" w:color="000000" w:sz="6" w:space="0"/>
              <w:bottom w:val="single" w:color="000000" w:sz="6" w:space="0"/>
              <w:right w:val="single" w:color="000000" w:sz="6" w:space="0"/>
            </w:tcBorders>
            <w:vAlign w:val="center"/>
          </w:tcPr>
          <w:p w14:paraId="0DD8FF2B">
            <w:pPr>
              <w:spacing w:line="440" w:lineRule="exact"/>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投标人1</w:t>
            </w:r>
          </w:p>
        </w:tc>
        <w:tc>
          <w:tcPr>
            <w:tcW w:w="1645" w:type="dxa"/>
            <w:tcBorders>
              <w:top w:val="single" w:color="000000" w:sz="12" w:space="0"/>
              <w:left w:val="single" w:color="000000" w:sz="6" w:space="0"/>
              <w:bottom w:val="single" w:color="000000" w:sz="6" w:space="0"/>
              <w:right w:val="single" w:color="000000" w:sz="6" w:space="0"/>
            </w:tcBorders>
            <w:vAlign w:val="center"/>
          </w:tcPr>
          <w:p w14:paraId="344FFFD9">
            <w:pPr>
              <w:spacing w:line="440" w:lineRule="exact"/>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投标人2</w:t>
            </w:r>
          </w:p>
        </w:tc>
        <w:tc>
          <w:tcPr>
            <w:tcW w:w="1644" w:type="dxa"/>
            <w:tcBorders>
              <w:top w:val="single" w:color="000000" w:sz="12" w:space="0"/>
              <w:left w:val="single" w:color="000000" w:sz="6" w:space="0"/>
              <w:bottom w:val="single" w:color="000000" w:sz="6" w:space="0"/>
              <w:right w:val="single" w:color="000000" w:sz="6" w:space="0"/>
            </w:tcBorders>
            <w:vAlign w:val="center"/>
          </w:tcPr>
          <w:p w14:paraId="5603F70F">
            <w:pPr>
              <w:spacing w:line="440" w:lineRule="exact"/>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投标人3</w:t>
            </w:r>
          </w:p>
        </w:tc>
        <w:tc>
          <w:tcPr>
            <w:tcW w:w="1645" w:type="dxa"/>
            <w:tcBorders>
              <w:top w:val="single" w:color="000000" w:sz="12" w:space="0"/>
              <w:left w:val="single" w:color="000000" w:sz="6" w:space="0"/>
              <w:bottom w:val="single" w:color="000000" w:sz="6" w:space="0"/>
              <w:right w:val="single" w:color="000000" w:sz="12" w:space="0"/>
            </w:tcBorders>
            <w:vAlign w:val="center"/>
          </w:tcPr>
          <w:p w14:paraId="456E834D">
            <w:pPr>
              <w:spacing w:line="440" w:lineRule="exact"/>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r>
      <w:tr w14:paraId="6B0F883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2422" w:type="dxa"/>
            <w:tcBorders>
              <w:top w:val="single" w:color="000000" w:sz="6" w:space="0"/>
              <w:left w:val="single" w:color="000000" w:sz="12" w:space="0"/>
              <w:bottom w:val="single" w:color="000000" w:sz="6" w:space="0"/>
              <w:right w:val="single" w:color="000000" w:sz="6" w:space="0"/>
            </w:tcBorders>
            <w:vAlign w:val="center"/>
          </w:tcPr>
          <w:p w14:paraId="17694CD4">
            <w:pPr>
              <w:spacing w:line="440" w:lineRule="exact"/>
              <w:jc w:val="center"/>
              <w:rPr>
                <w:rStyle w:val="29"/>
                <w:rFonts w:ascii="宋体" w:hAnsi="宋体"/>
                <w:bCs/>
                <w:color w:val="auto"/>
                <w:sz w:val="18"/>
                <w:szCs w:val="18"/>
                <w:highlight w:val="none"/>
              </w:rPr>
            </w:pPr>
          </w:p>
        </w:tc>
        <w:tc>
          <w:tcPr>
            <w:tcW w:w="1644" w:type="dxa"/>
            <w:tcBorders>
              <w:top w:val="single" w:color="000000" w:sz="6" w:space="0"/>
              <w:left w:val="single" w:color="000000" w:sz="6" w:space="0"/>
              <w:bottom w:val="single" w:color="000000" w:sz="6" w:space="0"/>
              <w:right w:val="single" w:color="000000" w:sz="6" w:space="0"/>
            </w:tcBorders>
            <w:vAlign w:val="center"/>
          </w:tcPr>
          <w:p w14:paraId="314671FC">
            <w:pPr>
              <w:spacing w:line="440" w:lineRule="exact"/>
              <w:jc w:val="center"/>
              <w:rPr>
                <w:rStyle w:val="29"/>
                <w:rFonts w:ascii="宋体" w:hAnsi="宋体"/>
                <w:color w:val="auto"/>
                <w:sz w:val="18"/>
                <w:szCs w:val="18"/>
                <w:highlight w:val="none"/>
              </w:rPr>
            </w:pPr>
          </w:p>
        </w:tc>
        <w:tc>
          <w:tcPr>
            <w:tcW w:w="1645" w:type="dxa"/>
            <w:tcBorders>
              <w:top w:val="single" w:color="000000" w:sz="6" w:space="0"/>
              <w:left w:val="single" w:color="000000" w:sz="6" w:space="0"/>
              <w:bottom w:val="single" w:color="000000" w:sz="6" w:space="0"/>
              <w:right w:val="single" w:color="000000" w:sz="6" w:space="0"/>
            </w:tcBorders>
            <w:vAlign w:val="center"/>
          </w:tcPr>
          <w:p w14:paraId="70B80180">
            <w:pPr>
              <w:spacing w:line="440" w:lineRule="exact"/>
              <w:jc w:val="center"/>
              <w:rPr>
                <w:rStyle w:val="29"/>
                <w:rFonts w:ascii="宋体" w:hAnsi="宋体"/>
                <w:color w:val="auto"/>
                <w:sz w:val="18"/>
                <w:szCs w:val="18"/>
                <w:highlight w:val="none"/>
              </w:rPr>
            </w:pPr>
          </w:p>
        </w:tc>
        <w:tc>
          <w:tcPr>
            <w:tcW w:w="1644" w:type="dxa"/>
            <w:tcBorders>
              <w:top w:val="single" w:color="000000" w:sz="6" w:space="0"/>
              <w:left w:val="single" w:color="000000" w:sz="6" w:space="0"/>
              <w:bottom w:val="single" w:color="000000" w:sz="6" w:space="0"/>
              <w:right w:val="single" w:color="000000" w:sz="6" w:space="0"/>
            </w:tcBorders>
            <w:vAlign w:val="center"/>
          </w:tcPr>
          <w:p w14:paraId="76F88B9F">
            <w:pPr>
              <w:spacing w:line="440" w:lineRule="exact"/>
              <w:jc w:val="center"/>
              <w:rPr>
                <w:rStyle w:val="29"/>
                <w:rFonts w:ascii="宋体" w:hAnsi="宋体"/>
                <w:color w:val="auto"/>
                <w:sz w:val="18"/>
                <w:szCs w:val="18"/>
                <w:highlight w:val="none"/>
              </w:rPr>
            </w:pPr>
          </w:p>
        </w:tc>
        <w:tc>
          <w:tcPr>
            <w:tcW w:w="1645" w:type="dxa"/>
            <w:tcBorders>
              <w:top w:val="single" w:color="000000" w:sz="6" w:space="0"/>
              <w:left w:val="single" w:color="000000" w:sz="6" w:space="0"/>
              <w:bottom w:val="single" w:color="000000" w:sz="6" w:space="0"/>
              <w:right w:val="single" w:color="000000" w:sz="12" w:space="0"/>
            </w:tcBorders>
            <w:vAlign w:val="center"/>
          </w:tcPr>
          <w:p w14:paraId="12C14BA5">
            <w:pPr>
              <w:spacing w:line="440" w:lineRule="exact"/>
              <w:jc w:val="center"/>
              <w:rPr>
                <w:rStyle w:val="29"/>
                <w:rFonts w:ascii="宋体" w:hAnsi="宋体"/>
                <w:color w:val="auto"/>
                <w:sz w:val="18"/>
                <w:szCs w:val="18"/>
                <w:highlight w:val="none"/>
              </w:rPr>
            </w:pPr>
          </w:p>
        </w:tc>
      </w:tr>
      <w:tr w14:paraId="52D28F8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2422" w:type="dxa"/>
            <w:tcBorders>
              <w:top w:val="single" w:color="000000" w:sz="6" w:space="0"/>
              <w:left w:val="single" w:color="000000" w:sz="12" w:space="0"/>
              <w:bottom w:val="single" w:color="000000" w:sz="6" w:space="0"/>
              <w:right w:val="single" w:color="000000" w:sz="6" w:space="0"/>
            </w:tcBorders>
            <w:vAlign w:val="center"/>
          </w:tcPr>
          <w:p w14:paraId="2D207FBB">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c>
          <w:tcPr>
            <w:tcW w:w="1644" w:type="dxa"/>
            <w:tcBorders>
              <w:top w:val="single" w:color="000000" w:sz="6" w:space="0"/>
              <w:left w:val="single" w:color="000000" w:sz="6" w:space="0"/>
              <w:bottom w:val="single" w:color="000000" w:sz="6" w:space="0"/>
              <w:right w:val="single" w:color="000000" w:sz="6" w:space="0"/>
            </w:tcBorders>
            <w:vAlign w:val="center"/>
          </w:tcPr>
          <w:p w14:paraId="7E4AB5B2">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c>
          <w:tcPr>
            <w:tcW w:w="1645" w:type="dxa"/>
            <w:tcBorders>
              <w:top w:val="single" w:color="000000" w:sz="6" w:space="0"/>
              <w:left w:val="single" w:color="000000" w:sz="6" w:space="0"/>
              <w:bottom w:val="single" w:color="000000" w:sz="6" w:space="0"/>
              <w:right w:val="single" w:color="000000" w:sz="6" w:space="0"/>
            </w:tcBorders>
            <w:vAlign w:val="center"/>
          </w:tcPr>
          <w:p w14:paraId="38570095">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c>
          <w:tcPr>
            <w:tcW w:w="1644" w:type="dxa"/>
            <w:tcBorders>
              <w:top w:val="single" w:color="000000" w:sz="6" w:space="0"/>
              <w:left w:val="single" w:color="000000" w:sz="6" w:space="0"/>
              <w:bottom w:val="single" w:color="000000" w:sz="6" w:space="0"/>
              <w:right w:val="single" w:color="000000" w:sz="6" w:space="0"/>
            </w:tcBorders>
            <w:vAlign w:val="center"/>
          </w:tcPr>
          <w:p w14:paraId="4428F080">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c>
          <w:tcPr>
            <w:tcW w:w="1645" w:type="dxa"/>
            <w:tcBorders>
              <w:top w:val="single" w:color="000000" w:sz="6" w:space="0"/>
              <w:left w:val="single" w:color="000000" w:sz="6" w:space="0"/>
              <w:bottom w:val="single" w:color="000000" w:sz="6" w:space="0"/>
              <w:right w:val="single" w:color="000000" w:sz="12" w:space="0"/>
            </w:tcBorders>
            <w:vAlign w:val="center"/>
          </w:tcPr>
          <w:p w14:paraId="63336395">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r>
      <w:tr w14:paraId="6EFC27D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98" w:hRule="atLeast"/>
        </w:trPr>
        <w:tc>
          <w:tcPr>
            <w:tcW w:w="2422" w:type="dxa"/>
            <w:tcBorders>
              <w:top w:val="single" w:color="000000" w:sz="6" w:space="0"/>
              <w:left w:val="single" w:color="000000" w:sz="12" w:space="0"/>
              <w:bottom w:val="single" w:color="000000" w:sz="12" w:space="0"/>
              <w:right w:val="single" w:color="000000" w:sz="6" w:space="0"/>
            </w:tcBorders>
            <w:vAlign w:val="center"/>
          </w:tcPr>
          <w:p w14:paraId="4A591462">
            <w:pPr>
              <w:spacing w:line="440" w:lineRule="exact"/>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平均得分</w:t>
            </w:r>
          </w:p>
        </w:tc>
        <w:tc>
          <w:tcPr>
            <w:tcW w:w="1644" w:type="dxa"/>
            <w:tcBorders>
              <w:top w:val="single" w:color="000000" w:sz="6" w:space="0"/>
              <w:left w:val="single" w:color="000000" w:sz="6" w:space="0"/>
              <w:bottom w:val="single" w:color="000000" w:sz="12" w:space="0"/>
              <w:right w:val="single" w:color="000000" w:sz="6" w:space="0"/>
            </w:tcBorders>
            <w:vAlign w:val="center"/>
          </w:tcPr>
          <w:p w14:paraId="2E7D7C3C">
            <w:pPr>
              <w:spacing w:line="440" w:lineRule="exact"/>
              <w:jc w:val="center"/>
              <w:rPr>
                <w:rStyle w:val="29"/>
                <w:rFonts w:ascii="宋体" w:hAnsi="宋体"/>
                <w:color w:val="auto"/>
                <w:sz w:val="18"/>
                <w:szCs w:val="18"/>
                <w:highlight w:val="none"/>
              </w:rPr>
            </w:pPr>
          </w:p>
        </w:tc>
        <w:tc>
          <w:tcPr>
            <w:tcW w:w="1645" w:type="dxa"/>
            <w:tcBorders>
              <w:top w:val="single" w:color="000000" w:sz="6" w:space="0"/>
              <w:left w:val="single" w:color="000000" w:sz="6" w:space="0"/>
              <w:bottom w:val="single" w:color="000000" w:sz="12" w:space="0"/>
              <w:right w:val="single" w:color="000000" w:sz="6" w:space="0"/>
            </w:tcBorders>
            <w:vAlign w:val="center"/>
          </w:tcPr>
          <w:p w14:paraId="7B9ACF8A">
            <w:pPr>
              <w:spacing w:line="440" w:lineRule="exact"/>
              <w:jc w:val="center"/>
              <w:rPr>
                <w:rStyle w:val="29"/>
                <w:rFonts w:ascii="宋体" w:hAnsi="宋体"/>
                <w:color w:val="auto"/>
                <w:sz w:val="18"/>
                <w:szCs w:val="18"/>
                <w:highlight w:val="none"/>
              </w:rPr>
            </w:pPr>
          </w:p>
        </w:tc>
        <w:tc>
          <w:tcPr>
            <w:tcW w:w="1644" w:type="dxa"/>
            <w:tcBorders>
              <w:top w:val="single" w:color="000000" w:sz="6" w:space="0"/>
              <w:left w:val="single" w:color="000000" w:sz="6" w:space="0"/>
              <w:bottom w:val="single" w:color="000000" w:sz="12" w:space="0"/>
              <w:right w:val="single" w:color="000000" w:sz="6" w:space="0"/>
            </w:tcBorders>
            <w:vAlign w:val="center"/>
          </w:tcPr>
          <w:p w14:paraId="0B0FCC98">
            <w:pPr>
              <w:spacing w:line="440" w:lineRule="exact"/>
              <w:jc w:val="center"/>
              <w:rPr>
                <w:rStyle w:val="29"/>
                <w:rFonts w:ascii="宋体" w:hAnsi="宋体"/>
                <w:color w:val="auto"/>
                <w:sz w:val="18"/>
                <w:szCs w:val="18"/>
                <w:highlight w:val="none"/>
              </w:rPr>
            </w:pPr>
          </w:p>
        </w:tc>
        <w:tc>
          <w:tcPr>
            <w:tcW w:w="1645" w:type="dxa"/>
            <w:tcBorders>
              <w:top w:val="single" w:color="000000" w:sz="6" w:space="0"/>
              <w:left w:val="single" w:color="000000" w:sz="6" w:space="0"/>
              <w:bottom w:val="single" w:color="000000" w:sz="12" w:space="0"/>
              <w:right w:val="single" w:color="000000" w:sz="12" w:space="0"/>
            </w:tcBorders>
            <w:vAlign w:val="center"/>
          </w:tcPr>
          <w:p w14:paraId="1B487AF9">
            <w:pPr>
              <w:spacing w:line="440" w:lineRule="exact"/>
              <w:jc w:val="center"/>
              <w:rPr>
                <w:rStyle w:val="29"/>
                <w:rFonts w:ascii="宋体" w:hAnsi="宋体"/>
                <w:color w:val="auto"/>
                <w:sz w:val="18"/>
                <w:szCs w:val="18"/>
                <w:highlight w:val="none"/>
              </w:rPr>
            </w:pPr>
          </w:p>
        </w:tc>
      </w:tr>
    </w:tbl>
    <w:p w14:paraId="08986042">
      <w:pPr>
        <w:snapToGrid w:val="0"/>
        <w:spacing w:line="440" w:lineRule="exact"/>
        <w:rPr>
          <w:rStyle w:val="29"/>
          <w:rFonts w:ascii="黑体" w:eastAsia="黑体"/>
          <w:b/>
          <w:color w:val="auto"/>
          <w:sz w:val="24"/>
          <w:highlight w:val="none"/>
        </w:rPr>
      </w:pPr>
      <w:r>
        <w:rPr>
          <w:rStyle w:val="29"/>
          <w:rFonts w:ascii="宋体" w:hAnsi="宋体"/>
          <w:b/>
          <w:bCs/>
          <w:color w:val="auto"/>
          <w:szCs w:val="21"/>
          <w:highlight w:val="none"/>
        </w:rPr>
        <w:t>磋商小组全体签字：                                                评标时间：</w:t>
      </w:r>
    </w:p>
    <w:p w14:paraId="30E78CD6">
      <w:pPr>
        <w:snapToGrid w:val="0"/>
        <w:spacing w:line="440" w:lineRule="exact"/>
        <w:rPr>
          <w:rStyle w:val="29"/>
          <w:rFonts w:ascii="黑体" w:eastAsia="黑体"/>
          <w:b/>
          <w:color w:val="auto"/>
          <w:sz w:val="24"/>
          <w:highlight w:val="none"/>
        </w:rPr>
      </w:pPr>
    </w:p>
    <w:p w14:paraId="49757935">
      <w:pPr>
        <w:snapToGrid w:val="0"/>
        <w:spacing w:line="440" w:lineRule="exact"/>
        <w:rPr>
          <w:rStyle w:val="29"/>
          <w:rFonts w:ascii="黑体" w:eastAsia="黑体"/>
          <w:b/>
          <w:color w:val="auto"/>
          <w:sz w:val="24"/>
          <w:highlight w:val="none"/>
        </w:rPr>
      </w:pPr>
    </w:p>
    <w:p w14:paraId="5C8CDBD8">
      <w:pPr>
        <w:ind w:firstLine="120" w:firstLineChars="50"/>
        <w:jc w:val="center"/>
        <w:rPr>
          <w:rStyle w:val="29"/>
          <w:rFonts w:ascii="宋体" w:hAnsi="宋体"/>
          <w:b/>
          <w:bCs/>
          <w:color w:val="auto"/>
          <w:sz w:val="24"/>
          <w:highlight w:val="none"/>
        </w:rPr>
      </w:pPr>
      <w:r>
        <w:rPr>
          <w:rStyle w:val="29"/>
          <w:rFonts w:ascii="宋体" w:hAnsi="宋体"/>
          <w:b/>
          <w:bCs/>
          <w:color w:val="auto"/>
          <w:sz w:val="24"/>
          <w:highlight w:val="none"/>
        </w:rPr>
        <w:t xml:space="preserve"> 经评标的投标人得分排序表</w:t>
      </w:r>
    </w:p>
    <w:tbl>
      <w:tblPr>
        <w:tblStyle w:val="25"/>
        <w:tblW w:w="9000" w:type="dxa"/>
        <w:tblInd w:w="-284"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2451"/>
        <w:gridCol w:w="1583"/>
        <w:gridCol w:w="1583"/>
        <w:gridCol w:w="1583"/>
        <w:gridCol w:w="900"/>
        <w:gridCol w:w="900"/>
      </w:tblGrid>
      <w:tr w14:paraId="24FA924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86" w:hRule="atLeast"/>
        </w:trPr>
        <w:tc>
          <w:tcPr>
            <w:tcW w:w="2451" w:type="dxa"/>
            <w:tcBorders>
              <w:top w:val="single" w:color="000000" w:sz="12" w:space="0"/>
              <w:left w:val="single" w:color="000000" w:sz="12" w:space="0"/>
              <w:bottom w:val="single" w:color="000000" w:sz="6" w:space="0"/>
              <w:right w:val="single" w:color="000000" w:sz="6" w:space="0"/>
            </w:tcBorders>
            <w:vAlign w:val="center"/>
          </w:tcPr>
          <w:p w14:paraId="676ABA65">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 xml:space="preserve">           项目得分</w:t>
            </w:r>
          </w:p>
          <w:p w14:paraId="1DD0D71A">
            <w:pPr>
              <w:rPr>
                <w:rStyle w:val="29"/>
                <w:rFonts w:ascii="宋体" w:hAnsi="宋体"/>
                <w:b/>
                <w:bCs/>
                <w:color w:val="auto"/>
                <w:sz w:val="18"/>
                <w:szCs w:val="18"/>
                <w:highlight w:val="none"/>
              </w:rPr>
            </w:pPr>
          </w:p>
          <w:p w14:paraId="4B4E2095">
            <w:pPr>
              <w:rPr>
                <w:rStyle w:val="29"/>
                <w:rFonts w:ascii="宋体" w:hAnsi="宋体"/>
                <w:b/>
                <w:bCs/>
                <w:color w:val="auto"/>
                <w:sz w:val="18"/>
                <w:szCs w:val="18"/>
                <w:highlight w:val="none"/>
              </w:rPr>
            </w:pPr>
            <w:r>
              <w:rPr>
                <w:rStyle w:val="29"/>
                <w:rFonts w:ascii="宋体" w:hAnsi="宋体"/>
                <w:b/>
                <w:bCs/>
                <w:color w:val="auto"/>
                <w:sz w:val="18"/>
                <w:szCs w:val="18"/>
                <w:highlight w:val="none"/>
              </w:rPr>
              <w:t>投标人</w:t>
            </w:r>
          </w:p>
        </w:tc>
        <w:tc>
          <w:tcPr>
            <w:tcW w:w="1583" w:type="dxa"/>
            <w:tcBorders>
              <w:top w:val="single" w:color="000000" w:sz="12" w:space="0"/>
              <w:left w:val="single" w:color="000000" w:sz="6" w:space="0"/>
              <w:bottom w:val="single" w:color="000000" w:sz="6" w:space="0"/>
              <w:right w:val="single" w:color="000000" w:sz="6" w:space="0"/>
            </w:tcBorders>
            <w:vAlign w:val="center"/>
          </w:tcPr>
          <w:p w14:paraId="5F716E65">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价格的评分（K1）</w:t>
            </w:r>
          </w:p>
        </w:tc>
        <w:tc>
          <w:tcPr>
            <w:tcW w:w="1583" w:type="dxa"/>
            <w:tcBorders>
              <w:top w:val="single" w:color="000000" w:sz="12" w:space="0"/>
              <w:left w:val="single" w:color="000000" w:sz="6" w:space="0"/>
              <w:bottom w:val="single" w:color="000000" w:sz="6" w:space="0"/>
              <w:right w:val="single" w:color="000000" w:sz="6" w:space="0"/>
            </w:tcBorders>
            <w:vAlign w:val="center"/>
          </w:tcPr>
          <w:p w14:paraId="671547D0">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技术的评分（K2）</w:t>
            </w:r>
          </w:p>
        </w:tc>
        <w:tc>
          <w:tcPr>
            <w:tcW w:w="1583" w:type="dxa"/>
            <w:tcBorders>
              <w:top w:val="single" w:color="000000" w:sz="12" w:space="0"/>
              <w:left w:val="single" w:color="000000" w:sz="6" w:space="0"/>
              <w:bottom w:val="single" w:color="000000" w:sz="6" w:space="0"/>
              <w:right w:val="single" w:color="000000" w:sz="6" w:space="0"/>
            </w:tcBorders>
            <w:vAlign w:val="center"/>
          </w:tcPr>
          <w:p w14:paraId="19AFEEF3">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商务的评分（K3）</w:t>
            </w:r>
          </w:p>
        </w:tc>
        <w:tc>
          <w:tcPr>
            <w:tcW w:w="900" w:type="dxa"/>
            <w:tcBorders>
              <w:top w:val="single" w:color="000000" w:sz="12" w:space="0"/>
              <w:left w:val="single" w:color="000000" w:sz="6" w:space="0"/>
              <w:bottom w:val="single" w:color="000000" w:sz="6" w:space="0"/>
              <w:right w:val="single" w:color="000000" w:sz="6" w:space="0"/>
            </w:tcBorders>
            <w:vAlign w:val="center"/>
          </w:tcPr>
          <w:p w14:paraId="202F803C">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总分</w:t>
            </w:r>
          </w:p>
        </w:tc>
        <w:tc>
          <w:tcPr>
            <w:tcW w:w="900" w:type="dxa"/>
            <w:tcBorders>
              <w:top w:val="single" w:color="000000" w:sz="12" w:space="0"/>
              <w:left w:val="single" w:color="000000" w:sz="6" w:space="0"/>
              <w:bottom w:val="single" w:color="000000" w:sz="6" w:space="0"/>
              <w:right w:val="single" w:color="000000" w:sz="12" w:space="0"/>
            </w:tcBorders>
            <w:vAlign w:val="center"/>
          </w:tcPr>
          <w:p w14:paraId="359E4FCB">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排名</w:t>
            </w:r>
          </w:p>
        </w:tc>
      </w:tr>
      <w:tr w14:paraId="628140B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27" w:hRule="atLeast"/>
        </w:trPr>
        <w:tc>
          <w:tcPr>
            <w:tcW w:w="2451" w:type="dxa"/>
            <w:tcBorders>
              <w:top w:val="single" w:color="000000" w:sz="6" w:space="0"/>
              <w:left w:val="single" w:color="000000" w:sz="12" w:space="0"/>
              <w:bottom w:val="single" w:color="000000" w:sz="6" w:space="0"/>
              <w:right w:val="single" w:color="000000" w:sz="6" w:space="0"/>
            </w:tcBorders>
            <w:vAlign w:val="center"/>
          </w:tcPr>
          <w:p w14:paraId="01309E98">
            <w:pPr>
              <w:jc w:val="center"/>
              <w:rPr>
                <w:rStyle w:val="29"/>
                <w:rFonts w:ascii="宋体" w:hAnsi="宋体"/>
                <w:b/>
                <w:bCs/>
                <w:color w:val="auto"/>
                <w:sz w:val="18"/>
                <w:szCs w:val="18"/>
                <w:highlight w:val="none"/>
              </w:rPr>
            </w:pPr>
          </w:p>
        </w:tc>
        <w:tc>
          <w:tcPr>
            <w:tcW w:w="1583" w:type="dxa"/>
            <w:tcBorders>
              <w:top w:val="single" w:color="000000" w:sz="6" w:space="0"/>
              <w:left w:val="single" w:color="000000" w:sz="6" w:space="0"/>
              <w:bottom w:val="single" w:color="000000" w:sz="6" w:space="0"/>
              <w:right w:val="single" w:color="000000" w:sz="6" w:space="0"/>
            </w:tcBorders>
            <w:vAlign w:val="center"/>
          </w:tcPr>
          <w:p w14:paraId="4D980F48">
            <w:pPr>
              <w:jc w:val="center"/>
              <w:rPr>
                <w:rStyle w:val="29"/>
                <w:rFonts w:ascii="宋体" w:hAnsi="宋体"/>
                <w:b/>
                <w:bCs/>
                <w:color w:val="auto"/>
                <w:sz w:val="18"/>
                <w:szCs w:val="18"/>
                <w:highlight w:val="none"/>
              </w:rPr>
            </w:pPr>
          </w:p>
        </w:tc>
        <w:tc>
          <w:tcPr>
            <w:tcW w:w="1583" w:type="dxa"/>
            <w:tcBorders>
              <w:top w:val="single" w:color="000000" w:sz="6" w:space="0"/>
              <w:left w:val="single" w:color="000000" w:sz="6" w:space="0"/>
              <w:bottom w:val="single" w:color="000000" w:sz="6" w:space="0"/>
              <w:right w:val="single" w:color="000000" w:sz="6" w:space="0"/>
            </w:tcBorders>
            <w:vAlign w:val="center"/>
          </w:tcPr>
          <w:p w14:paraId="13EF68F7">
            <w:pPr>
              <w:jc w:val="center"/>
              <w:rPr>
                <w:rStyle w:val="29"/>
                <w:rFonts w:ascii="宋体" w:hAnsi="宋体"/>
                <w:b/>
                <w:bCs/>
                <w:color w:val="auto"/>
                <w:sz w:val="18"/>
                <w:szCs w:val="18"/>
                <w:highlight w:val="none"/>
              </w:rPr>
            </w:pPr>
          </w:p>
        </w:tc>
        <w:tc>
          <w:tcPr>
            <w:tcW w:w="1583" w:type="dxa"/>
            <w:tcBorders>
              <w:top w:val="single" w:color="000000" w:sz="6" w:space="0"/>
              <w:left w:val="single" w:color="000000" w:sz="6" w:space="0"/>
              <w:bottom w:val="single" w:color="000000" w:sz="6" w:space="0"/>
              <w:right w:val="single" w:color="000000" w:sz="6" w:space="0"/>
            </w:tcBorders>
            <w:vAlign w:val="center"/>
          </w:tcPr>
          <w:p w14:paraId="722313D4">
            <w:pPr>
              <w:jc w:val="center"/>
              <w:rPr>
                <w:rStyle w:val="29"/>
                <w:rFonts w:ascii="宋体" w:hAnsi="宋体"/>
                <w:b/>
                <w:bCs/>
                <w:color w:val="auto"/>
                <w:sz w:val="18"/>
                <w:szCs w:val="18"/>
                <w:highlight w:val="none"/>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15AFBD80">
            <w:pPr>
              <w:jc w:val="center"/>
              <w:rPr>
                <w:rStyle w:val="29"/>
                <w:rFonts w:ascii="宋体" w:hAnsi="宋体"/>
                <w:b/>
                <w:bCs/>
                <w:color w:val="auto"/>
                <w:sz w:val="18"/>
                <w:szCs w:val="18"/>
                <w:highlight w:val="none"/>
              </w:rPr>
            </w:pPr>
          </w:p>
        </w:tc>
        <w:tc>
          <w:tcPr>
            <w:tcW w:w="900" w:type="dxa"/>
            <w:tcBorders>
              <w:top w:val="single" w:color="000000" w:sz="6" w:space="0"/>
              <w:left w:val="single" w:color="000000" w:sz="6" w:space="0"/>
              <w:bottom w:val="single" w:color="000000" w:sz="6" w:space="0"/>
              <w:right w:val="single" w:color="000000" w:sz="12" w:space="0"/>
            </w:tcBorders>
            <w:vAlign w:val="center"/>
          </w:tcPr>
          <w:p w14:paraId="4C8A3E41">
            <w:pPr>
              <w:jc w:val="center"/>
              <w:rPr>
                <w:rStyle w:val="29"/>
                <w:rFonts w:ascii="宋体" w:hAnsi="宋体"/>
                <w:b/>
                <w:bCs/>
                <w:color w:val="auto"/>
                <w:sz w:val="18"/>
                <w:szCs w:val="18"/>
                <w:highlight w:val="none"/>
              </w:rPr>
            </w:pPr>
          </w:p>
        </w:tc>
      </w:tr>
      <w:tr w14:paraId="002D836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97" w:hRule="atLeast"/>
        </w:trPr>
        <w:tc>
          <w:tcPr>
            <w:tcW w:w="2451" w:type="dxa"/>
            <w:tcBorders>
              <w:top w:val="single" w:color="000000" w:sz="6" w:space="0"/>
              <w:left w:val="single" w:color="000000" w:sz="12" w:space="0"/>
              <w:bottom w:val="single" w:color="000000" w:sz="12" w:space="0"/>
              <w:right w:val="single" w:color="000000" w:sz="6" w:space="0"/>
            </w:tcBorders>
            <w:vAlign w:val="center"/>
          </w:tcPr>
          <w:p w14:paraId="21D1C272">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c>
          <w:tcPr>
            <w:tcW w:w="1583" w:type="dxa"/>
            <w:tcBorders>
              <w:top w:val="single" w:color="000000" w:sz="6" w:space="0"/>
              <w:left w:val="single" w:color="000000" w:sz="6" w:space="0"/>
              <w:bottom w:val="single" w:color="000000" w:sz="12" w:space="0"/>
              <w:right w:val="single" w:color="000000" w:sz="6" w:space="0"/>
            </w:tcBorders>
            <w:vAlign w:val="center"/>
          </w:tcPr>
          <w:p w14:paraId="540D65AF">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c>
          <w:tcPr>
            <w:tcW w:w="1583" w:type="dxa"/>
            <w:tcBorders>
              <w:top w:val="single" w:color="000000" w:sz="6" w:space="0"/>
              <w:left w:val="single" w:color="000000" w:sz="6" w:space="0"/>
              <w:bottom w:val="single" w:color="000000" w:sz="12" w:space="0"/>
              <w:right w:val="single" w:color="000000" w:sz="6" w:space="0"/>
            </w:tcBorders>
            <w:vAlign w:val="center"/>
          </w:tcPr>
          <w:p w14:paraId="73E23BF8">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c>
          <w:tcPr>
            <w:tcW w:w="1583" w:type="dxa"/>
            <w:tcBorders>
              <w:top w:val="single" w:color="000000" w:sz="6" w:space="0"/>
              <w:left w:val="single" w:color="000000" w:sz="6" w:space="0"/>
              <w:bottom w:val="single" w:color="000000" w:sz="12" w:space="0"/>
              <w:right w:val="single" w:color="000000" w:sz="6" w:space="0"/>
            </w:tcBorders>
            <w:vAlign w:val="center"/>
          </w:tcPr>
          <w:p w14:paraId="412351C1">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c>
          <w:tcPr>
            <w:tcW w:w="900" w:type="dxa"/>
            <w:tcBorders>
              <w:top w:val="single" w:color="000000" w:sz="6" w:space="0"/>
              <w:left w:val="single" w:color="000000" w:sz="6" w:space="0"/>
              <w:bottom w:val="single" w:color="000000" w:sz="12" w:space="0"/>
              <w:right w:val="single" w:color="000000" w:sz="6" w:space="0"/>
            </w:tcBorders>
            <w:vAlign w:val="center"/>
          </w:tcPr>
          <w:p w14:paraId="6B4BF1B5">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c>
          <w:tcPr>
            <w:tcW w:w="900" w:type="dxa"/>
            <w:tcBorders>
              <w:top w:val="single" w:color="000000" w:sz="6" w:space="0"/>
              <w:left w:val="single" w:color="000000" w:sz="6" w:space="0"/>
              <w:bottom w:val="single" w:color="000000" w:sz="12" w:space="0"/>
              <w:right w:val="single" w:color="000000" w:sz="12" w:space="0"/>
            </w:tcBorders>
            <w:vAlign w:val="center"/>
          </w:tcPr>
          <w:p w14:paraId="36A138A1">
            <w:pPr>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w:t>
            </w:r>
          </w:p>
        </w:tc>
      </w:tr>
    </w:tbl>
    <w:p w14:paraId="3EB7FE43">
      <w:pPr>
        <w:snapToGrid w:val="0"/>
        <w:spacing w:line="440" w:lineRule="exact"/>
        <w:rPr>
          <w:rStyle w:val="29"/>
          <w:rFonts w:ascii="黑体" w:eastAsia="黑体"/>
          <w:b/>
          <w:color w:val="auto"/>
          <w:sz w:val="24"/>
          <w:highlight w:val="none"/>
        </w:rPr>
      </w:pPr>
      <w:r>
        <w:rPr>
          <w:rStyle w:val="29"/>
          <w:rFonts w:ascii="宋体" w:hAnsi="宋体"/>
          <w:b/>
          <w:bCs/>
          <w:color w:val="auto"/>
          <w:szCs w:val="21"/>
          <w:highlight w:val="none"/>
        </w:rPr>
        <w:t>磋商小组全体签字：                                               评标时间：</w:t>
      </w:r>
    </w:p>
    <w:p w14:paraId="0A0B2D64">
      <w:pPr>
        <w:spacing w:line="500" w:lineRule="exact"/>
        <w:jc w:val="center"/>
        <w:rPr>
          <w:rStyle w:val="29"/>
          <w:rFonts w:ascii="宋体" w:hAnsi="宋体"/>
          <w:b/>
          <w:bCs/>
          <w:color w:val="auto"/>
          <w:sz w:val="24"/>
          <w:highlight w:val="none"/>
        </w:rPr>
      </w:pPr>
    </w:p>
    <w:p w14:paraId="7F93E166">
      <w:pPr>
        <w:spacing w:line="500" w:lineRule="exact"/>
        <w:jc w:val="center"/>
        <w:rPr>
          <w:rStyle w:val="29"/>
          <w:rFonts w:ascii="宋体" w:hAnsi="宋体"/>
          <w:b/>
          <w:bCs/>
          <w:color w:val="auto"/>
          <w:sz w:val="24"/>
          <w:highlight w:val="none"/>
        </w:rPr>
      </w:pPr>
    </w:p>
    <w:p w14:paraId="2B185F78">
      <w:pPr>
        <w:spacing w:line="500" w:lineRule="exact"/>
        <w:jc w:val="center"/>
        <w:rPr>
          <w:rStyle w:val="29"/>
          <w:rFonts w:ascii="宋体" w:hAnsi="宋体"/>
          <w:b/>
          <w:bCs/>
          <w:color w:val="auto"/>
          <w:sz w:val="24"/>
          <w:highlight w:val="none"/>
        </w:rPr>
      </w:pPr>
      <w:r>
        <w:rPr>
          <w:rStyle w:val="29"/>
          <w:rFonts w:ascii="宋体" w:hAnsi="宋体"/>
          <w:b/>
          <w:bCs/>
          <w:color w:val="auto"/>
          <w:sz w:val="24"/>
          <w:highlight w:val="none"/>
        </w:rPr>
        <w:t>中标候选人排序表</w:t>
      </w:r>
    </w:p>
    <w:tbl>
      <w:tblPr>
        <w:tblStyle w:val="25"/>
        <w:tblW w:w="9000" w:type="dxa"/>
        <w:tblInd w:w="-284"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1930"/>
        <w:gridCol w:w="4190"/>
        <w:gridCol w:w="1609"/>
        <w:gridCol w:w="1271"/>
      </w:tblGrid>
      <w:tr w14:paraId="58ABCA4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930" w:type="dxa"/>
            <w:tcBorders>
              <w:top w:val="single" w:color="000000" w:sz="12" w:space="0"/>
              <w:left w:val="single" w:color="000000" w:sz="12" w:space="0"/>
              <w:bottom w:val="single" w:color="000000" w:sz="6" w:space="0"/>
              <w:right w:val="single" w:color="000000" w:sz="6" w:space="0"/>
            </w:tcBorders>
            <w:vAlign w:val="center"/>
          </w:tcPr>
          <w:p w14:paraId="3108BEBF">
            <w:pPr>
              <w:spacing w:line="500" w:lineRule="exact"/>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排序</w:t>
            </w:r>
          </w:p>
        </w:tc>
        <w:tc>
          <w:tcPr>
            <w:tcW w:w="4190" w:type="dxa"/>
            <w:tcBorders>
              <w:top w:val="single" w:color="000000" w:sz="12" w:space="0"/>
              <w:left w:val="single" w:color="000000" w:sz="6" w:space="0"/>
              <w:bottom w:val="single" w:color="000000" w:sz="6" w:space="0"/>
              <w:right w:val="single" w:color="000000" w:sz="6" w:space="0"/>
            </w:tcBorders>
            <w:vAlign w:val="center"/>
          </w:tcPr>
          <w:p w14:paraId="0BFE7295">
            <w:pPr>
              <w:spacing w:line="500" w:lineRule="exact"/>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中标候选人</w:t>
            </w:r>
          </w:p>
        </w:tc>
        <w:tc>
          <w:tcPr>
            <w:tcW w:w="1609" w:type="dxa"/>
            <w:tcBorders>
              <w:top w:val="single" w:color="000000" w:sz="12" w:space="0"/>
              <w:left w:val="single" w:color="000000" w:sz="6" w:space="0"/>
              <w:bottom w:val="single" w:color="000000" w:sz="6" w:space="0"/>
              <w:right w:val="single" w:color="000000" w:sz="4" w:space="0"/>
            </w:tcBorders>
            <w:vAlign w:val="center"/>
          </w:tcPr>
          <w:p w14:paraId="217DACF5">
            <w:pPr>
              <w:spacing w:line="500" w:lineRule="exact"/>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投标报价</w:t>
            </w:r>
          </w:p>
        </w:tc>
        <w:tc>
          <w:tcPr>
            <w:tcW w:w="1271" w:type="dxa"/>
            <w:tcBorders>
              <w:top w:val="single" w:color="000000" w:sz="12" w:space="0"/>
              <w:left w:val="single" w:color="000000" w:sz="4" w:space="0"/>
              <w:bottom w:val="single" w:color="000000" w:sz="6" w:space="0"/>
              <w:right w:val="single" w:color="000000" w:sz="12" w:space="0"/>
            </w:tcBorders>
            <w:vAlign w:val="center"/>
          </w:tcPr>
          <w:p w14:paraId="427309EB">
            <w:pPr>
              <w:spacing w:line="500" w:lineRule="exact"/>
              <w:jc w:val="center"/>
              <w:rPr>
                <w:rStyle w:val="29"/>
                <w:rFonts w:ascii="宋体" w:hAnsi="宋体"/>
                <w:b/>
                <w:bCs/>
                <w:color w:val="auto"/>
                <w:sz w:val="18"/>
                <w:szCs w:val="18"/>
                <w:highlight w:val="none"/>
              </w:rPr>
            </w:pPr>
            <w:r>
              <w:rPr>
                <w:rStyle w:val="29"/>
                <w:rFonts w:ascii="宋体" w:hAnsi="宋体"/>
                <w:b/>
                <w:bCs/>
                <w:color w:val="auto"/>
                <w:sz w:val="18"/>
                <w:szCs w:val="18"/>
                <w:highlight w:val="none"/>
              </w:rPr>
              <w:t>得分</w:t>
            </w:r>
          </w:p>
        </w:tc>
      </w:tr>
      <w:tr w14:paraId="7FDD020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930" w:type="dxa"/>
            <w:tcBorders>
              <w:top w:val="single" w:color="000000" w:sz="6" w:space="0"/>
              <w:left w:val="single" w:color="000000" w:sz="12" w:space="0"/>
              <w:bottom w:val="single" w:color="000000" w:sz="6" w:space="0"/>
              <w:right w:val="single" w:color="000000" w:sz="6" w:space="0"/>
            </w:tcBorders>
            <w:vAlign w:val="center"/>
          </w:tcPr>
          <w:p w14:paraId="6A3CDE14">
            <w:pPr>
              <w:spacing w:line="500" w:lineRule="exact"/>
              <w:jc w:val="center"/>
              <w:rPr>
                <w:rStyle w:val="29"/>
                <w:rFonts w:ascii="宋体" w:hAnsi="宋体"/>
                <w:color w:val="auto"/>
                <w:sz w:val="18"/>
                <w:szCs w:val="18"/>
                <w:highlight w:val="none"/>
              </w:rPr>
            </w:pPr>
            <w:r>
              <w:rPr>
                <w:rStyle w:val="29"/>
                <w:rFonts w:ascii="宋体" w:hAnsi="宋体"/>
                <w:color w:val="auto"/>
                <w:sz w:val="18"/>
                <w:szCs w:val="18"/>
                <w:highlight w:val="none"/>
              </w:rPr>
              <w:t>第一名</w:t>
            </w:r>
          </w:p>
        </w:tc>
        <w:tc>
          <w:tcPr>
            <w:tcW w:w="4190" w:type="dxa"/>
            <w:tcBorders>
              <w:top w:val="single" w:color="000000" w:sz="6" w:space="0"/>
              <w:left w:val="single" w:color="000000" w:sz="6" w:space="0"/>
              <w:bottom w:val="single" w:color="000000" w:sz="6" w:space="0"/>
              <w:right w:val="single" w:color="000000" w:sz="6" w:space="0"/>
            </w:tcBorders>
            <w:vAlign w:val="center"/>
          </w:tcPr>
          <w:p w14:paraId="160DA145">
            <w:pPr>
              <w:spacing w:line="500" w:lineRule="exact"/>
              <w:jc w:val="center"/>
              <w:rPr>
                <w:rStyle w:val="29"/>
                <w:rFonts w:ascii="宋体" w:hAnsi="宋体"/>
                <w:color w:val="auto"/>
                <w:sz w:val="18"/>
                <w:szCs w:val="18"/>
                <w:highlight w:val="none"/>
              </w:rPr>
            </w:pPr>
          </w:p>
        </w:tc>
        <w:tc>
          <w:tcPr>
            <w:tcW w:w="1609" w:type="dxa"/>
            <w:tcBorders>
              <w:top w:val="single" w:color="000000" w:sz="6" w:space="0"/>
              <w:left w:val="single" w:color="000000" w:sz="6" w:space="0"/>
              <w:bottom w:val="single" w:color="000000" w:sz="6" w:space="0"/>
              <w:right w:val="single" w:color="000000" w:sz="4" w:space="0"/>
            </w:tcBorders>
            <w:vAlign w:val="center"/>
          </w:tcPr>
          <w:p w14:paraId="13B7D2B5">
            <w:pPr>
              <w:spacing w:line="500" w:lineRule="exact"/>
              <w:jc w:val="center"/>
              <w:rPr>
                <w:rStyle w:val="29"/>
                <w:rFonts w:ascii="宋体" w:hAnsi="宋体"/>
                <w:color w:val="auto"/>
                <w:sz w:val="18"/>
                <w:szCs w:val="18"/>
                <w:highlight w:val="none"/>
              </w:rPr>
            </w:pPr>
          </w:p>
        </w:tc>
        <w:tc>
          <w:tcPr>
            <w:tcW w:w="1271" w:type="dxa"/>
            <w:tcBorders>
              <w:top w:val="single" w:color="000000" w:sz="6" w:space="0"/>
              <w:left w:val="single" w:color="000000" w:sz="4" w:space="0"/>
              <w:bottom w:val="single" w:color="000000" w:sz="6" w:space="0"/>
              <w:right w:val="single" w:color="000000" w:sz="12" w:space="0"/>
            </w:tcBorders>
            <w:vAlign w:val="center"/>
          </w:tcPr>
          <w:p w14:paraId="5786A273">
            <w:pPr>
              <w:spacing w:line="500" w:lineRule="exact"/>
              <w:jc w:val="center"/>
              <w:rPr>
                <w:rStyle w:val="29"/>
                <w:rFonts w:ascii="宋体" w:hAnsi="宋体"/>
                <w:color w:val="auto"/>
                <w:sz w:val="18"/>
                <w:szCs w:val="18"/>
                <w:highlight w:val="none"/>
              </w:rPr>
            </w:pPr>
          </w:p>
        </w:tc>
      </w:tr>
      <w:tr w14:paraId="21D5C8D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930" w:type="dxa"/>
            <w:tcBorders>
              <w:top w:val="single" w:color="000000" w:sz="6" w:space="0"/>
              <w:left w:val="single" w:color="000000" w:sz="12" w:space="0"/>
              <w:bottom w:val="single" w:color="000000" w:sz="6" w:space="0"/>
              <w:right w:val="single" w:color="000000" w:sz="6" w:space="0"/>
            </w:tcBorders>
            <w:vAlign w:val="center"/>
          </w:tcPr>
          <w:p w14:paraId="525AFB83">
            <w:pPr>
              <w:spacing w:line="500" w:lineRule="exact"/>
              <w:jc w:val="center"/>
              <w:rPr>
                <w:rStyle w:val="29"/>
                <w:rFonts w:ascii="宋体" w:hAnsi="宋体"/>
                <w:color w:val="auto"/>
                <w:sz w:val="18"/>
                <w:szCs w:val="18"/>
                <w:highlight w:val="none"/>
              </w:rPr>
            </w:pPr>
            <w:r>
              <w:rPr>
                <w:rStyle w:val="29"/>
                <w:rFonts w:ascii="宋体" w:hAnsi="宋体"/>
                <w:color w:val="auto"/>
                <w:sz w:val="18"/>
                <w:szCs w:val="18"/>
                <w:highlight w:val="none"/>
              </w:rPr>
              <w:t>第二名</w:t>
            </w:r>
          </w:p>
        </w:tc>
        <w:tc>
          <w:tcPr>
            <w:tcW w:w="4190" w:type="dxa"/>
            <w:tcBorders>
              <w:top w:val="single" w:color="000000" w:sz="6" w:space="0"/>
              <w:left w:val="single" w:color="000000" w:sz="6" w:space="0"/>
              <w:bottom w:val="single" w:color="000000" w:sz="6" w:space="0"/>
              <w:right w:val="single" w:color="000000" w:sz="6" w:space="0"/>
            </w:tcBorders>
            <w:vAlign w:val="center"/>
          </w:tcPr>
          <w:p w14:paraId="4E96BE19">
            <w:pPr>
              <w:spacing w:line="500" w:lineRule="exact"/>
              <w:jc w:val="center"/>
              <w:rPr>
                <w:rStyle w:val="29"/>
                <w:rFonts w:ascii="宋体" w:hAnsi="宋体"/>
                <w:color w:val="auto"/>
                <w:sz w:val="18"/>
                <w:szCs w:val="18"/>
                <w:highlight w:val="none"/>
              </w:rPr>
            </w:pPr>
          </w:p>
        </w:tc>
        <w:tc>
          <w:tcPr>
            <w:tcW w:w="1609" w:type="dxa"/>
            <w:tcBorders>
              <w:top w:val="single" w:color="000000" w:sz="6" w:space="0"/>
              <w:left w:val="single" w:color="000000" w:sz="6" w:space="0"/>
              <w:bottom w:val="single" w:color="000000" w:sz="6" w:space="0"/>
              <w:right w:val="single" w:color="000000" w:sz="4" w:space="0"/>
            </w:tcBorders>
            <w:vAlign w:val="center"/>
          </w:tcPr>
          <w:p w14:paraId="587E6F51">
            <w:pPr>
              <w:spacing w:line="500" w:lineRule="exact"/>
              <w:jc w:val="center"/>
              <w:rPr>
                <w:rStyle w:val="29"/>
                <w:rFonts w:ascii="宋体" w:hAnsi="宋体"/>
                <w:color w:val="auto"/>
                <w:sz w:val="18"/>
                <w:szCs w:val="18"/>
                <w:highlight w:val="none"/>
              </w:rPr>
            </w:pPr>
          </w:p>
        </w:tc>
        <w:tc>
          <w:tcPr>
            <w:tcW w:w="1271" w:type="dxa"/>
            <w:tcBorders>
              <w:top w:val="single" w:color="000000" w:sz="6" w:space="0"/>
              <w:left w:val="single" w:color="000000" w:sz="4" w:space="0"/>
              <w:bottom w:val="single" w:color="000000" w:sz="6" w:space="0"/>
              <w:right w:val="single" w:color="000000" w:sz="12" w:space="0"/>
            </w:tcBorders>
            <w:vAlign w:val="center"/>
          </w:tcPr>
          <w:p w14:paraId="2521CB1E">
            <w:pPr>
              <w:spacing w:line="500" w:lineRule="exact"/>
              <w:jc w:val="center"/>
              <w:rPr>
                <w:rStyle w:val="29"/>
                <w:rFonts w:ascii="宋体" w:hAnsi="宋体"/>
                <w:color w:val="auto"/>
                <w:sz w:val="18"/>
                <w:szCs w:val="18"/>
                <w:highlight w:val="none"/>
              </w:rPr>
            </w:pPr>
          </w:p>
        </w:tc>
      </w:tr>
      <w:tr w14:paraId="6424129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67" w:hRule="atLeast"/>
        </w:trPr>
        <w:tc>
          <w:tcPr>
            <w:tcW w:w="1930" w:type="dxa"/>
            <w:tcBorders>
              <w:top w:val="single" w:color="000000" w:sz="6" w:space="0"/>
              <w:left w:val="single" w:color="000000" w:sz="12" w:space="0"/>
              <w:bottom w:val="single" w:color="000000" w:sz="12" w:space="0"/>
              <w:right w:val="single" w:color="000000" w:sz="6" w:space="0"/>
            </w:tcBorders>
            <w:vAlign w:val="center"/>
          </w:tcPr>
          <w:p w14:paraId="50A3B933">
            <w:pPr>
              <w:spacing w:line="500" w:lineRule="exact"/>
              <w:jc w:val="center"/>
              <w:rPr>
                <w:rStyle w:val="29"/>
                <w:rFonts w:ascii="宋体" w:hAnsi="宋体"/>
                <w:color w:val="auto"/>
                <w:sz w:val="18"/>
                <w:szCs w:val="18"/>
                <w:highlight w:val="none"/>
              </w:rPr>
            </w:pPr>
            <w:r>
              <w:rPr>
                <w:rStyle w:val="29"/>
                <w:rFonts w:ascii="宋体" w:hAnsi="宋体"/>
                <w:color w:val="auto"/>
                <w:sz w:val="18"/>
                <w:szCs w:val="18"/>
                <w:highlight w:val="none"/>
              </w:rPr>
              <w:t>第三名</w:t>
            </w:r>
          </w:p>
        </w:tc>
        <w:tc>
          <w:tcPr>
            <w:tcW w:w="4190" w:type="dxa"/>
            <w:tcBorders>
              <w:top w:val="single" w:color="000000" w:sz="6" w:space="0"/>
              <w:left w:val="single" w:color="000000" w:sz="6" w:space="0"/>
              <w:bottom w:val="single" w:color="000000" w:sz="12" w:space="0"/>
              <w:right w:val="single" w:color="000000" w:sz="6" w:space="0"/>
            </w:tcBorders>
            <w:vAlign w:val="center"/>
          </w:tcPr>
          <w:p w14:paraId="5957496C">
            <w:pPr>
              <w:spacing w:line="500" w:lineRule="exact"/>
              <w:jc w:val="center"/>
              <w:rPr>
                <w:rStyle w:val="29"/>
                <w:rFonts w:ascii="宋体" w:hAnsi="宋体"/>
                <w:color w:val="auto"/>
                <w:sz w:val="18"/>
                <w:szCs w:val="18"/>
                <w:highlight w:val="none"/>
              </w:rPr>
            </w:pPr>
          </w:p>
        </w:tc>
        <w:tc>
          <w:tcPr>
            <w:tcW w:w="1609" w:type="dxa"/>
            <w:tcBorders>
              <w:top w:val="single" w:color="000000" w:sz="6" w:space="0"/>
              <w:left w:val="single" w:color="000000" w:sz="6" w:space="0"/>
              <w:bottom w:val="single" w:color="000000" w:sz="12" w:space="0"/>
              <w:right w:val="single" w:color="000000" w:sz="4" w:space="0"/>
            </w:tcBorders>
            <w:vAlign w:val="center"/>
          </w:tcPr>
          <w:p w14:paraId="6EC4470C">
            <w:pPr>
              <w:spacing w:line="500" w:lineRule="exact"/>
              <w:jc w:val="center"/>
              <w:rPr>
                <w:rStyle w:val="29"/>
                <w:rFonts w:ascii="宋体" w:hAnsi="宋体"/>
                <w:color w:val="auto"/>
                <w:sz w:val="18"/>
                <w:szCs w:val="18"/>
                <w:highlight w:val="none"/>
              </w:rPr>
            </w:pPr>
          </w:p>
        </w:tc>
        <w:tc>
          <w:tcPr>
            <w:tcW w:w="1271" w:type="dxa"/>
            <w:tcBorders>
              <w:top w:val="single" w:color="000000" w:sz="6" w:space="0"/>
              <w:left w:val="single" w:color="000000" w:sz="4" w:space="0"/>
              <w:bottom w:val="single" w:color="000000" w:sz="12" w:space="0"/>
              <w:right w:val="single" w:color="000000" w:sz="12" w:space="0"/>
            </w:tcBorders>
            <w:vAlign w:val="center"/>
          </w:tcPr>
          <w:p w14:paraId="51C1044B">
            <w:pPr>
              <w:spacing w:line="500" w:lineRule="exact"/>
              <w:jc w:val="center"/>
              <w:rPr>
                <w:rStyle w:val="29"/>
                <w:rFonts w:ascii="宋体" w:hAnsi="宋体"/>
                <w:color w:val="auto"/>
                <w:sz w:val="18"/>
                <w:szCs w:val="18"/>
                <w:highlight w:val="none"/>
              </w:rPr>
            </w:pPr>
          </w:p>
        </w:tc>
      </w:tr>
    </w:tbl>
    <w:p w14:paraId="79F98EDD">
      <w:pPr>
        <w:snapToGrid w:val="0"/>
        <w:spacing w:line="440" w:lineRule="exact"/>
        <w:rPr>
          <w:rStyle w:val="29"/>
          <w:rFonts w:ascii="宋体" w:hAnsi="宋体"/>
          <w:b/>
          <w:bCs/>
          <w:color w:val="auto"/>
          <w:szCs w:val="21"/>
          <w:highlight w:val="none"/>
        </w:rPr>
      </w:pPr>
      <w:r>
        <w:rPr>
          <w:rStyle w:val="29"/>
          <w:rFonts w:ascii="宋体" w:hAnsi="宋体"/>
          <w:b/>
          <w:bCs/>
          <w:color w:val="auto"/>
          <w:szCs w:val="21"/>
          <w:highlight w:val="none"/>
        </w:rPr>
        <w:t>磋商小组全体签字：                                                评标时间：</w:t>
      </w:r>
    </w:p>
    <w:p w14:paraId="421C0A3F">
      <w:pPr>
        <w:snapToGrid w:val="0"/>
        <w:spacing w:line="440" w:lineRule="exact"/>
        <w:rPr>
          <w:rStyle w:val="29"/>
          <w:rFonts w:ascii="黑体" w:eastAsia="黑体"/>
          <w:b/>
          <w:color w:val="auto"/>
          <w:sz w:val="24"/>
          <w:highlight w:val="none"/>
        </w:rPr>
      </w:pPr>
    </w:p>
    <w:p w14:paraId="6765F811">
      <w:pPr>
        <w:spacing w:line="440" w:lineRule="exact"/>
        <w:jc w:val="center"/>
        <w:rPr>
          <w:rStyle w:val="29"/>
          <w:rFonts w:ascii="宋体" w:hAnsi="宋体"/>
          <w:b/>
          <w:bCs/>
          <w:color w:val="auto"/>
          <w:sz w:val="24"/>
          <w:highlight w:val="none"/>
        </w:rPr>
      </w:pPr>
    </w:p>
    <w:p w14:paraId="17A6C570">
      <w:pPr>
        <w:pStyle w:val="24"/>
        <w:rPr>
          <w:color w:val="auto"/>
          <w:highlight w:val="none"/>
        </w:rPr>
      </w:pPr>
    </w:p>
    <w:p w14:paraId="01DD06CB">
      <w:pPr>
        <w:rPr>
          <w:color w:val="auto"/>
          <w:highlight w:val="none"/>
        </w:rPr>
      </w:pPr>
    </w:p>
    <w:p w14:paraId="75B6B44D">
      <w:pPr>
        <w:spacing w:line="440" w:lineRule="exact"/>
        <w:jc w:val="center"/>
        <w:rPr>
          <w:rStyle w:val="29"/>
          <w:rFonts w:ascii="宋体" w:hAnsi="宋体"/>
          <w:b/>
          <w:bCs/>
          <w:color w:val="auto"/>
          <w:sz w:val="24"/>
          <w:highlight w:val="none"/>
        </w:rPr>
      </w:pPr>
    </w:p>
    <w:p w14:paraId="4CC6AF0D">
      <w:pPr>
        <w:spacing w:line="440" w:lineRule="exact"/>
        <w:jc w:val="center"/>
        <w:rPr>
          <w:rStyle w:val="29"/>
          <w:rFonts w:ascii="宋体" w:hAnsi="宋体"/>
          <w:b/>
          <w:bCs/>
          <w:color w:val="auto"/>
          <w:sz w:val="24"/>
          <w:highlight w:val="none"/>
        </w:rPr>
      </w:pPr>
    </w:p>
    <w:p w14:paraId="4F81CDF9">
      <w:pPr>
        <w:spacing w:line="440" w:lineRule="exact"/>
        <w:jc w:val="center"/>
        <w:rPr>
          <w:rStyle w:val="29"/>
          <w:rFonts w:ascii="宋体" w:hAnsi="宋体"/>
          <w:b/>
          <w:color w:val="auto"/>
          <w:szCs w:val="21"/>
          <w:highlight w:val="none"/>
        </w:rPr>
      </w:pPr>
      <w:r>
        <w:rPr>
          <w:rStyle w:val="29"/>
          <w:rFonts w:ascii="宋体" w:hAnsi="宋体"/>
          <w:b/>
          <w:bCs/>
          <w:color w:val="auto"/>
          <w:sz w:val="24"/>
          <w:highlight w:val="none"/>
        </w:rPr>
        <w:t>授标建议</w:t>
      </w:r>
    </w:p>
    <w:p w14:paraId="0316F56D">
      <w:pPr>
        <w:adjustRightInd w:val="0"/>
        <w:snapToGrid w:val="0"/>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u w:val="single"/>
          <w:lang w:eastAsia="zh-CN"/>
        </w:rPr>
        <w:t>郴州市南岭植物园劳务用工（园区卫生保洁、安保、森林资源管护辅助等用工）服务项目</w:t>
      </w:r>
    </w:p>
    <w:p w14:paraId="3CF76172">
      <w:pPr>
        <w:pStyle w:val="45"/>
        <w:spacing w:line="440" w:lineRule="exact"/>
        <w:ind w:firstLine="420" w:firstLineChars="200"/>
        <w:rPr>
          <w:rStyle w:val="29"/>
          <w:color w:val="auto"/>
          <w:sz w:val="21"/>
          <w:highlight w:val="none"/>
        </w:rPr>
      </w:pPr>
      <w:r>
        <w:rPr>
          <w:rStyle w:val="29"/>
          <w:color w:val="auto"/>
          <w:sz w:val="21"/>
          <w:highlight w:val="none"/>
        </w:rPr>
        <w:t>（采购代理机构编号:</w:t>
      </w:r>
      <w:r>
        <w:rPr>
          <w:rStyle w:val="29"/>
          <w:rFonts w:hint="eastAsia" w:ascii="Times New Roman" w:hAnsi="Times New Roman"/>
          <w:color w:val="auto"/>
          <w:sz w:val="21"/>
          <w:highlight w:val="none"/>
        </w:rPr>
        <w:t xml:space="preserve"> </w:t>
      </w:r>
      <w:r>
        <w:rPr>
          <w:rStyle w:val="29"/>
          <w:rFonts w:hint="eastAsia" w:ascii="Times New Roman" w:hAnsi="Times New Roman"/>
          <w:color w:val="auto"/>
          <w:sz w:val="21"/>
          <w:highlight w:val="none"/>
          <w:lang w:eastAsia="zh-CN"/>
        </w:rPr>
        <w:t>HNXXZC2026-CZ-038</w:t>
      </w:r>
      <w:r>
        <w:rPr>
          <w:rStyle w:val="29"/>
          <w:rFonts w:hint="eastAsia" w:ascii="Times New Roman" w:hAnsi="Times New Roman"/>
          <w:color w:val="auto"/>
          <w:sz w:val="21"/>
          <w:highlight w:val="none"/>
        </w:rPr>
        <w:t>)</w:t>
      </w:r>
      <w:r>
        <w:rPr>
          <w:rStyle w:val="29"/>
          <w:bCs/>
          <w:color w:val="auto"/>
          <w:sz w:val="21"/>
          <w:highlight w:val="none"/>
        </w:rPr>
        <w:t>，于20XX年</w:t>
      </w:r>
      <w:r>
        <w:rPr>
          <w:rStyle w:val="29"/>
          <w:color w:val="auto"/>
          <w:sz w:val="21"/>
          <w:highlight w:val="none"/>
        </w:rPr>
        <w:t>××月××日上午xx：xx（北京时间）在</w:t>
      </w:r>
      <w:r>
        <w:rPr>
          <w:rStyle w:val="29"/>
          <w:bCs/>
          <w:color w:val="auto"/>
          <w:sz w:val="21"/>
          <w:highlight w:val="none"/>
        </w:rPr>
        <w:t>XXX</w:t>
      </w:r>
      <w:r>
        <w:rPr>
          <w:rStyle w:val="29"/>
          <w:color w:val="auto"/>
          <w:sz w:val="21"/>
          <w:highlight w:val="none"/>
        </w:rPr>
        <w:t>的</w:t>
      </w:r>
      <w:r>
        <w:rPr>
          <w:rStyle w:val="29"/>
          <w:bCs/>
          <w:color w:val="auto"/>
          <w:sz w:val="21"/>
          <w:highlight w:val="none"/>
        </w:rPr>
        <w:t>监督</w:t>
      </w:r>
      <w:r>
        <w:rPr>
          <w:rStyle w:val="29"/>
          <w:color w:val="auto"/>
          <w:sz w:val="21"/>
          <w:highlight w:val="none"/>
        </w:rPr>
        <w:t>下在</w:t>
      </w:r>
      <w:r>
        <w:rPr>
          <w:rStyle w:val="29"/>
          <w:bCs/>
          <w:color w:val="auto"/>
          <w:sz w:val="21"/>
          <w:highlight w:val="none"/>
        </w:rPr>
        <w:t>XXXXXXX</w:t>
      </w:r>
      <w:r>
        <w:rPr>
          <w:rStyle w:val="29"/>
          <w:color w:val="auto"/>
          <w:sz w:val="21"/>
          <w:highlight w:val="none"/>
        </w:rPr>
        <w:t>会议室进行了开标和评标，磋商小组根据磋商采购文件规定的评标办法和要求，对各投标单位的响应文件进行了认真地分析、对比、评议和打分，最后集体推荐综合得分最高的以下投标人为本项目的中标、成交人：</w:t>
      </w:r>
    </w:p>
    <w:tbl>
      <w:tblPr>
        <w:tblStyle w:val="25"/>
        <w:tblW w:w="8931" w:type="dxa"/>
        <w:tblInd w:w="-284"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2233"/>
        <w:gridCol w:w="6698"/>
      </w:tblGrid>
      <w:tr w14:paraId="7DC1831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87" w:hRule="atLeast"/>
        </w:trPr>
        <w:tc>
          <w:tcPr>
            <w:tcW w:w="2233" w:type="dxa"/>
            <w:tcBorders>
              <w:top w:val="single" w:color="000000" w:sz="12" w:space="0"/>
              <w:left w:val="single" w:color="000000" w:sz="12" w:space="0"/>
              <w:bottom w:val="single" w:color="000000" w:sz="6" w:space="0"/>
              <w:right w:val="single" w:color="000000" w:sz="6" w:space="0"/>
            </w:tcBorders>
            <w:vAlign w:val="center"/>
          </w:tcPr>
          <w:p w14:paraId="403012EE">
            <w:pPr>
              <w:spacing w:line="440" w:lineRule="exact"/>
              <w:jc w:val="center"/>
              <w:rPr>
                <w:rStyle w:val="29"/>
                <w:rFonts w:ascii="宋体" w:hAnsi="宋体"/>
                <w:color w:val="auto"/>
                <w:szCs w:val="21"/>
                <w:highlight w:val="none"/>
              </w:rPr>
            </w:pPr>
            <w:r>
              <w:rPr>
                <w:rStyle w:val="29"/>
                <w:rFonts w:ascii="宋体" w:hAnsi="宋体"/>
                <w:color w:val="auto"/>
                <w:szCs w:val="21"/>
                <w:highlight w:val="none"/>
              </w:rPr>
              <w:t>中标人名称</w:t>
            </w:r>
          </w:p>
        </w:tc>
        <w:tc>
          <w:tcPr>
            <w:tcW w:w="6698" w:type="dxa"/>
            <w:tcBorders>
              <w:top w:val="single" w:color="000000" w:sz="12" w:space="0"/>
              <w:left w:val="single" w:color="000000" w:sz="6" w:space="0"/>
              <w:bottom w:val="single" w:color="000000" w:sz="6" w:space="0"/>
              <w:right w:val="single" w:color="000000" w:sz="12" w:space="0"/>
            </w:tcBorders>
            <w:vAlign w:val="center"/>
          </w:tcPr>
          <w:p w14:paraId="789BAB13">
            <w:pPr>
              <w:spacing w:line="440" w:lineRule="exact"/>
              <w:rPr>
                <w:rStyle w:val="29"/>
                <w:rFonts w:ascii="宋体" w:hAnsi="宋体"/>
                <w:color w:val="auto"/>
                <w:szCs w:val="21"/>
                <w:highlight w:val="none"/>
              </w:rPr>
            </w:pPr>
          </w:p>
        </w:tc>
      </w:tr>
      <w:tr w14:paraId="7AD20DE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82" w:hRule="atLeast"/>
        </w:trPr>
        <w:tc>
          <w:tcPr>
            <w:tcW w:w="2233" w:type="dxa"/>
            <w:tcBorders>
              <w:top w:val="single" w:color="000000" w:sz="6" w:space="0"/>
              <w:left w:val="single" w:color="000000" w:sz="12" w:space="0"/>
              <w:bottom w:val="single" w:color="000000" w:sz="6" w:space="0"/>
              <w:right w:val="single" w:color="000000" w:sz="6" w:space="0"/>
            </w:tcBorders>
            <w:vAlign w:val="center"/>
          </w:tcPr>
          <w:p w14:paraId="36E25818">
            <w:pPr>
              <w:spacing w:line="440" w:lineRule="exact"/>
              <w:jc w:val="center"/>
              <w:rPr>
                <w:rStyle w:val="29"/>
                <w:rFonts w:ascii="宋体" w:hAnsi="宋体"/>
                <w:color w:val="auto"/>
                <w:szCs w:val="21"/>
                <w:highlight w:val="none"/>
              </w:rPr>
            </w:pPr>
            <w:r>
              <w:rPr>
                <w:rStyle w:val="29"/>
                <w:rFonts w:ascii="宋体" w:hAnsi="宋体"/>
                <w:color w:val="auto"/>
                <w:szCs w:val="21"/>
                <w:highlight w:val="none"/>
              </w:rPr>
              <w:t>中标人地址</w:t>
            </w:r>
          </w:p>
        </w:tc>
        <w:tc>
          <w:tcPr>
            <w:tcW w:w="6698" w:type="dxa"/>
            <w:tcBorders>
              <w:top w:val="single" w:color="000000" w:sz="6" w:space="0"/>
              <w:left w:val="single" w:color="000000" w:sz="6" w:space="0"/>
              <w:bottom w:val="single" w:color="000000" w:sz="6" w:space="0"/>
              <w:right w:val="single" w:color="000000" w:sz="12" w:space="0"/>
            </w:tcBorders>
            <w:vAlign w:val="center"/>
          </w:tcPr>
          <w:p w14:paraId="7D6B7096">
            <w:pPr>
              <w:spacing w:line="440" w:lineRule="exact"/>
              <w:rPr>
                <w:rStyle w:val="29"/>
                <w:rFonts w:ascii="宋体" w:hAnsi="宋体"/>
                <w:color w:val="auto"/>
                <w:szCs w:val="21"/>
                <w:highlight w:val="none"/>
              </w:rPr>
            </w:pPr>
          </w:p>
        </w:tc>
      </w:tr>
      <w:tr w14:paraId="1A2A339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trHeight w:val="834" w:hRule="atLeast"/>
        </w:trPr>
        <w:tc>
          <w:tcPr>
            <w:tcW w:w="2233" w:type="dxa"/>
            <w:vMerge w:val="restart"/>
            <w:tcBorders>
              <w:top w:val="single" w:color="000000" w:sz="6" w:space="0"/>
              <w:left w:val="single" w:color="000000" w:sz="12" w:space="0"/>
              <w:bottom w:val="single" w:color="000000" w:sz="6" w:space="0"/>
              <w:right w:val="single" w:color="000000" w:sz="6" w:space="0"/>
            </w:tcBorders>
            <w:vAlign w:val="center"/>
          </w:tcPr>
          <w:p w14:paraId="1331823F">
            <w:pPr>
              <w:spacing w:line="440" w:lineRule="exact"/>
              <w:jc w:val="center"/>
              <w:rPr>
                <w:rStyle w:val="29"/>
                <w:rFonts w:ascii="宋体" w:hAnsi="宋体"/>
                <w:color w:val="auto"/>
                <w:szCs w:val="21"/>
                <w:highlight w:val="none"/>
              </w:rPr>
            </w:pPr>
            <w:r>
              <w:rPr>
                <w:rStyle w:val="29"/>
                <w:rFonts w:ascii="宋体" w:hAnsi="宋体"/>
                <w:color w:val="auto"/>
                <w:szCs w:val="21"/>
                <w:highlight w:val="none"/>
              </w:rPr>
              <w:t>中标总金额</w:t>
            </w:r>
          </w:p>
          <w:p w14:paraId="4AAFFDFA">
            <w:pPr>
              <w:spacing w:line="440" w:lineRule="exact"/>
              <w:jc w:val="center"/>
              <w:rPr>
                <w:rStyle w:val="29"/>
                <w:rFonts w:ascii="宋体" w:hAnsi="宋体"/>
                <w:color w:val="auto"/>
                <w:szCs w:val="21"/>
                <w:highlight w:val="none"/>
              </w:rPr>
            </w:pPr>
            <w:r>
              <w:rPr>
                <w:rStyle w:val="29"/>
                <w:rFonts w:ascii="宋体" w:hAnsi="宋体"/>
                <w:color w:val="auto"/>
                <w:szCs w:val="21"/>
                <w:highlight w:val="none"/>
              </w:rPr>
              <w:t>人民币（元）</w:t>
            </w:r>
          </w:p>
        </w:tc>
        <w:tc>
          <w:tcPr>
            <w:tcW w:w="6698" w:type="dxa"/>
            <w:tcBorders>
              <w:top w:val="single" w:color="000000" w:sz="6" w:space="0"/>
              <w:left w:val="single" w:color="000000" w:sz="6" w:space="0"/>
              <w:bottom w:val="single" w:color="000000" w:sz="6" w:space="0"/>
              <w:right w:val="single" w:color="000000" w:sz="12" w:space="0"/>
            </w:tcBorders>
            <w:vAlign w:val="center"/>
          </w:tcPr>
          <w:p w14:paraId="51F23C94">
            <w:pPr>
              <w:spacing w:line="440" w:lineRule="exact"/>
              <w:rPr>
                <w:rStyle w:val="29"/>
                <w:rFonts w:ascii="宋体" w:hAnsi="宋体"/>
                <w:color w:val="auto"/>
                <w:szCs w:val="21"/>
                <w:highlight w:val="none"/>
              </w:rPr>
            </w:pPr>
            <w:r>
              <w:rPr>
                <w:rStyle w:val="29"/>
                <w:rFonts w:ascii="宋体" w:hAnsi="宋体"/>
                <w:color w:val="auto"/>
                <w:szCs w:val="21"/>
                <w:highlight w:val="none"/>
              </w:rPr>
              <w:t xml:space="preserve">大写： </w:t>
            </w:r>
          </w:p>
        </w:tc>
      </w:tr>
      <w:tr w14:paraId="4D12F52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cantSplit/>
          <w:trHeight w:val="803" w:hRule="atLeast"/>
        </w:trPr>
        <w:tc>
          <w:tcPr>
            <w:tcW w:w="2233" w:type="dxa"/>
            <w:vMerge w:val="continue"/>
            <w:tcBorders>
              <w:top w:val="single" w:color="000000" w:sz="6" w:space="0"/>
              <w:left w:val="single" w:color="000000" w:sz="12" w:space="0"/>
              <w:bottom w:val="single" w:color="000000" w:sz="6" w:space="0"/>
              <w:right w:val="single" w:color="000000" w:sz="6" w:space="0"/>
            </w:tcBorders>
            <w:vAlign w:val="center"/>
          </w:tcPr>
          <w:p w14:paraId="3C603FEF">
            <w:pPr>
              <w:jc w:val="center"/>
              <w:rPr>
                <w:rStyle w:val="29"/>
                <w:rFonts w:ascii="宋体" w:hAnsi="宋体"/>
                <w:color w:val="auto"/>
                <w:szCs w:val="21"/>
                <w:highlight w:val="none"/>
              </w:rPr>
            </w:pPr>
          </w:p>
        </w:tc>
        <w:tc>
          <w:tcPr>
            <w:tcW w:w="6698" w:type="dxa"/>
            <w:tcBorders>
              <w:top w:val="single" w:color="000000" w:sz="6" w:space="0"/>
              <w:left w:val="single" w:color="000000" w:sz="6" w:space="0"/>
              <w:bottom w:val="single" w:color="000000" w:sz="6" w:space="0"/>
              <w:right w:val="single" w:color="000000" w:sz="12" w:space="0"/>
            </w:tcBorders>
            <w:vAlign w:val="center"/>
          </w:tcPr>
          <w:p w14:paraId="0B1AD627">
            <w:pPr>
              <w:spacing w:line="440" w:lineRule="exact"/>
              <w:rPr>
                <w:rStyle w:val="29"/>
                <w:rFonts w:ascii="宋体" w:hAnsi="宋体"/>
                <w:color w:val="auto"/>
                <w:szCs w:val="21"/>
                <w:highlight w:val="none"/>
              </w:rPr>
            </w:pPr>
            <w:r>
              <w:rPr>
                <w:rStyle w:val="29"/>
                <w:rFonts w:ascii="宋体" w:hAnsi="宋体"/>
                <w:color w:val="auto"/>
                <w:szCs w:val="21"/>
                <w:highlight w:val="none"/>
              </w:rPr>
              <w:t>小写：</w:t>
            </w:r>
          </w:p>
        </w:tc>
      </w:tr>
      <w:tr w14:paraId="5801184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47" w:hRule="atLeast"/>
        </w:trPr>
        <w:tc>
          <w:tcPr>
            <w:tcW w:w="2233" w:type="dxa"/>
            <w:tcBorders>
              <w:top w:val="single" w:color="000000" w:sz="6" w:space="0"/>
              <w:left w:val="single" w:color="000000" w:sz="12" w:space="0"/>
              <w:bottom w:val="single" w:color="000000" w:sz="12" w:space="0"/>
              <w:right w:val="single" w:color="000000" w:sz="6" w:space="0"/>
            </w:tcBorders>
            <w:vAlign w:val="center"/>
          </w:tcPr>
          <w:p w14:paraId="65560446">
            <w:pPr>
              <w:spacing w:line="440" w:lineRule="exact"/>
              <w:jc w:val="center"/>
              <w:rPr>
                <w:rStyle w:val="29"/>
                <w:rFonts w:ascii="宋体" w:hAnsi="宋体"/>
                <w:color w:val="auto"/>
                <w:szCs w:val="21"/>
                <w:highlight w:val="none"/>
              </w:rPr>
            </w:pPr>
            <w:r>
              <w:rPr>
                <w:rStyle w:val="29"/>
                <w:rFonts w:ascii="宋体" w:hAnsi="宋体"/>
                <w:color w:val="auto"/>
                <w:szCs w:val="21"/>
                <w:highlight w:val="none"/>
              </w:rPr>
              <w:t>备          注</w:t>
            </w:r>
          </w:p>
        </w:tc>
        <w:tc>
          <w:tcPr>
            <w:tcW w:w="6698" w:type="dxa"/>
            <w:tcBorders>
              <w:top w:val="single" w:color="000000" w:sz="6" w:space="0"/>
              <w:left w:val="single" w:color="000000" w:sz="6" w:space="0"/>
              <w:bottom w:val="single" w:color="000000" w:sz="12" w:space="0"/>
              <w:right w:val="single" w:color="000000" w:sz="12" w:space="0"/>
            </w:tcBorders>
            <w:vAlign w:val="center"/>
          </w:tcPr>
          <w:p w14:paraId="6232A949">
            <w:pPr>
              <w:spacing w:line="440" w:lineRule="exact"/>
              <w:rPr>
                <w:rStyle w:val="29"/>
                <w:rFonts w:ascii="宋体" w:hAnsi="宋体"/>
                <w:color w:val="auto"/>
                <w:szCs w:val="21"/>
                <w:highlight w:val="none"/>
              </w:rPr>
            </w:pPr>
          </w:p>
        </w:tc>
      </w:tr>
    </w:tbl>
    <w:p w14:paraId="4C17C2B5">
      <w:pPr>
        <w:spacing w:line="440" w:lineRule="exact"/>
        <w:ind w:firstLine="210" w:firstLineChars="100"/>
        <w:rPr>
          <w:rStyle w:val="29"/>
          <w:rFonts w:ascii="宋体" w:hAnsi="宋体"/>
          <w:color w:val="auto"/>
          <w:szCs w:val="21"/>
          <w:highlight w:val="none"/>
        </w:rPr>
      </w:pPr>
      <w:r>
        <w:rPr>
          <w:rStyle w:val="29"/>
          <w:rFonts w:ascii="宋体" w:hAnsi="宋体"/>
          <w:color w:val="auto"/>
          <w:szCs w:val="21"/>
          <w:highlight w:val="none"/>
        </w:rPr>
        <w:t xml:space="preserve">磋商小组全体签字：                                               </w:t>
      </w:r>
    </w:p>
    <w:p w14:paraId="59B53A95">
      <w:pPr>
        <w:spacing w:line="440" w:lineRule="exact"/>
        <w:ind w:firstLine="210" w:firstLineChars="100"/>
        <w:rPr>
          <w:rStyle w:val="29"/>
          <w:rFonts w:ascii="宋体" w:hAnsi="宋体"/>
          <w:color w:val="auto"/>
          <w:szCs w:val="21"/>
          <w:highlight w:val="none"/>
        </w:rPr>
      </w:pPr>
    </w:p>
    <w:p w14:paraId="49C7E9F5">
      <w:pPr>
        <w:spacing w:line="440" w:lineRule="exact"/>
        <w:ind w:firstLine="210" w:firstLineChars="100"/>
        <w:rPr>
          <w:rStyle w:val="29"/>
          <w:rFonts w:ascii="宋体" w:hAnsi="宋体"/>
          <w:color w:val="auto"/>
          <w:szCs w:val="21"/>
          <w:highlight w:val="none"/>
        </w:rPr>
      </w:pPr>
    </w:p>
    <w:p w14:paraId="0FD7C980">
      <w:pPr>
        <w:spacing w:line="440" w:lineRule="exact"/>
        <w:ind w:firstLine="210" w:firstLineChars="100"/>
        <w:rPr>
          <w:rStyle w:val="29"/>
          <w:rFonts w:ascii="宋体" w:hAnsi="宋体"/>
          <w:color w:val="auto"/>
          <w:szCs w:val="21"/>
          <w:highlight w:val="none"/>
        </w:rPr>
      </w:pPr>
    </w:p>
    <w:p w14:paraId="06BB4A40">
      <w:pPr>
        <w:spacing w:line="440" w:lineRule="exact"/>
        <w:ind w:firstLine="210" w:firstLineChars="100"/>
        <w:rPr>
          <w:rStyle w:val="29"/>
          <w:rFonts w:ascii="宋体" w:hAnsi="宋体"/>
          <w:color w:val="auto"/>
          <w:szCs w:val="21"/>
          <w:highlight w:val="none"/>
        </w:rPr>
      </w:pPr>
      <w:r>
        <w:rPr>
          <w:rStyle w:val="29"/>
          <w:rFonts w:ascii="宋体" w:hAnsi="宋体"/>
          <w:color w:val="auto"/>
          <w:szCs w:val="21"/>
          <w:highlight w:val="none"/>
        </w:rPr>
        <w:t>用户代表签字：</w:t>
      </w:r>
    </w:p>
    <w:p w14:paraId="22B4C22E">
      <w:pPr>
        <w:pStyle w:val="40"/>
        <w:rPr>
          <w:rStyle w:val="29"/>
          <w:color w:val="auto"/>
          <w:highlight w:val="none"/>
        </w:rPr>
      </w:pPr>
    </w:p>
    <w:p w14:paraId="7B1F71D7">
      <w:pPr>
        <w:spacing w:line="440" w:lineRule="exact"/>
        <w:ind w:firstLine="210" w:firstLineChars="100"/>
        <w:rPr>
          <w:rStyle w:val="29"/>
          <w:rFonts w:ascii="宋体" w:hAnsi="宋体"/>
          <w:color w:val="auto"/>
          <w:szCs w:val="21"/>
          <w:highlight w:val="none"/>
        </w:rPr>
      </w:pPr>
      <w:r>
        <w:rPr>
          <w:rStyle w:val="29"/>
          <w:rFonts w:ascii="宋体" w:hAnsi="宋体"/>
          <w:color w:val="auto"/>
          <w:szCs w:val="21"/>
          <w:highlight w:val="none"/>
        </w:rPr>
        <w:t>监督部门代表签字：</w:t>
      </w:r>
    </w:p>
    <w:p w14:paraId="6013C26A">
      <w:pPr>
        <w:pStyle w:val="49"/>
        <w:spacing w:after="0" w:line="440" w:lineRule="exact"/>
        <w:jc w:val="right"/>
        <w:rPr>
          <w:rStyle w:val="29"/>
          <w:rFonts w:ascii="宋体" w:hAnsi="宋体"/>
          <w:color w:val="auto"/>
          <w:sz w:val="21"/>
          <w:szCs w:val="21"/>
          <w:highlight w:val="none"/>
        </w:rPr>
      </w:pPr>
    </w:p>
    <w:p w14:paraId="1BFEBA08">
      <w:pPr>
        <w:pStyle w:val="49"/>
        <w:spacing w:after="0" w:line="440" w:lineRule="exact"/>
        <w:jc w:val="right"/>
        <w:rPr>
          <w:rStyle w:val="29"/>
          <w:rFonts w:ascii="宋体" w:hAnsi="宋体"/>
          <w:color w:val="auto"/>
          <w:sz w:val="21"/>
          <w:szCs w:val="21"/>
          <w:highlight w:val="none"/>
        </w:rPr>
      </w:pPr>
      <w:r>
        <w:rPr>
          <w:rStyle w:val="29"/>
          <w:rFonts w:ascii="宋体" w:hAnsi="宋体"/>
          <w:color w:val="auto"/>
          <w:sz w:val="21"/>
          <w:szCs w:val="21"/>
          <w:highlight w:val="none"/>
        </w:rPr>
        <w:t>磋商小组</w:t>
      </w:r>
    </w:p>
    <w:p w14:paraId="63532A5F">
      <w:pPr>
        <w:tabs>
          <w:tab w:val="left" w:pos="420"/>
          <w:tab w:val="left" w:pos="7560"/>
          <w:tab w:val="left" w:pos="7740"/>
          <w:tab w:val="left" w:pos="7920"/>
        </w:tabs>
        <w:snapToGrid w:val="0"/>
        <w:spacing w:line="440" w:lineRule="exact"/>
        <w:rPr>
          <w:rStyle w:val="29"/>
          <w:rFonts w:hAnsi="宋体"/>
          <w:b/>
          <w:color w:val="auto"/>
          <w:highlight w:val="none"/>
        </w:rPr>
      </w:pPr>
      <w:r>
        <w:rPr>
          <w:rStyle w:val="29"/>
          <w:rFonts w:ascii="宋体" w:hAnsi="宋体"/>
          <w:color w:val="auto"/>
          <w:szCs w:val="21"/>
          <w:highlight w:val="none"/>
        </w:rPr>
        <w:t xml:space="preserve">                                                              年    月   日</w:t>
      </w:r>
    </w:p>
    <w:p w14:paraId="765CCF5E">
      <w:pPr>
        <w:spacing w:after="312" w:line="440" w:lineRule="atLeast"/>
        <w:jc w:val="center"/>
        <w:rPr>
          <w:rStyle w:val="29"/>
          <w:rFonts w:ascii="黑体" w:hAnsi="宋体" w:eastAsia="黑体"/>
          <w:b/>
          <w:color w:val="auto"/>
          <w:sz w:val="32"/>
          <w:szCs w:val="32"/>
          <w:highlight w:val="none"/>
        </w:rPr>
      </w:pPr>
    </w:p>
    <w:p w14:paraId="2C20571A">
      <w:pPr>
        <w:rPr>
          <w:color w:val="auto"/>
          <w:highlight w:val="none"/>
        </w:rPr>
      </w:pPr>
    </w:p>
    <w:p w14:paraId="0A8E4A73">
      <w:pPr>
        <w:rPr>
          <w:color w:val="auto"/>
          <w:highlight w:val="none"/>
        </w:rPr>
      </w:pPr>
    </w:p>
    <w:p w14:paraId="08202396">
      <w:pPr>
        <w:pStyle w:val="2"/>
        <w:spacing w:after="312" w:line="440" w:lineRule="atLeast"/>
        <w:jc w:val="center"/>
        <w:rPr>
          <w:rStyle w:val="29"/>
          <w:rFonts w:ascii="黑体" w:hAnsi="宋体" w:eastAsia="黑体"/>
          <w:color w:val="auto"/>
          <w:sz w:val="32"/>
          <w:szCs w:val="32"/>
          <w:highlight w:val="none"/>
        </w:rPr>
      </w:pPr>
      <w:bookmarkStart w:id="104" w:name="_Toc7608"/>
      <w:r>
        <w:rPr>
          <w:rStyle w:val="29"/>
          <w:rFonts w:ascii="黑体" w:hAnsi="宋体" w:eastAsia="黑体"/>
          <w:color w:val="auto"/>
          <w:kern w:val="2"/>
          <w:sz w:val="32"/>
          <w:szCs w:val="32"/>
          <w:highlight w:val="none"/>
        </w:rPr>
        <w:t>第</w:t>
      </w:r>
      <w:r>
        <w:rPr>
          <w:rStyle w:val="29"/>
          <w:rFonts w:hint="eastAsia" w:ascii="黑体" w:hAnsi="宋体" w:eastAsia="黑体"/>
          <w:color w:val="auto"/>
          <w:kern w:val="2"/>
          <w:sz w:val="32"/>
          <w:szCs w:val="32"/>
          <w:highlight w:val="none"/>
        </w:rPr>
        <w:t>三</w:t>
      </w:r>
      <w:r>
        <w:rPr>
          <w:rStyle w:val="29"/>
          <w:rFonts w:ascii="黑体" w:hAnsi="宋体" w:eastAsia="黑体"/>
          <w:color w:val="auto"/>
          <w:kern w:val="2"/>
          <w:sz w:val="32"/>
          <w:szCs w:val="32"/>
          <w:highlight w:val="none"/>
        </w:rPr>
        <w:t>章 采购</w:t>
      </w:r>
      <w:r>
        <w:rPr>
          <w:rStyle w:val="29"/>
          <w:rFonts w:hint="eastAsia" w:ascii="黑体" w:hAnsi="宋体" w:eastAsia="黑体"/>
          <w:color w:val="auto"/>
          <w:kern w:val="2"/>
          <w:sz w:val="32"/>
          <w:szCs w:val="32"/>
          <w:highlight w:val="none"/>
        </w:rPr>
        <w:t>需求</w:t>
      </w:r>
      <w:bookmarkEnd w:id="104"/>
    </w:p>
    <w:p w14:paraId="3C21ECE3">
      <w:pPr>
        <w:kinsoku w:val="0"/>
        <w:autoSpaceDE w:val="0"/>
        <w:autoSpaceDN w:val="0"/>
        <w:adjustRightInd w:val="0"/>
        <w:snapToGrid w:val="0"/>
        <w:spacing w:line="360" w:lineRule="auto"/>
        <w:ind w:firstLine="510" w:firstLineChars="200"/>
        <w:jc w:val="left"/>
        <w:rPr>
          <w:rFonts w:ascii="宋体" w:hAnsi="宋体" w:cs="宋体"/>
          <w:b/>
          <w:bCs/>
          <w:color w:val="auto"/>
          <w:kern w:val="0"/>
          <w:sz w:val="24"/>
          <w:highlight w:val="none"/>
        </w:rPr>
      </w:pPr>
      <w:r>
        <w:rPr>
          <w:rFonts w:hint="eastAsia" w:ascii="宋体" w:hAnsi="宋体" w:cs="宋体"/>
          <w:b/>
          <w:bCs/>
          <w:color w:val="auto"/>
          <w:spacing w:val="7"/>
          <w:kern w:val="0"/>
          <w:sz w:val="24"/>
          <w:highlight w:val="none"/>
        </w:rPr>
        <w:t>一、项目基本概况</w:t>
      </w:r>
    </w:p>
    <w:p w14:paraId="5DB3CB19">
      <w:pPr>
        <w:widowControl w:val="0"/>
        <w:kinsoku w:val="0"/>
        <w:autoSpaceDE w:val="0"/>
        <w:autoSpaceDN w:val="0"/>
        <w:adjustRightInd w:val="0"/>
        <w:snapToGrid w:val="0"/>
        <w:spacing w:line="360" w:lineRule="auto"/>
        <w:ind w:firstLine="484" w:firstLineChars="200"/>
        <w:rPr>
          <w:rFonts w:hint="eastAsia" w:ascii="宋体" w:hAnsi="宋体" w:cs="宋体"/>
          <w:color w:val="auto"/>
          <w:spacing w:val="1"/>
          <w:sz w:val="24"/>
          <w:highlight w:val="none"/>
          <w:lang w:val="en-US" w:eastAsia="zh-CN"/>
        </w:rPr>
      </w:pPr>
      <w:r>
        <w:rPr>
          <w:rFonts w:hint="eastAsia" w:ascii="宋体" w:hAnsi="宋体" w:cs="宋体"/>
          <w:color w:val="auto"/>
          <w:spacing w:val="1"/>
          <w:sz w:val="24"/>
          <w:highlight w:val="none"/>
          <w:lang w:val="en-US" w:eastAsia="zh-CN"/>
        </w:rPr>
        <w:t>郴州市南岭植物园园区面积大，涉及园区环境卫生保洁、公共秩序安保、安全生产应急、森林资源管护、专类园绿化养</w:t>
      </w:r>
      <w:r>
        <w:rPr>
          <w:rFonts w:hint="eastAsia" w:ascii="宋体" w:hAnsi="宋体" w:cs="宋体"/>
          <w:color w:val="auto"/>
          <w:spacing w:val="1"/>
          <w:sz w:val="24"/>
          <w:highlight w:val="none"/>
          <w:lang w:val="en-US" w:eastAsia="zh-CN"/>
        </w:rPr>
        <w:t>护等多类辅助用工需求。为保障园区日常运维管理、植物资源管护、游客服务等工作常态化规范运行，现通过竞争性磋商方式采购专业服务单位，为本园提供综合性劳务用工服务。</w:t>
      </w:r>
    </w:p>
    <w:p w14:paraId="438CEE75">
      <w:pPr>
        <w:widowControl w:val="0"/>
        <w:kinsoku w:val="0"/>
        <w:autoSpaceDE w:val="0"/>
        <w:autoSpaceDN w:val="0"/>
        <w:adjustRightInd w:val="0"/>
        <w:snapToGrid w:val="0"/>
        <w:spacing w:line="360" w:lineRule="auto"/>
        <w:ind w:firstLine="504" w:firstLineChars="200"/>
        <w:rPr>
          <w:rFonts w:ascii="宋体" w:hAnsi="宋体" w:cs="宋体"/>
          <w:color w:val="auto"/>
          <w:spacing w:val="6"/>
          <w:sz w:val="24"/>
          <w:highlight w:val="none"/>
        </w:rPr>
      </w:pPr>
      <w:r>
        <w:rPr>
          <w:rFonts w:hint="eastAsia" w:ascii="宋体" w:hAnsi="宋体" w:cs="宋体"/>
          <w:color w:val="auto"/>
          <w:spacing w:val="6"/>
          <w:sz w:val="24"/>
          <w:highlight w:val="none"/>
        </w:rPr>
        <w:t>服务期限：一年。</w:t>
      </w:r>
    </w:p>
    <w:p w14:paraId="329E88EC">
      <w:pPr>
        <w:pStyle w:val="35"/>
        <w:spacing w:line="360" w:lineRule="auto"/>
        <w:ind w:firstLine="506"/>
        <w:rPr>
          <w:rFonts w:ascii="宋体" w:hAnsi="宋体" w:cs="宋体"/>
          <w:b/>
          <w:bCs/>
          <w:color w:val="auto"/>
          <w:spacing w:val="6"/>
          <w:sz w:val="24"/>
          <w:szCs w:val="24"/>
          <w:highlight w:val="none"/>
        </w:rPr>
      </w:pPr>
      <w:r>
        <w:rPr>
          <w:rFonts w:hint="eastAsia" w:ascii="宋体" w:hAnsi="宋体" w:cs="宋体"/>
          <w:b/>
          <w:bCs/>
          <w:color w:val="auto"/>
          <w:spacing w:val="6"/>
          <w:sz w:val="24"/>
          <w:szCs w:val="24"/>
          <w:highlight w:val="none"/>
        </w:rPr>
        <w:t>二、</w:t>
      </w:r>
      <w:r>
        <w:rPr>
          <w:rFonts w:hint="eastAsia" w:ascii="宋体" w:hAnsi="宋体" w:cs="宋体"/>
          <w:b/>
          <w:bCs/>
          <w:color w:val="auto"/>
          <w:kern w:val="0"/>
          <w:sz w:val="24"/>
          <w:szCs w:val="24"/>
          <w:highlight w:val="none"/>
        </w:rPr>
        <w:t>服务内容及要求</w:t>
      </w:r>
    </w:p>
    <w:p w14:paraId="5F836563">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（一）、植物园服务范围 ：</w:t>
      </w:r>
    </w:p>
    <w:p w14:paraId="4B45E140">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南岭植物园现有水域面积20412㎡、柏油路面积</w:t>
      </w:r>
      <w:r>
        <w:rPr>
          <w:rFonts w:hint="eastAsia" w:ascii="宋体" w:hAnsi="宋体" w:cs="宋体"/>
          <w:color w:val="auto"/>
          <w:kern w:val="0"/>
          <w:sz w:val="24"/>
          <w:highlight w:val="none"/>
          <w:lang w:val="en-US" w:eastAsia="zh-CN"/>
        </w:rPr>
        <w:t>33276</w:t>
      </w:r>
      <w:r>
        <w:rPr>
          <w:rFonts w:hint="eastAsia" w:ascii="宋体" w:hAnsi="宋体" w:cs="宋体"/>
          <w:color w:val="auto"/>
          <w:kern w:val="0"/>
          <w:sz w:val="24"/>
          <w:highlight w:val="none"/>
        </w:rPr>
        <w:t>.8㎡、水泥路面3000㎡、游道12</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67.83㎡、柏油路面广场两个1645.2㎡、石材铺装广场2250㎡、垃圾桶104个、宣传牌68块、石凳条凳44张、桌凳33套、凉亭8座、石板游道1997.95㎡、木栈道1261.4㎡、森林防火警示牌和科普宣传牌共</w:t>
      </w:r>
      <w:r>
        <w:rPr>
          <w:rFonts w:hint="eastAsia" w:ascii="宋体" w:hAnsi="宋体" w:cs="宋体"/>
          <w:color w:val="auto"/>
          <w:kern w:val="0"/>
          <w:sz w:val="24"/>
          <w:highlight w:val="none"/>
          <w:lang w:val="en-US" w:eastAsia="zh-CN"/>
        </w:rPr>
        <w:t>125</w:t>
      </w:r>
      <w:r>
        <w:rPr>
          <w:rFonts w:hint="eastAsia" w:ascii="宋体" w:hAnsi="宋体" w:cs="宋体"/>
          <w:color w:val="auto"/>
          <w:kern w:val="0"/>
          <w:sz w:val="24"/>
          <w:highlight w:val="none"/>
        </w:rPr>
        <w:t>块、值班岗亭</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个</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公共</w:t>
      </w:r>
      <w:r>
        <w:rPr>
          <w:rFonts w:hint="eastAsia" w:ascii="宋体" w:hAnsi="宋体" w:cs="宋体"/>
          <w:color w:val="auto"/>
          <w:kern w:val="0"/>
          <w:sz w:val="24"/>
          <w:highlight w:val="none"/>
        </w:rPr>
        <w:t>厕所6座共有蹲位</w:t>
      </w:r>
      <w:r>
        <w:rPr>
          <w:rFonts w:hint="eastAsia" w:ascii="宋体" w:hAnsi="宋体" w:cs="宋体"/>
          <w:color w:val="auto"/>
          <w:kern w:val="0"/>
          <w:sz w:val="24"/>
          <w:highlight w:val="none"/>
          <w:lang w:val="en-US" w:eastAsia="zh-CN"/>
        </w:rPr>
        <w:t>71</w:t>
      </w:r>
      <w:r>
        <w:rPr>
          <w:rFonts w:hint="eastAsia" w:ascii="宋体" w:hAnsi="宋体" w:cs="宋体"/>
          <w:color w:val="auto"/>
          <w:kern w:val="0"/>
          <w:sz w:val="24"/>
          <w:highlight w:val="none"/>
        </w:rPr>
        <w:t>个</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管护站房、</w:t>
      </w:r>
      <w:r>
        <w:rPr>
          <w:rFonts w:hint="eastAsia" w:ascii="宋体" w:hAnsi="宋体" w:cs="宋体"/>
          <w:color w:val="auto"/>
          <w:kern w:val="0"/>
          <w:sz w:val="24"/>
          <w:highlight w:val="none"/>
        </w:rPr>
        <w:t>植物园内老家属</w:t>
      </w:r>
      <w:r>
        <w:rPr>
          <w:rFonts w:hint="eastAsia" w:ascii="宋体" w:hAnsi="宋体" w:cs="宋体"/>
          <w:color w:val="auto"/>
          <w:kern w:val="0"/>
          <w:sz w:val="24"/>
          <w:highlight w:val="none"/>
          <w:lang w:val="en-US" w:eastAsia="zh-CN"/>
        </w:rPr>
        <w:t>楼</w:t>
      </w:r>
      <w:r>
        <w:rPr>
          <w:rFonts w:hint="eastAsia" w:ascii="宋体" w:hAnsi="宋体" w:cs="宋体"/>
          <w:color w:val="auto"/>
          <w:kern w:val="0"/>
          <w:sz w:val="24"/>
          <w:highlight w:val="none"/>
        </w:rPr>
        <w:t>及办公楼</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科研楼</w:t>
      </w:r>
      <w:r>
        <w:rPr>
          <w:rFonts w:hint="eastAsia" w:ascii="宋体" w:hAnsi="宋体" w:cs="宋体"/>
          <w:color w:val="auto"/>
          <w:kern w:val="0"/>
          <w:sz w:val="24"/>
          <w:highlight w:val="none"/>
        </w:rPr>
        <w:t>卫生管理区域，其他附属设施建设中。</w:t>
      </w:r>
    </w:p>
    <w:p w14:paraId="153E39BE">
      <w:pPr>
        <w:numPr>
          <w:ilvl w:val="0"/>
          <w:numId w:val="4"/>
        </w:num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lang w:eastAsia="en-US"/>
        </w:rPr>
      </w:pPr>
      <w:r>
        <w:rPr>
          <w:rFonts w:hint="eastAsia" w:ascii="宋体" w:hAnsi="宋体" w:cs="宋体"/>
          <w:color w:val="auto"/>
          <w:kern w:val="0"/>
          <w:sz w:val="24"/>
          <w:highlight w:val="none"/>
          <w:lang w:eastAsia="en-US"/>
        </w:rPr>
        <w:t>、人员配备:</w:t>
      </w:r>
    </w:p>
    <w:p w14:paraId="4783E9F2">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eastAsia="en-US"/>
        </w:rPr>
      </w:pPr>
      <w:r>
        <w:rPr>
          <w:rFonts w:hint="eastAsia" w:ascii="宋体" w:hAnsi="宋体" w:cs="宋体"/>
          <w:color w:val="auto"/>
          <w:kern w:val="0"/>
          <w:sz w:val="24"/>
          <w:highlight w:val="none"/>
          <w:lang w:eastAsia="en-US"/>
        </w:rPr>
        <w:t>项目主管：1人</w:t>
      </w:r>
    </w:p>
    <w:p w14:paraId="4ABD69A1">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lang w:eastAsia="en-US"/>
        </w:rPr>
      </w:pPr>
      <w:r>
        <w:rPr>
          <w:rFonts w:hint="eastAsia" w:ascii="宋体" w:hAnsi="宋体" w:cs="宋体"/>
          <w:color w:val="auto"/>
          <w:kern w:val="0"/>
          <w:sz w:val="24"/>
          <w:highlight w:val="none"/>
          <w:lang w:eastAsia="en-US"/>
        </w:rPr>
        <w:t>保洁员：1</w:t>
      </w: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lang w:eastAsia="en-US"/>
        </w:rPr>
        <w:t>人</w:t>
      </w:r>
    </w:p>
    <w:p w14:paraId="75B7F307">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eastAsia="en-US"/>
        </w:rPr>
      </w:pPr>
      <w:r>
        <w:rPr>
          <w:rFonts w:hint="eastAsia" w:ascii="宋体" w:hAnsi="宋体" w:cs="宋体"/>
          <w:color w:val="auto"/>
          <w:kern w:val="0"/>
          <w:sz w:val="24"/>
          <w:highlight w:val="none"/>
        </w:rPr>
        <w:t>安保</w:t>
      </w:r>
      <w:r>
        <w:rPr>
          <w:rFonts w:hint="eastAsia" w:ascii="宋体" w:hAnsi="宋体" w:cs="宋体"/>
          <w:color w:val="auto"/>
          <w:kern w:val="0"/>
          <w:sz w:val="24"/>
          <w:highlight w:val="none"/>
          <w:lang w:eastAsia="en-US"/>
        </w:rPr>
        <w:t>人员：1</w:t>
      </w:r>
      <w:r>
        <w:rPr>
          <w:rFonts w:hint="eastAsia" w:ascii="宋体" w:hAnsi="宋体" w:cs="宋体"/>
          <w:color w:val="auto"/>
          <w:kern w:val="0"/>
          <w:sz w:val="24"/>
          <w:highlight w:val="none"/>
          <w:lang w:val="en-US" w:eastAsia="zh-CN"/>
        </w:rPr>
        <w:t>3</w:t>
      </w:r>
      <w:r>
        <w:rPr>
          <w:rFonts w:hint="eastAsia" w:ascii="宋体" w:hAnsi="宋体" w:cs="宋体"/>
          <w:color w:val="auto"/>
          <w:kern w:val="0"/>
          <w:sz w:val="24"/>
          <w:highlight w:val="none"/>
          <w:lang w:eastAsia="en-US"/>
        </w:rPr>
        <w:t>人</w:t>
      </w:r>
    </w:p>
    <w:p w14:paraId="3BDCD8B2">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育苗大棚：2人</w:t>
      </w:r>
    </w:p>
    <w:p w14:paraId="0348C9CC">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专类园：2人</w:t>
      </w:r>
    </w:p>
    <w:p w14:paraId="01344CA9">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植物收集园：2人</w:t>
      </w:r>
    </w:p>
    <w:p w14:paraId="730B5F4F">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val="en-US" w:eastAsia="zh-CN"/>
        </w:rPr>
      </w:pPr>
      <w:r>
        <w:rPr>
          <w:rFonts w:hint="default" w:ascii="宋体" w:hAnsi="宋体" w:cs="宋体"/>
          <w:color w:val="auto"/>
          <w:kern w:val="0"/>
          <w:sz w:val="24"/>
          <w:highlight w:val="none"/>
          <w:lang w:val="en-US" w:eastAsia="zh-CN"/>
        </w:rPr>
        <w:t>资源办所辖范围</w:t>
      </w:r>
      <w:r>
        <w:rPr>
          <w:rFonts w:hint="eastAsia" w:ascii="宋体" w:hAnsi="宋体" w:cs="宋体"/>
          <w:color w:val="auto"/>
          <w:kern w:val="0"/>
          <w:sz w:val="24"/>
          <w:highlight w:val="none"/>
          <w:lang w:val="en-US" w:eastAsia="zh-CN"/>
        </w:rPr>
        <w:t>：6人</w:t>
      </w:r>
    </w:p>
    <w:p w14:paraId="72BEA51A">
      <w:pPr>
        <w:kinsoku w:val="0"/>
        <w:autoSpaceDE w:val="0"/>
        <w:autoSpaceDN w:val="0"/>
        <w:adjustRightInd w:val="0"/>
        <w:snapToGrid w:val="0"/>
        <w:spacing w:line="360" w:lineRule="auto"/>
        <w:ind w:firstLine="480" w:firstLineChars="200"/>
        <w:jc w:val="left"/>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林下经济植物研究室</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1人</w:t>
      </w:r>
    </w:p>
    <w:p w14:paraId="150E6C82">
      <w:p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lang w:eastAsia="en-US"/>
        </w:rPr>
      </w:pPr>
      <w:r>
        <w:rPr>
          <w:rFonts w:hint="eastAsia" w:ascii="宋体" w:hAnsi="宋体" w:cs="宋体"/>
          <w:color w:val="auto"/>
          <w:kern w:val="0"/>
          <w:sz w:val="24"/>
          <w:highlight w:val="none"/>
          <w:lang w:eastAsia="en-US"/>
        </w:rPr>
        <w:t xml:space="preserve">水电工岗：1人 </w:t>
      </w:r>
    </w:p>
    <w:p w14:paraId="1EE7367F">
      <w:pPr>
        <w:numPr>
          <w:ilvl w:val="0"/>
          <w:numId w:val="0"/>
        </w:numPr>
        <w:kinsoku w:val="0"/>
        <w:autoSpaceDE w:val="0"/>
        <w:autoSpaceDN w:val="0"/>
        <w:adjustRightInd w:val="0"/>
        <w:snapToGrid w:val="0"/>
        <w:spacing w:line="360" w:lineRule="auto"/>
        <w:ind w:firstLine="480" w:firstLineChars="200"/>
        <w:jc w:val="left"/>
        <w:rPr>
          <w:rFonts w:hint="eastAsia" w:ascii="宋体" w:hAnsi="宋体" w:cs="宋体"/>
          <w:color w:val="auto"/>
          <w:kern w:val="0"/>
          <w:sz w:val="24"/>
          <w:highlight w:val="none"/>
        </w:rPr>
      </w:pPr>
      <w:r>
        <w:rPr>
          <w:rFonts w:hint="eastAsia" w:ascii="宋体" w:hAnsi="宋体" w:eastAsia="宋体" w:cs="宋体"/>
          <w:color w:val="auto"/>
          <w:kern w:val="0"/>
          <w:sz w:val="24"/>
          <w:szCs w:val="24"/>
          <w:highlight w:val="none"/>
          <w:lang w:val="en-US" w:eastAsia="zh-CN" w:bidi="ar-SA"/>
        </w:rPr>
        <w:t>1、</w:t>
      </w:r>
      <w:r>
        <w:rPr>
          <w:rFonts w:hint="eastAsia" w:ascii="宋体" w:hAnsi="宋体" w:cs="宋体"/>
          <w:color w:val="auto"/>
          <w:kern w:val="0"/>
          <w:sz w:val="24"/>
          <w:highlight w:val="none"/>
        </w:rPr>
        <w:t>项目主管：要求三年以上物业管理服务经验，责任心强，具较强的组织、协调和决策能力，有丰富的实际管理经验，需在岗上班。项目主管的出勤情况是对公司考核重要内容之一。</w:t>
      </w:r>
    </w:p>
    <w:p w14:paraId="54C7DF76">
      <w:pPr>
        <w:numPr>
          <w:ilvl w:val="0"/>
          <w:numId w:val="0"/>
        </w:numPr>
        <w:kinsoku w:val="0"/>
        <w:autoSpaceDE w:val="0"/>
        <w:autoSpaceDN w:val="0"/>
        <w:adjustRightInd w:val="0"/>
        <w:snapToGrid w:val="0"/>
        <w:spacing w:line="360" w:lineRule="auto"/>
        <w:ind w:left="0" w:leftChars="0" w:firstLine="480" w:firstLineChars="20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水电工岗：负责办公区、植物园水电设施日常巡查、维修、应急处理，水电安全保障、冬天景观温室的加班等。(本岗位从业人员须持有应急管理部门核发、在有效期内的《中华人民共和国特种作业操作证（低压电工作业）》，无证、证件过期人员不得上岗从事电气作业)</w:t>
      </w:r>
    </w:p>
    <w:p w14:paraId="4D56AAA9">
      <w:pPr>
        <w:numPr>
          <w:ilvl w:val="0"/>
          <w:numId w:val="0"/>
        </w:numPr>
        <w:kinsoku w:val="0"/>
        <w:autoSpaceDE w:val="0"/>
        <w:autoSpaceDN w:val="0"/>
        <w:adjustRightInd w:val="0"/>
        <w:snapToGrid w:val="0"/>
        <w:spacing w:line="360" w:lineRule="auto"/>
        <w:ind w:left="0" w:leftChars="0"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szCs w:val="24"/>
          <w:highlight w:val="none"/>
          <w:lang w:val="en-US" w:eastAsia="zh-CN" w:bidi="ar-SA"/>
        </w:rPr>
        <w:t>3</w:t>
      </w:r>
      <w:r>
        <w:rPr>
          <w:rFonts w:hint="eastAsia"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highlight w:val="none"/>
        </w:rPr>
        <w:t>保洁员：年龄63岁以下，无前科、品貌端正、身体健康、朴实肯干、经培训具有清洁工标准操作技能。</w:t>
      </w:r>
    </w:p>
    <w:p w14:paraId="481DFA9E">
      <w:pPr>
        <w:numPr>
          <w:ilvl w:val="0"/>
          <w:numId w:val="0"/>
        </w:numPr>
        <w:kinsoku w:val="0"/>
        <w:autoSpaceDE w:val="0"/>
        <w:autoSpaceDN w:val="0"/>
        <w:adjustRightInd w:val="0"/>
        <w:snapToGrid w:val="0"/>
        <w:spacing w:line="360" w:lineRule="auto"/>
        <w:ind w:left="0" w:leftChars="0" w:firstLine="480" w:firstLineChars="200"/>
        <w:jc w:val="left"/>
        <w:rPr>
          <w:rFonts w:ascii="宋体" w:hAnsi="宋体" w:cs="宋体"/>
          <w:color w:val="auto"/>
          <w:kern w:val="0"/>
          <w:sz w:val="24"/>
          <w:highlight w:val="none"/>
        </w:rPr>
      </w:pPr>
      <w:r>
        <w:rPr>
          <w:rFonts w:hint="eastAsia" w:ascii="宋体" w:hAnsi="宋体" w:cs="宋体"/>
          <w:color w:val="auto"/>
          <w:kern w:val="0"/>
          <w:sz w:val="24"/>
          <w:szCs w:val="24"/>
          <w:highlight w:val="none"/>
          <w:lang w:val="en-US" w:eastAsia="zh-CN" w:bidi="ar-SA"/>
        </w:rPr>
        <w:t>4</w:t>
      </w:r>
      <w:r>
        <w:rPr>
          <w:rFonts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highlight w:val="none"/>
        </w:rPr>
        <w:t>安保人员：男性，年龄63岁以下，必须身体健康（医院权威部门出具的健康证明）、精力充沛、遵纪守法、作风优良、无前科、技能过硬。</w:t>
      </w:r>
    </w:p>
    <w:p w14:paraId="49668D79">
      <w:pPr>
        <w:numPr>
          <w:ilvl w:val="0"/>
          <w:numId w:val="0"/>
        </w:numPr>
        <w:kinsoku w:val="0"/>
        <w:autoSpaceDE w:val="0"/>
        <w:autoSpaceDN w:val="0"/>
        <w:adjustRightInd w:val="0"/>
        <w:snapToGrid w:val="0"/>
        <w:spacing w:line="360" w:lineRule="auto"/>
        <w:ind w:left="0" w:leftChars="0"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szCs w:val="24"/>
          <w:highlight w:val="none"/>
          <w:lang w:val="en-US" w:eastAsia="zh-CN" w:bidi="ar-SA"/>
        </w:rPr>
        <w:t>5</w:t>
      </w:r>
      <w:r>
        <w:rPr>
          <w:rFonts w:ascii="宋体" w:hAnsi="宋体" w:eastAsia="宋体" w:cs="宋体"/>
          <w:color w:val="auto"/>
          <w:kern w:val="0"/>
          <w:sz w:val="24"/>
          <w:szCs w:val="24"/>
          <w:highlight w:val="none"/>
          <w:lang w:val="en-US" w:eastAsia="zh-CN" w:bidi="ar-SA"/>
        </w:rPr>
        <w:t>、</w:t>
      </w:r>
      <w:r>
        <w:rPr>
          <w:rFonts w:hint="eastAsia" w:ascii="宋体" w:hAnsi="宋体" w:cs="宋体"/>
          <w:color w:val="auto"/>
          <w:kern w:val="0"/>
          <w:sz w:val="24"/>
          <w:highlight w:val="none"/>
        </w:rPr>
        <w:t xml:space="preserve">各工作岗位可根据实际情况和工作要求进行合理的调配。在植物园工作的专职管理人员和工作人员不得与其它单位合并使用及交叉管理，调配人员情况必须及时书面通报园区并建立好用人档案。   </w:t>
      </w:r>
    </w:p>
    <w:p w14:paraId="232F2210">
      <w:pPr>
        <w:numPr>
          <w:ilvl w:val="0"/>
          <w:numId w:val="0"/>
        </w:numPr>
        <w:kinsoku w:val="0"/>
        <w:autoSpaceDE w:val="0"/>
        <w:autoSpaceDN w:val="0"/>
        <w:adjustRightInd w:val="0"/>
        <w:snapToGrid w:val="0"/>
        <w:spacing w:line="360" w:lineRule="auto"/>
        <w:ind w:left="0" w:leftChars="0" w:firstLine="480" w:firstLineChars="200"/>
        <w:jc w:val="left"/>
        <w:rPr>
          <w:rFonts w:hint="eastAsia" w:ascii="宋体" w:hAnsi="宋体" w:cs="宋体"/>
          <w:color w:val="auto"/>
          <w:kern w:val="0"/>
          <w:sz w:val="24"/>
          <w:highlight w:val="none"/>
        </w:rPr>
      </w:pPr>
      <w:r>
        <w:rPr>
          <w:rFonts w:ascii="宋体" w:hAnsi="宋体" w:eastAsia="宋体" w:cs="宋体"/>
          <w:color w:val="auto"/>
          <w:sz w:val="24"/>
          <w:szCs w:val="24"/>
          <w:highlight w:val="none"/>
        </w:rPr>
        <w:t>本项目为植物园综合性劳务用工服务，涵盖园区保洁安保、森林防火、森林资源管护、专类园植物养护、水生植物管护、园林机械运维、园区安全应急处置等多项专业技术工作。为保障园区植物管护质量、森林防火安全、突发事件应急处置能力，负责统筹开展植物养护技术指导、安全风险排查、森林防火管控、突发事件处置、作业人员技术培训等技术管理工作，提升整体服务质量与管理水平。</w:t>
      </w:r>
      <w:r>
        <w:rPr>
          <w:rFonts w:hint="eastAsia" w:ascii="宋体" w:hAnsi="宋体" w:cs="宋体"/>
          <w:color w:val="auto"/>
          <w:kern w:val="0"/>
          <w:sz w:val="24"/>
          <w:highlight w:val="none"/>
        </w:rPr>
        <w:t xml:space="preserve">   </w:t>
      </w:r>
    </w:p>
    <w:p w14:paraId="7137C136">
      <w:pPr>
        <w:numPr>
          <w:ilvl w:val="0"/>
          <w:numId w:val="0"/>
        </w:numPr>
        <w:kinsoku w:val="0"/>
        <w:autoSpaceDE w:val="0"/>
        <w:autoSpaceDN w:val="0"/>
        <w:adjustRightInd w:val="0"/>
        <w:snapToGrid w:val="0"/>
        <w:spacing w:line="360" w:lineRule="auto"/>
        <w:ind w:left="0" w:leftChars="0"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w:t>
      </w:r>
      <w:r>
        <w:rPr>
          <w:rFonts w:ascii="宋体" w:hAnsi="宋体" w:eastAsia="宋体" w:cs="宋体"/>
          <w:color w:val="auto"/>
          <w:sz w:val="24"/>
          <w:szCs w:val="24"/>
          <w:highlight w:val="none"/>
        </w:rPr>
        <w:t>★人员配置汇总：本项目最低配置人员合计40人，其中项目主管1人、保洁员12人、安保人员13人、育苗大棚岗位2人、专类园岗位2人、植物收集园岗位2人、资源办所辖范围岗位6人、林下经济植物研究室岗位1人、水电工岗1人。供应商响应本项目不得低于上述最低人员配置。</w:t>
      </w:r>
      <w:r>
        <w:rPr>
          <w:rFonts w:hint="eastAsia" w:ascii="宋体" w:hAnsi="宋体" w:cs="宋体"/>
          <w:color w:val="auto"/>
          <w:kern w:val="0"/>
          <w:sz w:val="24"/>
          <w:highlight w:val="none"/>
        </w:rPr>
        <w:t xml:space="preserve">               </w:t>
      </w:r>
    </w:p>
    <w:p w14:paraId="4046BEFB">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（三）、管理要求：</w:t>
      </w:r>
    </w:p>
    <w:p w14:paraId="3B686CEC">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1、保洁、安保人员由承包方配备，服务标准按考核细则执行（附后）。</w:t>
      </w:r>
    </w:p>
    <w:p w14:paraId="61D5F11D">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全园实行8小时循环保洁制度，主要游路、主景点、公厕及周边卫生整洁；地面、及边缘地带地表整洁，无白色垃圾、无坑洼积水（面积不超过3%）砖渣石块（面积不超过2%）残留树枝（面积不超过2%），明显落叶层（面积不超过2%）及其他杂物（面积不超过1%）。</w:t>
      </w:r>
    </w:p>
    <w:p w14:paraId="4930899D">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3、提供24小时安保服务，做好植物园主入口公共区域的治安防范、车辆管理、突发事件应急处理、预防和制止侵害财产及人员安全行为的发生等安保服务工作。</w:t>
      </w:r>
    </w:p>
    <w:p w14:paraId="4F436AF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4、保洁、安保人员必须按要求着装统一，所需装备、工具由承包方自备，安保人员配备5台以上对讲机，保证通信畅通。</w:t>
      </w:r>
    </w:p>
    <w:p w14:paraId="109C2181">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5、植物园内产生的垃圾，由承包方负责清运出植物园，清运过程中产生的费用由承包方承担。</w:t>
      </w:r>
    </w:p>
    <w:p w14:paraId="795F2675">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6、植物园内所有排水设施、水沟、下水管道保证正常使用，如发现堵塞应及时（一日内）疏通，保证畅通。</w:t>
      </w:r>
    </w:p>
    <w:p w14:paraId="0247AAC3">
      <w:pPr>
        <w:kinsoku w:val="0"/>
        <w:autoSpaceDE w:val="0"/>
        <w:autoSpaceDN w:val="0"/>
        <w:adjustRightInd w:val="0"/>
        <w:snapToGrid w:val="0"/>
        <w:spacing w:line="360" w:lineRule="auto"/>
        <w:ind w:firstLine="482" w:firstLineChars="200"/>
        <w:jc w:val="left"/>
        <w:rPr>
          <w:rFonts w:ascii="宋体" w:hAnsi="宋体" w:cs="宋体"/>
          <w:b/>
          <w:bCs/>
          <w:color w:val="auto"/>
          <w:kern w:val="0"/>
          <w:sz w:val="24"/>
          <w:highlight w:val="none"/>
        </w:rPr>
      </w:pPr>
      <w:r>
        <w:rPr>
          <w:rFonts w:hint="eastAsia" w:ascii="宋体" w:hAnsi="宋体" w:cs="宋体"/>
          <w:b/>
          <w:bCs/>
          <w:color w:val="auto"/>
          <w:kern w:val="0"/>
          <w:sz w:val="24"/>
          <w:highlight w:val="none"/>
        </w:rPr>
        <w:t>三、岗位职责</w:t>
      </w:r>
    </w:p>
    <w:p w14:paraId="5CA6644B">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（一）公司项目主管岗位职责</w:t>
      </w:r>
    </w:p>
    <w:p w14:paraId="3A988396">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1、熟悉植物园情况，负责制定和执行园内安保、保洁、车辆等相关规章制度，并督促员工履行工作岗位职责，遵守各项规章制度和安全操作流程。</w:t>
      </w:r>
    </w:p>
    <w:p w14:paraId="4780734A">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2、植物园公共卫生、安全防范、车辆管理、消防等管理。</w:t>
      </w:r>
    </w:p>
    <w:p w14:paraId="361121D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3、每月组织员工召开例会，总结上月工作情况及近期工作安排，按时上报园区主管部门。</w:t>
      </w:r>
    </w:p>
    <w:p w14:paraId="06FE33E5">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4、加强公司员工的团结协作，合理调配人员，协调各工作岗位的分工与协作，确保各项工作顺利完成。</w:t>
      </w:r>
    </w:p>
    <w:p w14:paraId="7E56CE70">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5、负责各项服务过程中质量记录的正确、清晰、完整。</w:t>
      </w:r>
    </w:p>
    <w:p w14:paraId="2C1C211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6、定期组织员工学习和培训，提高员工的综合技能。</w:t>
      </w:r>
    </w:p>
    <w:p w14:paraId="1DF45E0F">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7、完成领导交办的其他任务。</w:t>
      </w:r>
    </w:p>
    <w:p w14:paraId="3AFB4D0F">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（二）公共区域秩序维护及工作人员服务要求</w:t>
      </w:r>
    </w:p>
    <w:p w14:paraId="6A34803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1、遵守植物园的规章制度，接受上级领导的督导与指挥。</w:t>
      </w:r>
    </w:p>
    <w:p w14:paraId="59F95BA7">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2、遵纪守法、遵守各项考勤、请假、培训等管理制度。</w:t>
      </w:r>
    </w:p>
    <w:p w14:paraId="636EBF86">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3、统一着装，服饰整洁、端庄行体、精神饱满，严禁穿拖鞋上班工作。值岗时，应微笑服务，对游客或访客的问讯、求助应热情接待，做到语言、行为文明规范。</w:t>
      </w:r>
    </w:p>
    <w:p w14:paraId="4B6AD621">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履行职责，按时上下班，不无故旷工、不缺勤、不脱岗、不做与本职工作无关的事情，执勤过程中不准聊天、嬉戏、会客、吃零食、打瞌睡玩手机及看视频，严禁喝酒，文明执勤、用语规范，助人为乐、保持良好形象、衣着整洁，仪表端正、面带微笑。严格执行交接班制度。</w:t>
      </w:r>
    </w:p>
    <w:p w14:paraId="1B8230CB">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（1）出入口24小时值班看守，严禁游客携带各类仿真枪支、风筝、捞鱼网、烧烤工具等存在安全或火灾隐患物品入园，门卫有交接记录；对植物园进出车辆和物品进行登记。</w:t>
      </w:r>
    </w:p>
    <w:p w14:paraId="6499A950">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（2）园区实施人脸识别入园，安保要引导游客有序入园，非闸机故障原因，严禁工作人员随意打开</w:t>
      </w:r>
      <w:r>
        <w:rPr>
          <w:rFonts w:hint="eastAsia" w:ascii="宋体" w:hAnsi="宋体" w:cs="宋体"/>
          <w:color w:val="auto"/>
          <w:kern w:val="0"/>
          <w:sz w:val="24"/>
          <w:highlight w:val="none"/>
          <w:lang w:val="en-US" w:eastAsia="zh-CN"/>
        </w:rPr>
        <w:t>人脸</w:t>
      </w:r>
      <w:r>
        <w:rPr>
          <w:rFonts w:hint="eastAsia" w:ascii="宋体" w:hAnsi="宋体" w:cs="宋体"/>
          <w:color w:val="auto"/>
          <w:kern w:val="0"/>
          <w:sz w:val="24"/>
          <w:highlight w:val="none"/>
        </w:rPr>
        <w:t>闸机，发现入园人员通过触摸出口感应器打开闸机入园的行为要立即劝阻，对于老年人、残疾人或其他特殊人群，确实不方便</w:t>
      </w:r>
      <w:r>
        <w:rPr>
          <w:rFonts w:hint="eastAsia" w:ascii="宋体" w:hAnsi="宋体" w:cs="宋体"/>
          <w:color w:val="auto"/>
          <w:kern w:val="0"/>
          <w:sz w:val="24"/>
          <w:highlight w:val="none"/>
          <w:lang w:val="en-US" w:eastAsia="zh-CN"/>
        </w:rPr>
        <w:t>人脸</w:t>
      </w:r>
      <w:r>
        <w:rPr>
          <w:rFonts w:hint="eastAsia" w:ascii="宋体" w:hAnsi="宋体" w:cs="宋体"/>
          <w:color w:val="auto"/>
          <w:kern w:val="0"/>
          <w:sz w:val="24"/>
          <w:highlight w:val="none"/>
        </w:rPr>
        <w:t>入园的要及时开启老年人绿色通道给予入园。</w:t>
      </w:r>
    </w:p>
    <w:p w14:paraId="281620A4">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非工作车辆或园内人流量大的期间一律不允许车辆入园，工作车辆和园内住户车辆须要求车辆按规定停放在停车位上，对乱停乱放车辆一律按锁车处理；如遇特殊情况，如维修、建设、施工、装修等车辆入园需临时停放的，需向对应相关业务的分管领导进行报备，同意后方可放行入园；南、西门停车场按相关规定要求车辆规范停车。</w:t>
      </w:r>
    </w:p>
    <w:p w14:paraId="5EB8B94E">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（4）每天安排安保人员值岗巡逻，特别需要加强紫薇湖区域巡逻，发现紫薇湖周边捞鱼、虾等行为及时劝阻，禁止小商小贩进入园内和岗亭边摆放贩卖物品发现类似人员必须及时劝阻、驱赶。</w:t>
      </w:r>
    </w:p>
    <w:p w14:paraId="59233E1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（5）熟悉本岗位职责、任务及工作程序，随机关注园区门卫室监控情况，发现问题或异常情况要及时处理并上报给植物园综治办，并做好相关记录；</w:t>
      </w:r>
    </w:p>
    <w:p w14:paraId="2758AB1F">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（6）值班过程中发现如下情况时安管员应及时劝阻，且要求文明用语：</w:t>
      </w:r>
    </w:p>
    <w:p w14:paraId="522A0CD6">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①游客坐、踏草坪、采摘花果、下湖戏水；</w:t>
      </w:r>
    </w:p>
    <w:p w14:paraId="79F16743">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②游客乱扔垃圾、乱吐痰、乱</w:t>
      </w:r>
      <w:r>
        <w:rPr>
          <w:rFonts w:hint="eastAsia" w:ascii="宋体" w:hAnsi="宋体" w:cs="宋体"/>
          <w:color w:val="auto"/>
          <w:kern w:val="0"/>
          <w:sz w:val="24"/>
          <w:highlight w:val="none"/>
          <w:lang w:val="en-US" w:eastAsia="zh-CN"/>
        </w:rPr>
        <w:t>贴</w:t>
      </w:r>
      <w:r>
        <w:rPr>
          <w:rFonts w:hint="eastAsia" w:ascii="宋体" w:hAnsi="宋体" w:cs="宋体"/>
          <w:color w:val="auto"/>
          <w:kern w:val="0"/>
          <w:sz w:val="24"/>
          <w:highlight w:val="none"/>
        </w:rPr>
        <w:t>乱画、不爱惜好花草树木；</w:t>
      </w:r>
    </w:p>
    <w:p w14:paraId="746A38EF">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③园内游</w:t>
      </w:r>
      <w:r>
        <w:rPr>
          <w:rFonts w:hint="eastAsia" w:ascii="宋体" w:hAnsi="宋体" w:cs="宋体"/>
          <w:color w:val="auto"/>
          <w:kern w:val="0"/>
          <w:sz w:val="24"/>
          <w:highlight w:val="none"/>
          <w:lang w:val="en-US" w:eastAsia="zh-CN"/>
        </w:rPr>
        <w:t>商</w:t>
      </w:r>
      <w:r>
        <w:rPr>
          <w:rFonts w:hint="eastAsia" w:ascii="宋体" w:hAnsi="宋体" w:cs="宋体"/>
          <w:color w:val="auto"/>
          <w:kern w:val="0"/>
          <w:sz w:val="24"/>
          <w:highlight w:val="none"/>
        </w:rPr>
        <w:t>浮贩，拾荒人员，非法集会人员；</w:t>
      </w:r>
    </w:p>
    <w:p w14:paraId="6A296BC0">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④未经园区管理处允许的以盈利为目的的经营活动行为；</w:t>
      </w:r>
    </w:p>
    <w:p w14:paraId="6F21D2A7">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⑤游客在水池、湖边观赏时有不文明或者不安全行为；</w:t>
      </w:r>
    </w:p>
    <w:p w14:paraId="1410B89E">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⑥非法集会，法轮功聚会或宣传开展其他非法活动时；</w:t>
      </w:r>
    </w:p>
    <w:p w14:paraId="3958FB17">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⑦在园区内对未成年人产生危害后果的行为；</w:t>
      </w:r>
    </w:p>
    <w:p w14:paraId="0139C79C">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⑧南广场和园内发现扩音器音量过大或噪音过大，影响周边居民或他人的行为；</w:t>
      </w:r>
    </w:p>
    <w:p w14:paraId="36E26BA7">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7、熟悉各安全消防设施器材的使用，掌握水电及消防应急措施。</w:t>
      </w:r>
    </w:p>
    <w:p w14:paraId="7CDFE8B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8、熟悉植物园管辖区内业主情况并进行有效管理。</w:t>
      </w:r>
    </w:p>
    <w:p w14:paraId="70F8609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9、执勤时敢于同违法犯罪分子作斗争。确保园内无偷盗，抢夺现象发生。不准自行车、机动车入园，禁止游客垂钓、游泳、破坏公共财物、损坏绿化苗木，随意采摘果实等不良行为，当班安保应及时劝阻和制止。</w:t>
      </w:r>
    </w:p>
    <w:p w14:paraId="2C2B37D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10、摆花期间应负责所摆花卉的安全，禁止游客对所摆花卉的破坏行为。</w:t>
      </w:r>
    </w:p>
    <w:p w14:paraId="4ADAEF0F">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11、在园区内对破坏公共设施的行为应及时劝阻，情节严重者及时上报园方，并对行为人进行有效控制，交由园方妥善处理。情节特别严重，造成重大损失或者触犯法律者，应及时通知警方，并积极配合警方的工作。</w:t>
      </w:r>
    </w:p>
    <w:p w14:paraId="22FE49BA">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12、遇紧急突发性事件应采取合理处理措施并及时向上级部门报告，协助安全主管及上级领导处理紧急事件和突发事件。</w:t>
      </w:r>
    </w:p>
    <w:p w14:paraId="040FC51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13、保持门卫室及岗亭内卫生干净整洁，不能存放任何与工作无关的物件，必须节约水电，非必要情况下不得随意开启空调，浪费电量，夏天温度高于28℃，冬天温度低于5℃方可开启空调，严禁值班岗亭空调遥控器、钥匙、停车场道闸遥控器随意交给不相关的人员，如有违反规定则对公司予以罚款处理。</w:t>
      </w:r>
    </w:p>
    <w:p w14:paraId="00888A3E">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14、服从安排、听从指挥、积极完成上级领导交办的其他任务。</w:t>
      </w:r>
    </w:p>
    <w:p w14:paraId="51E7C9CE">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（三）保洁质量及工作人员工作要求</w:t>
      </w:r>
    </w:p>
    <w:p w14:paraId="689E5B2C">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1、遵守植物园的规章制度，接受上级领导的督导与指挥。</w:t>
      </w:r>
    </w:p>
    <w:p w14:paraId="5CFDD950">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2、熟悉本岗位职责、任务及工作程序。履行职责，严格执行保洁时间制度。全园实行8小时循环保洁制度，按时上下班，不无故旷工、不缺勤、不脱岗、不做与本职工作无关的事情。</w:t>
      </w:r>
    </w:p>
    <w:p w14:paraId="5E43F4F0">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3、上班要统一着装，仪表整洁、精神饱满，对游客或访客的问讯、求助应热情接待，做到语言、行为文明规范。</w:t>
      </w:r>
    </w:p>
    <w:p w14:paraId="52C72C5E">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负责清扫植物园办公大楼的办公室、公共区域、厕所、墙面、地面卫生等，每天清扫一次以上。做到厕所清洁无异味，地面干净无污迹、积水、纸屑，保证墙面瓷砖光亮，无水印、无污迹；楼梯扶手、窗台，窗户表面无灰尘，光洁明亮，保持环境美观。</w:t>
      </w:r>
    </w:p>
    <w:p w14:paraId="10D8FD0A">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（1）厕所保洁每天上午9点以前要完成面镜、洗漱台、拖把池、地面及大小便池的清洁。</w:t>
      </w:r>
    </w:p>
    <w:p w14:paraId="7BDCCF23">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（2）面镜及洗漱台用手抹要求无抹迹。</w:t>
      </w:r>
    </w:p>
    <w:p w14:paraId="4CC949E2">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（3）拖把池及大小便池要求通畅、无杂物、无污垢。</w:t>
      </w:r>
    </w:p>
    <w:p w14:paraId="2B256B15">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（4）地面视游客入厕卫生情况，适时增加清洁次数，要求无明显污迹。</w:t>
      </w:r>
    </w:p>
    <w:p w14:paraId="3692EBAB">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（5）门窗、墙面、顶棚及大小便池隔板，每周清洁一次，要求无蛛网现本色。</w:t>
      </w:r>
    </w:p>
    <w:p w14:paraId="5BC44581">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（6）南大门科普馆旁和荷塘旁两个厕所，要求有八小时在岗保洁时间。</w:t>
      </w:r>
    </w:p>
    <w:p w14:paraId="68471F70">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（7）保洁用具存放至指定地点，厕所门前严禁存放保洁用具及各类杂物用品。</w:t>
      </w:r>
    </w:p>
    <w:p w14:paraId="43B8E76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5、保持园区内所有公共场所的卫生整洁（包括楼梯、扶手、园内座椅、桥面、桥栏杆、灯杆、灯泡、玻璃、垃圾箱（筒）、道路、园路、广场铺装），必须干净无杂物，无卫生死角、无散落垃圾、无乱贴乱画。所有公共设施设备无蛛网、无浮尘、无牛皮癣、无垃圾杂物堆放。清洁工具必须放置在指定位置，不得随意放置，公共设施每天必须彻底打扫一次，每星期彻底清洗一次，清洗见底色。</w:t>
      </w:r>
    </w:p>
    <w:p w14:paraId="18C6F044">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（1）每天上午八点以前要完成所有责任区白色垃圾的清捡，十点以前要完成所有责任区的清扫。广场及主干道落叶较多的时候，除上午清扫一遍，下午还要清扫一遍，要求地面上基本无落叶，不显眼。</w:t>
      </w:r>
    </w:p>
    <w:p w14:paraId="1E3B540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（2）雨天上午九点以前完成地面白色垃圾及跌落树枝清捡，雨停后及时疏通地面积水和排水口囤积杂物、地面落叶及淤积泥沙。</w:t>
      </w:r>
    </w:p>
    <w:p w14:paraId="52B4F7AC">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（3）垃圾桶垃圾的收集及地面上白色垃圾的清捡要集中入袋送至指定的垃圾清运点，桶内垃圾不能过半，要及时清理到位。</w:t>
      </w:r>
    </w:p>
    <w:p w14:paraId="796F326C">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（4）地面上的白色垃圾除早上清捡一遍，上、下午还要分别清捡一遍（共三遍）。如游客较多，视卫生情况适时增加捡遍次数。</w:t>
      </w:r>
    </w:p>
    <w:p w14:paraId="571D36AA">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（5）主干道清扫不能将落叶直接扫入路边绿化带内，路面落叶清扫成堆再用斗车或者其他工具送至指定落叶处理点。</w:t>
      </w:r>
    </w:p>
    <w:p w14:paraId="7E00C6D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（6）园区小道和铺装地砖地面，砖缝间杂草要及时清除，要求砖缝间杂草不显露，道路两边无明显可见白色垃圾。</w:t>
      </w:r>
    </w:p>
    <w:p w14:paraId="4FC3304F">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（7）道路边沟的白色垃圾要随路面的白色垃圾一同清捡，边沟落叶、杂草及泥沙等淤塞物，每周清理一次，要求边沟通畅、不堵塞。</w:t>
      </w:r>
    </w:p>
    <w:p w14:paraId="07B9D7C6">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8）南大门广场（包括踏步栈道及水杉大道）、紫薇湖广场、荷塘广场及周边主干道、杜鹃园广场至义务植树林主干道、珍惜植物专类园广场及干道、杨梅园广场及主干道、桂花园广场及游道，必须八小时在岗保洁。</w:t>
      </w:r>
    </w:p>
    <w:p w14:paraId="3A5ED68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6、保持下水管网畅通。要求每月至少疏通一次、及时清除道路及广场积水，遇管道堵塞时及时疏通；</w:t>
      </w:r>
    </w:p>
    <w:p w14:paraId="3DD822CD">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7、厕所保洁，公厕一天清洗两次，无异味、无污垢、无积水；公厕内随时有保洁员进行保洁，隔档板随时保持干净，厕所内、外无蜘蛛网，每月对公厕进行一次彻底的消毒杀菌处理，无苍蝇聚集，夏天无蚊虫聚集。</w:t>
      </w:r>
    </w:p>
    <w:p w14:paraId="05081189">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8、水面无明显漂浮物品、影响水质的微生物及污迹，要求每天及时打捞水上漂浮物，根据水质变化情况及时进行净化处理，保持水面清洁。</w:t>
      </w:r>
    </w:p>
    <w:p w14:paraId="4C8B3EBA">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（1）水面上漂浮垃圾如果在岸边捞得到的要求垃圾不能在水面上过夜，当天垃圾当天捞出。</w:t>
      </w:r>
    </w:p>
    <w:p w14:paraId="494AF15C">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（2）水面上漂浮垃圾如果在岸边捞不到得，需在二人以上在现场时乘船及时捞出。</w:t>
      </w:r>
    </w:p>
    <w:p w14:paraId="210994E3">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9、保洁过程中发现游客坐、踏草坪采摘花果及时劝阻。</w:t>
      </w:r>
    </w:p>
    <w:p w14:paraId="301BADCD">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10、严格按照植物园的保洁服务工作程序、工作要求和工作标准执行，分工协作。</w:t>
      </w:r>
    </w:p>
    <w:p w14:paraId="74C06A42">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11、每日考勤、考核（详见附件）。</w:t>
      </w:r>
    </w:p>
    <w:p w14:paraId="59D84598">
      <w:pPr>
        <w:kinsoku w:val="0"/>
        <w:autoSpaceDE w:val="0"/>
        <w:autoSpaceDN w:val="0"/>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12、服从安排，积极完成上级领导交办的其他任务。</w:t>
      </w:r>
    </w:p>
    <w:p w14:paraId="3A010628">
      <w:pPr>
        <w:widowControl w:val="0"/>
        <w:kinsoku w:val="0"/>
        <w:autoSpaceDE w:val="0"/>
        <w:autoSpaceDN w:val="0"/>
        <w:adjustRightInd w:val="0"/>
        <w:snapToGrid w:val="0"/>
        <w:spacing w:before="222" w:line="227" w:lineRule="auto"/>
        <w:ind w:left="420" w:leftChars="200"/>
        <w:rPr>
          <w:rFonts w:ascii="宋体" w:hAnsi="宋体" w:cs="宋体"/>
          <w:b/>
          <w:bCs/>
          <w:color w:val="auto"/>
          <w:spacing w:val="7"/>
          <w:sz w:val="24"/>
          <w:highlight w:val="none"/>
        </w:rPr>
      </w:pPr>
      <w:r>
        <w:rPr>
          <w:rFonts w:hint="eastAsia" w:ascii="宋体" w:hAnsi="宋体" w:cs="宋体"/>
          <w:b/>
          <w:bCs/>
          <w:color w:val="auto"/>
          <w:spacing w:val="7"/>
          <w:sz w:val="24"/>
          <w:highlight w:val="none"/>
        </w:rPr>
        <w:t>四、最低人员配备、现场管理与工作内容及时间要求</w:t>
      </w:r>
    </w:p>
    <w:p w14:paraId="33E0B4B7">
      <w:pPr>
        <w:widowControl w:val="0"/>
        <w:kinsoku w:val="0"/>
        <w:autoSpaceDE w:val="0"/>
        <w:autoSpaceDN w:val="0"/>
        <w:adjustRightInd w:val="0"/>
        <w:snapToGrid w:val="0"/>
        <w:spacing w:before="115" w:line="219" w:lineRule="auto"/>
        <w:rPr>
          <w:rFonts w:ascii="宋体" w:hAnsi="宋体" w:cs="宋体"/>
          <w:color w:val="auto"/>
          <w:spacing w:val="-2"/>
          <w:sz w:val="24"/>
          <w:highlight w:val="none"/>
        </w:rPr>
      </w:pPr>
      <w:r>
        <w:rPr>
          <w:rFonts w:hint="eastAsia" w:ascii="宋体" w:hAnsi="宋体" w:cs="宋体"/>
          <w:color w:val="auto"/>
          <w:spacing w:val="-2"/>
          <w:sz w:val="24"/>
          <w:highlight w:val="none"/>
        </w:rPr>
        <w:t>表（一）</w:t>
      </w:r>
    </w:p>
    <w:tbl>
      <w:tblPr>
        <w:tblStyle w:val="25"/>
        <w:tblW w:w="9684" w:type="dxa"/>
        <w:tblInd w:w="-238" w:type="dxa"/>
        <w:tblLayout w:type="fixed"/>
        <w:tblCellMar>
          <w:top w:w="15" w:type="dxa"/>
          <w:left w:w="15" w:type="dxa"/>
          <w:bottom w:w="15" w:type="dxa"/>
          <w:right w:w="15" w:type="dxa"/>
        </w:tblCellMar>
      </w:tblPr>
      <w:tblGrid>
        <w:gridCol w:w="913"/>
        <w:gridCol w:w="2229"/>
        <w:gridCol w:w="1881"/>
        <w:gridCol w:w="1661"/>
        <w:gridCol w:w="1633"/>
        <w:gridCol w:w="1367"/>
      </w:tblGrid>
      <w:tr w14:paraId="47902274">
        <w:tblPrEx>
          <w:tblCellMar>
            <w:top w:w="15" w:type="dxa"/>
            <w:left w:w="15" w:type="dxa"/>
            <w:bottom w:w="15" w:type="dxa"/>
            <w:right w:w="15" w:type="dxa"/>
          </w:tblCellMar>
        </w:tblPrEx>
        <w:trPr>
          <w:trHeight w:val="567" w:hRule="atLeast"/>
        </w:trPr>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46C9E">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用工部门</w:t>
            </w:r>
          </w:p>
        </w:tc>
        <w:tc>
          <w:tcPr>
            <w:tcW w:w="2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94269">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工作范围</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45C1E">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工作内容</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A992">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人员配备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0F4F">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工作时间</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555FC">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月休息时间</w:t>
            </w:r>
          </w:p>
        </w:tc>
      </w:tr>
      <w:tr w14:paraId="2B895C3B">
        <w:tblPrEx>
          <w:tblCellMar>
            <w:top w:w="15" w:type="dxa"/>
            <w:left w:w="15" w:type="dxa"/>
            <w:bottom w:w="15" w:type="dxa"/>
            <w:right w:w="15" w:type="dxa"/>
          </w:tblCellMar>
        </w:tblPrEx>
        <w:trPr>
          <w:trHeight w:val="1560" w:hRule="atLeast"/>
        </w:trPr>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03EB4">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游客中心及综治办</w:t>
            </w:r>
          </w:p>
        </w:tc>
        <w:tc>
          <w:tcPr>
            <w:tcW w:w="2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BDF65">
            <w:pPr>
              <w:kinsoku w:val="0"/>
              <w:autoSpaceDE w:val="0"/>
              <w:autoSpaceDN w:val="0"/>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水域面积20412㎡、柏油路面积</w:t>
            </w:r>
            <w:r>
              <w:rPr>
                <w:rFonts w:hint="eastAsia" w:ascii="宋体" w:hAnsi="宋体" w:cs="宋体"/>
                <w:color w:val="auto"/>
                <w:kern w:val="0"/>
                <w:sz w:val="24"/>
                <w:highlight w:val="none"/>
                <w:lang w:val="en-US" w:eastAsia="zh-CN"/>
              </w:rPr>
              <w:t>33276</w:t>
            </w:r>
            <w:r>
              <w:rPr>
                <w:rFonts w:hint="eastAsia" w:ascii="宋体" w:hAnsi="宋体" w:cs="宋体"/>
                <w:color w:val="auto"/>
                <w:kern w:val="0"/>
                <w:sz w:val="24"/>
                <w:highlight w:val="none"/>
              </w:rPr>
              <w:t>.8㎡、水泥路面3000㎡、游道12</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67.83㎡、柏油路面广场两个1645.2㎡、石材铺装广场2250㎡、垃圾桶104个、宣传牌68块、石凳条凳44张、桌凳33套、凉亭8座、石板游道1997.95㎡、木栈道1261.4㎡、森林防火警示牌和科普宣传牌共</w:t>
            </w:r>
            <w:r>
              <w:rPr>
                <w:rFonts w:hint="eastAsia" w:ascii="宋体" w:hAnsi="宋体" w:cs="宋体"/>
                <w:color w:val="auto"/>
                <w:kern w:val="0"/>
                <w:sz w:val="24"/>
                <w:highlight w:val="none"/>
                <w:lang w:val="en-US" w:eastAsia="zh-CN"/>
              </w:rPr>
              <w:t>125</w:t>
            </w:r>
            <w:r>
              <w:rPr>
                <w:rFonts w:hint="eastAsia" w:ascii="宋体" w:hAnsi="宋体" w:cs="宋体"/>
                <w:color w:val="auto"/>
                <w:kern w:val="0"/>
                <w:sz w:val="24"/>
                <w:highlight w:val="none"/>
              </w:rPr>
              <w:t>块、值班岗亭</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个</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公共</w:t>
            </w:r>
            <w:r>
              <w:rPr>
                <w:rFonts w:hint="eastAsia" w:ascii="宋体" w:hAnsi="宋体" w:cs="宋体"/>
                <w:color w:val="auto"/>
                <w:kern w:val="0"/>
                <w:sz w:val="24"/>
                <w:highlight w:val="none"/>
              </w:rPr>
              <w:t>厕所6座共有蹲位</w:t>
            </w:r>
            <w:r>
              <w:rPr>
                <w:rFonts w:hint="eastAsia" w:ascii="宋体" w:hAnsi="宋体" w:cs="宋体"/>
                <w:color w:val="auto"/>
                <w:kern w:val="0"/>
                <w:sz w:val="24"/>
                <w:highlight w:val="none"/>
                <w:lang w:val="en-US" w:eastAsia="zh-CN"/>
              </w:rPr>
              <w:t>71</w:t>
            </w:r>
            <w:r>
              <w:rPr>
                <w:rFonts w:hint="eastAsia" w:ascii="宋体" w:hAnsi="宋体" w:cs="宋体"/>
                <w:color w:val="auto"/>
                <w:kern w:val="0"/>
                <w:sz w:val="24"/>
                <w:highlight w:val="none"/>
              </w:rPr>
              <w:t>个</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管护站房、</w:t>
            </w:r>
            <w:r>
              <w:rPr>
                <w:rFonts w:hint="eastAsia" w:ascii="宋体" w:hAnsi="宋体" w:cs="宋体"/>
                <w:color w:val="auto"/>
                <w:kern w:val="0"/>
                <w:sz w:val="24"/>
                <w:highlight w:val="none"/>
              </w:rPr>
              <w:t>植物园内老家属</w:t>
            </w:r>
            <w:r>
              <w:rPr>
                <w:rFonts w:hint="eastAsia" w:ascii="宋体" w:hAnsi="宋体" w:cs="宋体"/>
                <w:color w:val="auto"/>
                <w:kern w:val="0"/>
                <w:sz w:val="24"/>
                <w:highlight w:val="none"/>
                <w:lang w:val="en-US" w:eastAsia="zh-CN"/>
              </w:rPr>
              <w:t>楼</w:t>
            </w:r>
            <w:r>
              <w:rPr>
                <w:rFonts w:hint="eastAsia" w:ascii="宋体" w:hAnsi="宋体" w:cs="宋体"/>
                <w:color w:val="auto"/>
                <w:kern w:val="0"/>
                <w:sz w:val="24"/>
                <w:highlight w:val="none"/>
              </w:rPr>
              <w:t>及办公楼</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科研楼</w:t>
            </w:r>
            <w:r>
              <w:rPr>
                <w:rFonts w:hint="eastAsia" w:ascii="宋体" w:hAnsi="宋体" w:cs="宋体"/>
                <w:color w:val="auto"/>
                <w:kern w:val="0"/>
                <w:sz w:val="24"/>
                <w:highlight w:val="none"/>
              </w:rPr>
              <w:t>卫生管理区域。安保巡逻园区面积约1700亩，主要负责</w:t>
            </w:r>
            <w:r>
              <w:rPr>
                <w:rFonts w:hint="eastAsia" w:ascii="宋体" w:hAnsi="宋体" w:cs="宋体"/>
                <w:color w:val="auto"/>
                <w:kern w:val="0"/>
                <w:sz w:val="24"/>
                <w:highlight w:val="none"/>
                <w:lang w:val="en-US" w:eastAsia="zh-CN"/>
              </w:rPr>
              <w:t>园区5</w:t>
            </w:r>
            <w:r>
              <w:rPr>
                <w:rFonts w:hint="eastAsia" w:ascii="宋体" w:hAnsi="宋体" w:cs="宋体"/>
                <w:color w:val="auto"/>
                <w:kern w:val="0"/>
                <w:sz w:val="24"/>
                <w:highlight w:val="none"/>
              </w:rPr>
              <w:t>个值班岗亭</w:t>
            </w:r>
          </w:p>
        </w:tc>
        <w:tc>
          <w:tcPr>
            <w:tcW w:w="1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19237">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1、主要游路、主景点、公厕及周边卫生整洁；地面、及边缘地带地表整洁，无白色垃圾、无坑洼积水砖渣石块残留树枝，明显落叶层及其他杂物。</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2、提供24小时安保服务，做好植物园主入口公共区域的治安防范、车辆管理、突发事件应急处理、预防和制止侵害财产及人员安全行为的发生等安保服务工作。</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3、完成南岭植物园领导交办的应急事项。</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C662">
            <w:pPr>
              <w:kinsoku w:val="0"/>
              <w:autoSpaceDE w:val="0"/>
              <w:autoSpaceDN w:val="0"/>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1:管理人员1人。          2:安保（男）1</w:t>
            </w:r>
            <w:r>
              <w:rPr>
                <w:rFonts w:hint="eastAsia" w:ascii="宋体" w:hAnsi="宋体" w:cs="宋体"/>
                <w:color w:val="auto"/>
                <w:kern w:val="0"/>
                <w:sz w:val="24"/>
                <w:highlight w:val="none"/>
                <w:lang w:val="en-US" w:eastAsia="zh-CN"/>
              </w:rPr>
              <w:t>3</w:t>
            </w:r>
            <w:r>
              <w:rPr>
                <w:rFonts w:hint="eastAsia" w:ascii="宋体" w:hAnsi="宋体" w:cs="宋体"/>
                <w:color w:val="auto"/>
                <w:kern w:val="0"/>
                <w:sz w:val="24"/>
                <w:highlight w:val="none"/>
              </w:rPr>
              <w:t>人               3:保洁1</w:t>
            </w: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人。            4:人员要求:以上人员年龄63岁以下。</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A7D5">
            <w:pPr>
              <w:kinsoku w:val="0"/>
              <w:autoSpaceDE w:val="0"/>
              <w:autoSpaceDN w:val="0"/>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1:管理人员及保洁人员每天8小时工作制。           2:安保人员24小时制2班倒。</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EA74C">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每月4天</w:t>
            </w:r>
          </w:p>
        </w:tc>
      </w:tr>
    </w:tbl>
    <w:p w14:paraId="55AE39A6">
      <w:pPr>
        <w:widowControl w:val="0"/>
        <w:kinsoku w:val="0"/>
        <w:autoSpaceDE w:val="0"/>
        <w:autoSpaceDN w:val="0"/>
        <w:adjustRightInd w:val="0"/>
        <w:snapToGrid w:val="0"/>
        <w:rPr>
          <w:rFonts w:ascii="宋体" w:hAnsi="宋体" w:cs="宋体"/>
          <w:color w:val="auto"/>
          <w:sz w:val="24"/>
          <w:highlight w:val="none"/>
          <w:lang w:eastAsia="en-US"/>
        </w:rPr>
      </w:pPr>
    </w:p>
    <w:p w14:paraId="5D717B98">
      <w:pPr>
        <w:kinsoku w:val="0"/>
        <w:autoSpaceDE w:val="0"/>
        <w:autoSpaceDN w:val="0"/>
        <w:adjustRightInd w:val="0"/>
        <w:snapToGrid w:val="0"/>
        <w:spacing w:line="146" w:lineRule="exact"/>
        <w:jc w:val="left"/>
        <w:rPr>
          <w:rFonts w:ascii="宋体" w:hAnsi="宋体" w:cs="宋体"/>
          <w:color w:val="auto"/>
          <w:kern w:val="0"/>
          <w:sz w:val="24"/>
          <w:highlight w:val="none"/>
          <w:lang w:eastAsia="en-US"/>
        </w:rPr>
      </w:pPr>
    </w:p>
    <w:p w14:paraId="22E36FDB">
      <w:pPr>
        <w:rPr>
          <w:rFonts w:hint="eastAsia" w:ascii="宋体" w:hAnsi="宋体" w:cs="宋体"/>
          <w:color w:val="auto"/>
          <w:spacing w:val="-2"/>
          <w:sz w:val="24"/>
          <w:highlight w:val="none"/>
        </w:rPr>
      </w:pPr>
    </w:p>
    <w:p w14:paraId="7460FBAA">
      <w:pPr>
        <w:widowControl w:val="0"/>
        <w:kinsoku w:val="0"/>
        <w:autoSpaceDE w:val="0"/>
        <w:autoSpaceDN w:val="0"/>
        <w:adjustRightInd w:val="0"/>
        <w:snapToGrid w:val="0"/>
        <w:spacing w:before="115" w:line="219" w:lineRule="auto"/>
        <w:rPr>
          <w:rFonts w:ascii="宋体" w:hAnsi="宋体" w:cs="宋体"/>
          <w:color w:val="auto"/>
          <w:spacing w:val="-2"/>
          <w:sz w:val="24"/>
          <w:highlight w:val="none"/>
        </w:rPr>
      </w:pPr>
      <w:r>
        <w:rPr>
          <w:rFonts w:hint="eastAsia" w:ascii="宋体" w:hAnsi="宋体" w:cs="宋体"/>
          <w:color w:val="auto"/>
          <w:spacing w:val="-2"/>
          <w:sz w:val="24"/>
          <w:highlight w:val="none"/>
        </w:rPr>
        <w:t>表（二）</w:t>
      </w:r>
    </w:p>
    <w:tbl>
      <w:tblPr>
        <w:tblStyle w:val="25"/>
        <w:tblpPr w:leftFromText="180" w:rightFromText="180" w:vertAnchor="text" w:horzAnchor="page" w:tblpX="1333" w:tblpY="50"/>
        <w:tblOverlap w:val="never"/>
        <w:tblW w:w="9598" w:type="dxa"/>
        <w:tblInd w:w="0" w:type="dxa"/>
        <w:tblLayout w:type="fixed"/>
        <w:tblCellMar>
          <w:top w:w="15" w:type="dxa"/>
          <w:left w:w="15" w:type="dxa"/>
          <w:bottom w:w="15" w:type="dxa"/>
          <w:right w:w="15" w:type="dxa"/>
        </w:tblCellMar>
      </w:tblPr>
      <w:tblGrid>
        <w:gridCol w:w="544"/>
        <w:gridCol w:w="1052"/>
        <w:gridCol w:w="1241"/>
        <w:gridCol w:w="3853"/>
        <w:gridCol w:w="1527"/>
        <w:gridCol w:w="1381"/>
      </w:tblGrid>
      <w:tr w14:paraId="6E9059D4">
        <w:tblPrEx>
          <w:tblCellMar>
            <w:top w:w="15" w:type="dxa"/>
            <w:left w:w="15" w:type="dxa"/>
            <w:bottom w:w="15" w:type="dxa"/>
            <w:right w:w="15" w:type="dxa"/>
          </w:tblCellMar>
        </w:tblPrEx>
        <w:trPr>
          <w:trHeight w:val="849" w:hRule="atLeast"/>
        </w:trPr>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D104">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用工部门</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3D7FC">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工作地点（人数）</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B7651">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年龄及身体要求</w:t>
            </w:r>
          </w:p>
        </w:tc>
        <w:tc>
          <w:tcPr>
            <w:tcW w:w="3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F48A5">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工作内容</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50A8">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工作时间</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BCE3B">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工作职责</w:t>
            </w:r>
          </w:p>
        </w:tc>
      </w:tr>
      <w:tr w14:paraId="48AE2FF5">
        <w:tblPrEx>
          <w:tblCellMar>
            <w:top w:w="15" w:type="dxa"/>
            <w:left w:w="15" w:type="dxa"/>
            <w:bottom w:w="15" w:type="dxa"/>
            <w:right w:w="15" w:type="dxa"/>
          </w:tblCellMar>
        </w:tblPrEx>
        <w:trPr>
          <w:trHeight w:val="1632" w:hRule="atLeast"/>
        </w:trPr>
        <w:tc>
          <w:tcPr>
            <w:tcW w:w="5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04FB7">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花卉中心</w:t>
            </w: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6278">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育苗大棚</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（女：1人</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lang w:val="en-US" w:eastAsia="zh-CN"/>
              </w:rPr>
              <w:t>男：1人</w:t>
            </w:r>
            <w:r>
              <w:rPr>
                <w:rFonts w:hint="eastAsia" w:ascii="宋体" w:hAnsi="宋体" w:cs="宋体"/>
                <w:color w:val="auto"/>
                <w:kern w:val="0"/>
                <w:sz w:val="24"/>
                <w:highlight w:val="none"/>
              </w:rPr>
              <w:t>）</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6531">
            <w:pPr>
              <w:kinsoku w:val="0"/>
              <w:autoSpaceDE w:val="0"/>
              <w:autoSpaceDN w:val="0"/>
              <w:adjustRightInd w:val="0"/>
              <w:snapToGrid w:val="0"/>
              <w:rPr>
                <w:rFonts w:ascii="宋体" w:hAnsi="宋体" w:cs="宋体"/>
                <w:color w:val="auto"/>
                <w:kern w:val="0"/>
                <w:sz w:val="24"/>
                <w:highlight w:val="none"/>
              </w:rPr>
            </w:pPr>
            <w:r>
              <w:rPr>
                <w:rFonts w:hint="eastAsia" w:ascii="宋体" w:hAnsi="宋体" w:cs="宋体"/>
                <w:color w:val="auto"/>
                <w:kern w:val="0"/>
                <w:sz w:val="24"/>
                <w:highlight w:val="none"/>
              </w:rPr>
              <w:t>63岁以下，身体健康，具备完成工作内容的劳动技能。</w:t>
            </w:r>
          </w:p>
        </w:tc>
        <w:tc>
          <w:tcPr>
            <w:tcW w:w="3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B918">
            <w:pPr>
              <w:kinsoku w:val="0"/>
              <w:autoSpaceDE w:val="0"/>
              <w:autoSpaceDN w:val="0"/>
              <w:adjustRightInd w:val="0"/>
              <w:snapToGrid w:val="0"/>
              <w:rPr>
                <w:rFonts w:ascii="宋体" w:hAnsi="宋体" w:cs="宋体"/>
                <w:color w:val="auto"/>
                <w:kern w:val="0"/>
                <w:sz w:val="24"/>
                <w:highlight w:val="none"/>
              </w:rPr>
            </w:pPr>
            <w:r>
              <w:rPr>
                <w:rFonts w:hint="eastAsia" w:ascii="宋体" w:hAnsi="宋体" w:cs="宋体"/>
                <w:color w:val="auto"/>
                <w:kern w:val="0"/>
                <w:sz w:val="24"/>
                <w:highlight w:val="none"/>
              </w:rPr>
              <w:t>花卉栽培岗要有花卉绿植栽培经验，主要负责负责对现有存圃植物和实验苗进行浇水、施肥、打药、换盆等操作，每年培育、管理、繁殖盆栽花卉5万余盆（株）。</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00799">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8：00-12：00</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14：00-18：00</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每周休1天</w:t>
            </w:r>
          </w:p>
        </w:tc>
        <w:tc>
          <w:tcPr>
            <w:tcW w:w="13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1A207B">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1、服从管理人员的工作安排；</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2、爱护劳动工具，注意使用安全；</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3、遵守考勤制度，不迟到早退；</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4、临时有事需先向管理人员请假；</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5、工作中礼让游客，不与游客发生冲突；</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6、遇突发事件要及时上报。</w:t>
            </w:r>
          </w:p>
        </w:tc>
      </w:tr>
      <w:tr w14:paraId="4CB93031">
        <w:tblPrEx>
          <w:tblCellMar>
            <w:top w:w="15" w:type="dxa"/>
            <w:left w:w="15" w:type="dxa"/>
            <w:bottom w:w="15" w:type="dxa"/>
            <w:right w:w="15" w:type="dxa"/>
          </w:tblCellMar>
        </w:tblPrEx>
        <w:trPr>
          <w:trHeight w:val="2315" w:hRule="atLeast"/>
        </w:trPr>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A7F4D">
            <w:pPr>
              <w:kinsoku w:val="0"/>
              <w:autoSpaceDE w:val="0"/>
              <w:autoSpaceDN w:val="0"/>
              <w:adjustRightInd w:val="0"/>
              <w:snapToGrid w:val="0"/>
              <w:jc w:val="center"/>
              <w:rPr>
                <w:rFonts w:ascii="宋体" w:hAnsi="宋体" w:cs="宋体"/>
                <w:color w:val="auto"/>
                <w:kern w:val="0"/>
                <w:sz w:val="24"/>
                <w:highlight w:val="none"/>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3E0E8">
            <w:pPr>
              <w:kinsoku w:val="0"/>
              <w:autoSpaceDE w:val="0"/>
              <w:autoSpaceDN w:val="0"/>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专类园</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（男：</w:t>
            </w:r>
            <w:r>
              <w:rPr>
                <w:rFonts w:hint="eastAsia" w:ascii="宋体" w:hAnsi="宋体" w:cs="宋体"/>
                <w:color w:val="auto"/>
                <w:kern w:val="0"/>
                <w:sz w:val="24"/>
                <w:highlight w:val="none"/>
                <w:lang w:val="en-US" w:eastAsia="zh-CN"/>
              </w:rPr>
              <w:t>1</w:t>
            </w:r>
            <w:r>
              <w:rPr>
                <w:rFonts w:hint="eastAsia" w:ascii="宋体" w:hAnsi="宋体" w:cs="宋体"/>
                <w:color w:val="auto"/>
                <w:kern w:val="0"/>
                <w:sz w:val="24"/>
                <w:highlight w:val="none"/>
              </w:rPr>
              <w:t>人，女：1人）</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CE2A1">
            <w:pPr>
              <w:kinsoku w:val="0"/>
              <w:autoSpaceDE w:val="0"/>
              <w:autoSpaceDN w:val="0"/>
              <w:adjustRightInd w:val="0"/>
              <w:snapToGrid w:val="0"/>
              <w:rPr>
                <w:rFonts w:ascii="宋体" w:hAnsi="宋体" w:cs="宋体"/>
                <w:color w:val="auto"/>
                <w:kern w:val="0"/>
                <w:sz w:val="24"/>
                <w:highlight w:val="none"/>
              </w:rPr>
            </w:pPr>
            <w:r>
              <w:rPr>
                <w:rFonts w:hint="eastAsia" w:ascii="宋体" w:hAnsi="宋体" w:cs="宋体"/>
                <w:color w:val="auto"/>
                <w:kern w:val="0"/>
                <w:sz w:val="24"/>
                <w:highlight w:val="none"/>
              </w:rPr>
              <w:t>63岁以下，身体健康，具备完成工作内容的劳动技能。</w:t>
            </w:r>
          </w:p>
        </w:tc>
        <w:tc>
          <w:tcPr>
            <w:tcW w:w="3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F33B">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此岗位现负责从南广场至西广场的水杉路、紫薇湖的区域，面积150亩。负责紫薇月季园修剪控花，打药追肥除草，紫薇湖边水生植物的水肥控制，广场灌木绿地的日常修剪，以及其他日常事务，要求会使用和保养打药机、割草机、割灌机等常规园林机械。</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490E">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8：00-12：00</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14：00-18：00</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每周休1天</w:t>
            </w:r>
          </w:p>
        </w:tc>
        <w:tc>
          <w:tcPr>
            <w:tcW w:w="13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B78A2">
            <w:pPr>
              <w:kinsoku w:val="0"/>
              <w:autoSpaceDE w:val="0"/>
              <w:autoSpaceDN w:val="0"/>
              <w:adjustRightInd w:val="0"/>
              <w:snapToGrid w:val="0"/>
              <w:jc w:val="left"/>
              <w:rPr>
                <w:rFonts w:ascii="宋体" w:hAnsi="宋体" w:cs="宋体"/>
                <w:color w:val="auto"/>
                <w:kern w:val="0"/>
                <w:sz w:val="24"/>
                <w:highlight w:val="none"/>
                <w:lang w:eastAsia="en-US"/>
              </w:rPr>
            </w:pPr>
          </w:p>
        </w:tc>
      </w:tr>
      <w:tr w14:paraId="0AFDBA62">
        <w:tblPrEx>
          <w:tblCellMar>
            <w:top w:w="15" w:type="dxa"/>
            <w:left w:w="15" w:type="dxa"/>
            <w:bottom w:w="15" w:type="dxa"/>
            <w:right w:w="15" w:type="dxa"/>
          </w:tblCellMar>
        </w:tblPrEx>
        <w:trPr>
          <w:trHeight w:val="1800" w:hRule="atLeast"/>
        </w:trPr>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5AD8E">
            <w:pPr>
              <w:kinsoku w:val="0"/>
              <w:autoSpaceDE w:val="0"/>
              <w:autoSpaceDN w:val="0"/>
              <w:adjustRightInd w:val="0"/>
              <w:snapToGrid w:val="0"/>
              <w:jc w:val="center"/>
              <w:rPr>
                <w:rFonts w:ascii="宋体" w:hAnsi="宋体" w:cs="宋体"/>
                <w:color w:val="auto"/>
                <w:kern w:val="0"/>
                <w:sz w:val="24"/>
                <w:highlight w:val="none"/>
                <w:lang w:eastAsia="en-US"/>
              </w:rPr>
            </w:pPr>
          </w:p>
        </w:tc>
        <w:tc>
          <w:tcPr>
            <w:tcW w:w="1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36DD">
            <w:pPr>
              <w:kinsoku w:val="0"/>
              <w:autoSpaceDE w:val="0"/>
              <w:autoSpaceDN w:val="0"/>
              <w:adjustRightInd w:val="0"/>
              <w:snapToGrid w:val="0"/>
              <w:jc w:val="center"/>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植物收集园</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（男：2人）</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6B23">
            <w:pPr>
              <w:kinsoku w:val="0"/>
              <w:autoSpaceDE w:val="0"/>
              <w:autoSpaceDN w:val="0"/>
              <w:adjustRightInd w:val="0"/>
              <w:snapToGrid w:val="0"/>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63岁以下，身体健康，具备完成工作内容的劳动技能。</w:t>
            </w:r>
          </w:p>
        </w:tc>
        <w:tc>
          <w:tcPr>
            <w:tcW w:w="38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40AF">
            <w:pPr>
              <w:kinsoku w:val="0"/>
              <w:autoSpaceDE w:val="0"/>
              <w:autoSpaceDN w:val="0"/>
              <w:adjustRightInd w:val="0"/>
              <w:snapToGrid w:val="0"/>
              <w:jc w:val="left"/>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此岗位负责植物收集园</w:t>
            </w:r>
            <w:r>
              <w:rPr>
                <w:rFonts w:hint="eastAsia" w:ascii="宋体" w:hAnsi="宋体" w:cs="宋体"/>
                <w:color w:val="auto"/>
                <w:kern w:val="0"/>
                <w:sz w:val="24"/>
                <w:highlight w:val="none"/>
                <w:lang w:val="en-US" w:eastAsia="zh-CN"/>
              </w:rPr>
              <w:t>22.5亩</w:t>
            </w:r>
            <w:r>
              <w:rPr>
                <w:rFonts w:hint="eastAsia" w:ascii="宋体" w:hAnsi="宋体" w:cs="宋体"/>
                <w:color w:val="auto"/>
                <w:kern w:val="0"/>
                <w:sz w:val="24"/>
                <w:highlight w:val="none"/>
              </w:rPr>
              <w:t>区域内植物的修剪、清枝、打药、施肥、除灌除草等日常管护工作；重点负责珍稀植物的差异化养护，包括精细修剪、特殊水肥管理、病虫害专项防治。要求会使用和保养打药机、割草机、割灌机等常规园林机械，并能按规范对珍稀植物进行相关操作，确保其良好生长状态。</w:t>
            </w:r>
          </w:p>
        </w:tc>
        <w:tc>
          <w:tcPr>
            <w:tcW w:w="15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B4693">
            <w:pPr>
              <w:kinsoku w:val="0"/>
              <w:autoSpaceDE w:val="0"/>
              <w:autoSpaceDN w:val="0"/>
              <w:adjustRightInd w:val="0"/>
              <w:snapToGrid w:val="0"/>
              <w:jc w:val="left"/>
              <w:rPr>
                <w:rFonts w:hint="eastAsia" w:ascii="宋体" w:hAnsi="宋体" w:eastAsia="宋体" w:cs="宋体"/>
                <w:color w:val="auto"/>
                <w:kern w:val="0"/>
                <w:sz w:val="24"/>
                <w:szCs w:val="24"/>
                <w:highlight w:val="none"/>
                <w:lang w:val="en-US" w:eastAsia="en-US" w:bidi="ar-SA"/>
              </w:rPr>
            </w:pPr>
            <w:r>
              <w:rPr>
                <w:rFonts w:hint="eastAsia" w:ascii="宋体" w:hAnsi="宋体" w:cs="宋体"/>
                <w:color w:val="auto"/>
                <w:kern w:val="0"/>
                <w:sz w:val="24"/>
                <w:highlight w:val="none"/>
              </w:rPr>
              <w:t>8：00-12：00</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14：00-18：00</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每周休1天</w:t>
            </w:r>
          </w:p>
        </w:tc>
        <w:tc>
          <w:tcPr>
            <w:tcW w:w="13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0147C">
            <w:pPr>
              <w:kinsoku w:val="0"/>
              <w:autoSpaceDE w:val="0"/>
              <w:autoSpaceDN w:val="0"/>
              <w:adjustRightInd w:val="0"/>
              <w:snapToGrid w:val="0"/>
              <w:jc w:val="left"/>
              <w:rPr>
                <w:rFonts w:ascii="宋体" w:hAnsi="宋体" w:cs="宋体"/>
                <w:color w:val="auto"/>
                <w:kern w:val="0"/>
                <w:sz w:val="24"/>
                <w:highlight w:val="none"/>
                <w:lang w:eastAsia="en-US"/>
              </w:rPr>
            </w:pPr>
          </w:p>
        </w:tc>
      </w:tr>
    </w:tbl>
    <w:p w14:paraId="18F02D81">
      <w:pPr>
        <w:widowControl w:val="0"/>
        <w:kinsoku w:val="0"/>
        <w:autoSpaceDE w:val="0"/>
        <w:autoSpaceDN w:val="0"/>
        <w:adjustRightInd w:val="0"/>
        <w:snapToGrid w:val="0"/>
        <w:rPr>
          <w:rFonts w:ascii="宋体" w:hAnsi="宋体" w:cs="宋体"/>
          <w:color w:val="auto"/>
          <w:sz w:val="24"/>
          <w:highlight w:val="none"/>
        </w:rPr>
      </w:pPr>
    </w:p>
    <w:p w14:paraId="3594C650">
      <w:pPr>
        <w:spacing w:after="120" w:line="480" w:lineRule="auto"/>
        <w:rPr>
          <w:rFonts w:ascii="宋体" w:hAnsi="宋体" w:cs="宋体"/>
          <w:color w:val="auto"/>
          <w:sz w:val="24"/>
          <w:highlight w:val="none"/>
        </w:rPr>
      </w:pPr>
      <w:r>
        <w:rPr>
          <w:rFonts w:hint="eastAsia" w:ascii="宋体" w:hAnsi="宋体" w:cs="宋体"/>
          <w:color w:val="auto"/>
          <w:spacing w:val="8"/>
          <w:sz w:val="24"/>
          <w:highlight w:val="none"/>
        </w:rPr>
        <w:t>养护要求：①乔木无枯枝、下垂直枝、交叉枝、过密枝、徒长枝、病虫枝，做到不影响游客行走、监控拍摄和车辆通行。②绿地地被上无杂草、树枝、落叶、杂物，做到及时清理。③定期进行浇水作业，干旱天气增加浇水补水频率，满足植物生长需要。④对生病、起虫的植物及时进行打药救治，打药操作时要摆放警示标志。⑤冬季刷白，高度要统一、均匀。⑥草坪要定期修剪，做到规则平整，高度统一，无杂草及黄土裸露。⑦及时领取肥料，按照规范要求施肥，操作规范、用量合理。</w:t>
      </w:r>
      <w:r>
        <w:rPr>
          <w:rFonts w:hint="eastAsia" w:ascii="宋体" w:hAnsi="宋体" w:cs="宋体"/>
          <w:color w:val="auto"/>
          <w:spacing w:val="9"/>
          <w:sz w:val="24"/>
          <w:highlight w:val="none"/>
        </w:rPr>
        <w:t>⑧园林垃圾要统一堆放到指定区域，并做到及时清理。绿地管护及专类园（含花圃）</w:t>
      </w:r>
    </w:p>
    <w:p w14:paraId="5EB3734F">
      <w:pPr>
        <w:rPr>
          <w:rFonts w:hint="eastAsia" w:ascii="宋体" w:hAnsi="宋体" w:cs="宋体"/>
          <w:color w:val="auto"/>
          <w:sz w:val="24"/>
          <w:highlight w:val="none"/>
        </w:rPr>
      </w:pPr>
    </w:p>
    <w:p w14:paraId="6EE41577">
      <w:pPr>
        <w:widowControl w:val="0"/>
        <w:kinsoku w:val="0"/>
        <w:autoSpaceDE w:val="0"/>
        <w:autoSpaceDN w:val="0"/>
        <w:adjustRightInd w:val="0"/>
        <w:snapToGrid w:val="0"/>
        <w:rPr>
          <w:rFonts w:ascii="宋体" w:hAnsi="宋体" w:cs="宋体"/>
          <w:color w:val="auto"/>
          <w:sz w:val="24"/>
          <w:highlight w:val="none"/>
        </w:rPr>
      </w:pPr>
      <w:r>
        <w:rPr>
          <w:rFonts w:hint="eastAsia" w:ascii="宋体" w:hAnsi="宋体" w:cs="宋体"/>
          <w:color w:val="auto"/>
          <w:sz w:val="24"/>
          <w:highlight w:val="none"/>
        </w:rPr>
        <w:t>表（三）</w:t>
      </w:r>
    </w:p>
    <w:tbl>
      <w:tblPr>
        <w:tblStyle w:val="25"/>
        <w:tblpPr w:leftFromText="180" w:rightFromText="180" w:vertAnchor="text" w:horzAnchor="page" w:tblpX="1772" w:tblpY="401"/>
        <w:tblOverlap w:val="never"/>
        <w:tblW w:w="9580" w:type="dxa"/>
        <w:tblInd w:w="0" w:type="dxa"/>
        <w:tblLayout w:type="fixed"/>
        <w:tblCellMar>
          <w:top w:w="15" w:type="dxa"/>
          <w:left w:w="15" w:type="dxa"/>
          <w:bottom w:w="15" w:type="dxa"/>
          <w:right w:w="15" w:type="dxa"/>
        </w:tblCellMar>
      </w:tblPr>
      <w:tblGrid>
        <w:gridCol w:w="730"/>
        <w:gridCol w:w="1033"/>
        <w:gridCol w:w="1173"/>
        <w:gridCol w:w="2386"/>
        <w:gridCol w:w="1819"/>
        <w:gridCol w:w="2439"/>
      </w:tblGrid>
      <w:tr w14:paraId="12625436">
        <w:tblPrEx>
          <w:tblCellMar>
            <w:top w:w="15" w:type="dxa"/>
            <w:left w:w="15" w:type="dxa"/>
            <w:bottom w:w="15" w:type="dxa"/>
            <w:right w:w="15" w:type="dxa"/>
          </w:tblCellMar>
        </w:tblPrEx>
        <w:trPr>
          <w:trHeight w:val="575"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73B7C">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用工部门</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3BBB">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工作地点（人数）</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24D92">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年龄及身体要求</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7A802">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工作内容</w:t>
            </w: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76CF">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工作时间</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6928B">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工作职责</w:t>
            </w:r>
          </w:p>
        </w:tc>
      </w:tr>
      <w:tr w14:paraId="0A0C6FFE">
        <w:tblPrEx>
          <w:tblCellMar>
            <w:top w:w="15" w:type="dxa"/>
            <w:left w:w="15" w:type="dxa"/>
            <w:bottom w:w="15" w:type="dxa"/>
            <w:right w:w="15" w:type="dxa"/>
          </w:tblCellMar>
        </w:tblPrEx>
        <w:trPr>
          <w:trHeight w:val="324"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067CC">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资源办</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E083">
            <w:pPr>
              <w:kinsoku w:val="0"/>
              <w:autoSpaceDE w:val="0"/>
              <w:autoSpaceDN w:val="0"/>
              <w:adjustRightInd w:val="0"/>
              <w:snapToGrid w:val="0"/>
              <w:jc w:val="center"/>
              <w:rPr>
                <w:rFonts w:ascii="宋体" w:hAnsi="宋体" w:cs="宋体"/>
                <w:b w:val="0"/>
                <w:bCs w:val="0"/>
                <w:color w:val="auto"/>
                <w:kern w:val="0"/>
                <w:sz w:val="24"/>
                <w:highlight w:val="none"/>
              </w:rPr>
            </w:pPr>
            <w:r>
              <w:rPr>
                <w:rFonts w:hint="eastAsia" w:ascii="宋体" w:hAnsi="宋体" w:cs="宋体"/>
                <w:b w:val="0"/>
                <w:bCs w:val="0"/>
                <w:color w:val="auto"/>
                <w:kern w:val="0"/>
                <w:sz w:val="24"/>
                <w:highlight w:val="none"/>
              </w:rPr>
              <w:t>资源办所辖范围</w:t>
            </w:r>
            <w:r>
              <w:rPr>
                <w:rFonts w:hint="eastAsia" w:ascii="宋体" w:hAnsi="宋体" w:cs="宋体"/>
                <w:b w:val="0"/>
                <w:bCs w:val="0"/>
                <w:color w:val="auto"/>
                <w:kern w:val="0"/>
                <w:sz w:val="24"/>
                <w:highlight w:val="none"/>
              </w:rPr>
              <w:br w:type="textWrapping"/>
            </w:r>
            <w:r>
              <w:rPr>
                <w:rFonts w:hint="eastAsia" w:ascii="宋体" w:hAnsi="宋体" w:cs="宋体"/>
                <w:b w:val="0"/>
                <w:bCs w:val="0"/>
                <w:color w:val="auto"/>
                <w:kern w:val="0"/>
                <w:sz w:val="24"/>
                <w:highlight w:val="none"/>
              </w:rPr>
              <w:t>（男：</w:t>
            </w:r>
            <w:r>
              <w:rPr>
                <w:rFonts w:hint="eastAsia" w:ascii="宋体" w:hAnsi="宋体" w:cs="宋体"/>
                <w:b w:val="0"/>
                <w:bCs w:val="0"/>
                <w:color w:val="auto"/>
                <w:kern w:val="0"/>
                <w:sz w:val="24"/>
                <w:highlight w:val="none"/>
                <w:lang w:val="en-US" w:eastAsia="zh-CN"/>
              </w:rPr>
              <w:t>2</w:t>
            </w:r>
            <w:r>
              <w:rPr>
                <w:rFonts w:hint="eastAsia" w:ascii="宋体" w:hAnsi="宋体" w:cs="宋体"/>
                <w:b w:val="0"/>
                <w:bCs w:val="0"/>
                <w:color w:val="auto"/>
                <w:kern w:val="0"/>
                <w:sz w:val="24"/>
                <w:highlight w:val="none"/>
              </w:rPr>
              <w:t>人，女：</w:t>
            </w:r>
            <w:r>
              <w:rPr>
                <w:rFonts w:hint="eastAsia" w:ascii="宋体" w:hAnsi="宋体" w:cs="宋体"/>
                <w:b w:val="0"/>
                <w:bCs w:val="0"/>
                <w:color w:val="auto"/>
                <w:kern w:val="0"/>
                <w:sz w:val="24"/>
                <w:highlight w:val="none"/>
                <w:lang w:val="en-US" w:eastAsia="zh-CN"/>
              </w:rPr>
              <w:t>4</w:t>
            </w:r>
            <w:r>
              <w:rPr>
                <w:rFonts w:hint="eastAsia" w:ascii="宋体" w:hAnsi="宋体" w:cs="宋体"/>
                <w:b w:val="0"/>
                <w:bCs w:val="0"/>
                <w:color w:val="auto"/>
                <w:kern w:val="0"/>
                <w:sz w:val="24"/>
                <w:highlight w:val="none"/>
              </w:rPr>
              <w:t>人）</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E0ABE">
            <w:pPr>
              <w:kinsoku w:val="0"/>
              <w:autoSpaceDE w:val="0"/>
              <w:autoSpaceDN w:val="0"/>
              <w:adjustRightInd w:val="0"/>
              <w:snapToGrid w:val="0"/>
              <w:rPr>
                <w:rFonts w:ascii="宋体" w:hAnsi="宋体" w:cs="宋体"/>
                <w:b w:val="0"/>
                <w:bCs w:val="0"/>
                <w:color w:val="auto"/>
                <w:kern w:val="0"/>
                <w:sz w:val="24"/>
                <w:highlight w:val="none"/>
              </w:rPr>
            </w:pPr>
            <w:r>
              <w:rPr>
                <w:rFonts w:hint="eastAsia" w:ascii="宋体" w:hAnsi="宋体" w:cs="宋体"/>
                <w:b w:val="0"/>
                <w:bCs w:val="0"/>
                <w:color w:val="auto"/>
                <w:kern w:val="0"/>
                <w:sz w:val="24"/>
                <w:highlight w:val="none"/>
              </w:rPr>
              <w:t>63岁以下，身体健康，吃苦耐劳，具备完成工作内容的劳动技能。</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D25B4">
            <w:pPr>
              <w:kinsoku w:val="0"/>
              <w:autoSpaceDE w:val="0"/>
              <w:autoSpaceDN w:val="0"/>
              <w:adjustRightInd w:val="0"/>
              <w:snapToGrid w:val="0"/>
              <w:jc w:val="left"/>
              <w:rPr>
                <w:rFonts w:hint="eastAsia" w:ascii="宋体" w:hAnsi="宋体" w:eastAsia="宋体" w:cs="宋体"/>
                <w:b w:val="0"/>
                <w:bCs w:val="0"/>
                <w:color w:val="auto"/>
                <w:kern w:val="0"/>
                <w:sz w:val="24"/>
                <w:highlight w:val="none"/>
                <w:lang w:val="en-US" w:eastAsia="zh-CN"/>
              </w:rPr>
            </w:pPr>
            <w:r>
              <w:rPr>
                <w:rFonts w:hint="eastAsia" w:ascii="宋体" w:hAnsi="宋体" w:cs="宋体"/>
                <w:b w:val="0"/>
                <w:bCs w:val="0"/>
                <w:color w:val="auto"/>
                <w:kern w:val="0"/>
                <w:sz w:val="24"/>
                <w:highlight w:val="none"/>
              </w:rPr>
              <w:t>负责木兰园、珍稀植物园、桂花园、银杏樱花园、杜鹃园、杨梅园、槭树园、市民义务植树基地、植物收集园等专类园、扩园区樱花景观示范林的绿地管护任务，面积</w:t>
            </w:r>
            <w:r>
              <w:rPr>
                <w:rFonts w:hint="eastAsia" w:ascii="宋体" w:hAnsi="宋体" w:cs="宋体"/>
                <w:b w:val="0"/>
                <w:bCs w:val="0"/>
                <w:color w:val="auto"/>
                <w:kern w:val="0"/>
                <w:sz w:val="24"/>
                <w:highlight w:val="none"/>
              </w:rPr>
              <w:t>约</w:t>
            </w:r>
            <w:r>
              <w:rPr>
                <w:rFonts w:hint="eastAsia" w:ascii="宋体" w:hAnsi="宋体" w:cs="宋体"/>
                <w:b w:val="0"/>
                <w:bCs w:val="0"/>
                <w:color w:val="auto"/>
                <w:kern w:val="0"/>
                <w:sz w:val="24"/>
                <w:highlight w:val="none"/>
                <w:lang w:val="en-US" w:eastAsia="zh-CN"/>
              </w:rPr>
              <w:t>55</w:t>
            </w:r>
            <w:r>
              <w:rPr>
                <w:rFonts w:hint="eastAsia" w:ascii="宋体" w:hAnsi="宋体" w:cs="宋体"/>
                <w:b w:val="0"/>
                <w:bCs w:val="0"/>
                <w:color w:val="auto"/>
                <w:kern w:val="0"/>
                <w:sz w:val="24"/>
                <w:highlight w:val="none"/>
              </w:rPr>
              <w:t>0亩</w:t>
            </w:r>
            <w:r>
              <w:rPr>
                <w:rFonts w:hint="eastAsia" w:ascii="宋体" w:hAnsi="宋体" w:cs="宋体"/>
                <w:b w:val="0"/>
                <w:bCs w:val="0"/>
                <w:color w:val="auto"/>
                <w:kern w:val="0"/>
                <w:sz w:val="24"/>
                <w:highlight w:val="none"/>
              </w:rPr>
              <w:t>。主要工作包括所辖区域内的植物的修剪整形、病虫害防治、除灌除草除藤、目标数种的抚育</w:t>
            </w:r>
            <w:r>
              <w:rPr>
                <w:rFonts w:hint="eastAsia" w:ascii="宋体" w:hAnsi="宋体" w:cs="宋体"/>
                <w:b w:val="0"/>
                <w:bCs w:val="0"/>
                <w:color w:val="auto"/>
                <w:kern w:val="0"/>
                <w:sz w:val="24"/>
                <w:highlight w:val="none"/>
                <w:lang w:eastAsia="zh-CN"/>
              </w:rPr>
              <w:t>、</w:t>
            </w:r>
            <w:r>
              <w:rPr>
                <w:rFonts w:hint="eastAsia" w:ascii="宋体" w:hAnsi="宋体" w:cs="宋体"/>
                <w:color w:val="auto"/>
                <w:sz w:val="24"/>
                <w:highlight w:val="none"/>
                <w:lang w:val="en-US" w:eastAsia="zh-CN"/>
              </w:rPr>
              <w:t>拖拉机转运枝条</w:t>
            </w:r>
            <w:r>
              <w:rPr>
                <w:rFonts w:hint="eastAsia" w:ascii="宋体" w:hAnsi="宋体" w:cs="宋体"/>
                <w:b w:val="0"/>
                <w:bCs w:val="0"/>
                <w:color w:val="auto"/>
                <w:kern w:val="0"/>
                <w:sz w:val="24"/>
                <w:highlight w:val="none"/>
              </w:rPr>
              <w:t>等日常管护工作。春季防汛、夏秋季抗旱保苗、冬季防冰冻灾害。要求会使用和保养打药机、割草机、绿篱机、割灌机等常规园林机械。</w:t>
            </w:r>
            <w:r>
              <w:rPr>
                <w:rFonts w:hint="eastAsia" w:ascii="宋体" w:hAnsi="宋体" w:cs="宋体"/>
                <w:b w:val="0"/>
                <w:bCs w:val="0"/>
                <w:color w:val="auto"/>
                <w:kern w:val="0"/>
                <w:sz w:val="24"/>
                <w:highlight w:val="none"/>
                <w:lang w:eastAsia="zh-CN"/>
              </w:rPr>
              <w:t>其中一名女劳力主要在</w:t>
            </w:r>
            <w:r>
              <w:rPr>
                <w:rFonts w:hint="eastAsia" w:ascii="宋体" w:hAnsi="宋体" w:cs="宋体"/>
                <w:b w:val="0"/>
                <w:bCs w:val="0"/>
                <w:color w:val="auto"/>
                <w:kern w:val="0"/>
                <w:sz w:val="24"/>
                <w:highlight w:val="none"/>
              </w:rPr>
              <w:t>育苗大棚进行苗</w:t>
            </w:r>
            <w:r>
              <w:rPr>
                <w:rFonts w:hint="eastAsia" w:ascii="宋体" w:hAnsi="宋体" w:cs="宋体"/>
                <w:b w:val="0"/>
                <w:bCs w:val="0"/>
                <w:color w:val="auto"/>
                <w:kern w:val="0"/>
                <w:sz w:val="24"/>
                <w:highlight w:val="none"/>
                <w:lang w:eastAsia="zh-CN"/>
              </w:rPr>
              <w:t>木人工扩繁</w:t>
            </w:r>
            <w:r>
              <w:rPr>
                <w:rFonts w:hint="eastAsia" w:ascii="宋体" w:hAnsi="宋体" w:cs="宋体"/>
                <w:b w:val="0"/>
                <w:bCs w:val="0"/>
                <w:color w:val="auto"/>
                <w:kern w:val="0"/>
                <w:sz w:val="24"/>
                <w:highlight w:val="none"/>
              </w:rPr>
              <w:t>工作。</w:t>
            </w:r>
          </w:p>
        </w:tc>
        <w:tc>
          <w:tcPr>
            <w:tcW w:w="1819" w:type="dxa"/>
            <w:tcBorders>
              <w:top w:val="single" w:color="000000" w:sz="4" w:space="0"/>
              <w:left w:val="single" w:color="000000" w:sz="4" w:space="0"/>
              <w:right w:val="single" w:color="000000" w:sz="4" w:space="0"/>
            </w:tcBorders>
            <w:shd w:val="clear" w:color="auto" w:fill="auto"/>
            <w:vAlign w:val="center"/>
          </w:tcPr>
          <w:p w14:paraId="25114794">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夏季：</w:t>
            </w:r>
          </w:p>
          <w:p w14:paraId="1AED3367">
            <w:pPr>
              <w:kinsoku w:val="0"/>
              <w:autoSpaceDE w:val="0"/>
              <w:autoSpaceDN w:val="0"/>
              <w:adjustRightInd w:val="0"/>
              <w:snapToGrid w:val="0"/>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8：00-12：00</w:t>
            </w:r>
          </w:p>
          <w:p w14:paraId="754C7C19">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14：30-18：30</w:t>
            </w:r>
          </w:p>
          <w:p w14:paraId="67C74765">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冬季：</w:t>
            </w:r>
          </w:p>
          <w:p w14:paraId="4A9E0494">
            <w:pPr>
              <w:kinsoku w:val="0"/>
              <w:autoSpaceDE w:val="0"/>
              <w:autoSpaceDN w:val="0"/>
              <w:adjustRightInd w:val="0"/>
              <w:snapToGrid w:val="0"/>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8: 00-12: 00</w:t>
            </w:r>
          </w:p>
          <w:p w14:paraId="779F4963">
            <w:pPr>
              <w:kinsoku w:val="0"/>
              <w:autoSpaceDE w:val="0"/>
              <w:autoSpaceDN w:val="0"/>
              <w:adjustRightInd w:val="0"/>
              <w:snapToGrid w:val="0"/>
              <w:ind w:left="480" w:hanging="480" w:hanging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14: 00-18：00      </w:t>
            </w:r>
          </w:p>
          <w:p w14:paraId="28DB09C1">
            <w:pPr>
              <w:kinsoku w:val="0"/>
              <w:autoSpaceDE w:val="0"/>
              <w:autoSpaceDN w:val="0"/>
              <w:adjustRightInd w:val="0"/>
              <w:snapToGrid w:val="0"/>
              <w:ind w:left="480" w:hanging="480" w:hangingChars="200"/>
              <w:jc w:val="left"/>
              <w:rPr>
                <w:rFonts w:ascii="宋体" w:hAnsi="宋体" w:cs="宋体"/>
                <w:color w:val="auto"/>
                <w:kern w:val="0"/>
                <w:sz w:val="24"/>
                <w:highlight w:val="none"/>
              </w:rPr>
            </w:pPr>
          </w:p>
          <w:p w14:paraId="7CEC2C20">
            <w:pPr>
              <w:kinsoku w:val="0"/>
              <w:autoSpaceDE w:val="0"/>
              <w:autoSpaceDN w:val="0"/>
              <w:adjustRightInd w:val="0"/>
              <w:snapToGrid w:val="0"/>
              <w:ind w:left="437" w:leftChars="208"/>
              <w:jc w:val="left"/>
              <w:rPr>
                <w:rFonts w:hint="eastAsia" w:ascii="宋体" w:hAnsi="宋体" w:cs="宋体"/>
                <w:color w:val="auto"/>
                <w:kern w:val="0"/>
                <w:sz w:val="24"/>
                <w:highlight w:val="none"/>
              </w:rPr>
            </w:pPr>
            <w:r>
              <w:rPr>
                <w:rFonts w:hint="eastAsia" w:ascii="宋体" w:hAnsi="宋体" w:cs="宋体"/>
                <w:color w:val="auto"/>
                <w:kern w:val="0"/>
                <w:sz w:val="24"/>
                <w:highlight w:val="none"/>
              </w:rPr>
              <w:t>每周休1天</w:t>
            </w:r>
          </w:p>
          <w:p w14:paraId="3CC6F899">
            <w:pPr>
              <w:kinsoku w:val="0"/>
              <w:autoSpaceDE w:val="0"/>
              <w:autoSpaceDN w:val="0"/>
              <w:adjustRightInd w:val="0"/>
              <w:snapToGrid w:val="0"/>
              <w:ind w:left="437" w:leftChars="208"/>
              <w:jc w:val="left"/>
              <w:rPr>
                <w:rFonts w:ascii="宋体" w:hAnsi="宋体" w:eastAsia="宋体" w:cs="宋体"/>
                <w:color w:val="auto"/>
                <w:kern w:val="0"/>
                <w:sz w:val="24"/>
                <w:szCs w:val="24"/>
                <w:highlight w:val="none"/>
                <w:lang w:val="en-US" w:eastAsia="en-US" w:bidi="ar-SA"/>
              </w:rPr>
            </w:pPr>
          </w:p>
        </w:tc>
        <w:tc>
          <w:tcPr>
            <w:tcW w:w="2439" w:type="dxa"/>
            <w:tcBorders>
              <w:top w:val="single" w:color="000000" w:sz="4" w:space="0"/>
              <w:left w:val="single" w:color="000000" w:sz="4" w:space="0"/>
              <w:right w:val="single" w:color="000000" w:sz="4" w:space="0"/>
            </w:tcBorders>
            <w:shd w:val="clear" w:color="auto" w:fill="auto"/>
            <w:vAlign w:val="center"/>
          </w:tcPr>
          <w:p w14:paraId="1AEFAC28">
            <w:pPr>
              <w:kinsoku w:val="0"/>
              <w:autoSpaceDE w:val="0"/>
              <w:autoSpaceDN w:val="0"/>
              <w:adjustRightInd w:val="0"/>
              <w:snapToGrid w:val="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1、服从管理人员的工作安排；</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2、爱护劳动工具，注意使用安全；</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3、遵守考勤制度，不迟到早退，缺岗；</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4、临时有事需先向管理人员请假；</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5、工作中礼让游客，不与游客发生冲突；</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6、遇突发事件要及时上报。</w:t>
            </w:r>
          </w:p>
          <w:p w14:paraId="2A9F45DB">
            <w:pPr>
              <w:kinsoku w:val="0"/>
              <w:autoSpaceDE w:val="0"/>
              <w:autoSpaceDN w:val="0"/>
              <w:adjustRightInd w:val="0"/>
              <w:snapToGrid w:val="0"/>
              <w:jc w:val="left"/>
              <w:rPr>
                <w:rFonts w:ascii="宋体" w:hAnsi="宋体" w:cs="宋体"/>
                <w:color w:val="auto"/>
                <w:kern w:val="0"/>
                <w:sz w:val="24"/>
                <w:highlight w:val="none"/>
              </w:rPr>
            </w:pPr>
          </w:p>
        </w:tc>
      </w:tr>
    </w:tbl>
    <w:p w14:paraId="427CF8FD">
      <w:pPr>
        <w:widowControl w:val="0"/>
        <w:kinsoku w:val="0"/>
        <w:autoSpaceDE w:val="0"/>
        <w:autoSpaceDN w:val="0"/>
        <w:adjustRightInd w:val="0"/>
        <w:snapToGrid w:val="0"/>
        <w:rPr>
          <w:rFonts w:ascii="宋体" w:hAnsi="宋体" w:cs="宋体"/>
          <w:color w:val="auto"/>
          <w:sz w:val="24"/>
          <w:highlight w:val="none"/>
        </w:rPr>
      </w:pPr>
    </w:p>
    <w:p w14:paraId="74950DDC">
      <w:pPr>
        <w:rPr>
          <w:rFonts w:hint="eastAsia" w:ascii="宋体" w:hAnsi="宋体" w:cs="宋体"/>
          <w:color w:val="auto"/>
          <w:sz w:val="24"/>
          <w:highlight w:val="none"/>
        </w:rPr>
      </w:pPr>
      <w:r>
        <w:rPr>
          <w:rFonts w:hint="eastAsia" w:ascii="宋体" w:hAnsi="宋体" w:cs="宋体"/>
          <w:color w:val="auto"/>
          <w:sz w:val="24"/>
          <w:highlight w:val="none"/>
        </w:rPr>
        <w:br w:type="page"/>
      </w:r>
    </w:p>
    <w:p w14:paraId="516758AD">
      <w:pPr>
        <w:widowControl w:val="0"/>
        <w:kinsoku w:val="0"/>
        <w:autoSpaceDE w:val="0"/>
        <w:autoSpaceDN w:val="0"/>
        <w:adjustRightInd w:val="0"/>
        <w:snapToGrid w:val="0"/>
        <w:rPr>
          <w:rFonts w:ascii="宋体" w:hAnsi="宋体" w:cs="宋体"/>
          <w:color w:val="auto"/>
          <w:sz w:val="24"/>
          <w:highlight w:val="none"/>
        </w:rPr>
      </w:pPr>
      <w:r>
        <w:rPr>
          <w:rFonts w:hint="eastAsia" w:ascii="宋体" w:hAnsi="宋体" w:cs="宋体"/>
          <w:color w:val="auto"/>
          <w:sz w:val="24"/>
          <w:highlight w:val="none"/>
        </w:rPr>
        <w:t>表（四）</w:t>
      </w:r>
    </w:p>
    <w:tbl>
      <w:tblPr>
        <w:tblStyle w:val="25"/>
        <w:tblpPr w:leftFromText="180" w:rightFromText="180" w:vertAnchor="text" w:horzAnchor="page" w:tblpX="1772" w:tblpY="401"/>
        <w:tblOverlap w:val="never"/>
        <w:tblW w:w="9580" w:type="dxa"/>
        <w:tblInd w:w="0" w:type="dxa"/>
        <w:tblLayout w:type="fixed"/>
        <w:tblCellMar>
          <w:top w:w="15" w:type="dxa"/>
          <w:left w:w="15" w:type="dxa"/>
          <w:bottom w:w="15" w:type="dxa"/>
          <w:right w:w="15" w:type="dxa"/>
        </w:tblCellMar>
      </w:tblPr>
      <w:tblGrid>
        <w:gridCol w:w="730"/>
        <w:gridCol w:w="1033"/>
        <w:gridCol w:w="1173"/>
        <w:gridCol w:w="2255"/>
        <w:gridCol w:w="1950"/>
        <w:gridCol w:w="2439"/>
      </w:tblGrid>
      <w:tr w14:paraId="5CD5E87B">
        <w:tblPrEx>
          <w:tblCellMar>
            <w:top w:w="15" w:type="dxa"/>
            <w:left w:w="15" w:type="dxa"/>
            <w:bottom w:w="15" w:type="dxa"/>
            <w:right w:w="15" w:type="dxa"/>
          </w:tblCellMar>
        </w:tblPrEx>
        <w:trPr>
          <w:trHeight w:val="575"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3AEDD">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用工部门</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C3AD7">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工作地点（人数）</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F1987">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年龄及身体要求</w:t>
            </w:r>
          </w:p>
        </w:tc>
        <w:tc>
          <w:tcPr>
            <w:tcW w:w="2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F019B">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工作内容</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D2D5">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工作时间</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E1EB">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工作职责</w:t>
            </w:r>
          </w:p>
        </w:tc>
      </w:tr>
      <w:tr w14:paraId="2F51974E">
        <w:tblPrEx>
          <w:tblCellMar>
            <w:top w:w="15" w:type="dxa"/>
            <w:left w:w="15" w:type="dxa"/>
            <w:bottom w:w="15" w:type="dxa"/>
            <w:right w:w="15" w:type="dxa"/>
          </w:tblCellMar>
        </w:tblPrEx>
        <w:trPr>
          <w:trHeight w:val="324" w:hRule="atLeast"/>
        </w:trPr>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F6E874">
            <w:pPr>
              <w:kinsoku w:val="0"/>
              <w:autoSpaceDE w:val="0"/>
              <w:autoSpaceDN w:val="0"/>
              <w:adjustRightInd w:val="0"/>
              <w:snapToGrid w:val="0"/>
              <w:jc w:val="center"/>
              <w:rPr>
                <w:rFonts w:ascii="宋体" w:hAnsi="宋体" w:cs="宋体"/>
                <w:color w:val="auto"/>
                <w:kern w:val="0"/>
                <w:sz w:val="24"/>
                <w:highlight w:val="none"/>
                <w:lang w:eastAsia="en-US"/>
              </w:rPr>
            </w:pPr>
            <w:r>
              <w:rPr>
                <w:rFonts w:hint="eastAsia" w:ascii="宋体" w:hAnsi="宋体" w:cs="宋体"/>
                <w:color w:val="auto"/>
                <w:kern w:val="0"/>
                <w:sz w:val="24"/>
                <w:highlight w:val="none"/>
              </w:rPr>
              <w:t>林下经济植物研究室</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FC833B">
            <w:pPr>
              <w:kinsoku w:val="0"/>
              <w:autoSpaceDE w:val="0"/>
              <w:autoSpaceDN w:val="0"/>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药用植物园，面积约 35 亩</w:t>
            </w:r>
            <w:r>
              <w:rPr>
                <w:rFonts w:hint="eastAsia" w:ascii="宋体" w:hAnsi="宋体" w:cs="宋体"/>
                <w:color w:val="auto"/>
                <w:kern w:val="0"/>
                <w:sz w:val="24"/>
                <w:highlight w:val="none"/>
              </w:rPr>
              <w:t>，女：1人）</w:t>
            </w:r>
          </w:p>
        </w:tc>
        <w:tc>
          <w:tcPr>
            <w:tcW w:w="1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0A5BAF">
            <w:pPr>
              <w:kinsoku w:val="0"/>
              <w:autoSpaceDE w:val="0"/>
              <w:autoSpaceDN w:val="0"/>
              <w:adjustRightInd w:val="0"/>
              <w:snapToGrid w:val="0"/>
              <w:rPr>
                <w:rFonts w:ascii="宋体" w:hAnsi="宋体" w:cs="宋体"/>
                <w:color w:val="auto"/>
                <w:kern w:val="0"/>
                <w:sz w:val="24"/>
                <w:highlight w:val="none"/>
              </w:rPr>
            </w:pPr>
            <w:r>
              <w:rPr>
                <w:rFonts w:hint="eastAsia" w:ascii="宋体" w:hAnsi="宋体" w:cs="宋体"/>
                <w:color w:val="auto"/>
                <w:kern w:val="0"/>
                <w:sz w:val="24"/>
                <w:highlight w:val="none"/>
              </w:rPr>
              <w:t>63岁以下，身体健康，吃苦耐劳，具备完成工作内容的劳动技能。</w:t>
            </w:r>
          </w:p>
        </w:tc>
        <w:tc>
          <w:tcPr>
            <w:tcW w:w="22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97B53D">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根据林下药用植物的生态习性，进行病虫</w:t>
            </w:r>
            <w:r>
              <w:rPr>
                <w:rFonts w:hint="eastAsia" w:ascii="宋体" w:hAnsi="宋体" w:cs="宋体"/>
                <w:color w:val="auto"/>
                <w:kern w:val="0"/>
                <w:sz w:val="24"/>
                <w:highlight w:val="none"/>
              </w:rPr>
              <w:t>害防治、抹芽、除藤、除草、施肥、抗旱浇水、</w:t>
            </w:r>
            <w:r>
              <w:rPr>
                <w:rFonts w:hint="eastAsia" w:ascii="宋体" w:hAnsi="宋体" w:cs="宋体"/>
                <w:color w:val="auto"/>
                <w:kern w:val="0"/>
                <w:sz w:val="24"/>
                <w:highlight w:val="none"/>
                <w:lang w:val="en-US" w:eastAsia="zh-CN"/>
              </w:rPr>
              <w:t>日常管理</w:t>
            </w:r>
            <w:r>
              <w:rPr>
                <w:rFonts w:hint="eastAsia" w:ascii="宋体" w:hAnsi="宋体" w:cs="宋体"/>
                <w:color w:val="auto"/>
                <w:kern w:val="0"/>
                <w:sz w:val="24"/>
                <w:highlight w:val="none"/>
              </w:rPr>
              <w:t>，协助林业科研项目的圃地准备、播种、移苗、上钵等劳务辅助工作。</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1BB61">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夏季：</w:t>
            </w:r>
          </w:p>
          <w:p w14:paraId="19D9FF96">
            <w:pPr>
              <w:kinsoku w:val="0"/>
              <w:autoSpaceDE w:val="0"/>
              <w:autoSpaceDN w:val="0"/>
              <w:adjustRightInd w:val="0"/>
              <w:snapToGrid w:val="0"/>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8：00-12：00</w:t>
            </w:r>
          </w:p>
          <w:p w14:paraId="3716A01D">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14：30-18：30</w:t>
            </w:r>
          </w:p>
          <w:p w14:paraId="559FE8E4">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冬季：</w:t>
            </w:r>
          </w:p>
          <w:p w14:paraId="546E79E6">
            <w:pPr>
              <w:kinsoku w:val="0"/>
              <w:autoSpaceDE w:val="0"/>
              <w:autoSpaceDN w:val="0"/>
              <w:adjustRightInd w:val="0"/>
              <w:snapToGrid w:val="0"/>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8: 00-12: 00</w:t>
            </w:r>
          </w:p>
          <w:p w14:paraId="18473F62">
            <w:pPr>
              <w:kinsoku w:val="0"/>
              <w:autoSpaceDE w:val="0"/>
              <w:autoSpaceDN w:val="0"/>
              <w:adjustRightInd w:val="0"/>
              <w:snapToGrid w:val="0"/>
              <w:ind w:left="480" w:hanging="480" w:hanging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14: 00-18：00      </w:t>
            </w:r>
          </w:p>
          <w:p w14:paraId="2FFD35C7">
            <w:pPr>
              <w:kinsoku w:val="0"/>
              <w:autoSpaceDE w:val="0"/>
              <w:autoSpaceDN w:val="0"/>
              <w:adjustRightInd w:val="0"/>
              <w:snapToGrid w:val="0"/>
              <w:ind w:left="480" w:hanging="480" w:hangingChars="200"/>
              <w:jc w:val="left"/>
              <w:rPr>
                <w:rFonts w:ascii="宋体" w:hAnsi="宋体" w:cs="宋体"/>
                <w:color w:val="auto"/>
                <w:kern w:val="0"/>
                <w:sz w:val="24"/>
                <w:highlight w:val="none"/>
              </w:rPr>
            </w:pPr>
          </w:p>
          <w:p w14:paraId="085B050A">
            <w:pPr>
              <w:kinsoku w:val="0"/>
              <w:autoSpaceDE w:val="0"/>
              <w:autoSpaceDN w:val="0"/>
              <w:adjustRightInd w:val="0"/>
              <w:snapToGrid w:val="0"/>
              <w:ind w:left="437" w:leftChars="208"/>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每周休1天</w:t>
            </w:r>
          </w:p>
        </w:tc>
        <w:tc>
          <w:tcPr>
            <w:tcW w:w="24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9FA69">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1、服从管理人员的工作安排；</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2、爱护劳动工具，注意使用安全；</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3、遵守考勤制度，不迟到早退，缺岗；</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4、临时有事需先向管理人员请假；</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5、工作中礼让游客，不与游客发生冲突；</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6、遇突发事件要及时上报。</w:t>
            </w:r>
          </w:p>
        </w:tc>
      </w:tr>
      <w:tr w14:paraId="49B022D0">
        <w:tblPrEx>
          <w:tblCellMar>
            <w:top w:w="15" w:type="dxa"/>
            <w:left w:w="15" w:type="dxa"/>
            <w:bottom w:w="15" w:type="dxa"/>
            <w:right w:w="15" w:type="dxa"/>
          </w:tblCellMar>
        </w:tblPrEx>
        <w:trPr>
          <w:trHeight w:val="324"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F063B">
            <w:pPr>
              <w:kinsoku w:val="0"/>
              <w:autoSpaceDE w:val="0"/>
              <w:autoSpaceDN w:val="0"/>
              <w:adjustRightInd w:val="0"/>
              <w:snapToGrid w:val="0"/>
              <w:jc w:val="center"/>
              <w:rPr>
                <w:rFonts w:ascii="宋体" w:hAnsi="宋体" w:cs="宋体"/>
                <w:color w:val="auto"/>
                <w:kern w:val="0"/>
                <w:sz w:val="24"/>
                <w:highlight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6F18D">
            <w:pPr>
              <w:kinsoku w:val="0"/>
              <w:autoSpaceDE w:val="0"/>
              <w:autoSpaceDN w:val="0"/>
              <w:adjustRightInd w:val="0"/>
              <w:snapToGrid w:val="0"/>
              <w:jc w:val="center"/>
              <w:rPr>
                <w:rFonts w:ascii="宋体" w:hAnsi="宋体" w:cs="宋体"/>
                <w:color w:val="auto"/>
                <w:kern w:val="0"/>
                <w:sz w:val="24"/>
                <w:highlight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25930">
            <w:pPr>
              <w:kinsoku w:val="0"/>
              <w:autoSpaceDE w:val="0"/>
              <w:autoSpaceDN w:val="0"/>
              <w:adjustRightInd w:val="0"/>
              <w:snapToGrid w:val="0"/>
              <w:rPr>
                <w:rFonts w:ascii="宋体" w:hAnsi="宋体" w:cs="宋体"/>
                <w:color w:val="auto"/>
                <w:kern w:val="0"/>
                <w:sz w:val="24"/>
                <w:highlight w:val="none"/>
              </w:rPr>
            </w:pPr>
          </w:p>
        </w:tc>
        <w:tc>
          <w:tcPr>
            <w:tcW w:w="2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38CF6">
            <w:pPr>
              <w:kinsoku w:val="0"/>
              <w:autoSpaceDE w:val="0"/>
              <w:autoSpaceDN w:val="0"/>
              <w:adjustRightInd w:val="0"/>
              <w:snapToGrid w:val="0"/>
              <w:jc w:val="left"/>
              <w:rPr>
                <w:rFonts w:ascii="宋体" w:hAnsi="宋体" w:cs="宋体"/>
                <w:color w:val="auto"/>
                <w:kern w:val="0"/>
                <w:sz w:val="24"/>
                <w:highlight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A8B7D">
            <w:pPr>
              <w:kinsoku w:val="0"/>
              <w:autoSpaceDE w:val="0"/>
              <w:autoSpaceDN w:val="0"/>
              <w:adjustRightInd w:val="0"/>
              <w:snapToGrid w:val="0"/>
              <w:jc w:val="left"/>
              <w:rPr>
                <w:rFonts w:ascii="宋体" w:hAnsi="宋体" w:cs="宋体"/>
                <w:color w:val="auto"/>
                <w:kern w:val="0"/>
                <w:sz w:val="24"/>
                <w:highlight w:val="none"/>
              </w:rPr>
            </w:pPr>
          </w:p>
        </w:tc>
        <w:tc>
          <w:tcPr>
            <w:tcW w:w="24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FF0A7">
            <w:pPr>
              <w:kinsoku w:val="0"/>
              <w:autoSpaceDE w:val="0"/>
              <w:autoSpaceDN w:val="0"/>
              <w:adjustRightInd w:val="0"/>
              <w:snapToGrid w:val="0"/>
              <w:jc w:val="left"/>
              <w:rPr>
                <w:rFonts w:ascii="宋体" w:hAnsi="宋体" w:cs="宋体"/>
                <w:color w:val="auto"/>
                <w:kern w:val="0"/>
                <w:sz w:val="24"/>
                <w:highlight w:val="none"/>
              </w:rPr>
            </w:pPr>
          </w:p>
        </w:tc>
      </w:tr>
      <w:tr w14:paraId="51FABA0F">
        <w:tblPrEx>
          <w:tblCellMar>
            <w:top w:w="15" w:type="dxa"/>
            <w:left w:w="15" w:type="dxa"/>
            <w:bottom w:w="15" w:type="dxa"/>
            <w:right w:w="15" w:type="dxa"/>
          </w:tblCellMar>
        </w:tblPrEx>
        <w:trPr>
          <w:trHeight w:val="3236"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84762">
            <w:pPr>
              <w:kinsoku w:val="0"/>
              <w:autoSpaceDE w:val="0"/>
              <w:autoSpaceDN w:val="0"/>
              <w:adjustRightInd w:val="0"/>
              <w:snapToGrid w:val="0"/>
              <w:jc w:val="center"/>
              <w:rPr>
                <w:rFonts w:ascii="宋体" w:hAnsi="宋体" w:cs="宋体"/>
                <w:color w:val="auto"/>
                <w:kern w:val="0"/>
                <w:sz w:val="24"/>
                <w:highlight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B3D1E">
            <w:pPr>
              <w:kinsoku w:val="0"/>
              <w:autoSpaceDE w:val="0"/>
              <w:autoSpaceDN w:val="0"/>
              <w:adjustRightInd w:val="0"/>
              <w:snapToGrid w:val="0"/>
              <w:jc w:val="center"/>
              <w:rPr>
                <w:rFonts w:ascii="宋体" w:hAnsi="宋体" w:cs="宋体"/>
                <w:color w:val="auto"/>
                <w:kern w:val="0"/>
                <w:sz w:val="24"/>
                <w:highlight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3EC10">
            <w:pPr>
              <w:kinsoku w:val="0"/>
              <w:autoSpaceDE w:val="0"/>
              <w:autoSpaceDN w:val="0"/>
              <w:adjustRightInd w:val="0"/>
              <w:snapToGrid w:val="0"/>
              <w:rPr>
                <w:rFonts w:ascii="宋体" w:hAnsi="宋体" w:cs="宋体"/>
                <w:color w:val="auto"/>
                <w:kern w:val="0"/>
                <w:sz w:val="24"/>
                <w:highlight w:val="none"/>
              </w:rPr>
            </w:pPr>
          </w:p>
        </w:tc>
        <w:tc>
          <w:tcPr>
            <w:tcW w:w="2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D1F64">
            <w:pPr>
              <w:kinsoku w:val="0"/>
              <w:autoSpaceDE w:val="0"/>
              <w:autoSpaceDN w:val="0"/>
              <w:adjustRightInd w:val="0"/>
              <w:snapToGrid w:val="0"/>
              <w:jc w:val="left"/>
              <w:rPr>
                <w:rFonts w:ascii="宋体" w:hAnsi="宋体" w:cs="宋体"/>
                <w:color w:val="auto"/>
                <w:kern w:val="0"/>
                <w:sz w:val="24"/>
                <w:highlight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4D9BE">
            <w:pPr>
              <w:kinsoku w:val="0"/>
              <w:autoSpaceDE w:val="0"/>
              <w:autoSpaceDN w:val="0"/>
              <w:adjustRightInd w:val="0"/>
              <w:snapToGrid w:val="0"/>
              <w:jc w:val="left"/>
              <w:rPr>
                <w:rFonts w:ascii="宋体" w:hAnsi="宋体" w:cs="宋体"/>
                <w:color w:val="auto"/>
                <w:kern w:val="0"/>
                <w:sz w:val="24"/>
                <w:highlight w:val="none"/>
              </w:rPr>
            </w:pPr>
          </w:p>
        </w:tc>
        <w:tc>
          <w:tcPr>
            <w:tcW w:w="24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645D5">
            <w:pPr>
              <w:kinsoku w:val="0"/>
              <w:autoSpaceDE w:val="0"/>
              <w:autoSpaceDN w:val="0"/>
              <w:adjustRightInd w:val="0"/>
              <w:snapToGrid w:val="0"/>
              <w:jc w:val="left"/>
              <w:rPr>
                <w:rFonts w:ascii="宋体" w:hAnsi="宋体" w:cs="宋体"/>
                <w:color w:val="auto"/>
                <w:kern w:val="0"/>
                <w:sz w:val="24"/>
                <w:highlight w:val="none"/>
              </w:rPr>
            </w:pPr>
          </w:p>
        </w:tc>
      </w:tr>
    </w:tbl>
    <w:p w14:paraId="0719EC72">
      <w:pPr>
        <w:rPr>
          <w:rFonts w:hint="eastAsia" w:ascii="宋体" w:hAnsi="宋体" w:cs="宋体"/>
          <w:color w:val="auto"/>
          <w:kern w:val="0"/>
          <w:sz w:val="24"/>
          <w:szCs w:val="24"/>
          <w:highlight w:val="none"/>
        </w:rPr>
      </w:pPr>
    </w:p>
    <w:p w14:paraId="6ADAD3DF">
      <w:pPr>
        <w:rPr>
          <w:rFonts w:hint="eastAsia" w:ascii="宋体" w:hAnsi="宋体" w:cs="宋体"/>
          <w:color w:val="auto"/>
          <w:kern w:val="0"/>
          <w:sz w:val="24"/>
          <w:szCs w:val="24"/>
          <w:highlight w:val="none"/>
        </w:rPr>
      </w:pPr>
    </w:p>
    <w:p w14:paraId="2A2A0B41">
      <w:pP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表（</w:t>
      </w:r>
      <w:r>
        <w:rPr>
          <w:rFonts w:hint="eastAsia" w:ascii="宋体" w:hAnsi="宋体" w:cs="宋体"/>
          <w:color w:val="auto"/>
          <w:kern w:val="0"/>
          <w:sz w:val="24"/>
          <w:szCs w:val="24"/>
          <w:highlight w:val="none"/>
          <w:lang w:val="en-US" w:eastAsia="zh-CN"/>
        </w:rPr>
        <w:t>五</w:t>
      </w:r>
      <w:r>
        <w:rPr>
          <w:rFonts w:hint="eastAsia" w:ascii="宋体" w:hAnsi="宋体" w:cs="宋体"/>
          <w:color w:val="auto"/>
          <w:kern w:val="0"/>
          <w:sz w:val="24"/>
          <w:szCs w:val="24"/>
          <w:highlight w:val="none"/>
        </w:rPr>
        <w:t>）</w:t>
      </w:r>
    </w:p>
    <w:tbl>
      <w:tblPr>
        <w:tblStyle w:val="25"/>
        <w:tblpPr w:leftFromText="180" w:rightFromText="180" w:vertAnchor="text" w:horzAnchor="page" w:tblpX="1772" w:tblpY="401"/>
        <w:tblOverlap w:val="never"/>
        <w:tblW w:w="9580" w:type="dxa"/>
        <w:tblInd w:w="0" w:type="dxa"/>
        <w:tblLayout w:type="fixed"/>
        <w:tblCellMar>
          <w:top w:w="15" w:type="dxa"/>
          <w:left w:w="15" w:type="dxa"/>
          <w:bottom w:w="15" w:type="dxa"/>
          <w:right w:w="15" w:type="dxa"/>
        </w:tblCellMar>
      </w:tblPr>
      <w:tblGrid>
        <w:gridCol w:w="730"/>
        <w:gridCol w:w="1033"/>
        <w:gridCol w:w="1173"/>
        <w:gridCol w:w="2255"/>
        <w:gridCol w:w="1950"/>
        <w:gridCol w:w="2439"/>
      </w:tblGrid>
      <w:tr w14:paraId="7D411DC8">
        <w:tblPrEx>
          <w:tblCellMar>
            <w:top w:w="15" w:type="dxa"/>
            <w:left w:w="15" w:type="dxa"/>
            <w:bottom w:w="15" w:type="dxa"/>
            <w:right w:w="15" w:type="dxa"/>
          </w:tblCellMar>
        </w:tblPrEx>
        <w:trPr>
          <w:trHeight w:val="50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E69D1">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用工部门</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709FA">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工作地点（人数）</w:t>
            </w:r>
          </w:p>
        </w:tc>
        <w:tc>
          <w:tcPr>
            <w:tcW w:w="11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50AFE">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年龄及身体要求</w:t>
            </w:r>
          </w:p>
        </w:tc>
        <w:tc>
          <w:tcPr>
            <w:tcW w:w="2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DC367">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工作内容</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58AA">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工作时间</w:t>
            </w:r>
          </w:p>
        </w:tc>
        <w:tc>
          <w:tcPr>
            <w:tcW w:w="24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49466">
            <w:pPr>
              <w:kinsoku w:val="0"/>
              <w:autoSpaceDE w:val="0"/>
              <w:autoSpaceDN w:val="0"/>
              <w:adjustRightInd w:val="0"/>
              <w:snapToGrid w:val="0"/>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工作职责</w:t>
            </w:r>
          </w:p>
        </w:tc>
      </w:tr>
      <w:tr w14:paraId="4379D5AD">
        <w:tblPrEx>
          <w:tblCellMar>
            <w:top w:w="15" w:type="dxa"/>
            <w:left w:w="15" w:type="dxa"/>
            <w:bottom w:w="15" w:type="dxa"/>
            <w:right w:w="15" w:type="dxa"/>
          </w:tblCellMar>
        </w:tblPrEx>
        <w:trPr>
          <w:trHeight w:val="312" w:hRule="atLeast"/>
        </w:trPr>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AE674A">
            <w:pPr>
              <w:kinsoku w:val="0"/>
              <w:autoSpaceDE w:val="0"/>
              <w:autoSpaceDN w:val="0"/>
              <w:adjustRightInd w:val="0"/>
              <w:snapToGrid w:val="0"/>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办公室</w:t>
            </w:r>
          </w:p>
        </w:tc>
        <w:tc>
          <w:tcPr>
            <w:tcW w:w="10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5F0CE3">
            <w:pPr>
              <w:kinsoku w:val="0"/>
              <w:autoSpaceDE w:val="0"/>
              <w:autoSpaceDN w:val="0"/>
              <w:adjustRightInd w:val="0"/>
              <w:snapToGrid w:val="0"/>
              <w:jc w:val="center"/>
              <w:rPr>
                <w:rFonts w:ascii="宋体" w:hAnsi="宋体" w:cs="宋体"/>
                <w:color w:val="auto"/>
                <w:kern w:val="0"/>
                <w:sz w:val="24"/>
                <w:highlight w:val="none"/>
              </w:rPr>
            </w:pPr>
            <w:r>
              <w:rPr>
                <w:rFonts w:hint="eastAsia" w:ascii="宋体" w:hAnsi="宋体" w:cs="宋体"/>
                <w:color w:val="auto"/>
                <w:kern w:val="0"/>
                <w:sz w:val="24"/>
                <w:highlight w:val="none"/>
              </w:rPr>
              <w:t>水电工岗，</w:t>
            </w:r>
            <w:r>
              <w:rPr>
                <w:rFonts w:hint="eastAsia" w:ascii="宋体" w:hAnsi="宋体" w:cs="宋体"/>
                <w:color w:val="auto"/>
                <w:kern w:val="0"/>
                <w:sz w:val="24"/>
                <w:highlight w:val="none"/>
                <w:lang w:val="en-US" w:eastAsia="zh-CN"/>
              </w:rPr>
              <w:t>男</w:t>
            </w:r>
            <w:r>
              <w:rPr>
                <w:rFonts w:hint="eastAsia" w:ascii="宋体" w:hAnsi="宋体" w:cs="宋体"/>
                <w:color w:val="auto"/>
                <w:kern w:val="0"/>
                <w:sz w:val="24"/>
                <w:highlight w:val="none"/>
              </w:rPr>
              <w:t>：1人</w:t>
            </w:r>
          </w:p>
        </w:tc>
        <w:tc>
          <w:tcPr>
            <w:tcW w:w="1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16665B">
            <w:pPr>
              <w:kinsoku w:val="0"/>
              <w:autoSpaceDE w:val="0"/>
              <w:autoSpaceDN w:val="0"/>
              <w:adjustRightInd w:val="0"/>
              <w:snapToGrid w:val="0"/>
              <w:rPr>
                <w:rFonts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63岁以下，身体健康，吃苦耐劳，具备完成工作内容的劳动技能。</w:t>
            </w:r>
          </w:p>
        </w:tc>
        <w:tc>
          <w:tcPr>
            <w:tcW w:w="22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71C028">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负责办公区、植物园水电设施日常巡查、维修、应急处理，水电安全保障、冬天景观温室的加</w:t>
            </w:r>
            <w:r>
              <w:rPr>
                <w:rFonts w:hint="eastAsia" w:ascii="宋体" w:hAnsi="宋体" w:cs="宋体"/>
                <w:color w:val="auto"/>
                <w:kern w:val="0"/>
                <w:sz w:val="24"/>
                <w:highlight w:val="none"/>
                <w:lang w:eastAsia="zh-CN"/>
              </w:rPr>
              <w:t>温</w:t>
            </w:r>
            <w:r>
              <w:rPr>
                <w:rFonts w:hint="eastAsia" w:ascii="宋体" w:hAnsi="宋体" w:cs="宋体"/>
                <w:color w:val="auto"/>
                <w:kern w:val="0"/>
                <w:sz w:val="24"/>
                <w:highlight w:val="none"/>
              </w:rPr>
              <w:t>等。(本岗位需持中华人民共和国特种作业操作证)</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33503">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夏季：</w:t>
            </w:r>
          </w:p>
          <w:p w14:paraId="3FD87EA4">
            <w:pPr>
              <w:kinsoku w:val="0"/>
              <w:autoSpaceDE w:val="0"/>
              <w:autoSpaceDN w:val="0"/>
              <w:adjustRightInd w:val="0"/>
              <w:snapToGrid w:val="0"/>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8：00-12：00</w:t>
            </w:r>
          </w:p>
          <w:p w14:paraId="46273FAD">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14：30-18：30</w:t>
            </w:r>
          </w:p>
          <w:p w14:paraId="6DA74979">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冬季：</w:t>
            </w:r>
          </w:p>
          <w:p w14:paraId="053378DC">
            <w:pPr>
              <w:kinsoku w:val="0"/>
              <w:autoSpaceDE w:val="0"/>
              <w:autoSpaceDN w:val="0"/>
              <w:adjustRightInd w:val="0"/>
              <w:snapToGrid w:val="0"/>
              <w:ind w:firstLine="240" w:firstLineChars="100"/>
              <w:jc w:val="left"/>
              <w:rPr>
                <w:rFonts w:ascii="宋体" w:hAnsi="宋体" w:cs="宋体"/>
                <w:color w:val="auto"/>
                <w:kern w:val="0"/>
                <w:sz w:val="24"/>
                <w:highlight w:val="none"/>
              </w:rPr>
            </w:pPr>
            <w:r>
              <w:rPr>
                <w:rFonts w:hint="eastAsia" w:ascii="宋体" w:hAnsi="宋体" w:cs="宋体"/>
                <w:color w:val="auto"/>
                <w:kern w:val="0"/>
                <w:sz w:val="24"/>
                <w:highlight w:val="none"/>
              </w:rPr>
              <w:t>8: 00-12: 00</w:t>
            </w:r>
          </w:p>
          <w:p w14:paraId="2A27F324">
            <w:pPr>
              <w:kinsoku w:val="0"/>
              <w:autoSpaceDE w:val="0"/>
              <w:autoSpaceDN w:val="0"/>
              <w:adjustRightInd w:val="0"/>
              <w:snapToGrid w:val="0"/>
              <w:ind w:left="480" w:hanging="480" w:hanging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 14: 00-18：00      </w:t>
            </w:r>
          </w:p>
          <w:p w14:paraId="5D1E4D25">
            <w:pPr>
              <w:kinsoku w:val="0"/>
              <w:autoSpaceDE w:val="0"/>
              <w:autoSpaceDN w:val="0"/>
              <w:adjustRightInd w:val="0"/>
              <w:snapToGrid w:val="0"/>
              <w:ind w:left="480" w:hanging="480" w:hangingChars="200"/>
              <w:jc w:val="left"/>
              <w:rPr>
                <w:rFonts w:ascii="宋体" w:hAnsi="宋体" w:cs="宋体"/>
                <w:color w:val="auto"/>
                <w:kern w:val="0"/>
                <w:sz w:val="24"/>
                <w:highlight w:val="none"/>
              </w:rPr>
            </w:pPr>
          </w:p>
          <w:p w14:paraId="2DA4EDDC">
            <w:pPr>
              <w:kinsoku w:val="0"/>
              <w:autoSpaceDE w:val="0"/>
              <w:autoSpaceDN w:val="0"/>
              <w:adjustRightInd w:val="0"/>
              <w:snapToGrid w:val="0"/>
              <w:ind w:left="437" w:leftChars="208"/>
              <w:jc w:val="left"/>
              <w:rPr>
                <w:rFonts w:ascii="宋体" w:hAnsi="宋体" w:cs="宋体"/>
                <w:color w:val="auto"/>
                <w:kern w:val="0"/>
                <w:sz w:val="24"/>
                <w:highlight w:val="none"/>
                <w:lang w:eastAsia="en-US"/>
              </w:rPr>
            </w:pPr>
            <w:r>
              <w:rPr>
                <w:rFonts w:hint="eastAsia" w:ascii="宋体" w:hAnsi="宋体" w:cs="宋体"/>
                <w:color w:val="auto"/>
                <w:kern w:val="0"/>
                <w:sz w:val="24"/>
                <w:highlight w:val="none"/>
              </w:rPr>
              <w:t>每周休1天</w:t>
            </w:r>
          </w:p>
        </w:tc>
        <w:tc>
          <w:tcPr>
            <w:tcW w:w="24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9A8F5A">
            <w:pPr>
              <w:kinsoku w:val="0"/>
              <w:autoSpaceDE w:val="0"/>
              <w:autoSpaceDN w:val="0"/>
              <w:adjustRightInd w:val="0"/>
              <w:snapToGrid w:val="0"/>
              <w:jc w:val="left"/>
              <w:rPr>
                <w:rFonts w:ascii="宋体" w:hAnsi="宋体" w:cs="宋体"/>
                <w:color w:val="auto"/>
                <w:kern w:val="0"/>
                <w:sz w:val="24"/>
                <w:highlight w:val="none"/>
              </w:rPr>
            </w:pPr>
            <w:r>
              <w:rPr>
                <w:rFonts w:hint="eastAsia" w:ascii="宋体" w:hAnsi="宋体" w:cs="宋体"/>
                <w:color w:val="auto"/>
                <w:kern w:val="0"/>
                <w:sz w:val="24"/>
                <w:highlight w:val="none"/>
              </w:rPr>
              <w:t>1、服从管理人员的工作安排；</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2、爱护劳动工具，注意使用安全；</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3、遵守考勤制度，不迟到早退，缺岗；</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4、临时有事需先向管理人员请假；</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5、工作中礼让游客，不与游客发生冲突；</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6、遇突发事件要及时上报。</w:t>
            </w:r>
          </w:p>
        </w:tc>
      </w:tr>
      <w:tr w14:paraId="72AE3B1D">
        <w:tblPrEx>
          <w:tblCellMar>
            <w:top w:w="15" w:type="dxa"/>
            <w:left w:w="15" w:type="dxa"/>
            <w:bottom w:w="15" w:type="dxa"/>
            <w:right w:w="15" w:type="dxa"/>
          </w:tblCellMar>
        </w:tblPrEx>
        <w:trPr>
          <w:trHeight w:val="312"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C5121">
            <w:pPr>
              <w:kinsoku w:val="0"/>
              <w:autoSpaceDE w:val="0"/>
              <w:autoSpaceDN w:val="0"/>
              <w:adjustRightInd w:val="0"/>
              <w:snapToGrid w:val="0"/>
              <w:jc w:val="center"/>
              <w:rPr>
                <w:rFonts w:ascii="宋体" w:hAnsi="宋体" w:cs="宋体"/>
                <w:color w:val="auto"/>
                <w:kern w:val="0"/>
                <w:sz w:val="24"/>
                <w:highlight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E07BD">
            <w:pPr>
              <w:kinsoku w:val="0"/>
              <w:autoSpaceDE w:val="0"/>
              <w:autoSpaceDN w:val="0"/>
              <w:adjustRightInd w:val="0"/>
              <w:snapToGrid w:val="0"/>
              <w:jc w:val="center"/>
              <w:rPr>
                <w:rFonts w:ascii="宋体" w:hAnsi="宋体" w:cs="宋体"/>
                <w:color w:val="auto"/>
                <w:kern w:val="0"/>
                <w:sz w:val="24"/>
                <w:highlight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D6670">
            <w:pPr>
              <w:kinsoku w:val="0"/>
              <w:autoSpaceDE w:val="0"/>
              <w:autoSpaceDN w:val="0"/>
              <w:adjustRightInd w:val="0"/>
              <w:snapToGrid w:val="0"/>
              <w:rPr>
                <w:rFonts w:ascii="宋体" w:hAnsi="宋体" w:cs="宋体"/>
                <w:color w:val="auto"/>
                <w:kern w:val="0"/>
                <w:sz w:val="24"/>
                <w:highlight w:val="none"/>
              </w:rPr>
            </w:pPr>
          </w:p>
        </w:tc>
        <w:tc>
          <w:tcPr>
            <w:tcW w:w="2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A1BCE">
            <w:pPr>
              <w:kinsoku w:val="0"/>
              <w:autoSpaceDE w:val="0"/>
              <w:autoSpaceDN w:val="0"/>
              <w:adjustRightInd w:val="0"/>
              <w:snapToGrid w:val="0"/>
              <w:jc w:val="left"/>
              <w:rPr>
                <w:rFonts w:ascii="宋体" w:hAnsi="宋体" w:cs="宋体"/>
                <w:color w:val="auto"/>
                <w:kern w:val="0"/>
                <w:sz w:val="24"/>
                <w:highlight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587B6">
            <w:pPr>
              <w:kinsoku w:val="0"/>
              <w:autoSpaceDE w:val="0"/>
              <w:autoSpaceDN w:val="0"/>
              <w:adjustRightInd w:val="0"/>
              <w:snapToGrid w:val="0"/>
              <w:jc w:val="left"/>
              <w:rPr>
                <w:rFonts w:ascii="宋体" w:hAnsi="宋体" w:cs="宋体"/>
                <w:color w:val="auto"/>
                <w:kern w:val="0"/>
                <w:sz w:val="24"/>
                <w:highlight w:val="none"/>
              </w:rPr>
            </w:pPr>
          </w:p>
        </w:tc>
        <w:tc>
          <w:tcPr>
            <w:tcW w:w="24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CC779">
            <w:pPr>
              <w:kinsoku w:val="0"/>
              <w:autoSpaceDE w:val="0"/>
              <w:autoSpaceDN w:val="0"/>
              <w:adjustRightInd w:val="0"/>
              <w:snapToGrid w:val="0"/>
              <w:jc w:val="left"/>
              <w:rPr>
                <w:rFonts w:ascii="宋体" w:hAnsi="宋体" w:cs="宋体"/>
                <w:color w:val="auto"/>
                <w:kern w:val="0"/>
                <w:sz w:val="24"/>
                <w:highlight w:val="none"/>
              </w:rPr>
            </w:pPr>
          </w:p>
        </w:tc>
      </w:tr>
      <w:tr w14:paraId="482FD07F">
        <w:tblPrEx>
          <w:tblCellMar>
            <w:top w:w="15" w:type="dxa"/>
            <w:left w:w="15" w:type="dxa"/>
            <w:bottom w:w="15" w:type="dxa"/>
            <w:right w:w="15" w:type="dxa"/>
          </w:tblCellMar>
        </w:tblPrEx>
        <w:trPr>
          <w:trHeight w:val="2471" w:hRule="atLeast"/>
        </w:trPr>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A5073">
            <w:pPr>
              <w:kinsoku w:val="0"/>
              <w:autoSpaceDE w:val="0"/>
              <w:autoSpaceDN w:val="0"/>
              <w:adjustRightInd w:val="0"/>
              <w:snapToGrid w:val="0"/>
              <w:jc w:val="center"/>
              <w:rPr>
                <w:rFonts w:ascii="宋体" w:hAnsi="宋体" w:cs="宋体"/>
                <w:color w:val="auto"/>
                <w:kern w:val="0"/>
                <w:sz w:val="24"/>
                <w:highlight w:val="none"/>
              </w:rPr>
            </w:pPr>
          </w:p>
        </w:tc>
        <w:tc>
          <w:tcPr>
            <w:tcW w:w="10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3C037">
            <w:pPr>
              <w:kinsoku w:val="0"/>
              <w:autoSpaceDE w:val="0"/>
              <w:autoSpaceDN w:val="0"/>
              <w:adjustRightInd w:val="0"/>
              <w:snapToGrid w:val="0"/>
              <w:jc w:val="center"/>
              <w:rPr>
                <w:rFonts w:ascii="宋体" w:hAnsi="宋体" w:cs="宋体"/>
                <w:color w:val="auto"/>
                <w:kern w:val="0"/>
                <w:sz w:val="24"/>
                <w:highlight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B23BE">
            <w:pPr>
              <w:kinsoku w:val="0"/>
              <w:autoSpaceDE w:val="0"/>
              <w:autoSpaceDN w:val="0"/>
              <w:adjustRightInd w:val="0"/>
              <w:snapToGrid w:val="0"/>
              <w:rPr>
                <w:rFonts w:ascii="宋体" w:hAnsi="宋体" w:cs="宋体"/>
                <w:color w:val="auto"/>
                <w:kern w:val="0"/>
                <w:sz w:val="24"/>
                <w:highlight w:val="none"/>
              </w:rPr>
            </w:pPr>
          </w:p>
        </w:tc>
        <w:tc>
          <w:tcPr>
            <w:tcW w:w="2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BAFCF">
            <w:pPr>
              <w:kinsoku w:val="0"/>
              <w:autoSpaceDE w:val="0"/>
              <w:autoSpaceDN w:val="0"/>
              <w:adjustRightInd w:val="0"/>
              <w:snapToGrid w:val="0"/>
              <w:jc w:val="left"/>
              <w:rPr>
                <w:rFonts w:ascii="宋体" w:hAnsi="宋体" w:cs="宋体"/>
                <w:color w:val="auto"/>
                <w:kern w:val="0"/>
                <w:sz w:val="24"/>
                <w:highlight w:val="none"/>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FC3EB">
            <w:pPr>
              <w:kinsoku w:val="0"/>
              <w:autoSpaceDE w:val="0"/>
              <w:autoSpaceDN w:val="0"/>
              <w:adjustRightInd w:val="0"/>
              <w:snapToGrid w:val="0"/>
              <w:jc w:val="left"/>
              <w:rPr>
                <w:rFonts w:ascii="宋体" w:hAnsi="宋体" w:cs="宋体"/>
                <w:color w:val="auto"/>
                <w:kern w:val="0"/>
                <w:sz w:val="24"/>
                <w:highlight w:val="none"/>
              </w:rPr>
            </w:pPr>
          </w:p>
        </w:tc>
        <w:tc>
          <w:tcPr>
            <w:tcW w:w="24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F9A3F">
            <w:pPr>
              <w:kinsoku w:val="0"/>
              <w:autoSpaceDE w:val="0"/>
              <w:autoSpaceDN w:val="0"/>
              <w:adjustRightInd w:val="0"/>
              <w:snapToGrid w:val="0"/>
              <w:jc w:val="left"/>
              <w:rPr>
                <w:rFonts w:ascii="宋体" w:hAnsi="宋体" w:cs="宋体"/>
                <w:color w:val="auto"/>
                <w:kern w:val="0"/>
                <w:sz w:val="24"/>
                <w:highlight w:val="none"/>
              </w:rPr>
            </w:pPr>
          </w:p>
        </w:tc>
      </w:tr>
    </w:tbl>
    <w:p w14:paraId="51F5C2A5">
      <w:pPr>
        <w:rPr>
          <w:rFonts w:hint="eastAsia" w:ascii="宋体" w:hAnsi="宋体" w:cs="宋体"/>
          <w:color w:val="auto"/>
          <w:kern w:val="0"/>
          <w:sz w:val="24"/>
          <w:szCs w:val="24"/>
          <w:highlight w:val="none"/>
        </w:rPr>
      </w:pPr>
    </w:p>
    <w:p w14:paraId="7383277A">
      <w:pPr>
        <w:pStyle w:val="35"/>
        <w:spacing w:line="360" w:lineRule="auto"/>
        <w:ind w:firstLine="480"/>
        <w:rPr>
          <w:rFonts w:hint="eastAsia" w:ascii="宋体" w:hAnsi="宋体" w:cs="宋体"/>
          <w:color w:val="auto"/>
          <w:kern w:val="0"/>
          <w:sz w:val="24"/>
          <w:szCs w:val="24"/>
          <w:highlight w:val="none"/>
        </w:rPr>
      </w:pPr>
    </w:p>
    <w:p w14:paraId="70CEF5AB">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1、工作职责：</w:t>
      </w:r>
    </w:p>
    <w:p w14:paraId="60FF19BF">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（1）服从管理人员的工作安排；</w:t>
      </w:r>
    </w:p>
    <w:p w14:paraId="1DE3B01D">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（2）爱护劳动工具，注意使用安全；</w:t>
      </w:r>
    </w:p>
    <w:p w14:paraId="08F88074">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（3）遵守考勤制度，不迟到早退；</w:t>
      </w:r>
    </w:p>
    <w:p w14:paraId="2AE21965">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（4）临时有事需先向管理人员请假；</w:t>
      </w:r>
    </w:p>
    <w:p w14:paraId="3F6F9DC0">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（5）工作中礼让游客，不与游客发生冲突；</w:t>
      </w:r>
    </w:p>
    <w:p w14:paraId="59BF684A">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（6）遇突发事件要及时上报。</w:t>
      </w:r>
    </w:p>
    <w:p w14:paraId="5B570E65">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2、工作要求</w:t>
      </w:r>
    </w:p>
    <w:p w14:paraId="5A099743">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（1）乔木无枯枝、下垂直枝、交叉枝、过密枝、徒长枝、病虫枝，做到不影响游客行走、监控拍摄和车辆通行。</w:t>
      </w:r>
    </w:p>
    <w:p w14:paraId="08962872">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（1）绿地地被上无杂草、树枝、落叶、杂物，做到及时清理。</w:t>
      </w:r>
    </w:p>
    <w:p w14:paraId="08D43B87">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（2）定期进行浇水作业，干旱天气增加浇水补水频率，满足植物生长需要。</w:t>
      </w:r>
    </w:p>
    <w:p w14:paraId="0EC5A029">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（3）对生病、起虫的植物及时进行打药救治，打药操作时要摆放警示标志。</w:t>
      </w:r>
    </w:p>
    <w:p w14:paraId="37553CA6">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（4）冬季刷白，高度要统一、均匀。</w:t>
      </w:r>
    </w:p>
    <w:p w14:paraId="27A1AFB3">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（5）草坪要定期修剪，做到规则平整，高度统一，无杂草及黄土裸露。</w:t>
      </w:r>
    </w:p>
    <w:p w14:paraId="297EB97E">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（6）及时领取肥料，按照规范要求施肥，操作规范、用量合理。</w:t>
      </w:r>
    </w:p>
    <w:p w14:paraId="043E429B">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（7）园林垃圾要统一堆放到指定区域，并做到及时清理。</w:t>
      </w:r>
    </w:p>
    <w:p w14:paraId="7081C4C7">
      <w:pPr>
        <w:pStyle w:val="35"/>
        <w:spacing w:line="360" w:lineRule="auto"/>
        <w:ind w:firstLine="480"/>
        <w:rPr>
          <w:rFonts w:ascii="宋体" w:hAnsi="宋体" w:cs="宋体"/>
          <w:color w:val="auto"/>
          <w:kern w:val="0"/>
          <w:sz w:val="24"/>
          <w:szCs w:val="24"/>
          <w:highlight w:val="none"/>
        </w:rPr>
      </w:pPr>
      <w:r>
        <w:rPr>
          <w:rFonts w:hint="eastAsia" w:ascii="宋体" w:hAnsi="宋体" w:cs="宋体"/>
          <w:color w:val="auto"/>
          <w:kern w:val="0"/>
          <w:sz w:val="24"/>
          <w:szCs w:val="24"/>
          <w:highlight w:val="none"/>
        </w:rPr>
        <w:t>（8）劳动工具和物资使用完后要及时收好，摆放整齐。</w:t>
      </w:r>
    </w:p>
    <w:p w14:paraId="3B7C7447">
      <w:pPr>
        <w:pStyle w:val="35"/>
        <w:spacing w:line="360" w:lineRule="auto"/>
        <w:ind w:firstLine="480"/>
        <w:rPr>
          <w:rFonts w:ascii="宋体" w:hAnsi="宋体" w:cs="宋体"/>
          <w:color w:val="auto"/>
          <w:spacing w:val="7"/>
          <w:sz w:val="24"/>
          <w:szCs w:val="24"/>
          <w:highlight w:val="none"/>
        </w:rPr>
      </w:pPr>
      <w:r>
        <w:rPr>
          <w:rFonts w:hint="eastAsia" w:ascii="宋体" w:hAnsi="宋体" w:cs="宋体"/>
          <w:color w:val="auto"/>
          <w:kern w:val="0"/>
          <w:sz w:val="24"/>
          <w:szCs w:val="24"/>
          <w:highlight w:val="none"/>
        </w:rPr>
        <w:t>（9）服从安排，积极完成上级领导交办的其他任务。</w:t>
      </w:r>
    </w:p>
    <w:p w14:paraId="1433A8E0">
      <w:pPr>
        <w:widowControl w:val="0"/>
        <w:tabs>
          <w:tab w:val="left" w:pos="403"/>
        </w:tabs>
        <w:kinsoku w:val="0"/>
        <w:autoSpaceDE w:val="0"/>
        <w:autoSpaceDN w:val="0"/>
        <w:adjustRightInd w:val="0"/>
        <w:snapToGrid w:val="0"/>
        <w:spacing w:before="222" w:line="360" w:lineRule="auto"/>
        <w:ind w:firstLine="510" w:firstLineChars="200"/>
        <w:rPr>
          <w:rFonts w:ascii="宋体" w:hAnsi="宋体" w:cs="宋体"/>
          <w:b/>
          <w:bCs/>
          <w:color w:val="auto"/>
          <w:spacing w:val="7"/>
          <w:sz w:val="24"/>
          <w:highlight w:val="none"/>
        </w:rPr>
      </w:pPr>
      <w:r>
        <w:rPr>
          <w:rFonts w:hint="eastAsia" w:ascii="宋体" w:hAnsi="宋体" w:cs="宋体"/>
          <w:b/>
          <w:bCs/>
          <w:color w:val="auto"/>
          <w:spacing w:val="7"/>
          <w:sz w:val="24"/>
          <w:highlight w:val="none"/>
        </w:rPr>
        <w:t>五、其他情况说明</w:t>
      </w:r>
    </w:p>
    <w:p w14:paraId="444022B2">
      <w:pPr>
        <w:widowControl w:val="0"/>
        <w:kinsoku w:val="0"/>
        <w:autoSpaceDE w:val="0"/>
        <w:autoSpaceDN w:val="0"/>
        <w:adjustRightInd w:val="0"/>
        <w:snapToGrid w:val="0"/>
        <w:spacing w:line="360" w:lineRule="auto"/>
        <w:ind w:right="474" w:firstLine="508" w:firstLineChars="200"/>
        <w:rPr>
          <w:rFonts w:ascii="宋体" w:hAnsi="宋体" w:cs="宋体"/>
          <w:color w:val="auto"/>
          <w:sz w:val="24"/>
          <w:highlight w:val="none"/>
        </w:rPr>
      </w:pPr>
      <w:r>
        <w:rPr>
          <w:rFonts w:hint="eastAsia" w:ascii="宋体" w:hAnsi="宋体" w:cs="宋体"/>
          <w:color w:val="auto"/>
          <w:spacing w:val="7"/>
          <w:sz w:val="24"/>
          <w:highlight w:val="none"/>
        </w:rPr>
        <w:t>1、签订合同后，中标方不得将服务合同进行转包</w:t>
      </w:r>
      <w:r>
        <w:rPr>
          <w:rFonts w:hint="eastAsia" w:ascii="宋体" w:hAnsi="宋体" w:cs="宋体"/>
          <w:color w:val="auto"/>
          <w:spacing w:val="7"/>
          <w:sz w:val="24"/>
          <w:highlight w:val="none"/>
          <w:lang w:eastAsia="zh-CN"/>
        </w:rPr>
        <w:t>，</w:t>
      </w:r>
      <w:r>
        <w:rPr>
          <w:rFonts w:hint="eastAsia" w:ascii="宋体" w:hAnsi="宋体" w:cs="宋体"/>
          <w:color w:val="auto"/>
          <w:spacing w:val="7"/>
          <w:sz w:val="24"/>
          <w:highlight w:val="none"/>
        </w:rPr>
        <w:t>中标方也不得采用分包的</w:t>
      </w:r>
      <w:r>
        <w:rPr>
          <w:rFonts w:hint="eastAsia" w:ascii="宋体" w:hAnsi="宋体" w:cs="宋体"/>
          <w:color w:val="auto"/>
          <w:spacing w:val="8"/>
          <w:sz w:val="24"/>
          <w:highlight w:val="none"/>
        </w:rPr>
        <w:t>形式履行合同，否则甲方有权终止合同。</w:t>
      </w:r>
    </w:p>
    <w:p w14:paraId="796E64FA">
      <w:pPr>
        <w:widowControl w:val="0"/>
        <w:kinsoku w:val="0"/>
        <w:autoSpaceDE w:val="0"/>
        <w:autoSpaceDN w:val="0"/>
        <w:adjustRightInd w:val="0"/>
        <w:snapToGrid w:val="0"/>
        <w:spacing w:line="360" w:lineRule="auto"/>
        <w:ind w:firstLine="512" w:firstLineChars="200"/>
        <w:rPr>
          <w:rFonts w:ascii="宋体" w:hAnsi="宋体" w:cs="宋体"/>
          <w:color w:val="auto"/>
          <w:sz w:val="24"/>
          <w:highlight w:val="none"/>
        </w:rPr>
      </w:pPr>
      <w:r>
        <w:rPr>
          <w:rFonts w:hint="eastAsia" w:ascii="宋体" w:hAnsi="宋体" w:cs="宋体"/>
          <w:color w:val="auto"/>
          <w:spacing w:val="8"/>
          <w:sz w:val="24"/>
          <w:highlight w:val="none"/>
        </w:rPr>
        <w:t>2、垃圾清运由中标单位自备车辆。</w:t>
      </w:r>
    </w:p>
    <w:p w14:paraId="70128AA4">
      <w:pPr>
        <w:widowControl w:val="0"/>
        <w:kinsoku w:val="0"/>
        <w:autoSpaceDE w:val="0"/>
        <w:autoSpaceDN w:val="0"/>
        <w:adjustRightInd w:val="0"/>
        <w:snapToGrid w:val="0"/>
        <w:spacing w:line="360" w:lineRule="auto"/>
        <w:ind w:firstLine="512" w:firstLineChars="200"/>
        <w:rPr>
          <w:rFonts w:ascii="宋体" w:hAnsi="宋体" w:cs="宋体"/>
          <w:color w:val="auto"/>
          <w:spacing w:val="8"/>
          <w:sz w:val="24"/>
          <w:highlight w:val="none"/>
        </w:rPr>
      </w:pPr>
      <w:r>
        <w:rPr>
          <w:rFonts w:hint="eastAsia" w:ascii="宋体" w:hAnsi="宋体" w:cs="宋体"/>
          <w:color w:val="auto"/>
          <w:spacing w:val="8"/>
          <w:sz w:val="24"/>
          <w:highlight w:val="none"/>
        </w:rPr>
        <w:t>3、员工社保由中标方自行负责为员工购买，服务过程中</w:t>
      </w:r>
      <w:r>
        <w:rPr>
          <w:rFonts w:hint="eastAsia" w:ascii="宋体" w:hAnsi="宋体" w:cs="宋体"/>
          <w:color w:val="auto"/>
          <w:spacing w:val="8"/>
          <w:sz w:val="24"/>
          <w:highlight w:val="none"/>
          <w:lang w:val="en-US" w:eastAsia="zh-CN"/>
        </w:rPr>
        <w:t>若</w:t>
      </w:r>
      <w:r>
        <w:rPr>
          <w:rFonts w:hint="eastAsia" w:ascii="宋体" w:hAnsi="宋体" w:cs="宋体"/>
          <w:color w:val="auto"/>
          <w:spacing w:val="8"/>
          <w:sz w:val="24"/>
          <w:highlight w:val="none"/>
        </w:rPr>
        <w:t>出现人员更换情况，需要由业主确认，不得自行更换。</w:t>
      </w:r>
    </w:p>
    <w:p w14:paraId="45001E00">
      <w:pPr>
        <w:widowControl w:val="0"/>
        <w:kinsoku w:val="0"/>
        <w:autoSpaceDE w:val="0"/>
        <w:autoSpaceDN w:val="0"/>
        <w:adjustRightInd w:val="0"/>
        <w:snapToGrid w:val="0"/>
        <w:spacing w:line="360" w:lineRule="auto"/>
        <w:ind w:firstLine="512" w:firstLineChars="200"/>
        <w:rPr>
          <w:rFonts w:ascii="宋体" w:hAnsi="宋体" w:cs="宋体"/>
          <w:color w:val="auto"/>
          <w:sz w:val="24"/>
          <w:highlight w:val="none"/>
        </w:rPr>
      </w:pPr>
      <w:r>
        <w:rPr>
          <w:rFonts w:hint="eastAsia" w:ascii="宋体" w:hAnsi="宋体" w:cs="宋体"/>
          <w:color w:val="auto"/>
          <w:spacing w:val="8"/>
          <w:sz w:val="24"/>
          <w:highlight w:val="none"/>
        </w:rPr>
        <w:t>4、拟配备人员需提供有效期内的健康证证明，若员工在服务期限出现因工作发生的人身安全意外，由中标人负责。</w:t>
      </w:r>
    </w:p>
    <w:p w14:paraId="1894ED3D">
      <w:pPr>
        <w:widowControl w:val="0"/>
        <w:kinsoku w:val="0"/>
        <w:autoSpaceDE w:val="0"/>
        <w:autoSpaceDN w:val="0"/>
        <w:adjustRightInd w:val="0"/>
        <w:snapToGrid w:val="0"/>
        <w:spacing w:line="360" w:lineRule="auto"/>
        <w:ind w:right="474" w:firstLine="512" w:firstLineChars="200"/>
        <w:rPr>
          <w:rFonts w:ascii="宋体" w:hAnsi="宋体" w:cs="宋体"/>
          <w:color w:val="auto"/>
          <w:spacing w:val="9"/>
          <w:sz w:val="24"/>
          <w:highlight w:val="none"/>
        </w:rPr>
      </w:pPr>
      <w:r>
        <w:rPr>
          <w:rFonts w:hint="eastAsia" w:ascii="宋体" w:hAnsi="宋体" w:cs="宋体"/>
          <w:color w:val="auto"/>
          <w:spacing w:val="8"/>
          <w:sz w:val="24"/>
          <w:highlight w:val="none"/>
        </w:rPr>
        <w:t>5、在委托管理期限中，上述清扫服务范围内有增加或减少</w:t>
      </w:r>
      <w:r>
        <w:rPr>
          <w:rFonts w:hint="eastAsia" w:ascii="宋体" w:hAnsi="宋体" w:cs="宋体"/>
          <w:color w:val="auto"/>
          <w:spacing w:val="7"/>
          <w:sz w:val="24"/>
          <w:highlight w:val="none"/>
        </w:rPr>
        <w:t>的物业面积和内容，采购方对增加</w:t>
      </w:r>
      <w:r>
        <w:rPr>
          <w:rFonts w:hint="eastAsia" w:ascii="宋体" w:hAnsi="宋体" w:cs="宋体"/>
          <w:color w:val="auto"/>
          <w:spacing w:val="10"/>
          <w:sz w:val="24"/>
          <w:highlight w:val="none"/>
        </w:rPr>
        <w:t>或减少的物业服务人员按</w:t>
      </w:r>
      <w:r>
        <w:rPr>
          <w:rFonts w:hint="eastAsia" w:ascii="宋体" w:hAnsi="宋体" w:cs="宋体"/>
          <w:color w:val="auto"/>
          <w:spacing w:val="10"/>
          <w:sz w:val="24"/>
          <w:highlight w:val="none"/>
          <w:lang w:eastAsia="zh-CN"/>
        </w:rPr>
        <w:t>响应文件</w:t>
      </w:r>
      <w:r>
        <w:rPr>
          <w:rFonts w:hint="eastAsia" w:ascii="宋体" w:hAnsi="宋体" w:cs="宋体"/>
          <w:color w:val="auto"/>
          <w:spacing w:val="10"/>
          <w:sz w:val="24"/>
          <w:highlight w:val="none"/>
        </w:rPr>
        <w:t>中的薪酬标准和物资设备费用标准增加或扣除费用，双方另行</w:t>
      </w:r>
      <w:r>
        <w:rPr>
          <w:rFonts w:hint="eastAsia" w:ascii="宋体" w:hAnsi="宋体" w:cs="宋体"/>
          <w:color w:val="auto"/>
          <w:spacing w:val="9"/>
          <w:sz w:val="24"/>
          <w:highlight w:val="none"/>
        </w:rPr>
        <w:t>签订补充协议，与主合同有同等效力，仅合同之外的内容可进行补充。</w:t>
      </w:r>
    </w:p>
    <w:p w14:paraId="0C7CBBB4">
      <w:pPr>
        <w:widowControl w:val="0"/>
        <w:kinsoku w:val="0"/>
        <w:autoSpaceDE w:val="0"/>
        <w:autoSpaceDN w:val="0"/>
        <w:adjustRightInd w:val="0"/>
        <w:snapToGrid w:val="0"/>
        <w:spacing w:line="360" w:lineRule="auto"/>
        <w:ind w:firstLine="516" w:firstLineChars="200"/>
        <w:rPr>
          <w:rFonts w:ascii="宋体" w:hAnsi="宋体" w:cs="宋体"/>
          <w:color w:val="auto"/>
          <w:sz w:val="24"/>
          <w:highlight w:val="none"/>
        </w:rPr>
      </w:pPr>
      <w:r>
        <w:rPr>
          <w:rFonts w:hint="eastAsia" w:ascii="宋体" w:hAnsi="宋体" w:cs="宋体"/>
          <w:color w:val="auto"/>
          <w:spacing w:val="9"/>
          <w:sz w:val="24"/>
          <w:highlight w:val="none"/>
        </w:rPr>
        <w:t>6、考核与奖惩：业主将制定具体的奖惩方案，中标公司需遵照执行。</w:t>
      </w:r>
    </w:p>
    <w:p w14:paraId="5792FFB2">
      <w:pPr>
        <w:spacing w:line="360" w:lineRule="auto"/>
        <w:jc w:val="left"/>
        <w:rPr>
          <w:rFonts w:ascii="新宋体" w:hAnsi="新宋体" w:eastAsia="新宋体" w:cs="新宋体"/>
          <w:b/>
          <w:bCs/>
          <w:color w:val="auto"/>
          <w:spacing w:val="3"/>
          <w:kern w:val="0"/>
          <w:sz w:val="31"/>
          <w:szCs w:val="31"/>
          <w:highlight w:val="none"/>
        </w:rPr>
      </w:pPr>
      <w:r>
        <w:rPr>
          <w:rFonts w:hint="eastAsia" w:ascii="宋体" w:hAnsi="宋体" w:cs="宋体"/>
          <w:color w:val="auto"/>
          <w:kern w:val="0"/>
          <w:sz w:val="24"/>
          <w:highlight w:val="none"/>
        </w:rPr>
        <w:t>★</w:t>
      </w:r>
      <w:r>
        <w:rPr>
          <w:rFonts w:hint="eastAsia" w:ascii="宋体" w:hAnsi="宋体" w:cs="宋体"/>
          <w:b/>
          <w:bCs/>
          <w:color w:val="auto"/>
          <w:kern w:val="0"/>
          <w:sz w:val="24"/>
          <w:highlight w:val="none"/>
        </w:rPr>
        <w:t>对于上述要求，</w:t>
      </w:r>
      <w:r>
        <w:rPr>
          <w:rFonts w:hint="eastAsia" w:ascii="宋体" w:hAnsi="宋体" w:cs="宋体"/>
          <w:b/>
          <w:bCs/>
          <w:color w:val="auto"/>
          <w:kern w:val="0"/>
          <w:sz w:val="24"/>
          <w:highlight w:val="none"/>
          <w:lang w:val="en-US" w:eastAsia="zh-CN"/>
        </w:rPr>
        <w:t>供应商</w:t>
      </w:r>
      <w:r>
        <w:rPr>
          <w:rFonts w:hint="eastAsia" w:ascii="宋体" w:hAnsi="宋体" w:cs="宋体"/>
          <w:b/>
          <w:bCs/>
          <w:color w:val="auto"/>
          <w:kern w:val="0"/>
          <w:sz w:val="24"/>
          <w:highlight w:val="none"/>
        </w:rPr>
        <w:t>不得偏离，应在</w:t>
      </w:r>
      <w:r>
        <w:rPr>
          <w:rFonts w:hint="eastAsia" w:ascii="宋体" w:hAnsi="宋体" w:cs="宋体"/>
          <w:b/>
          <w:bCs/>
          <w:color w:val="auto"/>
          <w:kern w:val="0"/>
          <w:sz w:val="24"/>
          <w:highlight w:val="none"/>
          <w:lang w:val="en-US" w:eastAsia="zh-CN"/>
        </w:rPr>
        <w:t>响应</w:t>
      </w:r>
      <w:r>
        <w:rPr>
          <w:rFonts w:hint="eastAsia" w:ascii="宋体" w:hAnsi="宋体" w:cs="宋体"/>
          <w:b/>
          <w:bCs/>
          <w:color w:val="auto"/>
          <w:kern w:val="0"/>
          <w:sz w:val="24"/>
          <w:highlight w:val="none"/>
        </w:rPr>
        <w:t xml:space="preserve">文件中进行回应，作出承诺，承诺函格式自拟，未作出承诺的为无效投标。 </w:t>
      </w:r>
      <w:r>
        <w:rPr>
          <w:rFonts w:hint="eastAsia" w:ascii="新宋体" w:hAnsi="新宋体" w:eastAsia="新宋体" w:cs="新宋体"/>
          <w:b/>
          <w:bCs/>
          <w:color w:val="auto"/>
          <w:spacing w:val="3"/>
          <w:kern w:val="0"/>
          <w:sz w:val="31"/>
          <w:szCs w:val="31"/>
          <w:highlight w:val="none"/>
        </w:rPr>
        <w:br w:type="page"/>
      </w:r>
    </w:p>
    <w:p w14:paraId="45C5BFCD">
      <w:pPr>
        <w:pStyle w:val="35"/>
        <w:rPr>
          <w:color w:val="auto"/>
          <w:highlight w:val="none"/>
        </w:rPr>
      </w:pPr>
    </w:p>
    <w:p w14:paraId="01D9065C">
      <w:pPr>
        <w:rPr>
          <w:rStyle w:val="29"/>
          <w:color w:val="auto"/>
          <w:highlight w:val="none"/>
        </w:rPr>
      </w:pPr>
    </w:p>
    <w:p w14:paraId="1EF4884E">
      <w:pPr>
        <w:pStyle w:val="2"/>
        <w:spacing w:after="312" w:line="440" w:lineRule="atLeast"/>
        <w:jc w:val="center"/>
        <w:rPr>
          <w:rStyle w:val="29"/>
          <w:rFonts w:ascii="黑体" w:hAnsi="宋体" w:eastAsia="黑体"/>
          <w:color w:val="auto"/>
          <w:sz w:val="32"/>
          <w:szCs w:val="32"/>
          <w:highlight w:val="none"/>
        </w:rPr>
      </w:pPr>
      <w:bookmarkStart w:id="105" w:name="_Toc10174"/>
      <w:r>
        <w:rPr>
          <w:rStyle w:val="29"/>
          <w:rFonts w:ascii="黑体" w:hAnsi="宋体" w:eastAsia="黑体"/>
          <w:color w:val="auto"/>
          <w:sz w:val="32"/>
          <w:szCs w:val="32"/>
          <w:highlight w:val="none"/>
        </w:rPr>
        <w:t>第</w:t>
      </w:r>
      <w:r>
        <w:rPr>
          <w:rStyle w:val="29"/>
          <w:rFonts w:hint="eastAsia" w:ascii="黑体" w:hAnsi="宋体" w:eastAsia="黑体"/>
          <w:color w:val="auto"/>
          <w:sz w:val="32"/>
          <w:szCs w:val="32"/>
          <w:highlight w:val="none"/>
        </w:rPr>
        <w:t>四</w:t>
      </w:r>
      <w:r>
        <w:rPr>
          <w:rStyle w:val="29"/>
          <w:rFonts w:ascii="黑体" w:hAnsi="宋体" w:eastAsia="黑体"/>
          <w:color w:val="auto"/>
          <w:sz w:val="32"/>
          <w:szCs w:val="32"/>
          <w:highlight w:val="none"/>
        </w:rPr>
        <w:t>章 政府采购合同格式条款</w:t>
      </w:r>
      <w:bookmarkEnd w:id="105"/>
    </w:p>
    <w:p w14:paraId="2881EBF9">
      <w:pPr>
        <w:rPr>
          <w:color w:val="auto"/>
          <w:highlight w:val="none"/>
        </w:rPr>
      </w:pPr>
    </w:p>
    <w:p w14:paraId="7FECB7A9">
      <w:pPr>
        <w:widowControl/>
        <w:jc w:val="left"/>
        <w:rPr>
          <w:rFonts w:ascii="Times New Roman" w:hAnsi="Times New Roman" w:eastAsia="宋体" w:cs="Times New Roman"/>
          <w:color w:val="auto"/>
          <w:sz w:val="24"/>
          <w:szCs w:val="24"/>
          <w:highlight w:val="none"/>
        </w:rPr>
      </w:pPr>
      <w:r>
        <w:rPr>
          <w:rFonts w:ascii="仿宋" w:hAnsi="仿宋" w:eastAsia="仿宋" w:cs="仿宋"/>
          <w:color w:val="auto"/>
          <w:kern w:val="0"/>
          <w:sz w:val="24"/>
          <w:szCs w:val="24"/>
          <w:highlight w:val="none"/>
        </w:rPr>
        <w:t>（请按照《中华人民共和国民法典》及本采购项目特点自行拟定特定文本确定合同格</w:t>
      </w:r>
      <w:r>
        <w:rPr>
          <w:rFonts w:hint="eastAsia" w:ascii="仿宋" w:hAnsi="仿宋" w:eastAsia="仿宋" w:cs="仿宋"/>
          <w:color w:val="auto"/>
          <w:kern w:val="0"/>
          <w:sz w:val="24"/>
          <w:szCs w:val="24"/>
          <w:highlight w:val="none"/>
        </w:rPr>
        <w:t>式，本协议书仅供参考，不作限制）</w:t>
      </w:r>
    </w:p>
    <w:p w14:paraId="7EEBF777">
      <w:pPr>
        <w:keepNext/>
        <w:keepLines/>
        <w:widowControl w:val="0"/>
        <w:adjustRightInd w:val="0"/>
        <w:snapToGrid w:val="0"/>
        <w:spacing w:line="360" w:lineRule="auto"/>
        <w:jc w:val="center"/>
        <w:outlineLvl w:val="1"/>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第一节 政府采购合同协议书</w:t>
      </w:r>
    </w:p>
    <w:p w14:paraId="55BBD79F">
      <w:pPr>
        <w:widowControl w:val="0"/>
        <w:adjustRightInd w:val="0"/>
        <w:snapToGrid w:val="0"/>
        <w:spacing w:before="156" w:beforeLines="50" w:line="360" w:lineRule="auto"/>
        <w:ind w:firstLine="6240" w:firstLineChars="26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采购合同编号：</w:t>
      </w:r>
      <w:r>
        <w:rPr>
          <w:rFonts w:hint="eastAsia" w:ascii="宋体" w:hAnsi="宋体" w:eastAsia="宋体" w:cs="宋体"/>
          <w:color w:val="auto"/>
          <w:sz w:val="24"/>
          <w:szCs w:val="24"/>
          <w:highlight w:val="none"/>
          <w:u w:val="single"/>
        </w:rPr>
        <w:t xml:space="preserve">                 </w:t>
      </w:r>
    </w:p>
    <w:p w14:paraId="3BC87AFC">
      <w:pPr>
        <w:widowControl w:val="0"/>
        <w:adjustRightInd w:val="0"/>
        <w:snapToGrid w:val="0"/>
        <w:spacing w:before="156" w:beforeLines="50" w:line="360" w:lineRule="auto"/>
        <w:jc w:val="center"/>
        <w:rPr>
          <w:rFonts w:hint="eastAsia" w:ascii="宋体" w:hAnsi="宋体" w:eastAsia="宋体" w:cs="宋体"/>
          <w:b/>
          <w:color w:val="auto"/>
          <w:sz w:val="24"/>
          <w:szCs w:val="24"/>
          <w:highlight w:val="none"/>
        </w:rPr>
      </w:pPr>
    </w:p>
    <w:p w14:paraId="58EB71B7">
      <w:pPr>
        <w:widowControl w:val="0"/>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（甲方）</w:t>
      </w:r>
    </w:p>
    <w:p w14:paraId="471EDF67">
      <w:pPr>
        <w:widowControl w:val="0"/>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（乙方）</w:t>
      </w:r>
    </w:p>
    <w:p w14:paraId="0FFBF784">
      <w:pPr>
        <w:widowControl w:val="0"/>
        <w:adjustRightInd w:val="0"/>
        <w:snapToGrid w:val="0"/>
        <w:spacing w:before="156" w:beforeLines="50" w:after="0" w:line="360" w:lineRule="auto"/>
        <w:ind w:left="420" w:leftChars="200"/>
        <w:jc w:val="both"/>
        <w:rPr>
          <w:rFonts w:hint="eastAsia" w:ascii="宋体" w:hAnsi="宋体" w:eastAsia="宋体" w:cs="宋体"/>
          <w:color w:val="auto"/>
          <w:kern w:val="2"/>
          <w:sz w:val="24"/>
          <w:szCs w:val="24"/>
          <w:highlight w:val="none"/>
          <w:lang w:val="en-US" w:eastAsia="zh-CN" w:bidi="ar-SA"/>
        </w:rPr>
      </w:pPr>
    </w:p>
    <w:p w14:paraId="2987C209">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为了保护甲、乙双方合法权益，根据《中华人民共和国民法典》、《中华人民共和国政府采购法》及其他有关法律、法规、规章，双方签订本合同协议书。</w:t>
      </w:r>
    </w:p>
    <w:p w14:paraId="3FA14DB2">
      <w:pPr>
        <w:widowControl w:val="0"/>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1.项目信息</w:t>
      </w:r>
    </w:p>
    <w:p w14:paraId="2BF58248">
      <w:pPr>
        <w:widowControl w:val="0"/>
        <w:adjustRightInd w:val="0"/>
        <w:snapToGrid w:val="0"/>
        <w:spacing w:before="156" w:beforeLines="50" w:line="360" w:lineRule="auto"/>
        <w:ind w:left="420" w:left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（1）采购项目名称：</w:t>
      </w:r>
      <w:r>
        <w:rPr>
          <w:rFonts w:hint="eastAsia" w:ascii="宋体" w:hAnsi="宋体" w:eastAsia="宋体" w:cs="宋体"/>
          <w:color w:val="auto"/>
          <w:sz w:val="24"/>
          <w:szCs w:val="24"/>
          <w:highlight w:val="none"/>
          <w:u w:val="single"/>
        </w:rPr>
        <w:t xml:space="preserve">                                          </w:t>
      </w:r>
    </w:p>
    <w:p w14:paraId="096452C2">
      <w:pPr>
        <w:widowControl w:val="0"/>
        <w:adjustRightInd w:val="0"/>
        <w:snapToGrid w:val="0"/>
        <w:spacing w:before="156" w:beforeLines="50" w:line="360" w:lineRule="auto"/>
        <w:ind w:left="420" w:left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政府采购计划编号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F080D88">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（3）项目内容：</w:t>
      </w:r>
      <w:r>
        <w:rPr>
          <w:rFonts w:hint="eastAsia" w:ascii="宋体" w:hAnsi="宋体" w:eastAsia="宋体" w:cs="宋体"/>
          <w:color w:val="auto"/>
          <w:sz w:val="24"/>
          <w:szCs w:val="24"/>
          <w:highlight w:val="none"/>
          <w:u w:val="single"/>
        </w:rPr>
        <w:t xml:space="preserve">                             </w:t>
      </w:r>
    </w:p>
    <w:p w14:paraId="5461FACB">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（4）是否分包：</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8664D4A">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（5）项目负责人：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7F18173">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（6）联系电话：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22A9A6DF">
      <w:pPr>
        <w:widowControl w:val="0"/>
        <w:adjustRightInd w:val="0"/>
        <w:snapToGrid w:val="0"/>
        <w:spacing w:before="156" w:beforeLines="50" w:line="360" w:lineRule="auto"/>
        <w:ind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2.合同金额</w:t>
      </w:r>
    </w:p>
    <w:p w14:paraId="01843B2D">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（1）合同金额小写：</w:t>
      </w:r>
      <w:r>
        <w:rPr>
          <w:rFonts w:hint="eastAsia" w:ascii="宋体" w:hAnsi="宋体" w:eastAsia="宋体" w:cs="宋体"/>
          <w:color w:val="auto"/>
          <w:sz w:val="24"/>
          <w:szCs w:val="24"/>
          <w:highlight w:val="none"/>
          <w:u w:val="single"/>
        </w:rPr>
        <w:t xml:space="preserve">                      </w:t>
      </w:r>
    </w:p>
    <w:p w14:paraId="1AA21ECD">
      <w:pPr>
        <w:widowControl w:val="0"/>
        <w:adjustRightInd w:val="0"/>
        <w:snapToGrid w:val="0"/>
        <w:spacing w:before="156" w:beforeLines="50" w:line="360" w:lineRule="auto"/>
        <w:ind w:firstLine="1440" w:firstLineChars="60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大写：</w:t>
      </w:r>
      <w:r>
        <w:rPr>
          <w:rFonts w:hint="eastAsia" w:ascii="宋体" w:hAnsi="宋体" w:eastAsia="宋体" w:cs="宋体"/>
          <w:color w:val="auto"/>
          <w:sz w:val="24"/>
          <w:szCs w:val="24"/>
          <w:highlight w:val="none"/>
          <w:u w:val="single"/>
        </w:rPr>
        <w:t xml:space="preserve">                      </w:t>
      </w:r>
    </w:p>
    <w:p w14:paraId="6A6A852E">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（2）具体标的见附件。</w:t>
      </w:r>
    </w:p>
    <w:p w14:paraId="09133538">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（3）合同定价方式：</w:t>
      </w:r>
      <w:r>
        <w:rPr>
          <w:rFonts w:hint="eastAsia" w:ascii="宋体" w:hAnsi="宋体" w:eastAsia="宋体" w:cs="宋体"/>
          <w:iCs/>
          <w:color w:val="auto"/>
          <w:sz w:val="24"/>
          <w:szCs w:val="24"/>
          <w:highlight w:val="none"/>
        </w:rPr>
        <w:sym w:font="Wingdings" w:char="F0A8"/>
      </w:r>
      <w:r>
        <w:rPr>
          <w:rFonts w:hint="eastAsia" w:ascii="宋体" w:hAnsi="宋体" w:eastAsia="宋体" w:cs="宋体"/>
          <w:iCs/>
          <w:color w:val="auto"/>
          <w:sz w:val="24"/>
          <w:szCs w:val="24"/>
          <w:highlight w:val="none"/>
        </w:rPr>
        <w:t xml:space="preserve">固定总价 </w:t>
      </w:r>
      <w:r>
        <w:rPr>
          <w:rFonts w:hint="eastAsia" w:ascii="宋体" w:hAnsi="宋体" w:eastAsia="宋体" w:cs="宋体"/>
          <w:iCs/>
          <w:color w:val="auto"/>
          <w:sz w:val="24"/>
          <w:szCs w:val="24"/>
          <w:highlight w:val="none"/>
        </w:rPr>
        <w:sym w:font="Wingdings" w:char="F0A8"/>
      </w:r>
      <w:r>
        <w:rPr>
          <w:rFonts w:hint="eastAsia" w:ascii="宋体" w:hAnsi="宋体" w:eastAsia="宋体" w:cs="宋体"/>
          <w:iCs/>
          <w:color w:val="auto"/>
          <w:sz w:val="24"/>
          <w:szCs w:val="24"/>
          <w:highlight w:val="none"/>
        </w:rPr>
        <w:t xml:space="preserve">固定单价 </w:t>
      </w:r>
      <w:r>
        <w:rPr>
          <w:rFonts w:hint="eastAsia" w:ascii="宋体" w:hAnsi="宋体" w:eastAsia="宋体" w:cs="宋体"/>
          <w:iCs/>
          <w:color w:val="auto"/>
          <w:sz w:val="24"/>
          <w:szCs w:val="24"/>
          <w:highlight w:val="none"/>
        </w:rPr>
        <w:sym w:font="Wingdings" w:char="F0A8"/>
      </w:r>
      <w:r>
        <w:rPr>
          <w:rFonts w:hint="eastAsia" w:ascii="宋体" w:hAnsi="宋体" w:eastAsia="宋体" w:cs="宋体"/>
          <w:iCs/>
          <w:color w:val="auto"/>
          <w:sz w:val="24"/>
          <w:szCs w:val="24"/>
          <w:highlight w:val="none"/>
        </w:rPr>
        <w:t xml:space="preserve">成本补偿 </w:t>
      </w:r>
      <w:r>
        <w:rPr>
          <w:rFonts w:hint="eastAsia" w:ascii="宋体" w:hAnsi="宋体" w:eastAsia="宋体" w:cs="宋体"/>
          <w:iCs/>
          <w:color w:val="auto"/>
          <w:sz w:val="24"/>
          <w:szCs w:val="24"/>
          <w:highlight w:val="none"/>
        </w:rPr>
        <w:sym w:font="Wingdings" w:char="F0A8"/>
      </w:r>
      <w:r>
        <w:rPr>
          <w:rFonts w:hint="eastAsia" w:ascii="宋体" w:hAnsi="宋体" w:eastAsia="宋体" w:cs="宋体"/>
          <w:iCs/>
          <w:color w:val="auto"/>
          <w:sz w:val="24"/>
          <w:szCs w:val="24"/>
          <w:highlight w:val="none"/>
        </w:rPr>
        <w:t>绩效激励</w:t>
      </w:r>
    </w:p>
    <w:p w14:paraId="614F1A52">
      <w:pPr>
        <w:widowControl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（4）付款方式（按项目实际勾选填写）：</w:t>
      </w:r>
    </w:p>
    <w:p w14:paraId="36E6A876">
      <w:pPr>
        <w:widowControl w:val="0"/>
        <w:adjustRightInd w:val="0"/>
        <w:snapToGrid w:val="0"/>
        <w:spacing w:before="156" w:beforeLines="50"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sym w:font="Wingdings" w:char="F0A8"/>
      </w:r>
      <w:r>
        <w:rPr>
          <w:rFonts w:hint="eastAsia" w:ascii="宋体" w:hAnsi="宋体" w:eastAsia="宋体" w:cs="宋体"/>
          <w:color w:val="auto"/>
          <w:sz w:val="24"/>
          <w:szCs w:val="24"/>
          <w:highlight w:val="none"/>
        </w:rPr>
        <w:t>全额付款：</w:t>
      </w:r>
      <w:r>
        <w:rPr>
          <w:rFonts w:hint="eastAsia" w:ascii="宋体" w:hAnsi="宋体" w:eastAsia="宋体" w:cs="宋体"/>
          <w:color w:val="auto"/>
          <w:sz w:val="24"/>
          <w:szCs w:val="24"/>
          <w:highlight w:val="none"/>
          <w:u w:val="single"/>
        </w:rPr>
        <w:t xml:space="preserve">     （应一次性支付全部合同款项）                    </w:t>
      </w:r>
    </w:p>
    <w:p w14:paraId="3B093067">
      <w:pPr>
        <w:widowControl w:val="0"/>
        <w:adjustRightInd w:val="0"/>
        <w:snapToGrid w:val="0"/>
        <w:spacing w:before="156" w:beforeLines="50"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sym w:font="Wingdings" w:char="F0A8"/>
      </w:r>
      <w:r>
        <w:rPr>
          <w:rFonts w:hint="eastAsia" w:ascii="宋体" w:hAnsi="宋体" w:eastAsia="宋体" w:cs="宋体"/>
          <w:color w:val="auto"/>
          <w:sz w:val="24"/>
          <w:szCs w:val="24"/>
          <w:highlight w:val="none"/>
        </w:rPr>
        <w:t>预付款：</w:t>
      </w:r>
      <w:r>
        <w:rPr>
          <w:rFonts w:hint="eastAsia" w:ascii="宋体" w:hAnsi="宋体" w:eastAsia="宋体" w:cs="宋体"/>
          <w:color w:val="auto"/>
          <w:sz w:val="24"/>
          <w:szCs w:val="24"/>
          <w:highlight w:val="none"/>
          <w:u w:val="single"/>
        </w:rPr>
        <w:t xml:space="preserve">    （应明确预付款的支付比例和支付条件）               </w:t>
      </w:r>
    </w:p>
    <w:p w14:paraId="5F831656">
      <w:pPr>
        <w:widowControl w:val="0"/>
        <w:adjustRightInd w:val="0"/>
        <w:snapToGrid w:val="0"/>
        <w:spacing w:before="156" w:beforeLines="50"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F0A8"/>
      </w:r>
      <w:r>
        <w:rPr>
          <w:rFonts w:hint="eastAsia" w:ascii="宋体" w:hAnsi="宋体" w:eastAsia="宋体" w:cs="宋体"/>
          <w:color w:val="auto"/>
          <w:sz w:val="24"/>
          <w:szCs w:val="24"/>
          <w:highlight w:val="none"/>
        </w:rPr>
        <w:t>分期付款：</w:t>
      </w:r>
      <w:r>
        <w:rPr>
          <w:rFonts w:hint="eastAsia" w:ascii="宋体" w:hAnsi="宋体" w:eastAsia="宋体" w:cs="宋体"/>
          <w:color w:val="auto"/>
          <w:sz w:val="24"/>
          <w:szCs w:val="24"/>
          <w:highlight w:val="none"/>
          <w:u w:val="single"/>
        </w:rPr>
        <w:t xml:space="preserve">     （应按照季度分期支付合同款项）                   </w:t>
      </w:r>
    </w:p>
    <w:p w14:paraId="46123842">
      <w:pPr>
        <w:widowControl w:val="0"/>
        <w:adjustRightInd w:val="0"/>
        <w:snapToGrid w:val="0"/>
        <w:spacing w:before="156" w:beforeLines="50"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F0A8"/>
      </w:r>
      <w:r>
        <w:rPr>
          <w:rFonts w:hint="eastAsia" w:ascii="宋体" w:hAnsi="宋体" w:eastAsia="宋体" w:cs="宋体"/>
          <w:color w:val="auto"/>
          <w:sz w:val="24"/>
          <w:szCs w:val="24"/>
          <w:highlight w:val="none"/>
        </w:rPr>
        <w:t>成本补偿：</w:t>
      </w:r>
      <w:r>
        <w:rPr>
          <w:rFonts w:hint="eastAsia" w:ascii="宋体" w:hAnsi="宋体" w:eastAsia="宋体" w:cs="宋体"/>
          <w:color w:val="auto"/>
          <w:sz w:val="24"/>
          <w:szCs w:val="24"/>
          <w:highlight w:val="none"/>
          <w:u w:val="single"/>
        </w:rPr>
        <w:t xml:space="preserve">      （应明确按照成本补偿方式的支付方式和支付条件）   </w:t>
      </w:r>
    </w:p>
    <w:p w14:paraId="61414773">
      <w:pPr>
        <w:widowControl w:val="0"/>
        <w:adjustRightInd w:val="0"/>
        <w:snapToGrid w:val="0"/>
        <w:spacing w:before="156" w:beforeLines="50"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w:char="F0A8"/>
      </w:r>
      <w:r>
        <w:rPr>
          <w:rFonts w:hint="eastAsia" w:ascii="宋体" w:hAnsi="宋体" w:eastAsia="宋体" w:cs="宋体"/>
          <w:color w:val="auto"/>
          <w:sz w:val="24"/>
          <w:szCs w:val="24"/>
          <w:highlight w:val="none"/>
        </w:rPr>
        <w:t>绩效激励：</w:t>
      </w:r>
      <w:r>
        <w:rPr>
          <w:rFonts w:hint="eastAsia" w:ascii="宋体" w:hAnsi="宋体" w:eastAsia="宋体" w:cs="宋体"/>
          <w:color w:val="auto"/>
          <w:sz w:val="24"/>
          <w:szCs w:val="24"/>
          <w:highlight w:val="none"/>
          <w:u w:val="single"/>
        </w:rPr>
        <w:t xml:space="preserve">      （应明确按照绩效激励方式的支付方式和支付条件）   </w:t>
      </w:r>
    </w:p>
    <w:p w14:paraId="0C22ED63">
      <w:pPr>
        <w:widowControl w:val="0"/>
        <w:adjustRightInd w:val="0"/>
        <w:snapToGrid w:val="0"/>
        <w:spacing w:before="156" w:beforeLines="50" w:line="360" w:lineRule="auto"/>
        <w:ind w:firstLine="482" w:firstLineChars="200"/>
        <w:rPr>
          <w:rFonts w:hint="eastAsia" w:ascii="宋体" w:hAnsi="宋体" w:eastAsia="宋体" w:cs="宋体"/>
          <w:color w:val="auto"/>
          <w:sz w:val="24"/>
          <w:szCs w:val="24"/>
          <w:highlight w:val="none"/>
          <w:u w:val="single"/>
        </w:rPr>
      </w:pPr>
      <w:r>
        <w:rPr>
          <w:rFonts w:hint="eastAsia" w:ascii="宋体" w:hAnsi="宋体" w:eastAsia="宋体" w:cs="宋体"/>
          <w:b/>
          <w:color w:val="auto"/>
          <w:sz w:val="24"/>
          <w:szCs w:val="24"/>
          <w:highlight w:val="none"/>
        </w:rPr>
        <w:t>3.合同履行</w:t>
      </w:r>
    </w:p>
    <w:p w14:paraId="1A1F5EFB">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（1）起始日期：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日，完成日期：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日。总日历天数：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天。</w:t>
      </w:r>
    </w:p>
    <w:p w14:paraId="452EFCCF">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（2）地点</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u w:val="single"/>
        </w:rPr>
        <w:t xml:space="preserve">                             </w:t>
      </w:r>
    </w:p>
    <w:p w14:paraId="2C830701">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（3）方式：</w:t>
      </w:r>
      <w:r>
        <w:rPr>
          <w:rFonts w:hint="eastAsia" w:ascii="宋体" w:hAnsi="宋体" w:eastAsia="宋体" w:cs="宋体"/>
          <w:color w:val="auto"/>
          <w:sz w:val="24"/>
          <w:szCs w:val="24"/>
          <w:highlight w:val="none"/>
          <w:u w:val="single"/>
        </w:rPr>
        <w:t xml:space="preserve">                             </w:t>
      </w:r>
    </w:p>
    <w:p w14:paraId="7BDA27AD">
      <w:pPr>
        <w:widowControl w:val="0"/>
        <w:adjustRightInd w:val="0"/>
        <w:snapToGrid w:val="0"/>
        <w:spacing w:before="156" w:beforeLines="5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（3）质量保证金：</w:t>
      </w:r>
      <w:r>
        <w:rPr>
          <w:rFonts w:hint="eastAsia" w:ascii="宋体" w:hAnsi="宋体" w:eastAsia="宋体" w:cs="宋体"/>
          <w:bCs/>
          <w:color w:val="auto"/>
          <w:sz w:val="24"/>
          <w:szCs w:val="24"/>
          <w:highlight w:val="none"/>
          <w:u w:val="single"/>
        </w:rPr>
        <w:t>质量保证金的金额、形式和期限要求</w:t>
      </w:r>
      <w:r>
        <w:rPr>
          <w:rFonts w:hint="eastAsia" w:ascii="宋体" w:hAnsi="宋体" w:eastAsia="宋体" w:cs="宋体"/>
          <w:bCs/>
          <w:color w:val="auto"/>
          <w:sz w:val="24"/>
          <w:szCs w:val="24"/>
          <w:highlight w:val="none"/>
        </w:rPr>
        <w:t>。</w:t>
      </w:r>
    </w:p>
    <w:p w14:paraId="02F032F7">
      <w:pPr>
        <w:widowControl w:val="0"/>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4.合同验收</w:t>
      </w:r>
    </w:p>
    <w:p w14:paraId="6D6F835F">
      <w:pPr>
        <w:widowControl w:val="0"/>
        <w:adjustRightInd w:val="0"/>
        <w:snapToGrid w:val="0"/>
        <w:spacing w:before="156" w:beforeLines="5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（1）验收主体：</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w:t>
      </w:r>
    </w:p>
    <w:p w14:paraId="2840F609">
      <w:pPr>
        <w:widowControl w:val="0"/>
        <w:adjustRightInd w:val="0"/>
        <w:snapToGrid w:val="0"/>
        <w:spacing w:before="156" w:beforeLines="5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（2）验收方式：</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w:t>
      </w:r>
    </w:p>
    <w:p w14:paraId="2A74AEE5">
      <w:pPr>
        <w:widowControl w:val="0"/>
        <w:adjustRightInd w:val="0"/>
        <w:snapToGrid w:val="0"/>
        <w:spacing w:before="156" w:beforeLines="50"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（3）验收标准：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w:t>
      </w:r>
    </w:p>
    <w:p w14:paraId="4E08320E">
      <w:pPr>
        <w:widowControl w:val="0"/>
        <w:adjustRightInd w:val="0"/>
        <w:snapToGrid w:val="0"/>
        <w:spacing w:before="156" w:beforeLines="50"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5.组成合同的文件</w:t>
      </w:r>
    </w:p>
    <w:p w14:paraId="3D984FD9">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本协议书与下列文件一起构成合同文件，如下述文件之间有任何抵触、矛盾或歧义，应按以下顺序解释：</w:t>
      </w:r>
    </w:p>
    <w:p w14:paraId="3DDE6654">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（1）在采购或合同履行过程中乙方作出的承诺以及双方协商达成的变更或补充协议</w:t>
      </w:r>
      <w:r>
        <w:rPr>
          <w:rFonts w:hint="eastAsia" w:ascii="宋体" w:hAnsi="宋体" w:eastAsia="宋体" w:cs="宋体"/>
          <w:color w:val="auto"/>
          <w:sz w:val="24"/>
          <w:szCs w:val="24"/>
          <w:highlight w:val="none"/>
          <w:lang w:eastAsia="zh-CN"/>
        </w:rPr>
        <w:t>；</w:t>
      </w:r>
    </w:p>
    <w:p w14:paraId="2016D8C5">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（2）本合同协议书</w:t>
      </w:r>
      <w:r>
        <w:rPr>
          <w:rFonts w:hint="eastAsia" w:ascii="宋体" w:hAnsi="宋体" w:eastAsia="宋体" w:cs="宋体"/>
          <w:color w:val="auto"/>
          <w:sz w:val="24"/>
          <w:szCs w:val="24"/>
          <w:highlight w:val="none"/>
          <w:lang w:eastAsia="zh-CN"/>
        </w:rPr>
        <w:t>；</w:t>
      </w:r>
    </w:p>
    <w:p w14:paraId="39456DAC">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eastAsia="zh-CN"/>
        </w:rPr>
        <w:t>中标</w:t>
      </w:r>
      <w:r>
        <w:rPr>
          <w:rFonts w:hint="eastAsia" w:ascii="宋体" w:hAnsi="宋体" w:eastAsia="宋体" w:cs="宋体"/>
          <w:color w:val="auto"/>
          <w:sz w:val="24"/>
          <w:szCs w:val="24"/>
          <w:highlight w:val="none"/>
        </w:rPr>
        <w:t>通知书</w:t>
      </w:r>
      <w:r>
        <w:rPr>
          <w:rFonts w:hint="eastAsia" w:ascii="宋体" w:hAnsi="宋体" w:eastAsia="宋体" w:cs="宋体"/>
          <w:color w:val="auto"/>
          <w:sz w:val="24"/>
          <w:szCs w:val="24"/>
          <w:highlight w:val="none"/>
          <w:lang w:eastAsia="zh-CN"/>
        </w:rPr>
        <w:t>；</w:t>
      </w:r>
    </w:p>
    <w:p w14:paraId="697608DE">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响应文件；</w:t>
      </w:r>
    </w:p>
    <w:p w14:paraId="4E4BC1C6">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（5）政府采购合同专用条款</w:t>
      </w:r>
      <w:r>
        <w:rPr>
          <w:rFonts w:hint="eastAsia" w:ascii="宋体" w:hAnsi="宋体" w:eastAsia="宋体" w:cs="宋体"/>
          <w:color w:val="auto"/>
          <w:sz w:val="24"/>
          <w:szCs w:val="24"/>
          <w:highlight w:val="none"/>
          <w:lang w:eastAsia="zh-CN"/>
        </w:rPr>
        <w:t>；</w:t>
      </w:r>
    </w:p>
    <w:p w14:paraId="7B763605">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（6）政府采购合同通用条款</w:t>
      </w:r>
      <w:r>
        <w:rPr>
          <w:rFonts w:hint="eastAsia" w:ascii="宋体" w:hAnsi="宋体" w:eastAsia="宋体" w:cs="宋体"/>
          <w:color w:val="auto"/>
          <w:sz w:val="24"/>
          <w:szCs w:val="24"/>
          <w:highlight w:val="none"/>
          <w:lang w:eastAsia="zh-CN"/>
        </w:rPr>
        <w:t>；</w:t>
      </w:r>
    </w:p>
    <w:p w14:paraId="1F7440F6">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（7）标准、规范及有关技术文件，图纸</w:t>
      </w:r>
      <w:r>
        <w:rPr>
          <w:rFonts w:hint="eastAsia" w:ascii="宋体" w:hAnsi="宋体" w:eastAsia="宋体" w:cs="宋体"/>
          <w:color w:val="auto"/>
          <w:sz w:val="24"/>
          <w:szCs w:val="24"/>
          <w:highlight w:val="none"/>
          <w:lang w:eastAsia="zh-CN"/>
        </w:rPr>
        <w:t>；</w:t>
      </w:r>
    </w:p>
    <w:p w14:paraId="6C6C12D8">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（8）其他合同文件。</w:t>
      </w:r>
    </w:p>
    <w:p w14:paraId="0F50960A">
      <w:pPr>
        <w:widowControl w:val="0"/>
        <w:adjustRightInd w:val="0"/>
        <w:snapToGrid w:val="0"/>
        <w:spacing w:before="156" w:beforeLines="50" w:line="360" w:lineRule="auto"/>
        <w:ind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6.合同生效</w:t>
      </w:r>
    </w:p>
    <w:p w14:paraId="1C89BEF8">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本合同自</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生效。</w:t>
      </w:r>
    </w:p>
    <w:p w14:paraId="65EC2EF4">
      <w:pPr>
        <w:widowControl w:val="0"/>
        <w:adjustRightInd w:val="0"/>
        <w:snapToGrid w:val="0"/>
        <w:spacing w:before="156" w:beforeLines="50" w:line="360" w:lineRule="auto"/>
        <w:ind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7.合同份数</w:t>
      </w:r>
    </w:p>
    <w:p w14:paraId="3BFE5276">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本合同一式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份，采购人执</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w:t>
      </w:r>
      <w:r>
        <w:rPr>
          <w:rFonts w:hint="eastAsia" w:ascii="宋体" w:hAnsi="宋体" w:eastAsia="宋体" w:cs="宋体"/>
          <w:color w:val="auto"/>
          <w:sz w:val="24"/>
          <w:szCs w:val="24"/>
          <w:highlight w:val="none"/>
          <w:lang w:eastAsia="zh-CN"/>
        </w:rPr>
        <w:t>供应</w:t>
      </w:r>
      <w:r>
        <w:rPr>
          <w:rFonts w:hint="eastAsia" w:ascii="宋体" w:hAnsi="宋体" w:eastAsia="宋体" w:cs="宋体"/>
          <w:color w:val="auto"/>
          <w:sz w:val="24"/>
          <w:szCs w:val="24"/>
          <w:highlight w:val="none"/>
        </w:rPr>
        <w:t>商执</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份，均具有同等法律效力。</w:t>
      </w:r>
    </w:p>
    <w:p w14:paraId="4DB008BB">
      <w:pPr>
        <w:widowControl w:val="0"/>
        <w:adjustRightInd w:val="0"/>
        <w:snapToGrid w:val="0"/>
        <w:spacing w:before="156" w:beforeLines="50" w:line="360" w:lineRule="auto"/>
        <w:rPr>
          <w:rFonts w:hint="eastAsia" w:ascii="宋体" w:hAnsi="宋体" w:eastAsia="宋体" w:cs="宋体"/>
          <w:color w:val="auto"/>
          <w:sz w:val="24"/>
          <w:szCs w:val="24"/>
          <w:highlight w:val="none"/>
        </w:rPr>
      </w:pPr>
    </w:p>
    <w:p w14:paraId="4646FB55">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合同订立时间：</w:t>
      </w:r>
      <w:r>
        <w:rPr>
          <w:rFonts w:hint="eastAsia" w:ascii="宋体" w:hAnsi="宋体" w:eastAsia="宋体" w:cs="宋体"/>
          <w:color w:val="auto"/>
          <w:sz w:val="24"/>
          <w:szCs w:val="24"/>
          <w:highlight w:val="none"/>
          <w:u w:val="single"/>
        </w:rPr>
        <w:t xml:space="preserve">      年  月  日</w:t>
      </w:r>
    </w:p>
    <w:p w14:paraId="0B9AF604">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合同订立地点：</w:t>
      </w:r>
      <w:r>
        <w:rPr>
          <w:rFonts w:hint="eastAsia" w:ascii="宋体" w:hAnsi="宋体" w:eastAsia="宋体" w:cs="宋体"/>
          <w:color w:val="auto"/>
          <w:sz w:val="24"/>
          <w:szCs w:val="24"/>
          <w:highlight w:val="none"/>
          <w:u w:val="single"/>
        </w:rPr>
        <w:t xml:space="preserve">                           </w:t>
      </w:r>
    </w:p>
    <w:p w14:paraId="42F3CEB3">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附件：具体标的明细、分包合同等。</w:t>
      </w:r>
    </w:p>
    <w:p w14:paraId="3A16D2C8">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68D07AA3">
      <w:pPr>
        <w:widowControl w:val="0"/>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      方：（公章）                     乙      方：（公章）</w:t>
      </w:r>
    </w:p>
    <w:p w14:paraId="53E89F82">
      <w:pPr>
        <w:widowControl w:val="0"/>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法定代表人：</w:t>
      </w:r>
      <w:r>
        <w:rPr>
          <w:rFonts w:hint="eastAsia" w:ascii="宋体" w:hAnsi="宋体" w:eastAsia="宋体" w:cs="宋体"/>
          <w:color w:val="auto"/>
          <w:sz w:val="24"/>
          <w:szCs w:val="24"/>
          <w:highlight w:val="none"/>
          <w:u w:val="single"/>
        </w:rPr>
        <w:t xml:space="preserve">                   </w:t>
      </w:r>
    </w:p>
    <w:p w14:paraId="5D65F50A">
      <w:pPr>
        <w:widowControl w:val="0"/>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授权代表人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eastAsia="zh-CN"/>
        </w:rPr>
        <w:t>授权代表人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476C23FF">
      <w:pPr>
        <w:widowControl w:val="0"/>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话：</w:t>
      </w:r>
      <w:r>
        <w:rPr>
          <w:rFonts w:hint="eastAsia" w:ascii="宋体" w:hAnsi="宋体" w:eastAsia="宋体" w:cs="宋体"/>
          <w:color w:val="auto"/>
          <w:sz w:val="24"/>
          <w:szCs w:val="24"/>
          <w:highlight w:val="none"/>
          <w:u w:val="single"/>
        </w:rPr>
        <w:t xml:space="preserve">                   </w:t>
      </w:r>
    </w:p>
    <w:p w14:paraId="6A5AD942">
      <w:pPr>
        <w:widowControl w:val="0"/>
        <w:adjustRightInd w:val="0"/>
        <w:snapToGrid w:val="0"/>
        <w:spacing w:before="156" w:beforeLines="50"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传      真：</w:t>
      </w:r>
      <w:r>
        <w:rPr>
          <w:rFonts w:hint="eastAsia" w:ascii="宋体" w:hAnsi="宋体" w:eastAsia="宋体" w:cs="宋体"/>
          <w:color w:val="auto"/>
          <w:sz w:val="24"/>
          <w:szCs w:val="24"/>
          <w:highlight w:val="none"/>
          <w:u w:val="single"/>
        </w:rPr>
        <w:t xml:space="preserve">                   </w:t>
      </w:r>
    </w:p>
    <w:p w14:paraId="5907DCD0">
      <w:pPr>
        <w:widowControl w:val="0"/>
        <w:adjustRightInd w:val="0"/>
        <w:snapToGrid w:val="0"/>
        <w:spacing w:before="156" w:beforeLines="50"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开 户 银 行：</w:t>
      </w:r>
      <w:r>
        <w:rPr>
          <w:rFonts w:hint="eastAsia" w:ascii="宋体" w:hAnsi="宋体" w:eastAsia="宋体" w:cs="宋体"/>
          <w:color w:val="auto"/>
          <w:sz w:val="24"/>
          <w:szCs w:val="24"/>
          <w:highlight w:val="none"/>
          <w:u w:val="single"/>
        </w:rPr>
        <w:t xml:space="preserve">                   </w:t>
      </w:r>
    </w:p>
    <w:p w14:paraId="5C852660">
      <w:pPr>
        <w:widowControl w:val="0"/>
        <w:adjustRightInd w:val="0"/>
        <w:snapToGrid w:val="0"/>
        <w:spacing w:before="156" w:beforeLines="50"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eastAsia="zh-CN"/>
        </w:rPr>
        <w:t>账</w:t>
      </w:r>
      <w:r>
        <w:rPr>
          <w:rFonts w:hint="eastAsia" w:ascii="宋体" w:hAnsi="宋体" w:eastAsia="宋体" w:cs="宋体"/>
          <w:color w:val="auto"/>
          <w:sz w:val="24"/>
          <w:szCs w:val="24"/>
          <w:highlight w:val="none"/>
        </w:rPr>
        <w:t xml:space="preserve">       号：</w:t>
      </w:r>
      <w:r>
        <w:rPr>
          <w:rFonts w:hint="eastAsia" w:ascii="宋体" w:hAnsi="宋体" w:eastAsia="宋体" w:cs="宋体"/>
          <w:color w:val="auto"/>
          <w:sz w:val="24"/>
          <w:szCs w:val="24"/>
          <w:highlight w:val="none"/>
          <w:u w:val="single"/>
        </w:rPr>
        <w:t xml:space="preserve">                 </w:t>
      </w:r>
    </w:p>
    <w:p w14:paraId="0488147A">
      <w:pPr>
        <w:widowControl w:val="0"/>
        <w:autoSpaceDE w:val="0"/>
        <w:autoSpaceDN w:val="0"/>
        <w:adjustRightInd w:val="0"/>
        <w:snapToGrid w:val="0"/>
        <w:spacing w:before="50" w:line="360" w:lineRule="auto"/>
        <w:ind w:firstLine="480" w:firstLineChars="200"/>
        <w:jc w:val="left"/>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u w:val="single"/>
        </w:rPr>
        <w:br w:type="page"/>
      </w:r>
    </w:p>
    <w:p w14:paraId="4F9065DB">
      <w:pPr>
        <w:keepNext/>
        <w:keepLines/>
        <w:widowControl w:val="0"/>
        <w:adjustRightInd w:val="0"/>
        <w:snapToGrid w:val="0"/>
        <w:spacing w:before="156" w:beforeLines="50" w:line="360" w:lineRule="auto"/>
        <w:jc w:val="center"/>
        <w:outlineLvl w:val="1"/>
        <w:rPr>
          <w:rFonts w:hint="eastAsia" w:ascii="宋体" w:hAnsi="宋体" w:eastAsia="宋体" w:cs="宋体"/>
          <w:b/>
          <w:bCs/>
          <w:color w:val="auto"/>
          <w:kern w:val="2"/>
          <w:sz w:val="24"/>
          <w:szCs w:val="24"/>
          <w:highlight w:val="none"/>
          <w:lang w:val="en-US" w:eastAsia="zh-CN" w:bidi="ar-SA"/>
        </w:rPr>
      </w:pPr>
      <w:bookmarkStart w:id="106" w:name="_Toc29332"/>
      <w:bookmarkStart w:id="107" w:name="_Toc18102"/>
      <w:r>
        <w:rPr>
          <w:rFonts w:hint="eastAsia" w:ascii="宋体" w:hAnsi="宋体" w:eastAsia="宋体" w:cs="宋体"/>
          <w:b/>
          <w:bCs/>
          <w:color w:val="auto"/>
          <w:kern w:val="2"/>
          <w:sz w:val="24"/>
          <w:szCs w:val="24"/>
          <w:highlight w:val="none"/>
          <w:lang w:val="en-US" w:eastAsia="zh-CN" w:bidi="ar-SA"/>
        </w:rPr>
        <w:t>第二节 政府采购合同通用条款</w:t>
      </w:r>
      <w:bookmarkEnd w:id="106"/>
      <w:bookmarkEnd w:id="107"/>
    </w:p>
    <w:p w14:paraId="26DC3E2A">
      <w:pPr>
        <w:widowControl w:val="0"/>
        <w:tabs>
          <w:tab w:val="left" w:pos="8820"/>
          <w:tab w:val="left" w:pos="9345"/>
          <w:tab w:val="left" w:pos="9765"/>
        </w:tabs>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bCs/>
          <w:color w:val="auto"/>
          <w:sz w:val="24"/>
          <w:szCs w:val="24"/>
          <w:highlight w:val="none"/>
        </w:rPr>
        <w:t>定义</w:t>
      </w:r>
    </w:p>
    <w:p w14:paraId="07A5F98B">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1.1合同当事人</w:t>
      </w:r>
    </w:p>
    <w:p w14:paraId="649A6B51">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（1）采购人（以下称甲方）是指使用财政性资金，通过政府采购程序向供应商购买货物、服务的国家机关、事业单位、团体组织。本次采购的甲方名称、地址见</w:t>
      </w:r>
      <w:r>
        <w:rPr>
          <w:rFonts w:hint="eastAsia" w:ascii="宋体" w:hAnsi="宋体" w:eastAsia="宋体" w:cs="宋体"/>
          <w:b/>
          <w:color w:val="auto"/>
          <w:sz w:val="24"/>
          <w:szCs w:val="24"/>
          <w:highlight w:val="none"/>
        </w:rPr>
        <w:t>【政府采购合同专用条款】。</w:t>
      </w:r>
    </w:p>
    <w:p w14:paraId="332BD034">
      <w:pPr>
        <w:widowControl w:val="0"/>
        <w:autoSpaceDE w:val="0"/>
        <w:autoSpaceDN w:val="0"/>
        <w:adjustRightInd w:val="0"/>
        <w:snapToGrid w:val="0"/>
        <w:spacing w:before="50" w:line="360" w:lineRule="auto"/>
        <w:ind w:firstLine="480" w:firstLineChars="200"/>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（2）供应商（以下称乙方）是指参加政府采购活动而取得中标结果，并向采购人提供货物、服务的法人、其他组织或者自然人。</w:t>
      </w:r>
    </w:p>
    <w:p w14:paraId="2404BEC3">
      <w:pPr>
        <w:widowControl w:val="0"/>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1.2本合同下列术语应解释为：</w:t>
      </w:r>
    </w:p>
    <w:p w14:paraId="5B68375F">
      <w:pPr>
        <w:widowControl w:val="0"/>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（1）“合同”系指甲乙双方签署的、政府采购合同协议书中载明的甲乙双方所达成的协议，包括所有的附件、附录和上述文件所提到的构成合同的所有文件。</w:t>
      </w:r>
    </w:p>
    <w:p w14:paraId="01425766">
      <w:pPr>
        <w:widowControl w:val="0"/>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（2）“合同价”系指根据本合同规定乙方在正确地完全履行合同义务后甲方应支付给乙方的价款。</w:t>
      </w:r>
    </w:p>
    <w:p w14:paraId="22945D87">
      <w:pPr>
        <w:widowControl w:val="0"/>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（3）“货物”系指乙方根据本合同规定须向甲方提供的各种形态和种类的物品，包括原材料、设备、产品（包括软件）及相关的其备品备件、工具、手册及其它技术资料和材料。</w:t>
      </w:r>
    </w:p>
    <w:p w14:paraId="7B46CCF9">
      <w:pPr>
        <w:widowControl w:val="0"/>
        <w:tabs>
          <w:tab w:val="left" w:pos="570"/>
          <w:tab w:val="left" w:pos="888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服务”系指根据合同规定，乙方应提供的技术、管理和其它服务，包括但不限于：管理和质量保证、运输、保险、检验、现场准备、安装、集成、调试、培训、维修、技术支持等以及合同中规定乙方应承担的其它义务。</w:t>
      </w:r>
    </w:p>
    <w:p w14:paraId="1F6FBE62">
      <w:pPr>
        <w:widowControl w:val="0"/>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（5）“合同条款”系指本合同条款。</w:t>
      </w:r>
    </w:p>
    <w:p w14:paraId="1A72D5BB">
      <w:pPr>
        <w:widowControl w:val="0"/>
        <w:tabs>
          <w:tab w:val="left" w:pos="570"/>
          <w:tab w:val="left" w:pos="9240"/>
          <w:tab w:val="left" w:pos="9555"/>
        </w:tabs>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（6）“项目现场”系指本合同项下货物安装、运行的现场，其名称见</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w:t>
      </w:r>
    </w:p>
    <w:p w14:paraId="22971869">
      <w:pPr>
        <w:widowControl w:val="0"/>
        <w:autoSpaceDE w:val="0"/>
        <w:autoSpaceDN w:val="0"/>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2.合同的适用范围</w:t>
      </w:r>
    </w:p>
    <w:p w14:paraId="2D64CF20">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 本合同条款适用于没有被本合同其他部分的条款所取代的范围。</w:t>
      </w:r>
    </w:p>
    <w:p w14:paraId="260338AD">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 合同内容根据</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而确定。</w:t>
      </w:r>
    </w:p>
    <w:p w14:paraId="66379E1A">
      <w:pPr>
        <w:widowControl w:val="0"/>
        <w:autoSpaceDE w:val="0"/>
        <w:autoSpaceDN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color w:val="auto"/>
          <w:sz w:val="24"/>
          <w:szCs w:val="24"/>
          <w:highlight w:val="none"/>
        </w:rPr>
        <w:t>合同标的及金额</w:t>
      </w:r>
    </w:p>
    <w:p w14:paraId="08F193DF">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 合同标的及金额应与中标结果一致。</w:t>
      </w:r>
    </w:p>
    <w:p w14:paraId="2118514A">
      <w:pPr>
        <w:widowControl w:val="0"/>
        <w:autoSpaceDE w:val="0"/>
        <w:autoSpaceDN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w:t>
      </w:r>
      <w:r>
        <w:rPr>
          <w:rFonts w:hint="eastAsia" w:ascii="宋体" w:hAnsi="宋体" w:eastAsia="宋体" w:cs="宋体"/>
          <w:b/>
          <w:color w:val="auto"/>
          <w:sz w:val="24"/>
          <w:szCs w:val="24"/>
          <w:highlight w:val="none"/>
        </w:rPr>
        <w:t>合同价款</w:t>
      </w:r>
    </w:p>
    <w:p w14:paraId="5BDF0AA6">
      <w:pPr>
        <w:widowControl w:val="0"/>
        <w:adjustRightInd w:val="0"/>
        <w:snapToGrid w:val="0"/>
        <w:spacing w:before="50" w:line="360" w:lineRule="auto"/>
        <w:ind w:firstLine="480" w:firstLineChars="200"/>
        <w:jc w:val="left"/>
        <w:rPr>
          <w:rFonts w:hint="eastAsia" w:ascii="宋体" w:hAnsi="宋体" w:eastAsia="宋体" w:cs="宋体"/>
          <w:b/>
          <w:bCs/>
          <w:i/>
          <w:iCs/>
          <w:color w:val="auto"/>
          <w:sz w:val="24"/>
          <w:szCs w:val="24"/>
          <w:highlight w:val="none"/>
        </w:rPr>
      </w:pPr>
      <w:r>
        <w:rPr>
          <w:rFonts w:hint="eastAsia" w:ascii="宋体" w:hAnsi="宋体" w:eastAsia="宋体" w:cs="宋体"/>
          <w:color w:val="auto"/>
          <w:sz w:val="24"/>
          <w:szCs w:val="24"/>
          <w:highlight w:val="none"/>
        </w:rPr>
        <w:t>4.1具体合同价款见本合同第3.1条。乙方为履行本合同而发生的所有费用均应包含在合同价款中，甲方不再另行支付其它任何费用。</w:t>
      </w:r>
    </w:p>
    <w:p w14:paraId="26AA025F">
      <w:pPr>
        <w:widowControl w:val="0"/>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5.履行合同的时间、地点和方式</w:t>
      </w:r>
    </w:p>
    <w:p w14:paraId="1F430258">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 乙方应当在甲方确定的时间、指定的地点履行合同，具体的服务时间、地点和方式见</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w:t>
      </w:r>
    </w:p>
    <w:p w14:paraId="4611856C">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 乙方提供服务的应当在甲方指定的地点完成服务项目。</w:t>
      </w:r>
    </w:p>
    <w:p w14:paraId="3EDFF644">
      <w:pPr>
        <w:widowControl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6.服务</w:t>
      </w:r>
      <w:r>
        <w:rPr>
          <w:rFonts w:hint="eastAsia" w:ascii="宋体" w:hAnsi="宋体" w:eastAsia="宋体" w:cs="宋体"/>
          <w:b/>
          <w:color w:val="auto"/>
          <w:sz w:val="24"/>
          <w:szCs w:val="24"/>
          <w:highlight w:val="none"/>
        </w:rPr>
        <w:t>的验收</w:t>
      </w:r>
    </w:p>
    <w:p w14:paraId="3EBF0750">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6.1乙方提供的服务由甲方或者甲方的最终用户负责验收。</w:t>
      </w:r>
    </w:p>
    <w:p w14:paraId="11EA2298">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6.2甲方或者甲方的最终用户应当按照采购合同规定的技术、服务等要求组织对乙方履约的验收，并出具验收书。验收书应当包括每一项技术、服务等要求的履约情况。</w:t>
      </w:r>
    </w:p>
    <w:p w14:paraId="430DD8D5">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 在验收过程中发现数量不足或有质量、安全、技术等问题，乙方应负责按照甲方的要求采取补足、更换等处理措施，并承担由此发生的一切费用和损失。</w:t>
      </w:r>
    </w:p>
    <w:p w14:paraId="53E25035">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6.4 甲方在乙方按合同规定提交服务或安装、调试后，无正当理由而拖延接收、验收或拒绝接收、验收的，应承担因此给乙方造成的直接损失。</w:t>
      </w:r>
    </w:p>
    <w:p w14:paraId="10E180D3">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6.5大型或者复杂的项目，应当邀请国家认可的质量检测机构参加验收，并由其出具验收报告单。</w:t>
      </w:r>
    </w:p>
    <w:p w14:paraId="3E64AD6B">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6.6政府向社会公众提供的公共服务项目，验收时应当邀请服务对象参与并出具意见，验收结果应当向社会公告。</w:t>
      </w:r>
    </w:p>
    <w:p w14:paraId="72CA27CA">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6.7 乙方提供的进口产品，乙方应出示中华人民共和国进出口商品检验部门出具的检验证书（</w:t>
      </w:r>
      <w:r>
        <w:rPr>
          <w:rFonts w:hint="eastAsia" w:ascii="宋体" w:hAnsi="宋体" w:eastAsia="宋体" w:cs="宋体"/>
          <w:color w:val="auto"/>
          <w:sz w:val="24"/>
          <w:szCs w:val="24"/>
          <w:highlight w:val="none"/>
          <w:lang w:eastAsia="zh-CN"/>
        </w:rPr>
        <w:t>磋商文件第三章采购需求</w:t>
      </w:r>
      <w:r>
        <w:rPr>
          <w:rFonts w:hint="eastAsia" w:ascii="宋体" w:hAnsi="宋体" w:eastAsia="宋体" w:cs="宋体"/>
          <w:color w:val="auto"/>
          <w:sz w:val="24"/>
          <w:szCs w:val="24"/>
          <w:highlight w:val="none"/>
        </w:rPr>
        <w:t>另有约定的除外）。</w:t>
      </w:r>
    </w:p>
    <w:p w14:paraId="2AF62CC2">
      <w:pPr>
        <w:widowControl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7.货物包装要求</w:t>
      </w:r>
    </w:p>
    <w:p w14:paraId="75DCE8AF">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59AD3708">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 每一个包装箱内应附一份详细装箱单、质量证书和保修保养证书。</w:t>
      </w:r>
    </w:p>
    <w:p w14:paraId="798FD3A0">
      <w:pPr>
        <w:widowControl w:val="0"/>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8.运输和保险</w:t>
      </w:r>
    </w:p>
    <w:p w14:paraId="76FD9DD3">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8.1乙方负责办理将货物运抵本合同第5.1条规定的交货地点的一切运输事项，相关费用应包括在合同总价中。</w:t>
      </w:r>
    </w:p>
    <w:p w14:paraId="6253A95B">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8.2乙方应向保险公司投保以甲方为受益人的发运合同货物发票金额的110％运输一切险。</w:t>
      </w:r>
    </w:p>
    <w:p w14:paraId="398DAEE7">
      <w:pPr>
        <w:widowControl w:val="0"/>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9.质量标准和保证</w:t>
      </w:r>
    </w:p>
    <w:p w14:paraId="1D21AD64">
      <w:pPr>
        <w:widowControl w:val="0"/>
        <w:adjustRightInd w:val="0"/>
        <w:snapToGrid w:val="0"/>
        <w:spacing w:before="50" w:line="360" w:lineRule="auto"/>
        <w:ind w:firstLine="480" w:firstLineChars="200"/>
        <w:jc w:val="left"/>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9.1 质量标准</w:t>
      </w:r>
    </w:p>
    <w:p w14:paraId="600B0AAA">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（1）本合同下交付的服务应符合</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第四章“技术规格、参数与要求”所述的标准。如果没有提及适用标准，则应符合中华人民共和国有关机构发布的最新版本的标准。</w:t>
      </w:r>
    </w:p>
    <w:p w14:paraId="37E9EF6A">
      <w:pPr>
        <w:widowControl w:val="0"/>
        <w:adjustRightInd w:val="0"/>
        <w:snapToGrid w:val="0"/>
        <w:spacing w:before="50" w:line="360" w:lineRule="auto"/>
        <w:ind w:firstLine="480" w:firstLineChars="20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（2）采用中华人民共和国法定计量单位。</w:t>
      </w:r>
    </w:p>
    <w:p w14:paraId="111A541F">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（3）乙方所提供的服务还应符合国家有关安全、环保、卫生等规定。</w:t>
      </w:r>
    </w:p>
    <w:p w14:paraId="317C90AF">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 保证</w:t>
      </w:r>
    </w:p>
    <w:p w14:paraId="66C00EAF">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规定或乙方承诺（两者以较长的为准）的质量保证期内，本保证保持有效。</w:t>
      </w:r>
    </w:p>
    <w:p w14:paraId="40EEEB8C">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（2）在质量保证期内所发现的缺陷，甲方应尽快以书面形式通知乙方。</w:t>
      </w:r>
    </w:p>
    <w:p w14:paraId="0A190BD0">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（3）乙方收到通知后应在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规定的响应时间内以合理的速度免费维修或更换有缺陷的货物或部件。</w:t>
      </w:r>
    </w:p>
    <w:p w14:paraId="45D5194D">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（4）在质量保证期内，如果货物的质量或规格与合同不符，或证实货物是有缺陷的，包括潜在的缺陷或使用不符合要求的材料等，甲方可以根据本合同第15.1条规定以书面形式向乙方提出补救措施或索赔。</w:t>
      </w:r>
    </w:p>
    <w:p w14:paraId="1B4721F5">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（5）乙方在约定的时间内未能弥补缺陷，甲方可采取必要的补救措施，但其风险和费用将由乙方承担，甲方根据合同规定对乙方行使的其他权利不受影响。</w:t>
      </w:r>
    </w:p>
    <w:p w14:paraId="1474BBC3">
      <w:pPr>
        <w:widowControl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10.权利瑕疵担保</w:t>
      </w:r>
    </w:p>
    <w:p w14:paraId="14324859">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 乙方保证对其出售的服务享有合法的权利。</w:t>
      </w:r>
    </w:p>
    <w:p w14:paraId="52730CD5">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 乙方保证在其出售的服务上不存在任何未曾向甲方透露的担保物权，如抵押权、质押权、留置权等。</w:t>
      </w:r>
    </w:p>
    <w:p w14:paraId="6BB6CAB1">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 如甲方使用该服务构成上述侵权的，则由乙方承担全部责任。</w:t>
      </w:r>
    </w:p>
    <w:p w14:paraId="44996EF5">
      <w:pPr>
        <w:widowControl w:val="0"/>
        <w:autoSpaceDE w:val="0"/>
        <w:autoSpaceDN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11.知识产权保护</w:t>
      </w:r>
    </w:p>
    <w:p w14:paraId="0C733959">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乙方对其所提供的服务应当享有知识产权或经权利人合法授权，保证没有侵犯任何第三人的知识产权和商业秘密等权利。</w:t>
      </w:r>
    </w:p>
    <w:p w14:paraId="7D8FEAAB">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 甲方使用乙方提供的服务对第三人构成侵权的，应当由乙方承担全部法律责任，给甲方造成损害的，乙方应当承担赔偿责任。</w:t>
      </w:r>
    </w:p>
    <w:p w14:paraId="737980BE">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 甲方委托乙方开发的产品，甲方享有知识产权，未经甲方许可不得转让任何第三人。</w:t>
      </w:r>
    </w:p>
    <w:p w14:paraId="314AA3C5">
      <w:pPr>
        <w:widowControl w:val="0"/>
        <w:autoSpaceDE w:val="0"/>
        <w:autoSpaceDN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12.保密义务</w:t>
      </w:r>
    </w:p>
    <w:p w14:paraId="0FF45449">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甲、乙双方在采购和履行合同过程中所获悉的对方属于保密的内容，双方均有保密义务。</w:t>
      </w:r>
    </w:p>
    <w:p w14:paraId="1D385062">
      <w:pPr>
        <w:widowControl w:val="0"/>
        <w:autoSpaceDE w:val="0"/>
        <w:autoSpaceDN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13.合同价款支付</w:t>
      </w:r>
    </w:p>
    <w:p w14:paraId="69D53914">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13.1验收合格后，乙方出具正规发票给甲方，凭甲方开具的《政府采购合同验收报告单》办理合同价</w:t>
      </w:r>
      <w:r>
        <w:rPr>
          <w:rFonts w:hint="eastAsia" w:ascii="宋体" w:hAnsi="宋体" w:eastAsia="宋体" w:cs="宋体"/>
          <w:bCs/>
          <w:color w:val="auto"/>
          <w:sz w:val="24"/>
          <w:szCs w:val="24"/>
          <w:highlight w:val="none"/>
        </w:rPr>
        <w:t>款</w:t>
      </w:r>
      <w:r>
        <w:rPr>
          <w:rFonts w:hint="eastAsia" w:ascii="宋体" w:hAnsi="宋体" w:eastAsia="宋体" w:cs="宋体"/>
          <w:color w:val="auto"/>
          <w:sz w:val="24"/>
          <w:szCs w:val="24"/>
          <w:highlight w:val="none"/>
        </w:rPr>
        <w:t>结算手续。</w:t>
      </w:r>
    </w:p>
    <w:p w14:paraId="651DF443">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 合同价款构成中应当由财政支付的部分，甲方应当在货物验收合格后的十五个工作日内向国库管理部门申请支付，经国库管理部门审核后直接支付给乙方。</w:t>
      </w:r>
    </w:p>
    <w:p w14:paraId="674132E3">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 合同价款构成中应当由甲方自行支付的部分，甲方应当在货物验收合格后十五个工作</w:t>
      </w:r>
      <w:r>
        <w:rPr>
          <w:rFonts w:hint="eastAsia" w:ascii="宋体" w:hAnsi="宋体" w:eastAsia="宋体" w:cs="宋体"/>
          <w:color w:val="auto"/>
          <w:sz w:val="24"/>
          <w:szCs w:val="24"/>
          <w:highlight w:val="none"/>
          <w:lang w:val="en-US" w:eastAsia="zh-CN"/>
        </w:rPr>
        <w:t>日</w:t>
      </w:r>
      <w:r>
        <w:rPr>
          <w:rFonts w:hint="eastAsia" w:ascii="宋体" w:hAnsi="宋体" w:eastAsia="宋体" w:cs="宋体"/>
          <w:color w:val="auto"/>
          <w:sz w:val="24"/>
          <w:szCs w:val="24"/>
          <w:highlight w:val="none"/>
        </w:rPr>
        <w:t>内支付。</w:t>
      </w:r>
    </w:p>
    <w:p w14:paraId="12B22B44">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13.4支付合同价</w:t>
      </w:r>
      <w:r>
        <w:rPr>
          <w:rFonts w:hint="eastAsia" w:ascii="宋体" w:hAnsi="宋体" w:eastAsia="宋体" w:cs="宋体"/>
          <w:bCs/>
          <w:color w:val="auto"/>
          <w:sz w:val="24"/>
          <w:szCs w:val="24"/>
          <w:highlight w:val="none"/>
        </w:rPr>
        <w:t>款</w:t>
      </w:r>
      <w:r>
        <w:rPr>
          <w:rFonts w:hint="eastAsia" w:ascii="宋体" w:hAnsi="宋体" w:eastAsia="宋体" w:cs="宋体"/>
          <w:color w:val="auto"/>
          <w:sz w:val="24"/>
          <w:szCs w:val="24"/>
          <w:highlight w:val="none"/>
        </w:rPr>
        <w:t>时，一律不向乙方以外的任何第三方办理付款手续。开户行和账号以签订的政府采购合同为准，如果乙方要求变更，则乙方必须提供加盖了财务专用章、法定代表人签字的证明文件，报经甲方审查同意。</w:t>
      </w:r>
    </w:p>
    <w:p w14:paraId="3B74C7C2">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13.5 合同价款支付方式</w:t>
      </w:r>
      <w:r>
        <w:rPr>
          <w:rFonts w:hint="eastAsia" w:ascii="宋体" w:hAnsi="宋体" w:eastAsia="宋体" w:cs="宋体"/>
          <w:bCs/>
          <w:color w:val="auto"/>
          <w:sz w:val="24"/>
          <w:szCs w:val="24"/>
          <w:highlight w:val="none"/>
        </w:rPr>
        <w:t>和条件在</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中另有规定。</w:t>
      </w:r>
    </w:p>
    <w:p w14:paraId="3EA50F34">
      <w:pPr>
        <w:widowControl w:val="0"/>
        <w:autoSpaceDE w:val="0"/>
        <w:autoSpaceDN w:val="0"/>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14.</w:t>
      </w:r>
      <w:r>
        <w:rPr>
          <w:rFonts w:hint="eastAsia" w:ascii="宋体" w:hAnsi="宋体" w:eastAsia="宋体" w:cs="宋体"/>
          <w:b/>
          <w:color w:val="auto"/>
          <w:sz w:val="24"/>
          <w:szCs w:val="24"/>
          <w:highlight w:val="none"/>
        </w:rPr>
        <w:t>乙方应提供的服务</w:t>
      </w:r>
    </w:p>
    <w:p w14:paraId="2455590B">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乙方应向甲方提交所提供货物的技术文件，包括相应的中文技术文件，如：产品目录、图纸、操作手册、使用说明、维护手册或服务指南。这些文件应包装好随同货物一起发运。</w:t>
      </w:r>
    </w:p>
    <w:p w14:paraId="62E6FAF3">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乙方还应提供下列服务：</w:t>
      </w:r>
    </w:p>
    <w:p w14:paraId="3881A0EC">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（1）货物的现场移动、安装、调试、启动监督及技术支持；</w:t>
      </w:r>
    </w:p>
    <w:p w14:paraId="4CF759A6">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（2）提供货物组装和维修所需的专用工具和辅助材料；</w:t>
      </w:r>
    </w:p>
    <w:p w14:paraId="3C78EBCA">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（3）在合同各方商定的一定期限内对所有的货物实施运行监督、维修，但前提条件是该服务并不能免除乙方在质量保证期内所承担的义务；</w:t>
      </w:r>
    </w:p>
    <w:p w14:paraId="24ACB271">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（4）在制造商或项目现场就货物的安装、启动、运营、维护对甲方操作人员进行培训；</w:t>
      </w:r>
    </w:p>
    <w:p w14:paraId="53A71F17">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规定由乙方提供的其他服务。</w:t>
      </w:r>
    </w:p>
    <w:p w14:paraId="518E3D02">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乙方提供的服务的费用应包含在合同价款中，甲方不再另行支付。</w:t>
      </w:r>
    </w:p>
    <w:p w14:paraId="65369DAA">
      <w:pPr>
        <w:widowControl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15.违约责任</w:t>
      </w:r>
    </w:p>
    <w:p w14:paraId="60B3EC0D">
      <w:pPr>
        <w:widowControl w:val="0"/>
        <w:adjustRightInd w:val="0"/>
        <w:snapToGrid w:val="0"/>
        <w:spacing w:before="5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15.1质量瑕疵的补救措施和索赔</w:t>
      </w:r>
    </w:p>
    <w:p w14:paraId="1B58B4CE">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果乙方提供的服务或产品不符合质量标准或存在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13E149D0">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①乙方同意退货并将货款退还给甲方，由此发生的一切费用和损失由乙方承担。</w:t>
      </w:r>
    </w:p>
    <w:p w14:paraId="0199BACA">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②根据货物的质量状况以及甲方所遭受的损失，经过甲乙双方商定降低货物的价格。</w:t>
      </w:r>
    </w:p>
    <w:p w14:paraId="3AD1DE22">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4CA1422E">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如不足以弥补甲方损失的，甲方有权进一步要求乙方赔偿。</w:t>
      </w:r>
    </w:p>
    <w:p w14:paraId="37496A40">
      <w:pPr>
        <w:widowControl w:val="0"/>
        <w:autoSpaceDE w:val="0"/>
        <w:autoSpaceDN w:val="0"/>
        <w:adjustRightInd w:val="0"/>
        <w:snapToGrid w:val="0"/>
        <w:spacing w:before="5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15.2 迟延交付服务的违约责任</w:t>
      </w:r>
    </w:p>
    <w:p w14:paraId="4E7B0E93">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565401F0">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（2）除本合同</w:t>
      </w:r>
      <w:r>
        <w:rPr>
          <w:rFonts w:hint="eastAsia" w:ascii="宋体" w:hAnsi="宋体" w:eastAsia="宋体" w:cs="宋体"/>
          <w:bCs/>
          <w:color w:val="auto"/>
          <w:sz w:val="24"/>
          <w:szCs w:val="24"/>
          <w:highlight w:val="none"/>
        </w:rPr>
        <w:t>第20条</w:t>
      </w:r>
      <w:r>
        <w:rPr>
          <w:rFonts w:hint="eastAsia" w:ascii="宋体" w:hAnsi="宋体" w:eastAsia="宋体" w:cs="宋体"/>
          <w:color w:val="auto"/>
          <w:sz w:val="24"/>
          <w:szCs w:val="24"/>
          <w:highlight w:val="none"/>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08B14EE1">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6EB4B8DE">
      <w:pPr>
        <w:widowControl w:val="0"/>
        <w:autoSpaceDE w:val="0"/>
        <w:autoSpaceDN w:val="0"/>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16.合同的变更</w:t>
      </w:r>
    </w:p>
    <w:p w14:paraId="730C306A">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 在合同履行过程中，甲、乙双方可就合同履行的时间、地点和方式等协商进行变更。协商一致后，双方应签订书面的补充协议。</w:t>
      </w:r>
    </w:p>
    <w:p w14:paraId="40078633">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 在不改变合同其他条款的前提下，甲方有权在合同价款百分之十的范围内追加与合同标的相同的货物或服务，并就此与乙方签订补充合同，乙方不得拒绝。</w:t>
      </w:r>
    </w:p>
    <w:p w14:paraId="2D5A395A">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16.3 除双方签署书面协议，并成为合同不可分割的一部分外，本合同条件不得有任何变更。</w:t>
      </w:r>
    </w:p>
    <w:p w14:paraId="25FBA5D2">
      <w:pPr>
        <w:widowControl w:val="0"/>
        <w:autoSpaceDE w:val="0"/>
        <w:autoSpaceDN w:val="0"/>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17.合同中止与终止</w:t>
      </w:r>
    </w:p>
    <w:p w14:paraId="0B752051">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17.1合同的中止</w:t>
      </w:r>
    </w:p>
    <w:p w14:paraId="339C630D">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（1）合同在履行过程中，因采购计划调整，甲方可以要求中止履行，待计划确定后继续履行；</w:t>
      </w:r>
    </w:p>
    <w:p w14:paraId="56377908">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（2）合同履行过程中因供应商就采购过程或结果提起投诉的，甲方认为有必要或财政部门责令中止的，应当中止合同的履行。</w:t>
      </w:r>
    </w:p>
    <w:p w14:paraId="39105338">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17.2合同的终止</w:t>
      </w:r>
    </w:p>
    <w:p w14:paraId="431FAADE">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（1）合同因有效期限届满而终止；</w:t>
      </w:r>
    </w:p>
    <w:p w14:paraId="3F1538B1">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（2）乙方未能依照本合同约定条件履行合同，已构成根本性违约的，甲方有权终止本合同，并追究乙方的违约责任。</w:t>
      </w:r>
    </w:p>
    <w:p w14:paraId="7D16577C">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（3）如果乙方丧失履约能力或被宣告破产，甲方可在任何时候以书面形式通知乙方终止合同而不给乙方补偿。</w:t>
      </w:r>
    </w:p>
    <w:p w14:paraId="60FCE0ED">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（4）如果乙方在履行合同过程中有不正当竞争行为，甲方有权解除合同，并按《中华人民共和国反不正当竞争法》规定由有关部门追究其法律责任。</w:t>
      </w:r>
    </w:p>
    <w:p w14:paraId="2FDA947B">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（5）如果合同的履行将损害国家利益或社会公共利益，甲方有权终止合同的履行，给乙方造成损失的予以相应补偿。</w:t>
      </w:r>
    </w:p>
    <w:p w14:paraId="001D1992">
      <w:pPr>
        <w:widowControl w:val="0"/>
        <w:autoSpaceDE w:val="0"/>
        <w:autoSpaceDN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18.合同转让和分包</w:t>
      </w:r>
    </w:p>
    <w:p w14:paraId="75A26866">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18.1 乙方不得以任何形式将合同转包。</w:t>
      </w:r>
    </w:p>
    <w:p w14:paraId="70B4BCBD">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18.2 乙方未在</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中说明，不得将</w:t>
      </w:r>
      <w:r>
        <w:rPr>
          <w:rFonts w:hint="eastAsia" w:ascii="宋体" w:hAnsi="宋体" w:eastAsia="宋体" w:cs="宋体"/>
          <w:bCs/>
          <w:color w:val="auto"/>
          <w:sz w:val="24"/>
          <w:szCs w:val="24"/>
          <w:highlight w:val="none"/>
        </w:rPr>
        <w:t>合同</w:t>
      </w:r>
      <w:r>
        <w:rPr>
          <w:rFonts w:hint="eastAsia" w:ascii="宋体" w:hAnsi="宋体" w:eastAsia="宋体" w:cs="宋体"/>
          <w:color w:val="auto"/>
          <w:sz w:val="24"/>
          <w:szCs w:val="24"/>
          <w:highlight w:val="none"/>
        </w:rPr>
        <w:t>的非主体、非关键性工作分包给他人。</w:t>
      </w:r>
    </w:p>
    <w:p w14:paraId="1B9A2296">
      <w:pPr>
        <w:widowControl w:val="0"/>
        <w:autoSpaceDE w:val="0"/>
        <w:autoSpaceDN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19.不可抗力</w:t>
      </w:r>
    </w:p>
    <w:p w14:paraId="447046AA">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19.1 不可抗力是指合同双方不可预见、不可避免、不可克服的自然灾害和社会事件。</w:t>
      </w:r>
    </w:p>
    <w:p w14:paraId="7D4FB6A1">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19.2 任何一方对由于不可抗力造成的部分或全部不能履行合同不承担违约责任。但迟延履行后发生不可抗力的，不能免除责任。</w:t>
      </w:r>
    </w:p>
    <w:p w14:paraId="4D179BD5">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19.3 遇有不可抗力的一方，应在三日内将事件的情况以书面形式通知另一方，并在事件发生后十日内，向另一方提交合同不能履行或部分不能履行或需要延期履行理由的报告。</w:t>
      </w:r>
    </w:p>
    <w:p w14:paraId="27940CA6">
      <w:pPr>
        <w:widowControl w:val="0"/>
        <w:autoSpaceDE w:val="0"/>
        <w:autoSpaceDN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20.解决争议的方法</w:t>
      </w:r>
    </w:p>
    <w:p w14:paraId="46979BAE">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20.1 合同各方应通过友好协商，解决在执行合同过程中所发生的或与合同有关的一切争端。如从协商开始后十日内仍不能解决，可以向财政部门提请调解。</w:t>
      </w:r>
    </w:p>
    <w:p w14:paraId="5952D4E3">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20.2 调解不成可以按</w:t>
      </w:r>
      <w:r>
        <w:rPr>
          <w:rFonts w:hint="eastAsia" w:ascii="宋体" w:hAnsi="宋体" w:eastAsia="宋体" w:cs="宋体"/>
          <w:b/>
          <w:color w:val="auto"/>
          <w:sz w:val="24"/>
          <w:szCs w:val="24"/>
          <w:highlight w:val="none"/>
        </w:rPr>
        <w:t>【政府采购合同专用条款】</w:t>
      </w:r>
      <w:r>
        <w:rPr>
          <w:rFonts w:hint="eastAsia" w:ascii="宋体" w:hAnsi="宋体" w:eastAsia="宋体" w:cs="宋体"/>
          <w:color w:val="auto"/>
          <w:sz w:val="24"/>
          <w:szCs w:val="24"/>
          <w:highlight w:val="none"/>
        </w:rPr>
        <w:t>中约定中规定下列方式之一提起仲裁或诉讼：</w:t>
      </w:r>
    </w:p>
    <w:p w14:paraId="77800FE7">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（1）向甲方所在地仲裁机构提起仲裁；</w:t>
      </w:r>
    </w:p>
    <w:p w14:paraId="38CB9AD1">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（2）向甲方所在地人民法院提起诉讼。</w:t>
      </w:r>
    </w:p>
    <w:p w14:paraId="3E02FE1A">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20.3 如仲裁或诉讼事项不影响合同其它部分的履行，则在仲裁或诉讼期间，除正在进行仲裁或诉讼的部分外，合同的其它部分应继续执行。</w:t>
      </w:r>
    </w:p>
    <w:p w14:paraId="4759CCAE">
      <w:pPr>
        <w:widowControl w:val="0"/>
        <w:autoSpaceDE w:val="0"/>
        <w:autoSpaceDN w:val="0"/>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21.法律适用</w:t>
      </w:r>
    </w:p>
    <w:p w14:paraId="18E9D463">
      <w:pPr>
        <w:widowControl w:val="0"/>
        <w:autoSpaceDE w:val="0"/>
        <w:autoSpaceDN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 本合同适用中华人民共和国现行法律、行政法规和规章，如合同条款与法律、行政法规和规章不一致的，按照法律、行政法规和规章修改本合同。</w:t>
      </w:r>
    </w:p>
    <w:p w14:paraId="72E9A97C">
      <w:pPr>
        <w:widowControl w:val="0"/>
        <w:autoSpaceDE w:val="0"/>
        <w:autoSpaceDN w:val="0"/>
        <w:adjustRightInd w:val="0"/>
        <w:snapToGrid w:val="0"/>
        <w:spacing w:before="50" w:line="360" w:lineRule="auto"/>
        <w:jc w:val="lef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t>22.</w:t>
      </w:r>
      <w:r>
        <w:rPr>
          <w:rFonts w:hint="eastAsia" w:ascii="宋体" w:hAnsi="宋体" w:eastAsia="宋体" w:cs="宋体"/>
          <w:b/>
          <w:color w:val="auto"/>
          <w:sz w:val="24"/>
          <w:szCs w:val="24"/>
          <w:highlight w:val="none"/>
        </w:rPr>
        <w:t>通知</w:t>
      </w:r>
    </w:p>
    <w:p w14:paraId="317D4106">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22.1本合同一方给另一方的通知均应采用书面形式，传真或快递送到本合同中规定的对方的地址和办理签收手续，</w:t>
      </w:r>
    </w:p>
    <w:p w14:paraId="17D9B33F">
      <w:pPr>
        <w:widowControl w:val="0"/>
        <w:adjustRightInd w:val="0"/>
        <w:snapToGrid w:val="0"/>
        <w:spacing w:before="50"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22.2通知以送到之日或通知书中规定的生效之日起生效，两者中以较迟之日为准。</w:t>
      </w:r>
    </w:p>
    <w:p w14:paraId="20070C86">
      <w:pPr>
        <w:widowControl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23. 合同未尽事项</w:t>
      </w:r>
    </w:p>
    <w:p w14:paraId="4863E7F3">
      <w:pPr>
        <w:widowControl w:val="0"/>
        <w:adjustRightInd w:val="0"/>
        <w:snapToGrid w:val="0"/>
        <w:spacing w:before="50"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23.1合同未尽事项见</w:t>
      </w:r>
      <w:r>
        <w:rPr>
          <w:rFonts w:hint="eastAsia" w:ascii="宋体" w:hAnsi="宋体" w:eastAsia="宋体" w:cs="宋体"/>
          <w:b/>
          <w:color w:val="auto"/>
          <w:sz w:val="24"/>
          <w:szCs w:val="24"/>
          <w:highlight w:val="none"/>
        </w:rPr>
        <w:t>【政府采购合同专用条款】。</w:t>
      </w:r>
    </w:p>
    <w:p w14:paraId="36576598">
      <w:pPr>
        <w:widowControl w:val="0"/>
        <w:adjustRightInd w:val="0"/>
        <w:snapToGrid w:val="0"/>
        <w:spacing w:before="50"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24.合同生效</w:t>
      </w:r>
    </w:p>
    <w:p w14:paraId="5F7D8722">
      <w:pPr>
        <w:widowControl w:val="0"/>
        <w:rPr>
          <w:rFonts w:hint="eastAsia" w:ascii="宋体" w:hAnsi="宋体" w:eastAsia="宋体" w:cs="宋体"/>
          <w:color w:val="auto"/>
          <w:sz w:val="24"/>
          <w:szCs w:val="24"/>
          <w:highlight w:val="none"/>
        </w:rPr>
      </w:pPr>
      <w:bookmarkStart w:id="108" w:name="_Toc18579"/>
      <w:r>
        <w:rPr>
          <w:rFonts w:hint="eastAsia" w:ascii="宋体" w:hAnsi="宋体" w:eastAsia="宋体" w:cs="宋体"/>
          <w:color w:val="auto"/>
          <w:sz w:val="24"/>
          <w:szCs w:val="24"/>
          <w:highlight w:val="none"/>
        </w:rPr>
        <w:t>24.1 本合同在合同双方签字盖章后生效。</w:t>
      </w:r>
      <w:bookmarkEnd w:id="108"/>
    </w:p>
    <w:p w14:paraId="21714C22">
      <w:pPr>
        <w:widowContro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0222DF54">
      <w:pPr>
        <w:keepNext/>
        <w:keepLines/>
        <w:widowControl w:val="0"/>
        <w:bidi w:val="0"/>
        <w:spacing w:line="360" w:lineRule="auto"/>
        <w:jc w:val="center"/>
        <w:outlineLvl w:val="1"/>
        <w:rPr>
          <w:rFonts w:hint="eastAsia" w:ascii="宋体" w:hAnsi="宋体" w:eastAsia="宋体" w:cs="宋体"/>
          <w:b/>
          <w:bCs/>
          <w:color w:val="auto"/>
          <w:kern w:val="2"/>
          <w:sz w:val="24"/>
          <w:szCs w:val="24"/>
          <w:highlight w:val="none"/>
          <w:lang w:val="en-US" w:eastAsia="zh-CN" w:bidi="ar-SA"/>
        </w:rPr>
      </w:pPr>
      <w:bookmarkStart w:id="109" w:name="_Toc8629"/>
      <w:r>
        <w:rPr>
          <w:rFonts w:hint="eastAsia" w:ascii="宋体" w:hAnsi="宋体" w:eastAsia="宋体" w:cs="宋体"/>
          <w:b/>
          <w:bCs/>
          <w:color w:val="auto"/>
          <w:kern w:val="2"/>
          <w:sz w:val="24"/>
          <w:szCs w:val="24"/>
          <w:highlight w:val="none"/>
          <w:lang w:val="en-US" w:eastAsia="zh-CN" w:bidi="ar-SA"/>
        </w:rPr>
        <w:t>第三节 政府采购合同专用条款</w:t>
      </w:r>
      <w:bookmarkEnd w:id="109"/>
    </w:p>
    <w:tbl>
      <w:tblPr>
        <w:tblStyle w:val="25"/>
        <w:tblW w:w="9008"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464"/>
      </w:tblGrid>
      <w:tr w14:paraId="1242F2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3E551AE9">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本章第二节</w:t>
            </w:r>
          </w:p>
          <w:p w14:paraId="4608F760">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第1.1款</w:t>
            </w:r>
          </w:p>
        </w:tc>
        <w:tc>
          <w:tcPr>
            <w:tcW w:w="1843" w:type="dxa"/>
            <w:noWrap w:val="0"/>
            <w:vAlign w:val="center"/>
          </w:tcPr>
          <w:p w14:paraId="42D99C82">
            <w:pPr>
              <w:widowControl w:val="0"/>
              <w:adjustRightInd w:val="0"/>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 xml:space="preserve">甲方名称、地址 </w:t>
            </w:r>
          </w:p>
        </w:tc>
        <w:tc>
          <w:tcPr>
            <w:tcW w:w="5464" w:type="dxa"/>
            <w:noWrap w:val="0"/>
            <w:vAlign w:val="center"/>
          </w:tcPr>
          <w:p w14:paraId="6F8B87A0">
            <w:pPr>
              <w:widowControl w:val="0"/>
              <w:adjustRightInd w:val="0"/>
              <w:snapToGrid w:val="0"/>
              <w:spacing w:line="360" w:lineRule="auto"/>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名称：郴州市林业科学研究所</w:t>
            </w:r>
          </w:p>
          <w:p w14:paraId="679A3778">
            <w:pPr>
              <w:widowControl w:val="0"/>
              <w:adjustRightInd w:val="0"/>
              <w:snapToGrid w:val="0"/>
              <w:spacing w:line="360" w:lineRule="auto"/>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地址：采购人指定地点</w:t>
            </w:r>
          </w:p>
        </w:tc>
      </w:tr>
      <w:tr w14:paraId="5A33A1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27F38931">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本章第二节</w:t>
            </w:r>
          </w:p>
          <w:p w14:paraId="7CE4C1CA">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第1.2（6）项</w:t>
            </w:r>
          </w:p>
        </w:tc>
        <w:tc>
          <w:tcPr>
            <w:tcW w:w="1843" w:type="dxa"/>
            <w:noWrap w:val="0"/>
            <w:vAlign w:val="center"/>
          </w:tcPr>
          <w:p w14:paraId="03F2CFBA">
            <w:pPr>
              <w:widowControl w:val="0"/>
              <w:adjustRightInd w:val="0"/>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项目现场</w:t>
            </w:r>
          </w:p>
        </w:tc>
        <w:tc>
          <w:tcPr>
            <w:tcW w:w="5464" w:type="dxa"/>
            <w:noWrap w:val="0"/>
            <w:vAlign w:val="center"/>
          </w:tcPr>
          <w:p w14:paraId="282030DA">
            <w:pPr>
              <w:widowControl w:val="0"/>
              <w:adjustRightInd w:val="0"/>
              <w:snapToGrid w:val="0"/>
              <w:spacing w:line="360" w:lineRule="auto"/>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采购人指定地点</w:t>
            </w:r>
          </w:p>
        </w:tc>
      </w:tr>
      <w:tr w14:paraId="495610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112C19DC">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本章第二节</w:t>
            </w:r>
          </w:p>
          <w:p w14:paraId="01ADE95C">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第5.1款</w:t>
            </w:r>
          </w:p>
        </w:tc>
        <w:tc>
          <w:tcPr>
            <w:tcW w:w="1843" w:type="dxa"/>
            <w:noWrap w:val="0"/>
            <w:vAlign w:val="center"/>
          </w:tcPr>
          <w:p w14:paraId="708AD055">
            <w:pPr>
              <w:widowControl w:val="0"/>
              <w:adjustRightInd w:val="0"/>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履行合同的时间、地点及方式</w:t>
            </w:r>
          </w:p>
        </w:tc>
        <w:tc>
          <w:tcPr>
            <w:tcW w:w="5464" w:type="dxa"/>
            <w:noWrap w:val="0"/>
            <w:vAlign w:val="center"/>
          </w:tcPr>
          <w:p w14:paraId="4E8612F9">
            <w:pPr>
              <w:widowControl w:val="0"/>
              <w:adjustRightInd w:val="0"/>
              <w:snapToGrid w:val="0"/>
              <w:spacing w:line="360" w:lineRule="auto"/>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履行合同的时间：详见第三章采购需求</w:t>
            </w:r>
          </w:p>
          <w:p w14:paraId="0FA4EB57">
            <w:pPr>
              <w:widowControl w:val="0"/>
              <w:adjustRightInd w:val="0"/>
              <w:snapToGrid w:val="0"/>
              <w:spacing w:line="360" w:lineRule="auto"/>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地点及方式：详见第三章采购需求</w:t>
            </w:r>
          </w:p>
        </w:tc>
      </w:tr>
      <w:tr w14:paraId="0D8A01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190A3666">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本章第二节</w:t>
            </w:r>
          </w:p>
          <w:p w14:paraId="76574B3E">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第9.2（1）项</w:t>
            </w:r>
          </w:p>
        </w:tc>
        <w:tc>
          <w:tcPr>
            <w:tcW w:w="1843" w:type="dxa"/>
            <w:noWrap w:val="0"/>
            <w:vAlign w:val="center"/>
          </w:tcPr>
          <w:p w14:paraId="091BCDA5">
            <w:pPr>
              <w:widowControl w:val="0"/>
              <w:adjustRightInd w:val="0"/>
              <w:snapToGrid w:val="0"/>
              <w:spacing w:line="360" w:lineRule="auto"/>
              <w:jc w:val="left"/>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服务期限</w:t>
            </w:r>
          </w:p>
        </w:tc>
        <w:tc>
          <w:tcPr>
            <w:tcW w:w="5464" w:type="dxa"/>
            <w:noWrap w:val="0"/>
            <w:vAlign w:val="center"/>
          </w:tcPr>
          <w:p w14:paraId="5F0C1325">
            <w:pPr>
              <w:widowControl w:val="0"/>
              <w:adjustRightInd w:val="0"/>
              <w:snapToGrid w:val="0"/>
              <w:spacing w:line="360" w:lineRule="auto"/>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详见第三章采购需求</w:t>
            </w:r>
          </w:p>
        </w:tc>
      </w:tr>
      <w:tr w14:paraId="159908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4F3452E0">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本章第二节</w:t>
            </w:r>
          </w:p>
          <w:p w14:paraId="1A3AF402">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第9.2（3）项</w:t>
            </w:r>
          </w:p>
        </w:tc>
        <w:tc>
          <w:tcPr>
            <w:tcW w:w="1843" w:type="dxa"/>
            <w:noWrap w:val="0"/>
            <w:vAlign w:val="center"/>
          </w:tcPr>
          <w:p w14:paraId="07935044">
            <w:pPr>
              <w:widowControl w:val="0"/>
              <w:adjustRightInd w:val="0"/>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响应时间</w:t>
            </w:r>
          </w:p>
        </w:tc>
        <w:tc>
          <w:tcPr>
            <w:tcW w:w="5464" w:type="dxa"/>
            <w:noWrap w:val="0"/>
            <w:vAlign w:val="center"/>
          </w:tcPr>
          <w:p w14:paraId="5F337699">
            <w:pPr>
              <w:widowControl w:val="0"/>
              <w:adjustRightInd w:val="0"/>
              <w:snapToGrid w:val="0"/>
              <w:spacing w:line="360" w:lineRule="auto"/>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详见第三章采购需求</w:t>
            </w:r>
          </w:p>
        </w:tc>
      </w:tr>
      <w:tr w14:paraId="31C7C8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1388F72C">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本章第二节</w:t>
            </w:r>
          </w:p>
          <w:p w14:paraId="3219DA4B">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第13.5款</w:t>
            </w:r>
          </w:p>
        </w:tc>
        <w:tc>
          <w:tcPr>
            <w:tcW w:w="1843" w:type="dxa"/>
            <w:noWrap w:val="0"/>
            <w:vAlign w:val="center"/>
          </w:tcPr>
          <w:p w14:paraId="74650410">
            <w:pPr>
              <w:widowControl w:val="0"/>
              <w:adjustRightInd w:val="0"/>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合同价款支付方式</w:t>
            </w:r>
            <w:r>
              <w:rPr>
                <w:rFonts w:hint="eastAsia" w:ascii="宋体" w:hAnsi="宋体" w:eastAsia="宋体" w:cs="Times New Roman"/>
                <w:bCs/>
                <w:color w:val="auto"/>
                <w:sz w:val="24"/>
                <w:szCs w:val="24"/>
                <w:highlight w:val="none"/>
              </w:rPr>
              <w:t>和条件</w:t>
            </w:r>
          </w:p>
        </w:tc>
        <w:tc>
          <w:tcPr>
            <w:tcW w:w="5464" w:type="dxa"/>
            <w:noWrap w:val="0"/>
            <w:vAlign w:val="center"/>
          </w:tcPr>
          <w:p w14:paraId="2019793D">
            <w:pPr>
              <w:widowControl w:val="0"/>
              <w:adjustRightInd w:val="0"/>
              <w:snapToGrid w:val="0"/>
              <w:spacing w:line="360" w:lineRule="auto"/>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详见第三章采购需求</w:t>
            </w:r>
          </w:p>
        </w:tc>
      </w:tr>
      <w:tr w14:paraId="73E5E7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5577CABF">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本章第二节</w:t>
            </w:r>
          </w:p>
          <w:p w14:paraId="3F6BDB56">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第14.2（6）项</w:t>
            </w:r>
          </w:p>
        </w:tc>
        <w:tc>
          <w:tcPr>
            <w:tcW w:w="1843" w:type="dxa"/>
            <w:noWrap w:val="0"/>
            <w:vAlign w:val="center"/>
          </w:tcPr>
          <w:p w14:paraId="553C1031">
            <w:pPr>
              <w:widowControl w:val="0"/>
              <w:adjustRightInd w:val="0"/>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乙方提供的其他服务</w:t>
            </w:r>
          </w:p>
        </w:tc>
        <w:tc>
          <w:tcPr>
            <w:tcW w:w="5464" w:type="dxa"/>
            <w:noWrap w:val="0"/>
            <w:vAlign w:val="center"/>
          </w:tcPr>
          <w:p w14:paraId="35AA657A">
            <w:pPr>
              <w:widowControl w:val="0"/>
              <w:adjustRightInd w:val="0"/>
              <w:snapToGrid w:val="0"/>
              <w:spacing w:line="360" w:lineRule="auto"/>
              <w:jc w:val="left"/>
              <w:rPr>
                <w:rFonts w:hint="default"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详见第三章采购需求，具体的合同中约定。</w:t>
            </w:r>
          </w:p>
        </w:tc>
      </w:tr>
      <w:tr w14:paraId="480ED1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541605A7">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本章第二节</w:t>
            </w:r>
          </w:p>
          <w:p w14:paraId="3114B1A8">
            <w:pPr>
              <w:widowControl w:val="0"/>
              <w:adjustRightInd w:val="0"/>
              <w:snapToGrid w:val="0"/>
              <w:spacing w:line="360" w:lineRule="auto"/>
              <w:jc w:val="center"/>
              <w:rPr>
                <w:rFonts w:ascii="宋体" w:hAnsi="宋体" w:eastAsia="宋体" w:cs="Times New Roman"/>
                <w:bCs/>
                <w:color w:val="auto"/>
                <w:sz w:val="24"/>
                <w:szCs w:val="24"/>
                <w:highlight w:val="none"/>
              </w:rPr>
            </w:pPr>
            <w:r>
              <w:rPr>
                <w:rFonts w:hint="eastAsia" w:ascii="宋体" w:hAnsi="宋体" w:eastAsia="宋体" w:cs="Times New Roman"/>
                <w:color w:val="auto"/>
                <w:sz w:val="24"/>
                <w:szCs w:val="24"/>
                <w:highlight w:val="none"/>
              </w:rPr>
              <w:t>第20.2款</w:t>
            </w:r>
          </w:p>
        </w:tc>
        <w:tc>
          <w:tcPr>
            <w:tcW w:w="1843" w:type="dxa"/>
            <w:noWrap w:val="0"/>
            <w:vAlign w:val="center"/>
          </w:tcPr>
          <w:p w14:paraId="43A2A8C2">
            <w:pPr>
              <w:widowControl w:val="0"/>
              <w:adjustRightInd w:val="0"/>
              <w:snapToGrid w:val="0"/>
              <w:spacing w:line="360" w:lineRule="auto"/>
              <w:jc w:val="left"/>
              <w:rPr>
                <w:rFonts w:ascii="宋体" w:hAnsi="宋体" w:eastAsia="宋体" w:cs="Times New Roman"/>
                <w:bCs/>
                <w:color w:val="auto"/>
                <w:sz w:val="24"/>
                <w:szCs w:val="24"/>
                <w:highlight w:val="none"/>
              </w:rPr>
            </w:pPr>
            <w:r>
              <w:rPr>
                <w:rFonts w:hint="eastAsia" w:ascii="宋体" w:hAnsi="宋体" w:eastAsia="宋体" w:cs="Times New Roman"/>
                <w:color w:val="auto"/>
                <w:sz w:val="24"/>
                <w:szCs w:val="24"/>
                <w:highlight w:val="none"/>
              </w:rPr>
              <w:t>解决争议的方式</w:t>
            </w:r>
          </w:p>
        </w:tc>
        <w:tc>
          <w:tcPr>
            <w:tcW w:w="5464" w:type="dxa"/>
            <w:noWrap w:val="0"/>
            <w:vAlign w:val="center"/>
          </w:tcPr>
          <w:p w14:paraId="46AE1CBD">
            <w:pPr>
              <w:widowControl w:val="0"/>
              <w:adjustRightInd w:val="0"/>
              <w:snapToGrid w:val="0"/>
              <w:spacing w:line="360" w:lineRule="auto"/>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具体的合同中约定。</w:t>
            </w:r>
          </w:p>
        </w:tc>
      </w:tr>
      <w:tr w14:paraId="7A580A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noWrap w:val="0"/>
            <w:vAlign w:val="center"/>
          </w:tcPr>
          <w:p w14:paraId="151F0835">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本章第二节</w:t>
            </w:r>
          </w:p>
          <w:p w14:paraId="7B1A9869">
            <w:pPr>
              <w:widowControl w:val="0"/>
              <w:adjustRightInd w:val="0"/>
              <w:snapToGrid w:val="0"/>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第23.1款</w:t>
            </w:r>
          </w:p>
        </w:tc>
        <w:tc>
          <w:tcPr>
            <w:tcW w:w="1843" w:type="dxa"/>
            <w:noWrap w:val="0"/>
            <w:vAlign w:val="center"/>
          </w:tcPr>
          <w:p w14:paraId="4C012D3F">
            <w:pPr>
              <w:widowControl w:val="0"/>
              <w:adjustRightInd w:val="0"/>
              <w:snapToGrid w:val="0"/>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bCs/>
                <w:color w:val="auto"/>
                <w:sz w:val="24"/>
                <w:szCs w:val="24"/>
                <w:highlight w:val="none"/>
              </w:rPr>
              <w:t>合同未尽事项</w:t>
            </w:r>
          </w:p>
        </w:tc>
        <w:tc>
          <w:tcPr>
            <w:tcW w:w="5464" w:type="dxa"/>
            <w:noWrap w:val="0"/>
            <w:vAlign w:val="center"/>
          </w:tcPr>
          <w:p w14:paraId="0D419B40">
            <w:pPr>
              <w:widowControl w:val="0"/>
              <w:spacing w:after="120" w:afterLines="0"/>
              <w:ind w:left="0" w:leftChars="0" w:firstLine="0" w:firstLineChars="0"/>
              <w:jc w:val="both"/>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color w:val="auto"/>
                <w:kern w:val="2"/>
                <w:sz w:val="24"/>
                <w:szCs w:val="24"/>
                <w:highlight w:val="none"/>
                <w:lang w:val="en-US" w:eastAsia="zh-CN" w:bidi="ar-SA"/>
              </w:rPr>
              <w:t>合同中约定</w:t>
            </w:r>
          </w:p>
        </w:tc>
      </w:tr>
    </w:tbl>
    <w:p w14:paraId="2B74F37E">
      <w:pPr>
        <w:widowControl w:val="0"/>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rPr>
        <w:t>本节内容详见</w:t>
      </w:r>
      <w:r>
        <w:rPr>
          <w:rFonts w:hint="eastAsia" w:ascii="Times New Roman" w:hAnsi="Times New Roman" w:eastAsia="宋体" w:cs="Times New Roman"/>
          <w:color w:val="auto"/>
          <w:sz w:val="24"/>
          <w:szCs w:val="24"/>
          <w:highlight w:val="none"/>
          <w:lang w:eastAsia="zh-CN"/>
        </w:rPr>
        <w:t>第三章采购需求</w:t>
      </w:r>
    </w:p>
    <w:p w14:paraId="1C8CF142">
      <w:pPr>
        <w:rPr>
          <w:rStyle w:val="29"/>
          <w:rFonts w:ascii="黑体" w:hAnsi="宋体" w:eastAsia="黑体"/>
          <w:color w:val="auto"/>
          <w:sz w:val="32"/>
          <w:szCs w:val="32"/>
          <w:highlight w:val="none"/>
        </w:rPr>
      </w:pPr>
      <w:r>
        <w:rPr>
          <w:rStyle w:val="29"/>
          <w:rFonts w:ascii="黑体" w:hAnsi="宋体" w:eastAsia="黑体"/>
          <w:color w:val="auto"/>
          <w:sz w:val="32"/>
          <w:szCs w:val="32"/>
          <w:highlight w:val="none"/>
        </w:rPr>
        <w:br w:type="page"/>
      </w:r>
    </w:p>
    <w:p w14:paraId="6F986B62">
      <w:pPr>
        <w:pStyle w:val="2"/>
        <w:snapToGrid w:val="0"/>
        <w:spacing w:line="440" w:lineRule="exact"/>
        <w:jc w:val="center"/>
        <w:rPr>
          <w:rStyle w:val="29"/>
          <w:rFonts w:ascii="黑体" w:hAnsi="宋体" w:eastAsia="黑体"/>
          <w:color w:val="auto"/>
          <w:sz w:val="32"/>
          <w:szCs w:val="32"/>
          <w:highlight w:val="none"/>
        </w:rPr>
      </w:pPr>
      <w:r>
        <w:rPr>
          <w:rStyle w:val="29"/>
          <w:rFonts w:ascii="黑体" w:hAnsi="宋体" w:eastAsia="黑体"/>
          <w:color w:val="auto"/>
          <w:sz w:val="32"/>
          <w:szCs w:val="32"/>
          <w:highlight w:val="none"/>
        </w:rPr>
        <w:t>第</w:t>
      </w:r>
      <w:r>
        <w:rPr>
          <w:rStyle w:val="29"/>
          <w:rFonts w:hint="eastAsia" w:ascii="黑体" w:hAnsi="宋体" w:eastAsia="黑体"/>
          <w:color w:val="auto"/>
          <w:sz w:val="32"/>
          <w:szCs w:val="32"/>
          <w:highlight w:val="none"/>
        </w:rPr>
        <w:t>五</w:t>
      </w:r>
      <w:r>
        <w:rPr>
          <w:rStyle w:val="29"/>
          <w:rFonts w:ascii="黑体" w:hAnsi="宋体" w:eastAsia="黑体"/>
          <w:color w:val="auto"/>
          <w:sz w:val="32"/>
          <w:szCs w:val="32"/>
          <w:highlight w:val="none"/>
        </w:rPr>
        <w:t>章 响应文件的组成</w:t>
      </w:r>
    </w:p>
    <w:p w14:paraId="4BEAC505">
      <w:pPr>
        <w:pStyle w:val="12"/>
        <w:adjustRightInd w:val="0"/>
        <w:snapToGrid w:val="0"/>
        <w:spacing w:line="360" w:lineRule="auto"/>
        <w:rPr>
          <w:rFonts w:hAnsi="宋体"/>
          <w:b/>
          <w:color w:val="auto"/>
          <w:highlight w:val="none"/>
        </w:rPr>
      </w:pPr>
    </w:p>
    <w:p w14:paraId="25FFA6B2">
      <w:pPr>
        <w:widowControl/>
        <w:tabs>
          <w:tab w:val="left" w:pos="753"/>
        </w:tabs>
        <w:adjustRightInd w:val="0"/>
        <w:snapToGrid w:val="0"/>
        <w:spacing w:before="156" w:beforeLines="50" w:line="360" w:lineRule="auto"/>
        <w:ind w:firstLine="480" w:firstLineChars="200"/>
        <w:jc w:val="center"/>
        <w:rPr>
          <w:rFonts w:ascii="宋体" w:hAnsi="宋体" w:eastAsia="宋体" w:cs="Times New Roman"/>
          <w:color w:val="auto"/>
          <w:sz w:val="24"/>
          <w:highlight w:val="none"/>
        </w:rPr>
      </w:pPr>
      <w:r>
        <w:rPr>
          <w:rFonts w:hint="eastAsia" w:ascii="宋体" w:hAnsi="宋体" w:eastAsia="宋体" w:cs="Times New Roman"/>
          <w:color w:val="auto"/>
          <w:sz w:val="24"/>
          <w:highlight w:val="none"/>
        </w:rPr>
        <w:t>目录</w:t>
      </w:r>
    </w:p>
    <w:p w14:paraId="3B445416">
      <w:pPr>
        <w:widowControl w:val="0"/>
        <w:adjustRightInd w:val="0"/>
        <w:snapToGrid w:val="0"/>
        <w:spacing w:before="156" w:beforeLines="50" w:line="360" w:lineRule="auto"/>
        <w:rPr>
          <w:rFonts w:ascii="宋体" w:hAnsi="Times New Roman" w:eastAsia="宋体" w:cs="Times New Roman"/>
          <w:color w:val="auto"/>
          <w:highlight w:val="none"/>
        </w:rPr>
      </w:pPr>
      <w:r>
        <w:rPr>
          <w:rFonts w:hint="eastAsia" w:ascii="宋体" w:hAnsi="Times New Roman" w:eastAsia="宋体" w:cs="Times New Roman"/>
          <w:color w:val="auto"/>
          <w:highlight w:val="none"/>
        </w:rPr>
        <w:t>供应商的响应文件应包含以下部分：</w:t>
      </w:r>
    </w:p>
    <w:p w14:paraId="75E2926E">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ascii="宋体" w:hAnsi="宋体" w:eastAsia="宋体" w:cs="Times New Roman"/>
          <w:color w:val="auto"/>
          <w:szCs w:val="21"/>
          <w:highlight w:val="none"/>
        </w:rPr>
        <w:t>一</w:t>
      </w:r>
      <w:r>
        <w:rPr>
          <w:rFonts w:hint="eastAsia" w:ascii="宋体" w:hAnsi="宋体" w:eastAsia="宋体" w:cs="Times New Roman"/>
          <w:color w:val="auto"/>
          <w:szCs w:val="21"/>
          <w:highlight w:val="none"/>
        </w:rPr>
        <w:t>、报价表及报价文件(格式)</w:t>
      </w:r>
    </w:p>
    <w:p w14:paraId="100C6337">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二、</w:t>
      </w:r>
      <w:r>
        <w:rPr>
          <w:rFonts w:hint="eastAsia" w:ascii="宋体" w:hAnsi="宋体" w:cs="Times New Roman"/>
          <w:color w:val="auto"/>
          <w:szCs w:val="21"/>
          <w:highlight w:val="none"/>
          <w:lang w:val="en-US" w:eastAsia="zh-CN"/>
        </w:rPr>
        <w:t>供应商资格声明</w:t>
      </w:r>
      <w:r>
        <w:rPr>
          <w:rFonts w:hint="eastAsia" w:ascii="宋体" w:hAnsi="宋体" w:eastAsia="宋体" w:cs="Times New Roman"/>
          <w:color w:val="auto"/>
          <w:szCs w:val="21"/>
          <w:highlight w:val="none"/>
        </w:rPr>
        <w:t>(格式)</w:t>
      </w:r>
    </w:p>
    <w:p w14:paraId="77CA5936">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三、授权委托书(格式)</w:t>
      </w:r>
    </w:p>
    <w:p w14:paraId="5C02E63F">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四</w:t>
      </w:r>
      <w:r>
        <w:rPr>
          <w:rFonts w:hint="eastAsia" w:ascii="宋体" w:hAnsi="宋体" w:eastAsia="宋体" w:cs="Times New Roman"/>
          <w:color w:val="auto"/>
          <w:szCs w:val="21"/>
          <w:highlight w:val="none"/>
        </w:rPr>
        <w:t>、</w:t>
      </w:r>
      <w:r>
        <w:rPr>
          <w:rFonts w:hint="eastAsia" w:ascii="宋体" w:hAnsi="宋体" w:eastAsia="宋体" w:cs="Times New Roman"/>
          <w:color w:val="auto"/>
          <w:kern w:val="32"/>
          <w:szCs w:val="21"/>
          <w:highlight w:val="none"/>
        </w:rPr>
        <w:t>供应商资格审查材料</w:t>
      </w:r>
    </w:p>
    <w:p w14:paraId="394CBC9C">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五</w:t>
      </w:r>
      <w:r>
        <w:rPr>
          <w:rFonts w:hint="eastAsia" w:ascii="宋体" w:hAnsi="宋体" w:eastAsia="宋体" w:cs="Times New Roman"/>
          <w:color w:val="auto"/>
          <w:szCs w:val="21"/>
          <w:highlight w:val="none"/>
        </w:rPr>
        <w:t>、采购需求响应</w:t>
      </w:r>
    </w:p>
    <w:p w14:paraId="026B10D5">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六</w:t>
      </w:r>
      <w:r>
        <w:rPr>
          <w:rFonts w:hint="eastAsia" w:ascii="宋体" w:hAnsi="宋体" w:eastAsia="宋体" w:cs="Times New Roman"/>
          <w:color w:val="auto"/>
          <w:szCs w:val="21"/>
          <w:highlight w:val="none"/>
        </w:rPr>
        <w:t>、合同条款偏离表</w:t>
      </w:r>
    </w:p>
    <w:p w14:paraId="1CE8B312">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七</w:t>
      </w:r>
      <w:r>
        <w:rPr>
          <w:rFonts w:hint="eastAsia" w:ascii="宋体" w:hAnsi="宋体" w:eastAsia="宋体" w:cs="Times New Roman"/>
          <w:color w:val="auto"/>
          <w:szCs w:val="21"/>
          <w:highlight w:val="none"/>
        </w:rPr>
        <w:t>、采购需求偏离表</w:t>
      </w:r>
    </w:p>
    <w:p w14:paraId="559F908F">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八</w:t>
      </w:r>
      <w:r>
        <w:rPr>
          <w:rFonts w:hint="eastAsia" w:ascii="宋体" w:hAnsi="宋体" w:eastAsia="宋体" w:cs="Times New Roman"/>
          <w:color w:val="auto"/>
          <w:szCs w:val="21"/>
          <w:highlight w:val="none"/>
        </w:rPr>
        <w:t>、享受政府采购政策的证明资料</w:t>
      </w:r>
    </w:p>
    <w:p w14:paraId="351CAFD4">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cs="Times New Roman"/>
          <w:color w:val="auto"/>
          <w:kern w:val="32"/>
          <w:szCs w:val="21"/>
          <w:highlight w:val="none"/>
          <w:lang w:val="en-US" w:eastAsia="zh-CN"/>
        </w:rPr>
        <w:t>九</w:t>
      </w:r>
      <w:r>
        <w:rPr>
          <w:rFonts w:hint="eastAsia" w:ascii="宋体" w:hAnsi="宋体" w:eastAsia="宋体" w:cs="Times New Roman"/>
          <w:color w:val="auto"/>
          <w:kern w:val="32"/>
          <w:szCs w:val="21"/>
          <w:highlight w:val="none"/>
        </w:rPr>
        <w:t>、</w:t>
      </w:r>
      <w:r>
        <w:rPr>
          <w:rFonts w:hint="eastAsia" w:ascii="宋体" w:hAnsi="宋体" w:eastAsia="宋体" w:cs="Times New Roman"/>
          <w:color w:val="auto"/>
          <w:szCs w:val="21"/>
          <w:highlight w:val="none"/>
        </w:rPr>
        <w:t>响应标的符合</w:t>
      </w:r>
      <w:r>
        <w:rPr>
          <w:rFonts w:hint="eastAsia" w:ascii="宋体" w:hAnsi="宋体" w:eastAsia="宋体" w:cs="Times New Roman"/>
          <w:color w:val="auto"/>
          <w:szCs w:val="21"/>
          <w:highlight w:val="none"/>
          <w:lang w:val="en-US" w:eastAsia="zh-CN"/>
        </w:rPr>
        <w:t>磋商</w:t>
      </w:r>
      <w:r>
        <w:rPr>
          <w:rFonts w:hint="eastAsia" w:ascii="宋体" w:hAnsi="宋体" w:eastAsia="宋体" w:cs="Times New Roman"/>
          <w:color w:val="auto"/>
          <w:szCs w:val="21"/>
          <w:highlight w:val="none"/>
        </w:rPr>
        <w:t>文件规定的证明文件</w:t>
      </w:r>
    </w:p>
    <w:p w14:paraId="267DEB37">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十、供应商认为需提供的其他资料（如有）</w:t>
      </w:r>
    </w:p>
    <w:p w14:paraId="76F6E5FF">
      <w:pPr>
        <w:widowControl/>
        <w:tabs>
          <w:tab w:val="left" w:pos="753"/>
        </w:tabs>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十</w:t>
      </w:r>
      <w:r>
        <w:rPr>
          <w:rFonts w:hint="eastAsia" w:ascii="宋体" w:hAnsi="宋体" w:cs="Times New Roman"/>
          <w:color w:val="auto"/>
          <w:szCs w:val="21"/>
          <w:highlight w:val="none"/>
          <w:lang w:val="en-US" w:eastAsia="zh-CN"/>
        </w:rPr>
        <w:t>一</w:t>
      </w:r>
      <w:r>
        <w:rPr>
          <w:rFonts w:hint="eastAsia" w:ascii="宋体" w:hAnsi="宋体" w:eastAsia="宋体" w:cs="Times New Roman"/>
          <w:color w:val="auto"/>
          <w:szCs w:val="21"/>
          <w:highlight w:val="none"/>
        </w:rPr>
        <w:t>、最后报价</w:t>
      </w:r>
    </w:p>
    <w:p w14:paraId="20C66C0A">
      <w:pPr>
        <w:widowControl w:val="0"/>
        <w:adjustRightInd w:val="0"/>
        <w:snapToGrid w:val="0"/>
        <w:spacing w:line="360" w:lineRule="auto"/>
        <w:jc w:val="both"/>
        <w:rPr>
          <w:rFonts w:hint="eastAsia" w:ascii="宋体" w:hAnsi="宋体" w:eastAsia="宋体" w:cs="Courier New"/>
          <w:b/>
          <w:color w:val="auto"/>
          <w:kern w:val="2"/>
          <w:sz w:val="21"/>
          <w:szCs w:val="21"/>
          <w:highlight w:val="none"/>
          <w:lang w:val="en-US" w:eastAsia="zh-CN" w:bidi="ar-SA"/>
        </w:rPr>
      </w:pPr>
    </w:p>
    <w:p w14:paraId="23619628">
      <w:pPr>
        <w:widowControl w:val="0"/>
        <w:spacing w:line="360" w:lineRule="exact"/>
        <w:rPr>
          <w:rFonts w:hint="eastAsia" w:ascii="黑体" w:hAnsi="Times New Roman" w:eastAsia="黑体" w:cs="Times New Roman"/>
          <w:color w:val="auto"/>
          <w:sz w:val="32"/>
          <w:szCs w:val="32"/>
          <w:highlight w:val="none"/>
        </w:rPr>
      </w:pPr>
    </w:p>
    <w:p w14:paraId="13C202CF">
      <w:pPr>
        <w:widowControl w:val="0"/>
        <w:spacing w:line="360" w:lineRule="exact"/>
        <w:jc w:val="center"/>
        <w:rPr>
          <w:rFonts w:hint="eastAsia" w:ascii="黑体" w:hAnsi="Times New Roman" w:eastAsia="黑体" w:cs="Times New Roman"/>
          <w:color w:val="auto"/>
          <w:sz w:val="32"/>
          <w:szCs w:val="32"/>
          <w:highlight w:val="none"/>
        </w:rPr>
      </w:pPr>
    </w:p>
    <w:p w14:paraId="57A81B19">
      <w:pPr>
        <w:widowControl w:val="0"/>
        <w:spacing w:line="360" w:lineRule="exact"/>
        <w:jc w:val="center"/>
        <w:rPr>
          <w:rFonts w:hint="eastAsia" w:ascii="黑体" w:hAnsi="Times New Roman" w:eastAsia="黑体" w:cs="Times New Roman"/>
          <w:color w:val="auto"/>
          <w:sz w:val="32"/>
          <w:szCs w:val="32"/>
          <w:highlight w:val="none"/>
        </w:rPr>
      </w:pPr>
    </w:p>
    <w:p w14:paraId="4D62934D">
      <w:pPr>
        <w:widowControl w:val="0"/>
        <w:spacing w:line="360" w:lineRule="exact"/>
        <w:rPr>
          <w:rFonts w:hint="eastAsia" w:ascii="黑体" w:hAnsi="Times New Roman" w:eastAsia="黑体" w:cs="Times New Roman"/>
          <w:color w:val="auto"/>
          <w:sz w:val="32"/>
          <w:szCs w:val="32"/>
          <w:highlight w:val="none"/>
        </w:rPr>
      </w:pPr>
    </w:p>
    <w:p w14:paraId="2502D6FD">
      <w:pPr>
        <w:widowControl w:val="0"/>
        <w:adjustRightInd w:val="0"/>
        <w:snapToGrid w:val="0"/>
        <w:spacing w:line="360" w:lineRule="auto"/>
        <w:jc w:val="center"/>
        <w:rPr>
          <w:rFonts w:ascii="宋体" w:hAnsi="宋体" w:eastAsia="宋体" w:cs="Courier New"/>
          <w:b/>
          <w:bCs/>
          <w:color w:val="auto"/>
          <w:sz w:val="72"/>
          <w:szCs w:val="72"/>
          <w:highlight w:val="none"/>
        </w:rPr>
      </w:pPr>
      <w:r>
        <w:rPr>
          <w:rFonts w:hint="eastAsia" w:ascii="黑体" w:hAnsi="黑体" w:eastAsia="黑体" w:cs="黑体"/>
          <w:color w:val="auto"/>
          <w:sz w:val="32"/>
          <w:szCs w:val="32"/>
          <w:highlight w:val="none"/>
        </w:rPr>
        <w:br w:type="page"/>
      </w:r>
      <w:r>
        <w:rPr>
          <w:rFonts w:hint="eastAsia" w:ascii="宋体" w:hAnsi="宋体" w:eastAsia="宋体" w:cs="Courier New"/>
          <w:b/>
          <w:bCs/>
          <w:color w:val="auto"/>
          <w:sz w:val="72"/>
          <w:szCs w:val="72"/>
          <w:highlight w:val="none"/>
        </w:rPr>
        <w:t>采</w:t>
      </w:r>
      <w:r>
        <w:rPr>
          <w:rFonts w:hint="eastAsia" w:ascii="宋体" w:hAnsi="宋体" w:eastAsia="宋体" w:cs="Courier New"/>
          <w:b/>
          <w:bCs/>
          <w:color w:val="auto"/>
          <w:sz w:val="72"/>
          <w:szCs w:val="72"/>
          <w:highlight w:val="none"/>
          <w:lang w:val="en-US" w:eastAsia="zh-CN"/>
        </w:rPr>
        <w:t xml:space="preserve">  </w:t>
      </w:r>
      <w:r>
        <w:rPr>
          <w:rFonts w:hint="eastAsia" w:ascii="宋体" w:hAnsi="宋体" w:eastAsia="宋体" w:cs="Courier New"/>
          <w:b/>
          <w:bCs/>
          <w:color w:val="auto"/>
          <w:sz w:val="72"/>
          <w:szCs w:val="72"/>
          <w:highlight w:val="none"/>
        </w:rPr>
        <w:t>购</w:t>
      </w:r>
    </w:p>
    <w:p w14:paraId="596B284A">
      <w:pPr>
        <w:widowControl w:val="0"/>
        <w:adjustRightInd w:val="0"/>
        <w:snapToGrid w:val="0"/>
        <w:spacing w:line="360" w:lineRule="auto"/>
        <w:jc w:val="center"/>
        <w:rPr>
          <w:rFonts w:ascii="宋体" w:hAnsi="宋体" w:eastAsia="宋体" w:cs="Times New Roman"/>
          <w:b/>
          <w:bCs/>
          <w:color w:val="auto"/>
          <w:sz w:val="84"/>
          <w:szCs w:val="84"/>
          <w:highlight w:val="none"/>
        </w:rPr>
      </w:pPr>
      <w:r>
        <w:rPr>
          <w:rFonts w:hint="eastAsia" w:ascii="宋体" w:hAnsi="宋体" w:eastAsia="宋体" w:cs="Times New Roman"/>
          <w:b/>
          <w:bCs/>
          <w:color w:val="auto"/>
          <w:sz w:val="84"/>
          <w:szCs w:val="84"/>
          <w:highlight w:val="none"/>
        </w:rPr>
        <w:t>响 应 文 件</w:t>
      </w:r>
    </w:p>
    <w:p w14:paraId="29CD85F3">
      <w:pPr>
        <w:widowControl w:val="0"/>
        <w:adjustRightInd w:val="0"/>
        <w:snapToGrid w:val="0"/>
        <w:spacing w:line="360" w:lineRule="auto"/>
        <w:rPr>
          <w:rFonts w:ascii="黑体" w:hAnsi="黑体" w:eastAsia="黑体" w:cs="Times New Roman"/>
          <w:b/>
          <w:color w:val="auto"/>
          <w:sz w:val="32"/>
          <w:szCs w:val="32"/>
          <w:highlight w:val="none"/>
        </w:rPr>
      </w:pPr>
    </w:p>
    <w:p w14:paraId="0720BA48">
      <w:pPr>
        <w:widowControl w:val="0"/>
        <w:adjustRightInd w:val="0"/>
        <w:snapToGrid w:val="0"/>
        <w:spacing w:line="360" w:lineRule="auto"/>
        <w:rPr>
          <w:rFonts w:ascii="宋体" w:hAnsi="宋体" w:eastAsia="宋体" w:cs="Times New Roman"/>
          <w:b/>
          <w:color w:val="auto"/>
          <w:sz w:val="30"/>
          <w:szCs w:val="30"/>
          <w:highlight w:val="none"/>
        </w:rPr>
      </w:pPr>
      <w:r>
        <w:rPr>
          <w:rFonts w:hint="eastAsia" w:ascii="宋体" w:hAnsi="宋体" w:eastAsia="宋体" w:cs="Times New Roman"/>
          <w:b/>
          <w:color w:val="auto"/>
          <w:sz w:val="32"/>
          <w:szCs w:val="32"/>
          <w:highlight w:val="none"/>
        </w:rPr>
        <w:t xml:space="preserve">                     </w:t>
      </w:r>
    </w:p>
    <w:p w14:paraId="6FAD6642">
      <w:pPr>
        <w:widowControl w:val="0"/>
        <w:adjustRightInd w:val="0"/>
        <w:snapToGrid w:val="0"/>
        <w:spacing w:line="360" w:lineRule="auto"/>
        <w:ind w:firstLine="1988" w:firstLineChars="660"/>
        <w:rPr>
          <w:rFonts w:ascii="宋体" w:hAnsi="宋体" w:eastAsia="宋体" w:cs="Courier New"/>
          <w:b/>
          <w:bCs/>
          <w:color w:val="auto"/>
          <w:sz w:val="30"/>
          <w:szCs w:val="30"/>
          <w:highlight w:val="none"/>
          <w:u w:val="single"/>
        </w:rPr>
      </w:pPr>
      <w:r>
        <w:rPr>
          <w:rFonts w:hint="eastAsia" w:ascii="宋体" w:hAnsi="宋体" w:eastAsia="宋体" w:cs="Courier New"/>
          <w:b/>
          <w:bCs/>
          <w:color w:val="auto"/>
          <w:sz w:val="30"/>
          <w:szCs w:val="30"/>
          <w:highlight w:val="none"/>
        </w:rPr>
        <w:t>采购项目名称:</w:t>
      </w:r>
      <w:r>
        <w:rPr>
          <w:rFonts w:hint="eastAsia" w:ascii="宋体" w:hAnsi="宋体" w:eastAsia="宋体" w:cs="Courier New"/>
          <w:b/>
          <w:bCs/>
          <w:color w:val="auto"/>
          <w:sz w:val="30"/>
          <w:szCs w:val="30"/>
          <w:highlight w:val="none"/>
          <w:u w:val="single"/>
        </w:rPr>
        <w:t xml:space="preserve">                       </w:t>
      </w:r>
    </w:p>
    <w:p w14:paraId="632010E3">
      <w:pPr>
        <w:widowControl w:val="0"/>
        <w:adjustRightInd w:val="0"/>
        <w:snapToGrid w:val="0"/>
        <w:spacing w:line="360" w:lineRule="auto"/>
        <w:ind w:firstLine="1988" w:firstLineChars="660"/>
        <w:rPr>
          <w:rFonts w:ascii="宋体" w:hAnsi="宋体" w:eastAsia="宋体" w:cs="Courier New"/>
          <w:b/>
          <w:bCs/>
          <w:color w:val="auto"/>
          <w:sz w:val="30"/>
          <w:szCs w:val="30"/>
          <w:highlight w:val="none"/>
        </w:rPr>
      </w:pPr>
      <w:r>
        <w:rPr>
          <w:rFonts w:hint="eastAsia" w:ascii="宋体" w:hAnsi="宋体" w:eastAsia="宋体" w:cs="Courier New"/>
          <w:b/>
          <w:bCs/>
          <w:color w:val="auto"/>
          <w:sz w:val="30"/>
          <w:szCs w:val="30"/>
          <w:highlight w:val="none"/>
        </w:rPr>
        <w:t>采   购   人：</w:t>
      </w:r>
      <w:r>
        <w:rPr>
          <w:rFonts w:hint="eastAsia" w:ascii="宋体" w:hAnsi="宋体" w:eastAsia="宋体" w:cs="Courier New"/>
          <w:b/>
          <w:bCs/>
          <w:color w:val="auto"/>
          <w:sz w:val="30"/>
          <w:szCs w:val="30"/>
          <w:highlight w:val="none"/>
          <w:u w:val="single"/>
        </w:rPr>
        <w:t xml:space="preserve">                      </w:t>
      </w:r>
    </w:p>
    <w:p w14:paraId="4DFEF826">
      <w:pPr>
        <w:widowControl w:val="0"/>
        <w:adjustRightInd w:val="0"/>
        <w:snapToGrid w:val="0"/>
        <w:spacing w:line="360" w:lineRule="auto"/>
        <w:ind w:firstLine="1988" w:firstLineChars="660"/>
        <w:rPr>
          <w:rFonts w:ascii="宋体" w:hAnsi="宋体" w:eastAsia="宋体" w:cs="Courier New"/>
          <w:b/>
          <w:bCs/>
          <w:color w:val="auto"/>
          <w:sz w:val="30"/>
          <w:szCs w:val="30"/>
          <w:highlight w:val="none"/>
          <w:u w:val="single"/>
        </w:rPr>
      </w:pPr>
      <w:r>
        <w:rPr>
          <w:rFonts w:hint="eastAsia" w:ascii="宋体" w:hAnsi="宋体" w:eastAsia="宋体" w:cs="Courier New"/>
          <w:b/>
          <w:bCs/>
          <w:color w:val="auto"/>
          <w:sz w:val="30"/>
          <w:szCs w:val="30"/>
          <w:highlight w:val="none"/>
        </w:rPr>
        <w:t>政府采购计划编号:</w:t>
      </w:r>
      <w:r>
        <w:rPr>
          <w:rFonts w:hint="eastAsia" w:ascii="宋体" w:hAnsi="宋体" w:eastAsia="宋体" w:cs="Courier New"/>
          <w:b/>
          <w:bCs/>
          <w:color w:val="auto"/>
          <w:sz w:val="30"/>
          <w:szCs w:val="30"/>
          <w:highlight w:val="none"/>
          <w:u w:val="single"/>
        </w:rPr>
        <w:t xml:space="preserve">                   </w:t>
      </w:r>
    </w:p>
    <w:p w14:paraId="2DE94486">
      <w:pPr>
        <w:widowControl w:val="0"/>
        <w:adjustRightInd w:val="0"/>
        <w:snapToGrid w:val="0"/>
        <w:spacing w:line="360" w:lineRule="auto"/>
        <w:ind w:firstLine="1988" w:firstLineChars="660"/>
        <w:rPr>
          <w:rFonts w:ascii="宋体" w:hAnsi="宋体" w:eastAsia="宋体" w:cs="Courier New"/>
          <w:b/>
          <w:bCs/>
          <w:color w:val="auto"/>
          <w:sz w:val="30"/>
          <w:szCs w:val="30"/>
          <w:highlight w:val="none"/>
          <w:u w:val="single"/>
        </w:rPr>
      </w:pPr>
      <w:r>
        <w:rPr>
          <w:rFonts w:hint="eastAsia" w:ascii="宋体" w:hAnsi="宋体" w:eastAsia="宋体" w:cs="Courier New"/>
          <w:b/>
          <w:bCs/>
          <w:color w:val="auto"/>
          <w:sz w:val="30"/>
          <w:szCs w:val="30"/>
          <w:highlight w:val="none"/>
        </w:rPr>
        <w:t>委托代理编号:</w:t>
      </w:r>
      <w:r>
        <w:rPr>
          <w:rFonts w:hint="eastAsia" w:ascii="宋体" w:hAnsi="宋体" w:eastAsia="宋体" w:cs="Courier New"/>
          <w:b/>
          <w:bCs/>
          <w:color w:val="auto"/>
          <w:sz w:val="30"/>
          <w:szCs w:val="30"/>
          <w:highlight w:val="none"/>
          <w:u w:val="single"/>
        </w:rPr>
        <w:t xml:space="preserve">                       </w:t>
      </w:r>
    </w:p>
    <w:p w14:paraId="7D6CDDD5">
      <w:pPr>
        <w:widowControl w:val="0"/>
        <w:adjustRightInd w:val="0"/>
        <w:snapToGrid w:val="0"/>
        <w:spacing w:line="360" w:lineRule="auto"/>
        <w:ind w:firstLine="1988" w:firstLineChars="660"/>
        <w:rPr>
          <w:rFonts w:ascii="宋体" w:hAnsi="宋体" w:eastAsia="宋体" w:cs="Courier New"/>
          <w:b/>
          <w:bCs/>
          <w:color w:val="auto"/>
          <w:sz w:val="30"/>
          <w:szCs w:val="30"/>
          <w:highlight w:val="none"/>
          <w:u w:val="single"/>
        </w:rPr>
      </w:pPr>
      <w:r>
        <w:rPr>
          <w:rFonts w:hint="eastAsia" w:ascii="宋体" w:hAnsi="宋体" w:eastAsia="宋体" w:cs="Courier New"/>
          <w:b/>
          <w:bCs/>
          <w:color w:val="auto"/>
          <w:sz w:val="30"/>
          <w:szCs w:val="30"/>
          <w:highlight w:val="none"/>
        </w:rPr>
        <w:t>采购代理机构：</w:t>
      </w:r>
      <w:r>
        <w:rPr>
          <w:rFonts w:hint="eastAsia" w:ascii="宋体" w:hAnsi="宋体" w:eastAsia="宋体" w:cs="Courier New"/>
          <w:b/>
          <w:bCs/>
          <w:color w:val="auto"/>
          <w:sz w:val="30"/>
          <w:szCs w:val="30"/>
          <w:highlight w:val="none"/>
          <w:u w:val="single"/>
        </w:rPr>
        <w:t xml:space="preserve">                      </w:t>
      </w:r>
    </w:p>
    <w:p w14:paraId="01F2DF7A">
      <w:pPr>
        <w:widowControl w:val="0"/>
        <w:adjustRightInd w:val="0"/>
        <w:snapToGrid w:val="0"/>
        <w:spacing w:line="360" w:lineRule="auto"/>
        <w:rPr>
          <w:rFonts w:ascii="黑体" w:hAnsi="黑体" w:eastAsia="黑体" w:cs="Times New Roman"/>
          <w:color w:val="auto"/>
          <w:sz w:val="30"/>
          <w:szCs w:val="30"/>
          <w:highlight w:val="none"/>
        </w:rPr>
      </w:pPr>
    </w:p>
    <w:p w14:paraId="15929FA8">
      <w:pPr>
        <w:widowControl w:val="0"/>
        <w:adjustRightInd w:val="0"/>
        <w:snapToGrid w:val="0"/>
        <w:rPr>
          <w:rFonts w:ascii="黑体" w:hAnsi="宋体" w:eastAsia="黑体" w:cs="Times New Roman"/>
          <w:color w:val="auto"/>
          <w:sz w:val="30"/>
          <w:szCs w:val="30"/>
          <w:highlight w:val="none"/>
        </w:rPr>
      </w:pPr>
    </w:p>
    <w:p w14:paraId="6593E904">
      <w:pPr>
        <w:widowControl w:val="0"/>
        <w:adjustRightInd w:val="0"/>
        <w:snapToGrid w:val="0"/>
        <w:spacing w:line="360" w:lineRule="auto"/>
        <w:rPr>
          <w:rFonts w:ascii="黑体" w:hAnsi="宋体" w:eastAsia="黑体" w:cs="Times New Roman"/>
          <w:color w:val="auto"/>
          <w:sz w:val="30"/>
          <w:szCs w:val="30"/>
          <w:highlight w:val="none"/>
        </w:rPr>
      </w:pPr>
    </w:p>
    <w:p w14:paraId="54D9EAD9">
      <w:pPr>
        <w:widowControl w:val="0"/>
        <w:adjustRightInd w:val="0"/>
        <w:snapToGrid w:val="0"/>
        <w:spacing w:line="360" w:lineRule="auto"/>
        <w:rPr>
          <w:rFonts w:ascii="黑体" w:hAnsi="宋体" w:eastAsia="黑体" w:cs="Times New Roman"/>
          <w:color w:val="auto"/>
          <w:sz w:val="30"/>
          <w:szCs w:val="30"/>
          <w:highlight w:val="none"/>
        </w:rPr>
      </w:pPr>
    </w:p>
    <w:p w14:paraId="3F4D5C62">
      <w:pPr>
        <w:widowControl w:val="0"/>
        <w:adjustRightInd w:val="0"/>
        <w:snapToGrid w:val="0"/>
        <w:spacing w:line="360" w:lineRule="auto"/>
        <w:rPr>
          <w:rFonts w:ascii="黑体" w:hAnsi="宋体" w:eastAsia="黑体" w:cs="Times New Roman"/>
          <w:color w:val="auto"/>
          <w:sz w:val="30"/>
          <w:szCs w:val="30"/>
          <w:highlight w:val="none"/>
        </w:rPr>
      </w:pPr>
    </w:p>
    <w:p w14:paraId="3D21C003">
      <w:pPr>
        <w:widowControl w:val="0"/>
        <w:adjustRightInd w:val="0"/>
        <w:snapToGrid w:val="0"/>
        <w:spacing w:line="360" w:lineRule="auto"/>
        <w:ind w:firstLine="1984" w:firstLineChars="620"/>
        <w:rPr>
          <w:rFonts w:ascii="黑体" w:hAnsi="黑体" w:eastAsia="黑体" w:cs="Times New Roman"/>
          <w:color w:val="auto"/>
          <w:sz w:val="32"/>
          <w:szCs w:val="32"/>
          <w:highlight w:val="none"/>
          <w:u w:val="single"/>
        </w:rPr>
      </w:pPr>
      <w:r>
        <w:rPr>
          <w:rFonts w:hint="eastAsia" w:ascii="黑体" w:hAnsi="黑体" w:eastAsia="黑体" w:cs="Times New Roman"/>
          <w:color w:val="auto"/>
          <w:sz w:val="32"/>
          <w:szCs w:val="32"/>
          <w:highlight w:val="none"/>
        </w:rPr>
        <w:t>供应商</w:t>
      </w:r>
      <w:r>
        <w:rPr>
          <w:rFonts w:hint="eastAsia" w:ascii="黑体" w:hAnsi="黑体" w:eastAsia="黑体" w:cs="Times New Roman"/>
          <w:color w:val="auto"/>
          <w:sz w:val="32"/>
          <w:szCs w:val="32"/>
          <w:highlight w:val="none"/>
          <w:u w:val="single"/>
        </w:rPr>
        <w:t xml:space="preserve">                         </w:t>
      </w:r>
    </w:p>
    <w:p w14:paraId="407E72D2">
      <w:pPr>
        <w:widowControl w:val="0"/>
        <w:jc w:val="center"/>
        <w:rPr>
          <w:rFonts w:ascii="黑体" w:hAnsi="黑体" w:eastAsia="黑体" w:cs="Times New Roman"/>
          <w:color w:val="auto"/>
          <w:sz w:val="32"/>
          <w:szCs w:val="32"/>
          <w:highlight w:val="none"/>
        </w:rPr>
      </w:pPr>
      <w:r>
        <w:rPr>
          <w:rFonts w:hint="eastAsia" w:ascii="黑体" w:hAnsi="黑体" w:eastAsia="黑体" w:cs="Times New Roman"/>
          <w:color w:val="auto"/>
          <w:sz w:val="32"/>
          <w:szCs w:val="32"/>
          <w:highlight w:val="none"/>
        </w:rPr>
        <w:t>年  月  日</w:t>
      </w:r>
    </w:p>
    <w:p w14:paraId="37CF7FE3">
      <w:pPr>
        <w:jc w:val="center"/>
        <w:rPr>
          <w:rFonts w:ascii="黑体" w:hAnsi="黑体" w:eastAsia="黑体"/>
          <w:color w:val="auto"/>
          <w:sz w:val="32"/>
          <w:szCs w:val="32"/>
          <w:highlight w:val="none"/>
        </w:rPr>
        <w:sectPr>
          <w:footerReference r:id="rId3" w:type="default"/>
          <w:pgSz w:w="11906" w:h="16838"/>
          <w:pgMar w:top="1474" w:right="1474" w:bottom="1474" w:left="1588" w:header="851" w:footer="992" w:gutter="0"/>
          <w:pgNumType w:fmt="decimal"/>
          <w:cols w:space="720" w:num="1"/>
          <w:docGrid w:type="lines" w:linePitch="312" w:charSpace="0"/>
        </w:sectPr>
      </w:pPr>
    </w:p>
    <w:p w14:paraId="3B4FF75D">
      <w:pPr>
        <w:keepNext/>
        <w:keepLines/>
        <w:widowControl w:val="0"/>
        <w:spacing w:line="360" w:lineRule="auto"/>
        <w:jc w:val="both"/>
        <w:outlineLvl w:val="1"/>
        <w:rPr>
          <w:rFonts w:hint="eastAsia" w:ascii="黑体" w:hAnsi="黑体" w:eastAsia="黑体" w:cs="Times New Roman"/>
          <w:b/>
          <w:bCs/>
          <w:color w:val="auto"/>
          <w:sz w:val="28"/>
          <w:szCs w:val="28"/>
          <w:highlight w:val="none"/>
        </w:rPr>
      </w:pPr>
      <w:bookmarkStart w:id="110" w:name="_Toc22201151"/>
      <w:bookmarkStart w:id="111" w:name="_Toc10910"/>
      <w:bookmarkStart w:id="112" w:name="_Toc23879"/>
      <w:r>
        <w:rPr>
          <w:rFonts w:hint="eastAsia" w:ascii="黑体" w:hAnsi="黑体" w:eastAsia="黑体" w:cs="Times New Roman"/>
          <w:b/>
          <w:bCs/>
          <w:color w:val="auto"/>
          <w:sz w:val="28"/>
          <w:szCs w:val="28"/>
          <w:highlight w:val="none"/>
        </w:rPr>
        <w:t>索引表 符合性审查索引表</w:t>
      </w:r>
      <w:bookmarkEnd w:id="110"/>
      <w:bookmarkEnd w:id="111"/>
      <w:bookmarkEnd w:id="112"/>
    </w:p>
    <w:p w14:paraId="76DC87E5">
      <w:pPr>
        <w:widowControl w:val="0"/>
        <w:adjustRightInd w:val="0"/>
        <w:spacing w:before="156" w:beforeLines="50" w:line="360" w:lineRule="auto"/>
        <w:jc w:val="center"/>
        <w:rPr>
          <w:rFonts w:ascii="黑体" w:hAnsi="黑体" w:eastAsia="黑体" w:cs="Times New Roman"/>
          <w:b/>
          <w:color w:val="auto"/>
          <w:sz w:val="28"/>
          <w:szCs w:val="28"/>
          <w:highlight w:val="none"/>
        </w:rPr>
      </w:pPr>
      <w:r>
        <w:rPr>
          <w:rFonts w:hint="eastAsia" w:ascii="黑体" w:hAnsi="黑体" w:eastAsia="黑体" w:cs="Times New Roman"/>
          <w:b/>
          <w:color w:val="auto"/>
          <w:sz w:val="28"/>
          <w:szCs w:val="28"/>
          <w:highlight w:val="none"/>
        </w:rPr>
        <w:t>符合性审查索引表</w:t>
      </w:r>
    </w:p>
    <w:tbl>
      <w:tblPr>
        <w:tblStyle w:val="25"/>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4512AA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center"/>
          </w:tcPr>
          <w:p w14:paraId="35668779">
            <w:pPr>
              <w:widowControl w:val="0"/>
              <w:adjustRightInd w:val="0"/>
              <w:snapToGrid w:val="0"/>
              <w:spacing w:before="156" w:beforeLines="50" w:line="360" w:lineRule="auto"/>
              <w:jc w:val="center"/>
              <w:rPr>
                <w:rFonts w:ascii="宋体" w:hAnsi="宋体" w:eastAsia="宋体" w:cs="Times New Roman"/>
                <w:b/>
                <w:color w:val="auto"/>
                <w:kern w:val="0"/>
                <w:szCs w:val="21"/>
                <w:highlight w:val="none"/>
              </w:rPr>
            </w:pPr>
            <w:r>
              <w:rPr>
                <w:rFonts w:hint="eastAsia" w:ascii="宋体" w:hAnsi="宋体" w:eastAsia="宋体" w:cs="Times New Roman"/>
                <w:b/>
                <w:color w:val="auto"/>
                <w:kern w:val="0"/>
                <w:szCs w:val="21"/>
                <w:highlight w:val="none"/>
              </w:rPr>
              <w:t>序号</w:t>
            </w:r>
          </w:p>
        </w:tc>
        <w:tc>
          <w:tcPr>
            <w:tcW w:w="1871" w:type="dxa"/>
            <w:tcBorders>
              <w:right w:val="single" w:color="auto" w:sz="4" w:space="0"/>
            </w:tcBorders>
            <w:noWrap w:val="0"/>
            <w:vAlign w:val="center"/>
          </w:tcPr>
          <w:p w14:paraId="62CA3F70">
            <w:pPr>
              <w:widowControl w:val="0"/>
              <w:adjustRightInd w:val="0"/>
              <w:snapToGrid w:val="0"/>
              <w:spacing w:before="156" w:beforeLines="50" w:line="360" w:lineRule="auto"/>
              <w:jc w:val="center"/>
              <w:rPr>
                <w:rFonts w:ascii="宋体" w:hAnsi="宋体" w:eastAsia="宋体" w:cs="Times New Roman"/>
                <w:b/>
                <w:color w:val="auto"/>
                <w:kern w:val="0"/>
                <w:sz w:val="20"/>
                <w:szCs w:val="21"/>
                <w:highlight w:val="none"/>
              </w:rPr>
            </w:pPr>
            <w:r>
              <w:rPr>
                <w:rFonts w:hint="eastAsia" w:ascii="宋体" w:hAnsi="宋体" w:eastAsia="宋体" w:cs="Times New Roman"/>
                <w:b/>
                <w:color w:val="auto"/>
                <w:kern w:val="0"/>
                <w:sz w:val="20"/>
                <w:szCs w:val="21"/>
                <w:highlight w:val="none"/>
                <w:lang w:val="en-US" w:eastAsia="zh-CN"/>
              </w:rPr>
              <w:t>磋商</w:t>
            </w:r>
            <w:r>
              <w:rPr>
                <w:rFonts w:hint="eastAsia" w:ascii="宋体" w:hAnsi="宋体" w:eastAsia="宋体" w:cs="Times New Roman"/>
                <w:b/>
                <w:color w:val="auto"/>
                <w:kern w:val="0"/>
                <w:sz w:val="20"/>
                <w:szCs w:val="21"/>
                <w:highlight w:val="none"/>
              </w:rPr>
              <w:t>文件条款号</w:t>
            </w:r>
          </w:p>
        </w:tc>
        <w:tc>
          <w:tcPr>
            <w:tcW w:w="2410" w:type="dxa"/>
            <w:tcBorders>
              <w:left w:val="single" w:color="auto" w:sz="4" w:space="0"/>
            </w:tcBorders>
            <w:noWrap w:val="0"/>
            <w:vAlign w:val="center"/>
          </w:tcPr>
          <w:p w14:paraId="1C02980A">
            <w:pPr>
              <w:widowControl w:val="0"/>
              <w:adjustRightInd w:val="0"/>
              <w:snapToGrid w:val="0"/>
              <w:spacing w:before="156" w:beforeLines="50" w:line="360" w:lineRule="auto"/>
              <w:jc w:val="center"/>
              <w:rPr>
                <w:rFonts w:ascii="宋体" w:hAnsi="宋体" w:eastAsia="宋体" w:cs="Times New Roman"/>
                <w:b/>
                <w:color w:val="auto"/>
                <w:kern w:val="0"/>
                <w:sz w:val="20"/>
                <w:szCs w:val="21"/>
                <w:highlight w:val="none"/>
              </w:rPr>
            </w:pPr>
            <w:r>
              <w:rPr>
                <w:rFonts w:hint="eastAsia" w:ascii="宋体" w:hAnsi="宋体" w:eastAsia="宋体" w:cs="Times New Roman"/>
                <w:b/>
                <w:color w:val="auto"/>
                <w:kern w:val="0"/>
                <w:szCs w:val="21"/>
                <w:highlight w:val="none"/>
              </w:rPr>
              <w:t>审查内容及标准</w:t>
            </w:r>
          </w:p>
        </w:tc>
        <w:tc>
          <w:tcPr>
            <w:tcW w:w="2268" w:type="dxa"/>
            <w:noWrap w:val="0"/>
            <w:vAlign w:val="center"/>
          </w:tcPr>
          <w:p w14:paraId="579C111D">
            <w:pPr>
              <w:widowControl w:val="0"/>
              <w:adjustRightInd w:val="0"/>
              <w:snapToGrid w:val="0"/>
              <w:spacing w:before="156" w:beforeLines="50" w:line="360" w:lineRule="auto"/>
              <w:jc w:val="center"/>
              <w:rPr>
                <w:rFonts w:ascii="宋体" w:hAnsi="宋体" w:eastAsia="宋体" w:cs="Times New Roman"/>
                <w:b/>
                <w:color w:val="auto"/>
                <w:kern w:val="0"/>
                <w:szCs w:val="21"/>
                <w:highlight w:val="none"/>
              </w:rPr>
            </w:pPr>
            <w:r>
              <w:rPr>
                <w:rFonts w:hint="eastAsia" w:ascii="宋体" w:hAnsi="宋体" w:eastAsia="宋体" w:cs="Times New Roman"/>
                <w:b/>
                <w:color w:val="auto"/>
                <w:kern w:val="0"/>
                <w:szCs w:val="21"/>
                <w:highlight w:val="none"/>
              </w:rPr>
              <w:t>响应文件及证明材料</w:t>
            </w:r>
          </w:p>
        </w:tc>
        <w:tc>
          <w:tcPr>
            <w:tcW w:w="1722" w:type="dxa"/>
            <w:noWrap w:val="0"/>
            <w:vAlign w:val="center"/>
          </w:tcPr>
          <w:p w14:paraId="3F4B97E1">
            <w:pPr>
              <w:widowControl w:val="0"/>
              <w:adjustRightInd w:val="0"/>
              <w:snapToGrid w:val="0"/>
              <w:spacing w:before="156" w:beforeLines="50" w:line="360" w:lineRule="auto"/>
              <w:jc w:val="center"/>
              <w:rPr>
                <w:rFonts w:ascii="宋体" w:hAnsi="宋体" w:eastAsia="宋体" w:cs="Times New Roman"/>
                <w:b/>
                <w:color w:val="auto"/>
                <w:kern w:val="0"/>
                <w:sz w:val="20"/>
                <w:szCs w:val="21"/>
                <w:highlight w:val="none"/>
              </w:rPr>
            </w:pPr>
            <w:r>
              <w:rPr>
                <w:rFonts w:hint="eastAsia" w:ascii="宋体" w:hAnsi="宋体" w:eastAsia="宋体" w:cs="Times New Roman"/>
                <w:b/>
                <w:color w:val="auto"/>
                <w:kern w:val="0"/>
                <w:szCs w:val="21"/>
                <w:highlight w:val="none"/>
              </w:rPr>
              <w:t>响应文件对应内容的册及页码</w:t>
            </w:r>
          </w:p>
        </w:tc>
      </w:tr>
      <w:tr w14:paraId="6589C2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7EAEB8F4">
            <w:pPr>
              <w:widowControl w:val="0"/>
              <w:adjustRightInd w:val="0"/>
              <w:snapToGrid w:val="0"/>
              <w:spacing w:before="156" w:beforeLines="50" w:line="360" w:lineRule="auto"/>
              <w:jc w:val="center"/>
              <w:rPr>
                <w:rFonts w:ascii="宋体" w:hAnsi="宋体" w:eastAsia="宋体" w:cs="Times New Roman"/>
                <w:color w:val="auto"/>
                <w:kern w:val="0"/>
                <w:szCs w:val="21"/>
                <w:highlight w:val="none"/>
              </w:rPr>
            </w:pPr>
          </w:p>
        </w:tc>
        <w:tc>
          <w:tcPr>
            <w:tcW w:w="1871" w:type="dxa"/>
            <w:tcBorders>
              <w:right w:val="single" w:color="auto" w:sz="4" w:space="0"/>
            </w:tcBorders>
            <w:noWrap w:val="0"/>
            <w:vAlign w:val="top"/>
          </w:tcPr>
          <w:p w14:paraId="0966CA1F">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3FD08C57">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2E75A7FA">
            <w:pPr>
              <w:widowControl w:val="0"/>
              <w:adjustRightInd w:val="0"/>
              <w:snapToGrid w:val="0"/>
              <w:spacing w:before="156" w:beforeLines="50" w:line="360" w:lineRule="auto"/>
              <w:jc w:val="center"/>
              <w:rPr>
                <w:rFonts w:ascii="宋体" w:hAnsi="宋体" w:eastAsia="宋体" w:cs="Times New Roman"/>
                <w:color w:val="auto"/>
                <w:kern w:val="0"/>
                <w:szCs w:val="21"/>
                <w:highlight w:val="none"/>
              </w:rPr>
            </w:pPr>
          </w:p>
        </w:tc>
        <w:tc>
          <w:tcPr>
            <w:tcW w:w="1722" w:type="dxa"/>
            <w:noWrap w:val="0"/>
            <w:vAlign w:val="top"/>
          </w:tcPr>
          <w:p w14:paraId="1485850B">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42F58D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10030710">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741BE717">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51404B0A">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08F72228">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2C4D851C">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50F3F3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1007EB0E">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09AD3CB2">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318CEFEF">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2CE6003E">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33C54E75">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39DB11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0C41FC3E">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52A1695C">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3332F06F">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65B9D03F">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392759F0">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076E43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53A3FBE7">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4D6C2A3E">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01263C3C">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001AA152">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59CD1510">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77B99E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31643DD3">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31EBB298">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5412A646">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3240A817">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4BEBF096">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473B75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338D4572">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160EA48C">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2DEDDDF0">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19D5DF88">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01775893">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004A00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3847B325">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72B888C5">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410866A6">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1DA1A3E2">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0F0D7A5D">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55AE92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7AD0D554">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56548D14">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371880DE">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304EB2C3">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567141C5">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776C80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noWrap w:val="0"/>
            <w:vAlign w:val="top"/>
          </w:tcPr>
          <w:p w14:paraId="56D7AD0F">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768956D7">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56108372">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57C58E81">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293CA4C4">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r w14:paraId="179B2E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789" w:type="dxa"/>
            <w:noWrap w:val="0"/>
            <w:vAlign w:val="top"/>
          </w:tcPr>
          <w:p w14:paraId="5E73EBB3">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871" w:type="dxa"/>
            <w:tcBorders>
              <w:right w:val="single" w:color="auto" w:sz="4" w:space="0"/>
            </w:tcBorders>
            <w:noWrap w:val="0"/>
            <w:vAlign w:val="top"/>
          </w:tcPr>
          <w:p w14:paraId="30FA59D3">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410" w:type="dxa"/>
            <w:tcBorders>
              <w:left w:val="single" w:color="auto" w:sz="4" w:space="0"/>
            </w:tcBorders>
            <w:noWrap w:val="0"/>
            <w:vAlign w:val="top"/>
          </w:tcPr>
          <w:p w14:paraId="2B90AC57">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2268" w:type="dxa"/>
            <w:noWrap w:val="0"/>
            <w:vAlign w:val="top"/>
          </w:tcPr>
          <w:p w14:paraId="1AF318F0">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c>
          <w:tcPr>
            <w:tcW w:w="1722" w:type="dxa"/>
            <w:noWrap w:val="0"/>
            <w:vAlign w:val="top"/>
          </w:tcPr>
          <w:p w14:paraId="2A8E917E">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p>
        </w:tc>
      </w:tr>
    </w:tbl>
    <w:p w14:paraId="1B6533A1">
      <w:pPr>
        <w:rPr>
          <w:color w:val="auto"/>
          <w:highlight w:val="none"/>
        </w:rPr>
        <w:sectPr>
          <w:pgSz w:w="11906" w:h="16838"/>
          <w:pgMar w:top="1474" w:right="1474" w:bottom="1474" w:left="1588" w:header="851" w:footer="992" w:gutter="0"/>
          <w:pgNumType w:fmt="decimal"/>
          <w:cols w:space="720" w:num="1"/>
          <w:docGrid w:type="lines" w:linePitch="312" w:charSpace="0"/>
        </w:sectPr>
      </w:pPr>
    </w:p>
    <w:p w14:paraId="46A347E1">
      <w:pPr>
        <w:keepNext/>
        <w:keepLines/>
        <w:widowControl w:val="0"/>
        <w:spacing w:line="360" w:lineRule="auto"/>
        <w:jc w:val="center"/>
        <w:outlineLvl w:val="1"/>
        <w:rPr>
          <w:rFonts w:ascii="黑体" w:hAnsi="黑体" w:eastAsia="黑体" w:cs="Times New Roman"/>
          <w:b/>
          <w:bCs/>
          <w:color w:val="auto"/>
          <w:sz w:val="28"/>
          <w:szCs w:val="28"/>
          <w:highlight w:val="none"/>
        </w:rPr>
      </w:pPr>
      <w:bookmarkStart w:id="113" w:name="_Toc1389"/>
      <w:bookmarkStart w:id="114" w:name="_Toc13587"/>
      <w:bookmarkStart w:id="115" w:name="_Toc107998028"/>
      <w:r>
        <w:rPr>
          <w:rFonts w:hint="eastAsia" w:ascii="黑体" w:hAnsi="黑体" w:eastAsia="黑体" w:cs="Times New Roman"/>
          <w:b/>
          <w:bCs/>
          <w:color w:val="auto"/>
          <w:sz w:val="28"/>
          <w:szCs w:val="28"/>
          <w:highlight w:val="none"/>
        </w:rPr>
        <w:t>一、报价表及报价文件(格式)</w:t>
      </w:r>
      <w:bookmarkEnd w:id="113"/>
      <w:bookmarkEnd w:id="114"/>
      <w:bookmarkEnd w:id="115"/>
    </w:p>
    <w:p w14:paraId="6963116F">
      <w:pPr>
        <w:keepNext/>
        <w:keepLines/>
        <w:widowControl w:val="0"/>
        <w:spacing w:before="260" w:after="260" w:line="416" w:lineRule="auto"/>
        <w:outlineLvl w:val="2"/>
        <w:rPr>
          <w:rFonts w:ascii="宋体" w:hAnsi="宋体" w:eastAsia="宋体" w:cs="Times New Roman"/>
          <w:b/>
          <w:bCs/>
          <w:color w:val="auto"/>
          <w:szCs w:val="21"/>
          <w:highlight w:val="none"/>
        </w:rPr>
      </w:pPr>
      <w:bookmarkStart w:id="116" w:name="_Toc107998029"/>
      <w:bookmarkStart w:id="117" w:name="_Toc28086"/>
      <w:r>
        <w:rPr>
          <w:rFonts w:hint="eastAsia" w:ascii="宋体" w:hAnsi="宋体" w:eastAsia="宋体" w:cs="Times New Roman"/>
          <w:b/>
          <w:bCs/>
          <w:color w:val="auto"/>
          <w:szCs w:val="21"/>
          <w:highlight w:val="none"/>
        </w:rPr>
        <w:t>附件</w:t>
      </w:r>
      <w:r>
        <w:rPr>
          <w:rFonts w:ascii="宋体" w:hAnsi="宋体" w:eastAsia="宋体" w:cs="Times New Roman"/>
          <w:b/>
          <w:bCs/>
          <w:color w:val="auto"/>
          <w:szCs w:val="21"/>
          <w:highlight w:val="none"/>
        </w:rPr>
        <w:t>1</w:t>
      </w:r>
      <w:r>
        <w:rPr>
          <w:rFonts w:hint="eastAsia" w:ascii="宋体" w:hAnsi="宋体" w:eastAsia="宋体" w:cs="Times New Roman"/>
          <w:b/>
          <w:bCs/>
          <w:color w:val="auto"/>
          <w:szCs w:val="21"/>
          <w:highlight w:val="none"/>
        </w:rPr>
        <w:t>-1 报价表</w:t>
      </w:r>
      <w:bookmarkEnd w:id="116"/>
      <w:bookmarkEnd w:id="117"/>
    </w:p>
    <w:p w14:paraId="23913753">
      <w:pPr>
        <w:widowControl w:val="0"/>
        <w:jc w:val="center"/>
        <w:rPr>
          <w:rFonts w:ascii="黑体" w:hAnsi="黑体" w:eastAsia="黑体" w:cs="Times New Roman"/>
          <w:b/>
          <w:color w:val="auto"/>
          <w:sz w:val="28"/>
          <w:szCs w:val="28"/>
          <w:highlight w:val="none"/>
        </w:rPr>
      </w:pPr>
      <w:r>
        <w:rPr>
          <w:rFonts w:hint="eastAsia" w:ascii="黑体" w:hAnsi="黑体" w:eastAsia="黑体" w:cs="Times New Roman"/>
          <w:b/>
          <w:color w:val="auto"/>
          <w:sz w:val="28"/>
          <w:szCs w:val="28"/>
          <w:highlight w:val="none"/>
        </w:rPr>
        <w:t>报价表</w:t>
      </w:r>
    </w:p>
    <w:p w14:paraId="72A5DE7A">
      <w:pPr>
        <w:widowControl w:val="0"/>
        <w:adjustRightInd w:val="0"/>
        <w:snapToGrid w:val="0"/>
        <w:spacing w:line="360" w:lineRule="auto"/>
        <w:ind w:left="-88" w:leftChars="-42"/>
        <w:jc w:val="center"/>
        <w:rPr>
          <w:rFonts w:ascii="仿宋_GB2312" w:hAnsi="宋体" w:eastAsia="仿宋_GB2312" w:cs="Times New Roman"/>
          <w:color w:val="auto"/>
          <w:sz w:val="24"/>
          <w:highlight w:val="none"/>
        </w:rPr>
      </w:pPr>
    </w:p>
    <w:p w14:paraId="33EF0AF3">
      <w:pPr>
        <w:widowControl w:val="0"/>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政府采购计划编号：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项目名称：</w:t>
      </w:r>
      <w:r>
        <w:rPr>
          <w:rFonts w:hint="eastAsia" w:ascii="宋体" w:hAnsi="宋体" w:eastAsia="宋体" w:cs="Times New Roman"/>
          <w:color w:val="auto"/>
          <w:szCs w:val="21"/>
          <w:highlight w:val="none"/>
          <w:u w:val="single"/>
        </w:rPr>
        <w:t xml:space="preserve">                        </w:t>
      </w:r>
    </w:p>
    <w:p w14:paraId="13E6E018">
      <w:pPr>
        <w:widowControl w:val="0"/>
        <w:adjustRightInd w:val="0"/>
        <w:snapToGrid w:val="0"/>
        <w:spacing w:before="156" w:beforeLines="50" w:line="360" w:lineRule="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包号：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包名称：</w:t>
      </w:r>
      <w:r>
        <w:rPr>
          <w:rFonts w:hint="eastAsia" w:ascii="宋体" w:hAnsi="宋体" w:eastAsia="宋体" w:cs="Times New Roman"/>
          <w:color w:val="auto"/>
          <w:szCs w:val="21"/>
          <w:highlight w:val="none"/>
          <w:u w:val="single"/>
        </w:rPr>
        <w:t xml:space="preserve">                        </w:t>
      </w:r>
    </w:p>
    <w:tbl>
      <w:tblPr>
        <w:tblStyle w:val="2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3A373A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31F12D64">
            <w:pPr>
              <w:widowControl w:val="0"/>
              <w:adjustRightInd w:val="0"/>
              <w:snapToGrid w:val="0"/>
              <w:spacing w:before="156" w:beforeLines="50" w:line="360" w:lineRule="auto"/>
              <w:jc w:val="center"/>
              <w:rPr>
                <w:rFonts w:ascii="宋体" w:hAnsi="宋体" w:eastAsia="宋体" w:cs="Times New Roman"/>
                <w:b/>
                <w:color w:val="auto"/>
                <w:kern w:val="0"/>
                <w:sz w:val="20"/>
                <w:szCs w:val="21"/>
                <w:highlight w:val="none"/>
              </w:rPr>
            </w:pPr>
            <w:r>
              <w:rPr>
                <w:rFonts w:hint="eastAsia" w:ascii="宋体" w:hAnsi="宋体" w:eastAsia="宋体" w:cs="Times New Roman"/>
                <w:b/>
                <w:color w:val="auto"/>
                <w:kern w:val="0"/>
                <w:szCs w:val="21"/>
                <w:highlight w:val="none"/>
              </w:rPr>
              <w:t>报价</w:t>
            </w:r>
          </w:p>
        </w:tc>
        <w:tc>
          <w:tcPr>
            <w:tcW w:w="3119" w:type="dxa"/>
            <w:noWrap w:val="0"/>
            <w:vAlign w:val="center"/>
          </w:tcPr>
          <w:p w14:paraId="6766D052">
            <w:pPr>
              <w:widowControl w:val="0"/>
              <w:adjustRightInd w:val="0"/>
              <w:snapToGrid w:val="0"/>
              <w:spacing w:before="156" w:beforeLines="50" w:line="360" w:lineRule="auto"/>
              <w:jc w:val="center"/>
              <w:rPr>
                <w:rFonts w:ascii="宋体" w:hAnsi="宋体" w:eastAsia="宋体" w:cs="Times New Roman"/>
                <w:b/>
                <w:color w:val="auto"/>
                <w:kern w:val="0"/>
                <w:szCs w:val="21"/>
                <w:highlight w:val="none"/>
              </w:rPr>
            </w:pPr>
            <w:r>
              <w:rPr>
                <w:rFonts w:hint="eastAsia" w:ascii="宋体" w:hAnsi="宋体" w:eastAsia="宋体" w:cs="Times New Roman"/>
                <w:b/>
                <w:color w:val="auto"/>
                <w:kern w:val="0"/>
                <w:szCs w:val="21"/>
                <w:highlight w:val="none"/>
              </w:rPr>
              <w:t>其他内容</w:t>
            </w:r>
          </w:p>
        </w:tc>
      </w:tr>
      <w:tr w14:paraId="7C82DC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5BB33956">
            <w:pPr>
              <w:widowControl w:val="0"/>
              <w:adjustRightInd w:val="0"/>
              <w:snapToGrid w:val="0"/>
              <w:spacing w:before="156" w:beforeLines="50"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小写金额：</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w:t>
            </w:r>
            <w:r>
              <w:rPr>
                <w:rFonts w:hint="eastAsia" w:ascii="宋体" w:hAnsi="宋体" w:eastAsia="宋体" w:cs="Times New Roman"/>
                <w:color w:val="auto"/>
                <w:kern w:val="0"/>
                <w:sz w:val="20"/>
                <w:szCs w:val="21"/>
                <w:highlight w:val="none"/>
              </w:rPr>
              <w:t>人民币元</w:t>
            </w:r>
            <w:r>
              <w:rPr>
                <w:rFonts w:hint="eastAsia" w:ascii="宋体" w:hAnsi="宋体" w:eastAsia="宋体" w:cs="Times New Roman"/>
                <w:color w:val="auto"/>
                <w:kern w:val="0"/>
                <w:szCs w:val="21"/>
                <w:highlight w:val="none"/>
              </w:rPr>
              <w:t>）</w:t>
            </w:r>
          </w:p>
          <w:p w14:paraId="0C870510">
            <w:pPr>
              <w:widowControl w:val="0"/>
              <w:adjustRightInd w:val="0"/>
              <w:snapToGrid w:val="0"/>
              <w:spacing w:before="156" w:beforeLines="50" w:line="360" w:lineRule="auto"/>
              <w:jc w:val="center"/>
              <w:rPr>
                <w:rFonts w:ascii="宋体" w:hAnsi="宋体" w:eastAsia="宋体" w:cs="Times New Roman"/>
                <w:color w:val="auto"/>
                <w:kern w:val="0"/>
                <w:szCs w:val="21"/>
                <w:highlight w:val="none"/>
                <w:u w:val="single"/>
              </w:rPr>
            </w:pPr>
            <w:r>
              <w:rPr>
                <w:rFonts w:hint="eastAsia" w:ascii="宋体" w:hAnsi="宋体" w:eastAsia="宋体" w:cs="Times New Roman"/>
                <w:color w:val="auto"/>
                <w:kern w:val="0"/>
                <w:szCs w:val="21"/>
                <w:highlight w:val="none"/>
              </w:rPr>
              <w:t>大写金额：</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w:t>
            </w:r>
            <w:r>
              <w:rPr>
                <w:rFonts w:hint="eastAsia" w:ascii="宋体" w:hAnsi="宋体" w:eastAsia="宋体" w:cs="Times New Roman"/>
                <w:color w:val="auto"/>
                <w:kern w:val="0"/>
                <w:sz w:val="20"/>
                <w:szCs w:val="21"/>
                <w:highlight w:val="none"/>
              </w:rPr>
              <w:t>人民币元</w:t>
            </w:r>
            <w:r>
              <w:rPr>
                <w:rFonts w:hint="eastAsia" w:ascii="宋体" w:hAnsi="宋体" w:eastAsia="宋体" w:cs="Times New Roman"/>
                <w:color w:val="auto"/>
                <w:kern w:val="0"/>
                <w:szCs w:val="21"/>
                <w:highlight w:val="none"/>
              </w:rPr>
              <w:t>）</w:t>
            </w:r>
          </w:p>
          <w:p w14:paraId="1485106C">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r>
              <w:rPr>
                <w:rFonts w:hint="eastAsia" w:ascii="宋体" w:hAnsi="宋体" w:eastAsia="宋体" w:cs="Times New Roman"/>
                <w:color w:val="auto"/>
                <w:kern w:val="0"/>
                <w:szCs w:val="21"/>
                <w:highlight w:val="none"/>
              </w:rPr>
              <w:t>（</w:t>
            </w:r>
            <w:r>
              <w:rPr>
                <w:rFonts w:hint="eastAsia" w:ascii="黑体" w:hAnsi="黑体" w:eastAsia="黑体" w:cs="Times New Roman"/>
                <w:color w:val="auto"/>
                <w:kern w:val="0"/>
                <w:sz w:val="24"/>
                <w:highlight w:val="none"/>
              </w:rPr>
              <w:t>大写金额与小写金额不一致时，以大写金额为准</w:t>
            </w:r>
            <w:r>
              <w:rPr>
                <w:rFonts w:hint="eastAsia" w:ascii="宋体" w:hAnsi="宋体" w:eastAsia="宋体" w:cs="Times New Roman"/>
                <w:color w:val="auto"/>
                <w:kern w:val="0"/>
                <w:szCs w:val="21"/>
                <w:highlight w:val="none"/>
              </w:rPr>
              <w:t>）</w:t>
            </w:r>
          </w:p>
        </w:tc>
        <w:tc>
          <w:tcPr>
            <w:tcW w:w="3119" w:type="dxa"/>
            <w:noWrap w:val="0"/>
            <w:vAlign w:val="center"/>
          </w:tcPr>
          <w:p w14:paraId="2C35958B">
            <w:pPr>
              <w:widowControl w:val="0"/>
              <w:adjustRightInd w:val="0"/>
              <w:snapToGrid w:val="0"/>
              <w:spacing w:before="156" w:beforeLines="50" w:line="360" w:lineRule="auto"/>
              <w:jc w:val="center"/>
              <w:rPr>
                <w:rFonts w:ascii="宋体" w:hAnsi="宋体" w:eastAsia="宋体" w:cs="Times New Roman"/>
                <w:color w:val="auto"/>
                <w:kern w:val="0"/>
                <w:szCs w:val="21"/>
                <w:highlight w:val="none"/>
              </w:rPr>
            </w:pPr>
          </w:p>
        </w:tc>
      </w:tr>
    </w:tbl>
    <w:p w14:paraId="47332770">
      <w:pPr>
        <w:widowControl w:val="0"/>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注：</w:t>
      </w:r>
      <w:r>
        <w:rPr>
          <w:rFonts w:hint="eastAsia" w:ascii="宋体" w:hAnsi="宋体" w:eastAsia="宋体" w:cs="Times New Roman"/>
          <w:color w:val="auto"/>
          <w:szCs w:val="21"/>
          <w:highlight w:val="none"/>
        </w:rPr>
        <w:t>本表须按包填写，一个“包号”一份。</w:t>
      </w:r>
    </w:p>
    <w:p w14:paraId="347074A3">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4DD7EF6F">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6899E155">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4EC8E489">
      <w:pPr>
        <w:widowControl w:val="0"/>
        <w:adjustRightInd w:val="0"/>
        <w:snapToGrid w:val="0"/>
        <w:spacing w:line="360" w:lineRule="auto"/>
        <w:rPr>
          <w:rFonts w:ascii="宋体" w:hAnsi="宋体" w:eastAsia="宋体" w:cs="Times New Roman"/>
          <w:color w:val="auto"/>
          <w:szCs w:val="21"/>
          <w:highlight w:val="none"/>
        </w:rPr>
      </w:pPr>
    </w:p>
    <w:p w14:paraId="54C6D4CE">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供应商名称（盖单位公章）：</w:t>
      </w:r>
    </w:p>
    <w:p w14:paraId="7AD40C1F">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5ABC5CDF">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日期：    年    月     日</w:t>
      </w:r>
    </w:p>
    <w:p w14:paraId="303C4714">
      <w:pPr>
        <w:adjustRightInd w:val="0"/>
        <w:snapToGrid w:val="0"/>
        <w:jc w:val="center"/>
        <w:rPr>
          <w:rFonts w:ascii="黑体" w:hAnsi="黑体" w:eastAsia="黑体"/>
          <w:bCs/>
          <w:color w:val="auto"/>
          <w:sz w:val="30"/>
          <w:szCs w:val="30"/>
          <w:highlight w:val="none"/>
        </w:rPr>
        <w:sectPr>
          <w:pgSz w:w="11906" w:h="16838"/>
          <w:pgMar w:top="1418" w:right="1418" w:bottom="1134" w:left="1418" w:header="851" w:footer="992" w:gutter="0"/>
          <w:pgNumType w:fmt="decimal"/>
          <w:cols w:space="720" w:num="1"/>
          <w:docGrid w:type="linesAndChars" w:linePitch="312" w:charSpace="0"/>
        </w:sectPr>
      </w:pPr>
    </w:p>
    <w:p w14:paraId="156DE5DA">
      <w:pPr>
        <w:keepNext/>
        <w:keepLines/>
        <w:widowControl w:val="0"/>
        <w:adjustRightInd w:val="0"/>
        <w:snapToGrid w:val="0"/>
        <w:spacing w:before="156" w:beforeLines="50" w:line="360" w:lineRule="auto"/>
        <w:outlineLvl w:val="2"/>
        <w:rPr>
          <w:rFonts w:ascii="宋体" w:hAnsi="宋体" w:eastAsia="宋体" w:cs="Times New Roman"/>
          <w:b/>
          <w:bCs/>
          <w:color w:val="auto"/>
          <w:szCs w:val="21"/>
          <w:highlight w:val="none"/>
        </w:rPr>
      </w:pPr>
      <w:bookmarkStart w:id="118" w:name="_Toc8671"/>
      <w:bookmarkStart w:id="119" w:name="_Toc107998030"/>
      <w:r>
        <w:rPr>
          <w:rFonts w:hint="eastAsia" w:ascii="宋体" w:hAnsi="宋体" w:eastAsia="宋体" w:cs="Times New Roman"/>
          <w:b/>
          <w:bCs/>
          <w:color w:val="auto"/>
          <w:szCs w:val="21"/>
          <w:highlight w:val="none"/>
        </w:rPr>
        <w:t>附件</w:t>
      </w:r>
      <w:r>
        <w:rPr>
          <w:rFonts w:ascii="宋体" w:hAnsi="宋体" w:eastAsia="宋体" w:cs="Times New Roman"/>
          <w:b/>
          <w:bCs/>
          <w:color w:val="auto"/>
          <w:szCs w:val="21"/>
          <w:highlight w:val="none"/>
        </w:rPr>
        <w:t>1</w:t>
      </w:r>
      <w:r>
        <w:rPr>
          <w:rFonts w:hint="eastAsia" w:ascii="宋体" w:hAnsi="宋体" w:eastAsia="宋体" w:cs="Times New Roman"/>
          <w:b/>
          <w:bCs/>
          <w:color w:val="auto"/>
          <w:szCs w:val="21"/>
          <w:highlight w:val="none"/>
        </w:rPr>
        <w:t>-2分项报价说明</w:t>
      </w:r>
      <w:bookmarkEnd w:id="118"/>
      <w:bookmarkEnd w:id="119"/>
    </w:p>
    <w:p w14:paraId="6C9E2DC9">
      <w:pPr>
        <w:widowControl w:val="0"/>
        <w:autoSpaceDE w:val="0"/>
        <w:autoSpaceDN w:val="0"/>
        <w:adjustRightInd w:val="0"/>
        <w:snapToGrid w:val="0"/>
        <w:spacing w:before="156" w:beforeLines="50" w:line="360" w:lineRule="auto"/>
        <w:jc w:val="center"/>
        <w:rPr>
          <w:rFonts w:ascii="黑体" w:hAnsi="宋体" w:eastAsia="黑体" w:cs="微软雅黑"/>
          <w:b/>
          <w:color w:val="auto"/>
          <w:kern w:val="0"/>
          <w:sz w:val="28"/>
          <w:szCs w:val="28"/>
          <w:highlight w:val="none"/>
        </w:rPr>
      </w:pPr>
      <w:r>
        <w:rPr>
          <w:rFonts w:hint="eastAsia" w:ascii="黑体" w:hAnsi="宋体" w:eastAsia="黑体" w:cs="微软雅黑"/>
          <w:b/>
          <w:color w:val="auto"/>
          <w:spacing w:val="-2"/>
          <w:kern w:val="0"/>
          <w:sz w:val="28"/>
          <w:szCs w:val="28"/>
          <w:highlight w:val="none"/>
        </w:rPr>
        <w:t>分</w:t>
      </w:r>
      <w:r>
        <w:rPr>
          <w:rFonts w:hint="eastAsia" w:ascii="黑体" w:hAnsi="宋体" w:eastAsia="黑体" w:cs="微软雅黑"/>
          <w:b/>
          <w:color w:val="auto"/>
          <w:kern w:val="0"/>
          <w:sz w:val="28"/>
          <w:szCs w:val="28"/>
          <w:highlight w:val="none"/>
        </w:rPr>
        <w:t>项</w:t>
      </w:r>
      <w:r>
        <w:rPr>
          <w:rFonts w:hint="eastAsia" w:ascii="黑体" w:hAnsi="宋体" w:eastAsia="黑体" w:cs="微软雅黑"/>
          <w:b/>
          <w:color w:val="auto"/>
          <w:spacing w:val="-2"/>
          <w:kern w:val="0"/>
          <w:sz w:val="28"/>
          <w:szCs w:val="28"/>
          <w:highlight w:val="none"/>
        </w:rPr>
        <w:t>报</w:t>
      </w:r>
      <w:r>
        <w:rPr>
          <w:rFonts w:hint="eastAsia" w:ascii="黑体" w:hAnsi="宋体" w:eastAsia="黑体" w:cs="微软雅黑"/>
          <w:b/>
          <w:color w:val="auto"/>
          <w:kern w:val="0"/>
          <w:sz w:val="28"/>
          <w:szCs w:val="28"/>
          <w:highlight w:val="none"/>
        </w:rPr>
        <w:t>价说明</w:t>
      </w:r>
    </w:p>
    <w:p w14:paraId="2762C8A6">
      <w:pPr>
        <w:widowControl w:val="0"/>
        <w:autoSpaceDE w:val="0"/>
        <w:autoSpaceDN w:val="0"/>
        <w:adjustRightInd w:val="0"/>
        <w:snapToGrid w:val="0"/>
        <w:spacing w:before="156" w:beforeLines="50" w:line="360" w:lineRule="auto"/>
        <w:jc w:val="left"/>
        <w:rPr>
          <w:rFonts w:ascii="宋体" w:hAnsi="宋体" w:eastAsia="宋体" w:cs="微软雅黑"/>
          <w:color w:val="auto"/>
          <w:kern w:val="0"/>
          <w:szCs w:val="21"/>
          <w:highlight w:val="none"/>
        </w:rPr>
      </w:pPr>
    </w:p>
    <w:p w14:paraId="59492E8A">
      <w:pPr>
        <w:widowControl w:val="0"/>
        <w:autoSpaceDE w:val="0"/>
        <w:autoSpaceDN w:val="0"/>
        <w:adjustRightInd w:val="0"/>
        <w:snapToGrid w:val="0"/>
        <w:spacing w:before="156" w:beforeLines="50" w:line="360" w:lineRule="auto"/>
        <w:jc w:val="left"/>
        <w:rPr>
          <w:rFonts w:ascii="宋体" w:hAnsi="宋体" w:eastAsia="宋体" w:cs="微软雅黑"/>
          <w:color w:val="auto"/>
          <w:kern w:val="0"/>
          <w:szCs w:val="21"/>
          <w:highlight w:val="none"/>
        </w:rPr>
      </w:pPr>
      <w:r>
        <w:rPr>
          <w:rFonts w:hint="eastAsia" w:ascii="宋体" w:hAnsi="宋体" w:eastAsia="宋体" w:cs="微软雅黑"/>
          <w:color w:val="auto"/>
          <w:kern w:val="0"/>
          <w:szCs w:val="21"/>
          <w:highlight w:val="none"/>
        </w:rPr>
        <w:t>注：1.供应商应按</w:t>
      </w:r>
      <w:r>
        <w:rPr>
          <w:rFonts w:hint="eastAsia" w:ascii="宋体" w:hAnsi="宋体" w:eastAsia="宋体" w:cs="微软雅黑"/>
          <w:color w:val="auto"/>
          <w:kern w:val="0"/>
          <w:szCs w:val="21"/>
          <w:highlight w:val="none"/>
          <w:lang w:val="en-US" w:eastAsia="zh-CN"/>
        </w:rPr>
        <w:t>磋商</w:t>
      </w:r>
      <w:r>
        <w:rPr>
          <w:rFonts w:hint="eastAsia" w:ascii="宋体" w:hAnsi="宋体" w:eastAsia="宋体" w:cs="微软雅黑"/>
          <w:color w:val="auto"/>
          <w:kern w:val="0"/>
          <w:szCs w:val="21"/>
          <w:highlight w:val="none"/>
        </w:rPr>
        <w:t>文件第二章相关要求，对本节</w:t>
      </w:r>
      <w:r>
        <w:rPr>
          <w:rFonts w:hint="eastAsia" w:ascii="宋体" w:hAnsi="宋体" w:eastAsia="宋体" w:cs="Times New Roman"/>
          <w:bCs/>
          <w:color w:val="auto"/>
          <w:szCs w:val="21"/>
          <w:highlight w:val="none"/>
        </w:rPr>
        <w:t>“</w:t>
      </w:r>
      <w:r>
        <w:rPr>
          <w:rFonts w:hint="eastAsia" w:ascii="宋体" w:hAnsi="宋体" w:eastAsia="宋体" w:cs="微软雅黑"/>
          <w:color w:val="auto"/>
          <w:kern w:val="0"/>
          <w:szCs w:val="21"/>
          <w:highlight w:val="none"/>
        </w:rPr>
        <w:t>分项报价明细表</w:t>
      </w:r>
      <w:r>
        <w:rPr>
          <w:rFonts w:hint="eastAsia" w:ascii="宋体" w:hAnsi="宋体" w:eastAsia="宋体" w:cs="Times New Roman"/>
          <w:bCs/>
          <w:color w:val="auto"/>
          <w:szCs w:val="21"/>
          <w:highlight w:val="none"/>
        </w:rPr>
        <w:t>”进行</w:t>
      </w:r>
      <w:r>
        <w:rPr>
          <w:rFonts w:hint="eastAsia" w:ascii="宋体" w:hAnsi="宋体" w:eastAsia="宋体" w:cs="微软雅黑"/>
          <w:color w:val="auto"/>
          <w:kern w:val="0"/>
          <w:szCs w:val="21"/>
          <w:highlight w:val="none"/>
        </w:rPr>
        <w:t>编制，并说明。</w:t>
      </w:r>
    </w:p>
    <w:p w14:paraId="340CEF6C">
      <w:pPr>
        <w:widowControl w:val="0"/>
        <w:autoSpaceDE w:val="0"/>
        <w:autoSpaceDN w:val="0"/>
        <w:adjustRightInd w:val="0"/>
        <w:snapToGrid w:val="0"/>
        <w:spacing w:before="156" w:beforeLines="50" w:line="360" w:lineRule="auto"/>
        <w:ind w:firstLine="420" w:firstLineChars="200"/>
        <w:jc w:val="left"/>
        <w:rPr>
          <w:rFonts w:ascii="宋体" w:hAnsi="宋体" w:eastAsia="宋体" w:cs="微软雅黑"/>
          <w:color w:val="auto"/>
          <w:kern w:val="0"/>
          <w:szCs w:val="21"/>
          <w:highlight w:val="none"/>
        </w:rPr>
      </w:pPr>
      <w:r>
        <w:rPr>
          <w:rFonts w:hint="eastAsia" w:ascii="宋体" w:hAnsi="宋体" w:eastAsia="宋体" w:cs="微软雅黑"/>
          <w:color w:val="auto"/>
          <w:kern w:val="0"/>
          <w:szCs w:val="21"/>
          <w:highlight w:val="none"/>
        </w:rPr>
        <w:t>2.附件</w:t>
      </w:r>
      <w:r>
        <w:rPr>
          <w:rFonts w:ascii="宋体" w:hAnsi="宋体" w:eastAsia="宋体" w:cs="微软雅黑"/>
          <w:color w:val="auto"/>
          <w:kern w:val="0"/>
          <w:szCs w:val="21"/>
          <w:highlight w:val="none"/>
        </w:rPr>
        <w:t>1</w:t>
      </w:r>
      <w:r>
        <w:rPr>
          <w:rFonts w:hint="eastAsia" w:ascii="宋体" w:hAnsi="宋体" w:eastAsia="宋体" w:cs="微软雅黑"/>
          <w:color w:val="auto"/>
          <w:kern w:val="0"/>
          <w:szCs w:val="21"/>
          <w:highlight w:val="none"/>
        </w:rPr>
        <w:t>-3</w:t>
      </w:r>
      <w:r>
        <w:rPr>
          <w:rFonts w:hint="eastAsia" w:ascii="华文中宋" w:hAnsi="华文中宋" w:eastAsia="华文中宋" w:cs="微软雅黑"/>
          <w:color w:val="auto"/>
          <w:kern w:val="0"/>
          <w:szCs w:val="21"/>
          <w:highlight w:val="none"/>
        </w:rPr>
        <w:t>“</w:t>
      </w:r>
      <w:r>
        <w:rPr>
          <w:rFonts w:hint="eastAsia" w:ascii="宋体" w:hAnsi="宋体" w:eastAsia="宋体" w:cs="微软雅黑"/>
          <w:color w:val="auto"/>
          <w:kern w:val="0"/>
          <w:szCs w:val="21"/>
          <w:highlight w:val="none"/>
        </w:rPr>
        <w:t>分项报价明细表（服务）</w:t>
      </w:r>
      <w:r>
        <w:rPr>
          <w:rFonts w:hint="eastAsia" w:ascii="华文中宋" w:hAnsi="华文中宋" w:eastAsia="华文中宋" w:cs="微软雅黑"/>
          <w:color w:val="auto"/>
          <w:kern w:val="0"/>
          <w:szCs w:val="21"/>
          <w:highlight w:val="none"/>
        </w:rPr>
        <w:t>”</w:t>
      </w:r>
      <w:r>
        <w:rPr>
          <w:rFonts w:hint="eastAsia" w:ascii="宋体" w:hAnsi="宋体" w:eastAsia="宋体" w:cs="微软雅黑"/>
          <w:color w:val="auto"/>
          <w:kern w:val="0"/>
          <w:szCs w:val="21"/>
          <w:highlight w:val="none"/>
        </w:rPr>
        <w:t>按第三章</w:t>
      </w:r>
      <w:r>
        <w:rPr>
          <w:rFonts w:hint="eastAsia" w:ascii="宋体" w:hAnsi="宋体" w:cs="微软雅黑"/>
          <w:color w:val="auto"/>
          <w:kern w:val="0"/>
          <w:szCs w:val="21"/>
          <w:highlight w:val="none"/>
          <w:lang w:val="en-US" w:eastAsia="zh-CN"/>
        </w:rPr>
        <w:t>采购需求的</w:t>
      </w:r>
      <w:r>
        <w:rPr>
          <w:rFonts w:hint="eastAsia" w:ascii="宋体" w:hAnsi="宋体" w:eastAsia="宋体" w:cs="微软雅黑"/>
          <w:color w:val="auto"/>
          <w:kern w:val="0"/>
          <w:szCs w:val="21"/>
          <w:highlight w:val="none"/>
        </w:rPr>
        <w:t>要求进行编制。</w:t>
      </w:r>
    </w:p>
    <w:p w14:paraId="588B746B">
      <w:pPr>
        <w:widowControl w:val="0"/>
        <w:adjustRightInd w:val="0"/>
        <w:snapToGrid w:val="0"/>
        <w:spacing w:before="156" w:beforeLines="50" w:line="360" w:lineRule="auto"/>
        <w:rPr>
          <w:rFonts w:ascii="Times New Roman" w:hAnsi="Times New Roman" w:eastAsia="宋体" w:cs="Times New Roman"/>
          <w:color w:val="auto"/>
          <w:highlight w:val="none"/>
        </w:rPr>
      </w:pPr>
    </w:p>
    <w:p w14:paraId="382767A4">
      <w:pPr>
        <w:widowControl w:val="0"/>
        <w:ind w:firstLine="420" w:firstLineChars="200"/>
        <w:jc w:val="both"/>
        <w:rPr>
          <w:rFonts w:hint="eastAsia" w:ascii="Times New Roman" w:hAnsi="Times New Roman" w:eastAsia="宋体" w:cs="Times New Roman"/>
          <w:color w:val="auto"/>
          <w:kern w:val="2"/>
          <w:sz w:val="21"/>
          <w:szCs w:val="21"/>
          <w:highlight w:val="none"/>
          <w:lang w:val="en-US" w:eastAsia="zh-CN" w:bidi="ar-SA"/>
        </w:rPr>
      </w:pPr>
    </w:p>
    <w:p w14:paraId="5AC29D3D">
      <w:pPr>
        <w:keepNext/>
        <w:keepLines/>
        <w:widowControl w:val="0"/>
        <w:adjustRightInd w:val="0"/>
        <w:snapToGrid w:val="0"/>
        <w:spacing w:before="156" w:beforeLines="50" w:line="360" w:lineRule="auto"/>
        <w:outlineLvl w:val="2"/>
        <w:rPr>
          <w:rFonts w:ascii="宋体" w:hAnsi="宋体" w:eastAsia="宋体" w:cs="Times New Roman"/>
          <w:b/>
          <w:bCs/>
          <w:color w:val="auto"/>
          <w:szCs w:val="21"/>
          <w:highlight w:val="none"/>
        </w:rPr>
      </w:pPr>
      <w:r>
        <w:rPr>
          <w:rFonts w:hint="eastAsia" w:ascii="宋体" w:hAnsi="宋体" w:eastAsia="宋体" w:cs="微软雅黑"/>
          <w:color w:val="auto"/>
          <w:kern w:val="0"/>
          <w:szCs w:val="21"/>
          <w:highlight w:val="none"/>
        </w:rPr>
        <w:br w:type="page"/>
      </w:r>
      <w:r>
        <w:rPr>
          <w:rFonts w:hint="eastAsia" w:ascii="宋体" w:hAnsi="宋体" w:eastAsia="宋体" w:cs="宋体"/>
          <w:b/>
          <w:bCs/>
          <w:color w:val="auto"/>
          <w:szCs w:val="21"/>
          <w:highlight w:val="none"/>
        </w:rPr>
        <w:t>附件</w:t>
      </w:r>
      <w:r>
        <w:rPr>
          <w:rFonts w:ascii="宋体" w:hAnsi="宋体" w:eastAsia="宋体" w:cs="宋体"/>
          <w:b/>
          <w:bCs/>
          <w:color w:val="auto"/>
          <w:szCs w:val="21"/>
          <w:highlight w:val="none"/>
        </w:rPr>
        <w:t>1</w:t>
      </w:r>
      <w:r>
        <w:rPr>
          <w:rFonts w:hint="eastAsia" w:ascii="宋体" w:hAnsi="宋体" w:eastAsia="宋体" w:cs="宋体"/>
          <w:b/>
          <w:bCs/>
          <w:color w:val="auto"/>
          <w:szCs w:val="21"/>
          <w:highlight w:val="none"/>
        </w:rPr>
        <w:t>-3</w:t>
      </w:r>
      <w:r>
        <w:rPr>
          <w:rFonts w:hint="eastAsia" w:ascii="宋体" w:hAnsi="宋体" w:eastAsia="宋体" w:cs="Times New Roman"/>
          <w:b/>
          <w:bCs/>
          <w:color w:val="auto"/>
          <w:spacing w:val="-2"/>
          <w:position w:val="-3"/>
          <w:szCs w:val="21"/>
          <w:highlight w:val="none"/>
        </w:rPr>
        <w:t>分</w:t>
      </w:r>
      <w:r>
        <w:rPr>
          <w:rFonts w:hint="eastAsia" w:ascii="宋体" w:hAnsi="宋体" w:eastAsia="宋体" w:cs="Times New Roman"/>
          <w:b/>
          <w:bCs/>
          <w:color w:val="auto"/>
          <w:position w:val="-3"/>
          <w:szCs w:val="21"/>
          <w:highlight w:val="none"/>
        </w:rPr>
        <w:t>项</w:t>
      </w:r>
      <w:r>
        <w:rPr>
          <w:rFonts w:hint="eastAsia" w:ascii="宋体" w:hAnsi="宋体" w:eastAsia="宋体" w:cs="Times New Roman"/>
          <w:b/>
          <w:bCs/>
          <w:color w:val="auto"/>
          <w:spacing w:val="-2"/>
          <w:position w:val="-3"/>
          <w:szCs w:val="21"/>
          <w:highlight w:val="none"/>
        </w:rPr>
        <w:t>报</w:t>
      </w:r>
      <w:r>
        <w:rPr>
          <w:rFonts w:hint="eastAsia" w:ascii="宋体" w:hAnsi="宋体" w:eastAsia="宋体" w:cs="Times New Roman"/>
          <w:b/>
          <w:bCs/>
          <w:color w:val="auto"/>
          <w:position w:val="-3"/>
          <w:szCs w:val="21"/>
          <w:highlight w:val="none"/>
        </w:rPr>
        <w:t>价明细表</w:t>
      </w:r>
    </w:p>
    <w:p w14:paraId="3C25744C">
      <w:pPr>
        <w:widowControl w:val="0"/>
        <w:adjustRightInd w:val="0"/>
        <w:snapToGrid w:val="0"/>
        <w:spacing w:before="156" w:beforeLines="50" w:line="360" w:lineRule="auto"/>
        <w:jc w:val="center"/>
        <w:rPr>
          <w:rFonts w:ascii="黑体" w:hAnsi="宋体" w:eastAsia="黑体" w:cs="微软雅黑"/>
          <w:b/>
          <w:color w:val="auto"/>
          <w:kern w:val="0"/>
          <w:position w:val="-3"/>
          <w:sz w:val="28"/>
          <w:szCs w:val="28"/>
          <w:highlight w:val="none"/>
        </w:rPr>
      </w:pPr>
      <w:r>
        <w:rPr>
          <w:rFonts w:hint="eastAsia" w:ascii="黑体" w:hAnsi="宋体" w:eastAsia="黑体" w:cs="微软雅黑"/>
          <w:b/>
          <w:color w:val="auto"/>
          <w:spacing w:val="-2"/>
          <w:kern w:val="0"/>
          <w:position w:val="-3"/>
          <w:sz w:val="28"/>
          <w:szCs w:val="28"/>
          <w:highlight w:val="none"/>
        </w:rPr>
        <w:t>分</w:t>
      </w:r>
      <w:r>
        <w:rPr>
          <w:rFonts w:hint="eastAsia" w:ascii="黑体" w:hAnsi="宋体" w:eastAsia="黑体" w:cs="微软雅黑"/>
          <w:b/>
          <w:color w:val="auto"/>
          <w:kern w:val="0"/>
          <w:position w:val="-3"/>
          <w:sz w:val="28"/>
          <w:szCs w:val="28"/>
          <w:highlight w:val="none"/>
        </w:rPr>
        <w:t>项</w:t>
      </w:r>
      <w:r>
        <w:rPr>
          <w:rFonts w:hint="eastAsia" w:ascii="黑体" w:hAnsi="宋体" w:eastAsia="黑体" w:cs="微软雅黑"/>
          <w:b/>
          <w:color w:val="auto"/>
          <w:spacing w:val="-2"/>
          <w:kern w:val="0"/>
          <w:position w:val="-3"/>
          <w:sz w:val="28"/>
          <w:szCs w:val="28"/>
          <w:highlight w:val="none"/>
        </w:rPr>
        <w:t>报</w:t>
      </w:r>
      <w:r>
        <w:rPr>
          <w:rFonts w:hint="eastAsia" w:ascii="黑体" w:hAnsi="宋体" w:eastAsia="黑体" w:cs="微软雅黑"/>
          <w:b/>
          <w:color w:val="auto"/>
          <w:kern w:val="0"/>
          <w:position w:val="-3"/>
          <w:sz w:val="28"/>
          <w:szCs w:val="28"/>
          <w:highlight w:val="none"/>
        </w:rPr>
        <w:t>价明细表（服务）</w:t>
      </w:r>
    </w:p>
    <w:p w14:paraId="42600AD6">
      <w:pPr>
        <w:widowControl w:val="0"/>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政府采购计划编号：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项目名称：</w:t>
      </w:r>
      <w:r>
        <w:rPr>
          <w:rFonts w:hint="eastAsia" w:ascii="宋体" w:hAnsi="宋体" w:eastAsia="宋体" w:cs="Times New Roman"/>
          <w:color w:val="auto"/>
          <w:szCs w:val="21"/>
          <w:highlight w:val="none"/>
          <w:u w:val="single"/>
        </w:rPr>
        <w:t xml:space="preserve">                        </w:t>
      </w:r>
    </w:p>
    <w:p w14:paraId="64F84224">
      <w:pPr>
        <w:widowControl w:val="0"/>
        <w:adjustRightInd w:val="0"/>
        <w:snapToGrid w:val="0"/>
        <w:spacing w:before="156" w:beforeLines="50" w:line="360" w:lineRule="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包号：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包名称：</w:t>
      </w:r>
      <w:r>
        <w:rPr>
          <w:rFonts w:hint="eastAsia" w:ascii="宋体" w:hAnsi="宋体" w:eastAsia="宋体" w:cs="Times New Roman"/>
          <w:color w:val="auto"/>
          <w:szCs w:val="21"/>
          <w:highlight w:val="none"/>
          <w:u w:val="single"/>
        </w:rPr>
        <w:t xml:space="preserve">                        </w:t>
      </w:r>
    </w:p>
    <w:tbl>
      <w:tblPr>
        <w:tblStyle w:val="25"/>
        <w:tblW w:w="8874" w:type="dxa"/>
        <w:tblInd w:w="0" w:type="dxa"/>
        <w:tblLayout w:type="fixed"/>
        <w:tblCellMar>
          <w:top w:w="0" w:type="dxa"/>
          <w:left w:w="0" w:type="dxa"/>
          <w:bottom w:w="0" w:type="dxa"/>
          <w:right w:w="0" w:type="dxa"/>
        </w:tblCellMar>
      </w:tblPr>
      <w:tblGrid>
        <w:gridCol w:w="333"/>
        <w:gridCol w:w="1383"/>
        <w:gridCol w:w="3402"/>
        <w:gridCol w:w="1016"/>
        <w:gridCol w:w="910"/>
        <w:gridCol w:w="916"/>
        <w:gridCol w:w="914"/>
      </w:tblGrid>
      <w:tr w14:paraId="2E9D9E93">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noWrap w:val="0"/>
            <w:vAlign w:val="center"/>
          </w:tcPr>
          <w:p w14:paraId="3614831B">
            <w:pPr>
              <w:widowControl w:val="0"/>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标的名称</w:t>
            </w:r>
          </w:p>
        </w:tc>
        <w:tc>
          <w:tcPr>
            <w:tcW w:w="3402" w:type="dxa"/>
            <w:vMerge w:val="restart"/>
            <w:tcBorders>
              <w:top w:val="double" w:color="auto" w:sz="4" w:space="0"/>
              <w:left w:val="single" w:color="auto" w:sz="6" w:space="0"/>
              <w:right w:val="single" w:color="auto" w:sz="6" w:space="0"/>
            </w:tcBorders>
            <w:noWrap w:val="0"/>
            <w:vAlign w:val="center"/>
          </w:tcPr>
          <w:p w14:paraId="6C86CA75">
            <w:pPr>
              <w:widowControl w:val="0"/>
              <w:autoSpaceDE w:val="0"/>
              <w:autoSpaceDN w:val="0"/>
              <w:adjustRightInd w:val="0"/>
              <w:snapToGrid w:val="0"/>
              <w:spacing w:line="360" w:lineRule="auto"/>
              <w:ind w:right="-2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服务要求</w:t>
            </w:r>
          </w:p>
        </w:tc>
        <w:tc>
          <w:tcPr>
            <w:tcW w:w="1016" w:type="dxa"/>
            <w:vMerge w:val="restart"/>
            <w:tcBorders>
              <w:top w:val="double" w:color="auto" w:sz="4" w:space="0"/>
              <w:left w:val="single" w:color="auto" w:sz="6" w:space="0"/>
              <w:right w:val="single" w:color="auto" w:sz="4" w:space="0"/>
            </w:tcBorders>
            <w:noWrap w:val="0"/>
            <w:vAlign w:val="center"/>
          </w:tcPr>
          <w:p w14:paraId="0BFB0FC4">
            <w:pPr>
              <w:widowControl w:val="0"/>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Times New Roman"/>
                <w:color w:val="auto"/>
                <w:kern w:val="0"/>
                <w:szCs w:val="21"/>
                <w:highlight w:val="none"/>
              </w:rPr>
              <w:t>数量/单位</w:t>
            </w:r>
          </w:p>
        </w:tc>
        <w:tc>
          <w:tcPr>
            <w:tcW w:w="1826" w:type="dxa"/>
            <w:gridSpan w:val="2"/>
            <w:tcBorders>
              <w:top w:val="double" w:color="auto" w:sz="4" w:space="0"/>
              <w:left w:val="single" w:color="auto" w:sz="4" w:space="0"/>
              <w:bottom w:val="single" w:color="auto" w:sz="6" w:space="0"/>
              <w:right w:val="single" w:color="auto" w:sz="6" w:space="0"/>
            </w:tcBorders>
            <w:noWrap w:val="0"/>
            <w:vAlign w:val="center"/>
          </w:tcPr>
          <w:p w14:paraId="654D211E">
            <w:pPr>
              <w:widowControl w:val="0"/>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0C2E1E4A">
            <w:pPr>
              <w:widowControl w:val="0"/>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备注</w:t>
            </w:r>
          </w:p>
        </w:tc>
      </w:tr>
      <w:tr w14:paraId="6280B0F9">
        <w:tblPrEx>
          <w:tblCellMar>
            <w:top w:w="0" w:type="dxa"/>
            <w:left w:w="0" w:type="dxa"/>
            <w:bottom w:w="0" w:type="dxa"/>
            <w:right w:w="0" w:type="dxa"/>
          </w:tblCellMar>
        </w:tblPrEx>
        <w:trPr>
          <w:trHeight w:val="873" w:hRule="exact"/>
        </w:trPr>
        <w:tc>
          <w:tcPr>
            <w:tcW w:w="1716" w:type="dxa"/>
            <w:gridSpan w:val="2"/>
            <w:vMerge w:val="continue"/>
            <w:tcBorders>
              <w:left w:val="double" w:color="auto" w:sz="4" w:space="0"/>
              <w:bottom w:val="single" w:color="auto" w:sz="6" w:space="0"/>
              <w:right w:val="single" w:color="auto" w:sz="6" w:space="0"/>
            </w:tcBorders>
            <w:noWrap w:val="0"/>
            <w:vAlign w:val="top"/>
          </w:tcPr>
          <w:p w14:paraId="4A669F59">
            <w:pPr>
              <w:widowControl w:val="0"/>
              <w:autoSpaceDE w:val="0"/>
              <w:autoSpaceDN w:val="0"/>
              <w:adjustRightInd w:val="0"/>
              <w:snapToGrid w:val="0"/>
              <w:spacing w:line="360" w:lineRule="auto"/>
              <w:ind w:left="352" w:right="-20"/>
              <w:jc w:val="left"/>
              <w:rPr>
                <w:rFonts w:ascii="宋体" w:hAnsi="宋体" w:eastAsia="宋体" w:cs="Times New Roman"/>
                <w:color w:val="auto"/>
                <w:kern w:val="0"/>
                <w:szCs w:val="21"/>
                <w:highlight w:val="none"/>
              </w:rPr>
            </w:pPr>
          </w:p>
        </w:tc>
        <w:tc>
          <w:tcPr>
            <w:tcW w:w="3402" w:type="dxa"/>
            <w:vMerge w:val="continue"/>
            <w:tcBorders>
              <w:left w:val="single" w:color="auto" w:sz="6" w:space="0"/>
              <w:bottom w:val="single" w:color="auto" w:sz="6" w:space="0"/>
              <w:right w:val="single" w:color="auto" w:sz="6" w:space="0"/>
            </w:tcBorders>
            <w:noWrap w:val="0"/>
            <w:vAlign w:val="center"/>
          </w:tcPr>
          <w:p w14:paraId="22ECFDA8">
            <w:pPr>
              <w:widowControl w:val="0"/>
              <w:autoSpaceDE w:val="0"/>
              <w:autoSpaceDN w:val="0"/>
              <w:adjustRightInd w:val="0"/>
              <w:snapToGrid w:val="0"/>
              <w:spacing w:line="360" w:lineRule="auto"/>
              <w:ind w:right="-20"/>
              <w:jc w:val="center"/>
              <w:rPr>
                <w:rFonts w:ascii="宋体" w:hAnsi="宋体" w:eastAsia="宋体" w:cs="Times New Roman"/>
                <w:color w:val="auto"/>
                <w:kern w:val="0"/>
                <w:szCs w:val="21"/>
                <w:highlight w:val="none"/>
              </w:rPr>
            </w:pPr>
          </w:p>
        </w:tc>
        <w:tc>
          <w:tcPr>
            <w:tcW w:w="1016" w:type="dxa"/>
            <w:vMerge w:val="continue"/>
            <w:tcBorders>
              <w:left w:val="single" w:color="auto" w:sz="6" w:space="0"/>
              <w:bottom w:val="single" w:color="auto" w:sz="6" w:space="0"/>
              <w:right w:val="single" w:color="auto" w:sz="4" w:space="0"/>
            </w:tcBorders>
            <w:noWrap w:val="0"/>
            <w:vAlign w:val="center"/>
          </w:tcPr>
          <w:p w14:paraId="3C060DE1">
            <w:pPr>
              <w:widowControl w:val="0"/>
              <w:autoSpaceDE w:val="0"/>
              <w:autoSpaceDN w:val="0"/>
              <w:adjustRightInd w:val="0"/>
              <w:snapToGrid w:val="0"/>
              <w:spacing w:line="360" w:lineRule="auto"/>
              <w:ind w:right="-20"/>
              <w:jc w:val="center"/>
              <w:rPr>
                <w:rFonts w:ascii="宋体" w:hAnsi="宋体" w:eastAsia="宋体" w:cs="Times New Roman"/>
                <w:color w:val="auto"/>
                <w:kern w:val="0"/>
                <w:szCs w:val="21"/>
                <w:highlight w:val="none"/>
              </w:rPr>
            </w:pPr>
          </w:p>
        </w:tc>
        <w:tc>
          <w:tcPr>
            <w:tcW w:w="910" w:type="dxa"/>
            <w:tcBorders>
              <w:top w:val="single" w:color="auto" w:sz="6" w:space="0"/>
              <w:left w:val="single" w:color="auto" w:sz="4" w:space="0"/>
              <w:bottom w:val="single" w:color="auto" w:sz="6" w:space="0"/>
              <w:right w:val="single" w:color="auto" w:sz="4" w:space="0"/>
            </w:tcBorders>
            <w:noWrap w:val="0"/>
            <w:vAlign w:val="center"/>
          </w:tcPr>
          <w:p w14:paraId="11A8495D">
            <w:pPr>
              <w:widowControl w:val="0"/>
              <w:autoSpaceDE w:val="0"/>
              <w:autoSpaceDN w:val="0"/>
              <w:adjustRightInd w:val="0"/>
              <w:snapToGrid w:val="0"/>
              <w:spacing w:line="360" w:lineRule="auto"/>
              <w:ind w:right="-20"/>
              <w:jc w:val="center"/>
              <w:rPr>
                <w:rFonts w:ascii="宋体" w:hAnsi="宋体" w:eastAsia="宋体" w:cs="Times New Roman"/>
                <w:color w:val="auto"/>
                <w:kern w:val="0"/>
                <w:szCs w:val="21"/>
                <w:highlight w:val="none"/>
              </w:rPr>
            </w:pPr>
            <w:r>
              <w:rPr>
                <w:rFonts w:hint="eastAsia" w:ascii="宋体" w:hAnsi="宋体" w:eastAsia="宋体" w:cs="微软雅黑"/>
                <w:color w:val="auto"/>
                <w:kern w:val="0"/>
                <w:position w:val="-1"/>
                <w:szCs w:val="21"/>
                <w:highlight w:val="none"/>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00695A39">
            <w:pPr>
              <w:widowControl w:val="0"/>
              <w:autoSpaceDE w:val="0"/>
              <w:autoSpaceDN w:val="0"/>
              <w:adjustRightInd w:val="0"/>
              <w:snapToGrid w:val="0"/>
              <w:spacing w:line="360" w:lineRule="auto"/>
              <w:ind w:left="70" w:right="-20"/>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小计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327B05CA">
            <w:pPr>
              <w:widowControl w:val="0"/>
              <w:autoSpaceDE w:val="0"/>
              <w:autoSpaceDN w:val="0"/>
              <w:adjustRightInd w:val="0"/>
              <w:snapToGrid w:val="0"/>
              <w:spacing w:line="360" w:lineRule="auto"/>
              <w:ind w:left="422" w:right="-20"/>
              <w:jc w:val="left"/>
              <w:rPr>
                <w:rFonts w:ascii="宋体" w:hAnsi="宋体" w:eastAsia="宋体" w:cs="Times New Roman"/>
                <w:color w:val="auto"/>
                <w:kern w:val="0"/>
                <w:szCs w:val="21"/>
                <w:highlight w:val="none"/>
              </w:rPr>
            </w:pPr>
          </w:p>
        </w:tc>
      </w:tr>
      <w:tr w14:paraId="4FD667B4">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9BA79CF">
            <w:pPr>
              <w:widowControl w:val="0"/>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54DF5E0B">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466D54F0">
            <w:pPr>
              <w:widowControl w:val="0"/>
              <w:autoSpaceDE w:val="0"/>
              <w:autoSpaceDN w:val="0"/>
              <w:adjustRightInd w:val="0"/>
              <w:snapToGrid w:val="0"/>
              <w:spacing w:line="360" w:lineRule="auto"/>
              <w:jc w:val="left"/>
              <w:rPr>
                <w:rFonts w:hint="default" w:ascii="宋体" w:hAnsi="宋体" w:eastAsia="宋体" w:cs="Times New Roman"/>
                <w:color w:val="auto"/>
                <w:kern w:val="0"/>
                <w:szCs w:val="21"/>
                <w:highlight w:val="none"/>
                <w:lang w:val="en-US"/>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5422628A">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129E54F7">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6AA32421">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4C9E1590">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29E08DB3">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46250FF9">
            <w:pPr>
              <w:widowControl w:val="0"/>
              <w:jc w:val="center"/>
              <w:rPr>
                <w:rFonts w:ascii="宋体" w:hAnsi="宋体" w:eastAsia="宋体" w:cs="宋体"/>
                <w:color w:val="auto"/>
                <w:highlight w:val="none"/>
              </w:rPr>
            </w:pPr>
            <w:r>
              <w:rPr>
                <w:rFonts w:hint="eastAsia" w:ascii="宋体" w:hAnsi="宋体" w:eastAsia="宋体" w:cs="宋体"/>
                <w:color w:val="auto"/>
                <w:highlight w:val="none"/>
              </w:rPr>
              <w:t>2</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59217B43">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2430454C">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35C91BC4">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21BE38BE">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3BC4EC65">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0F01D41C">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098A5E62">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B1ADCBF">
            <w:pPr>
              <w:widowControl w:val="0"/>
              <w:jc w:val="center"/>
              <w:rPr>
                <w:rFonts w:ascii="宋体" w:hAnsi="宋体" w:eastAsia="宋体" w:cs="宋体"/>
                <w:color w:val="auto"/>
                <w:highlight w:val="none"/>
              </w:rPr>
            </w:pPr>
            <w:r>
              <w:rPr>
                <w:rFonts w:hint="eastAsia" w:ascii="宋体" w:hAnsi="宋体" w:eastAsia="宋体" w:cs="宋体"/>
                <w:color w:val="auto"/>
                <w:highlight w:val="none"/>
              </w:rPr>
              <w:t>3</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1F33D8F1">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12C194CB">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79387132">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06A47DF7">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CF8D625">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0FD2CA3E">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6263C93B">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0BA4C561">
            <w:pPr>
              <w:widowControl w:val="0"/>
              <w:jc w:val="center"/>
              <w:rPr>
                <w:rFonts w:ascii="宋体" w:hAnsi="宋体" w:eastAsia="宋体" w:cs="宋体"/>
                <w:color w:val="auto"/>
                <w:highlight w:val="none"/>
              </w:rPr>
            </w:pPr>
            <w:r>
              <w:rPr>
                <w:rFonts w:hint="eastAsia" w:ascii="宋体" w:hAnsi="宋体" w:eastAsia="宋体" w:cs="宋体"/>
                <w:color w:val="auto"/>
                <w:highlight w:val="none"/>
              </w:rPr>
              <w:t>4</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364939C6">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5215DFE0">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30744C5E">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33CDB076">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2D40460">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5A30022D">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5323E83C">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3F539E7">
            <w:pPr>
              <w:widowControl w:val="0"/>
              <w:jc w:val="center"/>
              <w:rPr>
                <w:rFonts w:ascii="宋体" w:hAnsi="宋体" w:eastAsia="宋体" w:cs="宋体"/>
                <w:color w:val="auto"/>
                <w:highlight w:val="none"/>
              </w:rPr>
            </w:pPr>
            <w:r>
              <w:rPr>
                <w:rFonts w:hint="eastAsia" w:ascii="宋体" w:hAnsi="宋体" w:eastAsia="宋体" w:cs="宋体"/>
                <w:color w:val="auto"/>
                <w:highlight w:val="none"/>
              </w:rPr>
              <w:t>5</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09A63D1C">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7748ABB8">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2ADF10C3">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4E13E069">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AB6EA8A">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41662B5D">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003CD896">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31CB686C">
            <w:pPr>
              <w:widowControl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p>
        </w:tc>
        <w:tc>
          <w:tcPr>
            <w:tcW w:w="1383" w:type="dxa"/>
            <w:tcBorders>
              <w:top w:val="single" w:color="auto" w:sz="6" w:space="0"/>
              <w:left w:val="single" w:color="auto" w:sz="6" w:space="0"/>
              <w:bottom w:val="single" w:color="auto" w:sz="6" w:space="0"/>
              <w:right w:val="single" w:color="auto" w:sz="6" w:space="0"/>
            </w:tcBorders>
            <w:noWrap w:val="0"/>
            <w:vAlign w:val="top"/>
          </w:tcPr>
          <w:p w14:paraId="6FA6FF2C">
            <w:pPr>
              <w:widowControl w:val="0"/>
              <w:autoSpaceDE w:val="0"/>
              <w:autoSpaceDN w:val="0"/>
              <w:adjustRightInd w:val="0"/>
              <w:snapToGrid w:val="0"/>
              <w:spacing w:line="360" w:lineRule="auto"/>
              <w:ind w:left="527" w:right="507"/>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7E277F77">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3C02A2B9">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75BADAD1">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4560A35D">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5F2F9510">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5AD922F7">
        <w:tblPrEx>
          <w:tblCellMar>
            <w:top w:w="0" w:type="dxa"/>
            <w:left w:w="0" w:type="dxa"/>
            <w:bottom w:w="0" w:type="dxa"/>
            <w:right w:w="0" w:type="dxa"/>
          </w:tblCellMar>
        </w:tblPrEx>
        <w:trPr>
          <w:trHeight w:val="415" w:hRule="exact"/>
        </w:trPr>
        <w:tc>
          <w:tcPr>
            <w:tcW w:w="7044" w:type="dxa"/>
            <w:gridSpan w:val="5"/>
            <w:tcBorders>
              <w:top w:val="single" w:color="auto" w:sz="6" w:space="0"/>
              <w:left w:val="double" w:color="auto" w:sz="4" w:space="0"/>
              <w:bottom w:val="double" w:color="auto" w:sz="4" w:space="0"/>
              <w:right w:val="single" w:color="auto" w:sz="6" w:space="0"/>
            </w:tcBorders>
            <w:noWrap w:val="0"/>
            <w:vAlign w:val="center"/>
          </w:tcPr>
          <w:p w14:paraId="59F4E970">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微软雅黑"/>
                <w:color w:val="auto"/>
                <w:kern w:val="0"/>
                <w:position w:val="-1"/>
                <w:szCs w:val="21"/>
                <w:highlight w:val="none"/>
              </w:rPr>
              <w:t>报价（元）：</w:t>
            </w:r>
          </w:p>
        </w:tc>
        <w:tc>
          <w:tcPr>
            <w:tcW w:w="916" w:type="dxa"/>
            <w:tcBorders>
              <w:top w:val="single" w:color="auto" w:sz="6" w:space="0"/>
              <w:left w:val="single" w:color="auto" w:sz="6" w:space="0"/>
              <w:bottom w:val="double" w:color="auto" w:sz="4" w:space="0"/>
              <w:right w:val="single" w:color="auto" w:sz="6" w:space="0"/>
            </w:tcBorders>
            <w:noWrap w:val="0"/>
            <w:vAlign w:val="top"/>
          </w:tcPr>
          <w:p w14:paraId="4E8E4D51">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double" w:color="auto" w:sz="4" w:space="0"/>
              <w:right w:val="double" w:color="auto" w:sz="4" w:space="0"/>
            </w:tcBorders>
            <w:noWrap w:val="0"/>
            <w:vAlign w:val="top"/>
          </w:tcPr>
          <w:p w14:paraId="5900EA9F">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bl>
    <w:p w14:paraId="7EA4C248">
      <w:pPr>
        <w:widowControl w:val="0"/>
        <w:adjustRightInd w:val="0"/>
        <w:snapToGrid w:val="0"/>
        <w:spacing w:line="360" w:lineRule="auto"/>
        <w:rPr>
          <w:rFonts w:hint="eastAsia" w:ascii="宋体" w:hAnsi="宋体" w:eastAsia="宋体" w:cs="Times New Roman"/>
          <w:color w:val="auto"/>
          <w:szCs w:val="21"/>
          <w:highlight w:val="none"/>
        </w:rPr>
      </w:pPr>
    </w:p>
    <w:p w14:paraId="39127DC1">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注：1.</w:t>
      </w:r>
      <w:r>
        <w:rPr>
          <w:rFonts w:hint="eastAsia" w:ascii="宋体" w:hAnsi="宋体" w:eastAsia="宋体" w:cs="Times New Roman"/>
          <w:b/>
          <w:color w:val="auto"/>
          <w:szCs w:val="21"/>
          <w:highlight w:val="none"/>
        </w:rPr>
        <w:t>本表应对应</w:t>
      </w:r>
      <w:r>
        <w:rPr>
          <w:rFonts w:hint="eastAsia" w:ascii="宋体" w:hAnsi="宋体" w:eastAsia="宋体" w:cs="Times New Roman"/>
          <w:color w:val="auto"/>
          <w:szCs w:val="21"/>
          <w:highlight w:val="none"/>
        </w:rPr>
        <w:t>“</w:t>
      </w:r>
      <w:r>
        <w:rPr>
          <w:rFonts w:hint="eastAsia" w:ascii="宋体" w:hAnsi="宋体" w:eastAsia="宋体" w:cs="Times New Roman"/>
          <w:b/>
          <w:color w:val="auto"/>
          <w:szCs w:val="21"/>
          <w:highlight w:val="none"/>
        </w:rPr>
        <w:t>报价表</w:t>
      </w:r>
      <w:r>
        <w:rPr>
          <w:rFonts w:hint="eastAsia" w:ascii="宋体" w:hAnsi="宋体" w:eastAsia="宋体" w:cs="Times New Roman"/>
          <w:color w:val="auto"/>
          <w:szCs w:val="21"/>
          <w:highlight w:val="none"/>
        </w:rPr>
        <w:t>”</w:t>
      </w:r>
      <w:r>
        <w:rPr>
          <w:rFonts w:hint="eastAsia" w:ascii="宋体" w:hAnsi="宋体" w:eastAsia="宋体" w:cs="Times New Roman"/>
          <w:b/>
          <w:color w:val="auto"/>
          <w:szCs w:val="21"/>
          <w:highlight w:val="none"/>
        </w:rPr>
        <w:t>，按包填写</w:t>
      </w:r>
      <w:r>
        <w:rPr>
          <w:rFonts w:hint="eastAsia" w:ascii="宋体" w:hAnsi="宋体" w:eastAsia="宋体" w:cs="Times New Roman"/>
          <w:color w:val="auto"/>
          <w:szCs w:val="21"/>
          <w:highlight w:val="none"/>
        </w:rPr>
        <w:t>。供应商如果不提供分项报价明细表，其</w:t>
      </w:r>
      <w:r>
        <w:rPr>
          <w:rFonts w:hint="eastAsia" w:ascii="宋体" w:hAnsi="宋体" w:eastAsia="宋体" w:cs="Times New Roman"/>
          <w:b/>
          <w:color w:val="auto"/>
          <w:szCs w:val="21"/>
          <w:highlight w:val="none"/>
        </w:rPr>
        <w:t>响应无效</w:t>
      </w:r>
      <w:r>
        <w:rPr>
          <w:rFonts w:hint="eastAsia" w:ascii="宋体" w:hAnsi="宋体" w:eastAsia="宋体" w:cs="Times New Roman"/>
          <w:color w:val="auto"/>
          <w:szCs w:val="21"/>
          <w:highlight w:val="none"/>
        </w:rPr>
        <w:t>。</w:t>
      </w:r>
    </w:p>
    <w:p w14:paraId="541EA99D">
      <w:pPr>
        <w:widowControl w:val="0"/>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2.不得填写“免费”或“赠与”，也不得进行“零”报价，否则</w:t>
      </w:r>
      <w:r>
        <w:rPr>
          <w:rFonts w:hint="eastAsia" w:ascii="宋体" w:hAnsi="宋体" w:eastAsia="宋体" w:cs="Times New Roman"/>
          <w:b/>
          <w:color w:val="auto"/>
          <w:szCs w:val="21"/>
          <w:highlight w:val="none"/>
        </w:rPr>
        <w:t>响应无效</w:t>
      </w:r>
      <w:r>
        <w:rPr>
          <w:rFonts w:hint="eastAsia" w:ascii="宋体" w:hAnsi="宋体" w:eastAsia="宋体" w:cs="Times New Roman"/>
          <w:color w:val="auto"/>
          <w:szCs w:val="21"/>
          <w:highlight w:val="none"/>
        </w:rPr>
        <w:t>。</w:t>
      </w:r>
    </w:p>
    <w:p w14:paraId="55CE3426">
      <w:pPr>
        <w:widowControl w:val="0"/>
        <w:adjustRightInd w:val="0"/>
        <w:snapToGrid w:val="0"/>
        <w:spacing w:line="360" w:lineRule="auto"/>
        <w:ind w:firstLine="420" w:firstLineChars="200"/>
        <w:rPr>
          <w:rFonts w:ascii="宋体" w:hAnsi="宋体" w:eastAsia="宋体" w:cs="Times New Roman"/>
          <w:b/>
          <w:color w:val="auto"/>
          <w:szCs w:val="21"/>
          <w:highlight w:val="none"/>
        </w:rPr>
      </w:pPr>
    </w:p>
    <w:p w14:paraId="5F7C0AF8">
      <w:pPr>
        <w:widowControl w:val="0"/>
        <w:adjustRightInd w:val="0"/>
        <w:snapToGrid w:val="0"/>
        <w:spacing w:line="360" w:lineRule="auto"/>
        <w:rPr>
          <w:rFonts w:ascii="宋体" w:hAnsi="宋体" w:eastAsia="宋体" w:cs="Times New Roman"/>
          <w:color w:val="auto"/>
          <w:szCs w:val="21"/>
          <w:highlight w:val="none"/>
        </w:rPr>
      </w:pPr>
    </w:p>
    <w:p w14:paraId="651E62A2">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供应商名称（盖单位公章）：</w:t>
      </w:r>
    </w:p>
    <w:p w14:paraId="0D7C1F82">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0705745B">
      <w:pPr>
        <w:keepNext/>
        <w:keepLines/>
        <w:widowControl w:val="0"/>
        <w:adjustRightInd w:val="0"/>
        <w:snapToGrid w:val="0"/>
        <w:spacing w:before="156" w:beforeLines="50" w:line="360" w:lineRule="auto"/>
        <w:outlineLvl w:val="9"/>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日期：       年        月        日</w:t>
      </w:r>
    </w:p>
    <w:p w14:paraId="5363D52D">
      <w:pPr>
        <w:widowControl w:val="0"/>
        <w:adjustRightInd w:val="0"/>
        <w:snapToGrid w:val="0"/>
        <w:spacing w:before="156" w:beforeLines="50" w:line="360" w:lineRule="auto"/>
        <w:jc w:val="both"/>
        <w:rPr>
          <w:rFonts w:ascii="黑体" w:hAnsi="宋体" w:eastAsia="黑体" w:cs="微软雅黑"/>
          <w:b/>
          <w:color w:val="auto"/>
          <w:kern w:val="0"/>
          <w:position w:val="-3"/>
          <w:sz w:val="28"/>
          <w:szCs w:val="28"/>
          <w:highlight w:val="none"/>
        </w:rPr>
      </w:pPr>
    </w:p>
    <w:p w14:paraId="44C50F36">
      <w:pPr>
        <w:widowControl w:val="0"/>
        <w:jc w:val="center"/>
        <w:rPr>
          <w:rFonts w:ascii="黑体" w:hAnsi="黑体" w:eastAsia="黑体" w:cs="Times New Roman"/>
          <w:color w:val="auto"/>
          <w:sz w:val="28"/>
          <w:szCs w:val="28"/>
          <w:highlight w:val="none"/>
        </w:rPr>
      </w:pPr>
    </w:p>
    <w:p w14:paraId="004A69BE">
      <w:pPr>
        <w:keepNext/>
        <w:keepLines/>
        <w:widowControl w:val="0"/>
        <w:spacing w:line="360" w:lineRule="auto"/>
        <w:jc w:val="center"/>
        <w:outlineLvl w:val="1"/>
        <w:rPr>
          <w:rFonts w:ascii="黑体" w:hAnsi="黑体" w:eastAsia="黑体" w:cs="Times New Roman"/>
          <w:b/>
          <w:bCs/>
          <w:color w:val="auto"/>
          <w:sz w:val="28"/>
          <w:szCs w:val="28"/>
          <w:highlight w:val="none"/>
        </w:rPr>
      </w:pPr>
      <w:r>
        <w:rPr>
          <w:rFonts w:hint="eastAsia" w:ascii="黑体" w:hAnsi="黑体" w:eastAsia="黑体" w:cs="黑体"/>
          <w:color w:val="auto"/>
          <w:sz w:val="32"/>
          <w:szCs w:val="32"/>
          <w:highlight w:val="none"/>
        </w:rPr>
        <w:br w:type="page"/>
      </w:r>
      <w:bookmarkStart w:id="120" w:name="_Toc4965"/>
      <w:r>
        <w:rPr>
          <w:rFonts w:hint="eastAsia" w:ascii="黑体" w:hAnsi="黑体" w:eastAsia="黑体" w:cs="Times New Roman"/>
          <w:b/>
          <w:bCs/>
          <w:color w:val="auto"/>
          <w:sz w:val="28"/>
          <w:szCs w:val="28"/>
          <w:highlight w:val="none"/>
        </w:rPr>
        <w:t>二、</w:t>
      </w:r>
      <w:r>
        <w:rPr>
          <w:rFonts w:hint="eastAsia" w:ascii="黑体" w:hAnsi="黑体" w:eastAsia="黑体" w:cs="Times New Roman"/>
          <w:b/>
          <w:bCs/>
          <w:color w:val="auto"/>
          <w:sz w:val="28"/>
          <w:szCs w:val="28"/>
          <w:highlight w:val="none"/>
          <w:lang w:eastAsia="zh-CN"/>
        </w:rPr>
        <w:t>供应商资格声明</w:t>
      </w:r>
      <w:r>
        <w:rPr>
          <w:rFonts w:hint="eastAsia" w:ascii="黑体" w:hAnsi="黑体" w:eastAsia="黑体" w:cs="Times New Roman"/>
          <w:b/>
          <w:bCs/>
          <w:color w:val="auto"/>
          <w:sz w:val="28"/>
          <w:szCs w:val="28"/>
          <w:highlight w:val="none"/>
        </w:rPr>
        <w:t>(格式)</w:t>
      </w:r>
      <w:bookmarkEnd w:id="120"/>
    </w:p>
    <w:p w14:paraId="465B740D">
      <w:pPr>
        <w:kinsoku w:val="0"/>
        <w:autoSpaceDE w:val="0"/>
        <w:autoSpaceDN w:val="0"/>
        <w:adjustRightInd w:val="0"/>
        <w:snapToGrid w:val="0"/>
        <w:spacing w:before="287" w:line="227" w:lineRule="auto"/>
        <w:ind w:left="22"/>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5"/>
          <w:kern w:val="0"/>
          <w:sz w:val="21"/>
          <w:szCs w:val="21"/>
          <w:highlight w:val="none"/>
          <w:lang w:eastAsia="en-US"/>
        </w:rPr>
        <w:t>致</w:t>
      </w:r>
      <w:r>
        <w:rPr>
          <w:rFonts w:hint="eastAsia" w:ascii="宋体" w:hAnsi="宋体" w:eastAsia="宋体" w:cs="宋体"/>
          <w:snapToGrid w:val="0"/>
          <w:color w:val="auto"/>
          <w:spacing w:val="5"/>
          <w:kern w:val="0"/>
          <w:sz w:val="21"/>
          <w:szCs w:val="21"/>
          <w:highlight w:val="none"/>
          <w:u w:val="single" w:color="auto"/>
          <w:lang w:eastAsia="en-US"/>
        </w:rPr>
        <w:t xml:space="preserve">            </w:t>
      </w:r>
      <w:r>
        <w:rPr>
          <w:rFonts w:hint="eastAsia" w:ascii="宋体" w:hAnsi="宋体" w:eastAsia="宋体" w:cs="宋体"/>
          <w:snapToGrid w:val="0"/>
          <w:color w:val="auto"/>
          <w:spacing w:val="-55"/>
          <w:kern w:val="0"/>
          <w:sz w:val="21"/>
          <w:szCs w:val="21"/>
          <w:highlight w:val="none"/>
          <w:lang w:eastAsia="en-US"/>
        </w:rPr>
        <w:t xml:space="preserve"> </w:t>
      </w:r>
      <w:r>
        <w:rPr>
          <w:rFonts w:hint="eastAsia" w:ascii="宋体" w:hAnsi="宋体" w:eastAsia="宋体" w:cs="宋体"/>
          <w:snapToGrid w:val="0"/>
          <w:color w:val="auto"/>
          <w:spacing w:val="5"/>
          <w:kern w:val="0"/>
          <w:sz w:val="21"/>
          <w:szCs w:val="21"/>
          <w:highlight w:val="none"/>
          <w:lang w:eastAsia="en-US"/>
        </w:rPr>
        <w:t>(采购人、采购</w:t>
      </w:r>
      <w:r>
        <w:rPr>
          <w:rFonts w:hint="eastAsia" w:ascii="宋体" w:hAnsi="宋体" w:eastAsia="宋体" w:cs="宋体"/>
          <w:snapToGrid w:val="0"/>
          <w:color w:val="auto"/>
          <w:spacing w:val="4"/>
          <w:kern w:val="0"/>
          <w:sz w:val="21"/>
          <w:szCs w:val="21"/>
          <w:highlight w:val="none"/>
          <w:lang w:eastAsia="en-US"/>
        </w:rPr>
        <w:t>代理机构)：</w:t>
      </w:r>
    </w:p>
    <w:p w14:paraId="294D25BD">
      <w:pPr>
        <w:kinsoku w:val="0"/>
        <w:autoSpaceDE w:val="0"/>
        <w:autoSpaceDN w:val="0"/>
        <w:adjustRightInd w:val="0"/>
        <w:snapToGrid w:val="0"/>
        <w:spacing w:before="196" w:line="405" w:lineRule="auto"/>
        <w:ind w:left="27" w:right="82" w:firstLine="416"/>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8"/>
          <w:kern w:val="0"/>
          <w:sz w:val="21"/>
          <w:szCs w:val="21"/>
          <w:highlight w:val="none"/>
          <w:lang w:eastAsia="en-US"/>
        </w:rPr>
        <w:t>按照《中华人民共和国政府采购法》及实施条例和</w:t>
      </w:r>
      <w:r>
        <w:rPr>
          <w:rFonts w:hint="eastAsia" w:ascii="宋体" w:hAnsi="宋体" w:eastAsia="宋体" w:cs="宋体"/>
          <w:snapToGrid w:val="0"/>
          <w:color w:val="auto"/>
          <w:spacing w:val="-98"/>
          <w:kern w:val="0"/>
          <w:sz w:val="21"/>
          <w:szCs w:val="21"/>
          <w:highlight w:val="none"/>
          <w:lang w:eastAsia="en-US"/>
        </w:rPr>
        <w:t xml:space="preserve"> </w:t>
      </w:r>
      <w:r>
        <w:rPr>
          <w:rFonts w:hint="eastAsia" w:ascii="宋体" w:hAnsi="宋体" w:eastAsia="宋体" w:cs="宋体"/>
          <w:snapToGrid w:val="0"/>
          <w:color w:val="auto"/>
          <w:spacing w:val="5"/>
          <w:kern w:val="0"/>
          <w:sz w:val="21"/>
          <w:szCs w:val="21"/>
          <w:highlight w:val="none"/>
          <w:u w:val="single" w:color="auto"/>
          <w:lang w:eastAsia="en-US"/>
        </w:rPr>
        <w:t xml:space="preserve">         </w:t>
      </w:r>
      <w:r>
        <w:rPr>
          <w:rFonts w:hint="eastAsia" w:ascii="宋体" w:hAnsi="宋体" w:eastAsia="宋体" w:cs="宋体"/>
          <w:snapToGrid w:val="0"/>
          <w:color w:val="auto"/>
          <w:spacing w:val="-54"/>
          <w:kern w:val="0"/>
          <w:sz w:val="21"/>
          <w:szCs w:val="21"/>
          <w:highlight w:val="none"/>
          <w:lang w:eastAsia="en-US"/>
        </w:rPr>
        <w:t xml:space="preserve"> </w:t>
      </w:r>
      <w:r>
        <w:rPr>
          <w:rFonts w:hint="eastAsia" w:ascii="宋体" w:hAnsi="宋体" w:eastAsia="宋体" w:cs="宋体"/>
          <w:snapToGrid w:val="0"/>
          <w:color w:val="auto"/>
          <w:spacing w:val="8"/>
          <w:kern w:val="0"/>
          <w:sz w:val="21"/>
          <w:szCs w:val="21"/>
          <w:highlight w:val="none"/>
          <w:lang w:eastAsia="en-US"/>
        </w:rPr>
        <w:t>(项目名称)邀请</w:t>
      </w:r>
      <w:r>
        <w:rPr>
          <w:rFonts w:hint="eastAsia" w:ascii="宋体" w:hAnsi="宋体" w:eastAsia="宋体" w:cs="宋体"/>
          <w:snapToGrid w:val="0"/>
          <w:color w:val="auto"/>
          <w:spacing w:val="7"/>
          <w:kern w:val="0"/>
          <w:sz w:val="21"/>
          <w:szCs w:val="21"/>
          <w:highlight w:val="none"/>
          <w:lang w:eastAsia="en-US"/>
        </w:rPr>
        <w:t>公告的规定，我单位郑重声明如下：</w:t>
      </w:r>
    </w:p>
    <w:p w14:paraId="5EB9DD17">
      <w:pPr>
        <w:kinsoku w:val="0"/>
        <w:autoSpaceDE w:val="0"/>
        <w:autoSpaceDN w:val="0"/>
        <w:adjustRightInd w:val="0"/>
        <w:snapToGrid w:val="0"/>
        <w:spacing w:line="406" w:lineRule="auto"/>
        <w:ind w:left="24" w:right="16" w:firstLine="420"/>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9"/>
          <w:kern w:val="0"/>
          <w:sz w:val="21"/>
          <w:szCs w:val="21"/>
          <w:highlight w:val="none"/>
          <w:lang w:eastAsia="en-US"/>
        </w:rPr>
        <w:t>一、我单位是按照中华人民共和国法律规定登记注册的</w:t>
      </w:r>
      <w:r>
        <w:rPr>
          <w:rFonts w:hint="eastAsia" w:ascii="宋体" w:hAnsi="宋体" w:eastAsia="宋体" w:cs="宋体"/>
          <w:snapToGrid w:val="0"/>
          <w:color w:val="auto"/>
          <w:spacing w:val="8"/>
          <w:kern w:val="0"/>
          <w:sz w:val="21"/>
          <w:szCs w:val="21"/>
          <w:highlight w:val="none"/>
          <w:lang w:eastAsia="en-US"/>
        </w:rPr>
        <w:t>，注册地点为</w:t>
      </w:r>
      <w:r>
        <w:rPr>
          <w:rFonts w:hint="eastAsia" w:ascii="宋体" w:hAnsi="宋体" w:eastAsia="宋体" w:cs="宋体"/>
          <w:snapToGrid w:val="0"/>
          <w:color w:val="auto"/>
          <w:spacing w:val="-97"/>
          <w:kern w:val="0"/>
          <w:sz w:val="21"/>
          <w:szCs w:val="21"/>
          <w:highlight w:val="none"/>
          <w:lang w:eastAsia="en-US"/>
        </w:rPr>
        <w:t xml:space="preserve"> </w:t>
      </w:r>
      <w:r>
        <w:rPr>
          <w:rFonts w:hint="eastAsia" w:ascii="宋体" w:hAnsi="宋体" w:eastAsia="宋体" w:cs="宋体"/>
          <w:snapToGrid w:val="0"/>
          <w:color w:val="auto"/>
          <w:spacing w:val="5"/>
          <w:kern w:val="0"/>
          <w:sz w:val="21"/>
          <w:szCs w:val="21"/>
          <w:highlight w:val="none"/>
          <w:u w:val="single" w:color="auto"/>
          <w:lang w:eastAsia="en-US"/>
        </w:rPr>
        <w:t xml:space="preserve">         </w:t>
      </w:r>
      <w:r>
        <w:rPr>
          <w:rFonts w:hint="eastAsia" w:ascii="宋体" w:hAnsi="宋体" w:eastAsia="宋体" w:cs="宋体"/>
          <w:snapToGrid w:val="0"/>
          <w:color w:val="auto"/>
          <w:spacing w:val="-74"/>
          <w:kern w:val="0"/>
          <w:sz w:val="21"/>
          <w:szCs w:val="21"/>
          <w:highlight w:val="none"/>
          <w:lang w:eastAsia="en-US"/>
        </w:rPr>
        <w:t xml:space="preserve"> </w:t>
      </w:r>
      <w:r>
        <w:rPr>
          <w:rFonts w:hint="eastAsia" w:ascii="宋体" w:hAnsi="宋体" w:eastAsia="宋体" w:cs="宋体"/>
          <w:snapToGrid w:val="0"/>
          <w:color w:val="auto"/>
          <w:spacing w:val="8"/>
          <w:kern w:val="0"/>
          <w:sz w:val="21"/>
          <w:szCs w:val="21"/>
          <w:highlight w:val="none"/>
          <w:lang w:eastAsia="en-US"/>
        </w:rPr>
        <w:t>，全称</w:t>
      </w:r>
      <w:r>
        <w:rPr>
          <w:rFonts w:hint="eastAsia" w:ascii="宋体" w:hAnsi="宋体" w:eastAsia="宋体" w:cs="宋体"/>
          <w:snapToGrid w:val="0"/>
          <w:color w:val="auto"/>
          <w:spacing w:val="2"/>
          <w:kern w:val="0"/>
          <w:sz w:val="21"/>
          <w:szCs w:val="21"/>
          <w:highlight w:val="none"/>
          <w:lang w:eastAsia="en-US"/>
        </w:rPr>
        <w:t>为</w:t>
      </w:r>
      <w:r>
        <w:rPr>
          <w:rFonts w:hint="eastAsia" w:ascii="宋体" w:hAnsi="宋体" w:eastAsia="宋体" w:cs="宋体"/>
          <w:snapToGrid w:val="0"/>
          <w:color w:val="auto"/>
          <w:spacing w:val="2"/>
          <w:kern w:val="0"/>
          <w:sz w:val="21"/>
          <w:szCs w:val="21"/>
          <w:highlight w:val="none"/>
          <w:u w:val="single" w:color="auto"/>
          <w:lang w:eastAsia="en-US"/>
        </w:rPr>
        <w:t xml:space="preserve">        </w:t>
      </w:r>
      <w:r>
        <w:rPr>
          <w:rFonts w:hint="eastAsia" w:ascii="宋体" w:hAnsi="宋体" w:eastAsia="宋体" w:cs="宋体"/>
          <w:snapToGrid w:val="0"/>
          <w:color w:val="auto"/>
          <w:spacing w:val="-56"/>
          <w:kern w:val="0"/>
          <w:sz w:val="21"/>
          <w:szCs w:val="21"/>
          <w:highlight w:val="none"/>
          <w:lang w:eastAsia="en-US"/>
        </w:rPr>
        <w:t xml:space="preserve"> </w:t>
      </w:r>
      <w:r>
        <w:rPr>
          <w:rFonts w:hint="eastAsia" w:ascii="宋体" w:hAnsi="宋体" w:eastAsia="宋体" w:cs="宋体"/>
          <w:snapToGrid w:val="0"/>
          <w:color w:val="auto"/>
          <w:spacing w:val="2"/>
          <w:kern w:val="0"/>
          <w:sz w:val="21"/>
          <w:szCs w:val="21"/>
          <w:highlight w:val="none"/>
          <w:lang w:eastAsia="en-US"/>
        </w:rPr>
        <w:t>，统一社会信用代码为</w:t>
      </w:r>
      <w:r>
        <w:rPr>
          <w:rFonts w:hint="eastAsia" w:ascii="宋体" w:hAnsi="宋体" w:eastAsia="宋体" w:cs="宋体"/>
          <w:snapToGrid w:val="0"/>
          <w:color w:val="auto"/>
          <w:spacing w:val="-98"/>
          <w:kern w:val="0"/>
          <w:sz w:val="21"/>
          <w:szCs w:val="21"/>
          <w:highlight w:val="none"/>
          <w:lang w:eastAsia="en-US"/>
        </w:rPr>
        <w:t xml:space="preserve"> </w:t>
      </w:r>
      <w:r>
        <w:rPr>
          <w:rFonts w:hint="eastAsia" w:ascii="宋体" w:hAnsi="宋体" w:eastAsia="宋体" w:cs="宋体"/>
          <w:snapToGrid w:val="0"/>
          <w:color w:val="auto"/>
          <w:spacing w:val="5"/>
          <w:kern w:val="0"/>
          <w:sz w:val="21"/>
          <w:szCs w:val="21"/>
          <w:highlight w:val="none"/>
          <w:u w:val="single" w:color="auto"/>
          <w:lang w:eastAsia="en-US"/>
        </w:rPr>
        <w:t xml:space="preserve">            </w:t>
      </w:r>
      <w:r>
        <w:rPr>
          <w:rFonts w:hint="eastAsia" w:ascii="宋体" w:hAnsi="宋体" w:eastAsia="宋体" w:cs="宋体"/>
          <w:snapToGrid w:val="0"/>
          <w:color w:val="auto"/>
          <w:spacing w:val="-74"/>
          <w:kern w:val="0"/>
          <w:sz w:val="21"/>
          <w:szCs w:val="21"/>
          <w:highlight w:val="none"/>
          <w:lang w:eastAsia="en-US"/>
        </w:rPr>
        <w:t xml:space="preserve"> </w:t>
      </w:r>
      <w:r>
        <w:rPr>
          <w:rFonts w:hint="eastAsia" w:ascii="宋体" w:hAnsi="宋体" w:eastAsia="宋体" w:cs="宋体"/>
          <w:snapToGrid w:val="0"/>
          <w:color w:val="auto"/>
          <w:spacing w:val="2"/>
          <w:kern w:val="0"/>
          <w:sz w:val="21"/>
          <w:szCs w:val="21"/>
          <w:highlight w:val="none"/>
          <w:lang w:eastAsia="en-US"/>
        </w:rPr>
        <w:t>，法定代表人（单位负责人）为</w:t>
      </w:r>
      <w:r>
        <w:rPr>
          <w:rFonts w:hint="eastAsia" w:ascii="宋体" w:hAnsi="宋体" w:eastAsia="宋体" w:cs="宋体"/>
          <w:snapToGrid w:val="0"/>
          <w:color w:val="auto"/>
          <w:spacing w:val="-98"/>
          <w:kern w:val="0"/>
          <w:sz w:val="21"/>
          <w:szCs w:val="21"/>
          <w:highlight w:val="none"/>
          <w:lang w:eastAsia="en-US"/>
        </w:rPr>
        <w:t xml:space="preserve"> </w:t>
      </w:r>
      <w:r>
        <w:rPr>
          <w:rFonts w:hint="eastAsia" w:ascii="宋体" w:hAnsi="宋体" w:eastAsia="宋体" w:cs="宋体"/>
          <w:snapToGrid w:val="0"/>
          <w:color w:val="auto"/>
          <w:spacing w:val="5"/>
          <w:kern w:val="0"/>
          <w:sz w:val="21"/>
          <w:szCs w:val="21"/>
          <w:highlight w:val="none"/>
          <w:u w:val="single" w:color="auto"/>
          <w:lang w:eastAsia="en-US"/>
        </w:rPr>
        <w:t xml:space="preserve">         </w:t>
      </w:r>
      <w:r>
        <w:rPr>
          <w:rFonts w:hint="eastAsia" w:ascii="宋体" w:hAnsi="宋体" w:eastAsia="宋体" w:cs="宋体"/>
          <w:snapToGrid w:val="0"/>
          <w:color w:val="auto"/>
          <w:spacing w:val="2"/>
          <w:kern w:val="0"/>
          <w:sz w:val="21"/>
          <w:szCs w:val="21"/>
          <w:highlight w:val="none"/>
          <w:lang w:eastAsia="en-US"/>
        </w:rPr>
        <w:t>，</w:t>
      </w:r>
      <w:r>
        <w:rPr>
          <w:rFonts w:hint="eastAsia" w:ascii="宋体" w:hAnsi="宋体" w:eastAsia="宋体" w:cs="宋体"/>
          <w:snapToGrid w:val="0"/>
          <w:color w:val="auto"/>
          <w:spacing w:val="8"/>
          <w:kern w:val="0"/>
          <w:sz w:val="21"/>
          <w:szCs w:val="21"/>
          <w:highlight w:val="none"/>
          <w:lang w:eastAsia="en-US"/>
        </w:rPr>
        <w:t>具有独立承担民事责任的能力。</w:t>
      </w:r>
    </w:p>
    <w:p w14:paraId="124753AD">
      <w:pPr>
        <w:kinsoku w:val="0"/>
        <w:autoSpaceDE w:val="0"/>
        <w:autoSpaceDN w:val="0"/>
        <w:adjustRightInd w:val="0"/>
        <w:snapToGrid w:val="0"/>
        <w:spacing w:before="1" w:line="226" w:lineRule="auto"/>
        <w:ind w:left="445"/>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9"/>
          <w:kern w:val="0"/>
          <w:sz w:val="21"/>
          <w:szCs w:val="21"/>
          <w:highlight w:val="none"/>
          <w:lang w:eastAsia="en-US"/>
        </w:rPr>
        <w:t>二、我单位具有良好的商业信誉和健全的财务会计制度。</w:t>
      </w:r>
    </w:p>
    <w:p w14:paraId="1E00BB59">
      <w:pPr>
        <w:kinsoku w:val="0"/>
        <w:autoSpaceDE w:val="0"/>
        <w:autoSpaceDN w:val="0"/>
        <w:adjustRightInd w:val="0"/>
        <w:snapToGrid w:val="0"/>
        <w:spacing w:before="195" w:line="227" w:lineRule="auto"/>
        <w:ind w:left="442"/>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9"/>
          <w:kern w:val="0"/>
          <w:sz w:val="21"/>
          <w:szCs w:val="21"/>
          <w:highlight w:val="none"/>
          <w:lang w:eastAsia="en-US"/>
        </w:rPr>
        <w:t>三、我单位依法进行纳税和社会保险申报并实际履行了义务。</w:t>
      </w:r>
    </w:p>
    <w:p w14:paraId="00F0AC9A">
      <w:pPr>
        <w:kinsoku w:val="0"/>
        <w:autoSpaceDE w:val="0"/>
        <w:autoSpaceDN w:val="0"/>
        <w:adjustRightInd w:val="0"/>
        <w:snapToGrid w:val="0"/>
        <w:spacing w:before="193" w:line="407" w:lineRule="auto"/>
        <w:ind w:left="55" w:right="70" w:firstLine="406"/>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7"/>
          <w:kern w:val="0"/>
          <w:sz w:val="21"/>
          <w:szCs w:val="21"/>
          <w:highlight w:val="none"/>
          <w:lang w:eastAsia="en-US"/>
        </w:rPr>
        <w:t>四、我单位具有履行本项目采购合同所必需的设备和专业技术</w:t>
      </w:r>
      <w:r>
        <w:rPr>
          <w:rFonts w:hint="eastAsia" w:ascii="宋体" w:hAnsi="宋体" w:eastAsia="宋体" w:cs="宋体"/>
          <w:snapToGrid w:val="0"/>
          <w:color w:val="auto"/>
          <w:spacing w:val="6"/>
          <w:kern w:val="0"/>
          <w:sz w:val="21"/>
          <w:szCs w:val="21"/>
          <w:highlight w:val="none"/>
          <w:lang w:eastAsia="en-US"/>
        </w:rPr>
        <w:t>能力，并具有履行合同的</w:t>
      </w:r>
      <w:r>
        <w:rPr>
          <w:rFonts w:hint="eastAsia" w:ascii="宋体" w:hAnsi="宋体" w:eastAsia="宋体" w:cs="宋体"/>
          <w:snapToGrid w:val="0"/>
          <w:color w:val="auto"/>
          <w:spacing w:val="-1"/>
          <w:kern w:val="0"/>
          <w:sz w:val="21"/>
          <w:szCs w:val="21"/>
          <w:highlight w:val="none"/>
          <w:lang w:eastAsia="en-US"/>
        </w:rPr>
        <w:t>良好记录。</w:t>
      </w:r>
    </w:p>
    <w:p w14:paraId="46D62BDF">
      <w:pPr>
        <w:kinsoku w:val="0"/>
        <w:autoSpaceDE w:val="0"/>
        <w:autoSpaceDN w:val="0"/>
        <w:adjustRightInd w:val="0"/>
        <w:snapToGrid w:val="0"/>
        <w:spacing w:before="4" w:line="405" w:lineRule="auto"/>
        <w:ind w:left="22" w:firstLine="423"/>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7"/>
          <w:kern w:val="0"/>
          <w:sz w:val="21"/>
          <w:szCs w:val="21"/>
          <w:highlight w:val="none"/>
          <w:lang w:eastAsia="en-US"/>
        </w:rPr>
        <w:t>五、我单位在参加采购项目政府采购活动前三年内，在经营活动中，未因违法经营受到刑事处罚或者责令停产停业、吊销许可证或者执照、较大数额罚款等行政处罚。其中较大数</w:t>
      </w:r>
      <w:r>
        <w:rPr>
          <w:rFonts w:hint="eastAsia" w:ascii="宋体" w:hAnsi="宋体" w:eastAsia="宋体" w:cs="宋体"/>
          <w:snapToGrid w:val="0"/>
          <w:color w:val="auto"/>
          <w:spacing w:val="3"/>
          <w:kern w:val="0"/>
          <w:sz w:val="21"/>
          <w:szCs w:val="21"/>
          <w:highlight w:val="none"/>
          <w:lang w:eastAsia="en-US"/>
        </w:rPr>
        <w:t>额罚款是指：达到处罚地行政处罚听证范围中“较大数额罚款</w:t>
      </w:r>
      <w:r>
        <w:rPr>
          <w:rFonts w:hint="eastAsia" w:ascii="宋体" w:hAnsi="宋体" w:eastAsia="宋体" w:cs="宋体"/>
          <w:snapToGrid w:val="0"/>
          <w:color w:val="auto"/>
          <w:spacing w:val="-58"/>
          <w:kern w:val="0"/>
          <w:sz w:val="21"/>
          <w:szCs w:val="21"/>
          <w:highlight w:val="none"/>
          <w:lang w:eastAsia="en-US"/>
        </w:rPr>
        <w:t xml:space="preserve"> </w:t>
      </w:r>
      <w:r>
        <w:rPr>
          <w:rFonts w:hint="eastAsia" w:ascii="宋体" w:hAnsi="宋体" w:eastAsia="宋体" w:cs="宋体"/>
          <w:snapToGrid w:val="0"/>
          <w:color w:val="auto"/>
          <w:spacing w:val="3"/>
          <w:kern w:val="0"/>
          <w:sz w:val="21"/>
          <w:szCs w:val="21"/>
          <w:highlight w:val="none"/>
          <w:lang w:eastAsia="en-US"/>
        </w:rPr>
        <w:t>”标准的；法律、法规、规章、</w:t>
      </w:r>
      <w:r>
        <w:rPr>
          <w:rFonts w:hint="eastAsia" w:ascii="宋体" w:hAnsi="宋体" w:eastAsia="宋体" w:cs="宋体"/>
          <w:snapToGrid w:val="0"/>
          <w:color w:val="auto"/>
          <w:spacing w:val="8"/>
          <w:kern w:val="0"/>
          <w:sz w:val="21"/>
          <w:szCs w:val="21"/>
          <w:highlight w:val="none"/>
          <w:lang w:eastAsia="en-US"/>
        </w:rPr>
        <w:t>国务院有关行政主管部门对“较大数额罚款</w:t>
      </w:r>
      <w:r>
        <w:rPr>
          <w:rFonts w:hint="eastAsia" w:ascii="宋体" w:hAnsi="宋体" w:eastAsia="宋体" w:cs="宋体"/>
          <w:snapToGrid w:val="0"/>
          <w:color w:val="auto"/>
          <w:spacing w:val="-56"/>
          <w:kern w:val="0"/>
          <w:sz w:val="21"/>
          <w:szCs w:val="21"/>
          <w:highlight w:val="none"/>
          <w:lang w:eastAsia="en-US"/>
        </w:rPr>
        <w:t xml:space="preserve"> </w:t>
      </w:r>
      <w:r>
        <w:rPr>
          <w:rFonts w:hint="eastAsia" w:ascii="宋体" w:hAnsi="宋体" w:eastAsia="宋体" w:cs="宋体"/>
          <w:snapToGrid w:val="0"/>
          <w:color w:val="auto"/>
          <w:spacing w:val="8"/>
          <w:kern w:val="0"/>
          <w:sz w:val="21"/>
          <w:szCs w:val="21"/>
          <w:highlight w:val="none"/>
          <w:lang w:eastAsia="en-US"/>
        </w:rPr>
        <w:t>”标准另有规定的，从其规定。</w:t>
      </w:r>
    </w:p>
    <w:p w14:paraId="473DE5BF">
      <w:pPr>
        <w:kinsoku w:val="0"/>
        <w:autoSpaceDE w:val="0"/>
        <w:autoSpaceDN w:val="0"/>
        <w:adjustRightInd w:val="0"/>
        <w:snapToGrid w:val="0"/>
        <w:spacing w:before="1" w:line="406" w:lineRule="auto"/>
        <w:ind w:left="23" w:right="186" w:firstLine="419"/>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9"/>
          <w:kern w:val="0"/>
          <w:sz w:val="21"/>
          <w:szCs w:val="21"/>
          <w:highlight w:val="none"/>
          <w:lang w:eastAsia="en-US"/>
        </w:rPr>
        <w:t>供应商在参加政府采购活动前</w:t>
      </w:r>
      <w:r>
        <w:rPr>
          <w:rFonts w:hint="eastAsia" w:ascii="宋体" w:hAnsi="宋体" w:eastAsia="宋体" w:cs="宋体"/>
          <w:snapToGrid w:val="0"/>
          <w:color w:val="auto"/>
          <w:spacing w:val="-35"/>
          <w:kern w:val="0"/>
          <w:sz w:val="21"/>
          <w:szCs w:val="21"/>
          <w:highlight w:val="none"/>
          <w:lang w:eastAsia="en-US"/>
        </w:rPr>
        <w:t xml:space="preserve"> </w:t>
      </w:r>
      <w:r>
        <w:rPr>
          <w:rFonts w:hint="eastAsia" w:ascii="宋体" w:hAnsi="宋体" w:eastAsia="宋体" w:cs="宋体"/>
          <w:snapToGrid w:val="0"/>
          <w:color w:val="auto"/>
          <w:spacing w:val="9"/>
          <w:kern w:val="0"/>
          <w:sz w:val="21"/>
          <w:szCs w:val="21"/>
          <w:highlight w:val="none"/>
          <w:lang w:eastAsia="en-US"/>
        </w:rPr>
        <w:t>3</w:t>
      </w:r>
      <w:r>
        <w:rPr>
          <w:rFonts w:hint="eastAsia" w:ascii="宋体" w:hAnsi="宋体" w:eastAsia="宋体" w:cs="宋体"/>
          <w:snapToGrid w:val="0"/>
          <w:color w:val="auto"/>
          <w:spacing w:val="-37"/>
          <w:kern w:val="0"/>
          <w:sz w:val="21"/>
          <w:szCs w:val="21"/>
          <w:highlight w:val="none"/>
          <w:lang w:eastAsia="en-US"/>
        </w:rPr>
        <w:t xml:space="preserve"> </w:t>
      </w:r>
      <w:r>
        <w:rPr>
          <w:rFonts w:hint="eastAsia" w:ascii="宋体" w:hAnsi="宋体" w:eastAsia="宋体" w:cs="宋体"/>
          <w:snapToGrid w:val="0"/>
          <w:color w:val="auto"/>
          <w:spacing w:val="9"/>
          <w:kern w:val="0"/>
          <w:sz w:val="21"/>
          <w:szCs w:val="21"/>
          <w:highlight w:val="none"/>
          <w:lang w:eastAsia="en-US"/>
        </w:rPr>
        <w:t>年内因违法经营被禁止在一定期限内参加政府采</w:t>
      </w:r>
      <w:r>
        <w:rPr>
          <w:rFonts w:hint="eastAsia" w:ascii="宋体" w:hAnsi="宋体" w:eastAsia="宋体" w:cs="宋体"/>
          <w:snapToGrid w:val="0"/>
          <w:color w:val="auto"/>
          <w:spacing w:val="8"/>
          <w:kern w:val="0"/>
          <w:sz w:val="21"/>
          <w:szCs w:val="21"/>
          <w:highlight w:val="none"/>
          <w:lang w:eastAsia="en-US"/>
        </w:rPr>
        <w:t>购活动，期限届满的，可以参加政府采购活动。</w:t>
      </w:r>
    </w:p>
    <w:p w14:paraId="17B3CE67">
      <w:pPr>
        <w:kinsoku w:val="0"/>
        <w:autoSpaceDE w:val="0"/>
        <w:autoSpaceDN w:val="0"/>
        <w:adjustRightInd w:val="0"/>
        <w:snapToGrid w:val="0"/>
        <w:spacing w:before="1" w:line="227" w:lineRule="auto"/>
        <w:ind w:left="443"/>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9"/>
          <w:kern w:val="0"/>
          <w:sz w:val="21"/>
          <w:szCs w:val="21"/>
          <w:highlight w:val="none"/>
          <w:lang w:eastAsia="en-US"/>
        </w:rPr>
        <w:t>六、我单位具备法律、行政法规规定的其他条件。</w:t>
      </w:r>
    </w:p>
    <w:p w14:paraId="7740DF48">
      <w:pPr>
        <w:kinsoku w:val="0"/>
        <w:autoSpaceDE w:val="0"/>
        <w:autoSpaceDN w:val="0"/>
        <w:adjustRightInd w:val="0"/>
        <w:snapToGrid w:val="0"/>
        <w:spacing w:before="191" w:line="407" w:lineRule="auto"/>
        <w:ind w:left="31" w:right="70" w:firstLine="410"/>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6"/>
          <w:kern w:val="0"/>
          <w:sz w:val="21"/>
          <w:szCs w:val="21"/>
          <w:highlight w:val="none"/>
          <w:lang w:eastAsia="en-US"/>
        </w:rPr>
        <w:t>七、与我单位存在“单位负责人为同一人或者存在直接控股、管理关系</w:t>
      </w:r>
      <w:r>
        <w:rPr>
          <w:rFonts w:hint="eastAsia" w:ascii="宋体" w:hAnsi="宋体" w:eastAsia="宋体" w:cs="宋体"/>
          <w:snapToGrid w:val="0"/>
          <w:color w:val="auto"/>
          <w:spacing w:val="-53"/>
          <w:kern w:val="0"/>
          <w:sz w:val="21"/>
          <w:szCs w:val="21"/>
          <w:highlight w:val="none"/>
          <w:lang w:eastAsia="en-US"/>
        </w:rPr>
        <w:t xml:space="preserve"> </w:t>
      </w:r>
      <w:r>
        <w:rPr>
          <w:rFonts w:hint="eastAsia" w:ascii="宋体" w:hAnsi="宋体" w:eastAsia="宋体" w:cs="宋体"/>
          <w:snapToGrid w:val="0"/>
          <w:color w:val="auto"/>
          <w:spacing w:val="6"/>
          <w:kern w:val="0"/>
          <w:sz w:val="21"/>
          <w:szCs w:val="21"/>
          <w:highlight w:val="none"/>
          <w:lang w:eastAsia="en-US"/>
        </w:rPr>
        <w:t>”的其他单位信</w:t>
      </w:r>
      <w:r>
        <w:rPr>
          <w:rFonts w:hint="eastAsia" w:ascii="宋体" w:hAnsi="宋体" w:eastAsia="宋体" w:cs="宋体"/>
          <w:snapToGrid w:val="0"/>
          <w:color w:val="auto"/>
          <w:spacing w:val="8"/>
          <w:kern w:val="0"/>
          <w:sz w:val="21"/>
          <w:szCs w:val="21"/>
          <w:highlight w:val="none"/>
          <w:lang w:eastAsia="en-US"/>
        </w:rPr>
        <w:t>息如下（如无，填写“无</w:t>
      </w:r>
      <w:r>
        <w:rPr>
          <w:rFonts w:hint="eastAsia" w:ascii="宋体" w:hAnsi="宋体" w:eastAsia="宋体" w:cs="宋体"/>
          <w:snapToGrid w:val="0"/>
          <w:color w:val="auto"/>
          <w:spacing w:val="-73"/>
          <w:kern w:val="0"/>
          <w:sz w:val="21"/>
          <w:szCs w:val="21"/>
          <w:highlight w:val="none"/>
          <w:lang w:eastAsia="en-US"/>
        </w:rPr>
        <w:t xml:space="preserve"> </w:t>
      </w:r>
      <w:r>
        <w:rPr>
          <w:rFonts w:hint="eastAsia" w:ascii="宋体" w:hAnsi="宋体" w:eastAsia="宋体" w:cs="宋体"/>
          <w:snapToGrid w:val="0"/>
          <w:color w:val="auto"/>
          <w:spacing w:val="8"/>
          <w:kern w:val="0"/>
          <w:sz w:val="21"/>
          <w:szCs w:val="21"/>
          <w:highlight w:val="none"/>
          <w:lang w:eastAsia="en-US"/>
        </w:rPr>
        <w:t>”</w:t>
      </w:r>
      <w:r>
        <w:rPr>
          <w:rFonts w:hint="eastAsia" w:ascii="宋体" w:hAnsi="宋体" w:eastAsia="宋体" w:cs="宋体"/>
          <w:snapToGrid w:val="0"/>
          <w:color w:val="auto"/>
          <w:spacing w:val="-9"/>
          <w:kern w:val="0"/>
          <w:sz w:val="21"/>
          <w:szCs w:val="21"/>
          <w:highlight w:val="none"/>
          <w:lang w:eastAsia="en-US"/>
        </w:rPr>
        <w:t>）：</w:t>
      </w:r>
    </w:p>
    <w:p w14:paraId="2DA6F210">
      <w:pPr>
        <w:kinsoku w:val="0"/>
        <w:autoSpaceDE w:val="0"/>
        <w:autoSpaceDN w:val="0"/>
        <w:adjustRightInd w:val="0"/>
        <w:snapToGrid w:val="0"/>
        <w:spacing w:before="1" w:line="227" w:lineRule="auto"/>
        <w:ind w:left="457"/>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9"/>
          <w:kern w:val="0"/>
          <w:sz w:val="21"/>
          <w:szCs w:val="21"/>
          <w:highlight w:val="none"/>
          <w:lang w:eastAsia="en-US"/>
        </w:rPr>
        <w:t>1、与我单位的法定代表人（单位负责人）为同一人的其他单位如下：</w:t>
      </w:r>
      <w:r>
        <w:rPr>
          <w:rFonts w:hint="eastAsia" w:ascii="宋体" w:hAnsi="宋体" w:eastAsia="宋体" w:cs="宋体"/>
          <w:snapToGrid w:val="0"/>
          <w:color w:val="auto"/>
          <w:kern w:val="0"/>
          <w:sz w:val="21"/>
          <w:szCs w:val="21"/>
          <w:highlight w:val="none"/>
          <w:u w:val="single" w:color="auto"/>
          <w:lang w:eastAsia="en-US"/>
        </w:rPr>
        <w:t xml:space="preserve">               </w:t>
      </w:r>
    </w:p>
    <w:p w14:paraId="67D4B5A2">
      <w:pPr>
        <w:kinsoku w:val="0"/>
        <w:autoSpaceDE w:val="0"/>
        <w:autoSpaceDN w:val="0"/>
        <w:adjustRightInd w:val="0"/>
        <w:snapToGrid w:val="0"/>
        <w:spacing w:before="193" w:line="228" w:lineRule="auto"/>
        <w:ind w:left="444"/>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9"/>
          <w:kern w:val="0"/>
          <w:sz w:val="21"/>
          <w:szCs w:val="21"/>
          <w:highlight w:val="none"/>
          <w:lang w:eastAsia="en-US"/>
        </w:rPr>
        <w:t>2、我单位直接控股的其他单位如下：</w:t>
      </w:r>
      <w:r>
        <w:rPr>
          <w:rFonts w:hint="eastAsia" w:ascii="宋体" w:hAnsi="宋体" w:eastAsia="宋体" w:cs="宋体"/>
          <w:snapToGrid w:val="0"/>
          <w:color w:val="auto"/>
          <w:kern w:val="0"/>
          <w:sz w:val="21"/>
          <w:szCs w:val="21"/>
          <w:highlight w:val="none"/>
          <w:u w:val="single" w:color="auto"/>
          <w:lang w:eastAsia="en-US"/>
        </w:rPr>
        <w:t xml:space="preserve">                </w:t>
      </w:r>
    </w:p>
    <w:p w14:paraId="05ABE411">
      <w:pPr>
        <w:kinsoku w:val="0"/>
        <w:autoSpaceDE w:val="0"/>
        <w:autoSpaceDN w:val="0"/>
        <w:adjustRightInd w:val="0"/>
        <w:snapToGrid w:val="0"/>
        <w:spacing w:before="191" w:line="228" w:lineRule="auto"/>
        <w:ind w:left="446"/>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9"/>
          <w:kern w:val="0"/>
          <w:sz w:val="21"/>
          <w:szCs w:val="21"/>
          <w:highlight w:val="none"/>
          <w:lang w:eastAsia="en-US"/>
        </w:rPr>
        <w:t>3、与我单位存在管理关系的其他单位如下：</w:t>
      </w:r>
      <w:r>
        <w:rPr>
          <w:rFonts w:hint="eastAsia" w:ascii="宋体" w:hAnsi="宋体" w:eastAsia="宋体" w:cs="宋体"/>
          <w:snapToGrid w:val="0"/>
          <w:color w:val="auto"/>
          <w:kern w:val="0"/>
          <w:sz w:val="21"/>
          <w:szCs w:val="21"/>
          <w:highlight w:val="none"/>
          <w:u w:val="single" w:color="auto"/>
          <w:lang w:eastAsia="en-US"/>
        </w:rPr>
        <w:t xml:space="preserve">                </w:t>
      </w:r>
    </w:p>
    <w:p w14:paraId="4C7AEE38">
      <w:pPr>
        <w:kinsoku w:val="0"/>
        <w:autoSpaceDE w:val="0"/>
        <w:autoSpaceDN w:val="0"/>
        <w:adjustRightInd w:val="0"/>
        <w:snapToGrid w:val="0"/>
        <w:spacing w:before="196" w:line="405" w:lineRule="auto"/>
        <w:ind w:left="39" w:right="70" w:firstLine="406"/>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7"/>
          <w:kern w:val="0"/>
          <w:sz w:val="21"/>
          <w:szCs w:val="21"/>
          <w:highlight w:val="none"/>
          <w:lang w:eastAsia="en-US"/>
        </w:rPr>
        <w:t>八、我单位不属于为本项目提供整体设计、规范编制或者项目管理、监理、检测等服务</w:t>
      </w:r>
      <w:r>
        <w:rPr>
          <w:rFonts w:hint="eastAsia" w:ascii="宋体" w:hAnsi="宋体" w:eastAsia="宋体" w:cs="宋体"/>
          <w:snapToGrid w:val="0"/>
          <w:color w:val="auto"/>
          <w:spacing w:val="2"/>
          <w:kern w:val="0"/>
          <w:sz w:val="21"/>
          <w:szCs w:val="21"/>
          <w:highlight w:val="none"/>
          <w:lang w:eastAsia="en-US"/>
        </w:rPr>
        <w:t>的供应商。</w:t>
      </w:r>
    </w:p>
    <w:p w14:paraId="364CD558">
      <w:pPr>
        <w:kinsoku w:val="0"/>
        <w:autoSpaceDE w:val="0"/>
        <w:autoSpaceDN w:val="0"/>
        <w:adjustRightInd w:val="0"/>
        <w:snapToGrid w:val="0"/>
        <w:spacing w:before="1" w:line="227" w:lineRule="auto"/>
        <w:ind w:left="447"/>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8"/>
          <w:kern w:val="0"/>
          <w:sz w:val="21"/>
          <w:szCs w:val="21"/>
          <w:highlight w:val="none"/>
          <w:lang w:eastAsia="en-US"/>
        </w:rPr>
        <w:t>九、我单位无以下不良信用记录情形：</w:t>
      </w:r>
    </w:p>
    <w:p w14:paraId="198DF6A8">
      <w:pPr>
        <w:kinsoku w:val="0"/>
        <w:autoSpaceDE w:val="0"/>
        <w:autoSpaceDN w:val="0"/>
        <w:adjustRightInd w:val="0"/>
        <w:snapToGrid w:val="0"/>
        <w:spacing w:before="194" w:line="228" w:lineRule="auto"/>
        <w:ind w:left="457"/>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8"/>
          <w:kern w:val="0"/>
          <w:sz w:val="21"/>
          <w:szCs w:val="21"/>
          <w:highlight w:val="none"/>
          <w:lang w:eastAsia="en-US"/>
        </w:rPr>
        <w:t>1、在“信用中国</w:t>
      </w:r>
      <w:r>
        <w:rPr>
          <w:rFonts w:hint="eastAsia" w:ascii="宋体" w:hAnsi="宋体" w:eastAsia="宋体" w:cs="宋体"/>
          <w:snapToGrid w:val="0"/>
          <w:color w:val="auto"/>
          <w:spacing w:val="-70"/>
          <w:kern w:val="0"/>
          <w:sz w:val="21"/>
          <w:szCs w:val="21"/>
          <w:highlight w:val="none"/>
          <w:lang w:eastAsia="en-US"/>
        </w:rPr>
        <w:t xml:space="preserve"> </w:t>
      </w:r>
      <w:r>
        <w:rPr>
          <w:rFonts w:hint="eastAsia" w:ascii="宋体" w:hAnsi="宋体" w:eastAsia="宋体" w:cs="宋体"/>
          <w:snapToGrid w:val="0"/>
          <w:color w:val="auto"/>
          <w:spacing w:val="8"/>
          <w:kern w:val="0"/>
          <w:sz w:val="21"/>
          <w:szCs w:val="21"/>
          <w:highlight w:val="none"/>
          <w:lang w:eastAsia="en-US"/>
        </w:rPr>
        <w:t>”网站被列入失信被执行人和重大税收违法案件当事人名单；</w:t>
      </w:r>
    </w:p>
    <w:p w14:paraId="61257B79">
      <w:pPr>
        <w:kinsoku w:val="0"/>
        <w:autoSpaceDE w:val="0"/>
        <w:autoSpaceDN w:val="0"/>
        <w:adjustRightInd w:val="0"/>
        <w:snapToGrid w:val="0"/>
        <w:spacing w:before="193" w:line="227" w:lineRule="auto"/>
        <w:ind w:left="444"/>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7"/>
          <w:kern w:val="0"/>
          <w:sz w:val="21"/>
          <w:szCs w:val="21"/>
          <w:highlight w:val="none"/>
          <w:lang w:eastAsia="en-US"/>
        </w:rPr>
        <w:t>2、在“</w:t>
      </w:r>
      <w:r>
        <w:rPr>
          <w:rFonts w:hint="eastAsia" w:ascii="宋体" w:hAnsi="宋体" w:eastAsia="宋体" w:cs="宋体"/>
          <w:snapToGrid w:val="0"/>
          <w:color w:val="auto"/>
          <w:spacing w:val="-57"/>
          <w:kern w:val="0"/>
          <w:sz w:val="21"/>
          <w:szCs w:val="21"/>
          <w:highlight w:val="none"/>
          <w:lang w:eastAsia="en-US"/>
        </w:rPr>
        <w:t xml:space="preserve"> </w:t>
      </w:r>
      <w:r>
        <w:rPr>
          <w:rFonts w:hint="eastAsia" w:ascii="宋体" w:hAnsi="宋体" w:eastAsia="宋体" w:cs="宋体"/>
          <w:snapToGrid w:val="0"/>
          <w:color w:val="auto"/>
          <w:spacing w:val="7"/>
          <w:kern w:val="0"/>
          <w:sz w:val="21"/>
          <w:szCs w:val="21"/>
          <w:highlight w:val="none"/>
          <w:lang w:eastAsia="en-US"/>
        </w:rPr>
        <w:t>中国政府采购网</w:t>
      </w:r>
      <w:r>
        <w:rPr>
          <w:rFonts w:hint="eastAsia" w:ascii="宋体" w:hAnsi="宋体" w:eastAsia="宋体" w:cs="宋体"/>
          <w:snapToGrid w:val="0"/>
          <w:color w:val="auto"/>
          <w:spacing w:val="-70"/>
          <w:kern w:val="0"/>
          <w:sz w:val="21"/>
          <w:szCs w:val="21"/>
          <w:highlight w:val="none"/>
          <w:lang w:eastAsia="en-US"/>
        </w:rPr>
        <w:t xml:space="preserve"> </w:t>
      </w:r>
      <w:r>
        <w:rPr>
          <w:rFonts w:hint="eastAsia" w:ascii="宋体" w:hAnsi="宋体" w:eastAsia="宋体" w:cs="宋体"/>
          <w:snapToGrid w:val="0"/>
          <w:color w:val="auto"/>
          <w:spacing w:val="7"/>
          <w:kern w:val="0"/>
          <w:sz w:val="21"/>
          <w:szCs w:val="21"/>
          <w:highlight w:val="none"/>
          <w:lang w:eastAsia="en-US"/>
        </w:rPr>
        <w:t>”网站被列入政府采购严重违法失信行为记录名单；</w:t>
      </w:r>
    </w:p>
    <w:p w14:paraId="7E530E24">
      <w:pPr>
        <w:kinsoku w:val="0"/>
        <w:autoSpaceDE w:val="0"/>
        <w:autoSpaceDN w:val="0"/>
        <w:adjustRightInd w:val="0"/>
        <w:snapToGrid w:val="0"/>
        <w:spacing w:before="193" w:line="227" w:lineRule="auto"/>
        <w:ind w:left="446"/>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8"/>
          <w:kern w:val="0"/>
          <w:sz w:val="21"/>
          <w:szCs w:val="21"/>
          <w:highlight w:val="none"/>
          <w:lang w:eastAsia="en-US"/>
        </w:rPr>
        <w:t>3、不符合《政府采购法》第二十二条规定的条件。</w:t>
      </w:r>
    </w:p>
    <w:p w14:paraId="7D4BF456">
      <w:pPr>
        <w:kinsoku w:val="0"/>
        <w:autoSpaceDE w:val="0"/>
        <w:autoSpaceDN w:val="0"/>
        <w:adjustRightInd w:val="0"/>
        <w:snapToGrid w:val="0"/>
        <w:spacing w:before="180" w:line="227" w:lineRule="auto"/>
        <w:ind w:left="22"/>
        <w:jc w:val="left"/>
        <w:textAlignment w:val="baseline"/>
        <w:rPr>
          <w:rFonts w:hint="eastAsia" w:ascii="宋体" w:hAnsi="宋体" w:eastAsia="宋体" w:cs="宋体"/>
          <w:snapToGrid w:val="0"/>
          <w:color w:val="auto"/>
          <w:spacing w:val="8"/>
          <w:kern w:val="0"/>
          <w:sz w:val="21"/>
          <w:szCs w:val="21"/>
          <w:highlight w:val="none"/>
          <w:lang w:eastAsia="en-US"/>
        </w:rPr>
      </w:pPr>
      <w:r>
        <w:rPr>
          <w:rFonts w:hint="eastAsia" w:ascii="宋体" w:hAnsi="宋体" w:eastAsia="宋体" w:cs="宋体"/>
          <w:snapToGrid w:val="0"/>
          <w:color w:val="auto"/>
          <w:spacing w:val="8"/>
          <w:kern w:val="0"/>
          <w:sz w:val="21"/>
          <w:szCs w:val="21"/>
          <w:highlight w:val="none"/>
          <w:lang w:eastAsia="en-US"/>
        </w:rPr>
        <w:t>我单位保证上述声明的事项都是真实的，如有虚假，我单位愿意承担相应的法律责任，并承担因此所造成的一切损失。</w:t>
      </w:r>
    </w:p>
    <w:p w14:paraId="1416F439">
      <w:pPr>
        <w:kinsoku w:val="0"/>
        <w:autoSpaceDE w:val="0"/>
        <w:autoSpaceDN w:val="0"/>
        <w:adjustRightInd w:val="0"/>
        <w:snapToGrid w:val="0"/>
        <w:spacing w:before="180" w:line="227" w:lineRule="auto"/>
        <w:ind w:left="22"/>
        <w:jc w:val="left"/>
        <w:textAlignment w:val="baseline"/>
        <w:rPr>
          <w:rFonts w:hint="eastAsia" w:ascii="宋体" w:hAnsi="宋体" w:eastAsia="宋体" w:cs="宋体"/>
          <w:snapToGrid w:val="0"/>
          <w:color w:val="auto"/>
          <w:kern w:val="0"/>
          <w:sz w:val="21"/>
          <w:szCs w:val="21"/>
          <w:highlight w:val="none"/>
          <w:lang w:eastAsia="en-US"/>
        </w:rPr>
      </w:pPr>
      <w:r>
        <w:rPr>
          <w:rFonts w:hint="eastAsia" w:ascii="宋体" w:hAnsi="宋体" w:eastAsia="宋体" w:cs="宋体"/>
          <w:snapToGrid w:val="0"/>
          <w:color w:val="auto"/>
          <w:spacing w:val="7"/>
          <w:kern w:val="0"/>
          <w:sz w:val="21"/>
          <w:szCs w:val="21"/>
          <w:highlight w:val="none"/>
          <w:lang w:eastAsia="en-US"/>
        </w:rPr>
        <w:t>注：第三条“</w:t>
      </w:r>
      <w:r>
        <w:rPr>
          <w:rFonts w:hint="eastAsia" w:ascii="宋体" w:hAnsi="宋体" w:eastAsia="宋体" w:cs="宋体"/>
          <w:snapToGrid w:val="0"/>
          <w:color w:val="auto"/>
          <w:spacing w:val="-39"/>
          <w:kern w:val="0"/>
          <w:sz w:val="21"/>
          <w:szCs w:val="21"/>
          <w:highlight w:val="none"/>
          <w:lang w:eastAsia="en-US"/>
        </w:rPr>
        <w:t xml:space="preserve"> </w:t>
      </w:r>
      <w:r>
        <w:rPr>
          <w:rFonts w:hint="eastAsia" w:ascii="宋体" w:hAnsi="宋体" w:eastAsia="宋体" w:cs="宋体"/>
          <w:snapToGrid w:val="0"/>
          <w:color w:val="auto"/>
          <w:spacing w:val="7"/>
          <w:kern w:val="0"/>
          <w:sz w:val="21"/>
          <w:szCs w:val="21"/>
          <w:highlight w:val="none"/>
          <w:lang w:eastAsia="en-US"/>
        </w:rPr>
        <w:t>良好的商业信誉</w:t>
      </w:r>
      <w:r>
        <w:rPr>
          <w:rFonts w:hint="eastAsia" w:ascii="宋体" w:hAnsi="宋体" w:eastAsia="宋体" w:cs="宋体"/>
          <w:snapToGrid w:val="0"/>
          <w:color w:val="auto"/>
          <w:spacing w:val="-72"/>
          <w:kern w:val="0"/>
          <w:sz w:val="21"/>
          <w:szCs w:val="21"/>
          <w:highlight w:val="none"/>
          <w:lang w:eastAsia="en-US"/>
        </w:rPr>
        <w:t xml:space="preserve"> </w:t>
      </w:r>
      <w:r>
        <w:rPr>
          <w:rFonts w:hint="eastAsia" w:ascii="宋体" w:hAnsi="宋体" w:eastAsia="宋体" w:cs="宋体"/>
          <w:snapToGrid w:val="0"/>
          <w:color w:val="auto"/>
          <w:spacing w:val="7"/>
          <w:kern w:val="0"/>
          <w:sz w:val="21"/>
          <w:szCs w:val="21"/>
          <w:highlight w:val="none"/>
          <w:lang w:eastAsia="en-US"/>
        </w:rPr>
        <w:t>”是指供应商经营状况良好，无本承诺函第九条情形。</w:t>
      </w:r>
    </w:p>
    <w:p w14:paraId="0C992C7E">
      <w:pPr>
        <w:kinsoku w:val="0"/>
        <w:autoSpaceDE w:val="0"/>
        <w:autoSpaceDN w:val="0"/>
        <w:adjustRightInd w:val="0"/>
        <w:snapToGrid w:val="0"/>
        <w:spacing w:line="283" w:lineRule="auto"/>
        <w:jc w:val="left"/>
        <w:textAlignment w:val="baseline"/>
        <w:rPr>
          <w:rFonts w:hint="eastAsia" w:ascii="宋体" w:hAnsi="宋体" w:eastAsia="宋体" w:cs="宋体"/>
          <w:snapToGrid w:val="0"/>
          <w:color w:val="auto"/>
          <w:kern w:val="0"/>
          <w:sz w:val="21"/>
          <w:szCs w:val="21"/>
          <w:highlight w:val="none"/>
          <w:lang w:val="en-US" w:eastAsia="en-US" w:bidi="ar-SA"/>
        </w:rPr>
      </w:pPr>
    </w:p>
    <w:p w14:paraId="0402FF01">
      <w:pPr>
        <w:kinsoku w:val="0"/>
        <w:autoSpaceDE w:val="0"/>
        <w:autoSpaceDN w:val="0"/>
        <w:adjustRightInd w:val="0"/>
        <w:snapToGrid w:val="0"/>
        <w:spacing w:line="283" w:lineRule="auto"/>
        <w:jc w:val="left"/>
        <w:textAlignment w:val="baseline"/>
        <w:rPr>
          <w:rFonts w:hint="eastAsia" w:ascii="宋体" w:hAnsi="宋体" w:eastAsia="宋体" w:cs="宋体"/>
          <w:snapToGrid w:val="0"/>
          <w:color w:val="auto"/>
          <w:kern w:val="0"/>
          <w:sz w:val="21"/>
          <w:szCs w:val="21"/>
          <w:highlight w:val="none"/>
          <w:lang w:val="en-US" w:eastAsia="en-US" w:bidi="ar-SA"/>
        </w:rPr>
      </w:pPr>
    </w:p>
    <w:p w14:paraId="7AE2291A">
      <w:pPr>
        <w:widowControl w:val="0"/>
        <w:adjustRightInd w:val="0"/>
        <w:snapToGrid w:val="0"/>
        <w:spacing w:before="156" w:beforeLines="50" w:line="360" w:lineRule="auto"/>
        <w:rPr>
          <w:rFonts w:ascii="宋体" w:hAnsi="宋体" w:eastAsia="宋体" w:cs="Courier New"/>
          <w:color w:val="auto"/>
          <w:szCs w:val="21"/>
          <w:highlight w:val="none"/>
        </w:rPr>
      </w:pPr>
      <w:r>
        <w:rPr>
          <w:rFonts w:hint="eastAsia" w:ascii="宋体" w:hAnsi="宋体" w:eastAsia="宋体" w:cs="Courier New"/>
          <w:color w:val="auto"/>
          <w:szCs w:val="21"/>
          <w:highlight w:val="none"/>
        </w:rPr>
        <w:t>供应商名称(盖单位公章)：</w:t>
      </w:r>
    </w:p>
    <w:p w14:paraId="69205E21">
      <w:pPr>
        <w:widowControl w:val="0"/>
        <w:adjustRightInd w:val="0"/>
        <w:snapToGrid w:val="0"/>
        <w:spacing w:before="156" w:beforeLines="50" w:line="360" w:lineRule="auto"/>
        <w:rPr>
          <w:rFonts w:ascii="宋体" w:hAnsi="宋体" w:eastAsia="宋体" w:cs="微软雅黑"/>
          <w:color w:val="auto"/>
          <w:spacing w:val="-2"/>
          <w:kern w:val="0"/>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（签字或印章）：</w:t>
      </w:r>
    </w:p>
    <w:p w14:paraId="07F99D47">
      <w:pPr>
        <w:widowControl w:val="0"/>
        <w:adjustRightInd w:val="0"/>
        <w:snapToGrid w:val="0"/>
        <w:spacing w:before="156" w:beforeLines="50" w:line="360" w:lineRule="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委托代理人（签字或印章）：</w:t>
      </w:r>
    </w:p>
    <w:p w14:paraId="7041BB45">
      <w:pPr>
        <w:adjustRightInd w:val="0"/>
        <w:snapToGrid w:val="0"/>
        <w:spacing w:before="156" w:beforeLines="50" w:line="360" w:lineRule="auto"/>
        <w:rPr>
          <w:rFonts w:ascii="宋体" w:hAnsi="宋体"/>
          <w:color w:val="auto"/>
          <w:szCs w:val="21"/>
          <w:highlight w:val="none"/>
        </w:rPr>
        <w:sectPr>
          <w:pgSz w:w="11906" w:h="16838"/>
          <w:pgMar w:top="1418" w:right="1418" w:bottom="1134" w:left="1418" w:header="851" w:footer="992" w:gutter="0"/>
          <w:pgNumType w:fmt="decimal"/>
          <w:cols w:space="720" w:num="1"/>
          <w:docGrid w:type="linesAndChars" w:linePitch="312" w:charSpace="0"/>
        </w:sectPr>
      </w:pPr>
      <w:r>
        <w:rPr>
          <w:rFonts w:hint="eastAsia" w:ascii="宋体" w:hAnsi="宋体" w:eastAsia="宋体" w:cs="Times New Roman"/>
          <w:color w:val="auto"/>
          <w:szCs w:val="21"/>
          <w:highlight w:val="none"/>
        </w:rPr>
        <w:t>日期：    年    月     日</w:t>
      </w:r>
      <w:r>
        <w:rPr>
          <w:rFonts w:ascii="宋体" w:hAnsi="宋体" w:eastAsia="宋体" w:cs="Times New Roman"/>
          <w:color w:val="auto"/>
          <w:highlight w:val="none"/>
        </w:rPr>
        <w:t xml:space="preserve"> </w:t>
      </w:r>
    </w:p>
    <w:p w14:paraId="1BD31673">
      <w:pPr>
        <w:keepNext/>
        <w:keepLines/>
        <w:widowControl w:val="0"/>
        <w:spacing w:line="360" w:lineRule="auto"/>
        <w:jc w:val="center"/>
        <w:outlineLvl w:val="1"/>
        <w:rPr>
          <w:rFonts w:ascii="黑体" w:hAnsi="黑体" w:eastAsia="黑体" w:cs="Times New Roman"/>
          <w:b/>
          <w:bCs/>
          <w:color w:val="auto"/>
          <w:sz w:val="28"/>
          <w:szCs w:val="28"/>
          <w:highlight w:val="none"/>
        </w:rPr>
      </w:pPr>
      <w:bookmarkStart w:id="121" w:name="_Toc30742"/>
      <w:bookmarkStart w:id="122" w:name="_Toc107998035"/>
      <w:bookmarkStart w:id="123" w:name="_Toc24868"/>
      <w:r>
        <w:rPr>
          <w:rFonts w:hint="eastAsia" w:ascii="黑体" w:hAnsi="黑体" w:eastAsia="黑体" w:cs="Times New Roman"/>
          <w:b/>
          <w:bCs/>
          <w:color w:val="auto"/>
          <w:sz w:val="28"/>
          <w:szCs w:val="28"/>
          <w:highlight w:val="none"/>
          <w:lang w:val="en-US" w:eastAsia="zh-CN"/>
        </w:rPr>
        <w:t>三</w:t>
      </w:r>
      <w:r>
        <w:rPr>
          <w:rFonts w:hint="eastAsia" w:ascii="黑体" w:hAnsi="黑体" w:eastAsia="黑体" w:cs="Times New Roman"/>
          <w:b/>
          <w:bCs/>
          <w:color w:val="auto"/>
          <w:sz w:val="28"/>
          <w:szCs w:val="28"/>
          <w:highlight w:val="none"/>
        </w:rPr>
        <w:t>、授权委托书(格式)</w:t>
      </w:r>
      <w:bookmarkEnd w:id="121"/>
      <w:bookmarkEnd w:id="122"/>
      <w:bookmarkEnd w:id="123"/>
    </w:p>
    <w:p w14:paraId="645F66A8">
      <w:pPr>
        <w:widowControl w:val="0"/>
        <w:autoSpaceDE w:val="0"/>
        <w:autoSpaceDN w:val="0"/>
        <w:adjustRightInd w:val="0"/>
        <w:snapToGrid w:val="0"/>
        <w:spacing w:before="156" w:beforeLines="50" w:line="360" w:lineRule="auto"/>
        <w:ind w:firstLine="420" w:firstLineChars="200"/>
        <w:jc w:val="left"/>
        <w:rPr>
          <w:rFonts w:ascii="宋体" w:hAnsi="宋体" w:eastAsia="宋体" w:cs="宋体"/>
          <w:color w:val="auto"/>
          <w:kern w:val="0"/>
          <w:szCs w:val="21"/>
          <w:highlight w:val="none"/>
        </w:rPr>
      </w:pPr>
    </w:p>
    <w:p w14:paraId="2125F651">
      <w:pPr>
        <w:widowControl w:val="0"/>
        <w:autoSpaceDE w:val="0"/>
        <w:autoSpaceDN w:val="0"/>
        <w:adjustRightInd w:val="0"/>
        <w:snapToGrid w:val="0"/>
        <w:spacing w:before="156" w:beforeLines="50" w:line="360"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本人</w:t>
      </w:r>
      <w:r>
        <w:rPr>
          <w:rFonts w:hint="eastAsia" w:ascii="宋体" w:hAnsi="宋体" w:eastAsia="宋体" w:cs="宋体"/>
          <w:color w:val="auto"/>
          <w:kern w:val="0"/>
          <w:szCs w:val="21"/>
          <w:highlight w:val="none"/>
          <w:u w:val="single"/>
        </w:rPr>
        <w:t>（姓名、职务）</w:t>
      </w:r>
      <w:r>
        <w:rPr>
          <w:rFonts w:hint="eastAsia" w:ascii="宋体" w:hAnsi="宋体" w:eastAsia="宋体" w:cs="宋体"/>
          <w:color w:val="auto"/>
          <w:kern w:val="0"/>
          <w:szCs w:val="21"/>
          <w:highlight w:val="none"/>
        </w:rPr>
        <w:t xml:space="preserve">系 </w:t>
      </w:r>
      <w:r>
        <w:rPr>
          <w:rFonts w:hint="eastAsia" w:ascii="宋体" w:hAnsi="宋体" w:eastAsia="宋体" w:cs="宋体"/>
          <w:color w:val="auto"/>
          <w:kern w:val="0"/>
          <w:szCs w:val="21"/>
          <w:highlight w:val="none"/>
          <w:u w:val="single"/>
        </w:rPr>
        <w:t>（</w:t>
      </w:r>
      <w:r>
        <w:rPr>
          <w:rFonts w:hint="eastAsia" w:ascii="宋体" w:hAnsi="宋体" w:eastAsia="宋体" w:cs="Times New Roman"/>
          <w:color w:val="auto"/>
          <w:szCs w:val="21"/>
          <w:highlight w:val="none"/>
          <w:u w:val="single"/>
        </w:rPr>
        <w:t>供应商</w:t>
      </w:r>
      <w:r>
        <w:rPr>
          <w:rFonts w:hint="eastAsia" w:ascii="宋体" w:hAnsi="宋体" w:eastAsia="宋体" w:cs="宋体"/>
          <w:color w:val="auto"/>
          <w:kern w:val="0"/>
          <w:szCs w:val="21"/>
          <w:highlight w:val="none"/>
          <w:u w:val="single"/>
        </w:rPr>
        <w:t>名称）</w:t>
      </w:r>
      <w:r>
        <w:rPr>
          <w:rFonts w:hint="eastAsia" w:ascii="宋体" w:hAnsi="宋体" w:eastAsia="宋体" w:cs="宋体"/>
          <w:color w:val="auto"/>
          <w:kern w:val="0"/>
          <w:szCs w:val="21"/>
          <w:highlight w:val="none"/>
        </w:rPr>
        <w:t>的法定代表人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宋体"/>
          <w:color w:val="auto"/>
          <w:kern w:val="0"/>
          <w:szCs w:val="21"/>
          <w:highlight w:val="none"/>
        </w:rPr>
        <w:t>，现授权</w:t>
      </w:r>
      <w:r>
        <w:rPr>
          <w:rFonts w:hint="eastAsia" w:ascii="宋体" w:hAnsi="宋体" w:eastAsia="宋体" w:cs="宋体"/>
          <w:color w:val="auto"/>
          <w:kern w:val="0"/>
          <w:szCs w:val="21"/>
          <w:highlight w:val="none"/>
          <w:u w:val="single"/>
        </w:rPr>
        <w:t>（姓名、职务）</w:t>
      </w:r>
      <w:r>
        <w:rPr>
          <w:rFonts w:hint="eastAsia" w:ascii="宋体" w:hAnsi="宋体" w:eastAsia="宋体" w:cs="宋体"/>
          <w:color w:val="auto"/>
          <w:kern w:val="0"/>
          <w:szCs w:val="21"/>
          <w:highlight w:val="none"/>
        </w:rPr>
        <w:t>为我方代理人。代理人根据授权，以我方名义：(1)签署、澄清、补正、修改、撤回、提交</w:t>
      </w:r>
      <w:r>
        <w:rPr>
          <w:rFonts w:hint="eastAsia" w:ascii="宋体" w:hAnsi="宋体" w:eastAsia="宋体" w:cs="宋体"/>
          <w:color w:val="auto"/>
          <w:kern w:val="0"/>
          <w:szCs w:val="21"/>
          <w:highlight w:val="none"/>
          <w:u w:val="single"/>
        </w:rPr>
        <w:t>（项目名称、</w:t>
      </w:r>
      <w:r>
        <w:rPr>
          <w:rFonts w:hint="eastAsia" w:ascii="宋体" w:hAnsi="宋体" w:eastAsia="宋体" w:cs="Times New Roman"/>
          <w:color w:val="auto"/>
          <w:szCs w:val="21"/>
          <w:highlight w:val="none"/>
          <w:u w:val="single"/>
        </w:rPr>
        <w:t>政府采购计划编号</w:t>
      </w:r>
      <w:r>
        <w:rPr>
          <w:rFonts w:hint="eastAsia" w:ascii="宋体" w:hAnsi="宋体" w:eastAsia="宋体" w:cs="宋体"/>
          <w:color w:val="auto"/>
          <w:kern w:val="0"/>
          <w:szCs w:val="21"/>
          <w:highlight w:val="none"/>
          <w:u w:val="single"/>
        </w:rPr>
        <w:t>、委托代理编号）</w:t>
      </w:r>
      <w:r>
        <w:rPr>
          <w:rFonts w:hint="eastAsia" w:ascii="宋体" w:hAnsi="宋体" w:eastAsia="宋体" w:cs="宋体"/>
          <w:color w:val="auto"/>
          <w:kern w:val="0"/>
          <w:szCs w:val="21"/>
          <w:highlight w:val="none"/>
        </w:rPr>
        <w:t>响应文件；(2)签署并重新提交响应文件及最后报价；(3)退出</w:t>
      </w:r>
      <w:r>
        <w:rPr>
          <w:rFonts w:hint="eastAsia" w:ascii="宋体" w:hAnsi="宋体" w:eastAsia="宋体" w:cs="宋体"/>
          <w:color w:val="auto"/>
          <w:kern w:val="0"/>
          <w:szCs w:val="21"/>
          <w:highlight w:val="none"/>
          <w:lang w:eastAsia="zh-CN"/>
        </w:rPr>
        <w:t>磋商</w:t>
      </w:r>
      <w:r>
        <w:rPr>
          <w:rFonts w:hint="eastAsia" w:ascii="宋体" w:hAnsi="宋体" w:eastAsia="宋体" w:cs="宋体"/>
          <w:color w:val="auto"/>
          <w:kern w:val="0"/>
          <w:szCs w:val="21"/>
          <w:highlight w:val="none"/>
        </w:rPr>
        <w:t>（如可能）；(4)签订合同和处理有关事宜，其法律后果由我方承担。</w:t>
      </w:r>
    </w:p>
    <w:p w14:paraId="4B36CF93">
      <w:pPr>
        <w:widowControl w:val="0"/>
        <w:autoSpaceDE w:val="0"/>
        <w:autoSpaceDN w:val="0"/>
        <w:adjustRightInd w:val="0"/>
        <w:snapToGrid w:val="0"/>
        <w:spacing w:before="156" w:beforeLines="50" w:line="360"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委托期限：</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 xml:space="preserve"> 。</w:t>
      </w:r>
    </w:p>
    <w:p w14:paraId="72622721">
      <w:pPr>
        <w:widowControl w:val="0"/>
        <w:adjustRightInd w:val="0"/>
        <w:snapToGrid w:val="0"/>
        <w:spacing w:before="156" w:beforeLines="50" w:line="360" w:lineRule="auto"/>
        <w:ind w:firstLine="435"/>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代理人无转委托权。</w:t>
      </w:r>
    </w:p>
    <w:p w14:paraId="7EADDDC5">
      <w:pPr>
        <w:widowControl w:val="0"/>
        <w:adjustRightInd w:val="0"/>
        <w:snapToGrid w:val="0"/>
        <w:spacing w:before="156" w:beforeLines="50" w:line="360" w:lineRule="auto"/>
        <w:ind w:firstLine="435"/>
        <w:rPr>
          <w:rFonts w:ascii="宋体" w:hAnsi="宋体" w:eastAsia="宋体" w:cs="微软雅黑"/>
          <w:color w:val="auto"/>
          <w:kern w:val="0"/>
          <w:szCs w:val="21"/>
          <w:highlight w:val="none"/>
        </w:rPr>
      </w:pPr>
      <w:r>
        <w:rPr>
          <w:rFonts w:hint="eastAsia" w:ascii="宋体" w:hAnsi="宋体" w:eastAsia="宋体" w:cs="Times New Roman"/>
          <w:color w:val="auto"/>
          <w:szCs w:val="21"/>
          <w:highlight w:val="none"/>
        </w:rPr>
        <w:t>本授权书于</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日签字生效，特此声明。</w:t>
      </w:r>
    </w:p>
    <w:tbl>
      <w:tblPr>
        <w:tblStyle w:val="2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3950A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5335D266">
            <w:pPr>
              <w:widowControl w:val="0"/>
              <w:adjustRightInd w:val="0"/>
              <w:snapToGrid w:val="0"/>
              <w:spacing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委托代理人身份证（正面）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c>
          <w:tcPr>
            <w:tcW w:w="3899" w:type="dxa"/>
            <w:noWrap w:val="0"/>
            <w:vAlign w:val="center"/>
          </w:tcPr>
          <w:p w14:paraId="3110A853">
            <w:pPr>
              <w:widowControl w:val="0"/>
              <w:adjustRightInd w:val="0"/>
              <w:snapToGrid w:val="0"/>
              <w:spacing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委托代理人身份证（反面）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r>
      <w:tr w14:paraId="2BAC6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05C69ED8">
            <w:pPr>
              <w:widowControl w:val="0"/>
              <w:adjustRightInd w:val="0"/>
              <w:snapToGrid w:val="0"/>
              <w:spacing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法定代表人身份证（正面）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c>
          <w:tcPr>
            <w:tcW w:w="3899" w:type="dxa"/>
            <w:noWrap w:val="0"/>
            <w:vAlign w:val="center"/>
          </w:tcPr>
          <w:p w14:paraId="2FAAA685">
            <w:pPr>
              <w:widowControl w:val="0"/>
              <w:adjustRightInd w:val="0"/>
              <w:snapToGrid w:val="0"/>
              <w:spacing w:line="360" w:lineRule="auto"/>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法定代表人身份证（反面）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r>
    </w:tbl>
    <w:p w14:paraId="433514F5">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71B3BF8D">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3404F20E">
      <w:pPr>
        <w:widowControl w:val="0"/>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注：供应商代表不是供应商的法定代表人（单位负责人）的提供。</w:t>
      </w:r>
    </w:p>
    <w:p w14:paraId="3A1FACDB">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3F21817D">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12E6AE52">
      <w:pPr>
        <w:widowControl w:val="0"/>
        <w:adjustRightInd w:val="0"/>
        <w:snapToGrid w:val="0"/>
        <w:spacing w:before="156" w:beforeLines="50" w:line="360" w:lineRule="auto"/>
        <w:rPr>
          <w:rFonts w:ascii="宋体" w:hAnsi="宋体" w:eastAsia="宋体" w:cs="Courier New"/>
          <w:color w:val="auto"/>
          <w:szCs w:val="21"/>
          <w:highlight w:val="none"/>
        </w:rPr>
      </w:pPr>
      <w:r>
        <w:rPr>
          <w:rFonts w:hint="eastAsia" w:ascii="宋体" w:hAnsi="宋体" w:eastAsia="宋体" w:cs="Courier New"/>
          <w:color w:val="auto"/>
          <w:szCs w:val="21"/>
          <w:highlight w:val="none"/>
        </w:rPr>
        <w:t>供应商名称(盖单位公章)：</w:t>
      </w:r>
    </w:p>
    <w:p w14:paraId="2FC93339">
      <w:pPr>
        <w:widowControl w:val="0"/>
        <w:adjustRightInd w:val="0"/>
        <w:snapToGrid w:val="0"/>
        <w:spacing w:before="156" w:beforeLines="50" w:line="360" w:lineRule="auto"/>
        <w:rPr>
          <w:rFonts w:ascii="宋体" w:hAnsi="宋体" w:eastAsia="宋体" w:cs="微软雅黑"/>
          <w:color w:val="auto"/>
          <w:spacing w:val="-2"/>
          <w:kern w:val="0"/>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（签字或印章）：</w:t>
      </w:r>
    </w:p>
    <w:p w14:paraId="60779A7A">
      <w:pPr>
        <w:widowControl w:val="0"/>
        <w:adjustRightInd w:val="0"/>
        <w:snapToGrid w:val="0"/>
        <w:spacing w:before="156" w:beforeLines="50" w:line="360" w:lineRule="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委托代理人（签字或印章）：</w:t>
      </w:r>
    </w:p>
    <w:p w14:paraId="053B3A91">
      <w:pPr>
        <w:adjustRightInd w:val="0"/>
        <w:snapToGrid w:val="0"/>
        <w:spacing w:before="156" w:beforeLines="50" w:line="360" w:lineRule="auto"/>
        <w:rPr>
          <w:rFonts w:ascii="宋体" w:hAnsi="宋体"/>
          <w:color w:val="auto"/>
          <w:szCs w:val="21"/>
          <w:highlight w:val="none"/>
        </w:rPr>
        <w:sectPr>
          <w:footerReference r:id="rId4" w:type="default"/>
          <w:pgSz w:w="11906" w:h="16838"/>
          <w:pgMar w:top="1418" w:right="1418" w:bottom="1134" w:left="1418" w:header="851" w:footer="992" w:gutter="0"/>
          <w:pgNumType w:fmt="decimal"/>
          <w:cols w:space="720" w:num="1"/>
          <w:docGrid w:type="linesAndChars" w:linePitch="312" w:charSpace="0"/>
        </w:sectPr>
      </w:pPr>
      <w:r>
        <w:rPr>
          <w:rFonts w:hint="eastAsia" w:ascii="宋体" w:hAnsi="宋体" w:eastAsia="宋体" w:cs="Times New Roman"/>
          <w:color w:val="auto"/>
          <w:szCs w:val="21"/>
          <w:highlight w:val="none"/>
        </w:rPr>
        <w:t>日期：    年    月     日</w:t>
      </w:r>
      <w:r>
        <w:rPr>
          <w:rFonts w:ascii="宋体" w:hAnsi="宋体" w:eastAsia="宋体" w:cs="Times New Roman"/>
          <w:color w:val="auto"/>
          <w:highlight w:val="none"/>
        </w:rPr>
        <w:t xml:space="preserve"> </w:t>
      </w:r>
    </w:p>
    <w:p w14:paraId="33F0331D">
      <w:pPr>
        <w:keepNext/>
        <w:keepLines/>
        <w:widowControl w:val="0"/>
        <w:adjustRightInd w:val="0"/>
        <w:snapToGrid w:val="0"/>
        <w:spacing w:before="156" w:beforeLines="50" w:line="360" w:lineRule="auto"/>
        <w:jc w:val="center"/>
        <w:outlineLvl w:val="1"/>
        <w:rPr>
          <w:rFonts w:ascii="黑体" w:hAnsi="黑体" w:eastAsia="黑体" w:cs="Times New Roman"/>
          <w:b/>
          <w:bCs/>
          <w:color w:val="auto"/>
          <w:sz w:val="28"/>
          <w:szCs w:val="28"/>
          <w:highlight w:val="none"/>
        </w:rPr>
      </w:pPr>
      <w:bookmarkStart w:id="124" w:name="_Toc14438"/>
      <w:bookmarkStart w:id="125" w:name="_Toc107998036"/>
      <w:bookmarkStart w:id="126" w:name="_Toc3801"/>
      <w:r>
        <w:rPr>
          <w:rFonts w:hint="eastAsia" w:ascii="黑体" w:hAnsi="黑体" w:eastAsia="黑体" w:cs="Times New Roman"/>
          <w:b/>
          <w:bCs/>
          <w:color w:val="auto"/>
          <w:sz w:val="28"/>
          <w:szCs w:val="28"/>
          <w:highlight w:val="none"/>
          <w:lang w:val="en-US" w:eastAsia="zh-CN"/>
        </w:rPr>
        <w:t>四</w:t>
      </w:r>
      <w:r>
        <w:rPr>
          <w:rFonts w:hint="eastAsia" w:ascii="黑体" w:hAnsi="黑体" w:eastAsia="黑体" w:cs="Times New Roman"/>
          <w:b/>
          <w:bCs/>
          <w:color w:val="auto"/>
          <w:sz w:val="28"/>
          <w:szCs w:val="28"/>
          <w:highlight w:val="none"/>
        </w:rPr>
        <w:t>、供应商资格</w:t>
      </w:r>
      <w:r>
        <w:rPr>
          <w:rFonts w:hint="eastAsia" w:ascii="黑体" w:hAnsi="黑体" w:eastAsia="黑体" w:cs="Times New Roman"/>
          <w:b/>
          <w:bCs/>
          <w:color w:val="auto"/>
          <w:sz w:val="28"/>
          <w:szCs w:val="28"/>
          <w:highlight w:val="none"/>
          <w:lang w:val="en-US" w:eastAsia="zh-CN"/>
        </w:rPr>
        <w:t>证明</w:t>
      </w:r>
      <w:r>
        <w:rPr>
          <w:rFonts w:hint="eastAsia" w:ascii="黑体" w:hAnsi="黑体" w:eastAsia="黑体" w:cs="Times New Roman"/>
          <w:b/>
          <w:bCs/>
          <w:color w:val="auto"/>
          <w:sz w:val="28"/>
          <w:szCs w:val="28"/>
          <w:highlight w:val="none"/>
        </w:rPr>
        <w:t>材料</w:t>
      </w:r>
      <w:bookmarkEnd w:id="124"/>
      <w:bookmarkEnd w:id="125"/>
      <w:bookmarkEnd w:id="126"/>
    </w:p>
    <w:p w14:paraId="60C50DF4">
      <w:pPr>
        <w:widowControl w:val="0"/>
        <w:adjustRightInd w:val="0"/>
        <w:snapToGrid w:val="0"/>
        <w:spacing w:line="360" w:lineRule="auto"/>
        <w:jc w:val="center"/>
        <w:rPr>
          <w:rFonts w:ascii="宋体" w:hAnsi="宋体" w:eastAsia="宋体" w:cs="Times New Roman"/>
          <w:b/>
          <w:bCs/>
          <w:color w:val="auto"/>
          <w:kern w:val="2"/>
          <w:sz w:val="24"/>
          <w:szCs w:val="24"/>
          <w:highlight w:val="none"/>
          <w:lang w:val="en-US" w:eastAsia="zh-CN" w:bidi="ar-SA"/>
        </w:rPr>
      </w:pPr>
    </w:p>
    <w:p w14:paraId="6D8A84F7">
      <w:pPr>
        <w:widowControl w:val="0"/>
        <w:adjustRightInd w:val="0"/>
        <w:snapToGrid w:val="0"/>
        <w:spacing w:line="360" w:lineRule="auto"/>
        <w:jc w:val="center"/>
        <w:rPr>
          <w:rFonts w:ascii="黑体" w:hAnsi="黑体" w:eastAsia="黑体" w:cs="Times New Roman"/>
          <w:b/>
          <w:bCs/>
          <w:color w:val="auto"/>
          <w:kern w:val="2"/>
          <w:sz w:val="28"/>
          <w:szCs w:val="28"/>
          <w:highlight w:val="none"/>
          <w:lang w:val="en-US" w:eastAsia="zh-CN" w:bidi="ar-SA"/>
        </w:rPr>
      </w:pPr>
      <w:r>
        <w:rPr>
          <w:rFonts w:hint="eastAsia" w:ascii="黑体" w:hAnsi="黑体" w:eastAsia="黑体" w:cs="Times New Roman"/>
          <w:b/>
          <w:bCs/>
          <w:color w:val="auto"/>
          <w:kern w:val="2"/>
          <w:sz w:val="28"/>
          <w:szCs w:val="28"/>
          <w:highlight w:val="none"/>
          <w:lang w:val="en-US" w:eastAsia="zh-CN" w:bidi="ar-SA"/>
        </w:rPr>
        <w:t>须  知</w:t>
      </w:r>
    </w:p>
    <w:p w14:paraId="131F7DA5">
      <w:pPr>
        <w:widowControl w:val="0"/>
        <w:tabs>
          <w:tab w:val="left" w:pos="4725"/>
        </w:tabs>
        <w:adjustRightInd w:val="0"/>
        <w:snapToGrid w:val="0"/>
        <w:spacing w:before="156" w:beforeLines="50" w:line="360" w:lineRule="auto"/>
        <w:ind w:firstLine="420" w:firstLineChars="200"/>
        <w:rPr>
          <w:rFonts w:ascii="宋体" w:hAnsi="宋体" w:eastAsia="宋体" w:cs="Times New Roman"/>
          <w:b/>
          <w:bCs/>
          <w:color w:val="auto"/>
          <w:szCs w:val="21"/>
          <w:highlight w:val="none"/>
        </w:rPr>
      </w:pPr>
      <w:r>
        <w:rPr>
          <w:rFonts w:hint="eastAsia" w:ascii="宋体" w:hAnsi="宋体" w:eastAsia="宋体" w:cs="Times New Roman"/>
          <w:b/>
          <w:color w:val="auto"/>
          <w:szCs w:val="21"/>
          <w:highlight w:val="none"/>
        </w:rPr>
        <w:t>1、</w:t>
      </w:r>
      <w:r>
        <w:rPr>
          <w:rFonts w:hint="eastAsia" w:ascii="宋体" w:hAnsi="宋体" w:eastAsia="宋体" w:cs="Times New Roman"/>
          <w:b/>
          <w:color w:val="auto"/>
          <w:szCs w:val="21"/>
          <w:highlight w:val="none"/>
          <w:lang w:eastAsia="zh-CN"/>
        </w:rPr>
        <w:t>供应商</w:t>
      </w:r>
      <w:r>
        <w:rPr>
          <w:rFonts w:hint="eastAsia" w:ascii="宋体" w:hAnsi="宋体" w:eastAsia="宋体" w:cs="Times New Roman"/>
          <w:b/>
          <w:bCs/>
          <w:color w:val="auto"/>
          <w:szCs w:val="21"/>
          <w:highlight w:val="none"/>
        </w:rPr>
        <w:t>应按第二章第</w:t>
      </w:r>
      <w:r>
        <w:rPr>
          <w:rFonts w:hint="eastAsia" w:ascii="宋体" w:hAnsi="宋体" w:cs="Times New Roman"/>
          <w:b/>
          <w:bCs/>
          <w:color w:val="auto"/>
          <w:szCs w:val="21"/>
          <w:highlight w:val="none"/>
          <w:lang w:val="en-US" w:eastAsia="zh-CN"/>
        </w:rPr>
        <w:t>3</w:t>
      </w:r>
      <w:r>
        <w:rPr>
          <w:rFonts w:hint="eastAsia" w:ascii="宋体" w:hAnsi="宋体" w:eastAsia="宋体" w:cs="Times New Roman"/>
          <w:b/>
          <w:bCs/>
          <w:color w:val="auto"/>
          <w:szCs w:val="21"/>
          <w:highlight w:val="none"/>
        </w:rPr>
        <w:t>.1款要求提供下列的证明材料</w:t>
      </w:r>
    </w:p>
    <w:p w14:paraId="75AED0A4">
      <w:pPr>
        <w:widowControl w:val="0"/>
        <w:tabs>
          <w:tab w:val="left" w:pos="4725"/>
        </w:tabs>
        <w:adjustRightInd w:val="0"/>
        <w:snapToGrid w:val="0"/>
        <w:spacing w:before="156" w:beforeLines="50" w:line="360" w:lineRule="auto"/>
        <w:ind w:firstLine="735" w:firstLineChars="35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附件</w:t>
      </w: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rPr>
        <w:t>-1 法人或者其他组织的营业执照等主体资格证明文件，自然人的身份证明</w:t>
      </w:r>
    </w:p>
    <w:p w14:paraId="53935D9A">
      <w:pPr>
        <w:widowControl w:val="0"/>
        <w:tabs>
          <w:tab w:val="left" w:pos="4725"/>
        </w:tabs>
        <w:adjustRightInd w:val="0"/>
        <w:snapToGrid w:val="0"/>
        <w:spacing w:before="156" w:beforeLines="50" w:line="360" w:lineRule="auto"/>
        <w:ind w:firstLine="735" w:firstLineChars="35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附件4-2 湖南省政府采购供应商资格承诺函(格式)（1）</w:t>
      </w:r>
      <w:r>
        <w:rPr>
          <w:rFonts w:hint="eastAsia" w:ascii="宋体" w:hAnsi="宋体" w:cs="Times New Roman"/>
          <w:color w:val="auto"/>
          <w:szCs w:val="21"/>
          <w:highlight w:val="none"/>
          <w:lang w:eastAsia="zh-CN"/>
        </w:rPr>
        <w:t>、附件4-2中小企业声明函（2）</w:t>
      </w:r>
    </w:p>
    <w:p w14:paraId="48469EDE">
      <w:pPr>
        <w:widowControl w:val="0"/>
        <w:tabs>
          <w:tab w:val="left" w:pos="4725"/>
        </w:tabs>
        <w:adjustRightInd w:val="0"/>
        <w:snapToGrid w:val="0"/>
        <w:spacing w:before="156" w:beforeLines="50" w:line="360" w:lineRule="auto"/>
        <w:ind w:firstLine="735" w:firstLineChars="35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附件</w:t>
      </w: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rPr>
        <w:t>-</w:t>
      </w: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rPr>
        <w:t>符合</w:t>
      </w:r>
      <w:r>
        <w:rPr>
          <w:rFonts w:hint="eastAsia" w:ascii="宋体" w:hAnsi="宋体" w:eastAsia="宋体" w:cs="Times New Roman"/>
          <w:color w:val="auto"/>
          <w:szCs w:val="21"/>
          <w:highlight w:val="none"/>
          <w:lang w:eastAsia="zh-CN"/>
        </w:rPr>
        <w:t>特定资格要求</w:t>
      </w:r>
      <w:r>
        <w:rPr>
          <w:rFonts w:hint="eastAsia" w:ascii="宋体" w:hAnsi="宋体" w:eastAsia="宋体" w:cs="Times New Roman"/>
          <w:color w:val="auto"/>
          <w:szCs w:val="21"/>
          <w:highlight w:val="none"/>
        </w:rPr>
        <w:t>证明材料复印件或者情况说明</w:t>
      </w:r>
    </w:p>
    <w:p w14:paraId="684936A9">
      <w:pPr>
        <w:widowControl w:val="0"/>
        <w:tabs>
          <w:tab w:val="left" w:pos="4725"/>
        </w:tabs>
        <w:adjustRightInd w:val="0"/>
        <w:snapToGrid w:val="0"/>
        <w:spacing w:before="156" w:beforeLines="50" w:line="360" w:lineRule="auto"/>
        <w:ind w:firstLine="735" w:firstLineChars="350"/>
        <w:rPr>
          <w:rFonts w:hint="default" w:ascii="Times New Roman" w:hAnsi="Times New Roman" w:eastAsia="宋体" w:cs="Times New Roman"/>
          <w:color w:val="auto"/>
          <w:highlight w:val="none"/>
          <w:lang w:val="en-US" w:eastAsia="zh-CN"/>
        </w:rPr>
      </w:pPr>
      <w:r>
        <w:rPr>
          <w:rFonts w:hint="eastAsia" w:ascii="宋体" w:hAnsi="宋体" w:eastAsia="宋体" w:cs="Times New Roman"/>
          <w:color w:val="auto"/>
          <w:szCs w:val="21"/>
          <w:highlight w:val="none"/>
          <w:lang w:val="en-US" w:eastAsia="zh-CN"/>
        </w:rPr>
        <w:t>附件</w:t>
      </w: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lang w:val="en-US" w:eastAsia="zh-CN"/>
        </w:rPr>
        <w:t>-</w:t>
      </w: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lang w:val="en-US" w:eastAsia="zh-CN"/>
        </w:rPr>
        <w:t xml:space="preserve"> 供应商回避声明函</w:t>
      </w:r>
    </w:p>
    <w:p w14:paraId="6BD42F9A">
      <w:pPr>
        <w:widowControl w:val="0"/>
        <w:adjustRightInd w:val="0"/>
        <w:snapToGrid w:val="0"/>
        <w:spacing w:before="156" w:beforeLines="50" w:line="360" w:lineRule="auto"/>
        <w:ind w:firstLine="420" w:firstLineChars="200"/>
        <w:rPr>
          <w:rFonts w:hint="eastAsia" w:ascii="宋体" w:hAnsi="宋体" w:eastAsia="宋体" w:cs="Times New Roman"/>
          <w:color w:val="auto"/>
          <w:highlight w:val="none"/>
        </w:rPr>
      </w:pPr>
      <w:r>
        <w:rPr>
          <w:rFonts w:hint="eastAsia" w:ascii="宋体" w:hAnsi="宋体" w:cs="Times New Roman"/>
          <w:color w:val="auto"/>
          <w:highlight w:val="none"/>
          <w:lang w:val="en-US" w:eastAsia="zh-CN"/>
        </w:rPr>
        <w:t>2</w:t>
      </w:r>
      <w:r>
        <w:rPr>
          <w:rFonts w:hint="eastAsia" w:ascii="宋体" w:hAnsi="宋体" w:eastAsia="宋体" w:cs="Times New Roman"/>
          <w:color w:val="auto"/>
          <w:highlight w:val="none"/>
        </w:rPr>
        <w:t>、</w:t>
      </w:r>
      <w:r>
        <w:rPr>
          <w:rFonts w:hint="eastAsia" w:ascii="宋体" w:hAnsi="宋体" w:eastAsia="宋体" w:cs="Times New Roman"/>
          <w:color w:val="auto"/>
          <w:szCs w:val="21"/>
          <w:highlight w:val="none"/>
        </w:rPr>
        <w:t>供应商</w:t>
      </w:r>
      <w:r>
        <w:rPr>
          <w:rFonts w:hint="eastAsia" w:ascii="宋体" w:hAnsi="宋体" w:eastAsia="宋体" w:cs="Times New Roman"/>
          <w:color w:val="auto"/>
          <w:highlight w:val="none"/>
        </w:rPr>
        <w:t>的资格证明文件均应为有效文件并加盖</w:t>
      </w:r>
      <w:r>
        <w:rPr>
          <w:rFonts w:hint="eastAsia" w:ascii="宋体" w:hAnsi="宋体" w:eastAsia="宋体" w:cs="Times New Roman"/>
          <w:color w:val="auto"/>
          <w:szCs w:val="21"/>
          <w:highlight w:val="none"/>
        </w:rPr>
        <w:t>供应商</w:t>
      </w:r>
      <w:r>
        <w:rPr>
          <w:rFonts w:hint="eastAsia" w:ascii="宋体" w:hAnsi="宋体" w:eastAsia="宋体" w:cs="Times New Roman"/>
          <w:color w:val="auto"/>
          <w:highlight w:val="none"/>
        </w:rPr>
        <w:t>单位公章，并按其规定签署。</w:t>
      </w:r>
    </w:p>
    <w:p w14:paraId="62723436">
      <w:pPr>
        <w:widowControl w:val="0"/>
        <w:ind w:firstLine="420" w:firstLineChars="200"/>
        <w:jc w:val="both"/>
        <w:rPr>
          <w:rFonts w:hint="eastAsia" w:ascii="宋体" w:hAnsi="宋体" w:eastAsia="宋体" w:cs="Times New Roman"/>
          <w:color w:val="auto"/>
          <w:kern w:val="2"/>
          <w:sz w:val="21"/>
          <w:szCs w:val="21"/>
          <w:highlight w:val="none"/>
          <w:lang w:val="en-US" w:eastAsia="zh-CN" w:bidi="ar-SA"/>
        </w:rPr>
      </w:pPr>
    </w:p>
    <w:p w14:paraId="16611157">
      <w:pPr>
        <w:widowControl w:val="0"/>
        <w:ind w:firstLine="420" w:firstLineChars="200"/>
        <w:jc w:val="both"/>
        <w:rPr>
          <w:rFonts w:hint="eastAsia" w:ascii="宋体" w:hAnsi="宋体" w:eastAsia="宋体" w:cs="Times New Roman"/>
          <w:color w:val="auto"/>
          <w:kern w:val="2"/>
          <w:sz w:val="21"/>
          <w:szCs w:val="21"/>
          <w:highlight w:val="none"/>
          <w:lang w:val="en-US" w:eastAsia="zh-CN" w:bidi="ar-SA"/>
        </w:rPr>
      </w:pPr>
    </w:p>
    <w:p w14:paraId="175C075C">
      <w:pPr>
        <w:widowControl w:val="0"/>
        <w:ind w:firstLine="420" w:firstLineChars="200"/>
        <w:jc w:val="both"/>
        <w:rPr>
          <w:rFonts w:ascii="Times New Roman" w:hAnsi="Times New Roman" w:eastAsia="宋体" w:cs="Times New Roman"/>
          <w:color w:val="auto"/>
          <w:kern w:val="2"/>
          <w:sz w:val="21"/>
          <w:szCs w:val="21"/>
          <w:highlight w:val="none"/>
          <w:lang w:val="en-US" w:eastAsia="zh-CN" w:bidi="ar-SA"/>
        </w:rPr>
      </w:pPr>
    </w:p>
    <w:p w14:paraId="6385F874">
      <w:pPr>
        <w:widowControl w:val="0"/>
        <w:ind w:firstLine="420" w:firstLineChars="200"/>
        <w:jc w:val="both"/>
        <w:rPr>
          <w:rFonts w:ascii="Times New Roman" w:hAnsi="Times New Roman" w:eastAsia="宋体" w:cs="Times New Roman"/>
          <w:color w:val="auto"/>
          <w:kern w:val="2"/>
          <w:sz w:val="21"/>
          <w:szCs w:val="21"/>
          <w:highlight w:val="none"/>
          <w:lang w:val="en-US" w:eastAsia="zh-CN" w:bidi="ar-SA"/>
        </w:rPr>
      </w:pPr>
    </w:p>
    <w:p w14:paraId="2A89745C">
      <w:pPr>
        <w:widowControl w:val="0"/>
        <w:tabs>
          <w:tab w:val="left" w:pos="4725"/>
        </w:tabs>
        <w:adjustRightInd w:val="0"/>
        <w:snapToGrid w:val="0"/>
        <w:spacing w:line="360" w:lineRule="auto"/>
        <w:rPr>
          <w:rFonts w:ascii="宋体" w:hAnsi="宋体" w:eastAsia="宋体" w:cs="宋体"/>
          <w:color w:val="auto"/>
          <w:szCs w:val="21"/>
          <w:highlight w:val="none"/>
        </w:rPr>
      </w:pPr>
    </w:p>
    <w:p w14:paraId="2BB2341F">
      <w:pPr>
        <w:widowControl/>
        <w:adjustRightInd w:val="0"/>
        <w:snapToGrid w:val="0"/>
        <w:spacing w:line="360" w:lineRule="auto"/>
        <w:jc w:val="left"/>
        <w:rPr>
          <w:rFonts w:ascii="黑体" w:hAnsi="仿宋" w:eastAsia="黑体" w:cs="宋体"/>
          <w:color w:val="auto"/>
          <w:sz w:val="10"/>
          <w:szCs w:val="10"/>
          <w:highlight w:val="none"/>
        </w:rPr>
      </w:pPr>
      <w:r>
        <w:rPr>
          <w:rFonts w:ascii="黑体" w:hAnsi="仿宋" w:eastAsia="黑体" w:cs="宋体"/>
          <w:color w:val="auto"/>
          <w:szCs w:val="21"/>
          <w:highlight w:val="none"/>
        </w:rPr>
        <w:br w:type="page"/>
      </w:r>
    </w:p>
    <w:p w14:paraId="5E90B79E">
      <w:pPr>
        <w:keepNext/>
        <w:keepLines/>
        <w:widowControl w:val="0"/>
        <w:spacing w:before="260" w:after="260" w:line="416" w:lineRule="auto"/>
        <w:outlineLvl w:val="2"/>
        <w:rPr>
          <w:rFonts w:hint="eastAsia" w:ascii="黑体" w:hAnsi="仿宋" w:eastAsia="宋体" w:cs="宋体"/>
          <w:b/>
          <w:bCs/>
          <w:color w:val="auto"/>
          <w:sz w:val="21"/>
          <w:szCs w:val="21"/>
          <w:highlight w:val="none"/>
        </w:rPr>
      </w:pPr>
      <w:bookmarkStart w:id="127" w:name="_Toc590"/>
      <w:r>
        <w:rPr>
          <w:rFonts w:hint="eastAsia" w:ascii="黑体" w:hAnsi="仿宋" w:eastAsia="宋体" w:cs="宋体"/>
          <w:b/>
          <w:bCs/>
          <w:color w:val="auto"/>
          <w:sz w:val="21"/>
          <w:szCs w:val="21"/>
          <w:highlight w:val="none"/>
        </w:rPr>
        <w:t>附件</w:t>
      </w:r>
      <w:r>
        <w:rPr>
          <w:rFonts w:hint="eastAsia" w:ascii="黑体" w:hAnsi="仿宋" w:cs="宋体"/>
          <w:b/>
          <w:bCs/>
          <w:color w:val="auto"/>
          <w:sz w:val="21"/>
          <w:szCs w:val="21"/>
          <w:highlight w:val="none"/>
          <w:lang w:val="en-US" w:eastAsia="zh-CN"/>
        </w:rPr>
        <w:t>4</w:t>
      </w:r>
      <w:r>
        <w:rPr>
          <w:rFonts w:hint="eastAsia" w:ascii="黑体" w:hAnsi="仿宋" w:eastAsia="宋体" w:cs="宋体"/>
          <w:b/>
          <w:bCs/>
          <w:color w:val="auto"/>
          <w:sz w:val="21"/>
          <w:szCs w:val="21"/>
          <w:highlight w:val="none"/>
        </w:rPr>
        <w:t>-1 法人或者其他组织的营业执照等主体资格证明文件，自然人的身份证明</w:t>
      </w:r>
      <w:bookmarkEnd w:id="127"/>
    </w:p>
    <w:p w14:paraId="661649B5">
      <w:pPr>
        <w:widowControl/>
        <w:adjustRightInd w:val="0"/>
        <w:snapToGrid w:val="0"/>
        <w:spacing w:line="360" w:lineRule="auto"/>
        <w:jc w:val="center"/>
        <w:rPr>
          <w:rFonts w:ascii="黑体" w:hAnsi="仿宋" w:eastAsia="黑体" w:cs="宋体"/>
          <w:b/>
          <w:color w:val="auto"/>
          <w:sz w:val="28"/>
          <w:szCs w:val="28"/>
          <w:highlight w:val="none"/>
        </w:rPr>
      </w:pPr>
      <w:r>
        <w:rPr>
          <w:rFonts w:hint="eastAsia" w:ascii="黑体" w:hAnsi="仿宋" w:eastAsia="黑体" w:cs="宋体"/>
          <w:b/>
          <w:color w:val="auto"/>
          <w:sz w:val="28"/>
          <w:szCs w:val="28"/>
          <w:highlight w:val="none"/>
        </w:rPr>
        <w:t>法人或者其他组织的营业执照等主体资格证明文件，自然人的身份证明</w:t>
      </w:r>
    </w:p>
    <w:p w14:paraId="66A9FDE3">
      <w:pPr>
        <w:widowControl/>
        <w:adjustRightInd w:val="0"/>
        <w:snapToGrid w:val="0"/>
        <w:spacing w:before="156" w:beforeLines="50" w:line="360" w:lineRule="auto"/>
        <w:ind w:firstLine="420" w:firstLineChars="200"/>
        <w:jc w:val="left"/>
        <w:rPr>
          <w:rFonts w:ascii="宋体" w:hAnsi="宋体" w:eastAsia="宋体" w:cs="宋体"/>
          <w:color w:val="auto"/>
          <w:szCs w:val="21"/>
          <w:highlight w:val="none"/>
        </w:rPr>
      </w:pPr>
    </w:p>
    <w:p w14:paraId="7129CED3">
      <w:pPr>
        <w:widowControl w:val="0"/>
        <w:adjustRightInd w:val="0"/>
        <w:snapToGrid w:val="0"/>
        <w:spacing w:before="156" w:beforeLines="50"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注：按第二章第</w:t>
      </w:r>
      <w:r>
        <w:rPr>
          <w:rFonts w:hint="eastAsia" w:ascii="宋体" w:hAnsi="宋体" w:cs="宋体"/>
          <w:color w:val="auto"/>
          <w:szCs w:val="21"/>
          <w:highlight w:val="none"/>
          <w:lang w:val="en-US" w:eastAsia="zh-CN"/>
        </w:rPr>
        <w:t>3.1</w:t>
      </w:r>
      <w:r>
        <w:rPr>
          <w:rFonts w:hint="eastAsia" w:ascii="宋体" w:hAnsi="宋体" w:eastAsia="宋体" w:cs="宋体"/>
          <w:color w:val="auto"/>
          <w:szCs w:val="21"/>
          <w:highlight w:val="none"/>
        </w:rPr>
        <w:t>项要求提供。</w:t>
      </w:r>
    </w:p>
    <w:p w14:paraId="515FBCE8">
      <w:pPr>
        <w:widowControl w:val="0"/>
        <w:adjustRightInd w:val="0"/>
        <w:snapToGrid w:val="0"/>
        <w:spacing w:before="156" w:beforeLines="50" w:line="360" w:lineRule="auto"/>
        <w:ind w:firstLine="420" w:firstLineChars="200"/>
        <w:rPr>
          <w:rFonts w:ascii="宋体" w:hAnsi="宋体" w:eastAsia="宋体" w:cs="Times New Roman"/>
          <w:color w:val="auto"/>
          <w:highlight w:val="none"/>
        </w:rPr>
      </w:pPr>
      <w:r>
        <w:rPr>
          <w:rFonts w:hint="eastAsia" w:ascii="宋体" w:hAnsi="宋体" w:eastAsia="宋体" w:cs="宋体"/>
          <w:color w:val="auto"/>
          <w:szCs w:val="21"/>
          <w:highlight w:val="none"/>
        </w:rPr>
        <w:t>（1）</w:t>
      </w:r>
      <w:r>
        <w:rPr>
          <w:rFonts w:hint="eastAsia" w:ascii="宋体" w:hAnsi="宋体" w:eastAsia="宋体" w:cs="Times New Roman"/>
          <w:color w:val="auto"/>
          <w:highlight w:val="none"/>
          <w:lang w:eastAsia="zh-CN"/>
        </w:rPr>
        <w:t>供应商</w:t>
      </w:r>
      <w:r>
        <w:rPr>
          <w:rFonts w:hint="eastAsia" w:ascii="宋体" w:hAnsi="宋体" w:eastAsia="宋体" w:cs="Times New Roman"/>
          <w:color w:val="auto"/>
          <w:highlight w:val="none"/>
        </w:rPr>
        <w:t>为法人的，应提交营业执照或法人登记证书的复印件；</w:t>
      </w:r>
    </w:p>
    <w:p w14:paraId="2294D410">
      <w:pPr>
        <w:widowControl w:val="0"/>
        <w:adjustRightInd w:val="0"/>
        <w:snapToGrid w:val="0"/>
        <w:spacing w:before="156" w:beforeLines="50" w:line="360" w:lineRule="auto"/>
        <w:ind w:firstLine="420" w:firstLineChars="200"/>
        <w:rPr>
          <w:rFonts w:ascii="宋体" w:hAnsi="宋体" w:eastAsia="宋体" w:cs="Times New Roman"/>
          <w:color w:val="auto"/>
          <w:highlight w:val="none"/>
        </w:rPr>
      </w:pPr>
      <w:r>
        <w:rPr>
          <w:rFonts w:hint="eastAsia" w:ascii="宋体" w:hAnsi="宋体" w:eastAsia="宋体" w:cs="宋体"/>
          <w:color w:val="auto"/>
          <w:szCs w:val="21"/>
          <w:highlight w:val="none"/>
        </w:rPr>
        <w:t>（2）</w:t>
      </w:r>
      <w:r>
        <w:rPr>
          <w:rFonts w:hint="eastAsia" w:ascii="宋体" w:hAnsi="宋体" w:eastAsia="宋体" w:cs="Times New Roman"/>
          <w:color w:val="auto"/>
          <w:highlight w:val="none"/>
          <w:lang w:eastAsia="zh-CN"/>
        </w:rPr>
        <w:t>供应商</w:t>
      </w:r>
      <w:r>
        <w:rPr>
          <w:rFonts w:hint="eastAsia" w:ascii="宋体" w:hAnsi="宋体" w:eastAsia="宋体" w:cs="Times New Roman"/>
          <w:color w:val="auto"/>
          <w:highlight w:val="none"/>
        </w:rPr>
        <w:t>为非法人组织的，应提交依法登记证书复印件；</w:t>
      </w:r>
    </w:p>
    <w:p w14:paraId="315C95FF">
      <w:pPr>
        <w:widowControl w:val="0"/>
        <w:adjustRightInd w:val="0"/>
        <w:snapToGrid w:val="0"/>
        <w:spacing w:before="156" w:beforeLines="50" w:line="360" w:lineRule="auto"/>
        <w:ind w:firstLine="420" w:firstLineChars="200"/>
        <w:rPr>
          <w:rFonts w:ascii="宋体" w:hAnsi="宋体" w:eastAsia="宋体" w:cs="Times New Roman"/>
          <w:color w:val="auto"/>
          <w:highlight w:val="none"/>
        </w:rPr>
      </w:pPr>
      <w:r>
        <w:rPr>
          <w:rFonts w:hint="eastAsia" w:ascii="宋体" w:hAnsi="宋体" w:eastAsia="宋体" w:cs="宋体"/>
          <w:color w:val="auto"/>
          <w:szCs w:val="21"/>
          <w:highlight w:val="none"/>
        </w:rPr>
        <w:t>（3）</w:t>
      </w:r>
      <w:r>
        <w:rPr>
          <w:rFonts w:hint="eastAsia" w:ascii="宋体" w:hAnsi="宋体" w:eastAsia="宋体" w:cs="Times New Roman"/>
          <w:color w:val="auto"/>
          <w:highlight w:val="none"/>
          <w:lang w:eastAsia="zh-CN"/>
        </w:rPr>
        <w:t>供应商</w:t>
      </w:r>
      <w:r>
        <w:rPr>
          <w:rFonts w:hint="eastAsia" w:ascii="宋体" w:hAnsi="宋体" w:eastAsia="宋体" w:cs="Times New Roman"/>
          <w:color w:val="auto"/>
          <w:highlight w:val="none"/>
        </w:rPr>
        <w:t>为个体工商户的，应提交个体工商户营业执照复印件；</w:t>
      </w:r>
    </w:p>
    <w:p w14:paraId="14DD8AA5">
      <w:pPr>
        <w:widowControl w:val="0"/>
        <w:adjustRightInd w:val="0"/>
        <w:snapToGrid w:val="0"/>
        <w:spacing w:before="156" w:beforeLines="50" w:line="360" w:lineRule="auto"/>
        <w:ind w:firstLine="420" w:firstLineChars="200"/>
        <w:rPr>
          <w:rFonts w:ascii="宋体" w:hAnsi="宋体" w:eastAsia="宋体" w:cs="Times New Roman"/>
          <w:color w:val="auto"/>
          <w:highlight w:val="none"/>
        </w:rPr>
      </w:pPr>
      <w:r>
        <w:rPr>
          <w:rFonts w:hint="eastAsia" w:ascii="宋体" w:hAnsi="宋体" w:eastAsia="宋体" w:cs="宋体"/>
          <w:color w:val="auto"/>
          <w:szCs w:val="21"/>
          <w:highlight w:val="none"/>
        </w:rPr>
        <w:t>（4）</w:t>
      </w:r>
      <w:r>
        <w:rPr>
          <w:rFonts w:hint="eastAsia" w:ascii="宋体" w:hAnsi="宋体" w:eastAsia="宋体" w:cs="Times New Roman"/>
          <w:color w:val="auto"/>
          <w:highlight w:val="none"/>
          <w:lang w:eastAsia="zh-CN"/>
        </w:rPr>
        <w:t>供应商</w:t>
      </w:r>
      <w:r>
        <w:rPr>
          <w:rFonts w:hint="eastAsia" w:ascii="宋体" w:hAnsi="宋体" w:eastAsia="宋体" w:cs="Times New Roman"/>
          <w:color w:val="auto"/>
          <w:highlight w:val="none"/>
        </w:rPr>
        <w:t>为自然人的，应提交自然人的身份证明复印件。</w:t>
      </w:r>
    </w:p>
    <w:p w14:paraId="7B6583FD">
      <w:pPr>
        <w:widowControl w:val="0"/>
        <w:adjustRightInd w:val="0"/>
        <w:snapToGrid w:val="0"/>
        <w:spacing w:before="156" w:beforeLines="50" w:line="360" w:lineRule="auto"/>
        <w:ind w:firstLine="420" w:firstLineChars="200"/>
        <w:rPr>
          <w:rFonts w:ascii="宋体" w:hAnsi="宋体" w:eastAsia="宋体" w:cs="Times New Roman"/>
          <w:color w:val="auto"/>
          <w:highlight w:val="none"/>
        </w:rPr>
      </w:pPr>
    </w:p>
    <w:p w14:paraId="05D21D45">
      <w:pPr>
        <w:widowControl/>
        <w:jc w:val="left"/>
        <w:rPr>
          <w:rFonts w:ascii="黑体" w:hAnsi="仿宋" w:eastAsia="黑体" w:cs="宋体"/>
          <w:bCs/>
          <w:color w:val="auto"/>
          <w:sz w:val="10"/>
          <w:szCs w:val="10"/>
          <w:highlight w:val="none"/>
        </w:rPr>
      </w:pPr>
      <w:r>
        <w:rPr>
          <w:rFonts w:ascii="黑体" w:hAnsi="仿宋" w:eastAsia="宋体" w:cs="宋体"/>
          <w:b/>
          <w:color w:val="auto"/>
          <w:szCs w:val="21"/>
          <w:highlight w:val="none"/>
        </w:rPr>
        <w:br w:type="page"/>
      </w:r>
    </w:p>
    <w:p w14:paraId="7AABB9FF">
      <w:pPr>
        <w:keepNext/>
        <w:keepLines/>
        <w:widowControl w:val="0"/>
        <w:spacing w:before="260" w:after="260" w:line="416" w:lineRule="auto"/>
        <w:outlineLvl w:val="2"/>
        <w:rPr>
          <w:rFonts w:hint="eastAsia" w:ascii="黑体" w:hAnsi="仿宋" w:eastAsia="宋体" w:cs="宋体"/>
          <w:b/>
          <w:bCs/>
          <w:color w:val="auto"/>
          <w:sz w:val="21"/>
          <w:szCs w:val="21"/>
          <w:highlight w:val="none"/>
          <w:lang w:val="en-US" w:eastAsia="zh-CN"/>
        </w:rPr>
      </w:pPr>
      <w:bookmarkStart w:id="128" w:name="_Toc24449"/>
      <w:r>
        <w:rPr>
          <w:rFonts w:hint="eastAsia" w:ascii="黑体" w:hAnsi="仿宋" w:eastAsia="宋体" w:cs="宋体"/>
          <w:b/>
          <w:bCs/>
          <w:color w:val="auto"/>
          <w:sz w:val="21"/>
          <w:szCs w:val="21"/>
          <w:highlight w:val="none"/>
        </w:rPr>
        <w:t>附件</w:t>
      </w:r>
      <w:r>
        <w:rPr>
          <w:rFonts w:hint="eastAsia" w:ascii="黑体" w:hAnsi="仿宋" w:cs="宋体"/>
          <w:b/>
          <w:bCs/>
          <w:color w:val="auto"/>
          <w:sz w:val="21"/>
          <w:szCs w:val="21"/>
          <w:highlight w:val="none"/>
          <w:lang w:val="en-US" w:eastAsia="zh-CN"/>
        </w:rPr>
        <w:t>4</w:t>
      </w:r>
      <w:r>
        <w:rPr>
          <w:rFonts w:hint="eastAsia" w:ascii="黑体" w:hAnsi="仿宋" w:eastAsia="宋体" w:cs="宋体"/>
          <w:b/>
          <w:bCs/>
          <w:color w:val="auto"/>
          <w:sz w:val="21"/>
          <w:szCs w:val="21"/>
          <w:highlight w:val="none"/>
        </w:rPr>
        <w:t>-2 湖南省政府采购供应商资格承诺函(格式)</w:t>
      </w:r>
      <w:bookmarkEnd w:id="128"/>
      <w:r>
        <w:rPr>
          <w:rFonts w:hint="eastAsia" w:ascii="黑体" w:hAnsi="仿宋" w:cs="宋体"/>
          <w:b/>
          <w:bCs/>
          <w:color w:val="auto"/>
          <w:sz w:val="21"/>
          <w:szCs w:val="21"/>
          <w:highlight w:val="none"/>
          <w:lang w:eastAsia="zh-CN"/>
        </w:rPr>
        <w:t>（</w:t>
      </w:r>
      <w:r>
        <w:rPr>
          <w:rFonts w:hint="eastAsia" w:ascii="黑体" w:hAnsi="仿宋" w:cs="宋体"/>
          <w:b/>
          <w:bCs/>
          <w:color w:val="auto"/>
          <w:sz w:val="21"/>
          <w:szCs w:val="21"/>
          <w:highlight w:val="none"/>
          <w:lang w:val="en-US" w:eastAsia="zh-CN"/>
        </w:rPr>
        <w:t>1</w:t>
      </w:r>
      <w:r>
        <w:rPr>
          <w:rFonts w:hint="eastAsia" w:ascii="黑体" w:hAnsi="仿宋" w:cs="宋体"/>
          <w:b/>
          <w:bCs/>
          <w:color w:val="auto"/>
          <w:sz w:val="21"/>
          <w:szCs w:val="21"/>
          <w:highlight w:val="none"/>
          <w:lang w:eastAsia="zh-CN"/>
        </w:rPr>
        <w:t>）</w:t>
      </w:r>
    </w:p>
    <w:p w14:paraId="797DA3D4">
      <w:pPr>
        <w:widowControl/>
        <w:adjustRightInd w:val="0"/>
        <w:snapToGrid w:val="0"/>
        <w:spacing w:before="468" w:beforeLines="150" w:line="360" w:lineRule="auto"/>
        <w:jc w:val="center"/>
        <w:rPr>
          <w:rFonts w:ascii="宋体" w:hAnsi="宋体" w:eastAsia="宋体" w:cs="宋体"/>
          <w:color w:val="auto"/>
          <w:szCs w:val="21"/>
          <w:highlight w:val="none"/>
        </w:rPr>
      </w:pPr>
      <w:r>
        <w:rPr>
          <w:rFonts w:hint="eastAsia" w:ascii="黑体" w:hAnsi="仿宋" w:eastAsia="黑体" w:cs="宋体"/>
          <w:b/>
          <w:color w:val="auto"/>
          <w:sz w:val="28"/>
          <w:szCs w:val="28"/>
          <w:highlight w:val="none"/>
        </w:rPr>
        <w:t>湖南省政府采购供应商资格承诺函(格式)</w:t>
      </w:r>
    </w:p>
    <w:p w14:paraId="7FDBCB65">
      <w:pPr>
        <w:widowControl/>
        <w:spacing w:before="156" w:beforeLines="50"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56877502">
      <w:pPr>
        <w:widowControl/>
        <w:spacing w:before="156" w:beforeLines="50"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按照《政府采购促进中小企业发展管理办法》(财库〔2020〕46号),本公司企业规模为: 大型□中型□小型□微型□。</w:t>
      </w:r>
    </w:p>
    <w:p w14:paraId="4D4D937A">
      <w:pPr>
        <w:widowControl/>
        <w:spacing w:before="156" w:beforeLines="50"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□本公司自愿入驻湖南省政府采购电子卖场,遵守《湖南省政府采购电子卖场管理办法》(湘财购〔2019〕27号),如违反承诺,同意金融机构将增信保证划缴国库(非电子卖场采购活动项目不需勾选)。</w:t>
      </w:r>
    </w:p>
    <w:p w14:paraId="09601811">
      <w:pPr>
        <w:widowControl/>
        <w:spacing w:before="156" w:beforeLines="50" w:line="360" w:lineRule="auto"/>
        <w:ind w:firstLine="420" w:firstLineChars="200"/>
        <w:jc w:val="left"/>
        <w:rPr>
          <w:rFonts w:ascii="宋体" w:hAnsi="宋体" w:eastAsia="宋体" w:cs="宋体"/>
          <w:color w:val="auto"/>
          <w:szCs w:val="21"/>
          <w:highlight w:val="none"/>
        </w:rPr>
      </w:pPr>
    </w:p>
    <w:p w14:paraId="76211BFE">
      <w:pPr>
        <w:widowControl/>
        <w:spacing w:before="156" w:beforeLines="50"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公司(单位)名称(盖章)：</w:t>
      </w:r>
    </w:p>
    <w:p w14:paraId="340930B1">
      <w:pPr>
        <w:widowControl/>
        <w:spacing w:before="156" w:beforeLines="50"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机构代码、注册登记机构、日期、有效期、注册资本、地 址、经济行业、经济性质</w:t>
      </w:r>
    </w:p>
    <w:p w14:paraId="722ECF91">
      <w:pPr>
        <w:widowControl/>
        <w:spacing w:before="156" w:beforeLines="50"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法定代表人(负责人)姓名(签字)、身份证号、手机号:</w:t>
      </w:r>
    </w:p>
    <w:p w14:paraId="0900D2E9">
      <w:pPr>
        <w:widowControl/>
        <w:spacing w:before="156" w:beforeLines="50"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授权代表人姓名(签字)、身份证号、手机号:</w:t>
      </w:r>
    </w:p>
    <w:p w14:paraId="6732391E">
      <w:pPr>
        <w:keepNext/>
        <w:keepLines/>
        <w:widowControl w:val="0"/>
        <w:spacing w:before="260" w:after="260" w:line="416" w:lineRule="auto"/>
        <w:outlineLvl w:val="2"/>
        <w:rPr>
          <w:rFonts w:hint="eastAsia" w:ascii="黑体" w:hAnsi="华文中宋" w:eastAsia="宋体" w:cs="宋体"/>
          <w:color w:val="auto"/>
          <w:spacing w:val="6"/>
          <w:kern w:val="0"/>
          <w:szCs w:val="21"/>
          <w:highlight w:val="none"/>
          <w:lang w:eastAsia="zh-CN"/>
        </w:rPr>
      </w:pPr>
      <w:r>
        <w:rPr>
          <w:rFonts w:hint="eastAsia" w:ascii="宋体" w:hAnsi="宋体" w:eastAsia="宋体" w:cs="宋体"/>
          <w:color w:val="auto"/>
          <w:szCs w:val="21"/>
          <w:highlight w:val="none"/>
        </w:rPr>
        <w:br w:type="page"/>
      </w:r>
      <w:r>
        <w:rPr>
          <w:rFonts w:hint="eastAsia" w:ascii="黑体" w:hAnsi="仿宋" w:eastAsia="宋体" w:cs="宋体"/>
          <w:b/>
          <w:bCs/>
          <w:color w:val="auto"/>
          <w:sz w:val="21"/>
          <w:szCs w:val="21"/>
          <w:highlight w:val="none"/>
        </w:rPr>
        <w:t>附件</w:t>
      </w:r>
      <w:r>
        <w:rPr>
          <w:rFonts w:hint="eastAsia" w:ascii="黑体" w:hAnsi="仿宋" w:eastAsia="宋体" w:cs="宋体"/>
          <w:b/>
          <w:bCs/>
          <w:color w:val="auto"/>
          <w:sz w:val="21"/>
          <w:szCs w:val="21"/>
          <w:highlight w:val="none"/>
          <w:lang w:val="en-US" w:eastAsia="zh-CN"/>
        </w:rPr>
        <w:t>4</w:t>
      </w:r>
      <w:r>
        <w:rPr>
          <w:rFonts w:hint="eastAsia" w:ascii="黑体" w:hAnsi="仿宋" w:eastAsia="宋体" w:cs="宋体"/>
          <w:b/>
          <w:bCs/>
          <w:color w:val="auto"/>
          <w:sz w:val="21"/>
          <w:szCs w:val="21"/>
          <w:highlight w:val="none"/>
        </w:rPr>
        <w:t>-</w:t>
      </w:r>
      <w:r>
        <w:rPr>
          <w:rFonts w:hint="eastAsia" w:ascii="黑体" w:hAnsi="仿宋" w:eastAsia="宋体" w:cs="宋体"/>
          <w:b/>
          <w:bCs/>
          <w:color w:val="auto"/>
          <w:sz w:val="21"/>
          <w:szCs w:val="21"/>
          <w:highlight w:val="none"/>
          <w:lang w:val="en-US" w:eastAsia="zh-CN"/>
        </w:rPr>
        <w:t>2</w:t>
      </w:r>
      <w:r>
        <w:rPr>
          <w:rFonts w:hint="eastAsia" w:ascii="黑体" w:hAnsi="仿宋" w:eastAsia="宋体" w:cs="宋体"/>
          <w:b/>
          <w:bCs/>
          <w:color w:val="auto"/>
          <w:sz w:val="21"/>
          <w:szCs w:val="21"/>
          <w:highlight w:val="none"/>
        </w:rPr>
        <w:t>中小企业声明函</w:t>
      </w:r>
      <w:r>
        <w:rPr>
          <w:rFonts w:hint="eastAsia" w:ascii="黑体" w:hAnsi="仿宋" w:eastAsia="宋体" w:cs="宋体"/>
          <w:b/>
          <w:bCs/>
          <w:color w:val="auto"/>
          <w:sz w:val="21"/>
          <w:szCs w:val="21"/>
          <w:highlight w:val="none"/>
          <w:lang w:eastAsia="zh-CN"/>
        </w:rPr>
        <w:t>（</w:t>
      </w:r>
      <w:r>
        <w:rPr>
          <w:rFonts w:hint="eastAsia" w:ascii="黑体" w:hAnsi="仿宋" w:eastAsia="宋体" w:cs="宋体"/>
          <w:b/>
          <w:bCs/>
          <w:color w:val="auto"/>
          <w:sz w:val="21"/>
          <w:szCs w:val="21"/>
          <w:highlight w:val="none"/>
          <w:lang w:val="en-US" w:eastAsia="zh-CN"/>
        </w:rPr>
        <w:t>2</w:t>
      </w:r>
      <w:r>
        <w:rPr>
          <w:rFonts w:hint="eastAsia" w:ascii="黑体" w:hAnsi="仿宋" w:eastAsia="宋体" w:cs="宋体"/>
          <w:b/>
          <w:bCs/>
          <w:color w:val="auto"/>
          <w:sz w:val="21"/>
          <w:szCs w:val="21"/>
          <w:highlight w:val="none"/>
          <w:lang w:eastAsia="zh-CN"/>
        </w:rPr>
        <w:t>）</w:t>
      </w:r>
    </w:p>
    <w:p w14:paraId="58625FEE">
      <w:pPr>
        <w:widowControl/>
        <w:spacing w:before="100" w:beforeAutospacing="1" w:after="100" w:afterAutospacing="1" w:line="435" w:lineRule="atLeast"/>
        <w:jc w:val="center"/>
        <w:rPr>
          <w:rFonts w:ascii="Times New Roman" w:hAnsi="Times New Roman" w:eastAsia="宋体" w:cs="Times New Roman"/>
          <w:color w:val="auto"/>
          <w:szCs w:val="24"/>
          <w:highlight w:val="none"/>
        </w:rPr>
      </w:pPr>
      <w:r>
        <w:rPr>
          <w:rFonts w:hint="eastAsia" w:ascii="宋体" w:hAnsi="宋体" w:eastAsia="宋体" w:cs="宋体"/>
          <w:b/>
          <w:color w:val="auto"/>
          <w:kern w:val="0"/>
          <w:sz w:val="28"/>
          <w:szCs w:val="28"/>
          <w:highlight w:val="none"/>
          <w:lang w:bidi="ar"/>
        </w:rPr>
        <w:t>中小企业声明函（工程、服务）</w:t>
      </w:r>
    </w:p>
    <w:p w14:paraId="08E4FE39">
      <w:pPr>
        <w:widowControl/>
        <w:spacing w:before="100" w:beforeAutospacing="1" w:after="100" w:afterAutospacing="1" w:line="540" w:lineRule="exact"/>
        <w:ind w:firstLine="482"/>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本公司（联合体）郑重声明，根据《政府采购促进中小企业发展管理办法》（财库﹝2020﹞46 号）的规定，本公司（联合体）参加</w:t>
      </w:r>
      <w:r>
        <w:rPr>
          <w:rFonts w:hint="eastAsia" w:ascii="宋体" w:hAnsi="宋体" w:eastAsia="宋体" w:cs="宋体"/>
          <w:color w:val="auto"/>
          <w:kern w:val="0"/>
          <w:sz w:val="21"/>
          <w:szCs w:val="21"/>
          <w:highlight w:val="none"/>
          <w:u w:val="single"/>
          <w:lang w:bidi="ar"/>
        </w:rPr>
        <w:t>    （单位名称）</w:t>
      </w:r>
      <w:r>
        <w:rPr>
          <w:rFonts w:hint="eastAsia" w:ascii="宋体" w:hAnsi="宋体" w:eastAsia="宋体" w:cs="宋体"/>
          <w:color w:val="auto"/>
          <w:kern w:val="0"/>
          <w:sz w:val="21"/>
          <w:szCs w:val="21"/>
          <w:highlight w:val="none"/>
          <w:lang w:bidi="ar"/>
        </w:rPr>
        <w:t>的</w:t>
      </w:r>
      <w:r>
        <w:rPr>
          <w:rFonts w:hint="eastAsia" w:ascii="宋体" w:hAnsi="宋体" w:eastAsia="宋体" w:cs="宋体"/>
          <w:color w:val="auto"/>
          <w:kern w:val="0"/>
          <w:sz w:val="21"/>
          <w:szCs w:val="21"/>
          <w:highlight w:val="none"/>
          <w:u w:val="single"/>
          <w:lang w:bidi="ar"/>
        </w:rPr>
        <w:t>（项目名称）</w:t>
      </w:r>
      <w:r>
        <w:rPr>
          <w:rFonts w:hint="eastAsia" w:ascii="宋体" w:hAnsi="宋体" w:eastAsia="宋体" w:cs="宋体"/>
          <w:color w:val="auto"/>
          <w:kern w:val="0"/>
          <w:sz w:val="21"/>
          <w:szCs w:val="21"/>
          <w:highlight w:val="none"/>
          <w:lang w:bidi="ar"/>
        </w:rPr>
        <w:t>采购活动，工程的施工单位全部为符合政策要求的中小企业（或者：服务全部由符合政策要求的中小企业承接）。相关企业（含联合体中的中小企业、签订分包意向协议的中小企业）的具体情况如下：</w:t>
      </w:r>
    </w:p>
    <w:p w14:paraId="4ED872B5">
      <w:pPr>
        <w:widowControl/>
        <w:spacing w:before="100" w:beforeAutospacing="1" w:after="100" w:afterAutospacing="1" w:line="360" w:lineRule="auto"/>
        <w:ind w:firstLine="482"/>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u w:val="single"/>
          <w:lang w:bidi="ar"/>
        </w:rPr>
        <w:t>1.   （标的名称）</w:t>
      </w:r>
      <w:r>
        <w:rPr>
          <w:rFonts w:hint="eastAsia" w:ascii="宋体" w:hAnsi="宋体" w:eastAsia="宋体" w:cs="宋体"/>
          <w:color w:val="auto"/>
          <w:kern w:val="0"/>
          <w:sz w:val="21"/>
          <w:szCs w:val="21"/>
          <w:highlight w:val="none"/>
          <w:lang w:bidi="ar"/>
        </w:rPr>
        <w:t>，属于</w:t>
      </w:r>
      <w:r>
        <w:rPr>
          <w:rFonts w:hint="eastAsia" w:ascii="宋体" w:hAnsi="宋体" w:eastAsia="宋体" w:cs="宋体"/>
          <w:color w:val="auto"/>
          <w:kern w:val="0"/>
          <w:sz w:val="21"/>
          <w:szCs w:val="21"/>
          <w:highlight w:val="none"/>
          <w:u w:val="single"/>
          <w:lang w:bidi="ar"/>
        </w:rPr>
        <w:t>    （采购文件中明确的所属行业）</w:t>
      </w:r>
      <w:r>
        <w:rPr>
          <w:rFonts w:hint="eastAsia" w:ascii="宋体" w:hAnsi="宋体" w:eastAsia="宋体" w:cs="宋体"/>
          <w:color w:val="auto"/>
          <w:kern w:val="0"/>
          <w:sz w:val="21"/>
          <w:szCs w:val="21"/>
          <w:highlight w:val="none"/>
          <w:lang w:bidi="ar"/>
        </w:rPr>
        <w:t>；承建（承接）企业为</w:t>
      </w:r>
      <w:r>
        <w:rPr>
          <w:rFonts w:hint="eastAsia" w:ascii="宋体" w:hAnsi="宋体" w:eastAsia="宋体" w:cs="宋体"/>
          <w:color w:val="auto"/>
          <w:kern w:val="0"/>
          <w:sz w:val="21"/>
          <w:szCs w:val="21"/>
          <w:highlight w:val="none"/>
          <w:u w:val="single"/>
          <w:lang w:bidi="ar"/>
        </w:rPr>
        <w:t>    （企业名称）</w:t>
      </w:r>
      <w:r>
        <w:rPr>
          <w:rFonts w:hint="eastAsia" w:ascii="宋体" w:hAnsi="宋体" w:eastAsia="宋体" w:cs="宋体"/>
          <w:color w:val="auto"/>
          <w:kern w:val="0"/>
          <w:sz w:val="21"/>
          <w:szCs w:val="21"/>
          <w:highlight w:val="none"/>
          <w:lang w:bidi="ar"/>
        </w:rPr>
        <w:t>，从业人员</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人，营业收入为</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万元，资产总额为</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万元，属于</w:t>
      </w:r>
      <w:r>
        <w:rPr>
          <w:rFonts w:hint="eastAsia" w:ascii="宋体" w:hAnsi="宋体" w:eastAsia="宋体" w:cs="宋体"/>
          <w:color w:val="auto"/>
          <w:kern w:val="0"/>
          <w:sz w:val="21"/>
          <w:szCs w:val="21"/>
          <w:highlight w:val="none"/>
          <w:u w:val="single"/>
          <w:lang w:bidi="ar"/>
        </w:rPr>
        <w:t>     （中型企业、小型企业、微型企业）</w:t>
      </w:r>
      <w:r>
        <w:rPr>
          <w:rFonts w:hint="eastAsia" w:ascii="宋体" w:hAnsi="宋体" w:eastAsia="宋体" w:cs="宋体"/>
          <w:color w:val="auto"/>
          <w:kern w:val="0"/>
          <w:sz w:val="21"/>
          <w:szCs w:val="21"/>
          <w:highlight w:val="none"/>
          <w:lang w:bidi="ar"/>
        </w:rPr>
        <w:t>；</w:t>
      </w:r>
    </w:p>
    <w:p w14:paraId="39D7CD1A">
      <w:pPr>
        <w:widowControl/>
        <w:spacing w:before="100" w:beforeAutospacing="1" w:after="100" w:afterAutospacing="1" w:line="360" w:lineRule="auto"/>
        <w:ind w:firstLine="482"/>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2.</w:t>
      </w:r>
      <w:r>
        <w:rPr>
          <w:rFonts w:hint="eastAsia" w:ascii="宋体" w:hAnsi="宋体" w:eastAsia="宋体" w:cs="宋体"/>
          <w:color w:val="auto"/>
          <w:kern w:val="0"/>
          <w:sz w:val="21"/>
          <w:szCs w:val="21"/>
          <w:highlight w:val="none"/>
          <w:u w:val="single"/>
          <w:lang w:bidi="ar"/>
        </w:rPr>
        <w:t>     （标的名称）</w:t>
      </w:r>
      <w:r>
        <w:rPr>
          <w:rFonts w:hint="eastAsia" w:ascii="宋体" w:hAnsi="宋体" w:eastAsia="宋体" w:cs="宋体"/>
          <w:color w:val="auto"/>
          <w:kern w:val="0"/>
          <w:sz w:val="21"/>
          <w:szCs w:val="21"/>
          <w:highlight w:val="none"/>
          <w:lang w:bidi="ar"/>
        </w:rPr>
        <w:t>，属于</w:t>
      </w:r>
      <w:r>
        <w:rPr>
          <w:rFonts w:hint="eastAsia" w:ascii="宋体" w:hAnsi="宋体" w:eastAsia="宋体" w:cs="宋体"/>
          <w:color w:val="auto"/>
          <w:kern w:val="0"/>
          <w:sz w:val="21"/>
          <w:szCs w:val="21"/>
          <w:highlight w:val="none"/>
          <w:u w:val="single"/>
          <w:lang w:bidi="ar"/>
        </w:rPr>
        <w:t>     （采购文件中明确的所属行业）</w:t>
      </w:r>
      <w:r>
        <w:rPr>
          <w:rFonts w:hint="eastAsia" w:ascii="宋体" w:hAnsi="宋体" w:eastAsia="宋体" w:cs="宋体"/>
          <w:color w:val="auto"/>
          <w:kern w:val="0"/>
          <w:sz w:val="21"/>
          <w:szCs w:val="21"/>
          <w:highlight w:val="none"/>
          <w:lang w:bidi="ar"/>
        </w:rPr>
        <w:t>行业；制造商为</w:t>
      </w:r>
      <w:r>
        <w:rPr>
          <w:rFonts w:hint="eastAsia" w:ascii="宋体" w:hAnsi="宋体" w:eastAsia="宋体" w:cs="宋体"/>
          <w:color w:val="auto"/>
          <w:kern w:val="0"/>
          <w:sz w:val="21"/>
          <w:szCs w:val="21"/>
          <w:highlight w:val="none"/>
          <w:u w:val="single"/>
          <w:lang w:bidi="ar"/>
        </w:rPr>
        <w:t>       （企业名称）</w:t>
      </w:r>
      <w:r>
        <w:rPr>
          <w:rFonts w:hint="eastAsia" w:ascii="宋体" w:hAnsi="宋体" w:eastAsia="宋体" w:cs="宋体"/>
          <w:color w:val="auto"/>
          <w:kern w:val="0"/>
          <w:sz w:val="21"/>
          <w:szCs w:val="21"/>
          <w:highlight w:val="none"/>
          <w:lang w:bidi="ar"/>
        </w:rPr>
        <w:t>，从业人员</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人，营业收入为</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万元，资产总额为</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万元</w:t>
      </w:r>
      <w:r>
        <w:rPr>
          <w:rFonts w:hint="eastAsia" w:ascii="宋体" w:hAnsi="宋体" w:eastAsia="宋体" w:cs="宋体"/>
          <w:color w:val="auto"/>
          <w:kern w:val="0"/>
          <w:sz w:val="21"/>
          <w:szCs w:val="21"/>
          <w:highlight w:val="none"/>
          <w:vertAlign w:val="superscript"/>
          <w:lang w:bidi="ar"/>
        </w:rPr>
        <w:t>1</w:t>
      </w:r>
      <w:r>
        <w:rPr>
          <w:rFonts w:hint="eastAsia" w:ascii="宋体" w:hAnsi="宋体" w:eastAsia="宋体" w:cs="宋体"/>
          <w:color w:val="auto"/>
          <w:kern w:val="0"/>
          <w:sz w:val="21"/>
          <w:szCs w:val="21"/>
          <w:highlight w:val="none"/>
          <w:lang w:bidi="ar"/>
        </w:rPr>
        <w:t>，属于</w:t>
      </w:r>
      <w:r>
        <w:rPr>
          <w:rFonts w:hint="eastAsia" w:ascii="宋体" w:hAnsi="宋体" w:eastAsia="宋体" w:cs="宋体"/>
          <w:color w:val="auto"/>
          <w:kern w:val="0"/>
          <w:sz w:val="21"/>
          <w:szCs w:val="21"/>
          <w:highlight w:val="none"/>
          <w:u w:val="single"/>
          <w:lang w:bidi="ar"/>
        </w:rPr>
        <w:t>     （中型企业、小型企业、微型企业）</w:t>
      </w:r>
      <w:r>
        <w:rPr>
          <w:rFonts w:hint="eastAsia" w:ascii="宋体" w:hAnsi="宋体" w:eastAsia="宋体" w:cs="宋体"/>
          <w:color w:val="auto"/>
          <w:kern w:val="0"/>
          <w:sz w:val="21"/>
          <w:szCs w:val="21"/>
          <w:highlight w:val="none"/>
          <w:lang w:bidi="ar"/>
        </w:rPr>
        <w:t>；</w:t>
      </w:r>
    </w:p>
    <w:p w14:paraId="0951DABC">
      <w:pPr>
        <w:widowControl/>
        <w:spacing w:before="100" w:beforeAutospacing="1" w:after="100" w:afterAutospacing="1" w:line="360" w:lineRule="auto"/>
        <w:ind w:firstLine="482"/>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w:t>
      </w:r>
    </w:p>
    <w:p w14:paraId="5C7775C4">
      <w:pPr>
        <w:widowControl/>
        <w:spacing w:before="100" w:beforeAutospacing="1" w:after="100" w:afterAutospacing="1" w:line="540" w:lineRule="exact"/>
        <w:ind w:firstLine="482"/>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以上企业，不属于大企业的分支机构，不存在控股股东为大企业的情形，也不存在与大企业的负责人为同一人的情形。</w:t>
      </w:r>
    </w:p>
    <w:p w14:paraId="42E03919">
      <w:pPr>
        <w:widowControl/>
        <w:spacing w:before="100" w:beforeAutospacing="1" w:after="100" w:afterAutospacing="1" w:line="540" w:lineRule="exact"/>
        <w:ind w:firstLine="482"/>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本企业对上述声明内容的真实性负责。如有虚假，将依法承担相应责任。</w:t>
      </w:r>
    </w:p>
    <w:p w14:paraId="49A5A134">
      <w:pPr>
        <w:widowControl/>
        <w:spacing w:before="100" w:beforeAutospacing="1" w:after="100" w:afterAutospacing="1" w:line="540" w:lineRule="exact"/>
        <w:ind w:firstLine="5280"/>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企业名称（盖章）：</w:t>
      </w:r>
    </w:p>
    <w:p w14:paraId="02DACC06">
      <w:pPr>
        <w:widowControl/>
        <w:spacing w:before="100" w:beforeAutospacing="1" w:after="100" w:afterAutospacing="1" w:line="540" w:lineRule="exact"/>
        <w:ind w:firstLine="5280"/>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日 期：</w:t>
      </w:r>
    </w:p>
    <w:p w14:paraId="62808755">
      <w:pPr>
        <w:widowControl/>
        <w:spacing w:before="100" w:beforeAutospacing="1" w:after="100" w:afterAutospacing="1" w:line="435" w:lineRule="atLeast"/>
        <w:jc w:val="left"/>
        <w:rPr>
          <w:rFonts w:ascii="Times New Roman" w:hAnsi="Times New Roman" w:eastAsia="宋体" w:cs="Times New Roman"/>
          <w:color w:val="auto"/>
          <w:szCs w:val="24"/>
          <w:highlight w:val="none"/>
        </w:rPr>
      </w:pPr>
      <w:r>
        <w:rPr>
          <w:rFonts w:hint="eastAsia" w:ascii="宋体" w:hAnsi="宋体" w:eastAsia="宋体" w:cs="宋体"/>
          <w:color w:val="auto"/>
          <w:kern w:val="0"/>
          <w:sz w:val="18"/>
          <w:szCs w:val="18"/>
          <w:highlight w:val="none"/>
          <w:vertAlign w:val="superscript"/>
          <w:lang w:bidi="ar"/>
        </w:rPr>
        <w:t>1</w:t>
      </w:r>
      <w:r>
        <w:rPr>
          <w:rFonts w:hint="eastAsia" w:ascii="宋体" w:hAnsi="宋体" w:eastAsia="宋体" w:cs="宋体"/>
          <w:color w:val="auto"/>
          <w:kern w:val="0"/>
          <w:sz w:val="18"/>
          <w:szCs w:val="18"/>
          <w:highlight w:val="none"/>
          <w:lang w:bidi="ar"/>
        </w:rPr>
        <w:t>从业人员、营业收入、资产总额填报上一年度数据，无上一年度数据的新成立企业可不填报。</w:t>
      </w:r>
    </w:p>
    <w:p w14:paraId="0C704537">
      <w:pPr>
        <w:widowControl/>
        <w:spacing w:line="360" w:lineRule="auto"/>
        <w:ind w:firstLine="420" w:firstLineChars="200"/>
        <w:jc w:val="left"/>
        <w:rPr>
          <w:rFonts w:hint="eastAsia" w:ascii="宋体" w:hAnsi="宋体" w:eastAsia="宋体" w:cs="宋体"/>
          <w:color w:val="auto"/>
          <w:szCs w:val="21"/>
          <w:highlight w:val="none"/>
        </w:rPr>
      </w:pPr>
    </w:p>
    <w:p w14:paraId="722BD953">
      <w:pPr>
        <w:keepNext/>
        <w:keepLines/>
        <w:widowControl w:val="0"/>
        <w:spacing w:before="260" w:after="260" w:line="416" w:lineRule="auto"/>
        <w:outlineLvl w:val="2"/>
        <w:rPr>
          <w:rFonts w:hint="eastAsia" w:ascii="黑体" w:hAnsi="仿宋" w:eastAsia="宋体" w:cs="宋体"/>
          <w:b/>
          <w:bCs/>
          <w:color w:val="auto"/>
          <w:sz w:val="21"/>
          <w:szCs w:val="21"/>
          <w:highlight w:val="none"/>
        </w:rPr>
      </w:pPr>
      <w:bookmarkStart w:id="129" w:name="_Toc13891"/>
      <w:r>
        <w:rPr>
          <w:rFonts w:hint="eastAsia" w:ascii="黑体" w:hAnsi="仿宋" w:eastAsia="宋体" w:cs="宋体"/>
          <w:b/>
          <w:bCs/>
          <w:color w:val="auto"/>
          <w:sz w:val="21"/>
          <w:szCs w:val="21"/>
          <w:highlight w:val="none"/>
        </w:rPr>
        <w:t>附件</w:t>
      </w:r>
      <w:r>
        <w:rPr>
          <w:rFonts w:hint="eastAsia" w:ascii="黑体" w:hAnsi="仿宋" w:cs="宋体"/>
          <w:b/>
          <w:bCs/>
          <w:color w:val="auto"/>
          <w:sz w:val="21"/>
          <w:szCs w:val="21"/>
          <w:highlight w:val="none"/>
          <w:lang w:val="en-US" w:eastAsia="zh-CN"/>
        </w:rPr>
        <w:t>4</w:t>
      </w:r>
      <w:r>
        <w:rPr>
          <w:rFonts w:hint="eastAsia" w:ascii="黑体" w:hAnsi="仿宋" w:eastAsia="宋体" w:cs="宋体"/>
          <w:b/>
          <w:bCs/>
          <w:color w:val="auto"/>
          <w:sz w:val="21"/>
          <w:szCs w:val="21"/>
          <w:highlight w:val="none"/>
        </w:rPr>
        <w:t>-</w:t>
      </w:r>
      <w:r>
        <w:rPr>
          <w:rFonts w:hint="eastAsia" w:ascii="黑体" w:hAnsi="仿宋" w:cs="宋体"/>
          <w:b/>
          <w:bCs/>
          <w:color w:val="auto"/>
          <w:sz w:val="21"/>
          <w:szCs w:val="21"/>
          <w:highlight w:val="none"/>
          <w:lang w:val="en-US" w:eastAsia="zh-CN"/>
        </w:rPr>
        <w:t>3</w:t>
      </w:r>
      <w:r>
        <w:rPr>
          <w:rFonts w:hint="eastAsia" w:ascii="黑体" w:hAnsi="仿宋" w:eastAsia="宋体" w:cs="宋体"/>
          <w:b/>
          <w:bCs/>
          <w:color w:val="auto"/>
          <w:sz w:val="21"/>
          <w:szCs w:val="21"/>
          <w:highlight w:val="none"/>
        </w:rPr>
        <w:t>符合</w:t>
      </w:r>
      <w:r>
        <w:rPr>
          <w:rFonts w:hint="eastAsia" w:ascii="黑体" w:hAnsi="仿宋" w:eastAsia="宋体" w:cs="宋体"/>
          <w:b/>
          <w:bCs/>
          <w:color w:val="auto"/>
          <w:sz w:val="21"/>
          <w:szCs w:val="21"/>
          <w:highlight w:val="none"/>
          <w:lang w:eastAsia="zh-CN"/>
        </w:rPr>
        <w:t>特定资格要求</w:t>
      </w:r>
      <w:r>
        <w:rPr>
          <w:rFonts w:hint="eastAsia" w:ascii="黑体" w:hAnsi="仿宋" w:eastAsia="宋体" w:cs="宋体"/>
          <w:b/>
          <w:bCs/>
          <w:color w:val="auto"/>
          <w:sz w:val="21"/>
          <w:szCs w:val="21"/>
          <w:highlight w:val="none"/>
        </w:rPr>
        <w:t>证明材料复印件或者情况说明</w:t>
      </w:r>
      <w:bookmarkEnd w:id="129"/>
    </w:p>
    <w:p w14:paraId="6E9F4600">
      <w:pPr>
        <w:widowControl/>
        <w:adjustRightInd w:val="0"/>
        <w:snapToGrid w:val="0"/>
        <w:spacing w:line="360" w:lineRule="auto"/>
        <w:jc w:val="center"/>
        <w:rPr>
          <w:rFonts w:ascii="黑体" w:hAnsi="仿宋" w:eastAsia="黑体" w:cs="宋体"/>
          <w:b/>
          <w:color w:val="auto"/>
          <w:sz w:val="28"/>
          <w:szCs w:val="28"/>
          <w:highlight w:val="none"/>
        </w:rPr>
      </w:pPr>
      <w:r>
        <w:rPr>
          <w:rFonts w:hint="eastAsia" w:ascii="黑体" w:hAnsi="仿宋" w:eastAsia="黑体" w:cs="宋体"/>
          <w:b/>
          <w:color w:val="auto"/>
          <w:sz w:val="28"/>
          <w:szCs w:val="28"/>
          <w:highlight w:val="none"/>
        </w:rPr>
        <w:t>符合</w:t>
      </w:r>
      <w:r>
        <w:rPr>
          <w:rFonts w:hint="eastAsia" w:ascii="黑体" w:hAnsi="仿宋" w:eastAsia="黑体" w:cs="宋体"/>
          <w:b/>
          <w:color w:val="auto"/>
          <w:sz w:val="28"/>
          <w:szCs w:val="28"/>
          <w:highlight w:val="none"/>
          <w:lang w:eastAsia="zh-CN"/>
        </w:rPr>
        <w:t>特定资格要求</w:t>
      </w:r>
      <w:r>
        <w:rPr>
          <w:rFonts w:hint="eastAsia" w:ascii="黑体" w:hAnsi="仿宋" w:eastAsia="黑体" w:cs="宋体"/>
          <w:b/>
          <w:color w:val="auto"/>
          <w:sz w:val="28"/>
          <w:szCs w:val="28"/>
          <w:highlight w:val="none"/>
        </w:rPr>
        <w:t>证明材料复印件或者情况说明</w:t>
      </w:r>
    </w:p>
    <w:p w14:paraId="695D449F">
      <w:pPr>
        <w:widowControl/>
        <w:adjustRightInd w:val="0"/>
        <w:snapToGrid w:val="0"/>
        <w:spacing w:line="360" w:lineRule="auto"/>
        <w:ind w:firstLine="560" w:firstLineChars="200"/>
        <w:jc w:val="left"/>
        <w:rPr>
          <w:rFonts w:ascii="黑体" w:hAnsi="仿宋" w:eastAsia="黑体" w:cs="宋体"/>
          <w:color w:val="auto"/>
          <w:sz w:val="28"/>
          <w:szCs w:val="28"/>
          <w:highlight w:val="none"/>
        </w:rPr>
      </w:pPr>
    </w:p>
    <w:p w14:paraId="3C025368">
      <w:pPr>
        <w:widowControl/>
        <w:adjustRightInd w:val="0"/>
        <w:snapToGrid w:val="0"/>
        <w:spacing w:line="360" w:lineRule="auto"/>
        <w:ind w:firstLine="420" w:firstLineChars="200"/>
        <w:jc w:val="center"/>
        <w:rPr>
          <w:rFonts w:hint="default" w:ascii="宋体" w:hAnsi="宋体" w:eastAsia="宋体" w:cs="宋体"/>
          <w:color w:val="auto"/>
          <w:szCs w:val="21"/>
          <w:highlight w:val="none"/>
          <w:lang w:val="en-US" w:eastAsia="zh-CN"/>
        </w:rPr>
      </w:pPr>
      <w:r>
        <w:rPr>
          <w:rFonts w:hint="eastAsia"/>
          <w:b/>
          <w:color w:val="auto"/>
          <w:sz w:val="21"/>
          <w:szCs w:val="21"/>
          <w:highlight w:val="none"/>
        </w:rPr>
        <w:t>采购项目的特定资格条件：无</w:t>
      </w:r>
      <w:r>
        <w:rPr>
          <w:rFonts w:hint="eastAsia"/>
          <w:bCs/>
          <w:color w:val="auto"/>
          <w:sz w:val="21"/>
          <w:szCs w:val="21"/>
          <w:highlight w:val="none"/>
        </w:rPr>
        <w:t>。</w:t>
      </w:r>
    </w:p>
    <w:p w14:paraId="513558FC">
      <w:pPr>
        <w:keepNext/>
        <w:keepLines/>
        <w:widowControl w:val="0"/>
        <w:spacing w:before="260" w:after="260" w:line="416" w:lineRule="auto"/>
        <w:outlineLvl w:val="2"/>
        <w:rPr>
          <w:rFonts w:hint="default" w:ascii="黑体" w:hAnsi="仿宋" w:eastAsia="宋体" w:cs="宋体"/>
          <w:b/>
          <w:bCs/>
          <w:color w:val="auto"/>
          <w:sz w:val="21"/>
          <w:szCs w:val="21"/>
          <w:highlight w:val="none"/>
          <w:lang w:val="en-US" w:eastAsia="zh-CN"/>
        </w:rPr>
      </w:pPr>
      <w:r>
        <w:rPr>
          <w:rFonts w:hint="eastAsia" w:ascii="黑体" w:hAnsi="仿宋" w:eastAsia="宋体" w:cs="宋体"/>
          <w:b/>
          <w:bCs/>
          <w:color w:val="auto"/>
          <w:sz w:val="21"/>
          <w:szCs w:val="21"/>
          <w:highlight w:val="none"/>
          <w:lang w:val="en-US" w:eastAsia="zh-CN"/>
        </w:rPr>
        <w:br w:type="page"/>
      </w:r>
      <w:r>
        <w:rPr>
          <w:rFonts w:hint="eastAsia" w:ascii="黑体" w:hAnsi="仿宋" w:eastAsia="宋体" w:cs="宋体"/>
          <w:b/>
          <w:bCs/>
          <w:color w:val="auto"/>
          <w:sz w:val="21"/>
          <w:szCs w:val="21"/>
          <w:highlight w:val="none"/>
          <w:lang w:val="en-US" w:eastAsia="zh-CN"/>
        </w:rPr>
        <w:t>附件</w:t>
      </w:r>
      <w:r>
        <w:rPr>
          <w:rFonts w:hint="eastAsia" w:ascii="黑体" w:hAnsi="仿宋" w:cs="宋体"/>
          <w:b/>
          <w:bCs/>
          <w:color w:val="auto"/>
          <w:sz w:val="21"/>
          <w:szCs w:val="21"/>
          <w:highlight w:val="none"/>
          <w:lang w:val="en-US" w:eastAsia="zh-CN"/>
        </w:rPr>
        <w:t>4</w:t>
      </w:r>
      <w:r>
        <w:rPr>
          <w:rFonts w:hint="eastAsia" w:ascii="黑体" w:hAnsi="仿宋" w:eastAsia="宋体" w:cs="宋体"/>
          <w:b/>
          <w:bCs/>
          <w:color w:val="auto"/>
          <w:sz w:val="21"/>
          <w:szCs w:val="21"/>
          <w:highlight w:val="none"/>
          <w:lang w:val="en-US" w:eastAsia="zh-CN"/>
        </w:rPr>
        <w:t>-</w:t>
      </w:r>
      <w:r>
        <w:rPr>
          <w:rFonts w:hint="eastAsia" w:ascii="黑体" w:hAnsi="仿宋" w:cs="宋体"/>
          <w:b/>
          <w:bCs/>
          <w:color w:val="auto"/>
          <w:sz w:val="21"/>
          <w:szCs w:val="21"/>
          <w:highlight w:val="none"/>
          <w:lang w:val="en-US" w:eastAsia="zh-CN"/>
        </w:rPr>
        <w:t>4</w:t>
      </w:r>
      <w:r>
        <w:rPr>
          <w:rFonts w:hint="eastAsia" w:ascii="黑体" w:hAnsi="仿宋" w:eastAsia="宋体" w:cs="宋体"/>
          <w:b/>
          <w:bCs/>
          <w:color w:val="auto"/>
          <w:sz w:val="21"/>
          <w:szCs w:val="21"/>
          <w:highlight w:val="none"/>
          <w:lang w:val="en-US" w:eastAsia="zh-CN"/>
        </w:rPr>
        <w:t>供应商回避声明函</w:t>
      </w:r>
    </w:p>
    <w:p w14:paraId="068E709C">
      <w:pPr>
        <w:widowControl/>
        <w:jc w:val="center"/>
        <w:rPr>
          <w:rFonts w:hint="eastAsia" w:ascii="黑体" w:hAnsi="黑体" w:eastAsia="黑体" w:cs="黑体"/>
          <w:b/>
          <w:bCs/>
          <w:color w:val="auto"/>
          <w:sz w:val="28"/>
          <w:szCs w:val="28"/>
          <w:highlight w:val="none"/>
          <w:lang w:val="en-US" w:eastAsia="zh-CN"/>
        </w:rPr>
      </w:pPr>
      <w:r>
        <w:rPr>
          <w:rFonts w:hint="eastAsia" w:ascii="黑体" w:hAnsi="黑体" w:eastAsia="黑体" w:cs="黑体"/>
          <w:b/>
          <w:bCs/>
          <w:color w:val="auto"/>
          <w:sz w:val="28"/>
          <w:szCs w:val="28"/>
          <w:highlight w:val="none"/>
          <w:lang w:val="en-US" w:eastAsia="zh-CN"/>
        </w:rPr>
        <w:t>供应商回避声明函</w:t>
      </w:r>
    </w:p>
    <w:p w14:paraId="776E6C83">
      <w:pPr>
        <w:widowControl w:val="0"/>
        <w:ind w:firstLine="420" w:firstLineChars="200"/>
        <w:jc w:val="both"/>
        <w:rPr>
          <w:rFonts w:hint="default" w:ascii="Times New Roman" w:hAnsi="Times New Roman" w:eastAsia="宋体" w:cs="Times New Roman"/>
          <w:color w:val="auto"/>
          <w:kern w:val="2"/>
          <w:sz w:val="21"/>
          <w:szCs w:val="21"/>
          <w:highlight w:val="none"/>
          <w:lang w:val="en-US" w:eastAsia="zh-CN" w:bidi="ar-SA"/>
        </w:rPr>
      </w:pPr>
    </w:p>
    <w:p w14:paraId="522682CA">
      <w:pPr>
        <w:widowControl/>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(采购人、采购代理机构)：</w:t>
      </w:r>
    </w:p>
    <w:p w14:paraId="056431E9">
      <w:pPr>
        <w:widowControl/>
        <w:adjustRightInd w:val="0"/>
        <w:snapToGrid w:val="0"/>
        <w:spacing w:before="156" w:beforeLines="50" w:line="360" w:lineRule="auto"/>
        <w:ind w:firstLine="420" w:firstLineChars="200"/>
        <w:jc w:val="left"/>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与我单位存在“单位负责人为同一人或者存在直接控股、管理关系”的其他单位信息如下（如无，填写“无”）：</w:t>
      </w:r>
    </w:p>
    <w:p w14:paraId="5C2C2DED">
      <w:pPr>
        <w:widowControl w:val="0"/>
        <w:adjustRightInd w:val="0"/>
        <w:snapToGrid w:val="0"/>
        <w:spacing w:before="156" w:beforeLines="50" w:line="360" w:lineRule="auto"/>
        <w:ind w:firstLine="420" w:firstLineChars="200"/>
        <w:rPr>
          <w:rFonts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Times New Roman" w:hAnsi="Times New Roman" w:eastAsia="宋体" w:cs="Times New Roman"/>
          <w:color w:val="auto"/>
          <w:szCs w:val="21"/>
          <w:highlight w:val="none"/>
        </w:rPr>
        <w:t>与我单位的法定代表人（单位负责人）为同一人的其他单位如下：</w:t>
      </w:r>
      <w:r>
        <w:rPr>
          <w:rFonts w:hint="eastAsia" w:ascii="宋体" w:hAnsi="宋体" w:eastAsia="宋体" w:cs="Times New Roman"/>
          <w:color w:val="auto"/>
          <w:szCs w:val="21"/>
          <w:highlight w:val="none"/>
          <w:u w:val="single"/>
        </w:rPr>
        <w:t xml:space="preserve">               </w:t>
      </w:r>
    </w:p>
    <w:p w14:paraId="0A7546E4">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2、我</w:t>
      </w:r>
      <w:r>
        <w:rPr>
          <w:rFonts w:hint="eastAsia" w:ascii="Times New Roman" w:hAnsi="Times New Roman" w:eastAsia="宋体" w:cs="Times New Roman"/>
          <w:color w:val="auto"/>
          <w:szCs w:val="21"/>
          <w:highlight w:val="none"/>
        </w:rPr>
        <w:t>单位</w:t>
      </w:r>
      <w:r>
        <w:rPr>
          <w:rFonts w:hint="eastAsia" w:ascii="宋体" w:hAnsi="宋体" w:eastAsia="宋体" w:cs="Times New Roman"/>
          <w:color w:val="auto"/>
          <w:szCs w:val="21"/>
          <w:highlight w:val="none"/>
        </w:rPr>
        <w:t>直接控股</w:t>
      </w:r>
      <w:r>
        <w:rPr>
          <w:rFonts w:hint="eastAsia" w:ascii="宋体" w:hAnsi="宋体" w:eastAsia="宋体" w:cs="Times New Roman"/>
          <w:color w:val="auto"/>
          <w:szCs w:val="21"/>
          <w:highlight w:val="none"/>
          <w:lang w:val="en-US" w:eastAsia="zh-CN"/>
        </w:rPr>
        <w:t>和被直接控股的</w:t>
      </w:r>
      <w:r>
        <w:rPr>
          <w:rFonts w:hint="eastAsia" w:ascii="宋体" w:hAnsi="宋体" w:eastAsia="宋体" w:cs="Times New Roman"/>
          <w:color w:val="auto"/>
          <w:szCs w:val="21"/>
          <w:highlight w:val="none"/>
        </w:rPr>
        <w:t>其他单位如下：</w:t>
      </w:r>
      <w:r>
        <w:rPr>
          <w:rFonts w:hint="eastAsia" w:ascii="宋体" w:hAnsi="宋体" w:eastAsia="宋体" w:cs="Times New Roman"/>
          <w:color w:val="auto"/>
          <w:szCs w:val="21"/>
          <w:highlight w:val="none"/>
          <w:u w:val="single"/>
        </w:rPr>
        <w:t xml:space="preserve">               </w:t>
      </w:r>
    </w:p>
    <w:p w14:paraId="3A67D1C2">
      <w:pPr>
        <w:widowControl w:val="0"/>
        <w:adjustRightInd w:val="0"/>
        <w:snapToGrid w:val="0"/>
        <w:spacing w:before="156" w:beforeLines="50" w:line="360" w:lineRule="auto"/>
        <w:ind w:firstLine="420" w:firstLineChars="200"/>
        <w:rPr>
          <w:rFonts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3、与我</w:t>
      </w:r>
      <w:r>
        <w:rPr>
          <w:rFonts w:hint="eastAsia" w:ascii="Times New Roman" w:hAnsi="Times New Roman" w:eastAsia="宋体" w:cs="Times New Roman"/>
          <w:color w:val="auto"/>
          <w:szCs w:val="21"/>
          <w:highlight w:val="none"/>
        </w:rPr>
        <w:t>单位存在</w:t>
      </w:r>
      <w:r>
        <w:rPr>
          <w:rFonts w:hint="eastAsia" w:ascii="宋体" w:hAnsi="宋体" w:eastAsia="宋体" w:cs="Times New Roman"/>
          <w:color w:val="auto"/>
          <w:szCs w:val="21"/>
          <w:highlight w:val="none"/>
        </w:rPr>
        <w:t>管理关系</w:t>
      </w:r>
      <w:r>
        <w:rPr>
          <w:rFonts w:hint="eastAsia" w:ascii="宋体" w:hAnsi="宋体" w:eastAsia="宋体" w:cs="Times New Roman"/>
          <w:color w:val="auto"/>
          <w:szCs w:val="21"/>
          <w:highlight w:val="none"/>
          <w:lang w:val="en-US" w:eastAsia="zh-CN"/>
        </w:rPr>
        <w:t>和被管理关系</w:t>
      </w:r>
      <w:r>
        <w:rPr>
          <w:rFonts w:hint="eastAsia" w:ascii="宋体" w:hAnsi="宋体" w:eastAsia="宋体" w:cs="Times New Roman"/>
          <w:color w:val="auto"/>
          <w:szCs w:val="21"/>
          <w:highlight w:val="none"/>
        </w:rPr>
        <w:t>的其他单位如下：</w:t>
      </w:r>
      <w:r>
        <w:rPr>
          <w:rFonts w:hint="eastAsia" w:ascii="宋体" w:hAnsi="宋体" w:eastAsia="宋体" w:cs="Times New Roman"/>
          <w:color w:val="auto"/>
          <w:szCs w:val="21"/>
          <w:highlight w:val="none"/>
          <w:u w:val="single"/>
        </w:rPr>
        <w:t xml:space="preserve">               </w:t>
      </w:r>
    </w:p>
    <w:p w14:paraId="29372492">
      <w:pPr>
        <w:widowControl/>
        <w:adjustRightInd w:val="0"/>
        <w:snapToGrid w:val="0"/>
        <w:spacing w:before="156" w:beforeLines="50" w:line="360" w:lineRule="auto"/>
        <w:ind w:firstLine="420" w:firstLineChars="200"/>
        <w:jc w:val="left"/>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我单位保证上述声明的事项都是真实的，如有虚假，我单位愿意承担相应的法律责任，并承担因此所造成的一切损失。</w:t>
      </w:r>
    </w:p>
    <w:p w14:paraId="0B264B16">
      <w:pPr>
        <w:widowControl w:val="0"/>
        <w:adjustRightInd w:val="0"/>
        <w:snapToGrid w:val="0"/>
        <w:spacing w:before="156" w:beforeLines="50" w:line="360" w:lineRule="auto"/>
        <w:rPr>
          <w:rFonts w:hint="eastAsia" w:ascii="宋体" w:hAnsi="宋体" w:eastAsia="宋体" w:cs="Courier New"/>
          <w:color w:val="auto"/>
          <w:szCs w:val="21"/>
          <w:highlight w:val="none"/>
        </w:rPr>
      </w:pPr>
    </w:p>
    <w:p w14:paraId="4E7F2D58">
      <w:pPr>
        <w:widowControl w:val="0"/>
        <w:adjustRightInd w:val="0"/>
        <w:snapToGrid w:val="0"/>
        <w:spacing w:before="156" w:beforeLines="50" w:line="360" w:lineRule="auto"/>
        <w:rPr>
          <w:rFonts w:ascii="宋体" w:hAnsi="宋体" w:eastAsia="宋体" w:cs="Courier New"/>
          <w:color w:val="auto"/>
          <w:szCs w:val="21"/>
          <w:highlight w:val="none"/>
        </w:rPr>
      </w:pPr>
      <w:r>
        <w:rPr>
          <w:rFonts w:hint="eastAsia" w:ascii="宋体" w:hAnsi="宋体" w:eastAsia="宋体" w:cs="Courier New"/>
          <w:color w:val="auto"/>
          <w:szCs w:val="21"/>
          <w:highlight w:val="none"/>
        </w:rPr>
        <w:t>供应商名称(盖单位公章)：</w:t>
      </w:r>
    </w:p>
    <w:p w14:paraId="32BA83F4">
      <w:pPr>
        <w:widowControl w:val="0"/>
        <w:adjustRightInd w:val="0"/>
        <w:snapToGrid w:val="0"/>
        <w:spacing w:before="156" w:beforeLines="50" w:line="360" w:lineRule="auto"/>
        <w:rPr>
          <w:rFonts w:ascii="宋体" w:hAnsi="宋体" w:eastAsia="宋体" w:cs="Times New Roman"/>
          <w:color w:val="auto"/>
          <w:szCs w:val="21"/>
          <w:highlight w:val="none"/>
          <w:u w:val="singl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5B8EF641">
      <w:pPr>
        <w:widowControl w:val="0"/>
        <w:adjustRightInd w:val="0"/>
        <w:snapToGrid w:val="0"/>
        <w:spacing w:before="156" w:beforeLines="50" w:line="360" w:lineRule="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日期：     年      月      日</w:t>
      </w:r>
    </w:p>
    <w:p w14:paraId="0F201D78">
      <w:pPr>
        <w:widowControl w:val="0"/>
        <w:ind w:firstLine="420" w:firstLineChars="200"/>
        <w:jc w:val="both"/>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br w:type="page"/>
      </w:r>
    </w:p>
    <w:p w14:paraId="0E0C8EA9">
      <w:pPr>
        <w:keepNext/>
        <w:keepLines/>
        <w:widowControl w:val="0"/>
        <w:spacing w:line="360" w:lineRule="auto"/>
        <w:jc w:val="center"/>
        <w:outlineLvl w:val="1"/>
        <w:rPr>
          <w:rFonts w:ascii="黑体" w:hAnsi="黑体" w:eastAsia="黑体" w:cs="Times New Roman"/>
          <w:b/>
          <w:bCs/>
          <w:color w:val="auto"/>
          <w:sz w:val="28"/>
          <w:szCs w:val="28"/>
          <w:highlight w:val="none"/>
        </w:rPr>
      </w:pPr>
      <w:bookmarkStart w:id="130" w:name="_Toc20754"/>
      <w:bookmarkStart w:id="131" w:name="_Toc107998045"/>
      <w:bookmarkStart w:id="132" w:name="_Toc76"/>
      <w:r>
        <w:rPr>
          <w:rFonts w:hint="eastAsia" w:ascii="黑体" w:hAnsi="黑体" w:eastAsia="黑体" w:cs="Times New Roman"/>
          <w:b/>
          <w:bCs/>
          <w:color w:val="auto"/>
          <w:sz w:val="28"/>
          <w:szCs w:val="28"/>
          <w:highlight w:val="none"/>
          <w:lang w:val="en-US" w:eastAsia="zh-CN"/>
        </w:rPr>
        <w:t>五</w:t>
      </w:r>
      <w:r>
        <w:rPr>
          <w:rFonts w:hint="eastAsia" w:ascii="黑体" w:hAnsi="黑体" w:eastAsia="黑体" w:cs="Times New Roman"/>
          <w:b/>
          <w:bCs/>
          <w:color w:val="auto"/>
          <w:sz w:val="28"/>
          <w:szCs w:val="28"/>
          <w:highlight w:val="none"/>
        </w:rPr>
        <w:t>、采购需求响应</w:t>
      </w:r>
      <w:bookmarkEnd w:id="130"/>
      <w:bookmarkEnd w:id="131"/>
      <w:bookmarkEnd w:id="132"/>
    </w:p>
    <w:p w14:paraId="785BD0A2">
      <w:pPr>
        <w:widowControl w:val="0"/>
        <w:adjustRightInd w:val="0"/>
        <w:snapToGrid w:val="0"/>
        <w:spacing w:line="360" w:lineRule="auto"/>
        <w:rPr>
          <w:rFonts w:ascii="宋体" w:hAnsi="宋体" w:eastAsia="宋体" w:cs="Times New Roman"/>
          <w:b/>
          <w:color w:val="auto"/>
          <w:szCs w:val="21"/>
          <w:highlight w:val="none"/>
        </w:rPr>
      </w:pPr>
    </w:p>
    <w:p w14:paraId="1B81DC2A">
      <w:pPr>
        <w:widowControl w:val="0"/>
        <w:adjustRightInd w:val="0"/>
        <w:snapToGrid w:val="0"/>
        <w:spacing w:line="360" w:lineRule="auto"/>
        <w:rPr>
          <w:rFonts w:ascii="Times New Roman" w:hAnsi="Times New Roman" w:eastAsia="宋体" w:cs="Times New Roman"/>
          <w:b/>
          <w:color w:val="auto"/>
          <w:highlight w:val="none"/>
        </w:rPr>
      </w:pPr>
      <w:r>
        <w:rPr>
          <w:rFonts w:hint="eastAsia" w:ascii="宋体" w:hAnsi="宋体" w:eastAsia="宋体" w:cs="Times New Roman"/>
          <w:b/>
          <w:color w:val="auto"/>
          <w:szCs w:val="21"/>
          <w:highlight w:val="none"/>
        </w:rPr>
        <w:t>编制说明</w:t>
      </w:r>
      <w:r>
        <w:rPr>
          <w:rFonts w:hint="eastAsia" w:ascii="宋体" w:hAnsi="宋体" w:eastAsia="宋体" w:cs="Times New Roman"/>
          <w:bCs/>
          <w:color w:val="auto"/>
          <w:szCs w:val="21"/>
          <w:highlight w:val="none"/>
        </w:rPr>
        <w:t>：</w:t>
      </w:r>
      <w:r>
        <w:rPr>
          <w:rFonts w:hint="eastAsia" w:ascii="Times New Roman" w:hAnsi="Times New Roman" w:eastAsia="宋体" w:cs="Times New Roman"/>
          <w:b/>
          <w:color w:val="auto"/>
          <w:highlight w:val="none"/>
        </w:rPr>
        <w:t>供应商应按</w:t>
      </w:r>
      <w:r>
        <w:rPr>
          <w:rFonts w:hint="eastAsia" w:ascii="Times New Roman" w:hAnsi="Times New Roman" w:eastAsia="宋体" w:cs="Times New Roman"/>
          <w:b/>
          <w:color w:val="auto"/>
          <w:highlight w:val="none"/>
          <w:lang w:eastAsia="zh-CN"/>
        </w:rPr>
        <w:t>磋商</w:t>
      </w:r>
      <w:r>
        <w:rPr>
          <w:rFonts w:hint="eastAsia" w:ascii="Times New Roman" w:hAnsi="Times New Roman" w:eastAsia="宋体" w:cs="Times New Roman"/>
          <w:b/>
          <w:color w:val="auto"/>
          <w:highlight w:val="none"/>
        </w:rPr>
        <w:t>文件第三章采购需求自行编写采购需求响应文件（其内容可包括，且不限于详细的技术指标和性能、售后服务和技术服务的组织及保证措施等，格式自拟）。</w:t>
      </w:r>
    </w:p>
    <w:p w14:paraId="501752C1">
      <w:pPr>
        <w:widowControl w:val="0"/>
        <w:rPr>
          <w:rFonts w:ascii="Times New Roman" w:hAnsi="Times New Roman" w:eastAsia="宋体" w:cs="Times New Roman"/>
          <w:color w:val="auto"/>
          <w:highlight w:val="none"/>
        </w:rPr>
      </w:pPr>
    </w:p>
    <w:p w14:paraId="22EAFD87">
      <w:pPr>
        <w:widowControl w:val="0"/>
        <w:tabs>
          <w:tab w:val="left" w:pos="6208"/>
        </w:tabs>
        <w:adjustRightInd w:val="0"/>
        <w:snapToGrid w:val="0"/>
        <w:spacing w:line="360" w:lineRule="auto"/>
        <w:ind w:left="-88" w:leftChars="-42"/>
        <w:rPr>
          <w:rFonts w:ascii="宋体" w:hAnsi="宋体" w:eastAsia="宋体" w:cs="Times New Roman"/>
          <w:bCs/>
          <w:color w:val="auto"/>
          <w:szCs w:val="21"/>
          <w:highlight w:val="none"/>
        </w:rPr>
      </w:pPr>
    </w:p>
    <w:p w14:paraId="090581A3">
      <w:pPr>
        <w:widowControl w:val="0"/>
        <w:adjustRightInd w:val="0"/>
        <w:snapToGrid w:val="0"/>
        <w:spacing w:line="360" w:lineRule="auto"/>
        <w:rPr>
          <w:rFonts w:ascii="宋体" w:hAnsi="宋体" w:eastAsia="宋体" w:cs="Times New Roman"/>
          <w:color w:val="auto"/>
          <w:szCs w:val="21"/>
          <w:highlight w:val="none"/>
        </w:rPr>
      </w:pPr>
    </w:p>
    <w:p w14:paraId="28697979">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供应商名称（盖单位公章）：</w:t>
      </w:r>
    </w:p>
    <w:p w14:paraId="24FE5A3D">
      <w:pPr>
        <w:widowControl w:val="0"/>
        <w:adjustRightInd w:val="0"/>
        <w:snapToGrid w:val="0"/>
        <w:spacing w:line="360" w:lineRule="auto"/>
        <w:rPr>
          <w:rFonts w:ascii="宋体" w:hAnsi="宋体" w:eastAsia="宋体" w:cs="Times New Roman"/>
          <w:color w:val="auto"/>
          <w:szCs w:val="21"/>
          <w:highlight w:val="none"/>
          <w:u w:val="singl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4DD9DFF6">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日期：     年       月       日</w:t>
      </w:r>
    </w:p>
    <w:p w14:paraId="71886687">
      <w:pPr>
        <w:widowControl w:val="0"/>
        <w:rPr>
          <w:rFonts w:ascii="Times New Roman" w:hAnsi="Times New Roman" w:eastAsia="宋体" w:cs="Times New Roman"/>
          <w:color w:val="auto"/>
          <w:highlight w:val="none"/>
        </w:rPr>
      </w:pPr>
    </w:p>
    <w:p w14:paraId="039FCC1B">
      <w:pPr>
        <w:widowControl w:val="0"/>
        <w:rPr>
          <w:rFonts w:ascii="Times New Roman" w:hAnsi="Times New Roman" w:eastAsia="宋体" w:cs="Times New Roman"/>
          <w:color w:val="auto"/>
          <w:highlight w:val="none"/>
        </w:rPr>
      </w:pPr>
    </w:p>
    <w:p w14:paraId="6D82864B">
      <w:pPr>
        <w:keepNext/>
        <w:keepLines/>
        <w:widowControl w:val="0"/>
        <w:spacing w:before="260" w:after="260" w:line="416" w:lineRule="auto"/>
        <w:outlineLvl w:val="2"/>
        <w:rPr>
          <w:rFonts w:ascii="宋体" w:hAnsi="宋体" w:eastAsia="宋体" w:cs="Times New Roman"/>
          <w:b/>
          <w:bCs/>
          <w:color w:val="auto"/>
          <w:szCs w:val="21"/>
          <w:highlight w:val="none"/>
        </w:rPr>
      </w:pPr>
      <w:bookmarkStart w:id="133" w:name="_Toc28990"/>
      <w:bookmarkStart w:id="134" w:name="_Toc22201158"/>
      <w:bookmarkStart w:id="135" w:name="_Toc107998046"/>
      <w:r>
        <w:rPr>
          <w:rFonts w:hint="eastAsia" w:ascii="宋体" w:hAnsi="宋体" w:eastAsia="宋体" w:cs="Times New Roman"/>
          <w:b/>
          <w:bCs/>
          <w:color w:val="auto"/>
          <w:szCs w:val="21"/>
          <w:highlight w:val="none"/>
        </w:rPr>
        <w:t>附件</w:t>
      </w:r>
      <w:r>
        <w:rPr>
          <w:rFonts w:hint="eastAsia" w:ascii="宋体" w:hAnsi="宋体" w:cs="Times New Roman"/>
          <w:b/>
          <w:bCs/>
          <w:color w:val="auto"/>
          <w:szCs w:val="21"/>
          <w:highlight w:val="none"/>
          <w:lang w:val="en-US" w:eastAsia="zh-CN"/>
        </w:rPr>
        <w:t>5</w:t>
      </w:r>
      <w:r>
        <w:rPr>
          <w:rFonts w:hint="eastAsia" w:ascii="宋体" w:hAnsi="宋体" w:eastAsia="宋体" w:cs="Times New Roman"/>
          <w:b/>
          <w:bCs/>
          <w:color w:val="auto"/>
          <w:szCs w:val="21"/>
          <w:highlight w:val="none"/>
        </w:rPr>
        <w:t>-1 响应一览表</w:t>
      </w:r>
      <w:bookmarkEnd w:id="133"/>
      <w:bookmarkEnd w:id="134"/>
      <w:bookmarkEnd w:id="135"/>
    </w:p>
    <w:p w14:paraId="5EDCB8C9">
      <w:pPr>
        <w:widowControl w:val="0"/>
        <w:adjustRightInd w:val="0"/>
        <w:snapToGrid w:val="0"/>
        <w:spacing w:before="156" w:beforeLines="50" w:line="360" w:lineRule="auto"/>
        <w:jc w:val="center"/>
        <w:rPr>
          <w:rFonts w:ascii="黑体" w:hAnsi="黑体" w:eastAsia="黑体" w:cs="Times New Roman"/>
          <w:b/>
          <w:bCs/>
          <w:color w:val="auto"/>
          <w:sz w:val="28"/>
          <w:szCs w:val="28"/>
          <w:highlight w:val="none"/>
        </w:rPr>
      </w:pPr>
      <w:r>
        <w:rPr>
          <w:rFonts w:hint="eastAsia" w:ascii="黑体" w:hAnsi="黑体" w:eastAsia="黑体" w:cs="Times New Roman"/>
          <w:b/>
          <w:bCs/>
          <w:color w:val="auto"/>
          <w:sz w:val="28"/>
          <w:szCs w:val="28"/>
          <w:highlight w:val="none"/>
        </w:rPr>
        <w:t>响应一览表</w:t>
      </w:r>
    </w:p>
    <w:p w14:paraId="7D167C21">
      <w:pPr>
        <w:widowControl w:val="0"/>
        <w:adjustRightInd w:val="0"/>
        <w:snapToGrid w:val="0"/>
        <w:spacing w:before="50" w:line="360" w:lineRule="auto"/>
        <w:rPr>
          <w:rFonts w:ascii="宋体" w:hAnsi="宋体" w:eastAsia="宋体" w:cs="Times New Roman"/>
          <w:color w:val="auto"/>
          <w:szCs w:val="21"/>
          <w:highlight w:val="none"/>
          <w:u w:val="single"/>
        </w:rPr>
      </w:pPr>
    </w:p>
    <w:tbl>
      <w:tblPr>
        <w:tblStyle w:val="25"/>
        <w:tblW w:w="894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15"/>
        <w:gridCol w:w="1183"/>
        <w:gridCol w:w="2200"/>
        <w:gridCol w:w="2271"/>
        <w:gridCol w:w="1027"/>
        <w:gridCol w:w="844"/>
        <w:gridCol w:w="800"/>
      </w:tblGrid>
      <w:tr w14:paraId="2CDDBF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27" w:hRule="atLeast"/>
        </w:trPr>
        <w:tc>
          <w:tcPr>
            <w:tcW w:w="615" w:type="dxa"/>
            <w:noWrap w:val="0"/>
            <w:vAlign w:val="center"/>
          </w:tcPr>
          <w:p w14:paraId="04583C62">
            <w:pPr>
              <w:widowControl w:val="0"/>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 xml:space="preserve">包号 </w:t>
            </w:r>
          </w:p>
        </w:tc>
        <w:tc>
          <w:tcPr>
            <w:tcW w:w="1183" w:type="dxa"/>
            <w:noWrap w:val="0"/>
            <w:vAlign w:val="center"/>
          </w:tcPr>
          <w:p w14:paraId="22530769">
            <w:pPr>
              <w:widowControl w:val="0"/>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包名称</w:t>
            </w:r>
          </w:p>
        </w:tc>
        <w:tc>
          <w:tcPr>
            <w:tcW w:w="2200" w:type="dxa"/>
            <w:noWrap w:val="0"/>
            <w:vAlign w:val="center"/>
          </w:tcPr>
          <w:p w14:paraId="304EBDBD">
            <w:pPr>
              <w:widowControl w:val="0"/>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标的名称</w:t>
            </w:r>
          </w:p>
        </w:tc>
        <w:tc>
          <w:tcPr>
            <w:tcW w:w="2271" w:type="dxa"/>
            <w:tcBorders>
              <w:left w:val="single" w:color="auto" w:sz="4" w:space="0"/>
            </w:tcBorders>
            <w:noWrap w:val="0"/>
            <w:vAlign w:val="center"/>
          </w:tcPr>
          <w:p w14:paraId="7B07E45A">
            <w:pPr>
              <w:widowControl w:val="0"/>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rPr>
              <w:t>简要技术要求</w:t>
            </w:r>
          </w:p>
        </w:tc>
        <w:tc>
          <w:tcPr>
            <w:tcW w:w="1027" w:type="dxa"/>
            <w:tcBorders>
              <w:left w:val="single" w:color="auto" w:sz="4" w:space="0"/>
            </w:tcBorders>
            <w:noWrap w:val="0"/>
            <w:vAlign w:val="center"/>
          </w:tcPr>
          <w:p w14:paraId="5B4E0365">
            <w:pPr>
              <w:widowControl w:val="0"/>
              <w:adjustRightInd w:val="0"/>
              <w:snapToGrid w:val="0"/>
              <w:jc w:val="center"/>
              <w:rPr>
                <w:rFonts w:ascii="宋体" w:hAnsi="宋体" w:eastAsia="宋体" w:cs="宋体"/>
                <w:color w:val="auto"/>
                <w:kern w:val="0"/>
                <w:szCs w:val="21"/>
                <w:highlight w:val="none"/>
              </w:rPr>
            </w:pPr>
            <w:r>
              <w:rPr>
                <w:rFonts w:hint="eastAsia" w:ascii="Times New Roman" w:hAnsi="Times New Roman" w:eastAsia="宋体" w:cs="Times New Roman"/>
                <w:color w:val="auto"/>
                <w:szCs w:val="21"/>
                <w:highlight w:val="none"/>
              </w:rPr>
              <w:t>数量</w:t>
            </w:r>
          </w:p>
        </w:tc>
        <w:tc>
          <w:tcPr>
            <w:tcW w:w="844" w:type="dxa"/>
            <w:noWrap w:val="0"/>
            <w:vAlign w:val="center"/>
          </w:tcPr>
          <w:p w14:paraId="5F88250B">
            <w:pPr>
              <w:widowControl w:val="0"/>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节能产品</w:t>
            </w:r>
          </w:p>
        </w:tc>
        <w:tc>
          <w:tcPr>
            <w:tcW w:w="800" w:type="dxa"/>
            <w:noWrap w:val="0"/>
            <w:vAlign w:val="center"/>
          </w:tcPr>
          <w:p w14:paraId="1D6A01D9">
            <w:pPr>
              <w:widowControl w:val="0"/>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进口产品</w:t>
            </w:r>
          </w:p>
        </w:tc>
      </w:tr>
      <w:tr w14:paraId="6C50C2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615" w:type="dxa"/>
            <w:vMerge w:val="restart"/>
            <w:noWrap w:val="0"/>
            <w:vAlign w:val="top"/>
          </w:tcPr>
          <w:p w14:paraId="6584AD5A">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1183" w:type="dxa"/>
            <w:vMerge w:val="restart"/>
            <w:noWrap w:val="0"/>
            <w:vAlign w:val="top"/>
          </w:tcPr>
          <w:p w14:paraId="26846AAC">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2200" w:type="dxa"/>
            <w:noWrap w:val="0"/>
            <w:vAlign w:val="top"/>
          </w:tcPr>
          <w:p w14:paraId="5F74FED4">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2271" w:type="dxa"/>
            <w:tcBorders>
              <w:left w:val="single" w:color="auto" w:sz="4" w:space="0"/>
            </w:tcBorders>
            <w:noWrap w:val="0"/>
            <w:vAlign w:val="top"/>
          </w:tcPr>
          <w:p w14:paraId="56CB6A1E">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1027" w:type="dxa"/>
            <w:tcBorders>
              <w:left w:val="single" w:color="auto" w:sz="4" w:space="0"/>
            </w:tcBorders>
            <w:noWrap w:val="0"/>
            <w:vAlign w:val="top"/>
          </w:tcPr>
          <w:p w14:paraId="3FD8E908">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844" w:type="dxa"/>
            <w:noWrap w:val="0"/>
            <w:vAlign w:val="top"/>
          </w:tcPr>
          <w:p w14:paraId="16D1ED19">
            <w:pPr>
              <w:widowControl w:val="0"/>
              <w:adjustRightInd w:val="0"/>
              <w:snapToGrid w:val="0"/>
              <w:spacing w:before="156" w:beforeLines="50" w:line="360" w:lineRule="auto"/>
              <w:rPr>
                <w:rFonts w:ascii="Times New Roman" w:hAnsi="Times New Roman" w:eastAsia="宋体" w:cs="Times New Roman"/>
                <w:color w:val="auto"/>
                <w:szCs w:val="21"/>
                <w:highlight w:val="none"/>
              </w:rPr>
            </w:pPr>
            <w:r>
              <w:rPr>
                <w:rFonts w:hint="eastAsia" w:ascii="宋体" w:hAnsi="宋体" w:eastAsia="宋体" w:cs="Times New Roman"/>
                <w:iCs/>
                <w:color w:val="auto"/>
                <w:szCs w:val="21"/>
                <w:highlight w:val="none"/>
              </w:rPr>
              <w:sym w:font="Wingdings" w:char="F0A8"/>
            </w:r>
          </w:p>
        </w:tc>
        <w:tc>
          <w:tcPr>
            <w:tcW w:w="800" w:type="dxa"/>
            <w:noWrap w:val="0"/>
            <w:vAlign w:val="top"/>
          </w:tcPr>
          <w:p w14:paraId="61951112">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r>
      <w:tr w14:paraId="68E129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615" w:type="dxa"/>
            <w:vMerge w:val="continue"/>
            <w:noWrap w:val="0"/>
            <w:vAlign w:val="top"/>
          </w:tcPr>
          <w:p w14:paraId="54D19896">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1183" w:type="dxa"/>
            <w:vMerge w:val="continue"/>
            <w:noWrap w:val="0"/>
            <w:vAlign w:val="top"/>
          </w:tcPr>
          <w:p w14:paraId="7569E579">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2200" w:type="dxa"/>
            <w:noWrap w:val="0"/>
            <w:vAlign w:val="top"/>
          </w:tcPr>
          <w:p w14:paraId="171D8A63">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2271" w:type="dxa"/>
            <w:tcBorders>
              <w:left w:val="single" w:color="auto" w:sz="4" w:space="0"/>
            </w:tcBorders>
            <w:noWrap w:val="0"/>
            <w:vAlign w:val="top"/>
          </w:tcPr>
          <w:p w14:paraId="03EE4C9D">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1027" w:type="dxa"/>
            <w:tcBorders>
              <w:left w:val="single" w:color="auto" w:sz="4" w:space="0"/>
            </w:tcBorders>
            <w:noWrap w:val="0"/>
            <w:vAlign w:val="top"/>
          </w:tcPr>
          <w:p w14:paraId="5158F7CF">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844" w:type="dxa"/>
            <w:noWrap w:val="0"/>
            <w:vAlign w:val="top"/>
          </w:tcPr>
          <w:p w14:paraId="597B00BA">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800" w:type="dxa"/>
            <w:noWrap w:val="0"/>
            <w:vAlign w:val="top"/>
          </w:tcPr>
          <w:p w14:paraId="79B85F0B">
            <w:pPr>
              <w:widowControl w:val="0"/>
              <w:adjustRightInd w:val="0"/>
              <w:snapToGrid w:val="0"/>
              <w:spacing w:before="156" w:beforeLines="50" w:line="360" w:lineRule="auto"/>
              <w:rPr>
                <w:rFonts w:ascii="Times New Roman" w:hAnsi="Times New Roman" w:eastAsia="宋体" w:cs="Times New Roman"/>
                <w:color w:val="auto"/>
                <w:szCs w:val="21"/>
                <w:highlight w:val="none"/>
              </w:rPr>
            </w:pPr>
            <w:r>
              <w:rPr>
                <w:rFonts w:hint="eastAsia" w:ascii="宋体" w:hAnsi="宋体" w:eastAsia="宋体" w:cs="Times New Roman"/>
                <w:iCs/>
                <w:color w:val="auto"/>
                <w:szCs w:val="21"/>
                <w:highlight w:val="none"/>
              </w:rPr>
              <w:sym w:font="Wingdings" w:char="F0A8"/>
            </w:r>
          </w:p>
        </w:tc>
      </w:tr>
      <w:tr w14:paraId="05C530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615" w:type="dxa"/>
            <w:vMerge w:val="restart"/>
            <w:noWrap w:val="0"/>
            <w:vAlign w:val="top"/>
          </w:tcPr>
          <w:p w14:paraId="27E42252">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1183" w:type="dxa"/>
            <w:vMerge w:val="restart"/>
            <w:noWrap w:val="0"/>
            <w:vAlign w:val="top"/>
          </w:tcPr>
          <w:p w14:paraId="218F525B">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2200" w:type="dxa"/>
            <w:noWrap w:val="0"/>
            <w:vAlign w:val="top"/>
          </w:tcPr>
          <w:p w14:paraId="48DAA9BB">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2271" w:type="dxa"/>
            <w:tcBorders>
              <w:left w:val="single" w:color="auto" w:sz="4" w:space="0"/>
            </w:tcBorders>
            <w:noWrap w:val="0"/>
            <w:vAlign w:val="top"/>
          </w:tcPr>
          <w:p w14:paraId="2C66260B">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1027" w:type="dxa"/>
            <w:tcBorders>
              <w:left w:val="single" w:color="auto" w:sz="4" w:space="0"/>
            </w:tcBorders>
            <w:noWrap w:val="0"/>
            <w:vAlign w:val="top"/>
          </w:tcPr>
          <w:p w14:paraId="08426C08">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844" w:type="dxa"/>
            <w:noWrap w:val="0"/>
            <w:vAlign w:val="top"/>
          </w:tcPr>
          <w:p w14:paraId="2B12DED7">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800" w:type="dxa"/>
            <w:noWrap w:val="0"/>
            <w:vAlign w:val="top"/>
          </w:tcPr>
          <w:p w14:paraId="5B613DA3">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r>
      <w:tr w14:paraId="5CF712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5" w:hRule="atLeast"/>
        </w:trPr>
        <w:tc>
          <w:tcPr>
            <w:tcW w:w="615" w:type="dxa"/>
            <w:vMerge w:val="continue"/>
            <w:noWrap w:val="0"/>
            <w:vAlign w:val="top"/>
          </w:tcPr>
          <w:p w14:paraId="5BAA131B">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1183" w:type="dxa"/>
            <w:vMerge w:val="continue"/>
            <w:noWrap w:val="0"/>
            <w:vAlign w:val="top"/>
          </w:tcPr>
          <w:p w14:paraId="1E1CE374">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2200" w:type="dxa"/>
            <w:noWrap w:val="0"/>
            <w:vAlign w:val="top"/>
          </w:tcPr>
          <w:p w14:paraId="65745D06">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2271" w:type="dxa"/>
            <w:tcBorders>
              <w:left w:val="single" w:color="auto" w:sz="4" w:space="0"/>
            </w:tcBorders>
            <w:noWrap w:val="0"/>
            <w:vAlign w:val="top"/>
          </w:tcPr>
          <w:p w14:paraId="3746467F">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1027" w:type="dxa"/>
            <w:tcBorders>
              <w:left w:val="single" w:color="auto" w:sz="4" w:space="0"/>
            </w:tcBorders>
            <w:noWrap w:val="0"/>
            <w:vAlign w:val="top"/>
          </w:tcPr>
          <w:p w14:paraId="5ED6A961">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844" w:type="dxa"/>
            <w:noWrap w:val="0"/>
            <w:vAlign w:val="top"/>
          </w:tcPr>
          <w:p w14:paraId="24CBD29F">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c>
          <w:tcPr>
            <w:tcW w:w="800" w:type="dxa"/>
            <w:noWrap w:val="0"/>
            <w:vAlign w:val="top"/>
          </w:tcPr>
          <w:p w14:paraId="0ABB82D0">
            <w:pPr>
              <w:widowControl w:val="0"/>
              <w:adjustRightInd w:val="0"/>
              <w:snapToGrid w:val="0"/>
              <w:spacing w:before="156" w:beforeLines="50" w:line="360" w:lineRule="auto"/>
              <w:rPr>
                <w:rFonts w:ascii="Times New Roman" w:hAnsi="Times New Roman" w:eastAsia="宋体" w:cs="Times New Roman"/>
                <w:color w:val="auto"/>
                <w:szCs w:val="21"/>
                <w:highlight w:val="none"/>
              </w:rPr>
            </w:pPr>
          </w:p>
        </w:tc>
      </w:tr>
    </w:tbl>
    <w:p w14:paraId="589F9257">
      <w:pPr>
        <w:widowControl w:val="0"/>
        <w:adjustRightInd w:val="0"/>
        <w:snapToGrid w:val="0"/>
        <w:spacing w:line="360" w:lineRule="auto"/>
        <w:rPr>
          <w:rFonts w:ascii="Times New Roman" w:hAnsi="Times New Roman" w:eastAsia="宋体" w:cs="Times New Roman"/>
          <w:color w:val="auto"/>
          <w:highlight w:val="none"/>
        </w:rPr>
      </w:pPr>
    </w:p>
    <w:p w14:paraId="44AD5848">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供应商名称（盖单位公章）：</w:t>
      </w:r>
    </w:p>
    <w:p w14:paraId="1DB9CE54">
      <w:pPr>
        <w:widowControl w:val="0"/>
        <w:adjustRightInd w:val="0"/>
        <w:snapToGrid w:val="0"/>
        <w:spacing w:line="360" w:lineRule="auto"/>
        <w:rPr>
          <w:rFonts w:ascii="宋体" w:hAnsi="宋体" w:eastAsia="宋体" w:cs="Times New Roman"/>
          <w:color w:val="auto"/>
          <w:szCs w:val="21"/>
          <w:highlight w:val="none"/>
          <w:u w:val="singl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09D098A2">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日期：    年     月      日</w:t>
      </w:r>
    </w:p>
    <w:p w14:paraId="0C260B71">
      <w:pPr>
        <w:widowControl w:val="0"/>
        <w:adjustRightInd w:val="0"/>
        <w:snapToGrid w:val="0"/>
        <w:spacing w:line="360" w:lineRule="auto"/>
        <w:rPr>
          <w:rFonts w:ascii="宋体" w:hAnsi="宋体" w:eastAsia="宋体" w:cs="Times New Roman"/>
          <w:color w:val="auto"/>
          <w:szCs w:val="21"/>
          <w:highlight w:val="none"/>
        </w:rPr>
      </w:pPr>
    </w:p>
    <w:p w14:paraId="4D38CCDA">
      <w:pPr>
        <w:widowControl w:val="0"/>
        <w:adjustRightInd w:val="0"/>
        <w:snapToGrid w:val="0"/>
        <w:spacing w:line="360" w:lineRule="auto"/>
        <w:rPr>
          <w:rFonts w:ascii="宋体" w:hAnsi="宋体" w:eastAsia="宋体" w:cs="Times New Roman"/>
          <w:color w:val="auto"/>
          <w:szCs w:val="21"/>
          <w:highlight w:val="none"/>
        </w:rPr>
      </w:pPr>
    </w:p>
    <w:p w14:paraId="46D46678">
      <w:pPr>
        <w:adjustRightInd w:val="0"/>
        <w:snapToGrid w:val="0"/>
        <w:spacing w:line="360" w:lineRule="auto"/>
        <w:rPr>
          <w:rFonts w:ascii="黑体" w:hAnsi="宋体" w:eastAsia="黑体"/>
          <w:color w:val="auto"/>
          <w:sz w:val="28"/>
          <w:szCs w:val="28"/>
          <w:highlight w:val="none"/>
        </w:rPr>
        <w:sectPr>
          <w:pgSz w:w="11906" w:h="16838"/>
          <w:pgMar w:top="1418" w:right="1418" w:bottom="1134" w:left="1418" w:header="851" w:footer="992" w:gutter="0"/>
          <w:pgNumType w:fmt="decimal"/>
          <w:cols w:space="720" w:num="1"/>
          <w:docGrid w:type="linesAndChars" w:linePitch="312" w:charSpace="0"/>
        </w:sectPr>
      </w:pPr>
    </w:p>
    <w:p w14:paraId="76A61021">
      <w:pPr>
        <w:keepNext/>
        <w:keepLines/>
        <w:widowControl w:val="0"/>
        <w:spacing w:line="360" w:lineRule="auto"/>
        <w:jc w:val="center"/>
        <w:outlineLvl w:val="1"/>
        <w:rPr>
          <w:rFonts w:ascii="黑体" w:hAnsi="黑体" w:eastAsia="黑体" w:cs="Times New Roman"/>
          <w:b/>
          <w:bCs/>
          <w:color w:val="auto"/>
          <w:sz w:val="28"/>
          <w:szCs w:val="28"/>
          <w:highlight w:val="none"/>
        </w:rPr>
      </w:pPr>
      <w:bookmarkStart w:id="136" w:name="_Toc30078"/>
      <w:bookmarkStart w:id="137" w:name="_Toc5102"/>
      <w:bookmarkStart w:id="138" w:name="_Toc107998047"/>
      <w:bookmarkStart w:id="139" w:name="_Toc22201159"/>
      <w:r>
        <w:rPr>
          <w:rFonts w:hint="eastAsia" w:ascii="黑体" w:hAnsi="黑体" w:eastAsia="黑体" w:cs="Times New Roman"/>
          <w:b/>
          <w:bCs/>
          <w:color w:val="auto"/>
          <w:sz w:val="28"/>
          <w:szCs w:val="28"/>
          <w:highlight w:val="none"/>
          <w:lang w:val="en-US" w:eastAsia="zh-CN"/>
        </w:rPr>
        <w:t>六</w:t>
      </w:r>
      <w:r>
        <w:rPr>
          <w:rFonts w:hint="eastAsia" w:ascii="黑体" w:hAnsi="黑体" w:eastAsia="黑体" w:cs="Times New Roman"/>
          <w:b/>
          <w:bCs/>
          <w:color w:val="auto"/>
          <w:sz w:val="28"/>
          <w:szCs w:val="28"/>
          <w:highlight w:val="none"/>
        </w:rPr>
        <w:t>、合同条款偏离表</w:t>
      </w:r>
      <w:bookmarkEnd w:id="136"/>
      <w:bookmarkEnd w:id="137"/>
      <w:bookmarkEnd w:id="138"/>
      <w:bookmarkEnd w:id="139"/>
    </w:p>
    <w:p w14:paraId="2D919FC3">
      <w:pPr>
        <w:widowControl w:val="0"/>
        <w:adjustRightInd w:val="0"/>
        <w:snapToGrid w:val="0"/>
        <w:spacing w:before="156" w:beforeLines="50" w:line="360" w:lineRule="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政府采购计划编号: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w:t>
      </w:r>
      <w:r>
        <w:rPr>
          <w:rFonts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rPr>
        <w:t>项目名称：</w:t>
      </w:r>
      <w:r>
        <w:rPr>
          <w:rFonts w:hint="eastAsia" w:ascii="宋体" w:hAnsi="宋体" w:eastAsia="宋体" w:cs="Times New Roman"/>
          <w:color w:val="auto"/>
          <w:szCs w:val="21"/>
          <w:highlight w:val="none"/>
          <w:u w:val="single"/>
        </w:rPr>
        <w:t xml:space="preserve">                     </w:t>
      </w:r>
    </w:p>
    <w:p w14:paraId="10ED2019">
      <w:pPr>
        <w:widowControl w:val="0"/>
        <w:adjustRightInd w:val="0"/>
        <w:snapToGrid w:val="0"/>
        <w:spacing w:before="50" w:line="360" w:lineRule="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包号：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包名称：</w:t>
      </w:r>
      <w:r>
        <w:rPr>
          <w:rFonts w:hint="eastAsia" w:ascii="宋体" w:hAnsi="宋体" w:eastAsia="宋体" w:cs="Times New Roman"/>
          <w:color w:val="auto"/>
          <w:szCs w:val="21"/>
          <w:highlight w:val="none"/>
          <w:u w:val="single"/>
        </w:rPr>
        <w:t xml:space="preserve">                   </w:t>
      </w:r>
    </w:p>
    <w:tbl>
      <w:tblPr>
        <w:tblStyle w:val="2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09F200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noWrap w:val="0"/>
            <w:vAlign w:val="center"/>
          </w:tcPr>
          <w:p w14:paraId="4CC394B2">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序</w:t>
            </w:r>
            <w:r>
              <w:rPr>
                <w:rFonts w:hint="eastAsia" w:ascii="宋体" w:hAnsi="宋体" w:eastAsia="宋体" w:cs="Times New Roman"/>
                <w:color w:val="auto"/>
                <w:szCs w:val="21"/>
                <w:highlight w:val="none"/>
              </w:rPr>
              <w:t>号</w:t>
            </w:r>
          </w:p>
        </w:tc>
        <w:tc>
          <w:tcPr>
            <w:tcW w:w="2410" w:type="dxa"/>
            <w:noWrap w:val="0"/>
            <w:vAlign w:val="center"/>
          </w:tcPr>
          <w:p w14:paraId="61A159F7">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磋商</w:t>
            </w:r>
            <w:r>
              <w:rPr>
                <w:rFonts w:hint="eastAsia" w:ascii="宋体" w:hAnsi="宋体" w:eastAsia="宋体" w:cs="Times New Roman"/>
                <w:color w:val="auto"/>
                <w:szCs w:val="21"/>
                <w:highlight w:val="none"/>
              </w:rPr>
              <w:t>文件章节</w:t>
            </w:r>
            <w:r>
              <w:rPr>
                <w:rFonts w:hint="eastAsia" w:ascii="宋体" w:hAnsi="宋体" w:eastAsia="宋体" w:cs="Times New Roman"/>
                <w:bCs/>
                <w:color w:val="auto"/>
                <w:szCs w:val="21"/>
                <w:highlight w:val="none"/>
              </w:rPr>
              <w:t>条</w:t>
            </w:r>
            <w:r>
              <w:rPr>
                <w:rFonts w:hint="eastAsia" w:ascii="宋体" w:hAnsi="宋体" w:eastAsia="宋体" w:cs="Times New Roman"/>
                <w:color w:val="auto"/>
                <w:szCs w:val="21"/>
                <w:highlight w:val="none"/>
              </w:rPr>
              <w:t>款号</w:t>
            </w:r>
          </w:p>
        </w:tc>
        <w:tc>
          <w:tcPr>
            <w:tcW w:w="1985" w:type="dxa"/>
            <w:noWrap w:val="0"/>
            <w:vAlign w:val="center"/>
          </w:tcPr>
          <w:p w14:paraId="2D853D61">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磋商</w:t>
            </w:r>
            <w:r>
              <w:rPr>
                <w:rFonts w:hint="eastAsia" w:ascii="Times New Roman" w:hAnsi="Times New Roman" w:eastAsia="宋体" w:cs="Times New Roman"/>
                <w:color w:val="auto"/>
                <w:highlight w:val="none"/>
              </w:rPr>
              <w:t>文件要求</w:t>
            </w:r>
          </w:p>
        </w:tc>
        <w:tc>
          <w:tcPr>
            <w:tcW w:w="2082" w:type="dxa"/>
            <w:tcBorders>
              <w:right w:val="single" w:color="auto" w:sz="4" w:space="0"/>
            </w:tcBorders>
            <w:noWrap w:val="0"/>
            <w:vAlign w:val="center"/>
          </w:tcPr>
          <w:p w14:paraId="3B00C9A9">
            <w:pPr>
              <w:widowControl w:val="0"/>
              <w:adjustRightInd w:val="0"/>
              <w:snapToGrid w:val="0"/>
              <w:spacing w:before="50" w:line="360" w:lineRule="auto"/>
              <w:jc w:val="center"/>
              <w:rPr>
                <w:rFonts w:ascii="宋体" w:hAnsi="宋体" w:eastAsia="宋体" w:cs="Times New Roman"/>
                <w:color w:val="auto"/>
                <w:szCs w:val="21"/>
                <w:highlight w:val="none"/>
              </w:rPr>
            </w:pPr>
            <w:r>
              <w:rPr>
                <w:rFonts w:hint="eastAsia" w:ascii="Times New Roman" w:hAnsi="Times New Roman" w:eastAsia="宋体" w:cs="Times New Roman"/>
                <w:color w:val="auto"/>
                <w:highlight w:val="none"/>
              </w:rPr>
              <w:t>响应文件的应答</w:t>
            </w:r>
          </w:p>
        </w:tc>
        <w:tc>
          <w:tcPr>
            <w:tcW w:w="1942" w:type="dxa"/>
            <w:tcBorders>
              <w:left w:val="single" w:color="auto" w:sz="4" w:space="0"/>
            </w:tcBorders>
            <w:noWrap w:val="0"/>
            <w:vAlign w:val="center"/>
          </w:tcPr>
          <w:p w14:paraId="3AEC89E2">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偏离说明</w:t>
            </w:r>
          </w:p>
        </w:tc>
      </w:tr>
      <w:tr w14:paraId="4B6220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72C1180A">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0364B0E1">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noWrap w:val="0"/>
            <w:vAlign w:val="top"/>
          </w:tcPr>
          <w:p w14:paraId="4BC8CC07">
            <w:pPr>
              <w:widowControl w:val="0"/>
              <w:adjustRightInd w:val="0"/>
              <w:snapToGrid w:val="0"/>
              <w:spacing w:before="50" w:line="360" w:lineRule="auto"/>
              <w:rPr>
                <w:rFonts w:ascii="Times New Roman" w:hAnsi="Times New Roman" w:eastAsia="宋体" w:cs="Times New Roman"/>
                <w:color w:val="auto"/>
                <w:highlight w:val="none"/>
              </w:rPr>
            </w:pPr>
          </w:p>
        </w:tc>
        <w:tc>
          <w:tcPr>
            <w:tcW w:w="2082" w:type="dxa"/>
            <w:tcBorders>
              <w:right w:val="single" w:color="auto" w:sz="4" w:space="0"/>
            </w:tcBorders>
            <w:noWrap w:val="0"/>
            <w:vAlign w:val="top"/>
          </w:tcPr>
          <w:p w14:paraId="4859FACF">
            <w:pPr>
              <w:widowControl w:val="0"/>
              <w:adjustRightInd w:val="0"/>
              <w:snapToGrid w:val="0"/>
              <w:spacing w:before="50" w:line="360" w:lineRule="auto"/>
              <w:rPr>
                <w:rFonts w:ascii="Times New Roman" w:hAnsi="Times New Roman" w:eastAsia="宋体" w:cs="Times New Roman"/>
                <w:color w:val="auto"/>
                <w:highlight w:val="none"/>
              </w:rPr>
            </w:pPr>
          </w:p>
        </w:tc>
        <w:tc>
          <w:tcPr>
            <w:tcW w:w="1942" w:type="dxa"/>
            <w:tcBorders>
              <w:left w:val="single" w:color="auto" w:sz="4" w:space="0"/>
            </w:tcBorders>
            <w:noWrap w:val="0"/>
            <w:vAlign w:val="top"/>
          </w:tcPr>
          <w:p w14:paraId="1DAA40AF">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7E8100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3CC45164">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762EA362">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noWrap w:val="0"/>
            <w:vAlign w:val="center"/>
          </w:tcPr>
          <w:p w14:paraId="2564F022">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082" w:type="dxa"/>
            <w:tcBorders>
              <w:right w:val="single" w:color="auto" w:sz="4" w:space="0"/>
            </w:tcBorders>
            <w:noWrap w:val="0"/>
            <w:vAlign w:val="center"/>
          </w:tcPr>
          <w:p w14:paraId="1DD3C957">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42" w:type="dxa"/>
            <w:tcBorders>
              <w:left w:val="single" w:color="auto" w:sz="4" w:space="0"/>
            </w:tcBorders>
            <w:noWrap w:val="0"/>
            <w:vAlign w:val="center"/>
          </w:tcPr>
          <w:p w14:paraId="402E295D">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536302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39E4AF3C">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585DFD3E">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noWrap w:val="0"/>
            <w:vAlign w:val="center"/>
          </w:tcPr>
          <w:p w14:paraId="694EE4B9">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082" w:type="dxa"/>
            <w:tcBorders>
              <w:right w:val="single" w:color="auto" w:sz="4" w:space="0"/>
            </w:tcBorders>
            <w:noWrap w:val="0"/>
            <w:vAlign w:val="center"/>
          </w:tcPr>
          <w:p w14:paraId="6A321551">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42" w:type="dxa"/>
            <w:tcBorders>
              <w:left w:val="single" w:color="auto" w:sz="4" w:space="0"/>
            </w:tcBorders>
            <w:noWrap w:val="0"/>
            <w:vAlign w:val="center"/>
          </w:tcPr>
          <w:p w14:paraId="2F72EA0F">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6B6EB9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738B53A9">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3A46F80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noWrap w:val="0"/>
            <w:vAlign w:val="center"/>
          </w:tcPr>
          <w:p w14:paraId="6D785EA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082" w:type="dxa"/>
            <w:tcBorders>
              <w:right w:val="single" w:color="auto" w:sz="4" w:space="0"/>
            </w:tcBorders>
            <w:noWrap w:val="0"/>
            <w:vAlign w:val="center"/>
          </w:tcPr>
          <w:p w14:paraId="1E7E7E4D">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42" w:type="dxa"/>
            <w:tcBorders>
              <w:left w:val="single" w:color="auto" w:sz="4" w:space="0"/>
            </w:tcBorders>
            <w:noWrap w:val="0"/>
            <w:vAlign w:val="center"/>
          </w:tcPr>
          <w:p w14:paraId="161B73F4">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35E9FF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21FD2768">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349C505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noWrap w:val="0"/>
            <w:vAlign w:val="center"/>
          </w:tcPr>
          <w:p w14:paraId="65E36C49">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082" w:type="dxa"/>
            <w:tcBorders>
              <w:right w:val="single" w:color="auto" w:sz="4" w:space="0"/>
            </w:tcBorders>
            <w:noWrap w:val="0"/>
            <w:vAlign w:val="center"/>
          </w:tcPr>
          <w:p w14:paraId="3016C492">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42" w:type="dxa"/>
            <w:tcBorders>
              <w:left w:val="single" w:color="auto" w:sz="4" w:space="0"/>
            </w:tcBorders>
            <w:noWrap w:val="0"/>
            <w:vAlign w:val="center"/>
          </w:tcPr>
          <w:p w14:paraId="34C900B6">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0C0E14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74B9040C">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764D7D2F">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noWrap w:val="0"/>
            <w:vAlign w:val="center"/>
          </w:tcPr>
          <w:p w14:paraId="424E84D2">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082" w:type="dxa"/>
            <w:tcBorders>
              <w:right w:val="single" w:color="auto" w:sz="4" w:space="0"/>
            </w:tcBorders>
            <w:noWrap w:val="0"/>
            <w:vAlign w:val="center"/>
          </w:tcPr>
          <w:p w14:paraId="6239E6C3">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42" w:type="dxa"/>
            <w:tcBorders>
              <w:left w:val="single" w:color="auto" w:sz="4" w:space="0"/>
            </w:tcBorders>
            <w:noWrap w:val="0"/>
            <w:vAlign w:val="center"/>
          </w:tcPr>
          <w:p w14:paraId="63769AB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582747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5E813143">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3F7D68F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noWrap w:val="0"/>
            <w:vAlign w:val="center"/>
          </w:tcPr>
          <w:p w14:paraId="6EDCDEA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4024" w:type="dxa"/>
            <w:gridSpan w:val="2"/>
            <w:noWrap w:val="0"/>
            <w:vAlign w:val="center"/>
          </w:tcPr>
          <w:p w14:paraId="4FD45018">
            <w:pPr>
              <w:widowControl w:val="0"/>
              <w:adjustRightInd w:val="0"/>
              <w:snapToGrid w:val="0"/>
              <w:spacing w:before="50" w:line="360" w:lineRule="auto"/>
              <w:ind w:firstLine="420" w:firstLineChars="200"/>
              <w:jc w:val="left"/>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供应商保证：除本合同条款偏离表列出的偏离外，我单位对</w:t>
            </w:r>
            <w:r>
              <w:rPr>
                <w:rFonts w:hint="eastAsia" w:ascii="宋体" w:hAnsi="宋体" w:eastAsia="宋体" w:cs="Times New Roman"/>
                <w:b/>
                <w:color w:val="auto"/>
                <w:szCs w:val="21"/>
                <w:highlight w:val="none"/>
                <w:lang w:eastAsia="zh-CN"/>
              </w:rPr>
              <w:t>磋商</w:t>
            </w:r>
            <w:r>
              <w:rPr>
                <w:rFonts w:hint="eastAsia" w:ascii="宋体" w:hAnsi="宋体" w:eastAsia="宋体" w:cs="Times New Roman"/>
                <w:b/>
                <w:color w:val="auto"/>
                <w:szCs w:val="21"/>
                <w:highlight w:val="none"/>
              </w:rPr>
              <w:t>文件的其他商务、合同条款完全响应，无偏离。</w:t>
            </w:r>
          </w:p>
        </w:tc>
      </w:tr>
    </w:tbl>
    <w:p w14:paraId="38E39263">
      <w:pPr>
        <w:widowControl w:val="0"/>
        <w:adjustRightInd w:val="0"/>
        <w:snapToGrid w:val="0"/>
        <w:spacing w:before="50" w:line="360" w:lineRule="auto"/>
        <w:ind w:left="-88" w:leftChars="-42"/>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注：1.</w:t>
      </w:r>
      <w:r>
        <w:rPr>
          <w:rFonts w:hint="eastAsia" w:ascii="宋体" w:hAnsi="宋体" w:eastAsia="宋体" w:cs="Times New Roman"/>
          <w:color w:val="auto"/>
          <w:szCs w:val="21"/>
          <w:highlight w:val="none"/>
        </w:rPr>
        <w:t>供应商应根据</w:t>
      </w:r>
      <w:r>
        <w:rPr>
          <w:rFonts w:hint="eastAsia" w:ascii="宋体" w:hAnsi="宋体" w:eastAsia="宋体" w:cs="Times New Roman"/>
          <w:color w:val="auto"/>
          <w:szCs w:val="21"/>
          <w:highlight w:val="none"/>
          <w:lang w:eastAsia="zh-CN"/>
        </w:rPr>
        <w:t>磋商</w:t>
      </w:r>
      <w:r>
        <w:rPr>
          <w:rFonts w:hint="eastAsia" w:ascii="宋体" w:hAnsi="宋体" w:eastAsia="宋体" w:cs="Times New Roman"/>
          <w:color w:val="auto"/>
          <w:szCs w:val="21"/>
          <w:highlight w:val="none"/>
        </w:rPr>
        <w:t>文件第四章</w:t>
      </w:r>
      <w:r>
        <w:rPr>
          <w:rFonts w:hint="eastAsia" w:ascii="华文宋体" w:hAnsi="华文宋体" w:eastAsia="华文宋体" w:cs="Times New Roman"/>
          <w:color w:val="auto"/>
          <w:szCs w:val="21"/>
          <w:highlight w:val="none"/>
        </w:rPr>
        <w:t>“</w:t>
      </w:r>
      <w:r>
        <w:rPr>
          <w:rFonts w:hint="eastAsia" w:ascii="宋体" w:hAnsi="宋体" w:eastAsia="宋体" w:cs="Times New Roman"/>
          <w:color w:val="auto"/>
          <w:szCs w:val="21"/>
          <w:highlight w:val="none"/>
        </w:rPr>
        <w:t>政府采购合同格式条款</w:t>
      </w:r>
      <w:r>
        <w:rPr>
          <w:rFonts w:hint="eastAsia" w:ascii="华文宋体" w:hAnsi="华文宋体" w:eastAsia="华文宋体" w:cs="Times New Roman"/>
          <w:color w:val="auto"/>
          <w:szCs w:val="21"/>
          <w:highlight w:val="none"/>
        </w:rPr>
        <w:t>”</w:t>
      </w:r>
      <w:r>
        <w:rPr>
          <w:rFonts w:hint="eastAsia" w:ascii="宋体" w:hAnsi="宋体" w:eastAsia="宋体" w:cs="Times New Roman"/>
          <w:color w:val="auto"/>
          <w:szCs w:val="21"/>
          <w:highlight w:val="none"/>
        </w:rPr>
        <w:t>填写本表；</w:t>
      </w:r>
    </w:p>
    <w:p w14:paraId="6825A02F">
      <w:pPr>
        <w:widowControl w:val="0"/>
        <w:adjustRightInd w:val="0"/>
        <w:snapToGrid w:val="0"/>
        <w:spacing w:before="50" w:line="360" w:lineRule="auto"/>
        <w:ind w:left="-88" w:leftChars="-42" w:firstLine="420" w:firstLineChars="200"/>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2.</w:t>
      </w:r>
      <w:r>
        <w:rPr>
          <w:rFonts w:hint="eastAsia" w:ascii="宋体" w:hAnsi="宋体" w:eastAsia="宋体" w:cs="Times New Roman"/>
          <w:b/>
          <w:color w:val="auto"/>
          <w:szCs w:val="21"/>
          <w:highlight w:val="none"/>
        </w:rPr>
        <w:t>供应商如果对</w:t>
      </w:r>
      <w:r>
        <w:rPr>
          <w:rFonts w:hint="eastAsia" w:ascii="宋体" w:hAnsi="宋体" w:eastAsia="宋体" w:cs="Times New Roman"/>
          <w:b/>
          <w:color w:val="auto"/>
          <w:szCs w:val="21"/>
          <w:highlight w:val="none"/>
          <w:lang w:eastAsia="zh-CN"/>
        </w:rPr>
        <w:t>磋商</w:t>
      </w:r>
      <w:r>
        <w:rPr>
          <w:rFonts w:hint="eastAsia" w:ascii="宋体" w:hAnsi="宋体" w:eastAsia="宋体" w:cs="Times New Roman"/>
          <w:b/>
          <w:color w:val="auto"/>
          <w:szCs w:val="21"/>
          <w:highlight w:val="none"/>
        </w:rPr>
        <w:t>文件第四章“</w:t>
      </w:r>
      <w:r>
        <w:rPr>
          <w:rFonts w:hint="eastAsia" w:ascii="宋体" w:hAnsi="宋体" w:cs="Times New Roman"/>
          <w:b/>
          <w:color w:val="auto"/>
          <w:szCs w:val="21"/>
          <w:highlight w:val="none"/>
          <w:lang w:val="en-US" w:eastAsia="zh-CN"/>
        </w:rPr>
        <w:t>政府采购合同格式条款</w:t>
      </w:r>
      <w:r>
        <w:rPr>
          <w:rFonts w:hint="eastAsia" w:ascii="宋体" w:hAnsi="宋体" w:eastAsia="宋体" w:cs="Times New Roman"/>
          <w:b/>
          <w:color w:val="auto"/>
          <w:szCs w:val="21"/>
          <w:highlight w:val="none"/>
        </w:rPr>
        <w:t>”的响应有偏离，应将偏离条款逐条如实应答，并作出说明；</w:t>
      </w:r>
    </w:p>
    <w:p w14:paraId="65DBA8E7">
      <w:pPr>
        <w:widowControl w:val="0"/>
        <w:adjustRightInd w:val="0"/>
        <w:snapToGrid w:val="0"/>
        <w:spacing w:before="50" w:line="360" w:lineRule="auto"/>
        <w:ind w:left="-88" w:leftChars="-42"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3.如不提供此表，则视为供应商不满足</w:t>
      </w:r>
      <w:r>
        <w:rPr>
          <w:rFonts w:hint="eastAsia" w:ascii="宋体" w:hAnsi="宋体" w:eastAsia="宋体" w:cs="Times New Roman"/>
          <w:color w:val="auto"/>
          <w:szCs w:val="21"/>
          <w:highlight w:val="none"/>
          <w:lang w:eastAsia="zh-CN"/>
        </w:rPr>
        <w:t>磋商</w:t>
      </w:r>
      <w:r>
        <w:rPr>
          <w:rFonts w:hint="eastAsia" w:ascii="宋体" w:hAnsi="宋体" w:eastAsia="宋体" w:cs="Times New Roman"/>
          <w:color w:val="auto"/>
          <w:szCs w:val="21"/>
          <w:highlight w:val="none"/>
        </w:rPr>
        <w:t>文件第四章的所有条款要求，其</w:t>
      </w:r>
      <w:r>
        <w:rPr>
          <w:rFonts w:hint="eastAsia" w:ascii="宋体" w:hAnsi="宋体" w:eastAsia="宋体" w:cs="Times New Roman"/>
          <w:b/>
          <w:color w:val="auto"/>
          <w:szCs w:val="21"/>
          <w:highlight w:val="none"/>
        </w:rPr>
        <w:t>响应无效</w:t>
      </w:r>
      <w:r>
        <w:rPr>
          <w:rFonts w:hint="eastAsia" w:ascii="宋体" w:hAnsi="宋体" w:eastAsia="宋体" w:cs="Times New Roman"/>
          <w:color w:val="auto"/>
          <w:szCs w:val="21"/>
          <w:highlight w:val="none"/>
        </w:rPr>
        <w:t>。</w:t>
      </w:r>
    </w:p>
    <w:p w14:paraId="2BCBE971">
      <w:pPr>
        <w:widowControl w:val="0"/>
        <w:adjustRightInd w:val="0"/>
        <w:snapToGrid w:val="0"/>
        <w:spacing w:before="50" w:line="360" w:lineRule="auto"/>
        <w:ind w:left="-88" w:leftChars="-42"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4.在采购人与成交供应商签订合同时，如成交供应商未在响应文件“合同条款偏离表”中列出偏离说明，无论已发生或即将发生任何情形，均视为完全符合</w:t>
      </w:r>
      <w:r>
        <w:rPr>
          <w:rFonts w:hint="eastAsia" w:ascii="宋体" w:hAnsi="宋体" w:eastAsia="宋体" w:cs="Times New Roman"/>
          <w:color w:val="auto"/>
          <w:szCs w:val="21"/>
          <w:highlight w:val="none"/>
          <w:lang w:eastAsia="zh-CN"/>
        </w:rPr>
        <w:t>磋商</w:t>
      </w:r>
      <w:r>
        <w:rPr>
          <w:rFonts w:hint="eastAsia" w:ascii="宋体" w:hAnsi="宋体" w:eastAsia="宋体" w:cs="Times New Roman"/>
          <w:color w:val="auto"/>
          <w:szCs w:val="21"/>
          <w:highlight w:val="none"/>
        </w:rPr>
        <w:t>文件要求，并写入合同。若成交供应商在合同签订前，以上述事项为借口而不履行合同签订手续及执行合同，则视作拒绝与采购人签订合同。</w:t>
      </w:r>
    </w:p>
    <w:p w14:paraId="50AFE4C0">
      <w:pPr>
        <w:widowControl w:val="0"/>
        <w:adjustRightInd w:val="0"/>
        <w:snapToGrid w:val="0"/>
        <w:spacing w:before="50" w:line="360" w:lineRule="auto"/>
        <w:rPr>
          <w:rFonts w:ascii="宋体" w:hAnsi="宋体" w:eastAsia="宋体" w:cs="Times New Roman"/>
          <w:color w:val="auto"/>
          <w:szCs w:val="21"/>
          <w:highlight w:val="none"/>
        </w:rPr>
      </w:pPr>
    </w:p>
    <w:p w14:paraId="7FA39ABF">
      <w:pPr>
        <w:widowControl w:val="0"/>
        <w:adjustRightInd w:val="0"/>
        <w:snapToGrid w:val="0"/>
        <w:spacing w:before="50" w:line="360" w:lineRule="auto"/>
        <w:rPr>
          <w:rFonts w:ascii="宋体" w:hAnsi="宋体" w:eastAsia="宋体" w:cs="Times New Roman"/>
          <w:color w:val="auto"/>
          <w:szCs w:val="21"/>
          <w:highlight w:val="none"/>
        </w:rPr>
      </w:pPr>
    </w:p>
    <w:p w14:paraId="16170E62">
      <w:pPr>
        <w:widowControl w:val="0"/>
        <w:adjustRightInd w:val="0"/>
        <w:snapToGrid w:val="0"/>
        <w:spacing w:before="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供应商名称（盖单位公章）：</w:t>
      </w:r>
    </w:p>
    <w:p w14:paraId="028CA295">
      <w:pPr>
        <w:widowControl w:val="0"/>
        <w:adjustRightInd w:val="0"/>
        <w:snapToGrid w:val="0"/>
        <w:spacing w:before="50" w:line="360" w:lineRule="auto"/>
        <w:rPr>
          <w:rFonts w:ascii="宋体" w:hAnsi="宋体" w:eastAsia="宋体" w:cs="Times New Roman"/>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71A70689">
      <w:pPr>
        <w:widowControl w:val="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日期：    年    月     日</w:t>
      </w:r>
    </w:p>
    <w:p w14:paraId="1244CC57">
      <w:pPr>
        <w:keepNext/>
        <w:keepLines/>
        <w:widowControl w:val="0"/>
        <w:spacing w:line="360" w:lineRule="auto"/>
        <w:jc w:val="center"/>
        <w:outlineLvl w:val="1"/>
        <w:rPr>
          <w:rFonts w:ascii="黑体" w:hAnsi="Arial" w:eastAsia="黑体" w:cs="Times New Roman"/>
          <w:b/>
          <w:bCs/>
          <w:color w:val="auto"/>
          <w:sz w:val="28"/>
          <w:szCs w:val="28"/>
          <w:highlight w:val="none"/>
        </w:rPr>
      </w:pPr>
      <w:r>
        <w:rPr>
          <w:rFonts w:ascii="黑体" w:hAnsi="Arial" w:eastAsia="黑体" w:cs="Times New Roman"/>
          <w:b/>
          <w:bCs/>
          <w:color w:val="auto"/>
          <w:sz w:val="28"/>
          <w:szCs w:val="28"/>
          <w:highlight w:val="none"/>
        </w:rPr>
        <w:br w:type="page"/>
      </w:r>
      <w:bookmarkStart w:id="140" w:name="_Toc22201160"/>
      <w:bookmarkStart w:id="141" w:name="_Toc23050"/>
      <w:bookmarkStart w:id="142" w:name="_Toc107998048"/>
      <w:bookmarkStart w:id="143" w:name="_Toc1639"/>
      <w:r>
        <w:rPr>
          <w:rFonts w:hint="eastAsia" w:ascii="黑体" w:hAnsi="Arial" w:eastAsia="黑体" w:cs="Times New Roman"/>
          <w:b/>
          <w:bCs/>
          <w:color w:val="auto"/>
          <w:sz w:val="28"/>
          <w:szCs w:val="28"/>
          <w:highlight w:val="none"/>
          <w:lang w:val="en-US" w:eastAsia="zh-CN"/>
        </w:rPr>
        <w:t>七</w:t>
      </w:r>
      <w:r>
        <w:rPr>
          <w:rFonts w:hint="eastAsia" w:ascii="黑体" w:hAnsi="Arial" w:eastAsia="黑体" w:cs="Times New Roman"/>
          <w:b/>
          <w:bCs/>
          <w:color w:val="auto"/>
          <w:sz w:val="28"/>
          <w:szCs w:val="28"/>
          <w:highlight w:val="none"/>
        </w:rPr>
        <w:t>、采购需求偏离表</w:t>
      </w:r>
      <w:bookmarkEnd w:id="140"/>
      <w:bookmarkEnd w:id="141"/>
      <w:bookmarkEnd w:id="142"/>
      <w:bookmarkEnd w:id="143"/>
    </w:p>
    <w:p w14:paraId="750DAAF0">
      <w:pPr>
        <w:widowControl w:val="0"/>
        <w:adjustRightInd w:val="0"/>
        <w:snapToGrid w:val="0"/>
        <w:spacing w:before="156" w:beforeLines="50" w:line="360" w:lineRule="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 xml:space="preserve">政府采购计划编号: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w:t>
      </w:r>
      <w:r>
        <w:rPr>
          <w:rFonts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rPr>
        <w:t>项目名称：</w:t>
      </w:r>
      <w:r>
        <w:rPr>
          <w:rFonts w:hint="eastAsia" w:ascii="宋体" w:hAnsi="宋体" w:eastAsia="宋体" w:cs="Times New Roman"/>
          <w:color w:val="auto"/>
          <w:szCs w:val="21"/>
          <w:highlight w:val="none"/>
          <w:u w:val="single"/>
        </w:rPr>
        <w:t xml:space="preserve">                    </w:t>
      </w:r>
    </w:p>
    <w:p w14:paraId="1F9AE6E3">
      <w:pPr>
        <w:widowControl w:val="0"/>
        <w:adjustRightInd w:val="0"/>
        <w:snapToGrid w:val="0"/>
        <w:spacing w:before="156" w:beforeLines="50" w:line="360" w:lineRule="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包号：</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rPr>
        <w:t>包名称：</w:t>
      </w:r>
      <w:r>
        <w:rPr>
          <w:rFonts w:hint="eastAsia" w:ascii="宋体" w:hAnsi="宋体" w:eastAsia="宋体" w:cs="Times New Roman"/>
          <w:color w:val="auto"/>
          <w:szCs w:val="21"/>
          <w:highlight w:val="none"/>
          <w:u w:val="single"/>
        </w:rPr>
        <w:t xml:space="preserve">                   </w:t>
      </w:r>
    </w:p>
    <w:tbl>
      <w:tblPr>
        <w:tblStyle w:val="2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09370E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noWrap w:val="0"/>
            <w:vAlign w:val="center"/>
          </w:tcPr>
          <w:p w14:paraId="1B227D0B">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序</w:t>
            </w:r>
            <w:r>
              <w:rPr>
                <w:rFonts w:hint="eastAsia" w:ascii="宋体" w:hAnsi="宋体" w:eastAsia="宋体" w:cs="Times New Roman"/>
                <w:color w:val="auto"/>
                <w:szCs w:val="21"/>
                <w:highlight w:val="none"/>
              </w:rPr>
              <w:t>号</w:t>
            </w:r>
          </w:p>
        </w:tc>
        <w:tc>
          <w:tcPr>
            <w:tcW w:w="2410" w:type="dxa"/>
            <w:noWrap w:val="0"/>
            <w:vAlign w:val="center"/>
          </w:tcPr>
          <w:p w14:paraId="2C5F8B8E">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磋商</w:t>
            </w:r>
            <w:r>
              <w:rPr>
                <w:rFonts w:hint="eastAsia" w:ascii="宋体" w:hAnsi="宋体" w:eastAsia="宋体" w:cs="Times New Roman"/>
                <w:color w:val="auto"/>
                <w:szCs w:val="21"/>
                <w:highlight w:val="none"/>
              </w:rPr>
              <w:t>文件章节</w:t>
            </w:r>
            <w:r>
              <w:rPr>
                <w:rFonts w:hint="eastAsia" w:ascii="宋体" w:hAnsi="宋体" w:eastAsia="宋体" w:cs="Times New Roman"/>
                <w:bCs/>
                <w:color w:val="auto"/>
                <w:szCs w:val="21"/>
                <w:highlight w:val="none"/>
              </w:rPr>
              <w:t>条</w:t>
            </w:r>
            <w:r>
              <w:rPr>
                <w:rFonts w:hint="eastAsia" w:ascii="宋体" w:hAnsi="宋体" w:eastAsia="宋体" w:cs="Times New Roman"/>
                <w:color w:val="auto"/>
                <w:szCs w:val="21"/>
                <w:highlight w:val="none"/>
              </w:rPr>
              <w:t>款号</w:t>
            </w:r>
          </w:p>
        </w:tc>
        <w:tc>
          <w:tcPr>
            <w:tcW w:w="1985" w:type="dxa"/>
            <w:tcBorders>
              <w:right w:val="single" w:color="auto" w:sz="4" w:space="0"/>
            </w:tcBorders>
            <w:noWrap w:val="0"/>
            <w:vAlign w:val="top"/>
          </w:tcPr>
          <w:p w14:paraId="2612EC88">
            <w:pPr>
              <w:widowControl w:val="0"/>
              <w:adjustRightInd w:val="0"/>
              <w:snapToGrid w:val="0"/>
              <w:spacing w:before="50" w:line="360" w:lineRule="auto"/>
              <w:jc w:val="center"/>
              <w:rPr>
                <w:rFonts w:ascii="Times New Roman" w:hAnsi="Times New Roman" w:eastAsia="宋体" w:cs="Times New Roman"/>
                <w:color w:val="auto"/>
                <w:highlight w:val="none"/>
              </w:rPr>
            </w:pPr>
            <w:r>
              <w:rPr>
                <w:rFonts w:hint="eastAsia" w:ascii="宋体" w:hAnsi="宋体" w:eastAsia="宋体" w:cs="Times New Roman"/>
                <w:color w:val="auto"/>
                <w:szCs w:val="21"/>
                <w:highlight w:val="none"/>
                <w:lang w:eastAsia="zh-CN"/>
              </w:rPr>
              <w:t>磋商</w:t>
            </w:r>
            <w:r>
              <w:rPr>
                <w:rFonts w:hint="eastAsia" w:ascii="Times New Roman" w:hAnsi="Times New Roman" w:eastAsia="宋体" w:cs="Times New Roman"/>
                <w:color w:val="auto"/>
                <w:highlight w:val="none"/>
              </w:rPr>
              <w:t>文件要求</w:t>
            </w:r>
          </w:p>
        </w:tc>
        <w:tc>
          <w:tcPr>
            <w:tcW w:w="2126" w:type="dxa"/>
            <w:tcBorders>
              <w:left w:val="single" w:color="auto" w:sz="4" w:space="0"/>
            </w:tcBorders>
            <w:noWrap w:val="0"/>
            <w:vAlign w:val="top"/>
          </w:tcPr>
          <w:p w14:paraId="7F77033A">
            <w:pPr>
              <w:widowControl w:val="0"/>
              <w:adjustRightInd w:val="0"/>
              <w:snapToGrid w:val="0"/>
              <w:spacing w:before="50" w:line="360" w:lineRule="auto"/>
              <w:jc w:val="center"/>
              <w:rPr>
                <w:rFonts w:ascii="Times New Roman" w:hAnsi="Times New Roman" w:eastAsia="宋体" w:cs="Times New Roman"/>
                <w:color w:val="auto"/>
                <w:highlight w:val="none"/>
              </w:rPr>
            </w:pPr>
            <w:r>
              <w:rPr>
                <w:rFonts w:hint="eastAsia" w:ascii="宋体" w:hAnsi="宋体" w:eastAsia="宋体" w:cs="Times New Roman"/>
                <w:color w:val="auto"/>
                <w:szCs w:val="21"/>
                <w:highlight w:val="none"/>
              </w:rPr>
              <w:t>响应</w:t>
            </w:r>
            <w:r>
              <w:rPr>
                <w:rFonts w:hint="eastAsia" w:ascii="Times New Roman" w:hAnsi="Times New Roman" w:eastAsia="宋体" w:cs="Times New Roman"/>
                <w:color w:val="auto"/>
                <w:highlight w:val="none"/>
              </w:rPr>
              <w:t>文件应答</w:t>
            </w:r>
          </w:p>
        </w:tc>
        <w:tc>
          <w:tcPr>
            <w:tcW w:w="1756" w:type="dxa"/>
            <w:noWrap w:val="0"/>
            <w:vAlign w:val="center"/>
          </w:tcPr>
          <w:p w14:paraId="5A42F1AC">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偏离说明</w:t>
            </w:r>
          </w:p>
        </w:tc>
      </w:tr>
      <w:tr w14:paraId="2B2DE8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017465EF">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222EF2F9">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tcBorders>
              <w:right w:val="single" w:color="auto" w:sz="4" w:space="0"/>
            </w:tcBorders>
            <w:noWrap w:val="0"/>
            <w:vAlign w:val="center"/>
          </w:tcPr>
          <w:p w14:paraId="67484E9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126" w:type="dxa"/>
            <w:tcBorders>
              <w:left w:val="single" w:color="auto" w:sz="4" w:space="0"/>
            </w:tcBorders>
            <w:noWrap w:val="0"/>
            <w:vAlign w:val="center"/>
          </w:tcPr>
          <w:p w14:paraId="640384D1">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756" w:type="dxa"/>
            <w:noWrap w:val="0"/>
            <w:vAlign w:val="center"/>
          </w:tcPr>
          <w:p w14:paraId="486892C6">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6D68E7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713FD45F">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7BFAA0B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tcBorders>
              <w:right w:val="single" w:color="auto" w:sz="4" w:space="0"/>
            </w:tcBorders>
            <w:noWrap w:val="0"/>
            <w:vAlign w:val="center"/>
          </w:tcPr>
          <w:p w14:paraId="7C17E111">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126" w:type="dxa"/>
            <w:tcBorders>
              <w:left w:val="single" w:color="auto" w:sz="4" w:space="0"/>
            </w:tcBorders>
            <w:noWrap w:val="0"/>
            <w:vAlign w:val="center"/>
          </w:tcPr>
          <w:p w14:paraId="5D6761FF">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756" w:type="dxa"/>
            <w:noWrap w:val="0"/>
            <w:vAlign w:val="center"/>
          </w:tcPr>
          <w:p w14:paraId="115082F4">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347C6C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0EB458D4">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3EBA8509">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tcBorders>
              <w:right w:val="single" w:color="auto" w:sz="4" w:space="0"/>
            </w:tcBorders>
            <w:noWrap w:val="0"/>
            <w:vAlign w:val="center"/>
          </w:tcPr>
          <w:p w14:paraId="0E1871F5">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126" w:type="dxa"/>
            <w:tcBorders>
              <w:left w:val="single" w:color="auto" w:sz="4" w:space="0"/>
            </w:tcBorders>
            <w:noWrap w:val="0"/>
            <w:vAlign w:val="center"/>
          </w:tcPr>
          <w:p w14:paraId="7FD09B92">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756" w:type="dxa"/>
            <w:noWrap w:val="0"/>
            <w:vAlign w:val="center"/>
          </w:tcPr>
          <w:p w14:paraId="47E01A11">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11F29F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0E00C635">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5B9C8F2D">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tcBorders>
              <w:right w:val="single" w:color="auto" w:sz="4" w:space="0"/>
            </w:tcBorders>
            <w:noWrap w:val="0"/>
            <w:vAlign w:val="center"/>
          </w:tcPr>
          <w:p w14:paraId="1572357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126" w:type="dxa"/>
            <w:tcBorders>
              <w:left w:val="single" w:color="auto" w:sz="4" w:space="0"/>
            </w:tcBorders>
            <w:noWrap w:val="0"/>
            <w:vAlign w:val="center"/>
          </w:tcPr>
          <w:p w14:paraId="7DC6BA1E">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756" w:type="dxa"/>
            <w:noWrap w:val="0"/>
            <w:vAlign w:val="center"/>
          </w:tcPr>
          <w:p w14:paraId="4A6C28E8">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1047184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084AAF6C">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60B54D75">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tcBorders>
              <w:right w:val="single" w:color="auto" w:sz="4" w:space="0"/>
            </w:tcBorders>
            <w:noWrap w:val="0"/>
            <w:vAlign w:val="center"/>
          </w:tcPr>
          <w:p w14:paraId="21D6207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126" w:type="dxa"/>
            <w:tcBorders>
              <w:left w:val="single" w:color="auto" w:sz="4" w:space="0"/>
            </w:tcBorders>
            <w:noWrap w:val="0"/>
            <w:vAlign w:val="center"/>
          </w:tcPr>
          <w:p w14:paraId="7EF19780">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756" w:type="dxa"/>
            <w:noWrap w:val="0"/>
            <w:vAlign w:val="center"/>
          </w:tcPr>
          <w:p w14:paraId="189303BF">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r>
      <w:tr w14:paraId="4FD407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2B70F01A">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2410" w:type="dxa"/>
            <w:noWrap w:val="0"/>
            <w:vAlign w:val="center"/>
          </w:tcPr>
          <w:p w14:paraId="3D39CBBD">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1985" w:type="dxa"/>
            <w:tcBorders>
              <w:right w:val="single" w:color="auto" w:sz="4" w:space="0"/>
            </w:tcBorders>
            <w:noWrap w:val="0"/>
            <w:vAlign w:val="center"/>
          </w:tcPr>
          <w:p w14:paraId="3688807C">
            <w:pPr>
              <w:widowControl w:val="0"/>
              <w:adjustRightInd w:val="0"/>
              <w:snapToGrid w:val="0"/>
              <w:spacing w:before="50" w:line="360" w:lineRule="auto"/>
              <w:ind w:left="-88" w:leftChars="-42"/>
              <w:jc w:val="center"/>
              <w:rPr>
                <w:rFonts w:ascii="宋体" w:hAnsi="宋体" w:eastAsia="宋体" w:cs="Times New Roman"/>
                <w:color w:val="auto"/>
                <w:szCs w:val="21"/>
                <w:highlight w:val="none"/>
              </w:rPr>
            </w:pPr>
          </w:p>
        </w:tc>
        <w:tc>
          <w:tcPr>
            <w:tcW w:w="3882" w:type="dxa"/>
            <w:gridSpan w:val="2"/>
            <w:tcBorders>
              <w:left w:val="single" w:color="auto" w:sz="4" w:space="0"/>
            </w:tcBorders>
            <w:noWrap w:val="0"/>
            <w:vAlign w:val="center"/>
          </w:tcPr>
          <w:p w14:paraId="760D5716">
            <w:pPr>
              <w:widowControl w:val="0"/>
              <w:adjustRightInd w:val="0"/>
              <w:snapToGrid w:val="0"/>
              <w:spacing w:before="50"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b/>
                <w:color w:val="auto"/>
                <w:szCs w:val="21"/>
                <w:highlight w:val="none"/>
              </w:rPr>
              <w:t>供应商保证：除本采购需求偏离表列出的偏离外，我单位对</w:t>
            </w:r>
            <w:r>
              <w:rPr>
                <w:rFonts w:hint="eastAsia" w:ascii="宋体" w:hAnsi="宋体" w:eastAsia="宋体" w:cs="Times New Roman"/>
                <w:b/>
                <w:color w:val="auto"/>
                <w:szCs w:val="21"/>
                <w:highlight w:val="none"/>
                <w:lang w:eastAsia="zh-CN"/>
              </w:rPr>
              <w:t>磋商</w:t>
            </w:r>
            <w:r>
              <w:rPr>
                <w:rFonts w:hint="eastAsia" w:ascii="宋体" w:hAnsi="宋体" w:eastAsia="宋体" w:cs="Times New Roman"/>
                <w:b/>
                <w:color w:val="auto"/>
                <w:szCs w:val="21"/>
                <w:highlight w:val="none"/>
              </w:rPr>
              <w:t>文件的其他采购需求条款完全响应，无偏离。</w:t>
            </w:r>
          </w:p>
        </w:tc>
      </w:tr>
    </w:tbl>
    <w:p w14:paraId="7FCF8C6E">
      <w:pPr>
        <w:widowControl w:val="0"/>
        <w:adjustRightInd w:val="0"/>
        <w:snapToGrid w:val="0"/>
        <w:spacing w:before="50" w:line="360" w:lineRule="auto"/>
        <w:ind w:left="-88" w:leftChars="-42"/>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注：</w:t>
      </w:r>
      <w:r>
        <w:rPr>
          <w:rFonts w:hint="eastAsia" w:ascii="宋体" w:hAnsi="宋体" w:eastAsia="宋体" w:cs="Times New Roman"/>
          <w:color w:val="auto"/>
          <w:szCs w:val="21"/>
          <w:highlight w:val="none"/>
        </w:rPr>
        <w:t>1.供应商应根据</w:t>
      </w:r>
      <w:r>
        <w:rPr>
          <w:rFonts w:hint="eastAsia" w:ascii="宋体" w:hAnsi="宋体" w:eastAsia="宋体" w:cs="Times New Roman"/>
          <w:color w:val="auto"/>
          <w:szCs w:val="21"/>
          <w:highlight w:val="none"/>
          <w:lang w:eastAsia="zh-CN"/>
        </w:rPr>
        <w:t>磋商</w:t>
      </w:r>
      <w:r>
        <w:rPr>
          <w:rFonts w:hint="eastAsia" w:ascii="宋体" w:hAnsi="宋体" w:eastAsia="宋体" w:cs="Times New Roman"/>
          <w:color w:val="auto"/>
          <w:szCs w:val="21"/>
          <w:highlight w:val="none"/>
        </w:rPr>
        <w:t>文件第三章“采购需求”填写本表；</w:t>
      </w:r>
    </w:p>
    <w:p w14:paraId="244B03CD">
      <w:pPr>
        <w:widowControl w:val="0"/>
        <w:adjustRightInd w:val="0"/>
        <w:snapToGrid w:val="0"/>
        <w:spacing w:before="50" w:line="360" w:lineRule="auto"/>
        <w:ind w:left="-88" w:leftChars="-42" w:firstLine="420" w:firstLineChars="200"/>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2.</w:t>
      </w:r>
      <w:r>
        <w:rPr>
          <w:rFonts w:hint="eastAsia" w:ascii="宋体" w:hAnsi="宋体" w:eastAsia="宋体" w:cs="Times New Roman"/>
          <w:b/>
          <w:color w:val="auto"/>
          <w:szCs w:val="21"/>
          <w:highlight w:val="none"/>
        </w:rPr>
        <w:t>供应商如果对</w:t>
      </w:r>
      <w:r>
        <w:rPr>
          <w:rFonts w:hint="eastAsia" w:ascii="宋体" w:hAnsi="宋体" w:eastAsia="宋体" w:cs="Times New Roman"/>
          <w:b/>
          <w:color w:val="auto"/>
          <w:szCs w:val="21"/>
          <w:highlight w:val="none"/>
          <w:lang w:eastAsia="zh-CN"/>
        </w:rPr>
        <w:t>磋商</w:t>
      </w:r>
      <w:r>
        <w:rPr>
          <w:rFonts w:hint="eastAsia" w:ascii="宋体" w:hAnsi="宋体" w:eastAsia="宋体" w:cs="Times New Roman"/>
          <w:b/>
          <w:color w:val="auto"/>
          <w:szCs w:val="21"/>
          <w:highlight w:val="none"/>
        </w:rPr>
        <w:t>文件第三章“采购需求”的响应有偏离，应将偏离条款逐条如实应答，并作出说明；</w:t>
      </w:r>
    </w:p>
    <w:p w14:paraId="4E0E576B">
      <w:pPr>
        <w:widowControl w:val="0"/>
        <w:adjustRightInd w:val="0"/>
        <w:snapToGrid w:val="0"/>
        <w:spacing w:before="50" w:line="360" w:lineRule="auto"/>
        <w:ind w:left="-88" w:leftChars="-42" w:firstLine="420"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3.如不提供此表，则视为供应商不满足</w:t>
      </w:r>
      <w:r>
        <w:rPr>
          <w:rFonts w:hint="eastAsia" w:ascii="宋体" w:hAnsi="宋体" w:eastAsia="宋体" w:cs="Times New Roman"/>
          <w:b/>
          <w:color w:val="auto"/>
          <w:szCs w:val="21"/>
          <w:highlight w:val="none"/>
          <w:lang w:eastAsia="zh-CN"/>
        </w:rPr>
        <w:t>磋商</w:t>
      </w:r>
      <w:r>
        <w:rPr>
          <w:rFonts w:hint="eastAsia" w:ascii="宋体" w:hAnsi="宋体" w:eastAsia="宋体" w:cs="Times New Roman"/>
          <w:b/>
          <w:color w:val="auto"/>
          <w:szCs w:val="21"/>
          <w:highlight w:val="none"/>
        </w:rPr>
        <w:t>文件第三章的所有条款要求，其响应无效。</w:t>
      </w:r>
    </w:p>
    <w:p w14:paraId="362DBB9B">
      <w:pPr>
        <w:widowControl w:val="0"/>
        <w:adjustRightInd w:val="0"/>
        <w:snapToGrid w:val="0"/>
        <w:spacing w:before="50" w:line="360" w:lineRule="auto"/>
        <w:ind w:left="-88" w:leftChars="-42"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4.在采购人与成交供应商签订合同时，如成交供应商未在响应文件“采购需求偏离表”中列出偏离说明，无论已发生或即将发生任何情形，均视为完全符合</w:t>
      </w:r>
      <w:r>
        <w:rPr>
          <w:rFonts w:hint="eastAsia" w:ascii="宋体" w:hAnsi="宋体" w:eastAsia="宋体" w:cs="Times New Roman"/>
          <w:color w:val="auto"/>
          <w:szCs w:val="21"/>
          <w:highlight w:val="none"/>
          <w:lang w:eastAsia="zh-CN"/>
        </w:rPr>
        <w:t>磋商</w:t>
      </w:r>
      <w:r>
        <w:rPr>
          <w:rFonts w:hint="eastAsia" w:ascii="宋体" w:hAnsi="宋体" w:eastAsia="宋体" w:cs="Times New Roman"/>
          <w:color w:val="auto"/>
          <w:szCs w:val="21"/>
          <w:highlight w:val="none"/>
        </w:rPr>
        <w:t>文件要求，并写入合同。若成交供应商在合同签订前，以上述事项为借口而不履行合同签订手续及执行合同，则视作拒绝与采购人签订合同。</w:t>
      </w:r>
    </w:p>
    <w:p w14:paraId="40AF9193">
      <w:pPr>
        <w:widowControl w:val="0"/>
        <w:adjustRightInd w:val="0"/>
        <w:snapToGrid w:val="0"/>
        <w:spacing w:before="50" w:line="360" w:lineRule="auto"/>
        <w:ind w:left="-88" w:leftChars="-42"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5.本表偏离表与本章第</w:t>
      </w:r>
      <w:r>
        <w:rPr>
          <w:rFonts w:hint="eastAsia" w:ascii="宋体" w:hAnsi="宋体" w:cs="Times New Roman"/>
          <w:color w:val="auto"/>
          <w:szCs w:val="21"/>
          <w:highlight w:val="none"/>
          <w:lang w:val="en-US" w:eastAsia="zh-CN"/>
        </w:rPr>
        <w:t>五</w:t>
      </w:r>
      <w:r>
        <w:rPr>
          <w:rFonts w:hint="eastAsia" w:ascii="宋体" w:hAnsi="宋体" w:eastAsia="宋体" w:cs="Times New Roman"/>
          <w:color w:val="auto"/>
          <w:szCs w:val="21"/>
          <w:highlight w:val="none"/>
        </w:rPr>
        <w:t>节“采购需求响应”不一致时，以“采购需求响应”为准。</w:t>
      </w:r>
    </w:p>
    <w:p w14:paraId="547764B6">
      <w:pPr>
        <w:widowControl w:val="0"/>
        <w:adjustRightInd w:val="0"/>
        <w:snapToGrid w:val="0"/>
        <w:spacing w:before="50" w:line="360" w:lineRule="auto"/>
        <w:rPr>
          <w:rFonts w:ascii="宋体" w:hAnsi="宋体" w:eastAsia="宋体" w:cs="Times New Roman"/>
          <w:color w:val="auto"/>
          <w:szCs w:val="21"/>
          <w:highlight w:val="none"/>
        </w:rPr>
      </w:pPr>
    </w:p>
    <w:p w14:paraId="4A939F85">
      <w:pPr>
        <w:widowControl w:val="0"/>
        <w:adjustRightInd w:val="0"/>
        <w:snapToGrid w:val="0"/>
        <w:spacing w:before="50" w:line="360" w:lineRule="auto"/>
        <w:rPr>
          <w:rFonts w:ascii="宋体" w:hAnsi="宋体" w:eastAsia="宋体" w:cs="Times New Roman"/>
          <w:color w:val="auto"/>
          <w:szCs w:val="21"/>
          <w:highlight w:val="none"/>
        </w:rPr>
      </w:pPr>
    </w:p>
    <w:p w14:paraId="74A0775C">
      <w:pPr>
        <w:widowControl w:val="0"/>
        <w:adjustRightInd w:val="0"/>
        <w:snapToGrid w:val="0"/>
        <w:spacing w:before="50" w:line="360" w:lineRule="auto"/>
        <w:rPr>
          <w:rFonts w:ascii="宋体" w:hAnsi="宋体" w:eastAsia="宋体" w:cs="Times New Roman"/>
          <w:color w:val="auto"/>
          <w:szCs w:val="21"/>
          <w:highlight w:val="none"/>
        </w:rPr>
      </w:pPr>
    </w:p>
    <w:p w14:paraId="2F0844CD">
      <w:pPr>
        <w:widowControl w:val="0"/>
        <w:adjustRightInd w:val="0"/>
        <w:snapToGrid w:val="0"/>
        <w:spacing w:before="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供应商名称（盖单位公章）：</w:t>
      </w:r>
    </w:p>
    <w:p w14:paraId="6A4A6F10">
      <w:pPr>
        <w:widowControl w:val="0"/>
        <w:adjustRightInd w:val="0"/>
        <w:snapToGrid w:val="0"/>
        <w:spacing w:before="50" w:line="360" w:lineRule="auto"/>
        <w:rPr>
          <w:rFonts w:ascii="宋体" w:hAnsi="宋体" w:eastAsia="宋体" w:cs="Times New Roman"/>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07F2AF27">
      <w:pPr>
        <w:widowControl w:val="0"/>
        <w:adjustRightInd w:val="0"/>
        <w:snapToGrid w:val="0"/>
        <w:spacing w:before="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日      期：      年     月</w:t>
      </w:r>
      <w:r>
        <w:rPr>
          <w:rFonts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rPr>
        <w:t xml:space="preserve">    日</w:t>
      </w:r>
    </w:p>
    <w:p w14:paraId="07B927AA">
      <w:pPr>
        <w:widowControl w:val="0"/>
        <w:rPr>
          <w:rFonts w:ascii="Times New Roman" w:hAnsi="Times New Roman" w:eastAsia="宋体" w:cs="Times New Roman"/>
          <w:color w:val="auto"/>
          <w:highlight w:val="none"/>
        </w:rPr>
      </w:pPr>
    </w:p>
    <w:p w14:paraId="027AFF59">
      <w:pPr>
        <w:rPr>
          <w:color w:val="auto"/>
          <w:highlight w:val="none"/>
        </w:rPr>
        <w:sectPr>
          <w:footerReference r:id="rId5" w:type="even"/>
          <w:pgSz w:w="11906" w:h="16838"/>
          <w:pgMar w:top="1418" w:right="1418" w:bottom="1134" w:left="1418" w:header="851" w:footer="992" w:gutter="0"/>
          <w:pgNumType w:fmt="decimal"/>
          <w:cols w:space="720" w:num="1"/>
          <w:docGrid w:type="linesAndChars" w:linePitch="312" w:charSpace="0"/>
        </w:sectPr>
      </w:pPr>
    </w:p>
    <w:p w14:paraId="7B7A7604">
      <w:pPr>
        <w:keepNext/>
        <w:keepLines/>
        <w:widowControl w:val="0"/>
        <w:spacing w:line="360" w:lineRule="auto"/>
        <w:jc w:val="center"/>
        <w:outlineLvl w:val="1"/>
        <w:rPr>
          <w:rFonts w:ascii="黑体" w:hAnsi="黑体" w:eastAsia="黑体" w:cs="Times New Roman"/>
          <w:b/>
          <w:bCs/>
          <w:color w:val="auto"/>
          <w:sz w:val="28"/>
          <w:szCs w:val="28"/>
          <w:highlight w:val="none"/>
        </w:rPr>
      </w:pPr>
      <w:bookmarkStart w:id="144" w:name="_Toc6619"/>
      <w:bookmarkStart w:id="145" w:name="_Toc22239"/>
      <w:bookmarkStart w:id="146" w:name="_Toc107998049"/>
      <w:bookmarkStart w:id="147" w:name="_Toc22201161"/>
      <w:r>
        <w:rPr>
          <w:rFonts w:hint="eastAsia" w:ascii="黑体" w:hAnsi="黑体" w:eastAsia="黑体" w:cs="Times New Roman"/>
          <w:b/>
          <w:bCs/>
          <w:color w:val="auto"/>
          <w:sz w:val="28"/>
          <w:szCs w:val="28"/>
          <w:highlight w:val="none"/>
          <w:lang w:val="en-US" w:eastAsia="zh-CN"/>
        </w:rPr>
        <w:t>八</w:t>
      </w:r>
      <w:r>
        <w:rPr>
          <w:rFonts w:hint="eastAsia" w:ascii="黑体" w:hAnsi="黑体" w:eastAsia="黑体" w:cs="Times New Roman"/>
          <w:b/>
          <w:bCs/>
          <w:color w:val="auto"/>
          <w:sz w:val="28"/>
          <w:szCs w:val="28"/>
          <w:highlight w:val="none"/>
        </w:rPr>
        <w:t>、享受政府采购政策优惠的证明资料</w:t>
      </w:r>
      <w:bookmarkEnd w:id="144"/>
      <w:bookmarkEnd w:id="145"/>
      <w:bookmarkEnd w:id="146"/>
      <w:bookmarkEnd w:id="147"/>
    </w:p>
    <w:p w14:paraId="4BDCC754">
      <w:pPr>
        <w:widowControl w:val="0"/>
        <w:adjustRightInd w:val="0"/>
        <w:snapToGrid w:val="0"/>
        <w:spacing w:line="360" w:lineRule="auto"/>
        <w:rPr>
          <w:rFonts w:ascii="黑体" w:hAnsi="华文中宋" w:eastAsia="黑体" w:cs="宋体"/>
          <w:bCs/>
          <w:color w:val="auto"/>
          <w:spacing w:val="6"/>
          <w:kern w:val="0"/>
          <w:szCs w:val="21"/>
          <w:highlight w:val="none"/>
        </w:rPr>
      </w:pPr>
    </w:p>
    <w:p w14:paraId="2D6CB606">
      <w:pPr>
        <w:widowControl/>
        <w:adjustRightInd w:val="0"/>
        <w:snapToGrid w:val="0"/>
        <w:spacing w:line="360" w:lineRule="auto"/>
        <w:jc w:val="center"/>
        <w:rPr>
          <w:rFonts w:hint="eastAsia" w:ascii="黑体" w:hAnsi="仿宋" w:eastAsia="黑体" w:cs="宋体"/>
          <w:b/>
          <w:color w:val="auto"/>
          <w:sz w:val="28"/>
          <w:szCs w:val="28"/>
          <w:highlight w:val="none"/>
        </w:rPr>
      </w:pPr>
      <w:r>
        <w:rPr>
          <w:rFonts w:hint="eastAsia" w:ascii="黑体" w:hAnsi="仿宋" w:eastAsia="黑体" w:cs="宋体"/>
          <w:b/>
          <w:color w:val="auto"/>
          <w:sz w:val="28"/>
          <w:szCs w:val="28"/>
          <w:highlight w:val="none"/>
          <w:lang w:val="en-US" w:eastAsia="zh-CN"/>
        </w:rPr>
        <w:t>落实政府采购政策需满足的资格要求证明材料</w:t>
      </w:r>
    </w:p>
    <w:p w14:paraId="7F5F41CB">
      <w:pPr>
        <w:widowControl w:val="0"/>
        <w:adjustRightInd w:val="0"/>
        <w:snapToGrid w:val="0"/>
        <w:spacing w:before="156" w:beforeLines="50" w:line="360" w:lineRule="auto"/>
        <w:ind w:firstLine="420" w:firstLineChars="200"/>
        <w:rPr>
          <w:rFonts w:hint="eastAsia" w:ascii="宋体" w:hAnsi="宋体" w:eastAsia="宋体" w:cs="Times New Roman"/>
          <w:iCs/>
          <w:color w:val="auto"/>
          <w:szCs w:val="21"/>
          <w:highlight w:val="none"/>
          <w:lang w:val="en-US" w:eastAsia="zh-CN"/>
        </w:rPr>
      </w:pPr>
      <w:r>
        <w:rPr>
          <w:rFonts w:hint="eastAsia" w:ascii="宋体" w:hAnsi="宋体" w:eastAsia="宋体" w:cs="Times New Roman"/>
          <w:iCs/>
          <w:color w:val="auto"/>
          <w:szCs w:val="21"/>
          <w:highlight w:val="none"/>
          <w:lang w:eastAsia="zh-CN"/>
        </w:rPr>
        <w:t>（</w:t>
      </w:r>
      <w:r>
        <w:rPr>
          <w:rFonts w:hint="eastAsia" w:ascii="宋体" w:hAnsi="宋体" w:eastAsia="宋体" w:cs="Times New Roman"/>
          <w:iCs/>
          <w:color w:val="auto"/>
          <w:szCs w:val="21"/>
          <w:highlight w:val="none"/>
          <w:lang w:val="en-US" w:eastAsia="zh-CN"/>
        </w:rPr>
        <w:t>1</w:t>
      </w:r>
      <w:r>
        <w:rPr>
          <w:rFonts w:hint="eastAsia" w:ascii="宋体" w:hAnsi="宋体" w:eastAsia="宋体" w:cs="Times New Roman"/>
          <w:iCs/>
          <w:color w:val="auto"/>
          <w:szCs w:val="21"/>
          <w:highlight w:val="none"/>
          <w:lang w:eastAsia="zh-CN"/>
        </w:rPr>
        <w:t>）</w:t>
      </w:r>
      <w:r>
        <w:rPr>
          <w:rFonts w:hint="eastAsia" w:ascii="宋体" w:hAnsi="宋体" w:eastAsia="宋体" w:cs="Times New Roman"/>
          <w:iCs/>
          <w:color w:val="auto"/>
          <w:szCs w:val="21"/>
          <w:highlight w:val="none"/>
        </w:rPr>
        <w:t>中小企业</w:t>
      </w:r>
      <w:r>
        <w:rPr>
          <w:rFonts w:hint="eastAsia" w:ascii="宋体" w:hAnsi="宋体" w:eastAsia="宋体" w:cs="Times New Roman"/>
          <w:iCs/>
          <w:color w:val="auto"/>
          <w:szCs w:val="21"/>
          <w:highlight w:val="none"/>
          <w:lang w:val="en-US" w:eastAsia="zh-CN"/>
        </w:rPr>
        <w:t>声明函（格式见附件8-1）</w:t>
      </w:r>
    </w:p>
    <w:p w14:paraId="5E3D2293">
      <w:pPr>
        <w:widowControl w:val="0"/>
        <w:adjustRightInd w:val="0"/>
        <w:snapToGrid w:val="0"/>
        <w:spacing w:before="156" w:beforeLines="50" w:line="360" w:lineRule="auto"/>
        <w:ind w:firstLine="420" w:firstLineChars="200"/>
        <w:rPr>
          <w:rFonts w:hint="eastAsia" w:ascii="宋体" w:hAnsi="宋体" w:eastAsia="宋体" w:cs="Times New Roman"/>
          <w:iCs/>
          <w:color w:val="auto"/>
          <w:szCs w:val="21"/>
          <w:highlight w:val="none"/>
          <w:lang w:val="en-US" w:eastAsia="zh-CN"/>
        </w:rPr>
      </w:pPr>
      <w:r>
        <w:rPr>
          <w:rFonts w:hint="eastAsia" w:ascii="宋体" w:hAnsi="宋体" w:eastAsia="宋体" w:cs="Times New Roman"/>
          <w:iCs/>
          <w:color w:val="auto"/>
          <w:szCs w:val="21"/>
          <w:highlight w:val="none"/>
          <w:lang w:val="en-US" w:eastAsia="zh-CN"/>
        </w:rPr>
        <w:t>（2）残疾人</w:t>
      </w:r>
      <w:r>
        <w:rPr>
          <w:rFonts w:hint="eastAsia" w:ascii="宋体" w:hAnsi="宋体" w:eastAsia="宋体" w:cs="Times New Roman"/>
          <w:iCs/>
          <w:color w:val="auto"/>
          <w:szCs w:val="21"/>
          <w:highlight w:val="none"/>
        </w:rPr>
        <w:t>福利</w:t>
      </w:r>
      <w:r>
        <w:rPr>
          <w:rFonts w:hint="eastAsia" w:ascii="宋体" w:hAnsi="宋体" w:eastAsia="宋体" w:cs="Times New Roman"/>
          <w:iCs/>
          <w:color w:val="auto"/>
          <w:szCs w:val="21"/>
          <w:highlight w:val="none"/>
          <w:lang w:val="en-US" w:eastAsia="zh-CN"/>
        </w:rPr>
        <w:t>性</w:t>
      </w:r>
      <w:r>
        <w:rPr>
          <w:rFonts w:hint="eastAsia" w:ascii="宋体" w:hAnsi="宋体" w:eastAsia="宋体" w:cs="Times New Roman"/>
          <w:iCs/>
          <w:color w:val="auto"/>
          <w:szCs w:val="21"/>
          <w:highlight w:val="none"/>
        </w:rPr>
        <w:t>单位</w:t>
      </w:r>
      <w:r>
        <w:rPr>
          <w:rFonts w:hint="eastAsia" w:ascii="宋体" w:hAnsi="宋体" w:eastAsia="宋体" w:cs="Times New Roman"/>
          <w:iCs/>
          <w:color w:val="auto"/>
          <w:szCs w:val="21"/>
          <w:highlight w:val="none"/>
          <w:lang w:val="en-US" w:eastAsia="zh-CN"/>
        </w:rPr>
        <w:t>声明函（格式见附件8-2）</w:t>
      </w:r>
    </w:p>
    <w:p w14:paraId="05A635FB">
      <w:pPr>
        <w:widowControl w:val="0"/>
        <w:adjustRightInd w:val="0"/>
        <w:snapToGrid w:val="0"/>
        <w:spacing w:before="156" w:beforeLines="50" w:line="360" w:lineRule="auto"/>
        <w:ind w:firstLine="420" w:firstLineChars="200"/>
        <w:rPr>
          <w:rFonts w:hint="eastAsia" w:ascii="宋体" w:hAnsi="宋体" w:eastAsia="宋体" w:cs="Times New Roman"/>
          <w:iCs/>
          <w:color w:val="auto"/>
          <w:szCs w:val="21"/>
          <w:highlight w:val="none"/>
          <w:lang w:val="en-US" w:eastAsia="zh-CN"/>
        </w:rPr>
      </w:pPr>
      <w:r>
        <w:rPr>
          <w:rFonts w:hint="eastAsia" w:ascii="宋体" w:hAnsi="宋体" w:eastAsia="宋体" w:cs="Times New Roman"/>
          <w:iCs/>
          <w:color w:val="auto"/>
          <w:szCs w:val="21"/>
          <w:highlight w:val="none"/>
          <w:lang w:val="en-US" w:eastAsia="zh-CN"/>
        </w:rPr>
        <w:t>（3）</w:t>
      </w:r>
      <w:r>
        <w:rPr>
          <w:rFonts w:hint="eastAsia" w:ascii="宋体" w:hAnsi="宋体" w:eastAsia="宋体" w:cs="Times New Roman"/>
          <w:iCs/>
          <w:color w:val="auto"/>
          <w:szCs w:val="21"/>
          <w:highlight w:val="none"/>
        </w:rPr>
        <w:t>监狱企业</w:t>
      </w:r>
      <w:r>
        <w:rPr>
          <w:rFonts w:hint="eastAsia" w:ascii="宋体" w:hAnsi="宋体" w:eastAsia="宋体" w:cs="Times New Roman"/>
          <w:iCs/>
          <w:color w:val="auto"/>
          <w:szCs w:val="21"/>
          <w:highlight w:val="none"/>
          <w:lang w:val="en-US" w:eastAsia="zh-CN"/>
        </w:rPr>
        <w:t>证明资料（格式见附件8-3）；</w:t>
      </w:r>
    </w:p>
    <w:p w14:paraId="161AF129">
      <w:pPr>
        <w:widowControl w:val="0"/>
        <w:ind w:firstLine="420" w:firstLineChars="200"/>
        <w:jc w:val="both"/>
        <w:rPr>
          <w:rFonts w:hint="eastAsia" w:ascii="宋体" w:hAnsi="宋体" w:eastAsia="宋体" w:cs="Times New Roman"/>
          <w:iCs/>
          <w:color w:val="auto"/>
          <w:kern w:val="2"/>
          <w:sz w:val="21"/>
          <w:szCs w:val="21"/>
          <w:highlight w:val="none"/>
          <w:lang w:val="en-US" w:eastAsia="zh-CN" w:bidi="ar-SA"/>
        </w:rPr>
      </w:pPr>
    </w:p>
    <w:p w14:paraId="495FB146">
      <w:pPr>
        <w:rPr>
          <w:rFonts w:hint="eastAsia" w:ascii="黑体" w:hAnsi="华文中宋" w:eastAsia="黑体" w:cs="宋体"/>
          <w:color w:val="auto"/>
          <w:spacing w:val="6"/>
          <w:kern w:val="0"/>
          <w:szCs w:val="21"/>
          <w:highlight w:val="none"/>
        </w:rPr>
      </w:pPr>
      <w:r>
        <w:rPr>
          <w:rFonts w:hint="eastAsia" w:ascii="黑体" w:hAnsi="华文中宋" w:eastAsia="黑体" w:cs="宋体"/>
          <w:color w:val="auto"/>
          <w:spacing w:val="6"/>
          <w:kern w:val="0"/>
          <w:szCs w:val="21"/>
          <w:highlight w:val="none"/>
        </w:rPr>
        <w:br w:type="page"/>
      </w:r>
    </w:p>
    <w:p w14:paraId="10F9016F">
      <w:pPr>
        <w:keepNext/>
        <w:keepLines/>
        <w:widowControl w:val="0"/>
        <w:spacing w:before="280" w:after="290" w:line="376" w:lineRule="auto"/>
        <w:outlineLvl w:val="3"/>
        <w:rPr>
          <w:rFonts w:ascii="黑体" w:hAnsi="华文中宋" w:eastAsia="黑体" w:cs="宋体"/>
          <w:color w:val="auto"/>
          <w:spacing w:val="6"/>
          <w:kern w:val="0"/>
          <w:szCs w:val="21"/>
          <w:highlight w:val="none"/>
        </w:rPr>
      </w:pPr>
      <w:r>
        <w:rPr>
          <w:rFonts w:hint="eastAsia" w:ascii="黑体" w:hAnsi="华文中宋" w:eastAsia="黑体" w:cs="宋体"/>
          <w:color w:val="auto"/>
          <w:spacing w:val="6"/>
          <w:kern w:val="0"/>
          <w:szCs w:val="21"/>
          <w:highlight w:val="none"/>
        </w:rPr>
        <w:t>附件</w:t>
      </w:r>
      <w:r>
        <w:rPr>
          <w:rFonts w:hint="eastAsia" w:ascii="黑体" w:hAnsi="华文中宋" w:eastAsia="黑体" w:cs="宋体"/>
          <w:color w:val="auto"/>
          <w:spacing w:val="6"/>
          <w:kern w:val="0"/>
          <w:szCs w:val="21"/>
          <w:highlight w:val="none"/>
          <w:lang w:val="en-US" w:eastAsia="zh-CN"/>
        </w:rPr>
        <w:t>8</w:t>
      </w:r>
      <w:r>
        <w:rPr>
          <w:rFonts w:hint="eastAsia" w:ascii="黑体" w:hAnsi="华文中宋" w:eastAsia="黑体" w:cs="宋体"/>
          <w:color w:val="auto"/>
          <w:spacing w:val="6"/>
          <w:kern w:val="0"/>
          <w:szCs w:val="21"/>
          <w:highlight w:val="none"/>
        </w:rPr>
        <w:t>-1中小企业声明函</w:t>
      </w:r>
    </w:p>
    <w:p w14:paraId="41633CE8">
      <w:pPr>
        <w:widowControl/>
        <w:spacing w:before="100" w:beforeAutospacing="1" w:after="100" w:afterAutospacing="1" w:line="435" w:lineRule="atLeast"/>
        <w:jc w:val="center"/>
        <w:rPr>
          <w:rFonts w:ascii="Times New Roman" w:hAnsi="Times New Roman" w:eastAsia="宋体" w:cs="Times New Roman"/>
          <w:color w:val="auto"/>
          <w:szCs w:val="24"/>
          <w:highlight w:val="none"/>
        </w:rPr>
      </w:pPr>
      <w:r>
        <w:rPr>
          <w:rFonts w:hint="eastAsia" w:ascii="宋体" w:hAnsi="宋体" w:eastAsia="宋体" w:cs="宋体"/>
          <w:b/>
          <w:color w:val="auto"/>
          <w:kern w:val="0"/>
          <w:sz w:val="28"/>
          <w:szCs w:val="28"/>
          <w:highlight w:val="none"/>
          <w:lang w:bidi="ar"/>
        </w:rPr>
        <w:t>中小企业声明函（工程、服务）</w:t>
      </w:r>
    </w:p>
    <w:p w14:paraId="4FD68FBA">
      <w:pPr>
        <w:widowControl/>
        <w:spacing w:before="100" w:beforeAutospacing="1" w:after="100" w:afterAutospacing="1" w:line="540" w:lineRule="exact"/>
        <w:ind w:firstLine="482"/>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本公司（联合体）郑重声明，根据《政府采购促进中小企业发展管理办法》（财库﹝2020﹞46 号）的规定，本公司（联合体）参加</w:t>
      </w:r>
      <w:r>
        <w:rPr>
          <w:rFonts w:hint="eastAsia" w:ascii="宋体" w:hAnsi="宋体" w:eastAsia="宋体" w:cs="宋体"/>
          <w:color w:val="auto"/>
          <w:kern w:val="0"/>
          <w:sz w:val="21"/>
          <w:szCs w:val="21"/>
          <w:highlight w:val="none"/>
          <w:u w:val="single"/>
          <w:lang w:bidi="ar"/>
        </w:rPr>
        <w:t>    （单位名称）</w:t>
      </w:r>
      <w:r>
        <w:rPr>
          <w:rFonts w:hint="eastAsia" w:ascii="宋体" w:hAnsi="宋体" w:eastAsia="宋体" w:cs="宋体"/>
          <w:color w:val="auto"/>
          <w:kern w:val="0"/>
          <w:sz w:val="21"/>
          <w:szCs w:val="21"/>
          <w:highlight w:val="none"/>
          <w:lang w:bidi="ar"/>
        </w:rPr>
        <w:t>的</w:t>
      </w:r>
      <w:r>
        <w:rPr>
          <w:rFonts w:hint="eastAsia" w:ascii="宋体" w:hAnsi="宋体" w:eastAsia="宋体" w:cs="宋体"/>
          <w:color w:val="auto"/>
          <w:kern w:val="0"/>
          <w:sz w:val="21"/>
          <w:szCs w:val="21"/>
          <w:highlight w:val="none"/>
          <w:u w:val="single"/>
          <w:lang w:bidi="ar"/>
        </w:rPr>
        <w:t>（项目名称）</w:t>
      </w:r>
      <w:r>
        <w:rPr>
          <w:rFonts w:hint="eastAsia" w:ascii="宋体" w:hAnsi="宋体" w:eastAsia="宋体" w:cs="宋体"/>
          <w:color w:val="auto"/>
          <w:kern w:val="0"/>
          <w:sz w:val="21"/>
          <w:szCs w:val="21"/>
          <w:highlight w:val="none"/>
          <w:lang w:bidi="ar"/>
        </w:rPr>
        <w:t>采购活动，工程的施工单位全部为符合政策要求的中小企业（或者：服务全部由符合政策要求的中小企业承接）。相关企业（含联合体中的中小企业、签订分包意向协议的中小企业）的具体情况如下：</w:t>
      </w:r>
    </w:p>
    <w:p w14:paraId="337602CC">
      <w:pPr>
        <w:widowControl/>
        <w:spacing w:before="100" w:beforeAutospacing="1" w:after="100" w:afterAutospacing="1" w:line="360" w:lineRule="auto"/>
        <w:ind w:firstLine="482"/>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u w:val="single"/>
          <w:lang w:bidi="ar"/>
        </w:rPr>
        <w:t>1.   （标的名称）</w:t>
      </w:r>
      <w:r>
        <w:rPr>
          <w:rFonts w:hint="eastAsia" w:ascii="宋体" w:hAnsi="宋体" w:eastAsia="宋体" w:cs="宋体"/>
          <w:color w:val="auto"/>
          <w:kern w:val="0"/>
          <w:sz w:val="21"/>
          <w:szCs w:val="21"/>
          <w:highlight w:val="none"/>
          <w:lang w:bidi="ar"/>
        </w:rPr>
        <w:t>，属于</w:t>
      </w:r>
      <w:r>
        <w:rPr>
          <w:rFonts w:hint="eastAsia" w:ascii="宋体" w:hAnsi="宋体" w:eastAsia="宋体" w:cs="宋体"/>
          <w:color w:val="auto"/>
          <w:kern w:val="0"/>
          <w:sz w:val="21"/>
          <w:szCs w:val="21"/>
          <w:highlight w:val="none"/>
          <w:u w:val="single"/>
          <w:lang w:bidi="ar"/>
        </w:rPr>
        <w:t>    （采购文件中明确的所属行业）</w:t>
      </w:r>
      <w:r>
        <w:rPr>
          <w:rFonts w:hint="eastAsia" w:ascii="宋体" w:hAnsi="宋体" w:eastAsia="宋体" w:cs="宋体"/>
          <w:color w:val="auto"/>
          <w:kern w:val="0"/>
          <w:sz w:val="21"/>
          <w:szCs w:val="21"/>
          <w:highlight w:val="none"/>
          <w:lang w:bidi="ar"/>
        </w:rPr>
        <w:t>；承建（承接）企业为</w:t>
      </w:r>
      <w:r>
        <w:rPr>
          <w:rFonts w:hint="eastAsia" w:ascii="宋体" w:hAnsi="宋体" w:eastAsia="宋体" w:cs="宋体"/>
          <w:color w:val="auto"/>
          <w:kern w:val="0"/>
          <w:sz w:val="21"/>
          <w:szCs w:val="21"/>
          <w:highlight w:val="none"/>
          <w:u w:val="single"/>
          <w:lang w:bidi="ar"/>
        </w:rPr>
        <w:t>    （企业名称）</w:t>
      </w:r>
      <w:r>
        <w:rPr>
          <w:rFonts w:hint="eastAsia" w:ascii="宋体" w:hAnsi="宋体" w:eastAsia="宋体" w:cs="宋体"/>
          <w:color w:val="auto"/>
          <w:kern w:val="0"/>
          <w:sz w:val="21"/>
          <w:szCs w:val="21"/>
          <w:highlight w:val="none"/>
          <w:lang w:bidi="ar"/>
        </w:rPr>
        <w:t>，从业人员</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人，营业收入为</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万元，资产总额为</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万元，属于</w:t>
      </w:r>
      <w:r>
        <w:rPr>
          <w:rFonts w:hint="eastAsia" w:ascii="宋体" w:hAnsi="宋体" w:eastAsia="宋体" w:cs="宋体"/>
          <w:color w:val="auto"/>
          <w:kern w:val="0"/>
          <w:sz w:val="21"/>
          <w:szCs w:val="21"/>
          <w:highlight w:val="none"/>
          <w:u w:val="single"/>
          <w:lang w:bidi="ar"/>
        </w:rPr>
        <w:t>     （中型企业、小型企业、微型企业）</w:t>
      </w:r>
      <w:r>
        <w:rPr>
          <w:rFonts w:hint="eastAsia" w:ascii="宋体" w:hAnsi="宋体" w:eastAsia="宋体" w:cs="宋体"/>
          <w:color w:val="auto"/>
          <w:kern w:val="0"/>
          <w:sz w:val="21"/>
          <w:szCs w:val="21"/>
          <w:highlight w:val="none"/>
          <w:lang w:bidi="ar"/>
        </w:rPr>
        <w:t>；</w:t>
      </w:r>
    </w:p>
    <w:p w14:paraId="75E37447">
      <w:pPr>
        <w:widowControl/>
        <w:spacing w:before="100" w:beforeAutospacing="1" w:after="100" w:afterAutospacing="1" w:line="360" w:lineRule="auto"/>
        <w:ind w:firstLine="482"/>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2.</w:t>
      </w:r>
      <w:r>
        <w:rPr>
          <w:rFonts w:hint="eastAsia" w:ascii="宋体" w:hAnsi="宋体" w:eastAsia="宋体" w:cs="宋体"/>
          <w:color w:val="auto"/>
          <w:kern w:val="0"/>
          <w:sz w:val="21"/>
          <w:szCs w:val="21"/>
          <w:highlight w:val="none"/>
          <w:u w:val="single"/>
          <w:lang w:bidi="ar"/>
        </w:rPr>
        <w:t>     （标的名称）</w:t>
      </w:r>
      <w:r>
        <w:rPr>
          <w:rFonts w:hint="eastAsia" w:ascii="宋体" w:hAnsi="宋体" w:eastAsia="宋体" w:cs="宋体"/>
          <w:color w:val="auto"/>
          <w:kern w:val="0"/>
          <w:sz w:val="21"/>
          <w:szCs w:val="21"/>
          <w:highlight w:val="none"/>
          <w:lang w:bidi="ar"/>
        </w:rPr>
        <w:t>，属于</w:t>
      </w:r>
      <w:r>
        <w:rPr>
          <w:rFonts w:hint="eastAsia" w:ascii="宋体" w:hAnsi="宋体" w:eastAsia="宋体" w:cs="宋体"/>
          <w:color w:val="auto"/>
          <w:kern w:val="0"/>
          <w:sz w:val="21"/>
          <w:szCs w:val="21"/>
          <w:highlight w:val="none"/>
          <w:u w:val="single"/>
          <w:lang w:bidi="ar"/>
        </w:rPr>
        <w:t>     （采购文件中明确的所属行业）</w:t>
      </w:r>
      <w:r>
        <w:rPr>
          <w:rFonts w:hint="eastAsia" w:ascii="宋体" w:hAnsi="宋体" w:eastAsia="宋体" w:cs="宋体"/>
          <w:color w:val="auto"/>
          <w:kern w:val="0"/>
          <w:sz w:val="21"/>
          <w:szCs w:val="21"/>
          <w:highlight w:val="none"/>
          <w:lang w:bidi="ar"/>
        </w:rPr>
        <w:t>行业；制造商为</w:t>
      </w:r>
      <w:r>
        <w:rPr>
          <w:rFonts w:hint="eastAsia" w:ascii="宋体" w:hAnsi="宋体" w:eastAsia="宋体" w:cs="宋体"/>
          <w:color w:val="auto"/>
          <w:kern w:val="0"/>
          <w:sz w:val="21"/>
          <w:szCs w:val="21"/>
          <w:highlight w:val="none"/>
          <w:u w:val="single"/>
          <w:lang w:bidi="ar"/>
        </w:rPr>
        <w:t>       （企业名称）</w:t>
      </w:r>
      <w:r>
        <w:rPr>
          <w:rFonts w:hint="eastAsia" w:ascii="宋体" w:hAnsi="宋体" w:eastAsia="宋体" w:cs="宋体"/>
          <w:color w:val="auto"/>
          <w:kern w:val="0"/>
          <w:sz w:val="21"/>
          <w:szCs w:val="21"/>
          <w:highlight w:val="none"/>
          <w:lang w:bidi="ar"/>
        </w:rPr>
        <w:t>，从业人员</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人，营业收入为</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万元，资产总额为</w:t>
      </w:r>
      <w:r>
        <w:rPr>
          <w:rFonts w:hint="eastAsia" w:ascii="宋体" w:hAnsi="宋体" w:eastAsia="宋体" w:cs="宋体"/>
          <w:color w:val="auto"/>
          <w:kern w:val="0"/>
          <w:sz w:val="21"/>
          <w:szCs w:val="21"/>
          <w:highlight w:val="none"/>
          <w:u w:val="single"/>
          <w:lang w:bidi="ar"/>
        </w:rPr>
        <w:t>   </w:t>
      </w:r>
      <w:r>
        <w:rPr>
          <w:rFonts w:hint="eastAsia" w:ascii="宋体" w:hAnsi="宋体" w:eastAsia="宋体" w:cs="宋体"/>
          <w:color w:val="auto"/>
          <w:kern w:val="0"/>
          <w:sz w:val="21"/>
          <w:szCs w:val="21"/>
          <w:highlight w:val="none"/>
          <w:lang w:bidi="ar"/>
        </w:rPr>
        <w:t>万元</w:t>
      </w:r>
      <w:r>
        <w:rPr>
          <w:rFonts w:hint="eastAsia" w:ascii="宋体" w:hAnsi="宋体" w:eastAsia="宋体" w:cs="宋体"/>
          <w:color w:val="auto"/>
          <w:kern w:val="0"/>
          <w:sz w:val="21"/>
          <w:szCs w:val="21"/>
          <w:highlight w:val="none"/>
          <w:vertAlign w:val="superscript"/>
          <w:lang w:bidi="ar"/>
        </w:rPr>
        <w:t>1</w:t>
      </w:r>
      <w:r>
        <w:rPr>
          <w:rFonts w:hint="eastAsia" w:ascii="宋体" w:hAnsi="宋体" w:eastAsia="宋体" w:cs="宋体"/>
          <w:color w:val="auto"/>
          <w:kern w:val="0"/>
          <w:sz w:val="21"/>
          <w:szCs w:val="21"/>
          <w:highlight w:val="none"/>
          <w:lang w:bidi="ar"/>
        </w:rPr>
        <w:t>，属于</w:t>
      </w:r>
      <w:r>
        <w:rPr>
          <w:rFonts w:hint="eastAsia" w:ascii="宋体" w:hAnsi="宋体" w:eastAsia="宋体" w:cs="宋体"/>
          <w:color w:val="auto"/>
          <w:kern w:val="0"/>
          <w:sz w:val="21"/>
          <w:szCs w:val="21"/>
          <w:highlight w:val="none"/>
          <w:u w:val="single"/>
          <w:lang w:bidi="ar"/>
        </w:rPr>
        <w:t>     （中型企业、小型企业、微型企业）</w:t>
      </w:r>
      <w:r>
        <w:rPr>
          <w:rFonts w:hint="eastAsia" w:ascii="宋体" w:hAnsi="宋体" w:eastAsia="宋体" w:cs="宋体"/>
          <w:color w:val="auto"/>
          <w:kern w:val="0"/>
          <w:sz w:val="21"/>
          <w:szCs w:val="21"/>
          <w:highlight w:val="none"/>
          <w:lang w:bidi="ar"/>
        </w:rPr>
        <w:t>；</w:t>
      </w:r>
    </w:p>
    <w:p w14:paraId="306DC132">
      <w:pPr>
        <w:widowControl/>
        <w:spacing w:before="100" w:beforeAutospacing="1" w:after="100" w:afterAutospacing="1" w:line="360" w:lineRule="auto"/>
        <w:ind w:firstLine="482"/>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w:t>
      </w:r>
    </w:p>
    <w:p w14:paraId="1FD6EB4D">
      <w:pPr>
        <w:widowControl/>
        <w:spacing w:before="100" w:beforeAutospacing="1" w:after="100" w:afterAutospacing="1" w:line="540" w:lineRule="exact"/>
        <w:ind w:firstLine="482"/>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以上企业，不属于大企业的分支机构，不存在控股股东为大企业的情形，也不存在与大企业的负责人为同一人的情形。</w:t>
      </w:r>
    </w:p>
    <w:p w14:paraId="1A7C8208">
      <w:pPr>
        <w:widowControl/>
        <w:spacing w:before="100" w:beforeAutospacing="1" w:after="100" w:afterAutospacing="1" w:line="540" w:lineRule="exact"/>
        <w:ind w:firstLine="482"/>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本企业对上述声明内容的真实性负责。如有虚假，将依法承担相应责任。</w:t>
      </w:r>
    </w:p>
    <w:p w14:paraId="7579CBD7">
      <w:pPr>
        <w:widowControl/>
        <w:spacing w:before="100" w:beforeAutospacing="1" w:after="100" w:afterAutospacing="1" w:line="540" w:lineRule="exact"/>
        <w:ind w:firstLine="5280"/>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企业名称（盖章）：</w:t>
      </w:r>
    </w:p>
    <w:p w14:paraId="3F21151B">
      <w:pPr>
        <w:widowControl/>
        <w:spacing w:before="100" w:beforeAutospacing="1" w:after="100" w:afterAutospacing="1" w:line="540" w:lineRule="exact"/>
        <w:ind w:firstLine="5280"/>
        <w:jc w:val="left"/>
        <w:rPr>
          <w:rFonts w:ascii="Times New Roman" w:hAnsi="Times New Roman" w:eastAsia="宋体" w:cs="Times New Roman"/>
          <w:color w:val="auto"/>
          <w:sz w:val="21"/>
          <w:szCs w:val="21"/>
          <w:highlight w:val="none"/>
        </w:rPr>
      </w:pPr>
      <w:r>
        <w:rPr>
          <w:rFonts w:hint="eastAsia" w:ascii="宋体" w:hAnsi="宋体" w:eastAsia="宋体" w:cs="宋体"/>
          <w:color w:val="auto"/>
          <w:kern w:val="0"/>
          <w:sz w:val="21"/>
          <w:szCs w:val="21"/>
          <w:highlight w:val="none"/>
          <w:lang w:bidi="ar"/>
        </w:rPr>
        <w:t>日 期：</w:t>
      </w:r>
    </w:p>
    <w:p w14:paraId="3A5DEEF4">
      <w:pPr>
        <w:widowControl/>
        <w:spacing w:before="100" w:beforeAutospacing="1" w:after="100" w:afterAutospacing="1" w:line="435" w:lineRule="atLeast"/>
        <w:jc w:val="left"/>
        <w:rPr>
          <w:rFonts w:ascii="Times New Roman" w:hAnsi="Times New Roman" w:eastAsia="宋体" w:cs="Times New Roman"/>
          <w:color w:val="auto"/>
          <w:szCs w:val="24"/>
          <w:highlight w:val="none"/>
        </w:rPr>
      </w:pPr>
      <w:r>
        <w:rPr>
          <w:rFonts w:hint="eastAsia" w:ascii="宋体" w:hAnsi="宋体" w:eastAsia="宋体" w:cs="宋体"/>
          <w:color w:val="auto"/>
          <w:kern w:val="0"/>
          <w:sz w:val="18"/>
          <w:szCs w:val="18"/>
          <w:highlight w:val="none"/>
          <w:vertAlign w:val="superscript"/>
          <w:lang w:bidi="ar"/>
        </w:rPr>
        <w:t>1</w:t>
      </w:r>
      <w:r>
        <w:rPr>
          <w:rFonts w:hint="eastAsia" w:ascii="宋体" w:hAnsi="宋体" w:eastAsia="宋体" w:cs="宋体"/>
          <w:color w:val="auto"/>
          <w:kern w:val="0"/>
          <w:sz w:val="18"/>
          <w:szCs w:val="18"/>
          <w:highlight w:val="none"/>
          <w:lang w:bidi="ar"/>
        </w:rPr>
        <w:t>从业人员、营业收入、资产总额填报上一年度数据，无上一年度数据的新成立企业可不填报。</w:t>
      </w:r>
    </w:p>
    <w:p w14:paraId="6AC77BF3">
      <w:pPr>
        <w:widowControl/>
        <w:adjustRightInd w:val="0"/>
        <w:snapToGrid w:val="0"/>
        <w:spacing w:line="360" w:lineRule="auto"/>
        <w:ind w:firstLine="444" w:firstLineChars="200"/>
        <w:jc w:val="center"/>
        <w:rPr>
          <w:rFonts w:hint="eastAsia" w:ascii="宋体" w:hAnsi="宋体" w:eastAsia="宋体" w:cs="宋体"/>
          <w:b/>
          <w:color w:val="auto"/>
          <w:spacing w:val="6"/>
          <w:kern w:val="0"/>
          <w:szCs w:val="21"/>
          <w:highlight w:val="none"/>
          <w:u w:val="single"/>
        </w:rPr>
      </w:pPr>
    </w:p>
    <w:p w14:paraId="13535266">
      <w:pPr>
        <w:keepNext/>
        <w:keepLines/>
        <w:widowControl w:val="0"/>
        <w:spacing w:before="280" w:after="290" w:line="376" w:lineRule="auto"/>
        <w:jc w:val="both"/>
        <w:outlineLvl w:val="3"/>
        <w:rPr>
          <w:rFonts w:hint="eastAsia" w:ascii="宋体" w:hAnsi="宋体" w:eastAsia="宋体" w:cs="宋体"/>
          <w:b w:val="0"/>
          <w:bCs/>
          <w:color w:val="auto"/>
          <w:spacing w:val="6"/>
          <w:kern w:val="2"/>
          <w:sz w:val="21"/>
          <w:szCs w:val="21"/>
          <w:highlight w:val="none"/>
          <w:lang w:val="en-US" w:eastAsia="zh-CN" w:bidi="ar-SA"/>
        </w:rPr>
      </w:pPr>
      <w:bookmarkStart w:id="148" w:name="_Toc29913972"/>
      <w:bookmarkStart w:id="149" w:name="_Toc1057"/>
      <w:bookmarkStart w:id="150" w:name="_Toc14005"/>
      <w:r>
        <w:rPr>
          <w:rFonts w:hint="eastAsia" w:ascii="宋体" w:hAnsi="宋体" w:eastAsia="宋体" w:cs="宋体"/>
          <w:b w:val="0"/>
          <w:bCs w:val="0"/>
          <w:color w:val="auto"/>
          <w:spacing w:val="6"/>
          <w:kern w:val="0"/>
          <w:sz w:val="21"/>
          <w:szCs w:val="21"/>
          <w:highlight w:val="none"/>
          <w:lang w:val="en-US" w:eastAsia="zh-CN" w:bidi="ar-SA"/>
        </w:rPr>
        <w:t xml:space="preserve">附件8-2 </w:t>
      </w:r>
      <w:r>
        <w:rPr>
          <w:rFonts w:hint="eastAsia" w:ascii="宋体" w:hAnsi="宋体" w:eastAsia="宋体" w:cs="宋体"/>
          <w:b w:val="0"/>
          <w:bCs/>
          <w:color w:val="auto"/>
          <w:spacing w:val="6"/>
          <w:kern w:val="2"/>
          <w:sz w:val="21"/>
          <w:szCs w:val="21"/>
          <w:highlight w:val="none"/>
          <w:lang w:val="en-US" w:eastAsia="zh-CN" w:bidi="ar-SA"/>
        </w:rPr>
        <w:t>残疾人福利性单位声明函</w:t>
      </w:r>
      <w:bookmarkEnd w:id="148"/>
      <w:bookmarkEnd w:id="149"/>
      <w:bookmarkEnd w:id="150"/>
    </w:p>
    <w:p w14:paraId="375032E9">
      <w:pPr>
        <w:widowControl w:val="0"/>
        <w:adjustRightInd w:val="0"/>
        <w:snapToGrid w:val="0"/>
        <w:spacing w:line="360" w:lineRule="auto"/>
        <w:jc w:val="center"/>
        <w:rPr>
          <w:rFonts w:hint="eastAsia" w:ascii="宋体" w:hAnsi="宋体" w:eastAsia="宋体" w:cs="宋体"/>
          <w:b/>
          <w:color w:val="auto"/>
          <w:spacing w:val="6"/>
          <w:sz w:val="28"/>
          <w:szCs w:val="28"/>
          <w:highlight w:val="none"/>
        </w:rPr>
      </w:pPr>
      <w:r>
        <w:rPr>
          <w:rFonts w:hint="eastAsia" w:ascii="宋体" w:hAnsi="宋体" w:eastAsia="宋体" w:cs="宋体"/>
          <w:b/>
          <w:color w:val="auto"/>
          <w:spacing w:val="6"/>
          <w:sz w:val="28"/>
          <w:szCs w:val="28"/>
          <w:highlight w:val="none"/>
        </w:rPr>
        <w:t>残疾人福利性单位声明函</w:t>
      </w:r>
    </w:p>
    <w:p w14:paraId="4775AA5A">
      <w:pPr>
        <w:widowControl w:val="0"/>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(不属于残疾人福利性单位的无需填写)</w:t>
      </w:r>
    </w:p>
    <w:p w14:paraId="2A5CB908">
      <w:pPr>
        <w:widowControl w:val="0"/>
        <w:adjustRightInd w:val="0"/>
        <w:snapToGrid w:val="0"/>
        <w:spacing w:line="360" w:lineRule="auto"/>
        <w:ind w:firstLine="444" w:firstLineChars="200"/>
        <w:rPr>
          <w:rFonts w:hint="eastAsia" w:ascii="宋体" w:hAnsi="宋体" w:eastAsia="宋体" w:cs="宋体"/>
          <w:color w:val="auto"/>
          <w:spacing w:val="6"/>
          <w:szCs w:val="21"/>
          <w:highlight w:val="none"/>
        </w:rPr>
      </w:pPr>
    </w:p>
    <w:p w14:paraId="54744AB1">
      <w:pPr>
        <w:widowControl w:val="0"/>
        <w:adjustRightInd w:val="0"/>
        <w:snapToGrid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eastAsia="宋体" w:cs="宋体"/>
          <w:color w:val="auto"/>
          <w:szCs w:val="21"/>
          <w:highlight w:val="none"/>
        </w:rPr>
        <w:t>〔2017〕141</w:t>
      </w:r>
      <w:r>
        <w:rPr>
          <w:rFonts w:hint="eastAsia" w:ascii="宋体" w:hAnsi="宋体" w:eastAsia="宋体" w:cs="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D6BF418">
      <w:pPr>
        <w:widowControl w:val="0"/>
        <w:adjustRightInd w:val="0"/>
        <w:snapToGrid w:val="0"/>
        <w:spacing w:line="360" w:lineRule="auto"/>
        <w:ind w:firstLine="444" w:firstLineChars="200"/>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本单位对上述声明的真实性负责。如有虚假，将依法承担相应责任。</w:t>
      </w:r>
    </w:p>
    <w:p w14:paraId="2ECF6278">
      <w:pPr>
        <w:widowControl w:val="0"/>
        <w:adjustRightInd w:val="0"/>
        <w:snapToGrid w:val="0"/>
        <w:spacing w:line="360" w:lineRule="auto"/>
        <w:ind w:firstLine="444" w:firstLineChars="200"/>
        <w:rPr>
          <w:rFonts w:hint="eastAsia" w:ascii="宋体" w:hAnsi="宋体" w:eastAsia="宋体" w:cs="宋体"/>
          <w:color w:val="auto"/>
          <w:spacing w:val="6"/>
          <w:szCs w:val="21"/>
          <w:highlight w:val="none"/>
        </w:rPr>
      </w:pPr>
    </w:p>
    <w:p w14:paraId="770C0DA1">
      <w:pPr>
        <w:widowControl w:val="0"/>
        <w:adjustRightInd w:val="0"/>
        <w:snapToGrid w:val="0"/>
        <w:spacing w:line="360" w:lineRule="auto"/>
        <w:ind w:firstLine="444" w:firstLineChars="200"/>
        <w:rPr>
          <w:rFonts w:hint="eastAsia" w:ascii="宋体" w:hAnsi="宋体" w:eastAsia="宋体" w:cs="宋体"/>
          <w:color w:val="auto"/>
          <w:spacing w:val="6"/>
          <w:szCs w:val="21"/>
          <w:highlight w:val="none"/>
        </w:rPr>
      </w:pPr>
    </w:p>
    <w:p w14:paraId="52FAD3D1">
      <w:pPr>
        <w:widowControl w:val="0"/>
        <w:tabs>
          <w:tab w:val="left" w:pos="4860"/>
        </w:tabs>
        <w:adjustRightInd w:val="0"/>
        <w:snapToGrid w:val="0"/>
        <w:spacing w:line="360" w:lineRule="auto"/>
        <w:ind w:right="1560" w:firstLine="444" w:firstLineChars="200"/>
        <w:jc w:val="center"/>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 xml:space="preserve">               单位名称（盖单位电子章）：</w:t>
      </w:r>
    </w:p>
    <w:p w14:paraId="0C8C320F">
      <w:pPr>
        <w:widowControl w:val="0"/>
        <w:tabs>
          <w:tab w:val="left" w:pos="4860"/>
        </w:tabs>
        <w:adjustRightInd w:val="0"/>
        <w:snapToGrid w:val="0"/>
        <w:spacing w:line="360" w:lineRule="auto"/>
        <w:ind w:right="1560" w:firstLine="444" w:firstLineChars="200"/>
        <w:jc w:val="center"/>
        <w:rPr>
          <w:rFonts w:hint="eastAsia" w:ascii="宋体" w:hAnsi="宋体" w:eastAsia="宋体" w:cs="宋体"/>
          <w:color w:val="auto"/>
          <w:spacing w:val="6"/>
          <w:szCs w:val="21"/>
          <w:highlight w:val="none"/>
        </w:rPr>
      </w:pPr>
      <w:r>
        <w:rPr>
          <w:rFonts w:hint="eastAsia" w:ascii="宋体" w:hAnsi="宋体" w:eastAsia="宋体" w:cs="宋体"/>
          <w:color w:val="auto"/>
          <w:spacing w:val="6"/>
          <w:szCs w:val="21"/>
          <w:highlight w:val="none"/>
        </w:rPr>
        <w:t xml:space="preserve">       日  期：</w:t>
      </w:r>
    </w:p>
    <w:p w14:paraId="75727922">
      <w:pPr>
        <w:widowControl/>
        <w:adjustRightInd w:val="0"/>
        <w:snapToGrid w:val="0"/>
        <w:spacing w:line="360" w:lineRule="auto"/>
        <w:jc w:val="left"/>
        <w:rPr>
          <w:rFonts w:hint="eastAsia" w:ascii="宋体" w:hAnsi="宋体" w:eastAsia="宋体" w:cs="宋体"/>
          <w:color w:val="auto"/>
          <w:kern w:val="0"/>
          <w:szCs w:val="21"/>
          <w:highlight w:val="none"/>
        </w:rPr>
      </w:pPr>
    </w:p>
    <w:p w14:paraId="28A3BA08">
      <w:pPr>
        <w:widowControl/>
        <w:jc w:val="left"/>
        <w:rPr>
          <w:rFonts w:hint="eastAsia" w:ascii="宋体" w:hAnsi="宋体" w:eastAsia="宋体" w:cs="宋体"/>
          <w:color w:val="auto"/>
          <w:spacing w:val="6"/>
          <w:kern w:val="0"/>
          <w:szCs w:val="21"/>
          <w:highlight w:val="none"/>
        </w:rPr>
      </w:pPr>
      <w:r>
        <w:rPr>
          <w:rFonts w:hint="eastAsia" w:ascii="宋体" w:hAnsi="宋体" w:eastAsia="宋体" w:cs="宋体"/>
          <w:b/>
          <w:bCs/>
          <w:color w:val="auto"/>
          <w:spacing w:val="6"/>
          <w:kern w:val="0"/>
          <w:szCs w:val="21"/>
          <w:highlight w:val="none"/>
        </w:rPr>
        <w:br w:type="page"/>
      </w:r>
    </w:p>
    <w:p w14:paraId="374A9D27">
      <w:pPr>
        <w:keepNext/>
        <w:keepLines/>
        <w:widowControl w:val="0"/>
        <w:spacing w:before="280" w:after="290" w:line="376" w:lineRule="auto"/>
        <w:jc w:val="both"/>
        <w:outlineLvl w:val="3"/>
        <w:rPr>
          <w:rFonts w:hint="eastAsia" w:ascii="宋体" w:hAnsi="宋体" w:eastAsia="宋体" w:cs="宋体"/>
          <w:b w:val="0"/>
          <w:bCs/>
          <w:color w:val="auto"/>
          <w:kern w:val="2"/>
          <w:sz w:val="21"/>
          <w:szCs w:val="21"/>
          <w:highlight w:val="none"/>
          <w:lang w:val="en-US" w:eastAsia="zh-CN" w:bidi="ar-SA"/>
        </w:rPr>
      </w:pPr>
      <w:bookmarkStart w:id="151" w:name="_Toc27688"/>
      <w:bookmarkStart w:id="152" w:name="_Toc29913973"/>
      <w:bookmarkStart w:id="153" w:name="_Toc18312"/>
      <w:r>
        <w:rPr>
          <w:rFonts w:hint="eastAsia" w:ascii="宋体" w:hAnsi="宋体" w:eastAsia="宋体" w:cs="宋体"/>
          <w:b w:val="0"/>
          <w:bCs/>
          <w:color w:val="auto"/>
          <w:kern w:val="0"/>
          <w:sz w:val="21"/>
          <w:szCs w:val="21"/>
          <w:highlight w:val="none"/>
          <w:lang w:val="en-US" w:eastAsia="zh-CN" w:bidi="ar-SA"/>
        </w:rPr>
        <w:t xml:space="preserve">附件8-3 </w:t>
      </w:r>
      <w:r>
        <w:rPr>
          <w:rFonts w:hint="eastAsia" w:ascii="宋体" w:hAnsi="宋体" w:eastAsia="宋体" w:cs="宋体"/>
          <w:b w:val="0"/>
          <w:bCs/>
          <w:color w:val="auto"/>
          <w:kern w:val="2"/>
          <w:sz w:val="21"/>
          <w:szCs w:val="21"/>
          <w:highlight w:val="none"/>
          <w:lang w:val="en-US" w:eastAsia="zh-CN" w:bidi="ar-SA"/>
        </w:rPr>
        <w:t>监狱企业证明资料</w:t>
      </w:r>
      <w:bookmarkEnd w:id="151"/>
      <w:bookmarkEnd w:id="152"/>
      <w:bookmarkEnd w:id="153"/>
    </w:p>
    <w:p w14:paraId="176D79C6">
      <w:pPr>
        <w:widowControl w:val="0"/>
        <w:adjustRightInd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监狱企业证明资料</w:t>
      </w:r>
    </w:p>
    <w:p w14:paraId="143D2D60">
      <w:pPr>
        <w:widowControl w:val="0"/>
        <w:adjustRightInd w:val="0"/>
        <w:snapToGrid w:val="0"/>
        <w:spacing w:line="360" w:lineRule="auto"/>
        <w:jc w:val="center"/>
        <w:rPr>
          <w:rFonts w:hint="eastAsia" w:ascii="宋体" w:hAnsi="宋体" w:eastAsia="宋体" w:cs="宋体"/>
          <w:b/>
          <w:color w:val="auto"/>
          <w:spacing w:val="6"/>
          <w:szCs w:val="21"/>
          <w:highlight w:val="none"/>
        </w:rPr>
      </w:pPr>
      <w:r>
        <w:rPr>
          <w:rFonts w:hint="eastAsia" w:ascii="宋体" w:hAnsi="宋体" w:eastAsia="宋体" w:cs="宋体"/>
          <w:b/>
          <w:color w:val="auto"/>
          <w:spacing w:val="6"/>
          <w:szCs w:val="21"/>
          <w:highlight w:val="none"/>
        </w:rPr>
        <w:t>(不属于监狱企业的无需提供)</w:t>
      </w:r>
    </w:p>
    <w:p w14:paraId="1C03DDCB">
      <w:pPr>
        <w:widowControl w:val="0"/>
        <w:adjustRightInd w:val="0"/>
        <w:snapToGrid w:val="0"/>
        <w:spacing w:line="360" w:lineRule="auto"/>
        <w:rPr>
          <w:rFonts w:hint="eastAsia" w:ascii="宋体" w:hAnsi="宋体" w:eastAsia="宋体" w:cs="宋体"/>
          <w:color w:val="auto"/>
          <w:szCs w:val="21"/>
          <w:highlight w:val="none"/>
        </w:rPr>
      </w:pPr>
    </w:p>
    <w:p w14:paraId="37130A9E">
      <w:pPr>
        <w:widowControl w:val="0"/>
        <w:adjustRightInd w:val="0"/>
        <w:snapToGrid w:val="0"/>
        <w:spacing w:line="360" w:lineRule="auto"/>
        <w:ind w:firstLine="444" w:firstLineChars="200"/>
        <w:rPr>
          <w:rFonts w:hint="eastAsia" w:ascii="宋体" w:hAnsi="宋体" w:eastAsia="宋体" w:cs="宋体"/>
          <w:color w:val="auto"/>
          <w:szCs w:val="21"/>
          <w:highlight w:val="none"/>
        </w:rPr>
      </w:pPr>
      <w:r>
        <w:rPr>
          <w:rFonts w:hint="eastAsia" w:ascii="宋体" w:hAnsi="宋体" w:eastAsia="宋体" w:cs="宋体"/>
          <w:bCs/>
          <w:color w:val="auto"/>
          <w:spacing w:val="6"/>
          <w:kern w:val="0"/>
          <w:szCs w:val="21"/>
          <w:highlight w:val="none"/>
        </w:rPr>
        <w:t>备注：</w:t>
      </w:r>
      <w:r>
        <w:rPr>
          <w:rFonts w:hint="eastAsia" w:ascii="宋体" w:hAnsi="宋体" w:eastAsia="宋体" w:cs="宋体"/>
          <w:color w:val="auto"/>
          <w:szCs w:val="21"/>
          <w:highlight w:val="none"/>
        </w:rPr>
        <w:t>按</w:t>
      </w:r>
      <w:r>
        <w:rPr>
          <w:rFonts w:hint="eastAsia" w:ascii="宋体" w:hAnsi="宋体" w:eastAsia="宋体" w:cs="宋体"/>
          <w:color w:val="auto"/>
          <w:spacing w:val="6"/>
          <w:szCs w:val="21"/>
          <w:highlight w:val="none"/>
        </w:rPr>
        <w:t>《</w:t>
      </w:r>
      <w:r>
        <w:rPr>
          <w:rFonts w:hint="eastAsia" w:ascii="宋体" w:hAnsi="宋体" w:eastAsia="宋体" w:cs="宋体"/>
          <w:color w:val="auto"/>
          <w:szCs w:val="21"/>
          <w:highlight w:val="none"/>
        </w:rPr>
        <w:t>财政部 司法部关于政府采购支持监狱企业发展有关问题的通知</w:t>
      </w:r>
      <w:r>
        <w:rPr>
          <w:rFonts w:hint="eastAsia" w:ascii="宋体" w:hAnsi="宋体" w:eastAsia="宋体" w:cs="宋体"/>
          <w:color w:val="auto"/>
          <w:spacing w:val="6"/>
          <w:szCs w:val="21"/>
          <w:highlight w:val="none"/>
        </w:rPr>
        <w:t>》</w:t>
      </w:r>
      <w:r>
        <w:rPr>
          <w:rFonts w:hint="eastAsia" w:ascii="宋体" w:hAnsi="宋体" w:eastAsia="宋体" w:cs="宋体"/>
          <w:color w:val="auto"/>
          <w:szCs w:val="21"/>
          <w:highlight w:val="none"/>
        </w:rPr>
        <w:t>(财库〔2014〕68号)文件规定提供证明文件（复印件）。</w:t>
      </w:r>
    </w:p>
    <w:p w14:paraId="2EE00341">
      <w:pPr>
        <w:widowControl w:val="0"/>
        <w:adjustRightInd w:val="0"/>
        <w:snapToGrid w:val="0"/>
        <w:spacing w:line="360" w:lineRule="auto"/>
        <w:rPr>
          <w:rFonts w:hint="eastAsia" w:ascii="宋体" w:hAnsi="宋体" w:eastAsia="宋体" w:cs="宋体"/>
          <w:bCs/>
          <w:color w:val="auto"/>
          <w:spacing w:val="6"/>
          <w:kern w:val="0"/>
          <w:szCs w:val="21"/>
          <w:highlight w:val="none"/>
        </w:rPr>
      </w:pPr>
    </w:p>
    <w:p w14:paraId="23C72CA9">
      <w:pPr>
        <w:widowControl w:val="0"/>
        <w:ind w:firstLine="420" w:firstLineChars="200"/>
        <w:jc w:val="both"/>
        <w:rPr>
          <w:rFonts w:hint="default" w:ascii="宋体" w:hAnsi="宋体" w:eastAsia="宋体" w:cs="Times New Roman"/>
          <w:iCs/>
          <w:color w:val="auto"/>
          <w:kern w:val="2"/>
          <w:sz w:val="21"/>
          <w:szCs w:val="21"/>
          <w:highlight w:val="none"/>
          <w:lang w:val="en-US" w:eastAsia="zh-CN" w:bidi="ar-SA"/>
        </w:rPr>
      </w:pPr>
    </w:p>
    <w:p w14:paraId="68C41F1E">
      <w:pPr>
        <w:widowControl w:val="0"/>
        <w:ind w:firstLine="420" w:firstLineChars="200"/>
        <w:jc w:val="both"/>
        <w:rPr>
          <w:rFonts w:hint="eastAsia" w:ascii="Times New Roman" w:hAnsi="Times New Roman" w:eastAsia="宋体" w:cs="Times New Roman"/>
          <w:color w:val="auto"/>
          <w:kern w:val="2"/>
          <w:sz w:val="21"/>
          <w:szCs w:val="21"/>
          <w:highlight w:val="none"/>
          <w:lang w:val="en-US" w:eastAsia="zh-CN" w:bidi="ar-SA"/>
        </w:rPr>
      </w:pPr>
    </w:p>
    <w:p w14:paraId="68F97671">
      <w:pPr>
        <w:widowControl/>
        <w:spacing w:before="156" w:beforeLines="50" w:line="360" w:lineRule="auto"/>
        <w:ind w:firstLine="420" w:firstLineChars="200"/>
        <w:jc w:val="left"/>
        <w:rPr>
          <w:rFonts w:ascii="宋体" w:hAnsi="宋体" w:eastAsia="宋体" w:cs="宋体"/>
          <w:color w:val="auto"/>
          <w:szCs w:val="21"/>
          <w:highlight w:val="none"/>
        </w:rPr>
      </w:pPr>
    </w:p>
    <w:p w14:paraId="4D8211D6">
      <w:pPr>
        <w:widowControl/>
        <w:spacing w:before="156" w:beforeLines="50" w:line="360" w:lineRule="auto"/>
        <w:ind w:firstLine="420" w:firstLineChars="200"/>
        <w:jc w:val="left"/>
        <w:rPr>
          <w:rFonts w:ascii="宋体" w:hAnsi="宋体" w:eastAsia="宋体" w:cs="宋体"/>
          <w:color w:val="auto"/>
          <w:szCs w:val="21"/>
          <w:highlight w:val="none"/>
        </w:rPr>
      </w:pPr>
    </w:p>
    <w:p w14:paraId="505563A2">
      <w:pPr>
        <w:adjustRightInd w:val="0"/>
        <w:snapToGrid w:val="0"/>
        <w:spacing w:line="360" w:lineRule="auto"/>
        <w:ind w:firstLine="420" w:firstLineChars="200"/>
        <w:rPr>
          <w:rFonts w:ascii="宋体" w:hAnsi="宋体"/>
          <w:color w:val="auto"/>
          <w:szCs w:val="21"/>
          <w:highlight w:val="none"/>
        </w:rPr>
        <w:sectPr>
          <w:pgSz w:w="11906" w:h="16838"/>
          <w:pgMar w:top="1418" w:right="1418" w:bottom="1134" w:left="1418" w:header="851" w:footer="992" w:gutter="0"/>
          <w:pgNumType w:fmt="decimal"/>
          <w:cols w:space="720" w:num="1"/>
          <w:docGrid w:type="linesAndChars" w:linePitch="312" w:charSpace="0"/>
        </w:sectPr>
      </w:pPr>
    </w:p>
    <w:p w14:paraId="22BB28D7">
      <w:pPr>
        <w:keepNext/>
        <w:keepLines/>
        <w:widowControl w:val="0"/>
        <w:spacing w:line="360" w:lineRule="auto"/>
        <w:jc w:val="center"/>
        <w:outlineLvl w:val="1"/>
        <w:rPr>
          <w:rFonts w:ascii="黑体" w:hAnsi="黑体" w:eastAsia="黑体" w:cs="Times New Roman"/>
          <w:b/>
          <w:bCs/>
          <w:color w:val="auto"/>
          <w:sz w:val="28"/>
          <w:szCs w:val="28"/>
          <w:highlight w:val="none"/>
        </w:rPr>
      </w:pPr>
      <w:bookmarkStart w:id="154" w:name="_Toc15988"/>
      <w:bookmarkStart w:id="155" w:name="_Toc9321"/>
      <w:bookmarkStart w:id="156" w:name="_Toc107998055"/>
      <w:r>
        <w:rPr>
          <w:rFonts w:hint="eastAsia" w:ascii="黑体" w:hAnsi="黑体" w:eastAsia="黑体" w:cs="Times New Roman"/>
          <w:b/>
          <w:bCs/>
          <w:color w:val="auto"/>
          <w:sz w:val="28"/>
          <w:szCs w:val="28"/>
          <w:highlight w:val="none"/>
          <w:lang w:val="en-US" w:eastAsia="zh-CN"/>
        </w:rPr>
        <w:t>九</w:t>
      </w:r>
      <w:r>
        <w:rPr>
          <w:rFonts w:hint="eastAsia" w:ascii="黑体" w:hAnsi="黑体" w:eastAsia="黑体" w:cs="Times New Roman"/>
          <w:b/>
          <w:bCs/>
          <w:color w:val="auto"/>
          <w:sz w:val="28"/>
          <w:szCs w:val="28"/>
          <w:highlight w:val="none"/>
        </w:rPr>
        <w:t>、响应标的符合</w:t>
      </w:r>
      <w:r>
        <w:rPr>
          <w:rFonts w:hint="eastAsia" w:ascii="黑体" w:hAnsi="黑体" w:eastAsia="黑体" w:cs="Times New Roman"/>
          <w:b/>
          <w:bCs/>
          <w:color w:val="auto"/>
          <w:sz w:val="28"/>
          <w:szCs w:val="28"/>
          <w:highlight w:val="none"/>
          <w:lang w:eastAsia="zh-CN"/>
        </w:rPr>
        <w:t>磋商</w:t>
      </w:r>
      <w:r>
        <w:rPr>
          <w:rFonts w:hint="eastAsia" w:ascii="黑体" w:hAnsi="黑体" w:eastAsia="黑体" w:cs="Times New Roman"/>
          <w:b/>
          <w:bCs/>
          <w:color w:val="auto"/>
          <w:sz w:val="28"/>
          <w:szCs w:val="28"/>
          <w:highlight w:val="none"/>
        </w:rPr>
        <w:t>文件规定的证明文件</w:t>
      </w:r>
      <w:bookmarkEnd w:id="154"/>
      <w:bookmarkEnd w:id="155"/>
      <w:bookmarkEnd w:id="156"/>
    </w:p>
    <w:p w14:paraId="2B77956B">
      <w:pPr>
        <w:widowControl w:val="0"/>
        <w:adjustRightInd w:val="0"/>
        <w:snapToGrid w:val="0"/>
        <w:spacing w:line="360" w:lineRule="auto"/>
        <w:rPr>
          <w:rFonts w:ascii="宋体" w:hAnsi="宋体" w:eastAsia="宋体" w:cs="Times New Roman"/>
          <w:color w:val="auto"/>
          <w:szCs w:val="21"/>
          <w:highlight w:val="none"/>
        </w:rPr>
      </w:pPr>
    </w:p>
    <w:p w14:paraId="44375AD9">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注：提供第三章规定的证明材料复印件。</w:t>
      </w:r>
    </w:p>
    <w:p w14:paraId="13A86264">
      <w:pPr>
        <w:adjustRightInd w:val="0"/>
        <w:snapToGrid w:val="0"/>
        <w:spacing w:line="360" w:lineRule="auto"/>
        <w:rPr>
          <w:rFonts w:ascii="宋体" w:hAnsi="宋体"/>
          <w:color w:val="auto"/>
          <w:highlight w:val="none"/>
        </w:rPr>
        <w:sectPr>
          <w:pgSz w:w="11906" w:h="16838"/>
          <w:pgMar w:top="1418" w:right="1418" w:bottom="1134" w:left="1418" w:header="851" w:footer="992" w:gutter="0"/>
          <w:pgNumType w:fmt="decimal"/>
          <w:cols w:space="720" w:num="1"/>
          <w:docGrid w:type="linesAndChars" w:linePitch="312" w:charSpace="0"/>
        </w:sectPr>
      </w:pPr>
    </w:p>
    <w:p w14:paraId="670BF989">
      <w:pPr>
        <w:keepNext/>
        <w:keepLines/>
        <w:widowControl w:val="0"/>
        <w:spacing w:line="360" w:lineRule="auto"/>
        <w:jc w:val="center"/>
        <w:outlineLvl w:val="1"/>
        <w:rPr>
          <w:rFonts w:ascii="黑体" w:hAnsi="黑体" w:eastAsia="黑体" w:cs="Times New Roman"/>
          <w:b/>
          <w:bCs/>
          <w:color w:val="auto"/>
          <w:sz w:val="28"/>
          <w:szCs w:val="28"/>
          <w:highlight w:val="none"/>
        </w:rPr>
      </w:pPr>
      <w:bookmarkStart w:id="157" w:name="_Toc142"/>
      <w:bookmarkStart w:id="158" w:name="_Toc107998056"/>
      <w:bookmarkStart w:id="159" w:name="_Toc25968"/>
      <w:r>
        <w:rPr>
          <w:rFonts w:hint="eastAsia" w:ascii="黑体" w:hAnsi="黑体" w:eastAsia="黑体" w:cs="Times New Roman"/>
          <w:b/>
          <w:bCs/>
          <w:color w:val="auto"/>
          <w:sz w:val="28"/>
          <w:szCs w:val="28"/>
          <w:highlight w:val="none"/>
        </w:rPr>
        <w:t>十、供应商认为需提供的其他资料</w:t>
      </w:r>
      <w:bookmarkEnd w:id="157"/>
      <w:bookmarkEnd w:id="158"/>
      <w:bookmarkEnd w:id="159"/>
    </w:p>
    <w:p w14:paraId="30BDB6FD">
      <w:pPr>
        <w:widowControl w:val="0"/>
        <w:adjustRightInd w:val="0"/>
        <w:snapToGrid w:val="0"/>
        <w:spacing w:before="156" w:beforeLines="50" w:line="360" w:lineRule="auto"/>
        <w:rPr>
          <w:rFonts w:ascii="宋体" w:hAnsi="宋体" w:eastAsia="宋体" w:cs="Times New Roman"/>
          <w:color w:val="auto"/>
          <w:highlight w:val="none"/>
        </w:rPr>
      </w:pPr>
    </w:p>
    <w:p w14:paraId="5A5D3C3A">
      <w:pPr>
        <w:widowControl w:val="0"/>
        <w:adjustRightInd w:val="0"/>
        <w:snapToGrid w:val="0"/>
        <w:spacing w:before="156" w:beforeLines="50" w:line="360" w:lineRule="auto"/>
        <w:rPr>
          <w:rFonts w:ascii="宋体" w:hAnsi="宋体" w:eastAsia="宋体" w:cs="Times New Roman"/>
          <w:color w:val="auto"/>
          <w:highlight w:val="none"/>
        </w:rPr>
      </w:pPr>
      <w:r>
        <w:rPr>
          <w:rFonts w:hint="eastAsia" w:ascii="宋体" w:hAnsi="宋体" w:eastAsia="宋体" w:cs="Times New Roman"/>
          <w:color w:val="auto"/>
          <w:highlight w:val="none"/>
        </w:rPr>
        <w:t>注：供应商认为需提供的其他资料包括：</w:t>
      </w:r>
    </w:p>
    <w:p w14:paraId="407CF1CE">
      <w:pPr>
        <w:widowControl w:val="0"/>
        <w:adjustRightInd w:val="0"/>
        <w:snapToGrid w:val="0"/>
        <w:spacing w:before="156" w:beforeLines="50" w:line="360" w:lineRule="auto"/>
        <w:ind w:firstLine="420" w:firstLineChars="200"/>
        <w:rPr>
          <w:rFonts w:ascii="宋体" w:hAnsi="宋体" w:eastAsia="宋体" w:cs="Times New Roman"/>
          <w:color w:val="auto"/>
          <w:highlight w:val="none"/>
        </w:rPr>
      </w:pPr>
      <w:r>
        <w:rPr>
          <w:rFonts w:hint="eastAsia" w:ascii="宋体" w:hAnsi="宋体" w:eastAsia="宋体" w:cs="Times New Roman"/>
          <w:color w:val="auto"/>
          <w:highlight w:val="none"/>
        </w:rPr>
        <w:t>1.</w:t>
      </w:r>
      <w:r>
        <w:rPr>
          <w:rFonts w:hint="eastAsia" w:ascii="宋体" w:hAnsi="宋体" w:eastAsia="宋体" w:cs="Times New Roman"/>
          <w:color w:val="auto"/>
          <w:highlight w:val="none"/>
          <w:lang w:eastAsia="zh-CN"/>
        </w:rPr>
        <w:t>磋商</w:t>
      </w:r>
      <w:r>
        <w:rPr>
          <w:rFonts w:hint="eastAsia" w:ascii="宋体" w:hAnsi="宋体" w:eastAsia="宋体" w:cs="Times New Roman"/>
          <w:color w:val="auto"/>
          <w:highlight w:val="none"/>
        </w:rPr>
        <w:t>文件第三章采购需求要求的其他资料；</w:t>
      </w:r>
    </w:p>
    <w:p w14:paraId="2AE6BC8B">
      <w:pPr>
        <w:widowControl w:val="0"/>
        <w:adjustRightInd w:val="0"/>
        <w:snapToGrid w:val="0"/>
        <w:spacing w:before="156" w:beforeLines="50" w:line="360" w:lineRule="auto"/>
        <w:ind w:firstLine="420" w:firstLineChars="200"/>
        <w:rPr>
          <w:rFonts w:ascii="宋体" w:hAnsi="宋体" w:eastAsia="宋体" w:cs="Times New Roman"/>
          <w:color w:val="auto"/>
          <w:highlight w:val="none"/>
        </w:rPr>
      </w:pPr>
      <w:r>
        <w:rPr>
          <w:rFonts w:hint="eastAsia" w:ascii="宋体" w:hAnsi="宋体" w:eastAsia="宋体" w:cs="Times New Roman"/>
          <w:color w:val="auto"/>
          <w:highlight w:val="none"/>
        </w:rPr>
        <w:t>2.</w:t>
      </w:r>
      <w:r>
        <w:rPr>
          <w:rFonts w:hint="eastAsia" w:ascii="宋体" w:hAnsi="宋体" w:eastAsia="宋体" w:cs="Times New Roman"/>
          <w:color w:val="auto"/>
          <w:highlight w:val="none"/>
          <w:lang w:eastAsia="zh-CN"/>
        </w:rPr>
        <w:t>磋商</w:t>
      </w:r>
      <w:r>
        <w:rPr>
          <w:rFonts w:hint="eastAsia" w:ascii="宋体" w:hAnsi="宋体" w:eastAsia="宋体" w:cs="Times New Roman"/>
          <w:color w:val="auto"/>
          <w:highlight w:val="none"/>
        </w:rPr>
        <w:t>文件要求的其他相关资料。</w:t>
      </w:r>
    </w:p>
    <w:p w14:paraId="48D5FB55">
      <w:pPr>
        <w:adjustRightInd w:val="0"/>
        <w:snapToGrid w:val="0"/>
        <w:spacing w:before="156" w:beforeLines="50" w:line="360" w:lineRule="auto"/>
        <w:rPr>
          <w:rFonts w:ascii="宋体" w:hAnsi="宋体"/>
          <w:color w:val="auto"/>
          <w:highlight w:val="none"/>
        </w:rPr>
        <w:sectPr>
          <w:pgSz w:w="11906" w:h="16838"/>
          <w:pgMar w:top="1418" w:right="1418" w:bottom="1134" w:left="1418" w:header="851" w:footer="992" w:gutter="0"/>
          <w:pgNumType w:fmt="decimal"/>
          <w:cols w:space="720" w:num="1"/>
          <w:docGrid w:type="linesAndChars" w:linePitch="312" w:charSpace="0"/>
        </w:sectPr>
      </w:pPr>
    </w:p>
    <w:p w14:paraId="1DB4C3A2">
      <w:pPr>
        <w:keepNext/>
        <w:keepLines/>
        <w:widowControl w:val="0"/>
        <w:spacing w:line="360" w:lineRule="auto"/>
        <w:jc w:val="center"/>
        <w:outlineLvl w:val="1"/>
        <w:rPr>
          <w:rFonts w:hint="eastAsia" w:ascii="黑体" w:hAnsi="黑体" w:eastAsia="黑体" w:cs="Times New Roman"/>
          <w:b/>
          <w:bCs/>
          <w:color w:val="auto"/>
          <w:sz w:val="28"/>
          <w:szCs w:val="28"/>
          <w:highlight w:val="none"/>
        </w:rPr>
      </w:pPr>
      <w:bookmarkStart w:id="160" w:name="_Toc107998057"/>
      <w:bookmarkStart w:id="161" w:name="_Toc31140"/>
      <w:bookmarkStart w:id="162" w:name="_Toc1081"/>
      <w:r>
        <w:rPr>
          <w:rFonts w:hint="eastAsia" w:ascii="黑体" w:hAnsi="黑体" w:eastAsia="黑体" w:cs="Times New Roman"/>
          <w:b/>
          <w:bCs/>
          <w:color w:val="auto"/>
          <w:sz w:val="28"/>
          <w:szCs w:val="28"/>
          <w:highlight w:val="none"/>
        </w:rPr>
        <w:t>十</w:t>
      </w:r>
      <w:r>
        <w:rPr>
          <w:rFonts w:hint="eastAsia" w:ascii="黑体" w:hAnsi="黑体" w:eastAsia="黑体" w:cs="Times New Roman"/>
          <w:b/>
          <w:bCs/>
          <w:color w:val="auto"/>
          <w:sz w:val="28"/>
          <w:szCs w:val="28"/>
          <w:highlight w:val="none"/>
          <w:lang w:val="en-US" w:eastAsia="zh-CN"/>
        </w:rPr>
        <w:t>一</w:t>
      </w:r>
      <w:r>
        <w:rPr>
          <w:rFonts w:hint="eastAsia" w:ascii="黑体" w:hAnsi="黑体" w:eastAsia="黑体" w:cs="Times New Roman"/>
          <w:b/>
          <w:bCs/>
          <w:color w:val="auto"/>
          <w:sz w:val="28"/>
          <w:szCs w:val="28"/>
          <w:highlight w:val="none"/>
        </w:rPr>
        <w:t>、最后报价</w:t>
      </w:r>
      <w:bookmarkEnd w:id="160"/>
      <w:bookmarkEnd w:id="161"/>
      <w:bookmarkEnd w:id="162"/>
    </w:p>
    <w:p w14:paraId="2694A5DD">
      <w:pPr>
        <w:widowControl w:val="0"/>
        <w:adjustRightInd w:val="0"/>
        <w:snapToGrid w:val="0"/>
        <w:spacing w:line="360" w:lineRule="auto"/>
        <w:rPr>
          <w:rFonts w:ascii="宋体" w:hAnsi="宋体" w:eastAsia="宋体" w:cs="Times New Roman"/>
          <w:color w:val="auto"/>
          <w:szCs w:val="21"/>
          <w:highlight w:val="none"/>
        </w:rPr>
      </w:pPr>
    </w:p>
    <w:p w14:paraId="27160B5B">
      <w:pPr>
        <w:keepNext/>
        <w:keepLines/>
        <w:widowControl w:val="0"/>
        <w:adjustRightInd w:val="0"/>
        <w:snapToGrid w:val="0"/>
        <w:spacing w:before="156" w:beforeLines="50" w:line="360" w:lineRule="auto"/>
        <w:outlineLvl w:val="2"/>
        <w:rPr>
          <w:rFonts w:ascii="宋体" w:hAnsi="宋体" w:eastAsia="宋体" w:cs="Times New Roman"/>
          <w:b/>
          <w:bCs/>
          <w:color w:val="auto"/>
          <w:szCs w:val="21"/>
          <w:highlight w:val="none"/>
        </w:rPr>
      </w:pPr>
      <w:bookmarkStart w:id="163" w:name="_Toc31330"/>
      <w:bookmarkStart w:id="164" w:name="_Toc107998058"/>
      <w:bookmarkStart w:id="165" w:name="_Toc108015410"/>
      <w:r>
        <w:rPr>
          <w:rFonts w:hint="eastAsia" w:ascii="宋体" w:hAnsi="宋体" w:eastAsia="宋体" w:cs="Times New Roman"/>
          <w:b/>
          <w:bCs/>
          <w:color w:val="auto"/>
          <w:szCs w:val="21"/>
          <w:highlight w:val="none"/>
        </w:rPr>
        <w:t>附件</w:t>
      </w:r>
      <w:r>
        <w:rPr>
          <w:rFonts w:ascii="宋体" w:hAnsi="宋体" w:eastAsia="宋体" w:cs="Times New Roman"/>
          <w:b/>
          <w:bCs/>
          <w:color w:val="auto"/>
          <w:szCs w:val="21"/>
          <w:highlight w:val="none"/>
        </w:rPr>
        <w:t>1</w:t>
      </w:r>
      <w:r>
        <w:rPr>
          <w:rFonts w:hint="eastAsia" w:ascii="宋体" w:hAnsi="宋体" w:cs="Times New Roman"/>
          <w:b/>
          <w:bCs/>
          <w:color w:val="auto"/>
          <w:szCs w:val="21"/>
          <w:highlight w:val="none"/>
          <w:lang w:val="en-US" w:eastAsia="zh-CN"/>
        </w:rPr>
        <w:t>1</w:t>
      </w:r>
      <w:r>
        <w:rPr>
          <w:rFonts w:hint="eastAsia" w:ascii="宋体" w:hAnsi="宋体" w:eastAsia="宋体" w:cs="Times New Roman"/>
          <w:b/>
          <w:bCs/>
          <w:color w:val="auto"/>
          <w:szCs w:val="21"/>
          <w:highlight w:val="none"/>
        </w:rPr>
        <w:t>-1 报价表</w:t>
      </w:r>
      <w:bookmarkEnd w:id="163"/>
      <w:bookmarkEnd w:id="164"/>
      <w:bookmarkEnd w:id="165"/>
    </w:p>
    <w:p w14:paraId="2394D6F2">
      <w:pPr>
        <w:widowControl w:val="0"/>
        <w:tabs>
          <w:tab w:val="left" w:pos="1680"/>
        </w:tabs>
        <w:adjustRightInd w:val="0"/>
        <w:snapToGrid w:val="0"/>
        <w:spacing w:line="360" w:lineRule="auto"/>
        <w:jc w:val="center"/>
        <w:rPr>
          <w:rFonts w:ascii="宋体" w:hAnsi="宋体" w:eastAsia="宋体" w:cs="宋体"/>
          <w:b/>
          <w:color w:val="auto"/>
          <w:sz w:val="30"/>
          <w:szCs w:val="30"/>
          <w:highlight w:val="none"/>
        </w:rPr>
      </w:pPr>
      <w:r>
        <w:rPr>
          <w:rFonts w:hint="eastAsia" w:ascii="宋体" w:hAnsi="宋体" w:eastAsia="宋体" w:cs="宋体"/>
          <w:b/>
          <w:color w:val="auto"/>
          <w:sz w:val="30"/>
          <w:szCs w:val="30"/>
          <w:highlight w:val="none"/>
        </w:rPr>
        <w:t>报价表（最后报价）</w:t>
      </w:r>
    </w:p>
    <w:p w14:paraId="13458D14">
      <w:pPr>
        <w:widowControl w:val="0"/>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政府采购计划编号：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w:t>
      </w:r>
      <w:r>
        <w:rPr>
          <w:rFonts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rPr>
        <w:t>项目名称：</w:t>
      </w:r>
      <w:r>
        <w:rPr>
          <w:rFonts w:hint="eastAsia" w:ascii="宋体" w:hAnsi="宋体" w:eastAsia="宋体" w:cs="Times New Roman"/>
          <w:color w:val="auto"/>
          <w:szCs w:val="21"/>
          <w:highlight w:val="none"/>
          <w:u w:val="single"/>
        </w:rPr>
        <w:t xml:space="preserve">                   </w:t>
      </w:r>
    </w:p>
    <w:p w14:paraId="69700287">
      <w:pPr>
        <w:widowControl w:val="0"/>
        <w:adjustRightInd w:val="0"/>
        <w:snapToGrid w:val="0"/>
        <w:spacing w:before="156" w:beforeLines="50" w:line="360" w:lineRule="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包号：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包名称：</w:t>
      </w:r>
      <w:r>
        <w:rPr>
          <w:rFonts w:hint="eastAsia" w:ascii="宋体" w:hAnsi="宋体" w:eastAsia="宋体" w:cs="Times New Roman"/>
          <w:color w:val="auto"/>
          <w:szCs w:val="21"/>
          <w:highlight w:val="none"/>
          <w:u w:val="single"/>
        </w:rPr>
        <w:t xml:space="preserve">                     </w:t>
      </w:r>
    </w:p>
    <w:tbl>
      <w:tblPr>
        <w:tblStyle w:val="2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6C80CA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39E4849F">
            <w:pPr>
              <w:widowControl w:val="0"/>
              <w:adjustRightInd w:val="0"/>
              <w:snapToGrid w:val="0"/>
              <w:spacing w:before="156" w:beforeLines="50" w:line="360" w:lineRule="auto"/>
              <w:jc w:val="center"/>
              <w:rPr>
                <w:rFonts w:ascii="宋体" w:hAnsi="宋体" w:eastAsia="宋体" w:cs="Times New Roman"/>
                <w:b/>
                <w:color w:val="auto"/>
                <w:kern w:val="0"/>
                <w:sz w:val="20"/>
                <w:szCs w:val="21"/>
                <w:highlight w:val="none"/>
              </w:rPr>
            </w:pPr>
            <w:r>
              <w:rPr>
                <w:rFonts w:hint="eastAsia" w:ascii="宋体" w:hAnsi="宋体" w:eastAsia="宋体" w:cs="Times New Roman"/>
                <w:b/>
                <w:color w:val="auto"/>
                <w:kern w:val="0"/>
                <w:szCs w:val="21"/>
                <w:highlight w:val="none"/>
              </w:rPr>
              <w:t>报价</w:t>
            </w:r>
          </w:p>
        </w:tc>
        <w:tc>
          <w:tcPr>
            <w:tcW w:w="3119" w:type="dxa"/>
            <w:noWrap w:val="0"/>
            <w:vAlign w:val="center"/>
          </w:tcPr>
          <w:p w14:paraId="1FDF7C8D">
            <w:pPr>
              <w:widowControl w:val="0"/>
              <w:adjustRightInd w:val="0"/>
              <w:snapToGrid w:val="0"/>
              <w:spacing w:before="156" w:beforeLines="50" w:line="360" w:lineRule="auto"/>
              <w:jc w:val="center"/>
              <w:rPr>
                <w:rFonts w:ascii="宋体" w:hAnsi="宋体" w:eastAsia="宋体" w:cs="Times New Roman"/>
                <w:b/>
                <w:color w:val="auto"/>
                <w:kern w:val="0"/>
                <w:szCs w:val="21"/>
                <w:highlight w:val="none"/>
              </w:rPr>
            </w:pPr>
            <w:r>
              <w:rPr>
                <w:rFonts w:hint="eastAsia" w:ascii="宋体" w:hAnsi="宋体" w:eastAsia="宋体" w:cs="Times New Roman"/>
                <w:b/>
                <w:color w:val="auto"/>
                <w:kern w:val="0"/>
                <w:szCs w:val="21"/>
                <w:highlight w:val="none"/>
              </w:rPr>
              <w:t>其他内容</w:t>
            </w:r>
          </w:p>
        </w:tc>
      </w:tr>
      <w:tr w14:paraId="308BA9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4EEB6431">
            <w:pPr>
              <w:widowControl w:val="0"/>
              <w:adjustRightInd w:val="0"/>
              <w:snapToGrid w:val="0"/>
              <w:spacing w:before="156" w:beforeLines="50" w:line="360" w:lineRule="auto"/>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小写金额：</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w:t>
            </w:r>
            <w:r>
              <w:rPr>
                <w:rFonts w:hint="eastAsia" w:ascii="宋体" w:hAnsi="宋体" w:eastAsia="宋体" w:cs="Times New Roman"/>
                <w:color w:val="auto"/>
                <w:kern w:val="0"/>
                <w:sz w:val="20"/>
                <w:szCs w:val="21"/>
                <w:highlight w:val="none"/>
              </w:rPr>
              <w:t>人民币元</w:t>
            </w:r>
            <w:r>
              <w:rPr>
                <w:rFonts w:hint="eastAsia" w:ascii="宋体" w:hAnsi="宋体" w:eastAsia="宋体" w:cs="Times New Roman"/>
                <w:color w:val="auto"/>
                <w:kern w:val="0"/>
                <w:szCs w:val="21"/>
                <w:highlight w:val="none"/>
              </w:rPr>
              <w:t>）</w:t>
            </w:r>
          </w:p>
          <w:p w14:paraId="2910D681">
            <w:pPr>
              <w:widowControl w:val="0"/>
              <w:adjustRightInd w:val="0"/>
              <w:snapToGrid w:val="0"/>
              <w:spacing w:before="156" w:beforeLines="50" w:line="360" w:lineRule="auto"/>
              <w:jc w:val="center"/>
              <w:rPr>
                <w:rFonts w:ascii="宋体" w:hAnsi="宋体" w:eastAsia="宋体" w:cs="Times New Roman"/>
                <w:color w:val="auto"/>
                <w:kern w:val="0"/>
                <w:szCs w:val="21"/>
                <w:highlight w:val="none"/>
                <w:u w:val="single"/>
              </w:rPr>
            </w:pPr>
            <w:r>
              <w:rPr>
                <w:rFonts w:hint="eastAsia" w:ascii="宋体" w:hAnsi="宋体" w:eastAsia="宋体" w:cs="Times New Roman"/>
                <w:color w:val="auto"/>
                <w:kern w:val="0"/>
                <w:szCs w:val="21"/>
                <w:highlight w:val="none"/>
              </w:rPr>
              <w:t>大写金额：</w:t>
            </w:r>
            <w:r>
              <w:rPr>
                <w:rFonts w:hint="eastAsia" w:ascii="宋体" w:hAnsi="宋体" w:eastAsia="宋体" w:cs="Times New Roman"/>
                <w:color w:val="auto"/>
                <w:kern w:val="0"/>
                <w:szCs w:val="21"/>
                <w:highlight w:val="none"/>
                <w:u w:val="single"/>
              </w:rPr>
              <w:t xml:space="preserve">               </w:t>
            </w:r>
            <w:r>
              <w:rPr>
                <w:rFonts w:hint="eastAsia" w:ascii="宋体" w:hAnsi="宋体" w:eastAsia="宋体" w:cs="Times New Roman"/>
                <w:color w:val="auto"/>
                <w:kern w:val="0"/>
                <w:szCs w:val="21"/>
                <w:highlight w:val="none"/>
              </w:rPr>
              <w:t>（</w:t>
            </w:r>
            <w:r>
              <w:rPr>
                <w:rFonts w:hint="eastAsia" w:ascii="宋体" w:hAnsi="宋体" w:eastAsia="宋体" w:cs="Times New Roman"/>
                <w:color w:val="auto"/>
                <w:kern w:val="0"/>
                <w:sz w:val="20"/>
                <w:szCs w:val="21"/>
                <w:highlight w:val="none"/>
              </w:rPr>
              <w:t>人民币元</w:t>
            </w:r>
            <w:r>
              <w:rPr>
                <w:rFonts w:hint="eastAsia" w:ascii="宋体" w:hAnsi="宋体" w:eastAsia="宋体" w:cs="Times New Roman"/>
                <w:color w:val="auto"/>
                <w:kern w:val="0"/>
                <w:szCs w:val="21"/>
                <w:highlight w:val="none"/>
              </w:rPr>
              <w:t>）</w:t>
            </w:r>
          </w:p>
          <w:p w14:paraId="58835833">
            <w:pPr>
              <w:widowControl w:val="0"/>
              <w:adjustRightInd w:val="0"/>
              <w:snapToGrid w:val="0"/>
              <w:spacing w:before="156" w:beforeLines="50" w:line="360" w:lineRule="auto"/>
              <w:jc w:val="center"/>
              <w:rPr>
                <w:rFonts w:ascii="宋体" w:hAnsi="宋体" w:eastAsia="宋体" w:cs="Times New Roman"/>
                <w:color w:val="auto"/>
                <w:kern w:val="0"/>
                <w:sz w:val="20"/>
                <w:szCs w:val="21"/>
                <w:highlight w:val="none"/>
              </w:rPr>
            </w:pPr>
            <w:r>
              <w:rPr>
                <w:rFonts w:hint="eastAsia" w:ascii="宋体" w:hAnsi="宋体" w:eastAsia="宋体" w:cs="Times New Roman"/>
                <w:color w:val="auto"/>
                <w:kern w:val="0"/>
                <w:szCs w:val="21"/>
                <w:highlight w:val="none"/>
              </w:rPr>
              <w:t>（</w:t>
            </w:r>
            <w:r>
              <w:rPr>
                <w:rFonts w:hint="eastAsia" w:ascii="黑体" w:hAnsi="黑体" w:eastAsia="黑体" w:cs="Times New Roman"/>
                <w:color w:val="auto"/>
                <w:kern w:val="0"/>
                <w:sz w:val="24"/>
                <w:highlight w:val="none"/>
              </w:rPr>
              <w:t>大写金额与小写金额不一致时，以大写金额为准</w:t>
            </w:r>
            <w:r>
              <w:rPr>
                <w:rFonts w:hint="eastAsia" w:ascii="宋体" w:hAnsi="宋体" w:eastAsia="宋体" w:cs="Times New Roman"/>
                <w:color w:val="auto"/>
                <w:kern w:val="0"/>
                <w:szCs w:val="21"/>
                <w:highlight w:val="none"/>
              </w:rPr>
              <w:t>）</w:t>
            </w:r>
          </w:p>
        </w:tc>
        <w:tc>
          <w:tcPr>
            <w:tcW w:w="3119" w:type="dxa"/>
            <w:noWrap w:val="0"/>
            <w:vAlign w:val="center"/>
          </w:tcPr>
          <w:p w14:paraId="223EE05B">
            <w:pPr>
              <w:widowControl w:val="0"/>
              <w:adjustRightInd w:val="0"/>
              <w:snapToGrid w:val="0"/>
              <w:spacing w:before="156" w:beforeLines="50" w:line="360" w:lineRule="auto"/>
              <w:jc w:val="center"/>
              <w:rPr>
                <w:rFonts w:ascii="宋体" w:hAnsi="宋体" w:eastAsia="宋体" w:cs="Times New Roman"/>
                <w:color w:val="auto"/>
                <w:kern w:val="0"/>
                <w:szCs w:val="21"/>
                <w:highlight w:val="none"/>
              </w:rPr>
            </w:pPr>
          </w:p>
        </w:tc>
      </w:tr>
    </w:tbl>
    <w:p w14:paraId="39B7F3FD">
      <w:pPr>
        <w:widowControl w:val="0"/>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注：本</w:t>
      </w:r>
      <w:r>
        <w:rPr>
          <w:rFonts w:hint="eastAsia" w:ascii="宋体" w:hAnsi="宋体" w:eastAsia="宋体" w:cs="Times New Roman"/>
          <w:color w:val="auto"/>
          <w:szCs w:val="21"/>
          <w:highlight w:val="none"/>
        </w:rPr>
        <w:t>表须按包填写，一个“包号”一份。</w:t>
      </w:r>
    </w:p>
    <w:p w14:paraId="44E506A6">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6602FD3A">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715D901F">
      <w:pPr>
        <w:widowControl w:val="0"/>
        <w:adjustRightInd w:val="0"/>
        <w:snapToGrid w:val="0"/>
        <w:spacing w:before="156" w:beforeLines="50" w:line="360" w:lineRule="auto"/>
        <w:ind w:firstLine="420" w:firstLineChars="200"/>
        <w:rPr>
          <w:rFonts w:ascii="宋体" w:hAnsi="宋体" w:eastAsia="宋体" w:cs="Times New Roman"/>
          <w:color w:val="auto"/>
          <w:szCs w:val="21"/>
          <w:highlight w:val="none"/>
        </w:rPr>
      </w:pPr>
    </w:p>
    <w:p w14:paraId="4C286F94">
      <w:pPr>
        <w:widowControl w:val="0"/>
        <w:adjustRightInd w:val="0"/>
        <w:snapToGrid w:val="0"/>
        <w:spacing w:line="360" w:lineRule="auto"/>
        <w:rPr>
          <w:rFonts w:ascii="宋体" w:hAnsi="宋体" w:eastAsia="宋体" w:cs="Times New Roman"/>
          <w:color w:val="auto"/>
          <w:szCs w:val="21"/>
          <w:highlight w:val="none"/>
        </w:rPr>
      </w:pPr>
    </w:p>
    <w:p w14:paraId="19D45100">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供应商名称（盖单位公章）：</w:t>
      </w:r>
    </w:p>
    <w:p w14:paraId="14FE5CEF">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3CD398BB">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日期：     年    月     日</w:t>
      </w:r>
    </w:p>
    <w:p w14:paraId="1100C3DE">
      <w:pPr>
        <w:widowControl w:val="0"/>
        <w:adjustRightInd w:val="0"/>
        <w:snapToGrid w:val="0"/>
        <w:spacing w:line="360" w:lineRule="auto"/>
        <w:rPr>
          <w:rFonts w:ascii="宋体" w:hAnsi="宋体" w:eastAsia="宋体" w:cs="宋体"/>
          <w:color w:val="auto"/>
          <w:szCs w:val="21"/>
          <w:highlight w:val="none"/>
        </w:rPr>
      </w:pPr>
    </w:p>
    <w:p w14:paraId="0C90D228">
      <w:pPr>
        <w:widowControl w:val="0"/>
        <w:adjustRightInd w:val="0"/>
        <w:snapToGrid w:val="0"/>
        <w:spacing w:line="360" w:lineRule="auto"/>
        <w:ind w:left="-88" w:leftChars="-42" w:firstLine="525" w:firstLineChars="250"/>
        <w:rPr>
          <w:rFonts w:ascii="宋体" w:hAnsi="宋体" w:eastAsia="宋体" w:cs="宋体"/>
          <w:color w:val="auto"/>
          <w:kern w:val="0"/>
          <w:szCs w:val="21"/>
          <w:highlight w:val="none"/>
        </w:rPr>
      </w:pPr>
    </w:p>
    <w:p w14:paraId="21C731D3">
      <w:pPr>
        <w:widowControl w:val="0"/>
        <w:adjustRightInd w:val="0"/>
        <w:snapToGrid w:val="0"/>
        <w:spacing w:line="360" w:lineRule="auto"/>
        <w:ind w:left="-88" w:leftChars="-42" w:firstLine="525" w:firstLineChars="250"/>
        <w:rPr>
          <w:rFonts w:ascii="宋体" w:hAnsi="宋体" w:eastAsia="宋体" w:cs="宋体"/>
          <w:color w:val="auto"/>
          <w:kern w:val="0"/>
          <w:szCs w:val="21"/>
          <w:highlight w:val="none"/>
        </w:rPr>
      </w:pPr>
    </w:p>
    <w:p w14:paraId="68EEA990">
      <w:pPr>
        <w:keepNext/>
        <w:keepLines/>
        <w:widowControl w:val="0"/>
        <w:adjustRightInd w:val="0"/>
        <w:snapToGrid w:val="0"/>
        <w:spacing w:before="156" w:beforeLines="50" w:line="360" w:lineRule="auto"/>
        <w:outlineLvl w:val="2"/>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说明：磋商小组通过郴州市公共资源（非标）电子交易平台向合格供应商发出最后报价邀请后，平台右上角的“铃铛”标志会有个小红点提示，同时弹出最后报价的确认弹窗。各供应商应在平台中下载报价表进行最后报价的填报，报价表填报完毕后以电子PDF格式完成上传，并立即解密。供应商未在规定时间内上传最后报价的，将视为放弃最后报价资格。</w:t>
      </w:r>
    </w:p>
    <w:p w14:paraId="048DEE90">
      <w:pP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br w:type="page"/>
      </w:r>
    </w:p>
    <w:p w14:paraId="4CC3DBF7">
      <w:pPr>
        <w:keepNext/>
        <w:keepLines/>
        <w:widowControl w:val="0"/>
        <w:adjustRightInd w:val="0"/>
        <w:snapToGrid w:val="0"/>
        <w:spacing w:before="156" w:beforeLines="50" w:line="360" w:lineRule="auto"/>
        <w:outlineLvl w:val="2"/>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附件</w:t>
      </w:r>
      <w:r>
        <w:rPr>
          <w:rFonts w:ascii="宋体" w:hAnsi="宋体" w:eastAsia="宋体" w:cs="Times New Roman"/>
          <w:b/>
          <w:bCs/>
          <w:color w:val="auto"/>
          <w:szCs w:val="21"/>
          <w:highlight w:val="none"/>
        </w:rPr>
        <w:t>1</w:t>
      </w:r>
      <w:r>
        <w:rPr>
          <w:rFonts w:hint="eastAsia" w:ascii="宋体" w:hAnsi="宋体" w:cs="Times New Roman"/>
          <w:b/>
          <w:bCs/>
          <w:color w:val="auto"/>
          <w:szCs w:val="21"/>
          <w:highlight w:val="none"/>
          <w:lang w:val="en-US" w:eastAsia="zh-CN"/>
        </w:rPr>
        <w:t>1</w:t>
      </w:r>
      <w:r>
        <w:rPr>
          <w:rFonts w:hint="eastAsia" w:ascii="宋体" w:hAnsi="宋体" w:eastAsia="宋体" w:cs="Times New Roman"/>
          <w:b/>
          <w:bCs/>
          <w:color w:val="auto"/>
          <w:szCs w:val="21"/>
          <w:highlight w:val="none"/>
        </w:rPr>
        <w:t>-2分项报价说明</w:t>
      </w:r>
    </w:p>
    <w:p w14:paraId="7EC78021">
      <w:pPr>
        <w:widowControl w:val="0"/>
        <w:autoSpaceDE w:val="0"/>
        <w:autoSpaceDN w:val="0"/>
        <w:adjustRightInd w:val="0"/>
        <w:snapToGrid w:val="0"/>
        <w:spacing w:before="156" w:beforeLines="50" w:line="360" w:lineRule="auto"/>
        <w:jc w:val="center"/>
        <w:rPr>
          <w:rFonts w:ascii="黑体" w:hAnsi="宋体" w:eastAsia="黑体" w:cs="微软雅黑"/>
          <w:b/>
          <w:color w:val="auto"/>
          <w:kern w:val="0"/>
          <w:sz w:val="28"/>
          <w:szCs w:val="28"/>
          <w:highlight w:val="none"/>
        </w:rPr>
      </w:pPr>
      <w:r>
        <w:rPr>
          <w:rFonts w:hint="eastAsia" w:ascii="黑体" w:hAnsi="宋体" w:eastAsia="黑体" w:cs="微软雅黑"/>
          <w:b/>
          <w:color w:val="auto"/>
          <w:spacing w:val="-2"/>
          <w:kern w:val="0"/>
          <w:sz w:val="28"/>
          <w:szCs w:val="28"/>
          <w:highlight w:val="none"/>
        </w:rPr>
        <w:t>分</w:t>
      </w:r>
      <w:r>
        <w:rPr>
          <w:rFonts w:hint="eastAsia" w:ascii="黑体" w:hAnsi="宋体" w:eastAsia="黑体" w:cs="微软雅黑"/>
          <w:b/>
          <w:color w:val="auto"/>
          <w:kern w:val="0"/>
          <w:sz w:val="28"/>
          <w:szCs w:val="28"/>
          <w:highlight w:val="none"/>
        </w:rPr>
        <w:t>项</w:t>
      </w:r>
      <w:r>
        <w:rPr>
          <w:rFonts w:hint="eastAsia" w:ascii="黑体" w:hAnsi="宋体" w:eastAsia="黑体" w:cs="微软雅黑"/>
          <w:b/>
          <w:color w:val="auto"/>
          <w:spacing w:val="-2"/>
          <w:kern w:val="0"/>
          <w:sz w:val="28"/>
          <w:szCs w:val="28"/>
          <w:highlight w:val="none"/>
        </w:rPr>
        <w:t>报</w:t>
      </w:r>
      <w:r>
        <w:rPr>
          <w:rFonts w:hint="eastAsia" w:ascii="黑体" w:hAnsi="宋体" w:eastAsia="黑体" w:cs="微软雅黑"/>
          <w:b/>
          <w:color w:val="auto"/>
          <w:kern w:val="0"/>
          <w:sz w:val="28"/>
          <w:szCs w:val="28"/>
          <w:highlight w:val="none"/>
        </w:rPr>
        <w:t>价说明</w:t>
      </w:r>
      <w:r>
        <w:rPr>
          <w:rFonts w:hint="eastAsia" w:ascii="宋体" w:hAnsi="宋体" w:eastAsia="宋体" w:cs="宋体"/>
          <w:b/>
          <w:color w:val="auto"/>
          <w:sz w:val="30"/>
          <w:szCs w:val="30"/>
          <w:highlight w:val="none"/>
        </w:rPr>
        <w:t>（最后报价）</w:t>
      </w:r>
    </w:p>
    <w:p w14:paraId="53391735">
      <w:pPr>
        <w:widowControl w:val="0"/>
        <w:autoSpaceDE w:val="0"/>
        <w:autoSpaceDN w:val="0"/>
        <w:adjustRightInd w:val="0"/>
        <w:snapToGrid w:val="0"/>
        <w:spacing w:before="156" w:beforeLines="50" w:line="360" w:lineRule="auto"/>
        <w:jc w:val="left"/>
        <w:rPr>
          <w:rFonts w:ascii="宋体" w:hAnsi="宋体" w:eastAsia="宋体" w:cs="微软雅黑"/>
          <w:color w:val="auto"/>
          <w:kern w:val="0"/>
          <w:szCs w:val="21"/>
          <w:highlight w:val="none"/>
        </w:rPr>
      </w:pPr>
    </w:p>
    <w:p w14:paraId="333E96B9">
      <w:pPr>
        <w:widowControl w:val="0"/>
        <w:autoSpaceDE w:val="0"/>
        <w:autoSpaceDN w:val="0"/>
        <w:adjustRightInd w:val="0"/>
        <w:snapToGrid w:val="0"/>
        <w:spacing w:before="156" w:beforeLines="50" w:line="360" w:lineRule="auto"/>
        <w:jc w:val="left"/>
        <w:rPr>
          <w:rFonts w:ascii="宋体" w:hAnsi="宋体" w:eastAsia="宋体" w:cs="微软雅黑"/>
          <w:color w:val="auto"/>
          <w:kern w:val="0"/>
          <w:szCs w:val="21"/>
          <w:highlight w:val="none"/>
        </w:rPr>
      </w:pPr>
      <w:r>
        <w:rPr>
          <w:rFonts w:hint="eastAsia" w:ascii="宋体" w:hAnsi="宋体" w:eastAsia="宋体" w:cs="微软雅黑"/>
          <w:color w:val="auto"/>
          <w:kern w:val="0"/>
          <w:szCs w:val="21"/>
          <w:highlight w:val="none"/>
        </w:rPr>
        <w:t>注：1.供应商应按</w:t>
      </w:r>
      <w:r>
        <w:rPr>
          <w:rFonts w:hint="eastAsia" w:ascii="宋体" w:hAnsi="宋体" w:eastAsia="宋体" w:cs="微软雅黑"/>
          <w:color w:val="auto"/>
          <w:kern w:val="0"/>
          <w:szCs w:val="21"/>
          <w:highlight w:val="none"/>
          <w:lang w:eastAsia="zh-CN"/>
        </w:rPr>
        <w:t>磋商</w:t>
      </w:r>
      <w:r>
        <w:rPr>
          <w:rFonts w:hint="eastAsia" w:ascii="宋体" w:hAnsi="宋体" w:eastAsia="宋体" w:cs="微软雅黑"/>
          <w:color w:val="auto"/>
          <w:kern w:val="0"/>
          <w:szCs w:val="21"/>
          <w:highlight w:val="none"/>
        </w:rPr>
        <w:t>文件第二章相关要求，对本节</w:t>
      </w:r>
      <w:r>
        <w:rPr>
          <w:rFonts w:hint="eastAsia" w:ascii="宋体" w:hAnsi="宋体" w:eastAsia="宋体" w:cs="Times New Roman"/>
          <w:bCs/>
          <w:color w:val="auto"/>
          <w:szCs w:val="21"/>
          <w:highlight w:val="none"/>
        </w:rPr>
        <w:t>“</w:t>
      </w:r>
      <w:r>
        <w:rPr>
          <w:rFonts w:hint="eastAsia" w:ascii="宋体" w:hAnsi="宋体" w:eastAsia="宋体" w:cs="微软雅黑"/>
          <w:color w:val="auto"/>
          <w:kern w:val="0"/>
          <w:szCs w:val="21"/>
          <w:highlight w:val="none"/>
        </w:rPr>
        <w:t>分项报价明细表</w:t>
      </w:r>
      <w:r>
        <w:rPr>
          <w:rFonts w:hint="eastAsia" w:ascii="宋体" w:hAnsi="宋体" w:eastAsia="宋体" w:cs="Times New Roman"/>
          <w:bCs/>
          <w:color w:val="auto"/>
          <w:szCs w:val="21"/>
          <w:highlight w:val="none"/>
        </w:rPr>
        <w:t>”进行</w:t>
      </w:r>
      <w:r>
        <w:rPr>
          <w:rFonts w:hint="eastAsia" w:ascii="宋体" w:hAnsi="宋体" w:eastAsia="宋体" w:cs="微软雅黑"/>
          <w:color w:val="auto"/>
          <w:kern w:val="0"/>
          <w:szCs w:val="21"/>
          <w:highlight w:val="none"/>
        </w:rPr>
        <w:t>编制，并说明。</w:t>
      </w:r>
    </w:p>
    <w:p w14:paraId="7850B514">
      <w:pPr>
        <w:widowControl w:val="0"/>
        <w:adjustRightInd w:val="0"/>
        <w:snapToGrid w:val="0"/>
        <w:spacing w:before="156" w:beforeLines="50" w:line="360" w:lineRule="auto"/>
        <w:rPr>
          <w:rFonts w:ascii="Times New Roman" w:hAnsi="Times New Roman" w:eastAsia="宋体" w:cs="Times New Roman"/>
          <w:color w:val="auto"/>
          <w:highlight w:val="none"/>
        </w:rPr>
      </w:pPr>
    </w:p>
    <w:p w14:paraId="0B927D95">
      <w:pPr>
        <w:adjustRightInd w:val="0"/>
        <w:snapToGrid w:val="0"/>
        <w:spacing w:line="360" w:lineRule="auto"/>
        <w:rPr>
          <w:rFonts w:ascii="黑体" w:hAnsi="黑体" w:eastAsia="黑体"/>
          <w:bCs/>
          <w:color w:val="auto"/>
          <w:sz w:val="30"/>
          <w:szCs w:val="30"/>
          <w:highlight w:val="none"/>
        </w:rPr>
        <w:sectPr>
          <w:footerReference r:id="rId6" w:type="default"/>
          <w:pgSz w:w="11906" w:h="16838"/>
          <w:pgMar w:top="1418" w:right="1418" w:bottom="1134" w:left="1418" w:header="851" w:footer="992" w:gutter="0"/>
          <w:pgNumType w:fmt="decimal"/>
          <w:cols w:space="720" w:num="1"/>
          <w:docGrid w:type="linesAndChars" w:linePitch="312" w:charSpace="0"/>
        </w:sectPr>
      </w:pPr>
    </w:p>
    <w:p w14:paraId="6514891A">
      <w:pPr>
        <w:keepNext/>
        <w:keepLines/>
        <w:widowControl w:val="0"/>
        <w:adjustRightInd w:val="0"/>
        <w:snapToGrid w:val="0"/>
        <w:spacing w:before="156" w:beforeLines="50" w:line="360" w:lineRule="auto"/>
        <w:outlineLvl w:val="2"/>
        <w:rPr>
          <w:rFonts w:ascii="宋体" w:hAnsi="宋体" w:eastAsia="宋体" w:cs="Times New Roman"/>
          <w:b/>
          <w:bCs/>
          <w:color w:val="auto"/>
          <w:szCs w:val="21"/>
          <w:highlight w:val="none"/>
        </w:rPr>
      </w:pPr>
      <w:r>
        <w:rPr>
          <w:rFonts w:hint="eastAsia" w:ascii="宋体" w:hAnsi="宋体" w:eastAsia="宋体" w:cs="宋体"/>
          <w:b/>
          <w:bCs/>
          <w:color w:val="auto"/>
          <w:szCs w:val="21"/>
          <w:highlight w:val="none"/>
        </w:rPr>
        <w:t>附件</w:t>
      </w:r>
      <w:r>
        <w:rPr>
          <w:rFonts w:hint="eastAsia" w:ascii="宋体" w:hAnsi="宋体" w:eastAsia="宋体" w:cs="宋体"/>
          <w:b/>
          <w:bCs/>
          <w:color w:val="auto"/>
          <w:szCs w:val="21"/>
          <w:highlight w:val="none"/>
          <w:lang w:val="en-US" w:eastAsia="zh-CN"/>
        </w:rPr>
        <w:t>1</w:t>
      </w:r>
      <w:r>
        <w:rPr>
          <w:rFonts w:hint="eastAsia" w:ascii="宋体" w:hAnsi="宋体" w:cs="宋体"/>
          <w:b/>
          <w:bCs/>
          <w:color w:val="auto"/>
          <w:szCs w:val="21"/>
          <w:highlight w:val="none"/>
          <w:lang w:val="en-US" w:eastAsia="zh-CN"/>
        </w:rPr>
        <w:t>1</w:t>
      </w:r>
      <w:r>
        <w:rPr>
          <w:rFonts w:hint="eastAsia" w:ascii="宋体" w:hAnsi="宋体" w:eastAsia="宋体" w:cs="宋体"/>
          <w:b/>
          <w:bCs/>
          <w:color w:val="auto"/>
          <w:szCs w:val="21"/>
          <w:highlight w:val="none"/>
        </w:rPr>
        <w:t>-3</w:t>
      </w:r>
      <w:r>
        <w:rPr>
          <w:rFonts w:hint="eastAsia" w:ascii="宋体" w:hAnsi="宋体" w:eastAsia="宋体" w:cs="Times New Roman"/>
          <w:b/>
          <w:bCs/>
          <w:color w:val="auto"/>
          <w:spacing w:val="-2"/>
          <w:position w:val="-3"/>
          <w:szCs w:val="21"/>
          <w:highlight w:val="none"/>
        </w:rPr>
        <w:t>分</w:t>
      </w:r>
      <w:r>
        <w:rPr>
          <w:rFonts w:hint="eastAsia" w:ascii="宋体" w:hAnsi="宋体" w:eastAsia="宋体" w:cs="Times New Roman"/>
          <w:b/>
          <w:bCs/>
          <w:color w:val="auto"/>
          <w:position w:val="-3"/>
          <w:szCs w:val="21"/>
          <w:highlight w:val="none"/>
        </w:rPr>
        <w:t>项</w:t>
      </w:r>
      <w:r>
        <w:rPr>
          <w:rFonts w:hint="eastAsia" w:ascii="宋体" w:hAnsi="宋体" w:eastAsia="宋体" w:cs="Times New Roman"/>
          <w:b/>
          <w:bCs/>
          <w:color w:val="auto"/>
          <w:spacing w:val="-2"/>
          <w:position w:val="-3"/>
          <w:szCs w:val="21"/>
          <w:highlight w:val="none"/>
        </w:rPr>
        <w:t>报</w:t>
      </w:r>
      <w:r>
        <w:rPr>
          <w:rFonts w:hint="eastAsia" w:ascii="宋体" w:hAnsi="宋体" w:eastAsia="宋体" w:cs="Times New Roman"/>
          <w:b/>
          <w:bCs/>
          <w:color w:val="auto"/>
          <w:position w:val="-3"/>
          <w:szCs w:val="21"/>
          <w:highlight w:val="none"/>
        </w:rPr>
        <w:t>价明细表</w:t>
      </w:r>
    </w:p>
    <w:p w14:paraId="65F63589">
      <w:pPr>
        <w:widowControl w:val="0"/>
        <w:adjustRightInd w:val="0"/>
        <w:snapToGrid w:val="0"/>
        <w:spacing w:before="156" w:beforeLines="50" w:line="360" w:lineRule="auto"/>
        <w:jc w:val="center"/>
        <w:rPr>
          <w:rFonts w:ascii="黑体" w:hAnsi="宋体" w:eastAsia="黑体" w:cs="微软雅黑"/>
          <w:b/>
          <w:color w:val="auto"/>
          <w:kern w:val="0"/>
          <w:position w:val="-3"/>
          <w:sz w:val="28"/>
          <w:szCs w:val="28"/>
          <w:highlight w:val="none"/>
        </w:rPr>
      </w:pPr>
      <w:r>
        <w:rPr>
          <w:rFonts w:hint="eastAsia" w:ascii="黑体" w:hAnsi="宋体" w:eastAsia="黑体" w:cs="微软雅黑"/>
          <w:b/>
          <w:color w:val="auto"/>
          <w:spacing w:val="-2"/>
          <w:kern w:val="0"/>
          <w:position w:val="-3"/>
          <w:sz w:val="28"/>
          <w:szCs w:val="28"/>
          <w:highlight w:val="none"/>
        </w:rPr>
        <w:t>分</w:t>
      </w:r>
      <w:r>
        <w:rPr>
          <w:rFonts w:hint="eastAsia" w:ascii="黑体" w:hAnsi="宋体" w:eastAsia="黑体" w:cs="微软雅黑"/>
          <w:b/>
          <w:color w:val="auto"/>
          <w:kern w:val="0"/>
          <w:position w:val="-3"/>
          <w:sz w:val="28"/>
          <w:szCs w:val="28"/>
          <w:highlight w:val="none"/>
        </w:rPr>
        <w:t>项</w:t>
      </w:r>
      <w:r>
        <w:rPr>
          <w:rFonts w:hint="eastAsia" w:ascii="黑体" w:hAnsi="宋体" w:eastAsia="黑体" w:cs="微软雅黑"/>
          <w:b/>
          <w:color w:val="auto"/>
          <w:spacing w:val="-2"/>
          <w:kern w:val="0"/>
          <w:position w:val="-3"/>
          <w:sz w:val="28"/>
          <w:szCs w:val="28"/>
          <w:highlight w:val="none"/>
        </w:rPr>
        <w:t>报</w:t>
      </w:r>
      <w:r>
        <w:rPr>
          <w:rFonts w:hint="eastAsia" w:ascii="黑体" w:hAnsi="宋体" w:eastAsia="黑体" w:cs="微软雅黑"/>
          <w:b/>
          <w:color w:val="auto"/>
          <w:kern w:val="0"/>
          <w:position w:val="-3"/>
          <w:sz w:val="28"/>
          <w:szCs w:val="28"/>
          <w:highlight w:val="none"/>
        </w:rPr>
        <w:t>价明细表（最后报价）（服务）</w:t>
      </w:r>
    </w:p>
    <w:p w14:paraId="07380C9F">
      <w:pPr>
        <w:widowControl w:val="0"/>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政府采购计划编号：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项目名称：</w:t>
      </w:r>
      <w:r>
        <w:rPr>
          <w:rFonts w:hint="eastAsia" w:ascii="宋体" w:hAnsi="宋体" w:eastAsia="宋体" w:cs="Times New Roman"/>
          <w:color w:val="auto"/>
          <w:szCs w:val="21"/>
          <w:highlight w:val="none"/>
          <w:u w:val="single"/>
        </w:rPr>
        <w:t xml:space="preserve">                        </w:t>
      </w:r>
    </w:p>
    <w:p w14:paraId="4F5D65F3">
      <w:pPr>
        <w:widowControl w:val="0"/>
        <w:adjustRightInd w:val="0"/>
        <w:snapToGrid w:val="0"/>
        <w:spacing w:before="156" w:beforeLines="50" w:line="360" w:lineRule="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包号：</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包名称：</w:t>
      </w:r>
      <w:r>
        <w:rPr>
          <w:rFonts w:hint="eastAsia" w:ascii="宋体" w:hAnsi="宋体" w:eastAsia="宋体" w:cs="Times New Roman"/>
          <w:color w:val="auto"/>
          <w:szCs w:val="21"/>
          <w:highlight w:val="none"/>
          <w:u w:val="single"/>
        </w:rPr>
        <w:t xml:space="preserve">                        </w:t>
      </w:r>
    </w:p>
    <w:tbl>
      <w:tblPr>
        <w:tblStyle w:val="25"/>
        <w:tblW w:w="8874" w:type="dxa"/>
        <w:tblInd w:w="0" w:type="dxa"/>
        <w:tblLayout w:type="fixed"/>
        <w:tblCellMar>
          <w:top w:w="0" w:type="dxa"/>
          <w:left w:w="0" w:type="dxa"/>
          <w:bottom w:w="0" w:type="dxa"/>
          <w:right w:w="0" w:type="dxa"/>
        </w:tblCellMar>
      </w:tblPr>
      <w:tblGrid>
        <w:gridCol w:w="333"/>
        <w:gridCol w:w="1383"/>
        <w:gridCol w:w="3402"/>
        <w:gridCol w:w="1016"/>
        <w:gridCol w:w="910"/>
        <w:gridCol w:w="916"/>
        <w:gridCol w:w="914"/>
      </w:tblGrid>
      <w:tr w14:paraId="3B4D6519">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noWrap w:val="0"/>
            <w:vAlign w:val="center"/>
          </w:tcPr>
          <w:p w14:paraId="63A76AC5">
            <w:pPr>
              <w:widowControl w:val="0"/>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标的名称</w:t>
            </w:r>
          </w:p>
        </w:tc>
        <w:tc>
          <w:tcPr>
            <w:tcW w:w="3402" w:type="dxa"/>
            <w:vMerge w:val="restart"/>
            <w:tcBorders>
              <w:top w:val="double" w:color="auto" w:sz="4" w:space="0"/>
              <w:left w:val="single" w:color="auto" w:sz="6" w:space="0"/>
              <w:right w:val="single" w:color="auto" w:sz="6" w:space="0"/>
            </w:tcBorders>
            <w:noWrap w:val="0"/>
            <w:vAlign w:val="center"/>
          </w:tcPr>
          <w:p w14:paraId="1A80BD7A">
            <w:pPr>
              <w:widowControl w:val="0"/>
              <w:autoSpaceDE w:val="0"/>
              <w:autoSpaceDN w:val="0"/>
              <w:adjustRightInd w:val="0"/>
              <w:snapToGrid w:val="0"/>
              <w:spacing w:line="360" w:lineRule="auto"/>
              <w:ind w:right="-2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服务要求</w:t>
            </w:r>
          </w:p>
        </w:tc>
        <w:tc>
          <w:tcPr>
            <w:tcW w:w="1016" w:type="dxa"/>
            <w:vMerge w:val="restart"/>
            <w:tcBorders>
              <w:top w:val="double" w:color="auto" w:sz="4" w:space="0"/>
              <w:left w:val="single" w:color="auto" w:sz="6" w:space="0"/>
              <w:right w:val="single" w:color="auto" w:sz="4" w:space="0"/>
            </w:tcBorders>
            <w:noWrap w:val="0"/>
            <w:vAlign w:val="center"/>
          </w:tcPr>
          <w:p w14:paraId="66CAA197">
            <w:pPr>
              <w:widowControl w:val="0"/>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Times New Roman"/>
                <w:color w:val="auto"/>
                <w:kern w:val="0"/>
                <w:szCs w:val="21"/>
                <w:highlight w:val="none"/>
              </w:rPr>
              <w:t>数量/单位</w:t>
            </w:r>
          </w:p>
        </w:tc>
        <w:tc>
          <w:tcPr>
            <w:tcW w:w="1826" w:type="dxa"/>
            <w:gridSpan w:val="2"/>
            <w:tcBorders>
              <w:top w:val="double" w:color="auto" w:sz="4" w:space="0"/>
              <w:left w:val="single" w:color="auto" w:sz="4" w:space="0"/>
              <w:bottom w:val="single" w:color="auto" w:sz="6" w:space="0"/>
              <w:right w:val="single" w:color="auto" w:sz="6" w:space="0"/>
            </w:tcBorders>
            <w:noWrap w:val="0"/>
            <w:vAlign w:val="center"/>
          </w:tcPr>
          <w:p w14:paraId="1077D1B1">
            <w:pPr>
              <w:widowControl w:val="0"/>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030D1F78">
            <w:pPr>
              <w:widowControl w:val="0"/>
              <w:autoSpaceDE w:val="0"/>
              <w:autoSpaceDN w:val="0"/>
              <w:adjustRightInd w:val="0"/>
              <w:snapToGrid w:val="0"/>
              <w:spacing w:line="360" w:lineRule="auto"/>
              <w:ind w:right="-20"/>
              <w:jc w:val="center"/>
              <w:rPr>
                <w:rFonts w:ascii="宋体" w:hAnsi="宋体" w:eastAsia="宋体" w:cs="微软雅黑"/>
                <w:color w:val="auto"/>
                <w:kern w:val="0"/>
                <w:position w:val="-1"/>
                <w:szCs w:val="21"/>
                <w:highlight w:val="none"/>
              </w:rPr>
            </w:pPr>
            <w:r>
              <w:rPr>
                <w:rFonts w:hint="eastAsia" w:ascii="宋体" w:hAnsi="宋体" w:eastAsia="宋体" w:cs="微软雅黑"/>
                <w:color w:val="auto"/>
                <w:kern w:val="0"/>
                <w:position w:val="-1"/>
                <w:szCs w:val="21"/>
                <w:highlight w:val="none"/>
              </w:rPr>
              <w:t>备注</w:t>
            </w:r>
          </w:p>
        </w:tc>
      </w:tr>
      <w:tr w14:paraId="29EA437D">
        <w:tblPrEx>
          <w:tblCellMar>
            <w:top w:w="0" w:type="dxa"/>
            <w:left w:w="0" w:type="dxa"/>
            <w:bottom w:w="0" w:type="dxa"/>
            <w:right w:w="0" w:type="dxa"/>
          </w:tblCellMar>
        </w:tblPrEx>
        <w:trPr>
          <w:trHeight w:val="873" w:hRule="exact"/>
        </w:trPr>
        <w:tc>
          <w:tcPr>
            <w:tcW w:w="1716" w:type="dxa"/>
            <w:gridSpan w:val="2"/>
            <w:vMerge w:val="continue"/>
            <w:tcBorders>
              <w:left w:val="double" w:color="auto" w:sz="4" w:space="0"/>
              <w:bottom w:val="single" w:color="auto" w:sz="6" w:space="0"/>
              <w:right w:val="single" w:color="auto" w:sz="6" w:space="0"/>
            </w:tcBorders>
            <w:noWrap w:val="0"/>
            <w:vAlign w:val="top"/>
          </w:tcPr>
          <w:p w14:paraId="6311FA31">
            <w:pPr>
              <w:widowControl w:val="0"/>
              <w:autoSpaceDE w:val="0"/>
              <w:autoSpaceDN w:val="0"/>
              <w:adjustRightInd w:val="0"/>
              <w:snapToGrid w:val="0"/>
              <w:spacing w:line="360" w:lineRule="auto"/>
              <w:ind w:left="352" w:right="-20"/>
              <w:jc w:val="left"/>
              <w:rPr>
                <w:rFonts w:ascii="宋体" w:hAnsi="宋体" w:eastAsia="宋体" w:cs="Times New Roman"/>
                <w:color w:val="auto"/>
                <w:kern w:val="0"/>
                <w:szCs w:val="21"/>
                <w:highlight w:val="none"/>
              </w:rPr>
            </w:pPr>
          </w:p>
        </w:tc>
        <w:tc>
          <w:tcPr>
            <w:tcW w:w="3402" w:type="dxa"/>
            <w:vMerge w:val="continue"/>
            <w:tcBorders>
              <w:left w:val="single" w:color="auto" w:sz="6" w:space="0"/>
              <w:bottom w:val="single" w:color="auto" w:sz="6" w:space="0"/>
              <w:right w:val="single" w:color="auto" w:sz="6" w:space="0"/>
            </w:tcBorders>
            <w:noWrap w:val="0"/>
            <w:vAlign w:val="center"/>
          </w:tcPr>
          <w:p w14:paraId="58F999C5">
            <w:pPr>
              <w:widowControl w:val="0"/>
              <w:autoSpaceDE w:val="0"/>
              <w:autoSpaceDN w:val="0"/>
              <w:adjustRightInd w:val="0"/>
              <w:snapToGrid w:val="0"/>
              <w:spacing w:line="360" w:lineRule="auto"/>
              <w:ind w:right="-20"/>
              <w:jc w:val="center"/>
              <w:rPr>
                <w:rFonts w:ascii="宋体" w:hAnsi="宋体" w:eastAsia="宋体" w:cs="Times New Roman"/>
                <w:color w:val="auto"/>
                <w:kern w:val="0"/>
                <w:szCs w:val="21"/>
                <w:highlight w:val="none"/>
              </w:rPr>
            </w:pPr>
          </w:p>
        </w:tc>
        <w:tc>
          <w:tcPr>
            <w:tcW w:w="1016" w:type="dxa"/>
            <w:vMerge w:val="continue"/>
            <w:tcBorders>
              <w:left w:val="single" w:color="auto" w:sz="6" w:space="0"/>
              <w:bottom w:val="single" w:color="auto" w:sz="6" w:space="0"/>
              <w:right w:val="single" w:color="auto" w:sz="4" w:space="0"/>
            </w:tcBorders>
            <w:noWrap w:val="0"/>
            <w:vAlign w:val="center"/>
          </w:tcPr>
          <w:p w14:paraId="796D57E7">
            <w:pPr>
              <w:widowControl w:val="0"/>
              <w:autoSpaceDE w:val="0"/>
              <w:autoSpaceDN w:val="0"/>
              <w:adjustRightInd w:val="0"/>
              <w:snapToGrid w:val="0"/>
              <w:spacing w:line="360" w:lineRule="auto"/>
              <w:ind w:right="-20"/>
              <w:jc w:val="center"/>
              <w:rPr>
                <w:rFonts w:ascii="宋体" w:hAnsi="宋体" w:eastAsia="宋体" w:cs="Times New Roman"/>
                <w:color w:val="auto"/>
                <w:kern w:val="0"/>
                <w:szCs w:val="21"/>
                <w:highlight w:val="none"/>
              </w:rPr>
            </w:pPr>
          </w:p>
        </w:tc>
        <w:tc>
          <w:tcPr>
            <w:tcW w:w="910" w:type="dxa"/>
            <w:tcBorders>
              <w:top w:val="single" w:color="auto" w:sz="6" w:space="0"/>
              <w:left w:val="single" w:color="auto" w:sz="4" w:space="0"/>
              <w:bottom w:val="single" w:color="auto" w:sz="6" w:space="0"/>
              <w:right w:val="single" w:color="auto" w:sz="4" w:space="0"/>
            </w:tcBorders>
            <w:noWrap w:val="0"/>
            <w:vAlign w:val="center"/>
          </w:tcPr>
          <w:p w14:paraId="0BF878DB">
            <w:pPr>
              <w:widowControl w:val="0"/>
              <w:autoSpaceDE w:val="0"/>
              <w:autoSpaceDN w:val="0"/>
              <w:adjustRightInd w:val="0"/>
              <w:snapToGrid w:val="0"/>
              <w:spacing w:line="360" w:lineRule="auto"/>
              <w:ind w:right="-20"/>
              <w:jc w:val="center"/>
              <w:rPr>
                <w:rFonts w:ascii="宋体" w:hAnsi="宋体" w:eastAsia="宋体" w:cs="Times New Roman"/>
                <w:color w:val="auto"/>
                <w:kern w:val="0"/>
                <w:szCs w:val="21"/>
                <w:highlight w:val="none"/>
              </w:rPr>
            </w:pPr>
            <w:r>
              <w:rPr>
                <w:rFonts w:hint="eastAsia" w:ascii="宋体" w:hAnsi="宋体" w:eastAsia="宋体" w:cs="微软雅黑"/>
                <w:color w:val="auto"/>
                <w:kern w:val="0"/>
                <w:position w:val="-1"/>
                <w:szCs w:val="21"/>
                <w:highlight w:val="none"/>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307C4DD1">
            <w:pPr>
              <w:widowControl w:val="0"/>
              <w:autoSpaceDE w:val="0"/>
              <w:autoSpaceDN w:val="0"/>
              <w:adjustRightInd w:val="0"/>
              <w:snapToGrid w:val="0"/>
              <w:spacing w:line="360" w:lineRule="auto"/>
              <w:ind w:left="70" w:right="-20"/>
              <w:jc w:val="center"/>
              <w:rPr>
                <w:rFonts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小计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4879F3A4">
            <w:pPr>
              <w:widowControl w:val="0"/>
              <w:autoSpaceDE w:val="0"/>
              <w:autoSpaceDN w:val="0"/>
              <w:adjustRightInd w:val="0"/>
              <w:snapToGrid w:val="0"/>
              <w:spacing w:line="360" w:lineRule="auto"/>
              <w:ind w:left="422" w:right="-20"/>
              <w:jc w:val="left"/>
              <w:rPr>
                <w:rFonts w:ascii="宋体" w:hAnsi="宋体" w:eastAsia="宋体" w:cs="Times New Roman"/>
                <w:color w:val="auto"/>
                <w:kern w:val="0"/>
                <w:szCs w:val="21"/>
                <w:highlight w:val="none"/>
              </w:rPr>
            </w:pPr>
          </w:p>
        </w:tc>
      </w:tr>
      <w:tr w14:paraId="10EE0E24">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391545C8">
            <w:pPr>
              <w:widowControl w:val="0"/>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17E37878">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2A59FDCD">
            <w:pPr>
              <w:widowControl w:val="0"/>
              <w:autoSpaceDE w:val="0"/>
              <w:autoSpaceDN w:val="0"/>
              <w:adjustRightInd w:val="0"/>
              <w:snapToGrid w:val="0"/>
              <w:spacing w:line="360" w:lineRule="auto"/>
              <w:jc w:val="left"/>
              <w:rPr>
                <w:rFonts w:hint="default" w:ascii="宋体" w:hAnsi="宋体" w:eastAsia="宋体" w:cs="Times New Roman"/>
                <w:color w:val="auto"/>
                <w:kern w:val="0"/>
                <w:szCs w:val="21"/>
                <w:highlight w:val="none"/>
                <w:lang w:val="en-US"/>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6011A05F">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54BED439">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65B82DD">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030DBB75">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3D7375DE">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6EC8DC74">
            <w:pPr>
              <w:widowControl w:val="0"/>
              <w:jc w:val="center"/>
              <w:rPr>
                <w:rFonts w:ascii="宋体" w:hAnsi="宋体" w:eastAsia="宋体" w:cs="宋体"/>
                <w:color w:val="auto"/>
                <w:highlight w:val="none"/>
              </w:rPr>
            </w:pPr>
            <w:r>
              <w:rPr>
                <w:rFonts w:hint="eastAsia" w:ascii="宋体" w:hAnsi="宋体" w:eastAsia="宋体" w:cs="宋体"/>
                <w:color w:val="auto"/>
                <w:highlight w:val="none"/>
              </w:rPr>
              <w:t>2</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7DB4FB64">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365A8A3D">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0316CC5D">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014BFAE4">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74D62A6A">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6C0A23D7">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159CC0A5">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4FBCE99F">
            <w:pPr>
              <w:widowControl w:val="0"/>
              <w:jc w:val="center"/>
              <w:rPr>
                <w:rFonts w:ascii="宋体" w:hAnsi="宋体" w:eastAsia="宋体" w:cs="宋体"/>
                <w:color w:val="auto"/>
                <w:highlight w:val="none"/>
              </w:rPr>
            </w:pPr>
            <w:r>
              <w:rPr>
                <w:rFonts w:hint="eastAsia" w:ascii="宋体" w:hAnsi="宋体" w:eastAsia="宋体" w:cs="宋体"/>
                <w:color w:val="auto"/>
                <w:highlight w:val="none"/>
              </w:rPr>
              <w:t>3</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05119AF5">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06501605">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7ECC2442">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6" w:space="0"/>
              <w:bottom w:val="single" w:color="auto" w:sz="6" w:space="0"/>
              <w:right w:val="single" w:color="auto" w:sz="6" w:space="0"/>
            </w:tcBorders>
            <w:noWrap w:val="0"/>
            <w:vAlign w:val="top"/>
          </w:tcPr>
          <w:p w14:paraId="12E4B5FB">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9DBB014">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45E22765">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2198FEB4">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3AA8DDF0">
            <w:pPr>
              <w:widowControl w:val="0"/>
              <w:jc w:val="center"/>
              <w:rPr>
                <w:rFonts w:ascii="宋体" w:hAnsi="宋体" w:eastAsia="宋体" w:cs="宋体"/>
                <w:color w:val="auto"/>
                <w:highlight w:val="none"/>
              </w:rPr>
            </w:pPr>
            <w:r>
              <w:rPr>
                <w:rFonts w:hint="eastAsia" w:ascii="宋体" w:hAnsi="宋体" w:eastAsia="宋体" w:cs="宋体"/>
                <w:color w:val="auto"/>
                <w:highlight w:val="none"/>
              </w:rPr>
              <w:t>4</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20CE94B3">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3BCF8641">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5F117FBE">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5C01A661">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519396A5">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6606A5D2">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262E77E6">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1E61F293">
            <w:pPr>
              <w:widowControl w:val="0"/>
              <w:jc w:val="center"/>
              <w:rPr>
                <w:rFonts w:ascii="宋体" w:hAnsi="宋体" w:eastAsia="宋体" w:cs="宋体"/>
                <w:color w:val="auto"/>
                <w:highlight w:val="none"/>
              </w:rPr>
            </w:pPr>
            <w:r>
              <w:rPr>
                <w:rFonts w:hint="eastAsia" w:ascii="宋体" w:hAnsi="宋体" w:eastAsia="宋体" w:cs="宋体"/>
                <w:color w:val="auto"/>
                <w:highlight w:val="none"/>
              </w:rPr>
              <w:t>5</w:t>
            </w:r>
          </w:p>
        </w:tc>
        <w:tc>
          <w:tcPr>
            <w:tcW w:w="1383" w:type="dxa"/>
            <w:tcBorders>
              <w:top w:val="single" w:color="auto" w:sz="6" w:space="0"/>
              <w:left w:val="single" w:color="auto" w:sz="6" w:space="0"/>
              <w:bottom w:val="single" w:color="auto" w:sz="6" w:space="0"/>
              <w:right w:val="single" w:color="auto" w:sz="6" w:space="0"/>
            </w:tcBorders>
            <w:noWrap w:val="0"/>
            <w:vAlign w:val="center"/>
          </w:tcPr>
          <w:p w14:paraId="13CD62C2">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0BD09DB5">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1BDBC1DD">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38572548">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5E18D018">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2DA7188B">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7B171E46">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0C7E6A4A">
            <w:pPr>
              <w:widowControl w:val="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p>
        </w:tc>
        <w:tc>
          <w:tcPr>
            <w:tcW w:w="1383" w:type="dxa"/>
            <w:tcBorders>
              <w:top w:val="single" w:color="auto" w:sz="6" w:space="0"/>
              <w:left w:val="single" w:color="auto" w:sz="6" w:space="0"/>
              <w:bottom w:val="single" w:color="auto" w:sz="6" w:space="0"/>
              <w:right w:val="single" w:color="auto" w:sz="6" w:space="0"/>
            </w:tcBorders>
            <w:noWrap w:val="0"/>
            <w:vAlign w:val="top"/>
          </w:tcPr>
          <w:p w14:paraId="054603F7">
            <w:pPr>
              <w:widowControl w:val="0"/>
              <w:autoSpaceDE w:val="0"/>
              <w:autoSpaceDN w:val="0"/>
              <w:adjustRightInd w:val="0"/>
              <w:snapToGrid w:val="0"/>
              <w:spacing w:line="360" w:lineRule="auto"/>
              <w:ind w:left="527" w:right="507"/>
              <w:jc w:val="center"/>
              <w:rPr>
                <w:rFonts w:ascii="宋体" w:hAnsi="宋体" w:eastAsia="宋体" w:cs="Times New Roman"/>
                <w:color w:val="auto"/>
                <w:kern w:val="0"/>
                <w:szCs w:val="21"/>
                <w:highlight w:val="none"/>
              </w:rPr>
            </w:pPr>
          </w:p>
        </w:tc>
        <w:tc>
          <w:tcPr>
            <w:tcW w:w="3402" w:type="dxa"/>
            <w:tcBorders>
              <w:top w:val="single" w:color="auto" w:sz="6" w:space="0"/>
              <w:left w:val="single" w:color="auto" w:sz="6" w:space="0"/>
              <w:bottom w:val="single" w:color="auto" w:sz="6" w:space="0"/>
              <w:right w:val="single" w:color="auto" w:sz="6" w:space="0"/>
            </w:tcBorders>
            <w:noWrap w:val="0"/>
            <w:vAlign w:val="top"/>
          </w:tcPr>
          <w:p w14:paraId="219B3686">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1016" w:type="dxa"/>
            <w:tcBorders>
              <w:top w:val="single" w:color="auto" w:sz="6" w:space="0"/>
              <w:left w:val="single" w:color="auto" w:sz="6" w:space="0"/>
              <w:bottom w:val="single" w:color="auto" w:sz="6" w:space="0"/>
              <w:right w:val="single" w:color="auto" w:sz="4" w:space="0"/>
            </w:tcBorders>
            <w:noWrap w:val="0"/>
            <w:vAlign w:val="top"/>
          </w:tcPr>
          <w:p w14:paraId="1399546F">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0" w:type="dxa"/>
            <w:tcBorders>
              <w:top w:val="single" w:color="auto" w:sz="6" w:space="0"/>
              <w:left w:val="single" w:color="auto" w:sz="4" w:space="0"/>
              <w:bottom w:val="single" w:color="auto" w:sz="6" w:space="0"/>
              <w:right w:val="single" w:color="auto" w:sz="6" w:space="0"/>
            </w:tcBorders>
            <w:noWrap w:val="0"/>
            <w:vAlign w:val="top"/>
          </w:tcPr>
          <w:p w14:paraId="1D1EF6A1">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62CDF8C">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0B0449E8">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r w14:paraId="7C5122B2">
        <w:tblPrEx>
          <w:tblCellMar>
            <w:top w:w="0" w:type="dxa"/>
            <w:left w:w="0" w:type="dxa"/>
            <w:bottom w:w="0" w:type="dxa"/>
            <w:right w:w="0" w:type="dxa"/>
          </w:tblCellMar>
        </w:tblPrEx>
        <w:trPr>
          <w:trHeight w:val="415" w:hRule="exact"/>
        </w:trPr>
        <w:tc>
          <w:tcPr>
            <w:tcW w:w="7044" w:type="dxa"/>
            <w:gridSpan w:val="5"/>
            <w:tcBorders>
              <w:top w:val="single" w:color="auto" w:sz="6" w:space="0"/>
              <w:left w:val="double" w:color="auto" w:sz="4" w:space="0"/>
              <w:bottom w:val="double" w:color="auto" w:sz="4" w:space="0"/>
              <w:right w:val="single" w:color="auto" w:sz="6" w:space="0"/>
            </w:tcBorders>
            <w:noWrap w:val="0"/>
            <w:vAlign w:val="center"/>
          </w:tcPr>
          <w:p w14:paraId="682A3C9B">
            <w:pPr>
              <w:widowControl w:val="0"/>
              <w:autoSpaceDE w:val="0"/>
              <w:autoSpaceDN w:val="0"/>
              <w:adjustRightInd w:val="0"/>
              <w:snapToGrid w:val="0"/>
              <w:spacing w:line="360" w:lineRule="auto"/>
              <w:jc w:val="center"/>
              <w:rPr>
                <w:rFonts w:ascii="宋体" w:hAnsi="宋体" w:eastAsia="宋体" w:cs="Times New Roman"/>
                <w:color w:val="auto"/>
                <w:kern w:val="0"/>
                <w:szCs w:val="21"/>
                <w:highlight w:val="none"/>
              </w:rPr>
            </w:pPr>
            <w:r>
              <w:rPr>
                <w:rFonts w:hint="eastAsia" w:ascii="宋体" w:hAnsi="宋体" w:eastAsia="宋体" w:cs="微软雅黑"/>
                <w:color w:val="auto"/>
                <w:kern w:val="0"/>
                <w:position w:val="-1"/>
                <w:szCs w:val="21"/>
                <w:highlight w:val="none"/>
              </w:rPr>
              <w:t>报价（元）：</w:t>
            </w:r>
          </w:p>
        </w:tc>
        <w:tc>
          <w:tcPr>
            <w:tcW w:w="916" w:type="dxa"/>
            <w:tcBorders>
              <w:top w:val="single" w:color="auto" w:sz="6" w:space="0"/>
              <w:left w:val="single" w:color="auto" w:sz="6" w:space="0"/>
              <w:bottom w:val="double" w:color="auto" w:sz="4" w:space="0"/>
              <w:right w:val="single" w:color="auto" w:sz="6" w:space="0"/>
            </w:tcBorders>
            <w:noWrap w:val="0"/>
            <w:vAlign w:val="top"/>
          </w:tcPr>
          <w:p w14:paraId="6FE54BCC">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c>
          <w:tcPr>
            <w:tcW w:w="914" w:type="dxa"/>
            <w:tcBorders>
              <w:top w:val="single" w:color="auto" w:sz="6" w:space="0"/>
              <w:left w:val="single" w:color="auto" w:sz="6" w:space="0"/>
              <w:bottom w:val="double" w:color="auto" w:sz="4" w:space="0"/>
              <w:right w:val="double" w:color="auto" w:sz="4" w:space="0"/>
            </w:tcBorders>
            <w:noWrap w:val="0"/>
            <w:vAlign w:val="top"/>
          </w:tcPr>
          <w:p w14:paraId="5928008F">
            <w:pPr>
              <w:widowControl w:val="0"/>
              <w:autoSpaceDE w:val="0"/>
              <w:autoSpaceDN w:val="0"/>
              <w:adjustRightInd w:val="0"/>
              <w:snapToGrid w:val="0"/>
              <w:spacing w:line="360" w:lineRule="auto"/>
              <w:jc w:val="left"/>
              <w:rPr>
                <w:rFonts w:ascii="宋体" w:hAnsi="宋体" w:eastAsia="宋体" w:cs="Times New Roman"/>
                <w:color w:val="auto"/>
                <w:kern w:val="0"/>
                <w:szCs w:val="21"/>
                <w:highlight w:val="none"/>
              </w:rPr>
            </w:pPr>
          </w:p>
        </w:tc>
      </w:tr>
    </w:tbl>
    <w:p w14:paraId="74312D00">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注：1.</w:t>
      </w:r>
      <w:r>
        <w:rPr>
          <w:rFonts w:hint="eastAsia" w:ascii="宋体" w:hAnsi="宋体" w:eastAsia="宋体" w:cs="Times New Roman"/>
          <w:b/>
          <w:color w:val="auto"/>
          <w:szCs w:val="21"/>
          <w:highlight w:val="none"/>
        </w:rPr>
        <w:t>本表应对应</w:t>
      </w:r>
      <w:r>
        <w:rPr>
          <w:rFonts w:hint="eastAsia" w:ascii="宋体" w:hAnsi="宋体" w:eastAsia="宋体" w:cs="Times New Roman"/>
          <w:color w:val="auto"/>
          <w:szCs w:val="21"/>
          <w:highlight w:val="none"/>
        </w:rPr>
        <w:t>“</w:t>
      </w:r>
      <w:r>
        <w:rPr>
          <w:rFonts w:hint="eastAsia" w:ascii="宋体" w:hAnsi="宋体" w:eastAsia="宋体" w:cs="Times New Roman"/>
          <w:b/>
          <w:color w:val="auto"/>
          <w:szCs w:val="21"/>
          <w:highlight w:val="none"/>
        </w:rPr>
        <w:t>报价表</w:t>
      </w:r>
      <w:r>
        <w:rPr>
          <w:rFonts w:hint="eastAsia" w:ascii="宋体" w:hAnsi="宋体" w:eastAsia="宋体" w:cs="Times New Roman"/>
          <w:color w:val="auto"/>
          <w:szCs w:val="21"/>
          <w:highlight w:val="none"/>
        </w:rPr>
        <w:t>”</w:t>
      </w:r>
      <w:r>
        <w:rPr>
          <w:rFonts w:hint="eastAsia" w:ascii="宋体" w:hAnsi="宋体" w:eastAsia="宋体" w:cs="Times New Roman"/>
          <w:b/>
          <w:color w:val="auto"/>
          <w:szCs w:val="21"/>
          <w:highlight w:val="none"/>
        </w:rPr>
        <w:t>，按包填写</w:t>
      </w:r>
      <w:r>
        <w:rPr>
          <w:rFonts w:hint="eastAsia" w:ascii="宋体" w:hAnsi="宋体" w:eastAsia="宋体" w:cs="Times New Roman"/>
          <w:color w:val="auto"/>
          <w:szCs w:val="21"/>
          <w:highlight w:val="none"/>
        </w:rPr>
        <w:t>。供应商如果不提供分项报价明细表，其</w:t>
      </w:r>
      <w:r>
        <w:rPr>
          <w:rFonts w:hint="eastAsia" w:ascii="宋体" w:hAnsi="宋体" w:eastAsia="宋体" w:cs="Times New Roman"/>
          <w:b/>
          <w:color w:val="auto"/>
          <w:szCs w:val="21"/>
          <w:highlight w:val="none"/>
        </w:rPr>
        <w:t>响应无效</w:t>
      </w:r>
      <w:r>
        <w:rPr>
          <w:rFonts w:hint="eastAsia" w:ascii="宋体" w:hAnsi="宋体" w:eastAsia="宋体" w:cs="Times New Roman"/>
          <w:color w:val="auto"/>
          <w:szCs w:val="21"/>
          <w:highlight w:val="none"/>
        </w:rPr>
        <w:t>。</w:t>
      </w:r>
    </w:p>
    <w:p w14:paraId="17AA1BD9">
      <w:pPr>
        <w:widowControl w:val="0"/>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2.不得填写“免费”或“赠与”，也不得进行“零”报价，否则</w:t>
      </w:r>
      <w:r>
        <w:rPr>
          <w:rFonts w:hint="eastAsia" w:ascii="宋体" w:hAnsi="宋体" w:eastAsia="宋体" w:cs="Times New Roman"/>
          <w:b/>
          <w:color w:val="auto"/>
          <w:szCs w:val="21"/>
          <w:highlight w:val="none"/>
        </w:rPr>
        <w:t>响应无效</w:t>
      </w:r>
      <w:r>
        <w:rPr>
          <w:rFonts w:hint="eastAsia" w:ascii="宋体" w:hAnsi="宋体" w:eastAsia="宋体" w:cs="Times New Roman"/>
          <w:color w:val="auto"/>
          <w:szCs w:val="21"/>
          <w:highlight w:val="none"/>
        </w:rPr>
        <w:t>。</w:t>
      </w:r>
    </w:p>
    <w:p w14:paraId="64015BB1">
      <w:pPr>
        <w:widowControl w:val="0"/>
        <w:adjustRightInd w:val="0"/>
        <w:snapToGrid w:val="0"/>
        <w:spacing w:line="360" w:lineRule="auto"/>
        <w:ind w:firstLine="422" w:firstLineChars="200"/>
        <w:rPr>
          <w:rFonts w:ascii="宋体" w:hAnsi="宋体" w:eastAsia="宋体" w:cs="Times New Roman"/>
          <w:b/>
          <w:color w:val="auto"/>
          <w:szCs w:val="21"/>
          <w:highlight w:val="none"/>
        </w:rPr>
      </w:pPr>
    </w:p>
    <w:p w14:paraId="0972762B">
      <w:pPr>
        <w:widowControl w:val="0"/>
        <w:adjustRightInd w:val="0"/>
        <w:snapToGrid w:val="0"/>
        <w:spacing w:line="360" w:lineRule="auto"/>
        <w:rPr>
          <w:rFonts w:ascii="宋体" w:hAnsi="宋体" w:eastAsia="宋体" w:cs="Times New Roman"/>
          <w:color w:val="auto"/>
          <w:szCs w:val="21"/>
          <w:highlight w:val="none"/>
        </w:rPr>
      </w:pPr>
    </w:p>
    <w:p w14:paraId="1A3E149E">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供应商名称（盖单位公章）：</w:t>
      </w:r>
    </w:p>
    <w:p w14:paraId="2AA43DD6">
      <w:pPr>
        <w:widowControl w:val="0"/>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028BEC1E">
      <w:pPr>
        <w:widowControl w:val="0"/>
        <w:adjustRightInd w:val="0"/>
        <w:snapToGrid w:val="0"/>
        <w:spacing w:line="360" w:lineRule="auto"/>
        <w:rPr>
          <w:rFonts w:hint="eastAsia" w:ascii="宋体" w:hAnsi="宋体" w:eastAsia="宋体" w:cs="微软雅黑"/>
          <w:color w:val="auto"/>
          <w:spacing w:val="-2"/>
          <w:kern w:val="0"/>
          <w:szCs w:val="21"/>
          <w:highlight w:val="none"/>
        </w:rPr>
      </w:pPr>
      <w:r>
        <w:rPr>
          <w:rFonts w:hint="eastAsia" w:ascii="宋体" w:hAnsi="宋体" w:eastAsia="宋体" w:cs="微软雅黑"/>
          <w:color w:val="auto"/>
          <w:spacing w:val="-2"/>
          <w:kern w:val="0"/>
          <w:szCs w:val="21"/>
          <w:highlight w:val="none"/>
        </w:rPr>
        <w:t>日期：       年        月        日</w:t>
      </w:r>
    </w:p>
    <w:p w14:paraId="22F18FD5">
      <w:pPr>
        <w:widowControl w:val="0"/>
        <w:adjustRightInd w:val="0"/>
        <w:snapToGrid w:val="0"/>
        <w:spacing w:before="156" w:beforeLines="50" w:line="360" w:lineRule="auto"/>
        <w:jc w:val="both"/>
        <w:rPr>
          <w:rFonts w:ascii="黑体" w:hAnsi="黑体" w:eastAsia="黑体" w:cs="Times New Roman"/>
          <w:color w:val="auto"/>
          <w:sz w:val="28"/>
          <w:szCs w:val="28"/>
          <w:highlight w:val="none"/>
        </w:rPr>
      </w:pPr>
    </w:p>
    <w:p w14:paraId="4F34AEEC">
      <w:pPr>
        <w:snapToGrid w:val="0"/>
        <w:spacing w:line="440" w:lineRule="exact"/>
        <w:rPr>
          <w:rStyle w:val="29"/>
          <w:rFonts w:ascii="宋体" w:hAnsi="宋体"/>
          <w:color w:val="auto"/>
          <w:highlight w:val="none"/>
        </w:rPr>
      </w:pPr>
    </w:p>
    <w:p w14:paraId="4F079E14">
      <w:pPr>
        <w:snapToGrid w:val="0"/>
        <w:spacing w:line="440" w:lineRule="exact"/>
        <w:rPr>
          <w:rStyle w:val="29"/>
          <w:rFonts w:ascii="宋体" w:hAnsi="宋体"/>
          <w:color w:val="auto"/>
          <w:highlight w:val="none"/>
        </w:rPr>
      </w:pPr>
    </w:p>
    <w:p w14:paraId="225E4016">
      <w:pPr>
        <w:snapToGrid w:val="0"/>
        <w:spacing w:line="440" w:lineRule="exact"/>
        <w:rPr>
          <w:rStyle w:val="29"/>
          <w:rFonts w:ascii="宋体" w:hAnsi="宋体"/>
          <w:color w:val="auto"/>
          <w:highlight w:val="none"/>
        </w:rPr>
      </w:pPr>
    </w:p>
    <w:p w14:paraId="163125D5">
      <w:pPr>
        <w:snapToGrid w:val="0"/>
        <w:spacing w:line="440" w:lineRule="exact"/>
        <w:rPr>
          <w:rStyle w:val="29"/>
          <w:rFonts w:ascii="宋体" w:hAnsi="宋体"/>
          <w:color w:val="auto"/>
          <w:highlight w:val="none"/>
        </w:rPr>
      </w:pPr>
    </w:p>
    <w:p w14:paraId="108668F6">
      <w:pPr>
        <w:rPr>
          <w:rStyle w:val="29"/>
          <w:rFonts w:ascii="黑体" w:hAnsi="宋体" w:eastAsia="黑体"/>
          <w:b/>
          <w:color w:val="auto"/>
          <w:sz w:val="32"/>
          <w:szCs w:val="32"/>
          <w:highlight w:val="none"/>
        </w:rPr>
      </w:pPr>
    </w:p>
    <w:bookmarkEnd w:id="166"/>
    <w:sectPr>
      <w:headerReference r:id="rId7" w:type="default"/>
      <w:footerReference r:id="rId8" w:type="default"/>
      <w:pgSz w:w="11906" w:h="16838"/>
      <w:pgMar w:top="1440" w:right="1335" w:bottom="1361" w:left="1531" w:header="851" w:footer="992" w:gutter="0"/>
      <w:pgNumType w:fmt="decimal"/>
      <w:cols w:space="425"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283" w:usb1="288F0000" w:usb2="00000006" w:usb3="00000000" w:csb0="00040001" w:csb1="00000000"/>
  </w:font>
  <w:font w:name="华文宋体">
    <w:altName w:val="宋体"/>
    <w:panose1 w:val="02010600040101010101"/>
    <w:charset w:val="86"/>
    <w:family w:val="auto"/>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3587B">
    <w:pPr>
      <w:pStyle w:val="1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AA2F73">
                          <w:pPr>
                            <w:pStyle w:val="15"/>
                          </w:pPr>
                          <w:r>
                            <w:t xml:space="preserve">第 </w:t>
                          </w:r>
                          <w:r>
                            <w:fldChar w:fldCharType="begin"/>
                          </w:r>
                          <w:r>
                            <w:instrText xml:space="preserve"> PAGE  \* MERGEFORMAT </w:instrText>
                          </w:r>
                          <w:r>
                            <w:fldChar w:fldCharType="separate"/>
                          </w:r>
                          <w:r>
                            <w:t>- 1 -</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FM6/osAgAAV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4o0Uyh4Kcf308/&#10;H06/vpE3UZ7W+hmi7i3iQvfOdGia4dzjMLLuKqfiF3wI/BD3eBFXdIHweGk6mU5zuDh8wwb42eN1&#10;63x4L4wi0SioQ/WSqOyw8aEPHUJiNm3WjZSpglKTtqBXr9/m6cLFA3CpkSOS6B8brdBtuzOzrSmP&#10;IOZM3xne8nWD5Bvmwx1zaAU8GMMSbrFU0iCJOVuU1MZ9/dd5jEeF4KWkRWsVVGOSKJEfNCoHwDAY&#10;bjC2g6H36sagV8cYQsuTiQsuyMGsnFFfMEHLmAMupjkyFTQM5k3o2xsTyMVymYLQa5aFjb63PEJH&#10;8bxd7gMETLpGUXolzlqh21JlzpMR2/nPfYp6/Bss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UUzr+iwCAABVBAAADgAAAAAAAAABACAAAAAfAQAAZHJzL2Uyb0RvYy54bWxQSwUGAAAAAAYA&#10;BgBZAQAAvQUAAAAA&#10;">
              <v:fill on="f" focussize="0,0"/>
              <v:stroke on="f" weight="0.5pt"/>
              <v:imagedata o:title=""/>
              <o:lock v:ext="edit" aspectratio="f"/>
              <v:textbox inset="0mm,0mm,0mm,0mm" style="mso-fit-shape-to-text:t;">
                <w:txbxContent>
                  <w:p w14:paraId="0CAA2F73">
                    <w:pPr>
                      <w:pStyle w:val="15"/>
                    </w:pPr>
                    <w:r>
                      <w:t xml:space="preserve">第 </w:t>
                    </w:r>
                    <w:r>
                      <w:fldChar w:fldCharType="begin"/>
                    </w:r>
                    <w:r>
                      <w:instrText xml:space="preserve"> PAGE  \* MERGEFORMAT </w:instrText>
                    </w:r>
                    <w:r>
                      <w:fldChar w:fldCharType="separate"/>
                    </w:r>
                    <w:r>
                      <w:t>- 1 -</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2D443">
    <w:pPr>
      <w:kinsoku w:val="0"/>
      <w:autoSpaceDE w:val="0"/>
      <w:autoSpaceDN w:val="0"/>
      <w:adjustRightInd w:val="0"/>
      <w:snapToGrid w:val="0"/>
      <w:spacing w:line="176" w:lineRule="auto"/>
      <w:ind w:left="4080"/>
      <w:jc w:val="left"/>
      <w:textAlignment w:val="baseline"/>
      <w:rPr>
        <w:rFonts w:ascii="Times New Roman" w:hAnsi="Times New Roman" w:eastAsia="Times New Roman" w:cs="Times New Roman"/>
        <w:snapToGrid w:val="0"/>
        <w:color w:val="000000"/>
        <w:kern w:val="0"/>
        <w:sz w:val="18"/>
        <w:szCs w:val="18"/>
        <w:lang w:eastAsia="en-US"/>
      </w:rPr>
    </w:pPr>
    <w:r>
      <w:rPr>
        <w:rFonts w:ascii="Arial" w:hAnsi="Arial" w:eastAsia="Arial" w:cs="Arial"/>
        <w:snapToGrid w:val="0"/>
        <w:color w:val="000000"/>
        <w:kern w:val="0"/>
        <w:sz w:val="18"/>
        <w:szCs w:val="21"/>
        <w:lang w:eastAsia="en-US"/>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F211FB">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t xml:space="preserve">第 </w:t>
                          </w: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52</w:t>
                          </w:r>
                          <w:r>
                            <w:rPr>
                              <w:rFonts w:ascii="Arial" w:hAnsi="Arial" w:eastAsia="Arial" w:cs="Arial"/>
                              <w:snapToGrid w:val="0"/>
                              <w:color w:val="000000"/>
                              <w:kern w:val="0"/>
                              <w:sz w:val="18"/>
                              <w:szCs w:val="21"/>
                              <w:lang w:val="en-US" w:eastAsia="en-US" w:bidi="ar-SA"/>
                            </w:rPr>
                            <w:fldChar w:fldCharType="end"/>
                          </w:r>
                          <w:r>
                            <w:rPr>
                              <w:rFonts w:ascii="Arial" w:hAnsi="Arial" w:eastAsia="Arial" w:cs="Arial"/>
                              <w:snapToGrid w:val="0"/>
                              <w:color w:val="000000"/>
                              <w:kern w:val="0"/>
                              <w:sz w:val="18"/>
                              <w:szCs w:val="21"/>
                              <w:lang w:val="en-US" w:eastAsia="en-US" w:bidi="ar-SA"/>
                            </w:rPr>
                            <w:t xml:space="preserve"> 页 共 </w:t>
                          </w: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NUMPAGES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68</w:t>
                          </w:r>
                          <w:r>
                            <w:rPr>
                              <w:rFonts w:ascii="Arial" w:hAnsi="Arial" w:eastAsia="Arial" w:cs="Arial"/>
                              <w:snapToGrid w:val="0"/>
                              <w:color w:val="000000"/>
                              <w:kern w:val="0"/>
                              <w:sz w:val="18"/>
                              <w:szCs w:val="21"/>
                              <w:lang w:val="en-US" w:eastAsia="en-US" w:bidi="ar-SA"/>
                            </w:rPr>
                            <w:fldChar w:fldCharType="end"/>
                          </w:r>
                          <w:r>
                            <w:rPr>
                              <w:rFonts w:ascii="Arial" w:hAnsi="Arial" w:eastAsia="Arial" w:cs="Arial"/>
                              <w:snapToGrid w:val="0"/>
                              <w:color w:val="000000"/>
                              <w:kern w:val="0"/>
                              <w:sz w:val="18"/>
                              <w:szCs w:val="21"/>
                              <w:lang w:val="en-US" w:eastAsia="en-US" w:bidi="ar-SA"/>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8EfH05AgAAcQQAAA4AAABkcnMvZTJvRG9jLnhtbK1UzY7TMBC+I/EO&#10;lu80aRFLqZ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Ys6JvXlGim0PHT92+n&#10;H79OP78S3EGg1voZ4jYWkaF7azqMzXDvcRl5d5VT8ReMCPyQ93iRV3SB8PhoOplOc7g4fMMB+NnD&#10;c+t8eCeMItEoqEP/kqzscOtDHzqExGzarBspUw+lJm1Br16+ytODiwfgUsdYkabhDBMp9aVHK3Tb&#10;7sxza8ojaDrTT4q3fN2glFvmwz1zGA2Uj+UJd/hU0iClOVuU1MZ9+dd9jEfH4KWkxagVVGOzKJHv&#10;NToJwDAYbjC2g6H36sZgdsdYSsuTiQcuyMGsnFGfsVHLmAMupjkyFTQM5k3oxx0bycVymYL21jW7&#10;un+AObQs3OqN5TFNlMrb5T5A2qR4FKhXBZ2KB0xi6tl5a+Ko/3lOUQ//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F8EfH05AgAAcQQAAA4AAAAAAAAAAQAgAAAAHwEAAGRycy9lMm9Eb2Mu&#10;eG1sUEsFBgAAAAAGAAYAWQEAAMoFAAAAAA==&#10;">
              <v:fill on="f" focussize="0,0"/>
              <v:stroke on="f" weight="0.5pt"/>
              <v:imagedata o:title=""/>
              <o:lock v:ext="edit" aspectratio="f"/>
              <v:textbox inset="0mm,0mm,0mm,0mm" style="mso-fit-shape-to-text:t;">
                <w:txbxContent>
                  <w:p w14:paraId="7EF211FB">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t xml:space="preserve">第 </w:t>
                    </w: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52</w:t>
                    </w:r>
                    <w:r>
                      <w:rPr>
                        <w:rFonts w:ascii="Arial" w:hAnsi="Arial" w:eastAsia="Arial" w:cs="Arial"/>
                        <w:snapToGrid w:val="0"/>
                        <w:color w:val="000000"/>
                        <w:kern w:val="0"/>
                        <w:sz w:val="18"/>
                        <w:szCs w:val="21"/>
                        <w:lang w:val="en-US" w:eastAsia="en-US" w:bidi="ar-SA"/>
                      </w:rPr>
                      <w:fldChar w:fldCharType="end"/>
                    </w:r>
                    <w:r>
                      <w:rPr>
                        <w:rFonts w:ascii="Arial" w:hAnsi="Arial" w:eastAsia="Arial" w:cs="Arial"/>
                        <w:snapToGrid w:val="0"/>
                        <w:color w:val="000000"/>
                        <w:kern w:val="0"/>
                        <w:sz w:val="18"/>
                        <w:szCs w:val="21"/>
                        <w:lang w:val="en-US" w:eastAsia="en-US" w:bidi="ar-SA"/>
                      </w:rPr>
                      <w:t xml:space="preserve"> 页 共 </w:t>
                    </w: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NUMPAGES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68</w:t>
                    </w:r>
                    <w:r>
                      <w:rPr>
                        <w:rFonts w:ascii="Arial" w:hAnsi="Arial" w:eastAsia="Arial" w:cs="Arial"/>
                        <w:snapToGrid w:val="0"/>
                        <w:color w:val="000000"/>
                        <w:kern w:val="0"/>
                        <w:sz w:val="18"/>
                        <w:szCs w:val="21"/>
                        <w:lang w:val="en-US" w:eastAsia="en-US" w:bidi="ar-SA"/>
                      </w:rPr>
                      <w:fldChar w:fldCharType="end"/>
                    </w:r>
                    <w:r>
                      <w:rPr>
                        <w:rFonts w:ascii="Arial" w:hAnsi="Arial" w:eastAsia="Arial" w:cs="Arial"/>
                        <w:snapToGrid w:val="0"/>
                        <w:color w:val="000000"/>
                        <w:kern w:val="0"/>
                        <w:sz w:val="18"/>
                        <w:szCs w:val="21"/>
                        <w:lang w:val="en-US" w:eastAsia="en-US" w:bidi="ar-SA"/>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82C20">
    <w:pPr>
      <w:framePr w:wrap="around" w:vAnchor="text" w:hAnchor="margin" w:xAlign="right" w:y="1"/>
      <w:widowControl w:val="0"/>
      <w:snapToGrid w:val="0"/>
      <w:jc w:val="left"/>
      <w:rPr>
        <w:rStyle w:val="30"/>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Style w:val="30"/>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18"/>
        <w:szCs w:val="18"/>
        <w:lang w:val="en-US" w:eastAsia="zh-CN" w:bidi="ar-SA"/>
      </w:rPr>
      <w:fldChar w:fldCharType="end"/>
    </w:r>
  </w:p>
  <w:p w14:paraId="38CAB1C6">
    <w:pPr>
      <w:widowControl w:val="0"/>
      <w:snapToGrid w:val="0"/>
      <w:ind w:right="360"/>
      <w:jc w:val="left"/>
      <w:rPr>
        <w:rFonts w:ascii="Times New Roman" w:hAnsi="Times New Roman" w:eastAsia="宋体" w:cs="Times New Roman"/>
        <w:kern w:val="2"/>
        <w:sz w:val="18"/>
        <w:szCs w:val="18"/>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66AB0">
    <w:pPr>
      <w:widowControl w:val="0"/>
      <w:snapToGrid w:val="0"/>
      <w:ind w:right="36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wps:spPr>
                    <wps:txbx>
                      <w:txbxContent>
                        <w:p w14:paraId="567FC84A">
                          <w:pPr>
                            <w:widowControl w:val="0"/>
                            <w:snapToGrid w:val="0"/>
                            <w:jc w:val="center"/>
                            <w:rPr>
                              <w:rStyle w:val="30"/>
                              <w:rFonts w:ascii="宋体" w:hAnsi="宋体" w:eastAsia="宋体" w:cs="Times New Roman"/>
                              <w:kern w:val="2"/>
                              <w:sz w:val="21"/>
                              <w:szCs w:val="21"/>
                              <w:lang w:val="en-US" w:eastAsia="zh-CN" w:bidi="ar-SA"/>
                            </w:rPr>
                          </w:pPr>
                          <w:r>
                            <w:rPr>
                              <w:rStyle w:val="30"/>
                              <w:rFonts w:ascii="宋体" w:hAnsi="宋体" w:cs="Times New Roman"/>
                              <w:kern w:val="2"/>
                              <w:sz w:val="21"/>
                              <w:szCs w:val="21"/>
                              <w:lang w:val="en-US" w:eastAsia="zh-CN" w:bidi="ar-SA"/>
                            </w:rPr>
                            <w:t xml:space="preserve">第 </w:t>
                          </w:r>
                          <w:r>
                            <w:rPr>
                              <w:rStyle w:val="30"/>
                              <w:rFonts w:ascii="宋体" w:hAnsi="宋体" w:cs="Times New Roman"/>
                              <w:kern w:val="2"/>
                              <w:sz w:val="21"/>
                              <w:szCs w:val="21"/>
                              <w:lang w:val="en-US" w:eastAsia="zh-CN" w:bidi="ar-SA"/>
                            </w:rPr>
                            <w:fldChar w:fldCharType="begin"/>
                          </w:r>
                          <w:r>
                            <w:rPr>
                              <w:rStyle w:val="30"/>
                              <w:rFonts w:ascii="宋体" w:hAnsi="宋体" w:cs="Times New Roman"/>
                              <w:kern w:val="2"/>
                              <w:sz w:val="21"/>
                              <w:szCs w:val="21"/>
                              <w:lang w:val="en-US" w:eastAsia="zh-CN" w:bidi="ar-SA"/>
                            </w:rPr>
                            <w:instrText xml:space="preserve"> PAGE  \* MERGEFORMAT </w:instrText>
                          </w:r>
                          <w:r>
                            <w:rPr>
                              <w:rStyle w:val="30"/>
                              <w:rFonts w:ascii="宋体" w:hAnsi="宋体" w:cs="Times New Roman"/>
                              <w:kern w:val="2"/>
                              <w:sz w:val="21"/>
                              <w:szCs w:val="21"/>
                              <w:lang w:val="en-US" w:eastAsia="zh-CN" w:bidi="ar-SA"/>
                            </w:rPr>
                            <w:fldChar w:fldCharType="separate"/>
                          </w:r>
                          <w:r>
                            <w:rPr>
                              <w:rStyle w:val="30"/>
                              <w:rFonts w:ascii="宋体" w:hAnsi="宋体" w:cs="Times New Roman"/>
                              <w:kern w:val="2"/>
                              <w:sz w:val="21"/>
                              <w:szCs w:val="21"/>
                              <w:lang w:val="en-US" w:eastAsia="zh-CN" w:bidi="ar-SA"/>
                            </w:rPr>
                            <w:t>85</w:t>
                          </w:r>
                          <w:r>
                            <w:rPr>
                              <w:rStyle w:val="30"/>
                              <w:rFonts w:ascii="宋体" w:hAnsi="宋体" w:cs="Times New Roman"/>
                              <w:kern w:val="2"/>
                              <w:sz w:val="21"/>
                              <w:szCs w:val="21"/>
                              <w:lang w:val="en-US" w:eastAsia="zh-CN" w:bidi="ar-SA"/>
                            </w:rPr>
                            <w:fldChar w:fldCharType="end"/>
                          </w:r>
                          <w:r>
                            <w:rPr>
                              <w:rStyle w:val="30"/>
                              <w:rFonts w:ascii="宋体" w:hAnsi="宋体" w:cs="Times New Roman"/>
                              <w:kern w:val="2"/>
                              <w:sz w:val="21"/>
                              <w:szCs w:val="21"/>
                              <w:lang w:val="en-US" w:eastAsia="zh-CN" w:bidi="ar-SA"/>
                            </w:rPr>
                            <w:t xml:space="preserve"> 页</w:t>
                          </w:r>
                        </w:p>
                      </w:txbxContent>
                    </wps:txbx>
                    <wps:bodyPr rot="0" vert="horz" wrap="none" lIns="0" tIns="0" rIns="0" bIns="0" anchor="t" anchorCtr="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AVfm5ThAQAAxAMAAA4AAABkcnMvZTJvRG9jLnhtbK1TwY7TMBC9&#10;I/EPlu802YKgipqugGoREgKkhQ9wHaexZHussdukfAD8AScu3PmufgdjJ+nCctkDl2TsGb9573m8&#10;vh6sYUeFQYOr+dWi5Ew5CY12+5p//nTzZMVZiMI1woBTNT+pwK83jx+te1+pJXRgGoWMQFyoel/z&#10;LkZfFUWQnbIiLMArR8kW0IpIS9wXDYqe0K0plmX5vOgBG48gVQi0ux2TfELEhwBC22qptiAPVrk4&#10;oqIyIpKk0Gkf+CazbVsl44e2DSoyU3NSGvOXmlC8S99isxbVHoXvtJwoiIdQuKfJCu2o6QVqK6Jg&#10;B9T/QFktEQK0cSHBFqOQ7AipuCrveXPbCa+yFrI6+Ivp4f/ByvfHj8h0U/OnnDlh6cLP37+df/w6&#10;//zKniV7eh8qqrr1VBeHVzDQ0Mz7gTaT6qFFm/6kh1GezD1dzFVDZDIdWi1Xq5JSknLzgvCLu+Me&#10;Q3yjwLIU1Bzp9rKp4vguxLF0LkndHNxoY/INGsd6Ql2+oAZ/pQjdOGqSVIxsUxSH3TBJ20FzImUI&#10;42jQw6CgA/zCWU9jUXNHr4Az89aR62mC5gDnYDcHwkk6WPPI2Ri+jnnSEqHgXx4i8c0yEoWx78SM&#10;LjcbMQ1imp4/17nq7vFt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yJ92v0wAAAAUBAAAPAAAA&#10;AAAAAAEAIAAAACIAAABkcnMvZG93bnJldi54bWxQSwECFAAUAAAACACHTuJABV+blOEBAADEAwAA&#10;DgAAAAAAAAABACAAAAAiAQAAZHJzL2Uyb0RvYy54bWxQSwUGAAAAAAYABgBZAQAAdQUAAAAA&#10;">
              <v:fill on="f" focussize="0,0"/>
              <v:stroke on="f" weight="1pt"/>
              <v:imagedata o:title=""/>
              <o:lock v:ext="edit" aspectratio="f"/>
              <v:textbox inset="0mm,0mm,0mm,0mm" style="mso-fit-shape-to-text:t;">
                <w:txbxContent>
                  <w:p w14:paraId="567FC84A">
                    <w:pPr>
                      <w:widowControl w:val="0"/>
                      <w:snapToGrid w:val="0"/>
                      <w:jc w:val="center"/>
                      <w:rPr>
                        <w:rStyle w:val="30"/>
                        <w:rFonts w:ascii="宋体" w:hAnsi="宋体" w:eastAsia="宋体" w:cs="Times New Roman"/>
                        <w:kern w:val="2"/>
                        <w:sz w:val="21"/>
                        <w:szCs w:val="21"/>
                        <w:lang w:val="en-US" w:eastAsia="zh-CN" w:bidi="ar-SA"/>
                      </w:rPr>
                    </w:pPr>
                    <w:r>
                      <w:rPr>
                        <w:rStyle w:val="30"/>
                        <w:rFonts w:ascii="宋体" w:hAnsi="宋体" w:cs="Times New Roman"/>
                        <w:kern w:val="2"/>
                        <w:sz w:val="21"/>
                        <w:szCs w:val="21"/>
                        <w:lang w:val="en-US" w:eastAsia="zh-CN" w:bidi="ar-SA"/>
                      </w:rPr>
                      <w:t xml:space="preserve">第 </w:t>
                    </w:r>
                    <w:r>
                      <w:rPr>
                        <w:rStyle w:val="30"/>
                        <w:rFonts w:ascii="宋体" w:hAnsi="宋体" w:cs="Times New Roman"/>
                        <w:kern w:val="2"/>
                        <w:sz w:val="21"/>
                        <w:szCs w:val="21"/>
                        <w:lang w:val="en-US" w:eastAsia="zh-CN" w:bidi="ar-SA"/>
                      </w:rPr>
                      <w:fldChar w:fldCharType="begin"/>
                    </w:r>
                    <w:r>
                      <w:rPr>
                        <w:rStyle w:val="30"/>
                        <w:rFonts w:ascii="宋体" w:hAnsi="宋体" w:cs="Times New Roman"/>
                        <w:kern w:val="2"/>
                        <w:sz w:val="21"/>
                        <w:szCs w:val="21"/>
                        <w:lang w:val="en-US" w:eastAsia="zh-CN" w:bidi="ar-SA"/>
                      </w:rPr>
                      <w:instrText xml:space="preserve"> PAGE  \* MERGEFORMAT </w:instrText>
                    </w:r>
                    <w:r>
                      <w:rPr>
                        <w:rStyle w:val="30"/>
                        <w:rFonts w:ascii="宋体" w:hAnsi="宋体" w:cs="Times New Roman"/>
                        <w:kern w:val="2"/>
                        <w:sz w:val="21"/>
                        <w:szCs w:val="21"/>
                        <w:lang w:val="en-US" w:eastAsia="zh-CN" w:bidi="ar-SA"/>
                      </w:rPr>
                      <w:fldChar w:fldCharType="separate"/>
                    </w:r>
                    <w:r>
                      <w:rPr>
                        <w:rStyle w:val="30"/>
                        <w:rFonts w:ascii="宋体" w:hAnsi="宋体" w:cs="Times New Roman"/>
                        <w:kern w:val="2"/>
                        <w:sz w:val="21"/>
                        <w:szCs w:val="21"/>
                        <w:lang w:val="en-US" w:eastAsia="zh-CN" w:bidi="ar-SA"/>
                      </w:rPr>
                      <w:t>85</w:t>
                    </w:r>
                    <w:r>
                      <w:rPr>
                        <w:rStyle w:val="30"/>
                        <w:rFonts w:ascii="宋体" w:hAnsi="宋体" w:cs="Times New Roman"/>
                        <w:kern w:val="2"/>
                        <w:sz w:val="21"/>
                        <w:szCs w:val="21"/>
                        <w:lang w:val="en-US" w:eastAsia="zh-CN" w:bidi="ar-SA"/>
                      </w:rPr>
                      <w:fldChar w:fldCharType="end"/>
                    </w:r>
                    <w:r>
                      <w:rPr>
                        <w:rStyle w:val="30"/>
                        <w:rFonts w:ascii="宋体" w:hAnsi="宋体" w:cs="Times New Roman"/>
                        <w:kern w:val="2"/>
                        <w:sz w:val="21"/>
                        <w:szCs w:val="21"/>
                        <w:lang w:val="en-US" w:eastAsia="zh-CN" w:bidi="ar-SA"/>
                      </w:rPr>
                      <w:t xml:space="preserve"> 页</w:t>
                    </w:r>
                  </w:p>
                </w:txbxContent>
              </v:textbox>
            </v:shape>
          </w:pict>
        </mc:Fallback>
      </mc:AlternateContent>
    </w:r>
  </w:p>
  <w:p w14:paraId="042CFDA8">
    <w:pPr>
      <w:widowControl w:val="0"/>
      <w:rPr>
        <w:rFonts w:ascii="Times New Roman" w:hAnsi="Times New Roman" w:eastAsia="宋体" w:cs="Times New Roma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08872">
    <w:pPr>
      <w:pStyle w:val="46"/>
      <w:jc w:val="right"/>
      <w:rPr>
        <w:rStyle w:val="29"/>
        <w:sz w:val="21"/>
        <w:szCs w:val="21"/>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BDCF18A">
                          <w:pPr>
                            <w:pStyle w:val="15"/>
                          </w:pPr>
                          <w:r>
                            <w:t xml:space="preserve">第 </w:t>
                          </w:r>
                          <w:r>
                            <w:fldChar w:fldCharType="begin"/>
                          </w:r>
                          <w:r>
                            <w:instrText xml:space="preserve"> PAGE  \* MERGEFORMAT </w:instrText>
                          </w:r>
                          <w:r>
                            <w:fldChar w:fldCharType="separate"/>
                          </w:r>
                          <w:r>
                            <w:t>86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cd/eQyAgAAYwQAAA4AAABkcnMvZTJvRG9jLnhtbK1UzY7TMBC+I/EO&#10;lu80aRd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r6mRDOFhp++fzv9&#10;+HX6+ZVcRXla62eIerCIC91b02FohnuPy8i6q5yKv+BD4Ie4x4u4oguEx0fTyXSaw8XhGw7Azx6f&#10;W+fDO2EUiUZBHbqXRGWHjQ996BASs2mzbqRMHZSatAW9vnq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x395DICAABjBAAADgAAAAAAAAABACAAAAAfAQAAZHJzL2Uyb0RvYy54bWxQSwUG&#10;AAAAAAYABgBZAQAAwwUAAAAA&#10;">
              <v:fill on="f" focussize="0,0"/>
              <v:stroke on="f" weight="0.5pt"/>
              <v:imagedata o:title=""/>
              <o:lock v:ext="edit" aspectratio="f"/>
              <v:textbox inset="0mm,0mm,0mm,0mm" style="mso-fit-shape-to-text:t;">
                <w:txbxContent>
                  <w:p w14:paraId="0BDCF18A">
                    <w:pPr>
                      <w:pStyle w:val="15"/>
                    </w:pPr>
                    <w:r>
                      <w:t xml:space="preserve">第 </w:t>
                    </w:r>
                    <w:r>
                      <w:fldChar w:fldCharType="begin"/>
                    </w:r>
                    <w:r>
                      <w:instrText xml:space="preserve"> PAGE  \* MERGEFORMAT </w:instrText>
                    </w:r>
                    <w:r>
                      <w:fldChar w:fldCharType="separate"/>
                    </w:r>
                    <w:r>
                      <w:t>86</w:t>
                    </w:r>
                    <w:r>
                      <w:fldChar w:fldCharType="end"/>
                    </w:r>
                    <w:r>
                      <w:t xml:space="preserve"> 页</w:t>
                    </w:r>
                  </w:p>
                </w:txbxContent>
              </v:textbox>
            </v:shape>
          </w:pict>
        </mc:Fallback>
      </mc:AlternateContent>
    </w:r>
    <w:r>
      <w:rPr>
        <w:rStyle w:val="29"/>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a:effectLst/>
                    </wps:spPr>
                    <wps:txbx>
                      <w:txbxContent>
                        <w:p w14:paraId="60A6A481">
                          <w:pPr>
                            <w:pStyle w:val="46"/>
                            <w:jc w:val="right"/>
                            <w:rPr>
                              <w:rStyle w:val="29"/>
                            </w:rPr>
                          </w:pPr>
                        </w:p>
                        <w:p w14:paraId="7E7E8A0B">
                          <w:pPr>
                            <w:rPr>
                              <w:rStyle w:val="29"/>
                            </w:rPr>
                          </w:pPr>
                        </w:p>
                      </w:txbxContent>
                    </wps:txbx>
                    <wps:bodyPr rot="0" vert="horz" wrap="square" lIns="0" tIns="0" rIns="0" bIns="0" anchor="t" anchorCtr="0"/>
                  </wps:wsp>
                </a:graphicData>
              </a:graphic>
            </wp:anchor>
          </w:drawing>
        </mc:Choice>
        <mc:Fallback>
          <w:pict>
            <v:shape id="文本框 1025" o:spid="_x0000_s1026" o:spt="202" type="#_x0000_t202"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6gRRSdIAAAAF&#10;AQAADwAAAGRycy9kb3ducmV2LnhtbE2PzUvDQBDF74L/wzKCN7tpDhJiNgUVkd5sK0Jv0+zkg2Zn&#10;0+ymH/+9owj2MszjDW9+r1icXa+ONIbOs4H5LAFFXHnbcWPgc/P2kIEKEdli75kMXCjAory9KTC3&#10;/sQrOq5joySEQ44G2hiHXOtQteQwzPxALF7tR4dR5NhoO+JJwl2v0yR51A47lg8tDvTSUrVfT84A&#10;b/ebQ7OkdPlMH+/29VB/bafamPu7efIEKtI5/h/DD76gQylMOz+xDao3IEXi7xQvzTKRu79Fl4W+&#10;pi+/AVBLAwQUAAAACACHTuJAwSRi298BAAC9AwAADgAAAGRycy9lMm9Eb2MueG1srVPBjtMwEL0j&#10;8Q+W7zRppIUqaroSVIuQECAtfIDrOE0k22PGbpPyAfAHnLhw57v6HYydpAu7lz3sJRnPjN/Mm3le&#10;Xw9Gs6NC34Gt+HKRc6ashLqz+4p/+XzzYsWZD8LWQoNVFT8pz683z5+te1eqAlrQtUJGINaXvat4&#10;G4Irs8zLVhnhF+CUpWADaESgI+6zGkVP6EZnRZ6/zHrA2iFI5T15t2OQT4j4GEBomk6qLciDUTaM&#10;qKi0CETJt53zfJO6bRolw8em8SowXXFiGtKXipC9i99ssxblHoVrOzm1IB7Twj1ORnSWil6gtiII&#10;dsDuAZTpJIKHJiwkmGwkkiZCLJb5vdnctsKpxIVG7d1l6P7pYOWH4ydkXV3xK86sMLTw888f519/&#10;zr+/s2VeXMUJ9c6XlHjrKDUMr2Eg3cx+T85IfGjQxD9RYhSn+Z4u81VDYDJeWhWrVU4hSbH5QPjZ&#10;3XWHPrxVYFg0Ko60wDRXcXzvw5g6p8RqFm46rdMStWU9oRavqMB/IULXNnpU0sOEEzmNvUcrDLth&#10;IrqD+kQ8EUat0EshowX8xllPOqm4/3oQqDjT7ywtIopqNnA2drMhrKSrFQ+cjeabkMQXmcS6tNVE&#10;f1JglM2/55R19+o2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qBFFJ0gAAAAUBAAAPAAAAAAAA&#10;AAEAIAAAACIAAABkcnMvZG93bnJldi54bWxQSwECFAAUAAAACACHTuJAwSRi298BAAC9AwAADgAA&#10;AAAAAAABACAAAAAhAQAAZHJzL2Uyb0RvYy54bWxQSwUGAAAAAAYABgBZAQAAcgUAAAAA&#10;">
              <v:fill on="f" focussize="0,0"/>
              <v:stroke on="f" weight="1pt"/>
              <v:imagedata o:title=""/>
              <o:lock v:ext="edit" aspectratio="f"/>
              <v:textbox inset="0mm,0mm,0mm,0mm">
                <w:txbxContent>
                  <w:p w14:paraId="60A6A481">
                    <w:pPr>
                      <w:pStyle w:val="46"/>
                      <w:jc w:val="right"/>
                      <w:rPr>
                        <w:rStyle w:val="29"/>
                      </w:rPr>
                    </w:pPr>
                  </w:p>
                  <w:p w14:paraId="7E7E8A0B">
                    <w:pPr>
                      <w:rPr>
                        <w:rStyle w:val="29"/>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12A85">
    <w:pPr>
      <w:pStyle w:val="16"/>
      <w:pBdr>
        <w:bottom w:val="none" w:color="auto" w:sz="0" w:space="0"/>
      </w:pBdr>
      <w:tabs>
        <w:tab w:val="center" w:pos="4140"/>
        <w:tab w:val="right" w:pos="8300"/>
        <w:tab w:val="clear" w:pos="4153"/>
        <w:tab w:val="clear" w:pos="8306"/>
      </w:tabs>
      <w:jc w:val="both"/>
      <w:rPr>
        <w:rFonts w:ascii="仿宋_GB2312" w:eastAsia="仿宋_GB2312"/>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22C007"/>
    <w:multiLevelType w:val="singleLevel"/>
    <w:tmpl w:val="A422C007"/>
    <w:lvl w:ilvl="0" w:tentative="0">
      <w:start w:val="2"/>
      <w:numFmt w:val="chineseCounting"/>
      <w:suff w:val="nothing"/>
      <w:lvlText w:val="（%1）"/>
      <w:lvlJc w:val="left"/>
      <w:rPr>
        <w:rFonts w:hint="eastAsia"/>
      </w:rPr>
    </w:lvl>
  </w:abstractNum>
  <w:abstractNum w:abstractNumId="1">
    <w:nsid w:val="A4342F25"/>
    <w:multiLevelType w:val="singleLevel"/>
    <w:tmpl w:val="A4342F25"/>
    <w:lvl w:ilvl="0" w:tentative="0">
      <w:start w:val="1"/>
      <w:numFmt w:val="chineseCounting"/>
      <w:suff w:val="nothing"/>
      <w:lvlText w:val="%1、"/>
      <w:lvlJc w:val="left"/>
      <w:rPr>
        <w:rFonts w:hint="eastAsia"/>
      </w:rPr>
    </w:lvl>
  </w:abstractNum>
  <w:abstractNum w:abstractNumId="2">
    <w:nsid w:val="EE1DA5C4"/>
    <w:multiLevelType w:val="singleLevel"/>
    <w:tmpl w:val="EE1DA5C4"/>
    <w:lvl w:ilvl="0" w:tentative="0">
      <w:start w:val="2"/>
      <w:numFmt w:val="decimal"/>
      <w:suff w:val="nothing"/>
      <w:lvlText w:val="%1、"/>
      <w:lvlJc w:val="left"/>
    </w:lvl>
  </w:abstractNum>
  <w:abstractNum w:abstractNumId="3">
    <w:nsid w:val="4F682A86"/>
    <w:multiLevelType w:val="singleLevel"/>
    <w:tmpl w:val="4F682A86"/>
    <w:lvl w:ilvl="0" w:tentative="0">
      <w:start w:val="1"/>
      <w:numFmt w:val="decimal"/>
      <w:lvlText w:val="(%1)"/>
      <w:lvlJc w:val="left"/>
      <w:pPr>
        <w:ind w:left="425" w:hanging="425"/>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1"/>
    </o:shapelayout>
  </w:hdrShapeDefaults>
  <w:compat>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0E7"/>
    <w:rsid w:val="002E2759"/>
    <w:rsid w:val="004874D5"/>
    <w:rsid w:val="00776B1B"/>
    <w:rsid w:val="007D413D"/>
    <w:rsid w:val="00862EC2"/>
    <w:rsid w:val="009478D7"/>
    <w:rsid w:val="00A52655"/>
    <w:rsid w:val="00BD5A36"/>
    <w:rsid w:val="00C35C46"/>
    <w:rsid w:val="00D730E7"/>
    <w:rsid w:val="00F023CB"/>
    <w:rsid w:val="01192C1F"/>
    <w:rsid w:val="0119548C"/>
    <w:rsid w:val="01657C13"/>
    <w:rsid w:val="017E2A82"/>
    <w:rsid w:val="01995B0E"/>
    <w:rsid w:val="01AD154A"/>
    <w:rsid w:val="01B70EAE"/>
    <w:rsid w:val="01BB4E57"/>
    <w:rsid w:val="01E274B5"/>
    <w:rsid w:val="01E7687A"/>
    <w:rsid w:val="01ED7B39"/>
    <w:rsid w:val="0211106C"/>
    <w:rsid w:val="02122355"/>
    <w:rsid w:val="02523F0F"/>
    <w:rsid w:val="02685A42"/>
    <w:rsid w:val="02707A7F"/>
    <w:rsid w:val="030C3EE4"/>
    <w:rsid w:val="033F228F"/>
    <w:rsid w:val="036D1000"/>
    <w:rsid w:val="03885E3A"/>
    <w:rsid w:val="038E0EE8"/>
    <w:rsid w:val="03B05E93"/>
    <w:rsid w:val="03D66BA6"/>
    <w:rsid w:val="04117450"/>
    <w:rsid w:val="041B0A5C"/>
    <w:rsid w:val="0425568D"/>
    <w:rsid w:val="046F57C5"/>
    <w:rsid w:val="04B113EE"/>
    <w:rsid w:val="04FE5A96"/>
    <w:rsid w:val="050B3FAC"/>
    <w:rsid w:val="05524D2C"/>
    <w:rsid w:val="059705B7"/>
    <w:rsid w:val="059D3E1F"/>
    <w:rsid w:val="05C145F9"/>
    <w:rsid w:val="05DD1062"/>
    <w:rsid w:val="060F3640"/>
    <w:rsid w:val="063A78C0"/>
    <w:rsid w:val="063C4C6B"/>
    <w:rsid w:val="06400C4E"/>
    <w:rsid w:val="0644139D"/>
    <w:rsid w:val="064424ED"/>
    <w:rsid w:val="067A30DF"/>
    <w:rsid w:val="06887A26"/>
    <w:rsid w:val="06B01930"/>
    <w:rsid w:val="06BD7EC9"/>
    <w:rsid w:val="06D51397"/>
    <w:rsid w:val="06E65352"/>
    <w:rsid w:val="077C7A64"/>
    <w:rsid w:val="07972AF0"/>
    <w:rsid w:val="07B13BB2"/>
    <w:rsid w:val="07D6781B"/>
    <w:rsid w:val="081B102B"/>
    <w:rsid w:val="08430582"/>
    <w:rsid w:val="08803584"/>
    <w:rsid w:val="08856DEC"/>
    <w:rsid w:val="08B7365C"/>
    <w:rsid w:val="08D337C5"/>
    <w:rsid w:val="08E474E3"/>
    <w:rsid w:val="0922463B"/>
    <w:rsid w:val="09B23C11"/>
    <w:rsid w:val="09C96D07"/>
    <w:rsid w:val="0A2D14EA"/>
    <w:rsid w:val="0A55086D"/>
    <w:rsid w:val="0A5B7E05"/>
    <w:rsid w:val="0A8E01DA"/>
    <w:rsid w:val="0A9018DF"/>
    <w:rsid w:val="0AA21DE0"/>
    <w:rsid w:val="0AB90398"/>
    <w:rsid w:val="0ADB0F46"/>
    <w:rsid w:val="0AE20526"/>
    <w:rsid w:val="0B0B00C6"/>
    <w:rsid w:val="0B2226D0"/>
    <w:rsid w:val="0B3534C3"/>
    <w:rsid w:val="0B882E7B"/>
    <w:rsid w:val="0BB93035"/>
    <w:rsid w:val="0BDA01B2"/>
    <w:rsid w:val="0C86206D"/>
    <w:rsid w:val="0D006A41"/>
    <w:rsid w:val="0D200E92"/>
    <w:rsid w:val="0D584ACF"/>
    <w:rsid w:val="0DBA12E6"/>
    <w:rsid w:val="0DFD65F3"/>
    <w:rsid w:val="0E21719E"/>
    <w:rsid w:val="0EA14E9E"/>
    <w:rsid w:val="0EBD108E"/>
    <w:rsid w:val="0ED10695"/>
    <w:rsid w:val="0EF40143"/>
    <w:rsid w:val="0F0E13E1"/>
    <w:rsid w:val="0F1A1B3B"/>
    <w:rsid w:val="0F87216E"/>
    <w:rsid w:val="0F916077"/>
    <w:rsid w:val="0FA83AEC"/>
    <w:rsid w:val="0FFD1CF6"/>
    <w:rsid w:val="10264603"/>
    <w:rsid w:val="104F3F68"/>
    <w:rsid w:val="10834DDA"/>
    <w:rsid w:val="10AA55A4"/>
    <w:rsid w:val="111A2D88"/>
    <w:rsid w:val="11281176"/>
    <w:rsid w:val="11466C39"/>
    <w:rsid w:val="11847C41"/>
    <w:rsid w:val="11B40C80"/>
    <w:rsid w:val="11DA3D05"/>
    <w:rsid w:val="11F16D89"/>
    <w:rsid w:val="127C6E99"/>
    <w:rsid w:val="12B26A30"/>
    <w:rsid w:val="12B427A8"/>
    <w:rsid w:val="12F77D87"/>
    <w:rsid w:val="13053004"/>
    <w:rsid w:val="132D60B6"/>
    <w:rsid w:val="138008DC"/>
    <w:rsid w:val="13C842EA"/>
    <w:rsid w:val="13D6200D"/>
    <w:rsid w:val="140454AC"/>
    <w:rsid w:val="14EC4CF7"/>
    <w:rsid w:val="152E64F9"/>
    <w:rsid w:val="155B74B5"/>
    <w:rsid w:val="1571053A"/>
    <w:rsid w:val="15C2342E"/>
    <w:rsid w:val="15C251DC"/>
    <w:rsid w:val="15DD0268"/>
    <w:rsid w:val="15DF02A6"/>
    <w:rsid w:val="164107F7"/>
    <w:rsid w:val="16505637"/>
    <w:rsid w:val="16526560"/>
    <w:rsid w:val="1674297A"/>
    <w:rsid w:val="16970417"/>
    <w:rsid w:val="169C5A2D"/>
    <w:rsid w:val="17013AE2"/>
    <w:rsid w:val="17276DF7"/>
    <w:rsid w:val="17316DB0"/>
    <w:rsid w:val="17981D0B"/>
    <w:rsid w:val="179864B2"/>
    <w:rsid w:val="17E53404"/>
    <w:rsid w:val="181365A5"/>
    <w:rsid w:val="18253800"/>
    <w:rsid w:val="183C74C7"/>
    <w:rsid w:val="18452D21"/>
    <w:rsid w:val="185C4ACE"/>
    <w:rsid w:val="188B7B07"/>
    <w:rsid w:val="18977277"/>
    <w:rsid w:val="18BE188F"/>
    <w:rsid w:val="194A79C2"/>
    <w:rsid w:val="19BC4DD9"/>
    <w:rsid w:val="19CE069F"/>
    <w:rsid w:val="19D030B8"/>
    <w:rsid w:val="1A047E99"/>
    <w:rsid w:val="1A626F8D"/>
    <w:rsid w:val="1AAA6CCC"/>
    <w:rsid w:val="1ABD2416"/>
    <w:rsid w:val="1AE5728C"/>
    <w:rsid w:val="1AFD0129"/>
    <w:rsid w:val="1B2D748B"/>
    <w:rsid w:val="1B7328C1"/>
    <w:rsid w:val="1B7B6593"/>
    <w:rsid w:val="1BA64C58"/>
    <w:rsid w:val="1BCB5127"/>
    <w:rsid w:val="1BDC68CC"/>
    <w:rsid w:val="1BEC2FB3"/>
    <w:rsid w:val="1C646FED"/>
    <w:rsid w:val="1C68715B"/>
    <w:rsid w:val="1CA911A5"/>
    <w:rsid w:val="1CD81789"/>
    <w:rsid w:val="1D2D5631"/>
    <w:rsid w:val="1D343B2E"/>
    <w:rsid w:val="1D491D3F"/>
    <w:rsid w:val="1D580794"/>
    <w:rsid w:val="1D7A14FE"/>
    <w:rsid w:val="1D7D0304"/>
    <w:rsid w:val="1DA5630A"/>
    <w:rsid w:val="1DA750FA"/>
    <w:rsid w:val="1E360FE5"/>
    <w:rsid w:val="1E3E2817"/>
    <w:rsid w:val="1EB51D82"/>
    <w:rsid w:val="1EDF6DFF"/>
    <w:rsid w:val="1EFE5A2B"/>
    <w:rsid w:val="1F040613"/>
    <w:rsid w:val="1F130856"/>
    <w:rsid w:val="1F186E85"/>
    <w:rsid w:val="1F740D66"/>
    <w:rsid w:val="1F806537"/>
    <w:rsid w:val="1F9E56AE"/>
    <w:rsid w:val="20484530"/>
    <w:rsid w:val="204F39DD"/>
    <w:rsid w:val="205415F8"/>
    <w:rsid w:val="2095099D"/>
    <w:rsid w:val="20A8623E"/>
    <w:rsid w:val="20C0056A"/>
    <w:rsid w:val="20C938C2"/>
    <w:rsid w:val="20D710CE"/>
    <w:rsid w:val="21150062"/>
    <w:rsid w:val="214B77B2"/>
    <w:rsid w:val="215018EE"/>
    <w:rsid w:val="21B711B6"/>
    <w:rsid w:val="21CA23C7"/>
    <w:rsid w:val="21E8421C"/>
    <w:rsid w:val="21FA5C1C"/>
    <w:rsid w:val="22190A6B"/>
    <w:rsid w:val="22302C63"/>
    <w:rsid w:val="22325349"/>
    <w:rsid w:val="225557E4"/>
    <w:rsid w:val="22577105"/>
    <w:rsid w:val="22635651"/>
    <w:rsid w:val="228727F7"/>
    <w:rsid w:val="22A646E5"/>
    <w:rsid w:val="22BB548D"/>
    <w:rsid w:val="22E91E7E"/>
    <w:rsid w:val="22F76B15"/>
    <w:rsid w:val="23210D82"/>
    <w:rsid w:val="23243032"/>
    <w:rsid w:val="235721A5"/>
    <w:rsid w:val="23EE481C"/>
    <w:rsid w:val="24062738"/>
    <w:rsid w:val="243312B0"/>
    <w:rsid w:val="245636BF"/>
    <w:rsid w:val="24997A50"/>
    <w:rsid w:val="249C41ED"/>
    <w:rsid w:val="24B11017"/>
    <w:rsid w:val="24BD3DB7"/>
    <w:rsid w:val="24C43FC0"/>
    <w:rsid w:val="24EC7DDA"/>
    <w:rsid w:val="251E4A80"/>
    <w:rsid w:val="255045B2"/>
    <w:rsid w:val="2558104A"/>
    <w:rsid w:val="2574621F"/>
    <w:rsid w:val="25A05FE2"/>
    <w:rsid w:val="25BF0B7E"/>
    <w:rsid w:val="260D5FFF"/>
    <w:rsid w:val="26190E48"/>
    <w:rsid w:val="262B0B7B"/>
    <w:rsid w:val="265A320F"/>
    <w:rsid w:val="265B43D9"/>
    <w:rsid w:val="267F67D1"/>
    <w:rsid w:val="2687010C"/>
    <w:rsid w:val="26B40D32"/>
    <w:rsid w:val="26BE19EF"/>
    <w:rsid w:val="26CE3934"/>
    <w:rsid w:val="26E72CF4"/>
    <w:rsid w:val="26ED5E31"/>
    <w:rsid w:val="26F311F5"/>
    <w:rsid w:val="270D202F"/>
    <w:rsid w:val="272347C9"/>
    <w:rsid w:val="27A42993"/>
    <w:rsid w:val="27B716B6"/>
    <w:rsid w:val="27BF77CD"/>
    <w:rsid w:val="29001E4B"/>
    <w:rsid w:val="29057462"/>
    <w:rsid w:val="294466F6"/>
    <w:rsid w:val="29714AF7"/>
    <w:rsid w:val="299802D6"/>
    <w:rsid w:val="29D00F0E"/>
    <w:rsid w:val="29E277A9"/>
    <w:rsid w:val="2A1F2B1A"/>
    <w:rsid w:val="2A2F5590"/>
    <w:rsid w:val="2A3A138D"/>
    <w:rsid w:val="2A614B6C"/>
    <w:rsid w:val="2A8D32B0"/>
    <w:rsid w:val="2AA42CAA"/>
    <w:rsid w:val="2AB63109"/>
    <w:rsid w:val="2AE02CDB"/>
    <w:rsid w:val="2AF91248"/>
    <w:rsid w:val="2B1240B8"/>
    <w:rsid w:val="2B980A61"/>
    <w:rsid w:val="2BDB0672"/>
    <w:rsid w:val="2C205397"/>
    <w:rsid w:val="2C351E0C"/>
    <w:rsid w:val="2C9D77F4"/>
    <w:rsid w:val="2D1F555A"/>
    <w:rsid w:val="2D5409B8"/>
    <w:rsid w:val="2D5B7E74"/>
    <w:rsid w:val="2D651CD6"/>
    <w:rsid w:val="2D8212DB"/>
    <w:rsid w:val="2D8D1641"/>
    <w:rsid w:val="2DA32827"/>
    <w:rsid w:val="2DA3549B"/>
    <w:rsid w:val="2DA74F8B"/>
    <w:rsid w:val="2E1F0FC6"/>
    <w:rsid w:val="2E496043"/>
    <w:rsid w:val="2E8E7B03"/>
    <w:rsid w:val="2EEF1683"/>
    <w:rsid w:val="2EFF1D44"/>
    <w:rsid w:val="2F034443"/>
    <w:rsid w:val="2F2131BE"/>
    <w:rsid w:val="2F68699C"/>
    <w:rsid w:val="2F894930"/>
    <w:rsid w:val="2FE36023"/>
    <w:rsid w:val="300F506A"/>
    <w:rsid w:val="303B3042"/>
    <w:rsid w:val="309C4B4F"/>
    <w:rsid w:val="30AB40F6"/>
    <w:rsid w:val="30CB6864"/>
    <w:rsid w:val="30DC13F0"/>
    <w:rsid w:val="30FF6109"/>
    <w:rsid w:val="311F12DD"/>
    <w:rsid w:val="31215055"/>
    <w:rsid w:val="31344D88"/>
    <w:rsid w:val="3179279B"/>
    <w:rsid w:val="31896B98"/>
    <w:rsid w:val="31C37EBA"/>
    <w:rsid w:val="31C50A2C"/>
    <w:rsid w:val="32022CFB"/>
    <w:rsid w:val="320B7D5A"/>
    <w:rsid w:val="3251196A"/>
    <w:rsid w:val="329E1117"/>
    <w:rsid w:val="32B75C71"/>
    <w:rsid w:val="32D50E4B"/>
    <w:rsid w:val="32EB76C8"/>
    <w:rsid w:val="333948D8"/>
    <w:rsid w:val="334458A1"/>
    <w:rsid w:val="33DF408A"/>
    <w:rsid w:val="33E16D1D"/>
    <w:rsid w:val="33FC5905"/>
    <w:rsid w:val="35313EEE"/>
    <w:rsid w:val="35D13C8F"/>
    <w:rsid w:val="35F72828"/>
    <w:rsid w:val="35FC1BEC"/>
    <w:rsid w:val="361925B1"/>
    <w:rsid w:val="36315D3A"/>
    <w:rsid w:val="363D7FC2"/>
    <w:rsid w:val="369C67D0"/>
    <w:rsid w:val="36A209E6"/>
    <w:rsid w:val="36A75FFC"/>
    <w:rsid w:val="36B67FED"/>
    <w:rsid w:val="36EC544A"/>
    <w:rsid w:val="371F2036"/>
    <w:rsid w:val="37354CC9"/>
    <w:rsid w:val="37645C9B"/>
    <w:rsid w:val="37D526F5"/>
    <w:rsid w:val="381C0324"/>
    <w:rsid w:val="383C049A"/>
    <w:rsid w:val="38CB507E"/>
    <w:rsid w:val="38E561DB"/>
    <w:rsid w:val="38E70932"/>
    <w:rsid w:val="39295DF4"/>
    <w:rsid w:val="393A3157"/>
    <w:rsid w:val="395446BF"/>
    <w:rsid w:val="39736669"/>
    <w:rsid w:val="39910F9D"/>
    <w:rsid w:val="39A03024"/>
    <w:rsid w:val="39EB7FBF"/>
    <w:rsid w:val="3A06128C"/>
    <w:rsid w:val="3A0A3BF4"/>
    <w:rsid w:val="3A2B3150"/>
    <w:rsid w:val="3A3C4CAD"/>
    <w:rsid w:val="3A5B15D7"/>
    <w:rsid w:val="3A642F0A"/>
    <w:rsid w:val="3A7A1FF6"/>
    <w:rsid w:val="3AF6755F"/>
    <w:rsid w:val="3B027CA5"/>
    <w:rsid w:val="3B245E6D"/>
    <w:rsid w:val="3B2F036E"/>
    <w:rsid w:val="3B3E21B0"/>
    <w:rsid w:val="3B530501"/>
    <w:rsid w:val="3B557747"/>
    <w:rsid w:val="3B5A188F"/>
    <w:rsid w:val="3B714E2B"/>
    <w:rsid w:val="3C3A346E"/>
    <w:rsid w:val="3C5A58BF"/>
    <w:rsid w:val="3C5C1637"/>
    <w:rsid w:val="3C7F5A59"/>
    <w:rsid w:val="3CA43A9C"/>
    <w:rsid w:val="3CFA60FD"/>
    <w:rsid w:val="3D4C5207"/>
    <w:rsid w:val="3D503718"/>
    <w:rsid w:val="3DBD7EB3"/>
    <w:rsid w:val="3DD003E7"/>
    <w:rsid w:val="3DD35929"/>
    <w:rsid w:val="3DD43C72"/>
    <w:rsid w:val="3DD777FE"/>
    <w:rsid w:val="3DE3429D"/>
    <w:rsid w:val="3DE6020D"/>
    <w:rsid w:val="3E221356"/>
    <w:rsid w:val="3E9D7394"/>
    <w:rsid w:val="3EF618CF"/>
    <w:rsid w:val="3F780594"/>
    <w:rsid w:val="3FB157F6"/>
    <w:rsid w:val="3FCC495F"/>
    <w:rsid w:val="40137140"/>
    <w:rsid w:val="402151C5"/>
    <w:rsid w:val="403A64B2"/>
    <w:rsid w:val="403D0519"/>
    <w:rsid w:val="403D6E7B"/>
    <w:rsid w:val="407C0403"/>
    <w:rsid w:val="407D0E36"/>
    <w:rsid w:val="40925627"/>
    <w:rsid w:val="40F911EA"/>
    <w:rsid w:val="412000CA"/>
    <w:rsid w:val="41220BA4"/>
    <w:rsid w:val="41434B73"/>
    <w:rsid w:val="41466412"/>
    <w:rsid w:val="4148243F"/>
    <w:rsid w:val="41762E2A"/>
    <w:rsid w:val="4182569C"/>
    <w:rsid w:val="41967399"/>
    <w:rsid w:val="41E2613A"/>
    <w:rsid w:val="42114C71"/>
    <w:rsid w:val="422F6EA6"/>
    <w:rsid w:val="42507548"/>
    <w:rsid w:val="425F59DD"/>
    <w:rsid w:val="426C544A"/>
    <w:rsid w:val="42B92D27"/>
    <w:rsid w:val="42BF46CD"/>
    <w:rsid w:val="42C31B4A"/>
    <w:rsid w:val="42DB55AD"/>
    <w:rsid w:val="43305BFF"/>
    <w:rsid w:val="435A234B"/>
    <w:rsid w:val="43911BC6"/>
    <w:rsid w:val="43D146B8"/>
    <w:rsid w:val="440B65FC"/>
    <w:rsid w:val="4419590B"/>
    <w:rsid w:val="44BA5293"/>
    <w:rsid w:val="44BD4C5D"/>
    <w:rsid w:val="4527694A"/>
    <w:rsid w:val="452D1DC2"/>
    <w:rsid w:val="456A1083"/>
    <w:rsid w:val="45C67B21"/>
    <w:rsid w:val="45CA7611"/>
    <w:rsid w:val="45DF2C7C"/>
    <w:rsid w:val="45EA700D"/>
    <w:rsid w:val="45EE51E6"/>
    <w:rsid w:val="45EE77A4"/>
    <w:rsid w:val="45F12DF0"/>
    <w:rsid w:val="45F23C84"/>
    <w:rsid w:val="460F0228"/>
    <w:rsid w:val="46400479"/>
    <w:rsid w:val="46484168"/>
    <w:rsid w:val="46B67B95"/>
    <w:rsid w:val="472244ED"/>
    <w:rsid w:val="473F2393"/>
    <w:rsid w:val="474A6C5C"/>
    <w:rsid w:val="474F4272"/>
    <w:rsid w:val="47627C1A"/>
    <w:rsid w:val="476425AE"/>
    <w:rsid w:val="477B0162"/>
    <w:rsid w:val="47832186"/>
    <w:rsid w:val="47D74267"/>
    <w:rsid w:val="47EC4AF9"/>
    <w:rsid w:val="482E20D9"/>
    <w:rsid w:val="48531B40"/>
    <w:rsid w:val="487213CF"/>
    <w:rsid w:val="48790E7B"/>
    <w:rsid w:val="487E2410"/>
    <w:rsid w:val="48D01351"/>
    <w:rsid w:val="49535B70"/>
    <w:rsid w:val="496343B9"/>
    <w:rsid w:val="49E62540"/>
    <w:rsid w:val="49E97FD0"/>
    <w:rsid w:val="49ED6E89"/>
    <w:rsid w:val="4A3032C5"/>
    <w:rsid w:val="4A6A3171"/>
    <w:rsid w:val="4A9B5A20"/>
    <w:rsid w:val="4AE0056A"/>
    <w:rsid w:val="4B174006"/>
    <w:rsid w:val="4B8F33B8"/>
    <w:rsid w:val="4BC37337"/>
    <w:rsid w:val="4BEF593C"/>
    <w:rsid w:val="4C436A3A"/>
    <w:rsid w:val="4C825B88"/>
    <w:rsid w:val="4CB30075"/>
    <w:rsid w:val="4CC72AFC"/>
    <w:rsid w:val="4CD9638C"/>
    <w:rsid w:val="4CFF4044"/>
    <w:rsid w:val="4D341814"/>
    <w:rsid w:val="4D3B13CF"/>
    <w:rsid w:val="4DA42AAD"/>
    <w:rsid w:val="4DF55447"/>
    <w:rsid w:val="4DFC0584"/>
    <w:rsid w:val="4E0455C2"/>
    <w:rsid w:val="4E1C7D13"/>
    <w:rsid w:val="4E487C6D"/>
    <w:rsid w:val="4EA10FFE"/>
    <w:rsid w:val="4EB222F4"/>
    <w:rsid w:val="4ECC7F56"/>
    <w:rsid w:val="4EFD064A"/>
    <w:rsid w:val="4EFE70DA"/>
    <w:rsid w:val="4F1813ED"/>
    <w:rsid w:val="4F2A4C57"/>
    <w:rsid w:val="4F2C30EB"/>
    <w:rsid w:val="4F5C5916"/>
    <w:rsid w:val="4F756840"/>
    <w:rsid w:val="4FD712A8"/>
    <w:rsid w:val="4FF45606"/>
    <w:rsid w:val="4FF77255"/>
    <w:rsid w:val="50084E97"/>
    <w:rsid w:val="501E7238"/>
    <w:rsid w:val="503E6C32"/>
    <w:rsid w:val="5093309A"/>
    <w:rsid w:val="509727E6"/>
    <w:rsid w:val="50C24D76"/>
    <w:rsid w:val="50E73FD8"/>
    <w:rsid w:val="50F678D6"/>
    <w:rsid w:val="50FB2D75"/>
    <w:rsid w:val="50FD4D3F"/>
    <w:rsid w:val="513E2D63"/>
    <w:rsid w:val="51452242"/>
    <w:rsid w:val="517E731C"/>
    <w:rsid w:val="51A56788"/>
    <w:rsid w:val="51DA0BDC"/>
    <w:rsid w:val="51DC2BA6"/>
    <w:rsid w:val="51F32FEE"/>
    <w:rsid w:val="520B348B"/>
    <w:rsid w:val="526D7CA2"/>
    <w:rsid w:val="526F2289"/>
    <w:rsid w:val="527A70EB"/>
    <w:rsid w:val="52B605F7"/>
    <w:rsid w:val="52FD1026"/>
    <w:rsid w:val="53102C16"/>
    <w:rsid w:val="532D11DF"/>
    <w:rsid w:val="532E7431"/>
    <w:rsid w:val="536C61AC"/>
    <w:rsid w:val="537A2677"/>
    <w:rsid w:val="53FF27F5"/>
    <w:rsid w:val="5411465D"/>
    <w:rsid w:val="5436041B"/>
    <w:rsid w:val="54577FBA"/>
    <w:rsid w:val="54702F19"/>
    <w:rsid w:val="547D0BE8"/>
    <w:rsid w:val="54A003E9"/>
    <w:rsid w:val="54EF29CF"/>
    <w:rsid w:val="54F8584D"/>
    <w:rsid w:val="55180399"/>
    <w:rsid w:val="55502B04"/>
    <w:rsid w:val="55593EEA"/>
    <w:rsid w:val="557D090A"/>
    <w:rsid w:val="55D95524"/>
    <w:rsid w:val="56565BF9"/>
    <w:rsid w:val="56660C90"/>
    <w:rsid w:val="566969D2"/>
    <w:rsid w:val="56A8574D"/>
    <w:rsid w:val="56E524FD"/>
    <w:rsid w:val="5718025E"/>
    <w:rsid w:val="57415259"/>
    <w:rsid w:val="577A5D96"/>
    <w:rsid w:val="57B868D2"/>
    <w:rsid w:val="57CC0FC7"/>
    <w:rsid w:val="57D86B37"/>
    <w:rsid w:val="57EA78B2"/>
    <w:rsid w:val="587922A0"/>
    <w:rsid w:val="58823D7B"/>
    <w:rsid w:val="588A49F6"/>
    <w:rsid w:val="58AC56A8"/>
    <w:rsid w:val="58C94ECB"/>
    <w:rsid w:val="591F15CA"/>
    <w:rsid w:val="59221A73"/>
    <w:rsid w:val="593E42AA"/>
    <w:rsid w:val="59D525E5"/>
    <w:rsid w:val="59F3536A"/>
    <w:rsid w:val="5A062EB1"/>
    <w:rsid w:val="5A1B6236"/>
    <w:rsid w:val="5A373BC9"/>
    <w:rsid w:val="5A415767"/>
    <w:rsid w:val="5A623E64"/>
    <w:rsid w:val="5A6F2280"/>
    <w:rsid w:val="5AEC685C"/>
    <w:rsid w:val="5AF30F60"/>
    <w:rsid w:val="5B0D5B7E"/>
    <w:rsid w:val="5B7673AE"/>
    <w:rsid w:val="5B7C2D04"/>
    <w:rsid w:val="5B7D3E40"/>
    <w:rsid w:val="5BB93172"/>
    <w:rsid w:val="5BF803A6"/>
    <w:rsid w:val="5C01481F"/>
    <w:rsid w:val="5CB118A4"/>
    <w:rsid w:val="5CCC0FA4"/>
    <w:rsid w:val="5D110191"/>
    <w:rsid w:val="5D3A0830"/>
    <w:rsid w:val="5D4B7080"/>
    <w:rsid w:val="5D5063D7"/>
    <w:rsid w:val="5D5757D7"/>
    <w:rsid w:val="5D736B83"/>
    <w:rsid w:val="5DB2024C"/>
    <w:rsid w:val="5DF254FF"/>
    <w:rsid w:val="5E022F04"/>
    <w:rsid w:val="5E196127"/>
    <w:rsid w:val="5E257683"/>
    <w:rsid w:val="5E47383B"/>
    <w:rsid w:val="5E8F7B00"/>
    <w:rsid w:val="5E966EBF"/>
    <w:rsid w:val="5EB6328A"/>
    <w:rsid w:val="5EDA7DE2"/>
    <w:rsid w:val="5EFA0B0F"/>
    <w:rsid w:val="5F0D133B"/>
    <w:rsid w:val="5F182D44"/>
    <w:rsid w:val="5F4D50E3"/>
    <w:rsid w:val="5F571ABE"/>
    <w:rsid w:val="5F59703A"/>
    <w:rsid w:val="5F6B37BB"/>
    <w:rsid w:val="5F8579F1"/>
    <w:rsid w:val="5FB7487B"/>
    <w:rsid w:val="5FC66C44"/>
    <w:rsid w:val="5FC703C1"/>
    <w:rsid w:val="6011181E"/>
    <w:rsid w:val="607145EA"/>
    <w:rsid w:val="60771CEC"/>
    <w:rsid w:val="60B60CD6"/>
    <w:rsid w:val="60D96295"/>
    <w:rsid w:val="60DB671F"/>
    <w:rsid w:val="60DF620F"/>
    <w:rsid w:val="6138591F"/>
    <w:rsid w:val="618E3791"/>
    <w:rsid w:val="623C31ED"/>
    <w:rsid w:val="624C5861"/>
    <w:rsid w:val="62541836"/>
    <w:rsid w:val="62943029"/>
    <w:rsid w:val="62944DD7"/>
    <w:rsid w:val="62A078E4"/>
    <w:rsid w:val="62BD716A"/>
    <w:rsid w:val="62D84CC4"/>
    <w:rsid w:val="62DD677E"/>
    <w:rsid w:val="62DE01D0"/>
    <w:rsid w:val="62E920A3"/>
    <w:rsid w:val="62FB30A8"/>
    <w:rsid w:val="631F6D97"/>
    <w:rsid w:val="633B5253"/>
    <w:rsid w:val="6361115D"/>
    <w:rsid w:val="63BC2837"/>
    <w:rsid w:val="63C45248"/>
    <w:rsid w:val="63C51D52"/>
    <w:rsid w:val="63CF29FE"/>
    <w:rsid w:val="63F91670"/>
    <w:rsid w:val="641D08C7"/>
    <w:rsid w:val="644F56B5"/>
    <w:rsid w:val="646033C7"/>
    <w:rsid w:val="648A6492"/>
    <w:rsid w:val="64AA07E9"/>
    <w:rsid w:val="64AA2690"/>
    <w:rsid w:val="652705B3"/>
    <w:rsid w:val="656F44FD"/>
    <w:rsid w:val="659F72AD"/>
    <w:rsid w:val="65C923A1"/>
    <w:rsid w:val="65D54E0F"/>
    <w:rsid w:val="66161069"/>
    <w:rsid w:val="663C7C5F"/>
    <w:rsid w:val="666732FC"/>
    <w:rsid w:val="670342D9"/>
    <w:rsid w:val="67283D40"/>
    <w:rsid w:val="675E006F"/>
    <w:rsid w:val="67A66A46"/>
    <w:rsid w:val="67E265E5"/>
    <w:rsid w:val="680B1697"/>
    <w:rsid w:val="68250948"/>
    <w:rsid w:val="682D5AB2"/>
    <w:rsid w:val="6841155D"/>
    <w:rsid w:val="685A261F"/>
    <w:rsid w:val="68BE495C"/>
    <w:rsid w:val="69112FC8"/>
    <w:rsid w:val="691D5B26"/>
    <w:rsid w:val="695D4175"/>
    <w:rsid w:val="69886D18"/>
    <w:rsid w:val="698E1178"/>
    <w:rsid w:val="6A75701E"/>
    <w:rsid w:val="6AB70EFF"/>
    <w:rsid w:val="6AB73D58"/>
    <w:rsid w:val="6AEA3811"/>
    <w:rsid w:val="6AF33893"/>
    <w:rsid w:val="6B0020F7"/>
    <w:rsid w:val="6B491653"/>
    <w:rsid w:val="6B577B9D"/>
    <w:rsid w:val="6B6317EA"/>
    <w:rsid w:val="6BA37E39"/>
    <w:rsid w:val="6C223454"/>
    <w:rsid w:val="6C6D2921"/>
    <w:rsid w:val="6C795A1C"/>
    <w:rsid w:val="6CB4334D"/>
    <w:rsid w:val="6CD104BD"/>
    <w:rsid w:val="6D1105BB"/>
    <w:rsid w:val="6D38666E"/>
    <w:rsid w:val="6DF4304A"/>
    <w:rsid w:val="6DFC631E"/>
    <w:rsid w:val="6E113433"/>
    <w:rsid w:val="6E245CFC"/>
    <w:rsid w:val="6E4F73D7"/>
    <w:rsid w:val="6E6733A0"/>
    <w:rsid w:val="6E7C32EF"/>
    <w:rsid w:val="6EC066D9"/>
    <w:rsid w:val="6F384B84"/>
    <w:rsid w:val="6F6A0810"/>
    <w:rsid w:val="6FBF0E43"/>
    <w:rsid w:val="6FCF5B90"/>
    <w:rsid w:val="6FFE7B6B"/>
    <w:rsid w:val="70575437"/>
    <w:rsid w:val="70756E06"/>
    <w:rsid w:val="707A385E"/>
    <w:rsid w:val="709D12FB"/>
    <w:rsid w:val="70C44AD9"/>
    <w:rsid w:val="70D171F6"/>
    <w:rsid w:val="70E60EF4"/>
    <w:rsid w:val="71021124"/>
    <w:rsid w:val="716D33C3"/>
    <w:rsid w:val="71A14E1B"/>
    <w:rsid w:val="71AA0173"/>
    <w:rsid w:val="71E26C8C"/>
    <w:rsid w:val="71EB545F"/>
    <w:rsid w:val="71F553CB"/>
    <w:rsid w:val="720027D6"/>
    <w:rsid w:val="721E46BD"/>
    <w:rsid w:val="72A11576"/>
    <w:rsid w:val="733F7D5A"/>
    <w:rsid w:val="736D1458"/>
    <w:rsid w:val="73931B4E"/>
    <w:rsid w:val="73B21561"/>
    <w:rsid w:val="73B457AA"/>
    <w:rsid w:val="73C12DF5"/>
    <w:rsid w:val="73D23CE7"/>
    <w:rsid w:val="73DC1028"/>
    <w:rsid w:val="74114F53"/>
    <w:rsid w:val="746A1E3C"/>
    <w:rsid w:val="74933524"/>
    <w:rsid w:val="749D3FBF"/>
    <w:rsid w:val="74D86DA5"/>
    <w:rsid w:val="753D30AC"/>
    <w:rsid w:val="75AD1415"/>
    <w:rsid w:val="75AF5D58"/>
    <w:rsid w:val="75BE7844"/>
    <w:rsid w:val="760C5923"/>
    <w:rsid w:val="764E2A23"/>
    <w:rsid w:val="76627321"/>
    <w:rsid w:val="76662273"/>
    <w:rsid w:val="76D13B90"/>
    <w:rsid w:val="76FD0D45"/>
    <w:rsid w:val="770F4B56"/>
    <w:rsid w:val="77641073"/>
    <w:rsid w:val="77837509"/>
    <w:rsid w:val="77A613DD"/>
    <w:rsid w:val="77C41863"/>
    <w:rsid w:val="77CB2BF1"/>
    <w:rsid w:val="782D126E"/>
    <w:rsid w:val="784B0E08"/>
    <w:rsid w:val="78804BB1"/>
    <w:rsid w:val="78870DCA"/>
    <w:rsid w:val="789241E7"/>
    <w:rsid w:val="78F925EE"/>
    <w:rsid w:val="79244E14"/>
    <w:rsid w:val="79351925"/>
    <w:rsid w:val="793622EC"/>
    <w:rsid w:val="79791137"/>
    <w:rsid w:val="797B7D3B"/>
    <w:rsid w:val="79AE4579"/>
    <w:rsid w:val="79DD4104"/>
    <w:rsid w:val="7A397963"/>
    <w:rsid w:val="7AA144D1"/>
    <w:rsid w:val="7AAC4F5C"/>
    <w:rsid w:val="7AD1774C"/>
    <w:rsid w:val="7AEA4564"/>
    <w:rsid w:val="7B0D16A6"/>
    <w:rsid w:val="7B256ABC"/>
    <w:rsid w:val="7B3B019F"/>
    <w:rsid w:val="7B541830"/>
    <w:rsid w:val="7B711D02"/>
    <w:rsid w:val="7B7A2964"/>
    <w:rsid w:val="7BA9149B"/>
    <w:rsid w:val="7BD81D81"/>
    <w:rsid w:val="7C177261"/>
    <w:rsid w:val="7C5B366B"/>
    <w:rsid w:val="7C5E2286"/>
    <w:rsid w:val="7C6D071B"/>
    <w:rsid w:val="7CAC27D4"/>
    <w:rsid w:val="7CCB5BFD"/>
    <w:rsid w:val="7CD7624E"/>
    <w:rsid w:val="7CEF2EDE"/>
    <w:rsid w:val="7D0F3580"/>
    <w:rsid w:val="7D3F20B7"/>
    <w:rsid w:val="7D43010C"/>
    <w:rsid w:val="7D567401"/>
    <w:rsid w:val="7D7F5554"/>
    <w:rsid w:val="7D9F1CBA"/>
    <w:rsid w:val="7E120D5E"/>
    <w:rsid w:val="7E254683"/>
    <w:rsid w:val="7E8C18EC"/>
    <w:rsid w:val="7EF36BA2"/>
    <w:rsid w:val="7EFA0975"/>
    <w:rsid w:val="7FDA654B"/>
    <w:rsid w:val="7FE75E10"/>
    <w:rsid w:val="7FF149C2"/>
    <w:rsid w:val="AFFB2B7A"/>
    <w:rsid w:val="DD5E3A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99" w:name="toc 4"/>
    <w:lsdException w:uiPriority="99" w:name="toc 5"/>
    <w:lsdException w:uiPriority="99" w:name="toc 6"/>
    <w:lsdException w:uiPriority="99" w:name="toc 7"/>
    <w:lsdException w:uiPriority="99" w:name="toc 8"/>
    <w:lsdException w:uiPriority="99" w:name="toc 9"/>
    <w:lsdException w:qFormat="1" w:unhideWhenUsed="0" w:uiPriority="0" w:semiHidden="0"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line="576" w:lineRule="auto"/>
      <w:outlineLvl w:val="0"/>
    </w:pPr>
    <w:rPr>
      <w:b/>
      <w:kern w:val="44"/>
      <w:sz w:val="44"/>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jc w:val="left"/>
    </w:pPr>
    <w:rPr>
      <w:kern w:val="0"/>
      <w:sz w:val="20"/>
      <w:szCs w:val="20"/>
    </w:rPr>
  </w:style>
  <w:style w:type="paragraph" w:styleId="7">
    <w:name w:val="annotation text"/>
    <w:basedOn w:val="1"/>
    <w:semiHidden/>
    <w:unhideWhenUsed/>
    <w:qFormat/>
    <w:uiPriority w:val="99"/>
    <w:pPr>
      <w:jc w:val="left"/>
    </w:pPr>
  </w:style>
  <w:style w:type="paragraph" w:styleId="8">
    <w:name w:val="Body Text"/>
    <w:basedOn w:val="1"/>
    <w:qFormat/>
    <w:uiPriority w:val="0"/>
    <w:pPr>
      <w:spacing w:after="120"/>
    </w:pPr>
  </w:style>
  <w:style w:type="paragraph" w:styleId="9">
    <w:name w:val="Body Text Indent"/>
    <w:basedOn w:val="1"/>
    <w:qFormat/>
    <w:uiPriority w:val="0"/>
    <w:pPr>
      <w:spacing w:after="120"/>
      <w:ind w:left="420" w:leftChars="200"/>
    </w:pPr>
  </w:style>
  <w:style w:type="paragraph" w:styleId="10">
    <w:name w:val="index 4"/>
    <w:basedOn w:val="1"/>
    <w:next w:val="1"/>
    <w:qFormat/>
    <w:uiPriority w:val="0"/>
    <w:pPr>
      <w:ind w:left="600" w:leftChars="600"/>
    </w:pPr>
  </w:style>
  <w:style w:type="paragraph" w:styleId="11">
    <w:name w:val="toc 3"/>
    <w:basedOn w:val="1"/>
    <w:next w:val="1"/>
    <w:semiHidden/>
    <w:unhideWhenUsed/>
    <w:qFormat/>
    <w:uiPriority w:val="39"/>
    <w:pPr>
      <w:ind w:left="840" w:leftChars="400"/>
    </w:pPr>
  </w:style>
  <w:style w:type="paragraph" w:styleId="12">
    <w:name w:val="Plain Text"/>
    <w:basedOn w:val="1"/>
    <w:qFormat/>
    <w:uiPriority w:val="0"/>
    <w:rPr>
      <w:rFonts w:ascii="宋体" w:hAnsi="Courier New" w:cs="Courier New"/>
      <w:szCs w:val="21"/>
    </w:rPr>
  </w:style>
  <w:style w:type="paragraph" w:styleId="13">
    <w:name w:val="Body Text Indent 2"/>
    <w:basedOn w:val="1"/>
    <w:qFormat/>
    <w:uiPriority w:val="0"/>
    <w:pPr>
      <w:spacing w:after="120" w:line="480" w:lineRule="auto"/>
      <w:ind w:left="420" w:leftChars="200"/>
    </w:pPr>
    <w:rPr>
      <w:lang w:val="zh-CN"/>
    </w:rPr>
  </w:style>
  <w:style w:type="paragraph" w:styleId="14">
    <w:name w:val="Balloon Text"/>
    <w:basedOn w:val="1"/>
    <w:link w:val="70"/>
    <w:semiHidden/>
    <w:unhideWhenUsed/>
    <w:qFormat/>
    <w:uiPriority w:val="99"/>
    <w:rPr>
      <w:sz w:val="18"/>
      <w:szCs w:val="18"/>
    </w:rPr>
  </w:style>
  <w:style w:type="paragraph" w:styleId="15">
    <w:name w:val="footer"/>
    <w:basedOn w:val="1"/>
    <w:link w:val="62"/>
    <w:semiHidden/>
    <w:unhideWhenUsed/>
    <w:qFormat/>
    <w:uiPriority w:val="99"/>
    <w:pPr>
      <w:tabs>
        <w:tab w:val="center" w:pos="4153"/>
        <w:tab w:val="right" w:pos="8306"/>
      </w:tabs>
      <w:snapToGrid w:val="0"/>
      <w:jc w:val="left"/>
    </w:pPr>
    <w:rPr>
      <w:sz w:val="18"/>
      <w:szCs w:val="18"/>
    </w:rPr>
  </w:style>
  <w:style w:type="paragraph" w:styleId="16">
    <w:name w:val="header"/>
    <w:basedOn w:val="1"/>
    <w:link w:val="6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semiHidden/>
    <w:unhideWhenUsed/>
    <w:qFormat/>
    <w:uiPriority w:val="39"/>
  </w:style>
  <w:style w:type="paragraph" w:styleId="18">
    <w:name w:val="Subtitle"/>
    <w:basedOn w:val="1"/>
    <w:qFormat/>
    <w:uiPriority w:val="0"/>
    <w:pPr>
      <w:spacing w:before="240" w:after="60" w:line="312" w:lineRule="auto"/>
      <w:jc w:val="center"/>
    </w:pPr>
    <w:rPr>
      <w:rFonts w:ascii="Cambria" w:hAnsi="Cambria"/>
      <w:b/>
      <w:bCs/>
      <w:kern w:val="28"/>
      <w:sz w:val="32"/>
      <w:szCs w:val="32"/>
    </w:rPr>
  </w:style>
  <w:style w:type="paragraph" w:styleId="19">
    <w:name w:val="toc 2"/>
    <w:basedOn w:val="1"/>
    <w:next w:val="1"/>
    <w:semiHidden/>
    <w:unhideWhenUsed/>
    <w:qFormat/>
    <w:uiPriority w:val="39"/>
    <w:pPr>
      <w:ind w:left="420" w:leftChars="200"/>
    </w:pPr>
  </w:style>
  <w:style w:type="paragraph" w:styleId="20">
    <w:name w:val="Body Text 2"/>
    <w:basedOn w:val="1"/>
    <w:qFormat/>
    <w:uiPriority w:val="0"/>
    <w:pPr>
      <w:spacing w:after="120" w:line="480" w:lineRule="auto"/>
    </w:pPr>
  </w:style>
  <w:style w:type="paragraph" w:styleId="21">
    <w:name w:val="Normal (Web)"/>
    <w:basedOn w:val="1"/>
    <w:qFormat/>
    <w:uiPriority w:val="99"/>
    <w:pPr>
      <w:spacing w:before="100" w:beforeAutospacing="1" w:after="100" w:afterAutospacing="1"/>
      <w:jc w:val="left"/>
    </w:pPr>
    <w:rPr>
      <w:rFonts w:ascii="宋体" w:hAnsi="宋体" w:cs="宋体"/>
      <w:kern w:val="0"/>
      <w:sz w:val="24"/>
    </w:rPr>
  </w:style>
  <w:style w:type="paragraph" w:styleId="22">
    <w:name w:val="annotation subject"/>
    <w:basedOn w:val="7"/>
    <w:next w:val="7"/>
    <w:qFormat/>
    <w:uiPriority w:val="0"/>
    <w:rPr>
      <w:b/>
      <w:bCs/>
    </w:rPr>
  </w:style>
  <w:style w:type="paragraph" w:styleId="23">
    <w:name w:val="Body Text First Indent"/>
    <w:basedOn w:val="1"/>
    <w:qFormat/>
    <w:uiPriority w:val="0"/>
    <w:pPr>
      <w:spacing w:after="120" w:line="360" w:lineRule="exact"/>
      <w:ind w:left="400" w:leftChars="400" w:firstLine="420" w:firstLineChars="100"/>
    </w:pPr>
    <w:rPr>
      <w:rFonts w:eastAsia="楷体_GB2312"/>
      <w:sz w:val="24"/>
    </w:rPr>
  </w:style>
  <w:style w:type="paragraph" w:styleId="24">
    <w:name w:val="Body Text First Indent 2"/>
    <w:basedOn w:val="9"/>
    <w:qFormat/>
    <w:uiPriority w:val="0"/>
    <w:pPr>
      <w:ind w:firstLine="420" w:firstLineChars="200"/>
    </w:pPr>
  </w:style>
  <w:style w:type="table" w:styleId="26">
    <w:name w:val="Table Grid"/>
    <w:basedOn w:val="2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9"/>
    <w:qFormat/>
    <w:uiPriority w:val="0"/>
    <w:rPr>
      <w:rFonts w:cs="Times New Roman"/>
      <w:b/>
      <w:bCs/>
    </w:rPr>
  </w:style>
  <w:style w:type="character" w:customStyle="1" w:styleId="29">
    <w:name w:val="NormalCharacter"/>
    <w:semiHidden/>
    <w:qFormat/>
    <w:uiPriority w:val="0"/>
  </w:style>
  <w:style w:type="character" w:styleId="30">
    <w:name w:val="page number"/>
    <w:qFormat/>
    <w:uiPriority w:val="0"/>
  </w:style>
  <w:style w:type="character" w:styleId="31">
    <w:name w:val="FollowedHyperlink"/>
    <w:basedOn w:val="29"/>
    <w:qFormat/>
    <w:uiPriority w:val="0"/>
    <w:rPr>
      <w:color w:val="000000"/>
    </w:rPr>
  </w:style>
  <w:style w:type="character" w:styleId="32">
    <w:name w:val="Emphasis"/>
    <w:basedOn w:val="29"/>
    <w:qFormat/>
    <w:uiPriority w:val="0"/>
    <w:rPr>
      <w:i/>
      <w:iCs/>
    </w:rPr>
  </w:style>
  <w:style w:type="character" w:styleId="33">
    <w:name w:val="Hyperlink"/>
    <w:basedOn w:val="29"/>
    <w:qFormat/>
    <w:uiPriority w:val="0"/>
    <w:rPr>
      <w:color w:val="136EC2"/>
      <w:u w:val="single"/>
    </w:rPr>
  </w:style>
  <w:style w:type="paragraph" w:customStyle="1" w:styleId="34">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35">
    <w:name w:val="列出段落1"/>
    <w:basedOn w:val="1"/>
    <w:qFormat/>
    <w:uiPriority w:val="0"/>
    <w:pPr>
      <w:ind w:firstLine="420" w:firstLineChars="200"/>
    </w:pPr>
    <w:rPr>
      <w:szCs w:val="21"/>
    </w:rPr>
  </w:style>
  <w:style w:type="paragraph" w:customStyle="1" w:styleId="36">
    <w:name w:val="引用1"/>
    <w:qFormat/>
    <w:uiPriority w:val="0"/>
    <w:pPr>
      <w:widowControl w:val="0"/>
      <w:wordWrap w:val="0"/>
      <w:spacing w:before="200" w:after="160"/>
      <w:ind w:left="864" w:right="864"/>
      <w:jc w:val="center"/>
    </w:pPr>
    <w:rPr>
      <w:rFonts w:ascii="Calibri" w:hAnsi="Calibri" w:eastAsia="宋体" w:cs="Times New Roman"/>
      <w:i/>
      <w:kern w:val="2"/>
      <w:sz w:val="21"/>
      <w:szCs w:val="22"/>
      <w:lang w:val="en-US" w:eastAsia="zh-CN" w:bidi="ar-SA"/>
    </w:rPr>
  </w:style>
  <w:style w:type="paragraph" w:customStyle="1" w:styleId="37">
    <w:name w:val="目录 91"/>
    <w:basedOn w:val="1"/>
    <w:qFormat/>
    <w:uiPriority w:val="0"/>
    <w:pPr>
      <w:widowControl w:val="0"/>
      <w:ind w:left="3360"/>
    </w:pPr>
    <w:rPr>
      <w:rFonts w:ascii="Calibri"/>
    </w:rPr>
  </w:style>
  <w:style w:type="paragraph" w:customStyle="1" w:styleId="38">
    <w:name w:val="font5"/>
    <w:basedOn w:val="1"/>
    <w:qFormat/>
    <w:uiPriority w:val="0"/>
    <w:pPr>
      <w:spacing w:before="100" w:beforeAutospacing="1" w:after="100" w:afterAutospacing="1"/>
    </w:pPr>
    <w:rPr>
      <w:rFonts w:hint="eastAsia" w:ascii="宋体" w:hAnsi="宋体" w:cs="Arial Unicode MS"/>
      <w:sz w:val="18"/>
      <w:szCs w:val="18"/>
    </w:rPr>
  </w:style>
  <w:style w:type="paragraph" w:customStyle="1" w:styleId="39">
    <w:name w:val="样式2"/>
    <w:basedOn w:val="16"/>
    <w:qFormat/>
    <w:uiPriority w:val="0"/>
    <w:pPr>
      <w:tabs>
        <w:tab w:val="left" w:pos="360"/>
      </w:tabs>
      <w:spacing w:before="240" w:after="60"/>
    </w:pPr>
    <w:rPr>
      <w:rFonts w:ascii="Cambria" w:hAnsi="Cambria"/>
      <w:sz w:val="32"/>
    </w:rPr>
  </w:style>
  <w:style w:type="paragraph" w:customStyle="1" w:styleId="40">
    <w:name w:val="Heading4"/>
    <w:basedOn w:val="1"/>
    <w:qFormat/>
    <w:uiPriority w:val="0"/>
    <w:pPr>
      <w:keepNext/>
      <w:keepLines/>
      <w:spacing w:before="280" w:after="290" w:line="376" w:lineRule="auto"/>
    </w:pPr>
    <w:rPr>
      <w:rFonts w:ascii="Arial" w:hAnsi="Arial" w:eastAsia="黑体"/>
      <w:b/>
      <w:bCs/>
      <w:sz w:val="28"/>
      <w:szCs w:val="28"/>
    </w:rPr>
  </w:style>
  <w:style w:type="paragraph" w:customStyle="1" w:styleId="41">
    <w:name w:val="Heading3"/>
    <w:basedOn w:val="1"/>
    <w:qFormat/>
    <w:uiPriority w:val="0"/>
    <w:pPr>
      <w:spacing w:before="75" w:after="100" w:afterAutospacing="1" w:line="420" w:lineRule="atLeast"/>
      <w:ind w:left="75" w:firstLine="300"/>
      <w:jc w:val="left"/>
    </w:pPr>
    <w:rPr>
      <w:rFonts w:ascii="宋体" w:hAnsi="宋体"/>
      <w:b/>
      <w:kern w:val="0"/>
      <w:sz w:val="24"/>
    </w:rPr>
  </w:style>
  <w:style w:type="table" w:customStyle="1" w:styleId="42">
    <w:name w:val="TableNormal"/>
    <w:semiHidden/>
    <w:qFormat/>
    <w:uiPriority w:val="0"/>
    <w:tblPr>
      <w:tblCellMar>
        <w:top w:w="0" w:type="dxa"/>
        <w:left w:w="0" w:type="dxa"/>
        <w:bottom w:w="0" w:type="dxa"/>
        <w:right w:w="0" w:type="dxa"/>
      </w:tblCellMar>
    </w:tblPr>
  </w:style>
  <w:style w:type="paragraph" w:customStyle="1" w:styleId="43">
    <w:name w:val="BodyText"/>
    <w:basedOn w:val="1"/>
    <w:qFormat/>
    <w:uiPriority w:val="0"/>
    <w:pPr>
      <w:spacing w:after="120"/>
    </w:pPr>
  </w:style>
  <w:style w:type="paragraph" w:customStyle="1" w:styleId="44">
    <w:name w:val="BodyTextIndent"/>
    <w:basedOn w:val="1"/>
    <w:qFormat/>
    <w:uiPriority w:val="0"/>
    <w:pPr>
      <w:spacing w:after="120"/>
      <w:ind w:left="420" w:leftChars="200"/>
    </w:pPr>
  </w:style>
  <w:style w:type="paragraph" w:customStyle="1" w:styleId="45">
    <w:name w:val="PlainText"/>
    <w:basedOn w:val="1"/>
    <w:qFormat/>
    <w:uiPriority w:val="0"/>
    <w:rPr>
      <w:rFonts w:ascii="宋体" w:hAnsi="Courier New"/>
      <w:kern w:val="0"/>
      <w:sz w:val="20"/>
      <w:szCs w:val="21"/>
    </w:rPr>
  </w:style>
  <w:style w:type="paragraph" w:customStyle="1" w:styleId="46">
    <w:name w:val="Footer"/>
    <w:basedOn w:val="1"/>
    <w:qFormat/>
    <w:uiPriority w:val="0"/>
    <w:pPr>
      <w:tabs>
        <w:tab w:val="center" w:pos="4153"/>
        <w:tab w:val="right" w:pos="8306"/>
      </w:tabs>
      <w:snapToGrid w:val="0"/>
      <w:jc w:val="left"/>
    </w:pPr>
    <w:rPr>
      <w:sz w:val="18"/>
      <w:szCs w:val="18"/>
    </w:rPr>
  </w:style>
  <w:style w:type="paragraph" w:customStyle="1" w:styleId="47">
    <w:name w:val="Header"/>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rPr>
  </w:style>
  <w:style w:type="paragraph" w:customStyle="1" w:styleId="48">
    <w:name w:val="TOC1"/>
    <w:basedOn w:val="1"/>
    <w:semiHidden/>
    <w:qFormat/>
    <w:uiPriority w:val="0"/>
    <w:rPr>
      <w:rFonts w:ascii="仿宋_GB2312" w:eastAsia="仿宋_GB2312"/>
      <w:sz w:val="24"/>
    </w:rPr>
  </w:style>
  <w:style w:type="paragraph" w:customStyle="1" w:styleId="49">
    <w:name w:val="BodyTextIndent3"/>
    <w:basedOn w:val="1"/>
    <w:qFormat/>
    <w:uiPriority w:val="0"/>
    <w:pPr>
      <w:spacing w:after="120"/>
      <w:ind w:left="420" w:leftChars="200"/>
    </w:pPr>
    <w:rPr>
      <w:sz w:val="16"/>
      <w:szCs w:val="16"/>
    </w:rPr>
  </w:style>
  <w:style w:type="paragraph" w:customStyle="1" w:styleId="50">
    <w:name w:val="TOC2"/>
    <w:basedOn w:val="1"/>
    <w:qFormat/>
    <w:uiPriority w:val="0"/>
    <w:pPr>
      <w:ind w:left="420" w:leftChars="200"/>
    </w:pPr>
  </w:style>
  <w:style w:type="paragraph" w:customStyle="1" w:styleId="51">
    <w:name w:val="HtmlNormal"/>
    <w:basedOn w:val="1"/>
    <w:qFormat/>
    <w:uiPriority w:val="0"/>
    <w:pPr>
      <w:spacing w:before="100" w:beforeAutospacing="1" w:after="100" w:afterAutospacing="1"/>
      <w:jc w:val="left"/>
    </w:pPr>
    <w:rPr>
      <w:rFonts w:ascii="宋体" w:hAnsi="宋体"/>
      <w:kern w:val="0"/>
      <w:sz w:val="24"/>
    </w:rPr>
  </w:style>
  <w:style w:type="table" w:customStyle="1" w:styleId="52">
    <w:name w:val="TableGrid"/>
    <w:basedOn w:val="42"/>
    <w:qFormat/>
    <w:uiPriority w:val="0"/>
    <w:tblPr>
      <w:tblCellMar>
        <w:top w:w="0" w:type="dxa"/>
        <w:left w:w="0" w:type="dxa"/>
        <w:bottom w:w="0" w:type="dxa"/>
        <w:right w:w="0" w:type="dxa"/>
      </w:tblCellMar>
    </w:tblPr>
  </w:style>
  <w:style w:type="character" w:customStyle="1" w:styleId="53">
    <w:name w:val="PageNumber"/>
    <w:basedOn w:val="29"/>
    <w:qFormat/>
    <w:uiPriority w:val="0"/>
  </w:style>
  <w:style w:type="character" w:customStyle="1" w:styleId="54">
    <w:name w:val="UserStyle_0"/>
    <w:basedOn w:val="29"/>
    <w:qFormat/>
    <w:uiPriority w:val="0"/>
    <w:rPr>
      <w:rFonts w:ascii="黑体" w:eastAsia="黑体"/>
      <w:b/>
    </w:rPr>
  </w:style>
  <w:style w:type="character" w:customStyle="1" w:styleId="55">
    <w:name w:val="UserStyle_1"/>
    <w:qFormat/>
    <w:uiPriority w:val="0"/>
    <w:rPr>
      <w:rFonts w:ascii="Times New Roman" w:hAnsi="Times New Roman" w:eastAsia="宋体"/>
      <w:kern w:val="2"/>
      <w:sz w:val="24"/>
      <w:szCs w:val="24"/>
      <w:lang w:val="en-US" w:eastAsia="zh-CN"/>
    </w:rPr>
  </w:style>
  <w:style w:type="paragraph" w:customStyle="1" w:styleId="56">
    <w:name w:val="UserStyle_2"/>
    <w:basedOn w:val="1"/>
    <w:qFormat/>
    <w:uiPriority w:val="0"/>
    <w:pPr>
      <w:snapToGrid w:val="0"/>
      <w:spacing w:line="400" w:lineRule="atLeast"/>
      <w:ind w:firstLine="482"/>
    </w:pPr>
    <w:rPr>
      <w:kern w:val="0"/>
      <w:sz w:val="24"/>
    </w:rPr>
  </w:style>
  <w:style w:type="paragraph" w:customStyle="1" w:styleId="57">
    <w:name w:val="UserStyle_3"/>
    <w:basedOn w:val="1"/>
    <w:qFormat/>
    <w:uiPriority w:val="0"/>
    <w:rPr>
      <w:kern w:val="0"/>
      <w:szCs w:val="21"/>
    </w:rPr>
  </w:style>
  <w:style w:type="paragraph" w:customStyle="1" w:styleId="58">
    <w:name w:val="UserStyle_4"/>
    <w:basedOn w:val="1"/>
    <w:qFormat/>
    <w:uiPriority w:val="0"/>
    <w:pPr>
      <w:spacing w:line="360" w:lineRule="auto"/>
      <w:ind w:firstLine="420"/>
    </w:pPr>
    <w:rPr>
      <w:sz w:val="24"/>
      <w:szCs w:val="20"/>
    </w:rPr>
  </w:style>
  <w:style w:type="paragraph" w:customStyle="1" w:styleId="59">
    <w:name w:val="UserStyle_5"/>
    <w:qFormat/>
    <w:uiPriority w:val="0"/>
    <w:rPr>
      <w:rFonts w:ascii="黑体" w:hAnsi="Times New Roman" w:eastAsia="黑体" w:cs="Times New Roman"/>
      <w:lang w:val="en-US" w:eastAsia="zh-CN" w:bidi="ar-SA"/>
    </w:rPr>
  </w:style>
  <w:style w:type="paragraph" w:customStyle="1" w:styleId="60">
    <w:name w:val="UserStyle_6"/>
    <w:basedOn w:val="1"/>
    <w:qFormat/>
    <w:uiPriority w:val="0"/>
    <w:rPr>
      <w:rFonts w:ascii="Calibri" w:hAnsi="Calibri"/>
    </w:rPr>
  </w:style>
  <w:style w:type="character" w:customStyle="1" w:styleId="61">
    <w:name w:val="页眉 Char"/>
    <w:basedOn w:val="27"/>
    <w:link w:val="16"/>
    <w:semiHidden/>
    <w:qFormat/>
    <w:uiPriority w:val="99"/>
    <w:rPr>
      <w:kern w:val="2"/>
      <w:sz w:val="18"/>
      <w:szCs w:val="18"/>
    </w:rPr>
  </w:style>
  <w:style w:type="character" w:customStyle="1" w:styleId="62">
    <w:name w:val="页脚 Char"/>
    <w:basedOn w:val="27"/>
    <w:link w:val="15"/>
    <w:semiHidden/>
    <w:qFormat/>
    <w:uiPriority w:val="99"/>
    <w:rPr>
      <w:kern w:val="2"/>
      <w:sz w:val="18"/>
      <w:szCs w:val="18"/>
    </w:rPr>
  </w:style>
  <w:style w:type="paragraph" w:customStyle="1" w:styleId="63">
    <w:name w:val="Table Paragraph"/>
    <w:basedOn w:val="1"/>
    <w:qFormat/>
    <w:uiPriority w:val="0"/>
    <w:rPr>
      <w:rFonts w:ascii="Calibri" w:hAnsi="Calibri"/>
    </w:rPr>
  </w:style>
  <w:style w:type="paragraph" w:customStyle="1" w:styleId="64">
    <w:name w:val="列出段落112"/>
    <w:basedOn w:val="1"/>
    <w:qFormat/>
    <w:uiPriority w:val="99"/>
    <w:pPr>
      <w:ind w:firstLine="420" w:firstLineChars="200"/>
    </w:pPr>
  </w:style>
  <w:style w:type="paragraph" w:styleId="65">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66">
    <w:name w:val="Table Text"/>
    <w:basedOn w:val="1"/>
    <w:semiHidden/>
    <w:qFormat/>
    <w:uiPriority w:val="0"/>
    <w:rPr>
      <w:rFonts w:ascii="宋体" w:hAnsi="宋体" w:cs="宋体"/>
      <w:sz w:val="20"/>
      <w:szCs w:val="20"/>
    </w:rPr>
  </w:style>
  <w:style w:type="table" w:customStyle="1" w:styleId="67">
    <w:name w:val="Table Normal"/>
    <w:semiHidden/>
    <w:unhideWhenUsed/>
    <w:qFormat/>
    <w:uiPriority w:val="0"/>
    <w:tblPr>
      <w:tblCellMar>
        <w:top w:w="0" w:type="dxa"/>
        <w:left w:w="0" w:type="dxa"/>
        <w:bottom w:w="0" w:type="dxa"/>
        <w:right w:w="0" w:type="dxa"/>
      </w:tblCellMar>
    </w:tblPr>
  </w:style>
  <w:style w:type="paragraph" w:customStyle="1" w:styleId="68">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
    <w:name w:val="引文目录_6"/>
    <w:unhideWhenUsed/>
    <w:qFormat/>
    <w:uiPriority w:val="99"/>
    <w:pPr>
      <w:widowControl w:val="0"/>
      <w:ind w:left="420" w:leftChars="200"/>
      <w:jc w:val="both"/>
    </w:pPr>
    <w:rPr>
      <w:rFonts w:ascii="Times New Roman" w:hAnsi="Times New Roman" w:eastAsia="宋体" w:cs="Times New Roman"/>
      <w:kern w:val="2"/>
      <w:sz w:val="21"/>
      <w:szCs w:val="24"/>
      <w:lang w:val="en-US" w:eastAsia="zh-CN" w:bidi="ar-SA"/>
    </w:rPr>
  </w:style>
  <w:style w:type="character" w:customStyle="1" w:styleId="70">
    <w:name w:val="批注框文本 Char"/>
    <w:basedOn w:val="27"/>
    <w:link w:val="14"/>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88</Pages>
  <Words>21099</Words>
  <Characters>22690</Characters>
  <Lines>343</Lines>
  <Paragraphs>96</Paragraphs>
  <TotalTime>3</TotalTime>
  <ScaleCrop>false</ScaleCrop>
  <LinksUpToDate>false</LinksUpToDate>
  <CharactersWithSpaces>22954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2025-07-31T06:24:00Z</dcterms:created>
  <dc:creator>Administrator</dc:creator>
  <cp:lastModifiedBy>Administrator</cp:lastModifiedBy>
  <dcterms:modified xsi:type="dcterms:W3CDTF">2026-10-16T01:23:45Z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84DA676C6BF9485F9779334A53309C4D_13</vt:lpwstr>
  </property>
  <property fmtid="{D5CDD505-2E9C-101B-9397-08002B2CF9AE}" pid="4" name="KSOTemplateDocerSaveRecord">
    <vt:lpwstr>eyJoZGlkIjoiNmZhNDI2NmE2ZDMzMGZiM2Y2MzJiOWMxMzk4NzM5NGMiLCJ1c2VySWQiOiIzNDIwMTYzODUifQ==</vt:lpwstr>
  </property>
</Properties>
</file>